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0"/>
        <w:spacing w:before="120" w:beforeAutospacing="0" w:after="120" w:afterAutospacing="0" w:line="360" w:lineRule="auto"/>
      </w:pPr>
      <w:r>
        <w:t xml:space="preserve"> </w:t>
      </w:r>
      <w:r/>
    </w:p>
    <w:p>
      <w:pPr>
        <w:pStyle w:val="730"/>
        <w:spacing w:before="120" w:beforeAutospacing="0" w:after="120" w:afterAutospacing="0" w:line="360" w:lineRule="auto"/>
      </w:pPr>
      <w:r/>
      <w:r/>
    </w:p>
    <w:p>
      <w:pPr>
        <w:pStyle w:val="730"/>
        <w:spacing w:before="120" w:beforeAutospacing="0" w:after="120" w:afterAutospacing="0" w:line="360" w:lineRule="auto"/>
      </w:pPr>
      <w:r/>
      <w:r/>
    </w:p>
    <w:p>
      <w:pPr>
        <w:pStyle w:val="730"/>
        <w:jc w:val="center"/>
        <w:spacing w:before="120" w:beforeAutospacing="0" w:after="120" w:afterAutospacing="0" w:line="1000" w:lineRule="exact"/>
      </w:pPr>
      <w:r>
        <w:rPr>
          <w:rFonts w:ascii="Arial" w:hAnsi="Arial" w:cs="Arial"/>
          <w:b/>
          <w:sz w:val="84"/>
          <w:szCs w:val="84"/>
        </w:rPr>
        <w:t xml:space="preserve">招</w:t>
      </w:r>
      <w:r>
        <w:rPr>
          <w:rFonts w:hint="eastAsia" w:ascii="Arial" w:hAnsi="Arial" w:eastAsia="宋体" w:cs="Arial"/>
          <w:b/>
          <w:sz w:val="84"/>
          <w:szCs w:val="84"/>
        </w:rPr>
        <w:t xml:space="preserve"> </w:t>
      </w:r>
      <w:r>
        <w:rPr>
          <w:rFonts w:ascii="Arial" w:hAnsi="Arial" w:cs="Arial"/>
          <w:b/>
          <w:sz w:val="84"/>
          <w:szCs w:val="84"/>
        </w:rPr>
        <w:t xml:space="preserve"> 标 </w:t>
      </w:r>
      <w:r>
        <w:rPr>
          <w:rFonts w:hint="eastAsia" w:ascii="Arial" w:hAnsi="Arial" w:eastAsia="宋体" w:cs="Arial"/>
          <w:b/>
          <w:sz w:val="84"/>
          <w:szCs w:val="84"/>
        </w:rPr>
        <w:t xml:space="preserve"> </w:t>
      </w:r>
      <w:r>
        <w:rPr>
          <w:rFonts w:ascii="Arial" w:hAnsi="Arial" w:cs="Arial"/>
          <w:b/>
          <w:sz w:val="84"/>
          <w:szCs w:val="84"/>
        </w:rPr>
        <w:t xml:space="preserve">文 </w:t>
      </w:r>
      <w:r>
        <w:rPr>
          <w:rFonts w:hint="eastAsia" w:ascii="Arial" w:hAnsi="Arial" w:eastAsia="宋体" w:cs="Arial"/>
          <w:b/>
          <w:sz w:val="84"/>
          <w:szCs w:val="84"/>
        </w:rPr>
        <w:t xml:space="preserve"> </w:t>
      </w:r>
      <w:r>
        <w:rPr>
          <w:rFonts w:ascii="Arial" w:hAnsi="Arial" w:cs="Arial"/>
          <w:b/>
          <w:sz w:val="84"/>
          <w:szCs w:val="84"/>
        </w:rPr>
        <w:t xml:space="preserve">件</w:t>
      </w:r>
      <w:r/>
    </w:p>
    <w:p>
      <w:pPr>
        <w:pStyle w:val="730"/>
        <w:jc w:val="center"/>
        <w:spacing w:before="120" w:beforeAutospacing="0" w:after="120" w:afterAutospacing="0" w:line="360" w:lineRule="auto"/>
        <w:rPr>
          <w:rFonts w:ascii="Arial" w:hAnsi="Arial" w:cs="Arial"/>
          <w:bCs/>
        </w:rPr>
      </w:pPr>
      <w:r>
        <w:rPr>
          <w:rFonts w:hint="eastAsia" w:ascii="Arial" w:hAnsi="Arial" w:cs="Arial"/>
          <w:bCs/>
        </w:rPr>
        <w:t xml:space="preserve">（</w:t>
      </w:r>
      <w:r>
        <w:rPr>
          <w:rFonts w:hint="eastAsia" w:ascii="Arial" w:hAnsi="Arial" w:cs="Arial"/>
          <w:bCs/>
          <w:lang w:val="en-US" w:eastAsia="zh-CN"/>
        </w:rPr>
        <w:t xml:space="preserve">服务</w:t>
      </w:r>
      <w:r>
        <w:rPr>
          <w:rFonts w:hint="eastAsia" w:ascii="Arial" w:hAnsi="Arial" w:cs="Arial"/>
          <w:bCs/>
        </w:rPr>
        <w:t xml:space="preserve">类）</w:t>
      </w:r>
      <w:r/>
    </w:p>
    <w:p>
      <w:pPr>
        <w:pStyle w:val="730"/>
        <w:spacing w:before="120" w:beforeAutospacing="0" w:after="120" w:afterAutospacing="0" w:line="360" w:lineRule="auto"/>
        <w:rPr>
          <w:rFonts w:ascii="Arial" w:hAnsi="Arial" w:cs="Arial"/>
          <w:b/>
          <w:sz w:val="32"/>
          <w:szCs w:val="32"/>
        </w:rPr>
      </w:pPr>
      <w:r>
        <w:rPr>
          <w:rFonts w:ascii="Arial" w:hAnsi="Arial" w:cs="Arial"/>
          <w:b/>
          <w:sz w:val="32"/>
          <w:szCs w:val="32"/>
        </w:rPr>
      </w:r>
      <w:r/>
    </w:p>
    <w:p>
      <w:pPr>
        <w:pStyle w:val="730"/>
        <w:spacing w:before="120" w:beforeAutospacing="0" w:after="120" w:afterAutospacing="0" w:line="360" w:lineRule="auto"/>
        <w:rPr>
          <w:rFonts w:ascii="Arial" w:hAnsi="Arial" w:cs="Arial"/>
          <w:b/>
          <w:sz w:val="32"/>
          <w:szCs w:val="32"/>
        </w:rPr>
      </w:pPr>
      <w:r>
        <w:rPr>
          <w:rFonts w:ascii="Arial" w:hAnsi="Arial" w:cs="Arial"/>
          <w:b/>
          <w:sz w:val="32"/>
          <w:szCs w:val="32"/>
        </w:rPr>
      </w:r>
      <w:r/>
    </w:p>
    <w:p>
      <w:pPr>
        <w:pStyle w:val="730"/>
        <w:ind w:firstLine="643"/>
        <w:jc w:val="both"/>
        <w:spacing w:before="120" w:beforeAutospacing="0" w:after="120" w:afterAutospacing="0" w:line="600" w:lineRule="exact"/>
        <w:rPr>
          <w:rFonts w:ascii="Arial" w:hAnsi="Arial" w:cs="Arial"/>
          <w:b/>
          <w:sz w:val="32"/>
          <w:szCs w:val="32"/>
        </w:rPr>
      </w:pPr>
      <w:r>
        <w:rPr>
          <w:rFonts w:ascii="Arial" w:hAnsi="Arial" w:cs="Arial"/>
          <w:b/>
          <w:sz w:val="32"/>
          <w:szCs w:val="32"/>
        </w:rPr>
        <w:t xml:space="preserve">项目名称：</w:t>
      </w:r>
      <w:r>
        <w:rPr>
          <w:rFonts w:hint="eastAsia" w:ascii="Arial" w:hAnsi="Arial" w:cs="Arial"/>
          <w:b/>
          <w:sz w:val="32"/>
          <w:szCs w:val="32"/>
        </w:rPr>
        <w:t xml:space="preserve">射阳县妇幼保健院追溯码上传等信息化采购项目</w:t>
      </w:r>
      <w:r/>
    </w:p>
    <w:p>
      <w:pPr>
        <w:pStyle w:val="730"/>
        <w:ind w:firstLine="643"/>
        <w:jc w:val="both"/>
        <w:spacing w:before="120" w:beforeAutospacing="0" w:after="120" w:afterAutospacing="0" w:line="600" w:lineRule="exact"/>
        <w:rPr>
          <w:rFonts w:hint="eastAsia" w:ascii="Arial" w:hAnsi="Arial" w:cs="Arial" w:eastAsiaTheme="minorEastAsia"/>
          <w:b/>
          <w:sz w:val="28"/>
          <w:szCs w:val="28"/>
          <w:lang w:val="en-US" w:eastAsia="zh-CN"/>
        </w:rPr>
      </w:pPr>
      <w:r>
        <w:rPr>
          <w:rFonts w:hint="eastAsia" w:ascii="Arial" w:hAnsi="Arial" w:cs="Arial"/>
          <w:b/>
          <w:sz w:val="32"/>
          <w:szCs w:val="32"/>
        </w:rPr>
        <w:t xml:space="preserve">项目编号：</w:t>
      </w:r>
      <w:r>
        <w:rPr>
          <w:rFonts w:hint="eastAsia" w:ascii="Arial" w:hAnsi="Arial" w:cs="Arial"/>
          <w:b/>
          <w:sz w:val="32"/>
          <w:szCs w:val="32"/>
          <w:highlight w:val="none"/>
        </w:rPr>
        <w:t xml:space="preserve">JSZC-320924-JZCG-G2026-0009</w:t>
      </w:r>
      <w:r/>
    </w:p>
    <w:p>
      <w:pPr>
        <w:pStyle w:val="730"/>
        <w:spacing w:beforeAutospacing="0" w:afterAutospacing="0" w:line="360" w:lineRule="auto"/>
      </w:pPr>
      <w:r>
        <w:t xml:space="preserve"> </w:t>
      </w:r>
      <w:r/>
    </w:p>
    <w:p>
      <w:pPr>
        <w:pStyle w:val="730"/>
        <w:spacing w:beforeAutospacing="0" w:afterAutospacing="0" w:line="360" w:lineRule="auto"/>
      </w:pPr>
      <w:r>
        <w:t xml:space="preserve"> </w:t>
      </w:r>
      <w:r/>
    </w:p>
    <w:p>
      <w:pPr>
        <w:pStyle w:val="730"/>
        <w:spacing w:beforeAutospacing="0" w:afterAutospacing="0" w:line="360" w:lineRule="auto"/>
      </w:pPr>
      <w:r>
        <w:t xml:space="preserve"> </w:t>
      </w:r>
      <w:r/>
    </w:p>
    <w:p>
      <w:pPr>
        <w:pStyle w:val="730"/>
        <w:spacing w:beforeAutospacing="0" w:afterAutospacing="0" w:line="360" w:lineRule="auto"/>
      </w:pPr>
      <w:r>
        <w:t xml:space="preserve"> </w:t>
      </w:r>
      <w:r/>
    </w:p>
    <w:p>
      <w:pPr>
        <w:pStyle w:val="730"/>
        <w:spacing w:beforeAutospacing="0" w:afterAutospacing="0" w:line="360" w:lineRule="auto"/>
      </w:pPr>
      <w:r>
        <w:t xml:space="preserve"> </w:t>
      </w:r>
      <w:r/>
    </w:p>
    <w:p>
      <w:pPr>
        <w:pStyle w:val="730"/>
        <w:spacing w:beforeAutospacing="0" w:afterAutospacing="0" w:line="360" w:lineRule="auto"/>
      </w:pPr>
      <w:r>
        <w:t xml:space="preserve"> </w:t>
      </w:r>
      <w:r/>
    </w:p>
    <w:p>
      <w:pPr>
        <w:pStyle w:val="730"/>
        <w:spacing w:beforeAutospacing="0" w:afterAutospacing="0" w:line="360" w:lineRule="auto"/>
      </w:pPr>
      <w:r/>
      <w:r/>
    </w:p>
    <w:p>
      <w:pPr>
        <w:pStyle w:val="730"/>
        <w:spacing w:beforeAutospacing="0" w:afterAutospacing="0" w:line="360" w:lineRule="auto"/>
      </w:pPr>
      <w:r/>
      <w:r/>
    </w:p>
    <w:p>
      <w:pPr>
        <w:pStyle w:val="730"/>
        <w:spacing w:beforeAutospacing="0" w:afterAutospacing="0" w:line="360" w:lineRule="auto"/>
      </w:pPr>
      <w:r/>
      <w:r/>
    </w:p>
    <w:p>
      <w:pPr>
        <w:pStyle w:val="730"/>
        <w:spacing w:beforeAutospacing="0" w:afterAutospacing="0" w:line="360" w:lineRule="auto"/>
      </w:pPr>
      <w:r/>
      <w:r/>
    </w:p>
    <w:p>
      <w:pPr>
        <w:pStyle w:val="730"/>
        <w:spacing w:beforeAutospacing="0" w:afterAutospacing="0" w:line="360" w:lineRule="auto"/>
      </w:pPr>
      <w:r/>
      <w:r/>
    </w:p>
    <w:p>
      <w:pPr>
        <w:pStyle w:val="730"/>
        <w:jc w:val="center"/>
        <w:spacing w:before="120" w:beforeAutospacing="0" w:after="120" w:afterAutospacing="0" w:line="600" w:lineRule="exact"/>
        <w:rPr>
          <w:rFonts w:ascii="Arial" w:hAnsi="Arial" w:cs="Arial"/>
          <w:b/>
          <w:sz w:val="32"/>
          <w:szCs w:val="32"/>
        </w:rPr>
      </w:pPr>
      <w:r>
        <w:rPr>
          <w:rFonts w:hint="eastAsia" w:ascii="Arial" w:hAnsi="Arial" w:cs="Arial"/>
          <w:b/>
          <w:sz w:val="32"/>
          <w:szCs w:val="32"/>
        </w:rPr>
        <w:t xml:space="preserve">采购单位：射阳县妇幼保健院</w:t>
      </w:r>
      <w:r/>
    </w:p>
    <w:p>
      <w:pPr>
        <w:pStyle w:val="730"/>
        <w:jc w:val="center"/>
        <w:spacing w:before="120" w:beforeAutospacing="0" w:after="120" w:afterAutospacing="0" w:line="600" w:lineRule="exact"/>
      </w:pPr>
      <w:r>
        <w:rPr>
          <w:rFonts w:hint="eastAsia" w:ascii="Arial" w:hAnsi="Arial" w:cs="Arial"/>
          <w:b/>
          <w:sz w:val="32"/>
          <w:szCs w:val="32"/>
        </w:rPr>
        <w:t xml:space="preserve">202</w:t>
      </w:r>
      <w:r>
        <w:rPr>
          <w:rFonts w:hint="eastAsia" w:ascii="Arial" w:hAnsi="Arial" w:cs="Arial"/>
          <w:b/>
          <w:sz w:val="32"/>
          <w:szCs w:val="32"/>
          <w:lang w:val="en-US" w:eastAsia="zh-CN"/>
        </w:rPr>
        <w:t xml:space="preserve">6</w:t>
      </w:r>
      <w:r>
        <w:rPr>
          <w:rFonts w:hint="eastAsia" w:ascii="Arial" w:hAnsi="Arial" w:cs="Arial"/>
          <w:b/>
          <w:sz w:val="32"/>
          <w:szCs w:val="32"/>
        </w:rPr>
        <w:t xml:space="preserve">年</w:t>
      </w:r>
      <w:r>
        <w:rPr>
          <w:rFonts w:hint="eastAsia" w:ascii="Arial" w:hAnsi="Arial" w:cs="Arial"/>
          <w:b/>
          <w:sz w:val="32"/>
          <w:szCs w:val="32"/>
          <w:lang w:val="en-US" w:eastAsia="zh-CN"/>
        </w:rPr>
        <w:t xml:space="preserve">4</w:t>
      </w:r>
      <w:r>
        <w:rPr>
          <w:rFonts w:hint="eastAsia" w:ascii="Arial" w:hAnsi="Arial" w:cs="Arial"/>
          <w:b/>
          <w:sz w:val="32"/>
          <w:szCs w:val="32"/>
        </w:rPr>
        <w:t xml:space="preserve">月</w:t>
      </w:r>
      <w:r/>
    </w:p>
    <w:p>
      <w:pPr>
        <w:pStyle w:val="730"/>
        <w:jc w:val="center"/>
        <w:spacing w:before="120" w:beforeAutospacing="0" w:after="120" w:afterAutospacing="0" w:line="360" w:lineRule="auto"/>
      </w:pPr>
      <w:r>
        <w:t xml:space="preserve"> </w:t>
      </w:r>
      <w:r/>
    </w:p>
    <w:p>
      <w:pPr>
        <w:pStyle w:val="730"/>
        <w:jc w:val="center"/>
        <w:spacing w:beforeAutospacing="0" w:afterAutospacing="0" w:line="480" w:lineRule="auto"/>
        <w:rPr>
          <w:rFonts w:ascii="Times New Roman" w:hAnsi="Times New Roman"/>
          <w:sz w:val="21"/>
          <w:szCs w:val="21"/>
        </w:rPr>
        <w:sectPr>
          <w:footnotePr/>
          <w:endnotePr/>
          <w:type w:val="nextPage"/>
          <w:pgSz w:w="11906" w:h="16838" w:orient="portrait"/>
          <w:pgMar w:top="1134" w:right="1134" w:bottom="1134" w:left="1134" w:header="851" w:footer="992" w:gutter="0"/>
          <w:cols w:num="1" w:sep="0" w:space="425" w:equalWidth="1"/>
          <w:docGrid w:linePitch="360"/>
        </w:sectPr>
      </w:pPr>
      <w:r>
        <w:rPr>
          <w:rFonts w:ascii="Times New Roman" w:hAnsi="Times New Roman"/>
          <w:sz w:val="21"/>
          <w:szCs w:val="21"/>
        </w:rPr>
      </w:r>
      <w:r/>
    </w:p>
    <w:p>
      <w:pPr>
        <w:pStyle w:val="730"/>
        <w:jc w:val="center"/>
        <w:spacing w:beforeAutospacing="0" w:afterAutospacing="0" w:line="480" w:lineRule="auto"/>
        <w:rPr>
          <w:rFonts w:hint="eastAsia" w:ascii="宋体" w:hAnsi="宋体" w:eastAsia="宋体" w:cs="宋体"/>
          <w:sz w:val="21"/>
          <w:szCs w:val="21"/>
        </w:rPr>
      </w:pPr>
      <w:r>
        <w:rPr>
          <w:rFonts w:hint="eastAsia" w:ascii="宋体" w:hAnsi="宋体" w:eastAsia="宋体" w:cs="宋体"/>
          <w:sz w:val="21"/>
          <w:szCs w:val="21"/>
        </w:rPr>
      </w:r>
      <w:r/>
    </w:p>
    <w:p>
      <w:pPr>
        <w:pStyle w:val="730"/>
        <w:jc w:val="center"/>
        <w:spacing w:beforeAutospacing="0" w:afterAutospacing="0" w:line="480" w:lineRule="auto"/>
        <w:rPr>
          <w:rFonts w:hint="eastAsia" w:ascii="宋体" w:hAnsi="宋体" w:eastAsia="宋体" w:cs="宋体"/>
          <w:sz w:val="21"/>
          <w:szCs w:val="21"/>
        </w:rPr>
      </w:pPr>
      <w:r>
        <w:rPr>
          <w:rFonts w:hint="eastAsia" w:ascii="宋体" w:hAnsi="宋体" w:eastAsia="宋体" w:cs="宋体"/>
          <w:sz w:val="21"/>
          <w:szCs w:val="21"/>
        </w:rPr>
      </w:r>
      <w:r/>
    </w:p>
    <w:p>
      <w:pPr>
        <w:pStyle w:val="730"/>
        <w:jc w:val="center"/>
        <w:spacing w:beforeAutospacing="0" w:afterAutospacing="0" w:line="480" w:lineRule="auto"/>
        <w:rPr>
          <w:rFonts w:hint="eastAsia" w:ascii="宋体" w:hAnsi="宋体" w:eastAsia="宋体" w:cs="宋体"/>
          <w:sz w:val="21"/>
          <w:szCs w:val="21"/>
        </w:rPr>
      </w:pPr>
      <w:r>
        <w:rPr>
          <w:rFonts w:hint="eastAsia" w:ascii="宋体" w:hAnsi="宋体" w:eastAsia="宋体" w:cs="宋体"/>
          <w:sz w:val="21"/>
          <w:szCs w:val="21"/>
        </w:rPr>
      </w:r>
      <w:r/>
    </w:p>
    <w:p>
      <w:pPr>
        <w:pStyle w:val="730"/>
        <w:jc w:val="center"/>
        <w:spacing w:beforeAutospacing="0" w:afterAutospacing="0" w:line="480" w:lineRule="auto"/>
        <w:rPr>
          <w:rFonts w:hint="eastAsia" w:ascii="宋体" w:hAnsi="宋体" w:eastAsia="宋体" w:cs="宋体"/>
        </w:rPr>
      </w:pPr>
      <w:r>
        <w:rPr>
          <w:rFonts w:hint="eastAsia" w:ascii="宋体" w:hAnsi="宋体" w:eastAsia="宋体" w:cs="宋体"/>
          <w:sz w:val="21"/>
          <w:szCs w:val="21"/>
        </w:rPr>
        <w:t xml:space="preserve"> </w:t>
      </w:r>
      <w:bookmarkStart w:id="0" w:name="_Toc16938516"/>
      <w:r/>
      <w:bookmarkStart w:id="1" w:name="_Toc120614210"/>
      <w:r/>
      <w:bookmarkStart w:id="2" w:name="_Toc20823272"/>
      <w:r/>
      <w:bookmarkStart w:id="3" w:name="_Toc523127445"/>
      <w:r/>
      <w:bookmarkStart w:id="4" w:name="_Toc513029200"/>
      <w:r/>
      <w:bookmarkStart w:id="5" w:name="_Toc479757206"/>
      <w:r>
        <w:rPr>
          <w:rFonts w:hint="eastAsia" w:ascii="宋体" w:hAnsi="宋体" w:eastAsia="宋体" w:cs="宋体"/>
          <w:sz w:val="21"/>
          <w:szCs w:val="21"/>
        </w:rPr>
        <w:t xml:space="preserve"> </w:t>
      </w:r>
      <w:r>
        <w:rPr>
          <w:rFonts w:hint="eastAsia" w:ascii="宋体" w:hAnsi="宋体" w:eastAsia="宋体" w:cs="宋体"/>
          <w:b/>
          <w:sz w:val="44"/>
          <w:szCs w:val="44"/>
        </w:rPr>
        <w:t xml:space="preserve">总  目  录</w:t>
      </w:r>
      <w:bookmarkEnd w:id="0"/>
      <w:r/>
      <w:bookmarkEnd w:id="1"/>
      <w:r/>
      <w:bookmarkEnd w:id="2"/>
      <w:r/>
      <w:bookmarkEnd w:id="3"/>
      <w:r/>
      <w:bookmarkEnd w:id="4"/>
      <w:r/>
      <w:bookmarkEnd w:id="5"/>
      <w:r/>
      <w:r/>
    </w:p>
    <w:p>
      <w:pPr>
        <w:pStyle w:val="730"/>
        <w:jc w:val="both"/>
        <w:spacing w:beforeAutospacing="0" w:afterAutospacing="0" w:line="480" w:lineRule="auto"/>
        <w:rPr>
          <w:rFonts w:hint="eastAsia" w:ascii="宋体" w:hAnsi="宋体" w:eastAsia="宋体" w:cs="宋体"/>
        </w:rPr>
      </w:pPr>
      <w:r>
        <w:rPr>
          <w:rFonts w:hint="eastAsia" w:ascii="宋体" w:hAnsi="宋体" w:eastAsia="宋体" w:cs="宋体"/>
        </w:rPr>
        <w:t xml:space="preserve"> </w:t>
      </w:r>
      <w:r/>
    </w:p>
    <w:p>
      <w:pPr>
        <w:pStyle w:val="730"/>
        <w:ind w:left="2160" w:hanging="1440"/>
        <w:jc w:val="both"/>
        <w:spacing w:beforeAutospacing="0" w:afterAutospacing="0" w:line="480" w:lineRule="auto"/>
        <w:tabs>
          <w:tab w:val="left" w:pos="1441" w:leader="none"/>
        </w:tabs>
        <w:rPr>
          <w:rFonts w:hint="eastAsia" w:ascii="宋体" w:hAnsi="宋体" w:eastAsia="宋体" w:cs="宋体"/>
        </w:rPr>
      </w:pPr>
      <w:r>
        <w:rPr>
          <w:rFonts w:hint="eastAsia" w:ascii="宋体" w:hAnsi="宋体" w:eastAsia="宋体" w:cs="宋体"/>
          <w:sz w:val="36"/>
          <w:szCs w:val="36"/>
        </w:rPr>
        <w:t xml:space="preserve">招标公告……………………………………1 </w:t>
      </w:r>
      <w:r/>
    </w:p>
    <w:p>
      <w:pPr>
        <w:pStyle w:val="730"/>
        <w:ind w:left="2160" w:hanging="1440"/>
        <w:jc w:val="both"/>
        <w:spacing w:beforeAutospacing="0" w:afterAutospacing="0" w:line="480" w:lineRule="auto"/>
        <w:tabs>
          <w:tab w:val="left" w:pos="1441" w:leader="none"/>
        </w:tabs>
        <w:rPr>
          <w:rFonts w:hint="eastAsia" w:ascii="宋体" w:hAnsi="宋体" w:eastAsia="宋体" w:cs="宋体"/>
        </w:rPr>
      </w:pPr>
      <w:r>
        <w:rPr>
          <w:rFonts w:hint="eastAsia" w:ascii="宋体" w:hAnsi="宋体" w:eastAsia="宋体" w:cs="宋体"/>
          <w:sz w:val="36"/>
          <w:szCs w:val="36"/>
        </w:rPr>
        <w:t xml:space="preserve">投标人须知…………………………………5  </w:t>
      </w:r>
      <w:r/>
    </w:p>
    <w:p>
      <w:pPr>
        <w:pStyle w:val="730"/>
        <w:ind w:left="2160" w:hanging="1440"/>
        <w:jc w:val="both"/>
        <w:spacing w:beforeAutospacing="0" w:afterAutospacing="0" w:line="480" w:lineRule="auto"/>
        <w:tabs>
          <w:tab w:val="left" w:pos="1441" w:leader="none"/>
        </w:tabs>
        <w:rPr>
          <w:rFonts w:hint="default" w:ascii="宋体" w:hAnsi="宋体" w:eastAsia="宋体" w:cs="宋体"/>
          <w:lang w:val="en-US" w:eastAsia="zh-CN"/>
        </w:rPr>
      </w:pPr>
      <w:r>
        <w:rPr>
          <w:rFonts w:hint="eastAsia" w:ascii="宋体" w:hAnsi="宋体" w:eastAsia="宋体" w:cs="宋体"/>
          <w:sz w:val="36"/>
          <w:szCs w:val="36"/>
        </w:rPr>
        <w:t xml:space="preserve">合同文本……………………………………</w:t>
      </w:r>
      <w:r>
        <w:rPr>
          <w:rFonts w:hint="eastAsia" w:ascii="宋体" w:hAnsi="宋体" w:eastAsia="宋体" w:cs="宋体"/>
          <w:sz w:val="36"/>
          <w:szCs w:val="36"/>
          <w:lang w:val="en-US" w:eastAsia="zh-CN"/>
        </w:rPr>
        <w:t xml:space="preserve">19</w:t>
      </w:r>
      <w:r/>
    </w:p>
    <w:p>
      <w:pPr>
        <w:pStyle w:val="730"/>
        <w:ind w:left="2160" w:hanging="1440"/>
        <w:jc w:val="both"/>
        <w:spacing w:beforeAutospacing="0" w:afterAutospacing="0" w:line="480" w:lineRule="auto"/>
        <w:tabs>
          <w:tab w:val="left" w:pos="1441" w:leader="none"/>
        </w:tabs>
        <w:rPr>
          <w:rFonts w:hint="eastAsia" w:ascii="宋体" w:hAnsi="宋体" w:eastAsia="宋体" w:cs="宋体"/>
          <w:sz w:val="36"/>
          <w:szCs w:val="36"/>
          <w:lang w:eastAsia="zh-CN"/>
        </w:rPr>
      </w:pPr>
      <w:r>
        <w:rPr>
          <w:rFonts w:hint="eastAsia" w:ascii="宋体" w:hAnsi="宋体" w:eastAsia="宋体" w:cs="宋体"/>
          <w:sz w:val="36"/>
          <w:szCs w:val="36"/>
        </w:rPr>
        <w:t xml:space="preserve">采购需求……………………………………2</w:t>
      </w:r>
      <w:r>
        <w:rPr>
          <w:rFonts w:hint="eastAsia" w:ascii="宋体" w:hAnsi="宋体" w:eastAsia="宋体" w:cs="宋体"/>
          <w:sz w:val="36"/>
          <w:szCs w:val="36"/>
          <w:lang w:val="en-US" w:eastAsia="zh-CN"/>
        </w:rPr>
        <w:t xml:space="preserve">3</w:t>
      </w:r>
      <w:r/>
    </w:p>
    <w:p>
      <w:pPr>
        <w:pStyle w:val="730"/>
        <w:ind w:left="2160" w:hanging="1440"/>
        <w:jc w:val="both"/>
        <w:spacing w:beforeAutospacing="0" w:afterAutospacing="0" w:line="480" w:lineRule="auto"/>
        <w:tabs>
          <w:tab w:val="left" w:pos="1441" w:leader="none"/>
        </w:tabs>
        <w:rPr>
          <w:rFonts w:hint="default" w:ascii="宋体" w:hAnsi="宋体" w:eastAsia="宋体" w:cs="宋体"/>
          <w:lang w:val="en-US" w:eastAsia="zh-CN"/>
        </w:rPr>
      </w:pPr>
      <w:r>
        <w:rPr>
          <w:rFonts w:hint="eastAsia" w:ascii="宋体" w:hAnsi="宋体" w:eastAsia="宋体" w:cs="宋体"/>
          <w:sz w:val="36"/>
          <w:szCs w:val="36"/>
        </w:rPr>
        <w:t xml:space="preserve">评标方法与评标标准………………………</w:t>
      </w:r>
      <w:r>
        <w:rPr>
          <w:rFonts w:hint="eastAsia" w:ascii="宋体" w:hAnsi="宋体" w:eastAsia="宋体" w:cs="宋体"/>
          <w:sz w:val="36"/>
          <w:szCs w:val="36"/>
          <w:lang w:val="en-US" w:eastAsia="zh-CN"/>
        </w:rPr>
        <w:t xml:space="preserve">28</w:t>
      </w:r>
      <w:r/>
    </w:p>
    <w:p>
      <w:pPr>
        <w:pStyle w:val="730"/>
        <w:ind w:left="2160" w:hanging="1440"/>
        <w:jc w:val="both"/>
        <w:spacing w:beforeAutospacing="0" w:afterAutospacing="0" w:line="480" w:lineRule="auto"/>
        <w:tabs>
          <w:tab w:val="left" w:pos="1441" w:leader="none"/>
        </w:tabs>
        <w:rPr>
          <w:rFonts w:hint="default" w:ascii="宋体" w:hAnsi="宋体" w:eastAsia="宋体" w:cs="宋体"/>
          <w:lang w:val="en-US" w:eastAsia="zh-CN"/>
        </w:rPr>
      </w:pPr>
      <w:r>
        <w:rPr>
          <w:rFonts w:hint="eastAsia" w:ascii="宋体" w:hAnsi="宋体" w:eastAsia="宋体" w:cs="宋体"/>
          <w:sz w:val="36"/>
          <w:szCs w:val="36"/>
        </w:rPr>
        <w:t xml:space="preserve">投标文件格式………………………………</w:t>
      </w:r>
      <w:r>
        <w:rPr>
          <w:rFonts w:hint="eastAsia" w:ascii="宋体" w:hAnsi="宋体" w:eastAsia="宋体" w:cs="宋体"/>
          <w:sz w:val="36"/>
          <w:szCs w:val="36"/>
          <w:lang w:val="en-US" w:eastAsia="zh-CN"/>
        </w:rPr>
        <w:t xml:space="preserve">32</w:t>
      </w:r>
      <w:r/>
    </w:p>
    <w:p>
      <w:pPr>
        <w:pStyle w:val="730"/>
        <w:jc w:val="both"/>
        <w:spacing w:beforeAutospacing="0" w:afterAutospacing="0"/>
      </w:pPr>
      <w:r>
        <w:t xml:space="preserve"> </w:t>
      </w:r>
      <w:r/>
    </w:p>
    <w:p>
      <w:pPr>
        <w:pStyle w:val="730"/>
        <w:jc w:val="both"/>
        <w:spacing w:beforeAutospacing="0" w:afterAutospacing="0"/>
      </w:pPr>
      <w:r>
        <w:t xml:space="preserve"> </w:t>
      </w:r>
      <w:r/>
    </w:p>
    <w:p>
      <w:pPr>
        <w:pStyle w:val="730"/>
        <w:jc w:val="both"/>
        <w:spacing w:beforeAutospacing="0" w:afterAutospacing="0"/>
      </w:pPr>
      <w:r>
        <w:t xml:space="preserve"> </w:t>
      </w:r>
      <w:r/>
    </w:p>
    <w:p>
      <w:pPr>
        <w:pStyle w:val="730"/>
        <w:jc w:val="both"/>
        <w:spacing w:beforeAutospacing="0" w:afterAutospacing="0"/>
      </w:pPr>
      <w:r>
        <w:t xml:space="preserve"> </w:t>
      </w:r>
      <w:r/>
    </w:p>
    <w:p>
      <w:pPr>
        <w:pStyle w:val="730"/>
        <w:jc w:val="both"/>
        <w:spacing w:beforeAutospacing="0" w:afterAutospacing="0"/>
      </w:pPr>
      <w:r>
        <w:t xml:space="preserve"> </w:t>
      </w:r>
      <w:r/>
    </w:p>
    <w:p>
      <w:pPr>
        <w:pStyle w:val="730"/>
        <w:jc w:val="both"/>
        <w:spacing w:beforeAutospacing="0" w:afterAutospacing="0"/>
      </w:pPr>
      <w:r>
        <w:t xml:space="preserve"> </w:t>
      </w:r>
      <w:r/>
    </w:p>
    <w:p>
      <w:pPr>
        <w:pStyle w:val="730"/>
        <w:jc w:val="both"/>
        <w:spacing w:beforeAutospacing="0" w:afterAutospacing="0"/>
      </w:pPr>
      <w:r>
        <w:t xml:space="preserve"> </w:t>
      </w:r>
      <w:r/>
    </w:p>
    <w:p>
      <w:pPr>
        <w:pStyle w:val="730"/>
        <w:jc w:val="both"/>
        <w:spacing w:beforeAutospacing="0" w:afterAutospacing="0"/>
      </w:pPr>
      <w:r>
        <w:t xml:space="preserve"> </w:t>
      </w:r>
      <w:r/>
    </w:p>
    <w:p>
      <w:pPr>
        <w:pStyle w:val="730"/>
        <w:jc w:val="both"/>
        <w:spacing w:beforeAutospacing="0" w:afterAutospacing="0"/>
      </w:pPr>
      <w:r>
        <w:t xml:space="preserve"> </w:t>
      </w:r>
      <w:r/>
    </w:p>
    <w:p>
      <w:pPr>
        <w:pStyle w:val="730"/>
        <w:jc w:val="both"/>
        <w:spacing w:beforeAutospacing="0" w:afterAutospacing="0"/>
      </w:pPr>
      <w:r>
        <w:t xml:space="preserve"> </w:t>
      </w:r>
      <w:r/>
    </w:p>
    <w:p>
      <w:pPr>
        <w:pStyle w:val="730"/>
        <w:jc w:val="both"/>
        <w:spacing w:beforeAutospacing="0" w:afterAutospacing="0"/>
      </w:pPr>
      <w:r>
        <w:t xml:space="preserve"> </w:t>
      </w:r>
      <w:r/>
    </w:p>
    <w:p>
      <w:pPr>
        <w:pStyle w:val="730"/>
        <w:jc w:val="both"/>
        <w:spacing w:beforeAutospacing="0" w:afterAutospacing="0"/>
      </w:pPr>
      <w:r>
        <w:t xml:space="preserve"> </w:t>
      </w:r>
      <w:r/>
    </w:p>
    <w:p>
      <w:pPr>
        <w:pStyle w:val="730"/>
        <w:jc w:val="both"/>
        <w:spacing w:beforeAutospacing="0" w:afterAutospacing="0"/>
      </w:pPr>
      <w:r>
        <w:t xml:space="preserve"> </w:t>
      </w:r>
      <w:r/>
    </w:p>
    <w:p>
      <w:pPr>
        <w:pStyle w:val="730"/>
        <w:jc w:val="both"/>
        <w:spacing w:beforeAutospacing="0" w:afterAutospacing="0"/>
      </w:pPr>
      <w:r>
        <w:t xml:space="preserve"> </w:t>
      </w:r>
      <w:r/>
    </w:p>
    <w:p>
      <w:pPr>
        <w:pStyle w:val="730"/>
        <w:jc w:val="both"/>
        <w:spacing w:beforeAutospacing="0" w:afterAutospacing="0"/>
      </w:pPr>
      <w:r>
        <w:t xml:space="preserve"> </w:t>
      </w:r>
      <w:r/>
    </w:p>
    <w:p>
      <w:pPr>
        <w:pStyle w:val="730"/>
        <w:jc w:val="both"/>
        <w:spacing w:beforeAutospacing="0" w:afterAutospacing="0"/>
      </w:pPr>
      <w:r>
        <w:t xml:space="preserve"> </w:t>
      </w:r>
      <w:r/>
    </w:p>
    <w:p>
      <w:pPr>
        <w:pStyle w:val="730"/>
        <w:jc w:val="both"/>
        <w:spacing w:beforeAutospacing="0" w:afterAutospacing="0"/>
      </w:pPr>
      <w:r>
        <w:t xml:space="preserve"> </w:t>
      </w:r>
      <w:r/>
    </w:p>
    <w:p>
      <w:pPr>
        <w:pStyle w:val="730"/>
        <w:jc w:val="both"/>
        <w:spacing w:beforeAutospacing="0" w:afterAutospacing="0"/>
      </w:pPr>
      <w:r>
        <w:t xml:space="preserve"> </w:t>
      </w:r>
      <w:r/>
    </w:p>
    <w:p>
      <w:pPr>
        <w:pStyle w:val="730"/>
        <w:jc w:val="center"/>
        <w:spacing w:beforeAutospacing="0" w:afterAutospacing="0"/>
        <w:rPr>
          <w:rFonts w:hint="default" w:cs="Times New Roman" w:asciiTheme="minorHAnsi" w:hAnsiTheme="minorHAnsi" w:eastAsiaTheme="minorEastAsia"/>
          <w:b w:val="0"/>
          <w:bCs w:val="0"/>
          <w:sz w:val="44"/>
          <w:szCs w:val="44"/>
        </w:rPr>
        <w:sectPr>
          <w:footerReference w:type="default" r:id="rId9"/>
          <w:footnotePr/>
          <w:endnotePr/>
          <w:type w:val="nextPage"/>
          <w:pgSz w:w="11906" w:h="16838" w:orient="portrait"/>
          <w:pgMar w:top="1134" w:right="1134" w:bottom="1134" w:left="1134" w:header="851" w:footer="992" w:gutter="0"/>
          <w:pgNumType w:start="1"/>
          <w:cols w:num="1" w:sep="0" w:space="425" w:equalWidth="1"/>
          <w:docGrid w:linePitch="360"/>
        </w:sectPr>
      </w:pPr>
      <w:r>
        <w:rPr>
          <w:rFonts w:hint="default" w:cs="Times New Roman" w:asciiTheme="minorHAnsi" w:hAnsiTheme="minorHAnsi" w:eastAsiaTheme="minorEastAsia"/>
          <w:b w:val="0"/>
          <w:bCs w:val="0"/>
          <w:sz w:val="44"/>
          <w:szCs w:val="44"/>
        </w:rPr>
      </w:r>
      <w:r/>
    </w:p>
    <w:p>
      <w:pPr>
        <w:pStyle w:val="730"/>
        <w:jc w:val="center"/>
        <w:spacing w:beforeAutospacing="0" w:afterAutospacing="0"/>
        <w:rPr>
          <w:sz w:val="44"/>
          <w:szCs w:val="44"/>
        </w:rPr>
      </w:pPr>
      <w:r>
        <w:rPr>
          <w:rFonts w:hint="default" w:cs="Times New Roman" w:asciiTheme="minorHAnsi" w:hAnsiTheme="minorHAnsi" w:eastAsiaTheme="minorEastAsia"/>
          <w:b w:val="0"/>
          <w:bCs w:val="0"/>
          <w:sz w:val="44"/>
          <w:szCs w:val="44"/>
        </w:rPr>
        <w:t xml:space="preserve">第一章 招标公告</w:t>
      </w:r>
      <w:r/>
    </w:p>
    <w:p>
      <w:pPr>
        <w:pStyle w:val="730"/>
        <w:ind w:firstLine="480"/>
        <w:jc w:val="both"/>
        <w:spacing w:beforeAutospacing="0" w:afterAutospacing="0" w:line="470" w:lineRule="exact"/>
        <w:rPr>
          <w:rFonts w:hint="eastAsia"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rPr>
        <w:t xml:space="preserve">项目概况</w:t>
      </w:r>
      <w:r/>
    </w:p>
    <w:p>
      <w:pPr>
        <w:pStyle w:val="730"/>
        <w:ind w:firstLine="480"/>
        <w:jc w:val="both"/>
        <w:spacing w:beforeAutospacing="0" w:afterAutospacing="0" w:line="470" w:lineRule="exact"/>
        <w:rPr>
          <w:rFonts w:hint="eastAsia"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u w:val="single"/>
        </w:rPr>
        <w:t xml:space="preserve">射阳县妇幼保健院追溯码上传等信息化采购项目</w:t>
      </w:r>
      <w:r>
        <w:rPr>
          <w:rFonts w:hint="eastAsia" w:ascii="宋体" w:hAnsi="宋体" w:eastAsia="宋体" w:cs="宋体"/>
        </w:rPr>
        <w:t xml:space="preserve">招标项目的潜在投标人可在“苏采云”系统内免费下载（投标人必须在苏采云系统中获取采购文件，方能参与政府采购项目），并于</w:t>
      </w:r>
      <w:r>
        <w:rPr>
          <w:rFonts w:hint="eastAsia" w:ascii="宋体" w:hAnsi="宋体" w:eastAsia="宋体" w:cs="宋体"/>
          <w:u w:val="single"/>
        </w:rPr>
        <w:t xml:space="preserve">2</w:t>
      </w:r>
      <w:r>
        <w:rPr>
          <w:rFonts w:hint="eastAsia" w:ascii="宋体" w:hAnsi="宋体" w:eastAsia="宋体" w:cs="宋体"/>
          <w:highlight w:val="none"/>
          <w:u w:val="single"/>
        </w:rPr>
        <w:t xml:space="preserve">02</w:t>
      </w:r>
      <w:r>
        <w:rPr>
          <w:rFonts w:hint="eastAsia" w:ascii="宋体" w:hAnsi="宋体" w:eastAsia="宋体" w:cs="宋体"/>
          <w:highlight w:val="none"/>
          <w:u w:val="single"/>
          <w:lang w:val="en-US" w:eastAsia="zh-CN"/>
        </w:rPr>
        <w:t xml:space="preserve">6</w:t>
      </w:r>
      <w:r>
        <w:rPr>
          <w:rFonts w:hint="eastAsia" w:ascii="宋体" w:hAnsi="宋体" w:eastAsia="宋体" w:cs="宋体"/>
          <w:highlight w:val="none"/>
          <w:u w:val="single"/>
        </w:rPr>
        <w:t xml:space="preserve">年</w:t>
      </w:r>
      <w:r>
        <w:rPr>
          <w:rFonts w:hint="eastAsia" w:ascii="宋体" w:hAnsi="宋体" w:eastAsia="宋体" w:cs="宋体"/>
          <w:highlight w:val="none"/>
          <w:u w:val="single"/>
          <w:lang w:val="en-US" w:eastAsia="zh-CN"/>
        </w:rPr>
        <w:t xml:space="preserve">5</w:t>
      </w:r>
      <w:r>
        <w:rPr>
          <w:rFonts w:hint="eastAsia" w:ascii="宋体" w:hAnsi="宋体" w:eastAsia="宋体" w:cs="宋体"/>
          <w:highlight w:val="none"/>
          <w:u w:val="single"/>
        </w:rPr>
        <w:t xml:space="preserve">月</w:t>
      </w:r>
      <w:r>
        <w:rPr>
          <w:rFonts w:hint="eastAsia" w:ascii="宋体" w:hAnsi="宋体" w:eastAsia="宋体" w:cs="宋体"/>
          <w:highlight w:val="none"/>
          <w:u w:val="single"/>
          <w:lang w:val="en-US" w:eastAsia="zh-CN"/>
        </w:rPr>
        <w:t xml:space="preserve">14</w:t>
      </w:r>
      <w:r>
        <w:rPr>
          <w:rFonts w:hint="eastAsia" w:ascii="宋体" w:hAnsi="宋体" w:eastAsia="宋体" w:cs="宋体"/>
          <w:highlight w:val="none"/>
          <w:u w:val="single"/>
        </w:rPr>
        <w:t xml:space="preserve">日09点00分</w:t>
      </w:r>
      <w:r>
        <w:rPr>
          <w:rFonts w:hint="eastAsia" w:ascii="宋体" w:hAnsi="宋体" w:eastAsia="宋体" w:cs="宋体"/>
          <w:u w:val="single"/>
        </w:rPr>
        <w:t xml:space="preserve">（</w:t>
      </w:r>
      <w:r>
        <w:rPr>
          <w:rFonts w:hint="eastAsia" w:ascii="宋体" w:hAnsi="宋体" w:eastAsia="宋体" w:cs="宋体"/>
        </w:rPr>
        <w:t xml:space="preserve">北京时间）前递交投标文件。</w:t>
      </w:r>
      <w:r/>
    </w:p>
    <w:p>
      <w:pPr>
        <w:pStyle w:val="730"/>
        <w:ind w:firstLine="498"/>
        <w:jc w:val="both"/>
        <w:keepLines/>
        <w:keepNext/>
        <w:spacing w:before="145" w:beforeAutospacing="0" w:after="145" w:afterAutospacing="0" w:line="470" w:lineRule="exact"/>
        <w:rPr>
          <w:rFonts w:hint="eastAsia" w:ascii="宋体" w:hAnsi="宋体" w:eastAsia="宋体" w:cs="宋体"/>
        </w:rPr>
        <w:outlineLvl w:val="0"/>
      </w:pPr>
      <w:r/>
      <w:bookmarkStart w:id="6" w:name="_Toc28359079"/>
      <w:r/>
      <w:bookmarkStart w:id="7" w:name="_Toc35393621"/>
      <w:r/>
      <w:bookmarkStart w:id="8" w:name="_Toc38985263"/>
      <w:r/>
      <w:bookmarkStart w:id="9" w:name="_Hlk24379207"/>
      <w:r/>
      <w:bookmarkStart w:id="10" w:name="_Toc35393790"/>
      <w:r/>
      <w:bookmarkStart w:id="11" w:name="_Toc28359002"/>
      <w:r>
        <w:rPr>
          <w:rFonts w:hint="eastAsia" w:ascii="宋体" w:hAnsi="宋体" w:eastAsia="宋体" w:cs="宋体"/>
          <w:b/>
        </w:rPr>
        <w:t xml:space="preserve">一、项目基本情况</w:t>
      </w:r>
      <w:bookmarkEnd w:id="6"/>
      <w:r/>
      <w:bookmarkEnd w:id="7"/>
      <w:r/>
      <w:bookmarkEnd w:id="8"/>
      <w:r/>
      <w:bookmarkEnd w:id="9"/>
      <w:r/>
      <w:bookmarkEnd w:id="10"/>
      <w:r/>
      <w:bookmarkEnd w:id="11"/>
      <w:r/>
      <w:r/>
    </w:p>
    <w:p>
      <w:pPr>
        <w:pStyle w:val="730"/>
        <w:ind w:firstLine="480"/>
        <w:jc w:val="both"/>
        <w:spacing w:beforeAutospacing="0" w:afterAutospacing="0" w:line="470" w:lineRule="exact"/>
        <w:rPr>
          <w:rFonts w:hint="eastAsia" w:ascii="宋体" w:hAnsi="宋体" w:eastAsia="宋体" w:cs="宋体"/>
          <w:highlight w:val="none"/>
        </w:rPr>
      </w:pPr>
      <w:r>
        <w:rPr>
          <w:rFonts w:hint="eastAsia" w:ascii="宋体" w:hAnsi="宋体" w:eastAsia="宋体" w:cs="宋体"/>
        </w:rPr>
        <w:t xml:space="preserve">1.项目编号：</w:t>
      </w:r>
      <w:r>
        <w:rPr>
          <w:rFonts w:hint="eastAsia" w:ascii="宋体" w:hAnsi="宋体" w:eastAsia="宋体" w:cs="宋体"/>
          <w:highlight w:val="none"/>
        </w:rPr>
        <w:t xml:space="preserve">JSZC-320924-JZCG-G2026-0009</w:t>
      </w:r>
      <w:r/>
    </w:p>
    <w:p>
      <w:pPr>
        <w:pStyle w:val="730"/>
        <w:ind w:firstLine="480"/>
        <w:jc w:val="both"/>
        <w:spacing w:beforeAutospacing="0" w:afterAutospacing="0" w:line="470" w:lineRule="exact"/>
        <w:rPr>
          <w:rFonts w:hint="eastAsia" w:ascii="宋体" w:hAnsi="宋体" w:eastAsia="宋体" w:cs="宋体"/>
        </w:rPr>
      </w:pPr>
      <w:r>
        <w:rPr>
          <w:rFonts w:hint="eastAsia" w:ascii="宋体" w:hAnsi="宋体" w:eastAsia="宋体" w:cs="宋体"/>
        </w:rPr>
        <w:t xml:space="preserve">2.项目名称：射阳县妇幼保健院追溯码上传等信息化采购项目</w:t>
      </w:r>
      <w:r/>
    </w:p>
    <w:p>
      <w:pPr>
        <w:pStyle w:val="730"/>
        <w:ind w:firstLine="480"/>
        <w:jc w:val="both"/>
        <w:spacing w:beforeAutospacing="0" w:afterAutospacing="0" w:line="470" w:lineRule="exact"/>
        <w:rPr>
          <w:rFonts w:hint="eastAsia" w:ascii="宋体" w:hAnsi="宋体" w:eastAsia="宋体" w:cs="宋体"/>
        </w:rPr>
      </w:pPr>
      <w:r>
        <w:rPr>
          <w:rFonts w:hint="eastAsia" w:ascii="宋体" w:hAnsi="宋体" w:eastAsia="宋体" w:cs="宋体"/>
          <w:shd w:val="clear" w:color="auto" w:fill="ffffff"/>
        </w:rPr>
        <w:t xml:space="preserve">3.采购方式：公开招标</w:t>
      </w:r>
      <w:r/>
    </w:p>
    <w:p>
      <w:pPr>
        <w:pStyle w:val="730"/>
        <w:ind w:firstLine="480"/>
        <w:jc w:val="both"/>
        <w:spacing w:beforeAutospacing="0" w:afterAutospacing="0" w:line="470" w:lineRule="exact"/>
        <w:rPr>
          <w:rFonts w:hint="eastAsia" w:ascii="宋体" w:hAnsi="宋体" w:eastAsia="宋体" w:cs="宋体"/>
        </w:rPr>
      </w:pPr>
      <w:r>
        <w:rPr>
          <w:rFonts w:hint="eastAsia" w:ascii="宋体" w:hAnsi="宋体" w:eastAsia="宋体" w:cs="宋体"/>
        </w:rPr>
        <w:t xml:space="preserve">4.预算金额：3</w:t>
      </w:r>
      <w:r>
        <w:rPr>
          <w:rFonts w:hint="eastAsia" w:ascii="宋体" w:hAnsi="宋体" w:eastAsia="宋体" w:cs="宋体"/>
          <w:lang w:val="en-US" w:eastAsia="zh-CN"/>
        </w:rPr>
        <w:t xml:space="preserve">3万</w:t>
      </w:r>
      <w:r>
        <w:rPr>
          <w:rFonts w:hint="eastAsia" w:ascii="宋体" w:hAnsi="宋体" w:eastAsia="宋体" w:cs="宋体"/>
        </w:rPr>
        <w:t xml:space="preserve">元</w:t>
      </w:r>
      <w:r/>
    </w:p>
    <w:p>
      <w:pPr>
        <w:pStyle w:val="730"/>
        <w:ind w:firstLine="480"/>
        <w:jc w:val="both"/>
        <w:spacing w:beforeAutospacing="0" w:afterAutospacing="0" w:line="470" w:lineRule="exact"/>
        <w:rPr>
          <w:rFonts w:hint="eastAsia" w:ascii="宋体" w:hAnsi="宋体" w:eastAsia="宋体" w:cs="宋体"/>
        </w:rPr>
      </w:pPr>
      <w:r>
        <w:rPr>
          <w:rFonts w:hint="eastAsia" w:ascii="宋体" w:hAnsi="宋体" w:eastAsia="宋体" w:cs="宋体"/>
        </w:rPr>
        <w:t xml:space="preserve">5.最高限价：3</w:t>
      </w:r>
      <w:r>
        <w:rPr>
          <w:rFonts w:hint="eastAsia" w:ascii="宋体" w:hAnsi="宋体" w:eastAsia="宋体" w:cs="宋体"/>
          <w:lang w:val="en-US" w:eastAsia="zh-CN"/>
        </w:rPr>
        <w:t xml:space="preserve">3</w:t>
      </w:r>
      <w:r>
        <w:rPr>
          <w:rFonts w:hint="eastAsia" w:ascii="宋体" w:hAnsi="宋体" w:eastAsia="宋体" w:cs="宋体"/>
        </w:rPr>
        <w:t xml:space="preserve">万元,本项目投标报价不得超过最高限价，否则作无效投标处理。</w:t>
      </w:r>
      <w:r/>
    </w:p>
    <w:p>
      <w:pPr>
        <w:pStyle w:val="730"/>
        <w:ind w:firstLine="480"/>
        <w:jc w:val="both"/>
        <w:spacing w:beforeAutospacing="0" w:afterAutospacing="0" w:line="470" w:lineRule="exact"/>
        <w:rPr>
          <w:rFonts w:hint="eastAsia" w:ascii="宋体" w:hAnsi="宋体" w:eastAsia="宋体" w:cs="宋体"/>
        </w:rPr>
      </w:pPr>
      <w:r>
        <w:rPr>
          <w:rFonts w:hint="eastAsia" w:ascii="宋体" w:hAnsi="宋体" w:eastAsia="宋体" w:cs="宋体"/>
        </w:rPr>
        <w:t xml:space="preserve">6.评标方法：综合评分法</w:t>
      </w:r>
      <w:r/>
    </w:p>
    <w:p>
      <w:pPr>
        <w:pStyle w:val="730"/>
        <w:ind w:firstLine="480"/>
        <w:jc w:val="both"/>
        <w:spacing w:beforeAutospacing="0" w:afterAutospacing="0" w:line="470" w:lineRule="exact"/>
        <w:rPr>
          <w:rFonts w:hint="eastAsia" w:ascii="宋体" w:hAnsi="宋体" w:eastAsia="宋体" w:cs="宋体"/>
        </w:rPr>
      </w:pPr>
      <w:r>
        <w:rPr>
          <w:rFonts w:hint="eastAsia" w:ascii="宋体" w:hAnsi="宋体" w:eastAsia="宋体" w:cs="宋体"/>
        </w:rPr>
        <w:t xml:space="preserve">7.采购需求（简介）：根据上级主管部门的信息化相关要求，结合我院自身业务发展的实际需求，需要开发追溯码上传、传染病报卡、公卫疫苗接种宣教模块、门急诊诊疗信息页、院内转介等功能模块。具体采购范围及所应达到的具体要求，以招标文件采购需求中的相应规定为准。</w:t>
      </w:r>
      <w:r/>
    </w:p>
    <w:p>
      <w:pPr>
        <w:pStyle w:val="730"/>
        <w:ind w:firstLine="480"/>
        <w:jc w:val="both"/>
        <w:spacing w:beforeAutospacing="0" w:afterAutospacing="0" w:line="470" w:lineRule="exact"/>
        <w:rPr>
          <w:rFonts w:hint="eastAsia" w:ascii="宋体" w:hAnsi="宋体" w:eastAsia="宋体" w:cs="宋体"/>
        </w:rPr>
      </w:pPr>
      <w:r>
        <w:rPr>
          <w:rFonts w:hint="eastAsia" w:ascii="宋体" w:hAnsi="宋体" w:eastAsia="宋体" w:cs="宋体"/>
        </w:rPr>
        <w:t xml:space="preserve">8.合同履行期限：合同签订后，</w:t>
      </w:r>
      <w:r>
        <w:rPr>
          <w:rFonts w:hint="eastAsia" w:ascii="宋体" w:hAnsi="宋体" w:eastAsia="宋体" w:cs="宋体"/>
          <w:lang w:val="en-US" w:eastAsia="zh-CN"/>
        </w:rPr>
        <w:t xml:space="preserve">9</w:t>
      </w:r>
      <w:r>
        <w:rPr>
          <w:rFonts w:hint="eastAsia" w:ascii="宋体" w:hAnsi="宋体" w:eastAsia="宋体" w:cs="宋体"/>
        </w:rPr>
        <w:t xml:space="preserve">0天内完成。</w:t>
      </w:r>
      <w:r/>
    </w:p>
    <w:p>
      <w:pPr>
        <w:pStyle w:val="730"/>
        <w:ind w:firstLine="480"/>
        <w:jc w:val="both"/>
        <w:spacing w:beforeAutospacing="0" w:afterAutospacing="0" w:line="470" w:lineRule="exact"/>
        <w:rPr>
          <w:rFonts w:hint="eastAsia" w:ascii="宋体" w:hAnsi="宋体" w:eastAsia="宋体" w:cs="宋体"/>
        </w:rPr>
      </w:pPr>
      <w:r>
        <w:rPr>
          <w:rFonts w:hint="eastAsia" w:ascii="宋体" w:hAnsi="宋体" w:eastAsia="宋体" w:cs="宋体"/>
        </w:rPr>
        <w:t xml:space="preserve">9.履约地点：射阳县妇幼保健院指定地点。</w:t>
      </w:r>
      <w:r/>
    </w:p>
    <w:p>
      <w:pPr>
        <w:pStyle w:val="730"/>
        <w:ind w:firstLine="480"/>
        <w:jc w:val="both"/>
        <w:spacing w:beforeAutospacing="0" w:afterAutospacing="0" w:line="470" w:lineRule="exact"/>
        <w:rPr>
          <w:rFonts w:hint="eastAsia" w:ascii="宋体" w:hAnsi="宋体" w:eastAsia="宋体" w:cs="宋体"/>
        </w:rPr>
      </w:pPr>
      <w:r>
        <w:rPr>
          <w:rFonts w:hint="eastAsia" w:ascii="宋体" w:hAnsi="宋体" w:eastAsia="宋体" w:cs="宋体"/>
        </w:rPr>
        <w:t xml:space="preserve">10.本项目不接受联合体参与招标。</w:t>
      </w:r>
      <w:r/>
    </w:p>
    <w:p>
      <w:pPr>
        <w:pStyle w:val="730"/>
        <w:ind w:firstLine="498"/>
        <w:jc w:val="both"/>
        <w:keepLines/>
        <w:keepNext/>
        <w:spacing w:before="145" w:beforeAutospacing="0" w:after="145" w:afterAutospacing="0" w:line="470" w:lineRule="exact"/>
        <w:rPr>
          <w:rFonts w:hint="eastAsia" w:ascii="宋体" w:hAnsi="宋体" w:eastAsia="宋体" w:cs="宋体"/>
        </w:rPr>
        <w:outlineLvl w:val="0"/>
      </w:pPr>
      <w:r/>
      <w:bookmarkStart w:id="12" w:name="_Toc35393622"/>
      <w:r/>
      <w:bookmarkStart w:id="13" w:name="_Toc28359003"/>
      <w:r/>
      <w:bookmarkStart w:id="14" w:name="_Toc35393791"/>
      <w:r/>
      <w:bookmarkStart w:id="15" w:name="_Toc38985264"/>
      <w:r/>
      <w:bookmarkStart w:id="16" w:name="_Toc28359080"/>
      <w:r>
        <w:rPr>
          <w:rFonts w:hint="eastAsia" w:ascii="宋体" w:hAnsi="宋体" w:eastAsia="宋体" w:cs="宋体"/>
          <w:b/>
        </w:rPr>
        <w:t xml:space="preserve">二、申请人的资格要求：</w:t>
      </w:r>
      <w:bookmarkEnd w:id="12"/>
      <w:r/>
      <w:bookmarkEnd w:id="13"/>
      <w:r/>
      <w:bookmarkEnd w:id="14"/>
      <w:r/>
      <w:bookmarkEnd w:id="15"/>
      <w:r/>
      <w:bookmarkEnd w:id="16"/>
      <w:r/>
      <w:r/>
    </w:p>
    <w:p>
      <w:pPr>
        <w:pStyle w:val="730"/>
        <w:ind w:firstLine="480"/>
        <w:jc w:val="both"/>
        <w:spacing w:beforeAutospacing="0" w:afterAutospacing="0" w:line="470" w:lineRule="exact"/>
        <w:rPr>
          <w:rFonts w:hint="eastAsia" w:ascii="宋体" w:hAnsi="宋体" w:eastAsia="宋体" w:cs="宋体"/>
        </w:rPr>
      </w:pPr>
      <w:r>
        <w:rPr>
          <w:rFonts w:hint="eastAsia" w:ascii="宋体" w:hAnsi="宋体" w:eastAsia="宋体" w:cs="宋体"/>
        </w:rPr>
        <w:t xml:space="preserve">1.满足《中华人民共和国政府采购法》第二十二条规定，并提供下列材料：</w:t>
      </w:r>
      <w:r/>
    </w:p>
    <w:p>
      <w:pPr>
        <w:pStyle w:val="730"/>
        <w:ind w:firstLine="480"/>
        <w:jc w:val="both"/>
        <w:spacing w:beforeAutospacing="0" w:afterAutospacing="0" w:line="470" w:lineRule="exact"/>
        <w:rPr>
          <w:rFonts w:hint="eastAsia" w:ascii="宋体" w:hAnsi="宋体" w:eastAsia="宋体" w:cs="宋体"/>
        </w:rPr>
      </w:pPr>
      <w:r>
        <w:rPr>
          <w:rFonts w:hint="eastAsia" w:ascii="宋体" w:hAnsi="宋体" w:eastAsia="宋体" w:cs="宋体"/>
        </w:rPr>
        <w:t xml:space="preserve">1.1 法人或者其他组织的营业执照等证明文件，自然人的身份证明；</w:t>
      </w:r>
      <w:r/>
    </w:p>
    <w:p>
      <w:pPr>
        <w:pStyle w:val="730"/>
        <w:ind w:firstLine="480"/>
        <w:jc w:val="both"/>
        <w:spacing w:beforeAutospacing="0" w:afterAutospacing="0" w:line="470" w:lineRule="exact"/>
        <w:rPr>
          <w:rFonts w:hint="eastAsia" w:ascii="宋体" w:hAnsi="宋体" w:eastAsia="宋体" w:cs="宋体"/>
        </w:rPr>
      </w:pPr>
      <w:r>
        <w:rPr>
          <w:rFonts w:hint="eastAsia" w:ascii="宋体" w:hAnsi="宋体" w:eastAsia="宋体" w:cs="宋体"/>
        </w:rPr>
        <w:t xml:space="preserve">1.2上一年度的财务状况报表（成立不满一年无需提供）；</w:t>
      </w:r>
      <w:r/>
    </w:p>
    <w:p>
      <w:pPr>
        <w:pStyle w:val="730"/>
        <w:ind w:firstLine="480"/>
        <w:jc w:val="both"/>
        <w:spacing w:beforeAutospacing="0" w:afterAutospacing="0" w:line="470" w:lineRule="exact"/>
        <w:rPr>
          <w:rFonts w:hint="eastAsia" w:ascii="宋体" w:hAnsi="宋体" w:eastAsia="宋体" w:cs="宋体"/>
        </w:rPr>
      </w:pPr>
      <w:r>
        <w:rPr>
          <w:rFonts w:hint="eastAsia" w:ascii="宋体" w:hAnsi="宋体" w:eastAsia="宋体" w:cs="宋体"/>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730"/>
        <w:ind w:firstLine="480"/>
        <w:jc w:val="both"/>
        <w:spacing w:beforeAutospacing="0" w:afterAutospacing="0" w:line="470" w:lineRule="exact"/>
        <w:rPr>
          <w:rFonts w:hint="eastAsia" w:ascii="宋体" w:hAnsi="宋体" w:eastAsia="宋体" w:cs="宋体"/>
        </w:rPr>
      </w:pPr>
      <w:r>
        <w:rPr>
          <w:rFonts w:hint="eastAsia" w:ascii="宋体" w:hAnsi="宋体" w:eastAsia="宋体" w:cs="宋体"/>
        </w:rPr>
        <w:t xml:space="preserve">1.4具备履行合同所必需的设备和专业技术能力的书面声明；</w:t>
      </w:r>
      <w:r/>
    </w:p>
    <w:p>
      <w:pPr>
        <w:pStyle w:val="730"/>
        <w:ind w:firstLine="480"/>
        <w:jc w:val="both"/>
        <w:spacing w:beforeAutospacing="0" w:afterAutospacing="0" w:line="470" w:lineRule="exact"/>
        <w:rPr>
          <w:rFonts w:hint="eastAsia" w:ascii="宋体" w:hAnsi="宋体" w:eastAsia="宋体" w:cs="宋体"/>
          <w:lang w:eastAsia="zh-CN"/>
        </w:rPr>
      </w:pPr>
      <w:r>
        <w:rPr>
          <w:rFonts w:hint="eastAsia" w:ascii="宋体" w:hAnsi="宋体" w:eastAsia="宋体" w:cs="宋体"/>
        </w:rPr>
        <w:t xml:space="preserve">1.5参加政府采购活动前3年内在经营活动中没有重大违法记录的书面声明</w:t>
      </w:r>
      <w:r>
        <w:rPr>
          <w:rFonts w:hint="eastAsia" w:ascii="宋体" w:hAnsi="宋体" w:eastAsia="宋体" w:cs="宋体"/>
          <w:lang w:eastAsia="zh-CN"/>
        </w:rPr>
        <w:t xml:space="preserve">；</w:t>
      </w:r>
      <w:r/>
    </w:p>
    <w:p>
      <w:pPr>
        <w:pStyle w:val="730"/>
        <w:ind w:firstLine="480"/>
        <w:jc w:val="both"/>
        <w:spacing w:beforeAutospacing="0" w:afterAutospacing="0" w:line="470" w:lineRule="exact"/>
        <w:rPr>
          <w:rFonts w:hint="eastAsia" w:ascii="宋体" w:hAnsi="宋体" w:eastAsia="宋体" w:cs="宋体"/>
          <w:lang w:eastAsia="zh-CN"/>
        </w:rPr>
      </w:pPr>
      <w:r>
        <w:rPr>
          <w:rFonts w:hint="eastAsia" w:ascii="宋体" w:hAnsi="宋体" w:eastAsia="宋体" w:cs="宋体"/>
        </w:rPr>
        <w:t xml:space="preserve">1.6法律、行政法规规定的其他条件</w:t>
      </w:r>
      <w:r>
        <w:rPr>
          <w:rFonts w:hint="eastAsia" w:ascii="宋体" w:hAnsi="宋体" w:eastAsia="宋体" w:cs="宋体"/>
          <w:lang w:eastAsia="zh-CN"/>
        </w:rPr>
        <w:t xml:space="preserve">；</w:t>
      </w:r>
      <w:r/>
    </w:p>
    <w:p>
      <w:pPr>
        <w:pStyle w:val="730"/>
        <w:ind w:firstLine="480"/>
        <w:jc w:val="both"/>
        <w:spacing w:beforeAutospacing="0" w:afterAutospacing="0" w:line="470" w:lineRule="exact"/>
        <w:rPr>
          <w:rFonts w:hint="eastAsia" w:ascii="宋体" w:hAnsi="宋体" w:eastAsia="宋体" w:cs="宋体"/>
          <w:lang w:eastAsia="zh-CN"/>
        </w:rPr>
      </w:pPr>
      <w:r>
        <w:rPr>
          <w:rFonts w:hint="eastAsia" w:ascii="宋体" w:hAnsi="宋体" w:eastAsia="宋体" w:cs="宋体"/>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宋体" w:hAnsi="宋体" w:eastAsia="宋体" w:cs="宋体"/>
          <w:lang w:eastAsia="zh-CN"/>
        </w:rPr>
        <w:t xml:space="preserve">；</w:t>
      </w:r>
      <w:r/>
    </w:p>
    <w:p>
      <w:pPr>
        <w:pStyle w:val="730"/>
        <w:ind w:firstLine="480"/>
        <w:jc w:val="both"/>
        <w:spacing w:beforeAutospacing="0" w:afterAutospacing="0" w:line="470" w:lineRule="exact"/>
        <w:rPr>
          <w:rFonts w:hint="eastAsia" w:ascii="宋体" w:hAnsi="宋体" w:eastAsia="宋体" w:cs="宋体"/>
        </w:rPr>
      </w:pPr>
      <w:r>
        <w:rPr>
          <w:rFonts w:hint="eastAsia" w:ascii="宋体" w:hAnsi="宋体" w:eastAsia="宋体" w:cs="宋体"/>
        </w:rPr>
        <w:t xml:space="preserve">1.8单位负责人为同一人或者存在直接控股、管理关系的不同供应商，不得参加同一合同项下的政府采购活动。</w:t>
      </w:r>
      <w:r/>
    </w:p>
    <w:p>
      <w:pPr>
        <w:pStyle w:val="730"/>
        <w:ind w:firstLine="480"/>
        <w:jc w:val="both"/>
        <w:spacing w:beforeAutospacing="0" w:afterAutospacing="0" w:line="470" w:lineRule="exact"/>
        <w:shd w:val="clear" w:color="auto" w:fill="ffffff"/>
        <w:widowControl/>
        <w:rPr>
          <w:rFonts w:hint="eastAsia" w:ascii="宋体" w:hAnsi="宋体" w:eastAsia="宋体" w:cs="宋体"/>
          <w:highlight w:val="none"/>
        </w:rPr>
      </w:pPr>
      <w:r>
        <w:rPr>
          <w:rFonts w:hint="eastAsia" w:ascii="宋体" w:hAnsi="宋体" w:eastAsia="宋体" w:cs="宋体"/>
        </w:rPr>
        <w:t xml:space="preserve">2.落实政府采购政策需满足的资格要求：本项目为非预留份额的采购项目或采购包，执行价格扣除优惠政策，给予小微型企业、监狱企业或残疾人福利性单位报价给予20%的扣除，用扣除后的价格参加评审。价格扣除比例对小型企业和微型企业同等对待，不作区分。监狱企业、残疾人福利单位属于小型、微型企业的，不重复享受政策。供应商应提供小微企业申明函、监狱企业、残疾人福利性单位。本项目属于</w:t>
      </w:r>
      <w:r>
        <w:rPr>
          <w:rFonts w:hint="eastAsia" w:ascii="宋体" w:hAnsi="宋体" w:eastAsia="宋体" w:cs="宋体"/>
          <w:lang w:val="en-US" w:eastAsia="zh-CN"/>
        </w:rPr>
        <w:t xml:space="preserve">服务</w:t>
      </w:r>
      <w:r>
        <w:rPr>
          <w:rFonts w:hint="eastAsia" w:ascii="宋体" w:hAnsi="宋体" w:eastAsia="宋体" w:cs="宋体"/>
        </w:rPr>
        <w:t xml:space="preserve">类采购项目，</w:t>
      </w:r>
      <w:r>
        <w:rPr>
          <w:rFonts w:hint="eastAsia" w:ascii="宋体" w:hAnsi="宋体" w:eastAsia="宋体" w:cs="宋体"/>
          <w:highlight w:val="none"/>
        </w:rPr>
        <w:t xml:space="preserve">所属行业为：软件和信息技术服务业。</w:t>
      </w:r>
      <w:r/>
    </w:p>
    <w:p>
      <w:pPr>
        <w:pStyle w:val="730"/>
        <w:ind w:firstLine="560"/>
        <w:jc w:val="both"/>
        <w:spacing w:beforeAutospacing="0" w:afterAutospacing="0" w:line="470" w:lineRule="exact"/>
        <w:shd w:val="clear" w:color="auto" w:fill="ffffff"/>
        <w:widowControl/>
        <w:rPr>
          <w:rFonts w:hint="eastAsia" w:ascii="宋体" w:hAnsi="宋体" w:eastAsia="宋体" w:cs="宋体"/>
        </w:rPr>
      </w:pPr>
      <w:r>
        <w:rPr>
          <w:rFonts w:hint="eastAsia" w:ascii="宋体" w:hAnsi="宋体" w:eastAsia="宋体" w:cs="宋体"/>
        </w:rPr>
        <w:t xml:space="preserve">3.本项目的特定资格要求：无。</w:t>
      </w:r>
      <w:r/>
    </w:p>
    <w:p>
      <w:pPr>
        <w:pStyle w:val="730"/>
        <w:ind w:firstLine="498"/>
        <w:jc w:val="both"/>
        <w:keepLines/>
        <w:keepNext/>
        <w:spacing w:before="145" w:beforeAutospacing="0" w:after="145" w:afterAutospacing="0" w:line="470" w:lineRule="exact"/>
        <w:rPr>
          <w:rFonts w:hint="eastAsia" w:ascii="宋体" w:hAnsi="宋体" w:eastAsia="宋体" w:cs="宋体"/>
        </w:rPr>
        <w:outlineLvl w:val="0"/>
      </w:pPr>
      <w:r>
        <w:rPr>
          <w:rFonts w:hint="eastAsia" w:ascii="宋体" w:hAnsi="宋体" w:eastAsia="宋体" w:cs="宋体"/>
          <w:b/>
        </w:rPr>
        <w:t xml:space="preserve">三、获取招标文件</w:t>
      </w:r>
      <w:r/>
    </w:p>
    <w:p>
      <w:pPr>
        <w:pStyle w:val="730"/>
        <w:ind w:firstLine="480"/>
        <w:jc w:val="both"/>
        <w:spacing w:beforeAutospacing="0" w:afterAutospacing="0" w:line="470" w:lineRule="exact"/>
        <w:rPr>
          <w:rFonts w:hint="eastAsia" w:ascii="宋体" w:hAnsi="宋体" w:eastAsia="宋体" w:cs="宋体"/>
        </w:rPr>
      </w:pPr>
      <w:r/>
      <w:bookmarkStart w:id="17" w:name="_Toc35393793"/>
      <w:r/>
      <w:bookmarkStart w:id="18" w:name="_Toc35393624"/>
      <w:r/>
      <w:bookmarkStart w:id="19" w:name="_Toc28359005"/>
      <w:r/>
      <w:bookmarkStart w:id="20" w:name="_Toc38985266"/>
      <w:r/>
      <w:bookmarkStart w:id="21" w:name="_Toc28359082"/>
      <w:r>
        <w:rPr>
          <w:rFonts w:hint="eastAsia" w:ascii="宋体" w:hAnsi="宋体" w:eastAsia="宋体" w:cs="宋体"/>
        </w:rPr>
        <w:t xml:space="preserve">1.时间：</w:t>
      </w:r>
      <w:bookmarkEnd w:id="17"/>
      <w:r/>
      <w:bookmarkEnd w:id="18"/>
      <w:r/>
      <w:bookmarkEnd w:id="19"/>
      <w:r/>
      <w:bookmarkEnd w:id="20"/>
      <w:r/>
      <w:bookmarkEnd w:id="21"/>
      <w:r>
        <w:rPr>
          <w:rFonts w:hint="eastAsia" w:ascii="宋体" w:hAnsi="宋体" w:eastAsia="宋体" w:cs="宋体"/>
          <w:highlight w:val="none"/>
        </w:rPr>
        <w:t xml:space="preserve">202</w:t>
      </w:r>
      <w:r>
        <w:rPr>
          <w:rFonts w:hint="eastAsia" w:ascii="宋体" w:hAnsi="宋体" w:eastAsia="宋体" w:cs="宋体"/>
          <w:highlight w:val="none"/>
          <w:lang w:val="en-US" w:eastAsia="zh-CN"/>
        </w:rPr>
        <w:t xml:space="preserve">6</w:t>
      </w:r>
      <w:r>
        <w:rPr>
          <w:rFonts w:hint="eastAsia" w:ascii="宋体" w:hAnsi="宋体" w:eastAsia="宋体" w:cs="宋体"/>
          <w:highlight w:val="none"/>
        </w:rPr>
        <w:t xml:space="preserve">年</w:t>
      </w:r>
      <w:r>
        <w:rPr>
          <w:rFonts w:hint="eastAsia" w:ascii="宋体" w:hAnsi="宋体" w:eastAsia="宋体" w:cs="宋体"/>
          <w:highlight w:val="none"/>
          <w:lang w:val="en-US" w:eastAsia="zh-CN"/>
        </w:rPr>
        <w:t xml:space="preserve">4</w:t>
      </w:r>
      <w:r>
        <w:rPr>
          <w:rFonts w:hint="eastAsia" w:ascii="宋体" w:hAnsi="宋体" w:eastAsia="宋体" w:cs="宋体"/>
          <w:highlight w:val="none"/>
        </w:rPr>
        <w:t xml:space="preserve">月</w:t>
      </w:r>
      <w:r>
        <w:rPr>
          <w:rFonts w:hint="eastAsia" w:ascii="宋体" w:hAnsi="宋体" w:eastAsia="宋体" w:cs="宋体"/>
          <w:highlight w:val="none"/>
          <w:lang w:val="en-US" w:eastAsia="zh-CN"/>
        </w:rPr>
        <w:t xml:space="preserve">23</w:t>
      </w:r>
      <w:r>
        <w:rPr>
          <w:rFonts w:hint="eastAsia" w:ascii="宋体" w:hAnsi="宋体" w:eastAsia="宋体" w:cs="宋体"/>
          <w:highlight w:val="none"/>
        </w:rPr>
        <w:t xml:space="preserve">日至202</w:t>
      </w:r>
      <w:r>
        <w:rPr>
          <w:rFonts w:hint="eastAsia" w:ascii="宋体" w:hAnsi="宋体" w:eastAsia="宋体" w:cs="宋体"/>
          <w:highlight w:val="none"/>
          <w:lang w:val="en-US" w:eastAsia="zh-CN"/>
        </w:rPr>
        <w:t xml:space="preserve">6</w:t>
      </w:r>
      <w:r>
        <w:rPr>
          <w:rFonts w:hint="eastAsia" w:ascii="宋体" w:hAnsi="宋体" w:eastAsia="宋体" w:cs="宋体"/>
          <w:highlight w:val="none"/>
        </w:rPr>
        <w:t xml:space="preserve">年</w:t>
      </w:r>
      <w:r>
        <w:rPr>
          <w:rFonts w:hint="eastAsia" w:ascii="宋体" w:hAnsi="宋体" w:eastAsia="宋体" w:cs="宋体"/>
          <w:highlight w:val="none"/>
          <w:lang w:val="en-US" w:eastAsia="zh-CN"/>
        </w:rPr>
        <w:t xml:space="preserve">4</w:t>
      </w:r>
      <w:r>
        <w:rPr>
          <w:rFonts w:hint="eastAsia" w:ascii="宋体" w:hAnsi="宋体" w:eastAsia="宋体" w:cs="宋体"/>
          <w:highlight w:val="none"/>
        </w:rPr>
        <w:t xml:space="preserve">月</w:t>
      </w:r>
      <w:r>
        <w:rPr>
          <w:rFonts w:hint="eastAsia" w:ascii="宋体" w:hAnsi="宋体" w:eastAsia="宋体" w:cs="宋体"/>
          <w:highlight w:val="none"/>
          <w:lang w:val="en-US" w:eastAsia="zh-CN"/>
        </w:rPr>
        <w:t xml:space="preserve">30</w:t>
      </w:r>
      <w:r>
        <w:rPr>
          <w:rFonts w:hint="eastAsia" w:ascii="宋体" w:hAnsi="宋体" w:eastAsia="宋体" w:cs="宋体"/>
          <w:highlight w:val="none"/>
        </w:rPr>
        <w:t xml:space="preserve">日</w:t>
      </w:r>
      <w:r>
        <w:rPr>
          <w:rFonts w:hint="eastAsia" w:ascii="宋体" w:hAnsi="宋体" w:eastAsia="宋体" w:cs="宋体"/>
        </w:rPr>
        <w:t xml:space="preserve">，每天上午00:00-12:00，下午12:00-23:59（北京时间，法定节假日除外 ）；</w:t>
      </w:r>
      <w:r/>
    </w:p>
    <w:p>
      <w:pPr>
        <w:pStyle w:val="730"/>
        <w:ind w:firstLine="480"/>
        <w:jc w:val="both"/>
        <w:spacing w:beforeAutospacing="0" w:afterAutospacing="0" w:line="470" w:lineRule="exact"/>
        <w:rPr>
          <w:rFonts w:hint="eastAsia" w:ascii="宋体" w:hAnsi="宋体" w:eastAsia="宋体" w:cs="宋体"/>
        </w:rPr>
      </w:pPr>
      <w:r>
        <w:rPr>
          <w:rFonts w:hint="eastAsia" w:ascii="宋体" w:hAnsi="宋体" w:eastAsia="宋体" w:cs="宋体"/>
        </w:rPr>
        <w:t xml:space="preserve">2.地点：“苏采云”系统内免费下载（投标人必须在苏采云系统中获取采购文件，方能参与政府采购项目）。</w:t>
      </w:r>
      <w:r/>
    </w:p>
    <w:p>
      <w:pPr>
        <w:pStyle w:val="730"/>
        <w:ind w:firstLine="480"/>
        <w:jc w:val="both"/>
        <w:spacing w:beforeAutospacing="0" w:afterAutospacing="0" w:line="470" w:lineRule="exact"/>
        <w:rPr>
          <w:rFonts w:hint="eastAsia" w:ascii="宋体" w:hAnsi="宋体" w:eastAsia="宋体" w:cs="宋体"/>
        </w:rPr>
      </w:pPr>
      <w:r>
        <w:rPr>
          <w:rFonts w:hint="eastAsia" w:ascii="宋体" w:hAnsi="宋体" w:eastAsia="宋体" w:cs="宋体"/>
        </w:rPr>
        <w:t xml:space="preserve">3.方式：本项目采用网上注册登记方式。</w:t>
      </w:r>
      <w:r/>
    </w:p>
    <w:p>
      <w:pPr>
        <w:pStyle w:val="730"/>
        <w:ind w:firstLine="480"/>
        <w:jc w:val="both"/>
        <w:spacing w:beforeAutospacing="0" w:afterAutospacing="0" w:line="470" w:lineRule="exact"/>
        <w:rPr>
          <w:rFonts w:hint="eastAsia" w:ascii="宋体" w:hAnsi="宋体" w:eastAsia="宋体" w:cs="宋体"/>
        </w:rPr>
      </w:pPr>
      <w:r>
        <w:rPr>
          <w:rFonts w:hint="eastAsia" w:ascii="宋体" w:hAnsi="宋体" w:eastAsia="宋体" w:cs="宋体"/>
        </w:rPr>
        <w:t xml:space="preserve">3.1 潜在供应商访问电子招标响应交易平台的网络地址和方法： </w:t>
      </w:r>
      <w:r/>
    </w:p>
    <w:p>
      <w:pPr>
        <w:pStyle w:val="730"/>
        <w:ind w:firstLine="480"/>
        <w:jc w:val="both"/>
        <w:spacing w:beforeAutospacing="0" w:afterAutospacing="0" w:line="470" w:lineRule="exact"/>
        <w:rPr>
          <w:rFonts w:hint="eastAsia" w:ascii="宋体" w:hAnsi="宋体" w:eastAsia="宋体" w:cs="宋体"/>
        </w:rPr>
      </w:pPr>
      <w:r>
        <w:rPr>
          <w:rFonts w:hint="eastAsia" w:ascii="宋体" w:hAnsi="宋体" w:eastAsia="宋体" w:cs="宋体"/>
        </w:rPr>
        <w:t xml:space="preserve">“苏采云”系统用户注册--获取“CA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zip）--通过“苏采云”系统上传响应文件。具体见《“苏采云”系统供应商操作手册》（手册下载地址：苏采云系统-右侧消息通知栏）。 </w:t>
      </w:r>
      <w:r/>
    </w:p>
    <w:p>
      <w:pPr>
        <w:pStyle w:val="730"/>
        <w:ind w:firstLine="480"/>
        <w:jc w:val="both"/>
        <w:spacing w:beforeAutospacing="0" w:afterAutospacing="0" w:line="470" w:lineRule="exact"/>
        <w:rPr>
          <w:rFonts w:hint="eastAsia" w:ascii="宋体" w:hAnsi="宋体" w:eastAsia="宋体" w:cs="宋体"/>
        </w:rPr>
      </w:pPr>
      <w:r>
        <w:rPr>
          <w:rFonts w:hint="eastAsia" w:ascii="宋体" w:hAnsi="宋体" w:eastAsia="宋体" w:cs="宋体"/>
        </w:rPr>
        <w:t xml:space="preserve">3.2 潜在投标人访问“苏采云”系统方法：江苏省政府采购网首页-“苏采云”链接。 </w:t>
      </w:r>
      <w:r/>
    </w:p>
    <w:p>
      <w:pPr>
        <w:pStyle w:val="730"/>
        <w:ind w:firstLine="480"/>
        <w:jc w:val="both"/>
        <w:spacing w:beforeAutospacing="0" w:afterAutospacing="0" w:line="470" w:lineRule="exact"/>
        <w:rPr>
          <w:rFonts w:hint="eastAsia" w:ascii="宋体" w:hAnsi="宋体" w:eastAsia="宋体" w:cs="宋体"/>
        </w:rPr>
      </w:pPr>
      <w:r>
        <w:rPr>
          <w:rFonts w:hint="eastAsia" w:ascii="宋体" w:hAnsi="宋体" w:eastAsia="宋体" w:cs="宋体"/>
        </w:rPr>
        <w:t xml:space="preserve">3.3 采购文件（后缀名为“.kedt”）、供应商操作手册及政府采购客户端工具可通过“苏采云”系统相应链接进行下载。 </w:t>
      </w:r>
      <w:r/>
    </w:p>
    <w:p>
      <w:pPr>
        <w:pStyle w:val="730"/>
        <w:ind w:firstLine="480"/>
        <w:jc w:val="both"/>
        <w:spacing w:beforeAutospacing="0" w:afterAutospacing="0" w:line="470" w:lineRule="exact"/>
        <w:rPr>
          <w:rFonts w:hint="eastAsia" w:ascii="宋体" w:hAnsi="宋体" w:eastAsia="宋体" w:cs="宋体"/>
        </w:rPr>
      </w:pPr>
      <w:r>
        <w:rPr>
          <w:rFonts w:hint="eastAsia" w:ascii="宋体" w:hAnsi="宋体" w:eastAsia="宋体" w:cs="宋体"/>
        </w:rPr>
        <w:t xml:space="preserve">3.4 采购代理机构将数据电文形式的采购文件加载至“苏采云”系统，供潜在供应商下载或者查阅。 </w:t>
      </w:r>
      <w:r/>
    </w:p>
    <w:p>
      <w:pPr>
        <w:pStyle w:val="730"/>
        <w:ind w:firstLine="480"/>
        <w:jc w:val="both"/>
        <w:spacing w:beforeAutospacing="0" w:afterAutospacing="0" w:line="470" w:lineRule="exact"/>
        <w:rPr>
          <w:rFonts w:hint="eastAsia" w:ascii="宋体" w:hAnsi="宋体" w:eastAsia="宋体" w:cs="宋体"/>
        </w:rPr>
      </w:pPr>
      <w:r>
        <w:rPr>
          <w:rFonts w:hint="eastAsia" w:ascii="宋体" w:hAnsi="宋体" w:eastAsia="宋体" w:cs="宋体"/>
        </w:rPr>
        <w:t xml:space="preserve">3.5 请潜在投标单位提前安装相应的控件（详见《“苏采云”系统供应商操作手册》）并使用谷歌浏览器登录“苏采云”系统参与不见面开评标。 </w:t>
      </w:r>
      <w:r/>
    </w:p>
    <w:p>
      <w:pPr>
        <w:pStyle w:val="730"/>
        <w:ind w:firstLine="480"/>
        <w:jc w:val="both"/>
        <w:spacing w:beforeAutospacing="0" w:afterAutospacing="0" w:line="470" w:lineRule="exact"/>
        <w:rPr>
          <w:rFonts w:hint="eastAsia" w:ascii="宋体" w:hAnsi="宋体" w:eastAsia="宋体" w:cs="宋体"/>
        </w:rPr>
      </w:pPr>
      <w:r>
        <w:rPr>
          <w:rFonts w:hint="eastAsia" w:ascii="宋体" w:hAnsi="宋体" w:eastAsia="宋体" w:cs="宋体"/>
        </w:rPr>
        <w:t xml:space="preserve">如潜在投标人未按上述要求操作，将自行承担所产生的风险。</w:t>
      </w:r>
      <w:r/>
    </w:p>
    <w:p>
      <w:pPr>
        <w:pStyle w:val="730"/>
        <w:ind w:firstLine="480"/>
        <w:jc w:val="both"/>
        <w:spacing w:beforeAutospacing="0" w:afterAutospacing="0" w:line="470" w:lineRule="exact"/>
        <w:rPr>
          <w:rFonts w:hint="eastAsia" w:ascii="宋体" w:hAnsi="宋体" w:eastAsia="宋体" w:cs="宋体"/>
        </w:rPr>
      </w:pPr>
      <w:r>
        <w:rPr>
          <w:rFonts w:hint="eastAsia" w:ascii="宋体" w:hAnsi="宋体" w:eastAsia="宋体" w:cs="宋体"/>
        </w:rPr>
        <w:t xml:space="preserve">4.售价：0.00元。</w:t>
      </w:r>
      <w:r/>
    </w:p>
    <w:p>
      <w:pPr>
        <w:pStyle w:val="730"/>
        <w:ind w:firstLine="482"/>
        <w:jc w:val="both"/>
        <w:keepLines/>
        <w:keepNext/>
        <w:spacing w:before="145" w:beforeAutospacing="0" w:after="145" w:afterAutospacing="0" w:line="470" w:lineRule="exact"/>
        <w:rPr>
          <w:rFonts w:hint="eastAsia" w:ascii="宋体" w:hAnsi="宋体" w:eastAsia="宋体" w:cs="宋体"/>
        </w:rPr>
        <w:outlineLvl w:val="0"/>
      </w:pPr>
      <w:r>
        <w:rPr>
          <w:rFonts w:hint="eastAsia" w:ascii="宋体" w:hAnsi="宋体" w:eastAsia="宋体" w:cs="宋体"/>
          <w:b/>
        </w:rPr>
        <w:t xml:space="preserve">四、提交投标文件截止时间、开标时间和地点</w:t>
      </w:r>
      <w:r/>
    </w:p>
    <w:p>
      <w:pPr>
        <w:ind w:firstLine="480"/>
        <w:jc w:val="left"/>
        <w:spacing w:line="470" w:lineRule="exact"/>
        <w:widowControl/>
        <w:rPr>
          <w:rFonts w:hint="eastAsia" w:ascii="宋体" w:hAnsi="宋体" w:eastAsia="宋体" w:cs="宋体"/>
          <w:sz w:val="24"/>
        </w:rPr>
      </w:pPr>
      <w:r>
        <w:rPr>
          <w:rFonts w:hint="eastAsia" w:ascii="宋体" w:hAnsi="宋体" w:eastAsia="宋体" w:cs="宋体"/>
          <w:sz w:val="24"/>
        </w:rPr>
        <w:t xml:space="preserve">1.时间：</w:t>
      </w:r>
      <w:r>
        <w:rPr>
          <w:rFonts w:hint="eastAsia" w:ascii="宋体" w:hAnsi="宋体" w:eastAsia="宋体" w:cs="宋体"/>
          <w:sz w:val="24"/>
          <w:highlight w:val="none"/>
        </w:rPr>
        <w:t xml:space="preserve">202</w:t>
      </w: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rPr>
        <w:t xml:space="preserve">年</w:t>
      </w: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rPr>
        <w:t xml:space="preserve">月</w:t>
      </w:r>
      <w:r>
        <w:rPr>
          <w:rFonts w:hint="eastAsia" w:ascii="宋体" w:hAnsi="宋体" w:eastAsia="宋体" w:cs="宋体"/>
          <w:sz w:val="24"/>
          <w:highlight w:val="none"/>
          <w:lang w:val="en-US" w:eastAsia="zh-CN"/>
        </w:rPr>
        <w:t xml:space="preserve">14</w:t>
      </w:r>
      <w:r>
        <w:rPr>
          <w:rFonts w:hint="eastAsia" w:ascii="宋体" w:hAnsi="宋体" w:eastAsia="宋体" w:cs="宋体"/>
          <w:sz w:val="24"/>
          <w:highlight w:val="none"/>
        </w:rPr>
        <w:t xml:space="preserve">日9点00 分</w:t>
      </w:r>
      <w:r>
        <w:rPr>
          <w:rFonts w:hint="eastAsia" w:ascii="宋体" w:hAnsi="宋体" w:eastAsia="宋体" w:cs="宋体"/>
          <w:sz w:val="24"/>
        </w:rPr>
        <w:t xml:space="preserve">（北京时间）；</w:t>
      </w:r>
      <w:r/>
    </w:p>
    <w:p>
      <w:pPr>
        <w:ind w:firstLine="480"/>
        <w:jc w:val="left"/>
        <w:spacing w:line="470" w:lineRule="exact"/>
        <w:widowControl/>
        <w:rPr>
          <w:rFonts w:hint="eastAsia" w:ascii="宋体" w:hAnsi="宋体" w:eastAsia="宋体" w:cs="宋体"/>
          <w:sz w:val="24"/>
        </w:rPr>
      </w:pPr>
      <w:r>
        <w:rPr>
          <w:rFonts w:hint="eastAsia" w:ascii="宋体" w:hAnsi="宋体" w:eastAsia="宋体" w:cs="宋体"/>
          <w:sz w:val="24"/>
        </w:rPr>
        <w:t xml:space="preserve">2.地点：苏采云“不见面”开标大厅。</w:t>
      </w:r>
      <w:r/>
    </w:p>
    <w:p>
      <w:pPr>
        <w:pStyle w:val="730"/>
        <w:ind w:firstLine="498"/>
        <w:jc w:val="both"/>
        <w:keepLines/>
        <w:keepNext/>
        <w:spacing w:before="145" w:beforeAutospacing="0" w:after="145" w:afterAutospacing="0" w:line="470" w:lineRule="exact"/>
        <w:rPr>
          <w:rFonts w:hint="eastAsia" w:ascii="宋体" w:hAnsi="宋体" w:eastAsia="宋体" w:cs="宋体"/>
        </w:rPr>
        <w:outlineLvl w:val="0"/>
      </w:pPr>
      <w:r/>
      <w:bookmarkStart w:id="22" w:name="_Toc35393625"/>
      <w:r/>
      <w:bookmarkStart w:id="23" w:name="_Toc28359007"/>
      <w:r/>
      <w:bookmarkStart w:id="24" w:name="_Toc28359084"/>
      <w:r/>
      <w:bookmarkStart w:id="25" w:name="_Toc35393794"/>
      <w:r/>
      <w:bookmarkStart w:id="26" w:name="_Toc38985267"/>
      <w:r>
        <w:rPr>
          <w:rFonts w:hint="eastAsia" w:ascii="宋体" w:hAnsi="宋体" w:eastAsia="宋体" w:cs="宋体"/>
          <w:b/>
        </w:rPr>
        <w:t xml:space="preserve">五、公告期限</w:t>
      </w:r>
      <w:bookmarkEnd w:id="22"/>
      <w:r/>
      <w:bookmarkEnd w:id="23"/>
      <w:r/>
      <w:bookmarkEnd w:id="24"/>
      <w:r/>
      <w:bookmarkEnd w:id="25"/>
      <w:r/>
      <w:bookmarkEnd w:id="26"/>
      <w:r/>
      <w:r/>
    </w:p>
    <w:p>
      <w:pPr>
        <w:pStyle w:val="730"/>
        <w:ind w:firstLine="560"/>
        <w:jc w:val="both"/>
        <w:spacing w:beforeAutospacing="0" w:afterAutospacing="0" w:line="470" w:lineRule="exact"/>
        <w:shd w:val="clear" w:color="auto" w:fill="ffffff"/>
        <w:widowControl/>
        <w:rPr>
          <w:rFonts w:hint="eastAsia" w:ascii="宋体" w:hAnsi="宋体" w:eastAsia="宋体" w:cs="宋体"/>
          <w:shd w:val="clear" w:color="auto" w:fill="ffffff"/>
        </w:rPr>
      </w:pPr>
      <w:r/>
      <w:bookmarkStart w:id="27" w:name="_Toc35393795"/>
      <w:r/>
      <w:bookmarkStart w:id="28" w:name="_Toc38985268"/>
      <w:r/>
      <w:bookmarkStart w:id="29" w:name="_Toc35393626"/>
      <w:r>
        <w:rPr>
          <w:rFonts w:hint="eastAsia" w:ascii="宋体" w:hAnsi="宋体" w:eastAsia="宋体" w:cs="宋体"/>
          <w:shd w:val="clear" w:color="auto" w:fill="ffffff"/>
        </w:rPr>
        <w:t xml:space="preserve">自本公告发布之日起5个工作日。</w:t>
      </w:r>
      <w:bookmarkEnd w:id="27"/>
      <w:r/>
      <w:bookmarkEnd w:id="28"/>
      <w:r/>
      <w:bookmarkEnd w:id="29"/>
      <w:r/>
      <w:r/>
    </w:p>
    <w:p>
      <w:pPr>
        <w:pStyle w:val="730"/>
        <w:ind w:firstLine="499"/>
        <w:jc w:val="both"/>
        <w:spacing w:before="145" w:beforeAutospacing="0" w:after="145" w:afterAutospacing="0" w:line="470" w:lineRule="exact"/>
        <w:rPr>
          <w:rFonts w:hint="eastAsia" w:ascii="宋体" w:hAnsi="宋体" w:eastAsia="宋体" w:cs="宋体"/>
        </w:rPr>
        <w:outlineLvl w:val="0"/>
      </w:pPr>
      <w:r>
        <w:rPr>
          <w:rFonts w:hint="eastAsia" w:ascii="宋体" w:hAnsi="宋体" w:eastAsia="宋体" w:cs="宋体"/>
          <w:b/>
        </w:rPr>
        <w:t xml:space="preserve">六、其他补充事宜</w:t>
      </w:r>
      <w:r/>
    </w:p>
    <w:p>
      <w:pPr>
        <w:pStyle w:val="730"/>
        <w:ind w:firstLine="561"/>
        <w:jc w:val="both"/>
        <w:spacing w:beforeAutospacing="0" w:afterAutospacing="0" w:line="470" w:lineRule="exact"/>
        <w:shd w:val="clear" w:color="auto" w:fill="ffffff"/>
        <w:rPr>
          <w:rFonts w:hint="eastAsia" w:ascii="宋体" w:hAnsi="宋体" w:eastAsia="宋体" w:cs="宋体"/>
          <w:shd w:val="clear" w:color="auto" w:fill="ffffff"/>
        </w:rPr>
      </w:pPr>
      <w:r/>
      <w:bookmarkStart w:id="30" w:name="OLE_LINK2"/>
      <w:r/>
      <w:bookmarkStart w:id="31" w:name="_Toc28359018"/>
      <w:r>
        <w:rPr>
          <w:rFonts w:hint="eastAsia" w:ascii="宋体" w:hAnsi="宋体" w:eastAsia="宋体" w:cs="宋体"/>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730"/>
        <w:ind w:firstLine="560"/>
        <w:jc w:val="both"/>
        <w:spacing w:beforeAutospacing="0" w:afterAutospacing="0" w:line="470" w:lineRule="exact"/>
        <w:shd w:val="clear" w:color="auto" w:fill="ffffff"/>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2.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730"/>
        <w:ind w:firstLine="560"/>
        <w:jc w:val="both"/>
        <w:spacing w:beforeAutospacing="0" w:afterAutospacing="0" w:line="470" w:lineRule="exact"/>
        <w:shd w:val="clear" w:color="auto" w:fill="ffffff"/>
        <w:widowControl/>
        <w:rPr>
          <w:rFonts w:hint="eastAsia" w:ascii="宋体" w:hAnsi="宋体" w:eastAsia="宋体" w:cs="宋体"/>
        </w:rPr>
      </w:pPr>
      <w:r>
        <w:rPr>
          <w:rFonts w:hint="eastAsia" w:ascii="宋体" w:hAnsi="宋体" w:eastAsia="宋体" w:cs="宋体"/>
        </w:rPr>
        <w:t xml:space="preserve">3.有关本次招标的事项若存在变动或修改，敬请及时关注射阳县行政服务中心在“中国政府采购网”、“江苏政府采购网”、“盐城市政府采购网”发布的更正公告。</w:t>
      </w:r>
      <w:r/>
    </w:p>
    <w:p>
      <w:pPr>
        <w:pStyle w:val="730"/>
        <w:ind w:firstLine="560"/>
        <w:jc w:val="both"/>
        <w:spacing w:beforeAutospacing="0" w:afterAutospacing="0" w:line="470" w:lineRule="exact"/>
        <w:shd w:val="clear" w:color="auto" w:fill="ffffff"/>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4.本次招标不收取投标保证金，不收取质量保证金。</w:t>
      </w:r>
      <w:bookmarkEnd w:id="30"/>
      <w:r/>
      <w:r/>
    </w:p>
    <w:p>
      <w:pPr>
        <w:pStyle w:val="730"/>
        <w:ind w:firstLine="482"/>
        <w:jc w:val="both"/>
        <w:spacing w:before="145" w:beforeAutospacing="0" w:after="145" w:afterAutospacing="0" w:line="470" w:lineRule="exact"/>
        <w:rPr>
          <w:rFonts w:hint="eastAsia" w:ascii="宋体" w:hAnsi="宋体" w:eastAsia="宋体" w:cs="宋体"/>
          <w:b/>
        </w:rPr>
        <w:outlineLvl w:val="0"/>
      </w:pPr>
      <w:r>
        <w:rPr>
          <w:rFonts w:hint="eastAsia" w:ascii="宋体" w:hAnsi="宋体" w:eastAsia="宋体" w:cs="宋体"/>
          <w:b/>
        </w:rPr>
        <w:t xml:space="preserve">七、对本次招标提出询问，请按以下方式联系。</w:t>
      </w:r>
      <w:bookmarkEnd w:id="31"/>
      <w:r/>
      <w:r/>
    </w:p>
    <w:p>
      <w:pPr>
        <w:pStyle w:val="730"/>
        <w:ind w:firstLine="561"/>
        <w:jc w:val="both"/>
        <w:spacing w:beforeAutospacing="0" w:afterAutospacing="0" w:line="470" w:lineRule="exact"/>
        <w:shd w:val="clear" w:color="auto" w:fill="ffffff"/>
        <w:widowControl/>
        <w:rPr>
          <w:rFonts w:hint="eastAsia" w:ascii="宋体" w:hAnsi="宋体" w:eastAsia="宋体" w:cs="宋体"/>
        </w:rPr>
        <w:outlineLvl w:val="1"/>
      </w:pPr>
      <w:r/>
      <w:bookmarkStart w:id="32" w:name="_Toc28359009"/>
      <w:r>
        <w:rPr>
          <w:rFonts w:hint="eastAsia" w:ascii="宋体" w:hAnsi="宋体" w:eastAsia="宋体" w:cs="宋体"/>
        </w:rPr>
        <w:t xml:space="preserve">1.采购人信息</w:t>
      </w:r>
      <w:r/>
    </w:p>
    <w:p>
      <w:pPr>
        <w:pStyle w:val="730"/>
        <w:ind w:firstLine="561"/>
        <w:jc w:val="both"/>
        <w:spacing w:beforeAutospacing="0" w:afterAutospacing="0" w:line="470" w:lineRule="exact"/>
        <w:shd w:val="clear" w:color="auto" w:fill="ffffff"/>
        <w:widowControl/>
        <w:rPr>
          <w:rFonts w:hint="eastAsia" w:ascii="宋体" w:hAnsi="宋体" w:eastAsia="宋体" w:cs="宋体"/>
        </w:rPr>
      </w:pPr>
      <w:r>
        <w:rPr>
          <w:rFonts w:hint="eastAsia" w:ascii="宋体" w:hAnsi="宋体" w:eastAsia="宋体" w:cs="宋体"/>
        </w:rPr>
        <w:t xml:space="preserve">名 称：射阳县妇幼保健院 </w:t>
      </w:r>
      <w:r/>
    </w:p>
    <w:p>
      <w:pPr>
        <w:pStyle w:val="730"/>
        <w:ind w:firstLine="561"/>
        <w:jc w:val="both"/>
        <w:spacing w:beforeAutospacing="0" w:afterAutospacing="0" w:line="470" w:lineRule="exact"/>
        <w:shd w:val="clear" w:color="auto" w:fill="ffffff"/>
        <w:widowControl/>
        <w:rPr>
          <w:rFonts w:hint="eastAsia" w:ascii="宋体" w:hAnsi="宋体" w:eastAsia="宋体" w:cs="宋体"/>
        </w:rPr>
      </w:pPr>
      <w:r>
        <w:rPr>
          <w:rFonts w:hint="eastAsia" w:ascii="宋体" w:hAnsi="宋体" w:eastAsia="宋体" w:cs="宋体"/>
        </w:rPr>
        <w:t xml:space="preserve">地址：射阳县幸福大道32号</w:t>
      </w:r>
      <w:r/>
    </w:p>
    <w:p>
      <w:pPr>
        <w:pStyle w:val="730"/>
        <w:ind w:firstLine="561"/>
        <w:jc w:val="both"/>
        <w:spacing w:beforeAutospacing="0" w:afterAutospacing="0" w:line="470" w:lineRule="exact"/>
        <w:shd w:val="clear" w:color="auto" w:fill="ffffff"/>
        <w:widowControl/>
        <w:rPr>
          <w:rFonts w:hint="eastAsia" w:ascii="宋体" w:hAnsi="宋体" w:eastAsia="宋体" w:cs="宋体"/>
        </w:rPr>
      </w:pPr>
      <w:r>
        <w:rPr>
          <w:rFonts w:hint="eastAsia" w:ascii="宋体" w:hAnsi="宋体" w:eastAsia="宋体" w:cs="宋体"/>
        </w:rPr>
        <w:t xml:space="preserve">联系人：杨浩然              </w:t>
      </w:r>
      <w:r/>
    </w:p>
    <w:p>
      <w:pPr>
        <w:pStyle w:val="730"/>
        <w:ind w:firstLine="561"/>
        <w:jc w:val="both"/>
        <w:spacing w:beforeAutospacing="0" w:afterAutospacing="0" w:line="470" w:lineRule="exact"/>
        <w:shd w:val="clear" w:color="auto" w:fill="ffffff"/>
        <w:widowControl/>
        <w:rPr>
          <w:rFonts w:hint="eastAsia" w:ascii="宋体" w:hAnsi="宋体" w:eastAsia="宋体" w:cs="宋体"/>
        </w:rPr>
      </w:pPr>
      <w:r>
        <w:rPr>
          <w:rFonts w:hint="eastAsia" w:ascii="宋体" w:hAnsi="宋体" w:eastAsia="宋体" w:cs="宋体"/>
        </w:rPr>
        <w:t xml:space="preserve">联系方式：19812226669        </w:t>
      </w:r>
      <w:r/>
    </w:p>
    <w:p>
      <w:pPr>
        <w:pStyle w:val="730"/>
        <w:ind w:firstLine="561"/>
        <w:jc w:val="both"/>
        <w:spacing w:beforeAutospacing="0" w:afterAutospacing="0" w:line="470" w:lineRule="exact"/>
        <w:shd w:val="clear" w:color="auto" w:fill="ffffff"/>
        <w:widowControl/>
        <w:rPr>
          <w:rFonts w:hint="eastAsia" w:ascii="宋体" w:hAnsi="宋体" w:eastAsia="宋体" w:cs="宋体"/>
        </w:rPr>
      </w:pPr>
      <w:r>
        <w:rPr>
          <w:rFonts w:hint="eastAsia" w:ascii="宋体" w:hAnsi="宋体" w:eastAsia="宋体" w:cs="宋体"/>
        </w:rPr>
      </w:r>
      <w:r/>
    </w:p>
    <w:p>
      <w:pPr>
        <w:pStyle w:val="730"/>
        <w:ind w:firstLine="561"/>
        <w:jc w:val="both"/>
        <w:spacing w:beforeAutospacing="0" w:afterAutospacing="0" w:line="470" w:lineRule="exact"/>
        <w:shd w:val="clear" w:color="auto" w:fill="ffffff"/>
        <w:widowControl/>
        <w:rPr>
          <w:rFonts w:hint="eastAsia" w:ascii="宋体" w:hAnsi="宋体" w:eastAsia="宋体" w:cs="宋体"/>
        </w:rPr>
        <w:outlineLvl w:val="1"/>
      </w:pPr>
      <w:r>
        <w:rPr>
          <w:rFonts w:hint="eastAsia" w:ascii="宋体" w:hAnsi="宋体" w:eastAsia="宋体" w:cs="宋体"/>
        </w:rPr>
        <w:t xml:space="preserve">2.采购代理机构信息</w:t>
      </w:r>
      <w:r/>
    </w:p>
    <w:p>
      <w:pPr>
        <w:pStyle w:val="730"/>
        <w:ind w:firstLine="561"/>
        <w:jc w:val="both"/>
        <w:spacing w:beforeAutospacing="0" w:afterAutospacing="0" w:line="470" w:lineRule="exact"/>
        <w:shd w:val="clear" w:color="auto" w:fill="ffffff"/>
        <w:widowControl/>
        <w:rPr>
          <w:rFonts w:hint="eastAsia" w:ascii="宋体" w:hAnsi="宋体" w:eastAsia="宋体" w:cs="宋体"/>
        </w:rPr>
      </w:pPr>
      <w:r>
        <w:rPr>
          <w:rFonts w:hint="eastAsia" w:ascii="宋体" w:hAnsi="宋体" w:eastAsia="宋体" w:cs="宋体"/>
        </w:rPr>
        <w:t xml:space="preserve">名 称：射阳县行政服务中心</w:t>
      </w:r>
      <w:r/>
    </w:p>
    <w:p>
      <w:pPr>
        <w:pStyle w:val="730"/>
        <w:ind w:firstLine="561"/>
        <w:jc w:val="both"/>
        <w:spacing w:beforeAutospacing="0" w:afterAutospacing="0" w:line="470" w:lineRule="exact"/>
        <w:shd w:val="clear" w:color="auto" w:fill="ffffff"/>
        <w:widowControl/>
        <w:rPr>
          <w:rFonts w:hint="eastAsia" w:ascii="宋体" w:hAnsi="宋体" w:eastAsia="宋体" w:cs="宋体"/>
        </w:rPr>
      </w:pPr>
      <w:r>
        <w:rPr>
          <w:rFonts w:hint="eastAsia" w:ascii="宋体" w:hAnsi="宋体" w:eastAsia="宋体" w:cs="宋体"/>
        </w:rPr>
        <w:t xml:space="preserve">地 址： 盐城市射阳县幸福大道16号</w:t>
      </w:r>
      <w:r/>
    </w:p>
    <w:p>
      <w:pPr>
        <w:pStyle w:val="730"/>
        <w:ind w:firstLine="561"/>
        <w:jc w:val="both"/>
        <w:spacing w:beforeAutospacing="0" w:afterAutospacing="0" w:line="470" w:lineRule="exact"/>
        <w:shd w:val="clear" w:color="auto" w:fill="ffffff"/>
        <w:widowControl/>
        <w:rPr>
          <w:rFonts w:hint="eastAsia" w:ascii="宋体" w:hAnsi="宋体" w:eastAsia="宋体" w:cs="宋体"/>
        </w:rPr>
      </w:pPr>
      <w:r>
        <w:rPr>
          <w:rFonts w:hint="eastAsia" w:ascii="宋体" w:hAnsi="宋体" w:eastAsia="宋体" w:cs="宋体"/>
        </w:rPr>
        <w:t xml:space="preserve">联系人：彭明静                     </w:t>
      </w:r>
      <w:r/>
    </w:p>
    <w:p>
      <w:pPr>
        <w:pStyle w:val="730"/>
        <w:ind w:firstLine="561"/>
        <w:jc w:val="both"/>
        <w:spacing w:beforeAutospacing="0" w:afterAutospacing="0" w:line="470" w:lineRule="exact"/>
        <w:shd w:val="clear" w:color="auto" w:fill="ffffff"/>
        <w:widowControl/>
        <w:rPr>
          <w:rFonts w:hint="eastAsia" w:ascii="宋体" w:hAnsi="宋体" w:eastAsia="宋体" w:cs="宋体"/>
        </w:rPr>
      </w:pPr>
      <w:r>
        <w:rPr>
          <w:rFonts w:hint="eastAsia" w:ascii="宋体" w:hAnsi="宋体" w:eastAsia="宋体" w:cs="宋体"/>
        </w:rPr>
        <w:t xml:space="preserve">联系方式：</w:t>
      </w:r>
      <w:bookmarkStart w:id="33" w:name="_Toc28359087"/>
      <w:r/>
      <w:bookmarkStart w:id="34" w:name="_Toc28359010"/>
      <w:r>
        <w:rPr>
          <w:rFonts w:hint="eastAsia" w:ascii="宋体" w:hAnsi="宋体" w:eastAsia="宋体" w:cs="宋体"/>
        </w:rPr>
        <w:t xml:space="preserve">0515-82391711       </w:t>
      </w:r>
      <w:bookmarkEnd w:id="33"/>
      <w:r/>
      <w:bookmarkEnd w:id="34"/>
      <w:r>
        <w:rPr>
          <w:rFonts w:hint="eastAsia" w:ascii="宋体" w:hAnsi="宋体" w:eastAsia="宋体" w:cs="宋体"/>
        </w:rPr>
        <w:t xml:space="preserve">            </w:t>
      </w:r>
      <w:r/>
    </w:p>
    <w:p>
      <w:pPr>
        <w:pStyle w:val="730"/>
        <w:ind w:firstLine="561"/>
        <w:jc w:val="both"/>
        <w:spacing w:beforeAutospacing="0" w:afterAutospacing="0" w:line="470" w:lineRule="exact"/>
        <w:shd w:val="clear" w:color="auto" w:fill="ffffff"/>
        <w:widowControl/>
        <w:rPr>
          <w:rFonts w:hint="eastAsia" w:ascii="宋体" w:hAnsi="宋体" w:eastAsia="宋体" w:cs="宋体"/>
        </w:rPr>
      </w:pPr>
      <w:r>
        <w:rPr>
          <w:rFonts w:hint="eastAsia" w:ascii="宋体" w:hAnsi="宋体" w:eastAsia="宋体" w:cs="宋体"/>
        </w:rPr>
      </w:r>
      <w:r/>
    </w:p>
    <w:p>
      <w:pPr>
        <w:pStyle w:val="730"/>
        <w:ind w:firstLine="561"/>
        <w:jc w:val="both"/>
        <w:spacing w:beforeAutospacing="0" w:afterAutospacing="0" w:line="470" w:lineRule="exact"/>
        <w:shd w:val="clear" w:color="auto" w:fill="ffffff"/>
        <w:widowControl/>
        <w:rPr>
          <w:rFonts w:hint="eastAsia" w:ascii="宋体" w:hAnsi="宋体" w:eastAsia="宋体" w:cs="宋体"/>
        </w:rPr>
        <w:outlineLvl w:val="1"/>
      </w:pPr>
      <w:r>
        <w:rPr>
          <w:rFonts w:hint="eastAsia" w:ascii="宋体" w:hAnsi="宋体" w:eastAsia="宋体" w:cs="宋体"/>
        </w:rPr>
        <w:t xml:space="preserve">3.项目联系方式</w:t>
      </w:r>
      <w:r/>
    </w:p>
    <w:p>
      <w:pPr>
        <w:pStyle w:val="730"/>
        <w:ind w:firstLine="561"/>
        <w:jc w:val="both"/>
        <w:spacing w:beforeAutospacing="0" w:afterAutospacing="0" w:line="470" w:lineRule="exact"/>
        <w:shd w:val="clear" w:color="auto" w:fill="ffffff"/>
        <w:widowControl/>
        <w:rPr>
          <w:rFonts w:hint="eastAsia" w:ascii="宋体" w:hAnsi="宋体" w:eastAsia="宋体" w:cs="宋体"/>
        </w:rPr>
      </w:pPr>
      <w:r>
        <w:rPr>
          <w:rFonts w:hint="eastAsia" w:ascii="宋体" w:hAnsi="宋体" w:eastAsia="宋体" w:cs="宋体"/>
        </w:rPr>
        <w:t xml:space="preserve">项目联系人：彭明静</w:t>
      </w:r>
      <w:r/>
    </w:p>
    <w:p>
      <w:pPr>
        <w:pStyle w:val="730"/>
        <w:ind w:firstLine="561"/>
        <w:jc w:val="both"/>
        <w:spacing w:beforeAutospacing="0" w:afterAutospacing="0" w:line="470" w:lineRule="exact"/>
        <w:shd w:val="clear" w:color="auto" w:fill="ffffff"/>
        <w:widowControl/>
        <w:rPr>
          <w:rFonts w:hint="eastAsia" w:ascii="宋体" w:hAnsi="宋体" w:eastAsia="宋体" w:cs="宋体"/>
        </w:rPr>
      </w:pPr>
      <w:r>
        <w:rPr>
          <w:rFonts w:hint="eastAsia" w:ascii="宋体" w:hAnsi="宋体" w:eastAsia="宋体" w:cs="宋体"/>
        </w:rPr>
        <w:t xml:space="preserve">电话：0515-82391711</w:t>
      </w:r>
      <w:r/>
    </w:p>
    <w:p>
      <w:pPr>
        <w:pStyle w:val="730"/>
        <w:ind w:firstLine="560"/>
        <w:jc w:val="both"/>
        <w:spacing w:beforeAutospacing="0" w:afterAutospacing="0"/>
        <w:shd w:val="clear" w:color="auto" w:fill="ffffff"/>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　　　　　　　　　　　　</w:t>
      </w:r>
      <w:r/>
    </w:p>
    <w:p>
      <w:pPr>
        <w:rPr>
          <w:rFonts w:hint="eastAsia" w:ascii="宋体" w:hAnsi="宋体" w:eastAsia="宋体" w:cs="宋体"/>
          <w:sz w:val="24"/>
        </w:rPr>
      </w:pPr>
      <w:r>
        <w:rPr>
          <w:rFonts w:hint="eastAsia" w:ascii="宋体" w:hAnsi="宋体" w:eastAsia="宋体" w:cs="宋体"/>
          <w:sz w:val="24"/>
        </w:rPr>
        <w:t xml:space="preserve"> </w:t>
      </w:r>
      <w:r/>
    </w:p>
    <w:p>
      <w:pPr>
        <w:pStyle w:val="730"/>
        <w:jc w:val="center"/>
        <w:spacing w:beforeAutospacing="0" w:afterAutospacing="0"/>
        <w:rPr>
          <w:b/>
          <w:bCs/>
          <w:sz w:val="44"/>
          <w:szCs w:val="44"/>
        </w:rPr>
        <w:outlineLvl w:val="0"/>
      </w:pPr>
      <w:r>
        <w:rPr>
          <w:rFonts w:hint="eastAsia" w:ascii="宋体" w:hAnsi="宋体" w:eastAsia="宋体" w:cs="宋体"/>
        </w:rPr>
        <w:br w:type="page" w:clear="all"/>
      </w:r>
      <w:bookmarkStart w:id="35" w:name="_Hlk209075647"/>
      <w:r>
        <w:rPr>
          <w:rFonts w:hint="default"/>
          <w:b w:val="0"/>
          <w:bCs w:val="0"/>
          <w:sz w:val="44"/>
          <w:szCs w:val="44"/>
        </w:rPr>
        <w:t xml:space="preserve"> </w:t>
      </w:r>
      <w:bookmarkStart w:id="36" w:name="_Toc120614211"/>
      <w:r>
        <w:rPr>
          <w:rFonts w:hint="default"/>
          <w:b w:val="0"/>
          <w:bCs w:val="0"/>
          <w:sz w:val="44"/>
          <w:szCs w:val="44"/>
        </w:rPr>
        <w:t xml:space="preserve">第二章  </w:t>
      </w:r>
      <w:bookmarkEnd w:id="36"/>
      <w:r/>
      <w:bookmarkStart w:id="37" w:name="_Toc16938518"/>
      <w:r/>
      <w:bookmarkStart w:id="38" w:name="_Toc20823274"/>
      <w:r/>
      <w:bookmarkStart w:id="39" w:name="_Toc120614213"/>
      <w:r/>
      <w:bookmarkStart w:id="40" w:name="_Toc513029202"/>
      <w:r>
        <w:rPr>
          <w:rFonts w:hint="default"/>
          <w:b w:val="0"/>
          <w:bCs w:val="0"/>
          <w:sz w:val="44"/>
          <w:szCs w:val="44"/>
        </w:rPr>
        <w:t xml:space="preserve">投标人须知</w:t>
      </w:r>
      <w:bookmarkEnd w:id="37"/>
      <w:r/>
      <w:bookmarkEnd w:id="38"/>
      <w:r/>
      <w:bookmarkEnd w:id="39"/>
      <w:r/>
      <w:bookmarkEnd w:id="40"/>
      <w:r/>
      <w:bookmarkEnd w:id="35"/>
      <w:r/>
      <w:r/>
    </w:p>
    <w:p>
      <w:pPr>
        <w:pStyle w:val="730"/>
        <w:ind w:firstLine="498"/>
        <w:jc w:val="both"/>
        <w:keepLines/>
        <w:keepNext/>
        <w:spacing w:before="145" w:beforeAutospacing="0" w:after="145" w:afterAutospacing="0" w:line="480" w:lineRule="exact"/>
        <w:rPr>
          <w:rFonts w:hint="eastAsia" w:ascii="宋体" w:hAnsi="宋体" w:eastAsia="宋体" w:cs="宋体"/>
        </w:rPr>
        <w:outlineLvl w:val="0"/>
      </w:pPr>
      <w:r/>
      <w:bookmarkStart w:id="41" w:name="_Toc120614214"/>
      <w:r/>
      <w:bookmarkStart w:id="42" w:name="_Toc20823275"/>
      <w:r/>
      <w:bookmarkStart w:id="43" w:name="_Toc16938519"/>
      <w:r/>
      <w:bookmarkStart w:id="44" w:name="_Toc513029203"/>
      <w:r>
        <w:rPr>
          <w:rFonts w:hint="eastAsia" w:ascii="宋体" w:hAnsi="宋体" w:eastAsia="宋体" w:cs="宋体"/>
          <w:b/>
        </w:rPr>
        <w:t xml:space="preserve">一、总则</w:t>
      </w:r>
      <w:bookmarkEnd w:id="41"/>
      <w:r/>
      <w:bookmarkEnd w:id="42"/>
      <w:r/>
      <w:bookmarkEnd w:id="43"/>
      <w:r/>
      <w:bookmarkEnd w:id="44"/>
      <w:r/>
      <w:r/>
    </w:p>
    <w:p>
      <w:pPr>
        <w:pStyle w:val="730"/>
        <w:ind w:firstLine="420"/>
        <w:jc w:val="both"/>
        <w:keepLines/>
        <w:keepNext/>
        <w:spacing w:beforeAutospacing="0" w:afterAutospacing="0" w:line="480" w:lineRule="exact"/>
        <w:rPr>
          <w:rFonts w:hint="eastAsia" w:ascii="宋体" w:hAnsi="宋体" w:eastAsia="宋体" w:cs="宋体"/>
          <w:b/>
          <w:bCs/>
        </w:rPr>
        <w:outlineLvl w:val="1"/>
      </w:pPr>
      <w:r/>
      <w:bookmarkStart w:id="45" w:name="_Toc16938520"/>
      <w:r/>
      <w:bookmarkStart w:id="46" w:name="_Toc458694821"/>
      <w:r/>
      <w:bookmarkStart w:id="47" w:name="_Toc20823276"/>
      <w:r/>
      <w:bookmarkStart w:id="48" w:name="_Toc513029204"/>
      <w:r/>
      <w:bookmarkStart w:id="49" w:name="_Hlt16619475"/>
      <w:r>
        <w:rPr>
          <w:rFonts w:hint="eastAsia" w:ascii="宋体" w:hAnsi="宋体" w:eastAsia="宋体" w:cs="宋体"/>
          <w:b/>
          <w:bCs/>
        </w:rPr>
        <w:t xml:space="preserve">1</w:t>
      </w:r>
      <w:bookmarkEnd w:id="45"/>
      <w:r>
        <w:rPr>
          <w:rFonts w:hint="eastAsia" w:ascii="宋体" w:hAnsi="宋体" w:eastAsia="宋体" w:cs="宋体"/>
          <w:b/>
          <w:bCs/>
        </w:rPr>
        <w:t xml:space="preserve">、招标方式</w:t>
      </w:r>
      <w:bookmarkEnd w:id="46"/>
      <w:r/>
      <w:bookmarkEnd w:id="47"/>
      <w:r/>
      <w:bookmarkEnd w:id="48"/>
      <w:r/>
      <w:r/>
    </w:p>
    <w:p>
      <w:pPr>
        <w:pStyle w:val="730"/>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1.1本次招标采取公开招标方式，本招标文件仅适用于招标公告中所述项目。</w:t>
      </w:r>
      <w:r/>
    </w:p>
    <w:p>
      <w:pPr>
        <w:pStyle w:val="730"/>
        <w:ind w:firstLine="420"/>
        <w:jc w:val="both"/>
        <w:keepLines/>
        <w:keepNext/>
        <w:spacing w:beforeAutospacing="0" w:afterAutospacing="0" w:line="480" w:lineRule="exact"/>
        <w:rPr>
          <w:rFonts w:hint="eastAsia" w:ascii="宋体" w:hAnsi="宋体" w:eastAsia="宋体" w:cs="宋体"/>
          <w:b/>
          <w:bCs/>
        </w:rPr>
        <w:outlineLvl w:val="1"/>
      </w:pPr>
      <w:r/>
      <w:bookmarkStart w:id="50" w:name="_Toc513029205"/>
      <w:r/>
      <w:bookmarkStart w:id="51" w:name="_Toc16938521"/>
      <w:r/>
      <w:bookmarkStart w:id="52" w:name="_Toc20823277"/>
      <w:r>
        <w:rPr>
          <w:rFonts w:hint="eastAsia" w:ascii="宋体" w:hAnsi="宋体" w:eastAsia="宋体" w:cs="宋体"/>
          <w:b/>
          <w:bCs/>
        </w:rPr>
        <w:t xml:space="preserve">2、合格的投标人</w:t>
      </w:r>
      <w:bookmarkEnd w:id="50"/>
      <w:r/>
      <w:bookmarkEnd w:id="51"/>
      <w:r/>
      <w:bookmarkEnd w:id="52"/>
      <w:r/>
      <w:r/>
    </w:p>
    <w:p>
      <w:pPr>
        <w:pStyle w:val="730"/>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2.1满足招标公告中供应商的资格要求的规定。</w:t>
      </w:r>
      <w:r/>
    </w:p>
    <w:p>
      <w:pPr>
        <w:pStyle w:val="730"/>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2.2满足本文件实质性要求和条件的规定。</w:t>
      </w:r>
      <w:r/>
    </w:p>
    <w:p>
      <w:pPr>
        <w:pStyle w:val="730"/>
        <w:ind w:firstLine="420"/>
        <w:jc w:val="both"/>
        <w:keepLines/>
        <w:keepNext/>
        <w:spacing w:beforeAutospacing="0" w:afterAutospacing="0" w:line="480" w:lineRule="exact"/>
        <w:rPr>
          <w:rFonts w:hint="eastAsia" w:ascii="宋体" w:hAnsi="宋体" w:eastAsia="宋体" w:cs="宋体"/>
          <w:b/>
          <w:bCs/>
        </w:rPr>
        <w:outlineLvl w:val="1"/>
      </w:pPr>
      <w:r/>
      <w:bookmarkStart w:id="53" w:name="_Toc16938522"/>
      <w:r/>
      <w:bookmarkStart w:id="54" w:name="_Toc513029206"/>
      <w:r/>
      <w:bookmarkStart w:id="55" w:name="_Toc20823278"/>
      <w:r>
        <w:rPr>
          <w:rFonts w:hint="eastAsia" w:ascii="宋体" w:hAnsi="宋体" w:eastAsia="宋体" w:cs="宋体"/>
          <w:b/>
          <w:bCs/>
        </w:rPr>
        <w:t xml:space="preserve">3、适用法律</w:t>
      </w:r>
      <w:bookmarkEnd w:id="53"/>
      <w:r/>
      <w:bookmarkEnd w:id="54"/>
      <w:r/>
      <w:bookmarkEnd w:id="55"/>
      <w:r/>
      <w:r/>
    </w:p>
    <w:p>
      <w:pPr>
        <w:pStyle w:val="730"/>
        <w:ind w:firstLine="42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3.1本次招标及由此产生的合同受中华人民共和国有关的法律法规制约和保护。</w:t>
      </w:r>
      <w:r/>
    </w:p>
    <w:p>
      <w:pPr>
        <w:pStyle w:val="730"/>
        <w:ind w:firstLine="420"/>
        <w:jc w:val="both"/>
        <w:keepLines/>
        <w:keepNext/>
        <w:spacing w:beforeAutospacing="0" w:afterAutospacing="0" w:line="480" w:lineRule="exact"/>
        <w:rPr>
          <w:rFonts w:hint="eastAsia" w:ascii="宋体" w:hAnsi="宋体" w:eastAsia="宋体" w:cs="宋体"/>
          <w:b/>
          <w:bCs/>
        </w:rPr>
        <w:outlineLvl w:val="1"/>
      </w:pPr>
      <w:r/>
      <w:bookmarkStart w:id="56" w:name="_Toc16938523"/>
      <w:r/>
      <w:bookmarkStart w:id="57" w:name="_Toc20823279"/>
      <w:r/>
      <w:bookmarkStart w:id="58" w:name="_Toc462564067"/>
      <w:r/>
      <w:bookmarkStart w:id="59" w:name="_Toc513029207"/>
      <w:r>
        <w:rPr>
          <w:rFonts w:hint="eastAsia" w:ascii="宋体" w:hAnsi="宋体" w:eastAsia="宋体" w:cs="宋体"/>
          <w:b/>
          <w:bCs/>
        </w:rPr>
        <w:t xml:space="preserve">4、投标费用</w:t>
      </w:r>
      <w:bookmarkEnd w:id="56"/>
      <w:r/>
      <w:bookmarkEnd w:id="57"/>
      <w:r/>
      <w:bookmarkEnd w:id="58"/>
      <w:r/>
      <w:bookmarkEnd w:id="59"/>
      <w:r/>
      <w:r/>
    </w:p>
    <w:p>
      <w:pPr>
        <w:pStyle w:val="730"/>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4.1投标人应自行承担所有与参加投标有关的费用，无论投标过程中的做法和结果如何，射阳县行政服务中心（以下简称采购中心）在任何情况下均无义务和责任承担这些费用。</w:t>
      </w:r>
      <w:r/>
    </w:p>
    <w:p>
      <w:pPr>
        <w:pStyle w:val="730"/>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4.2本次招标采购中心和采购人不收取标书工本费与中标服务费。</w:t>
      </w:r>
      <w:r/>
    </w:p>
    <w:p>
      <w:pPr>
        <w:pStyle w:val="730"/>
        <w:ind w:firstLine="482"/>
        <w:jc w:val="both"/>
        <w:keepLines/>
        <w:keepNext/>
        <w:spacing w:beforeAutospacing="0" w:afterAutospacing="0" w:line="480" w:lineRule="exact"/>
        <w:rPr>
          <w:rFonts w:hint="eastAsia" w:ascii="宋体" w:hAnsi="宋体" w:eastAsia="宋体" w:cs="宋体"/>
          <w:b/>
        </w:rPr>
        <w:outlineLvl w:val="1"/>
      </w:pPr>
      <w:r>
        <w:rPr>
          <w:rFonts w:hint="eastAsia" w:ascii="宋体" w:hAnsi="宋体" w:eastAsia="宋体" w:cs="宋体"/>
          <w:b/>
        </w:rPr>
        <w:t xml:space="preserve">5、招标文件的约束力</w:t>
      </w:r>
      <w:r/>
    </w:p>
    <w:p>
      <w:pPr>
        <w:pStyle w:val="730"/>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5.1投标人一旦参加本项目采购活动，即被认为接受了本招标文件的规定和约束。</w:t>
      </w:r>
      <w:r/>
    </w:p>
    <w:p>
      <w:pPr>
        <w:pStyle w:val="730"/>
        <w:ind w:firstLine="321"/>
        <w:jc w:val="both"/>
        <w:keepLines/>
        <w:keepNext/>
        <w:spacing w:before="145" w:beforeAutospacing="0" w:after="145" w:afterAutospacing="0" w:line="480" w:lineRule="exact"/>
        <w:rPr>
          <w:rFonts w:hint="eastAsia" w:ascii="宋体" w:hAnsi="宋体" w:eastAsia="宋体" w:cs="宋体"/>
        </w:rPr>
        <w:outlineLvl w:val="0"/>
      </w:pPr>
      <w:r/>
      <w:bookmarkStart w:id="60" w:name="_Toc513029209"/>
      <w:r/>
      <w:bookmarkStart w:id="61" w:name="_Toc16938525"/>
      <w:r/>
      <w:bookmarkStart w:id="62" w:name="_Toc20823281"/>
      <w:r/>
      <w:bookmarkStart w:id="63" w:name="_Toc120614215"/>
      <w:r>
        <w:rPr>
          <w:rFonts w:hint="eastAsia" w:ascii="宋体" w:hAnsi="宋体" w:eastAsia="宋体" w:cs="宋体"/>
          <w:b/>
        </w:rPr>
        <w:t xml:space="preserve">二、招标文件</w:t>
      </w:r>
      <w:bookmarkEnd w:id="60"/>
      <w:r/>
      <w:bookmarkEnd w:id="61"/>
      <w:r/>
      <w:bookmarkEnd w:id="62"/>
      <w:r/>
      <w:bookmarkEnd w:id="63"/>
      <w:r/>
      <w:r/>
    </w:p>
    <w:p>
      <w:pPr>
        <w:pStyle w:val="730"/>
        <w:ind w:firstLine="420"/>
        <w:jc w:val="both"/>
        <w:keepLines/>
        <w:keepNext/>
        <w:spacing w:beforeAutospacing="0" w:afterAutospacing="0" w:line="480" w:lineRule="exact"/>
        <w:rPr>
          <w:rFonts w:hint="eastAsia" w:ascii="宋体" w:hAnsi="宋体" w:eastAsia="宋体" w:cs="宋体"/>
          <w:b/>
          <w:bCs/>
        </w:rPr>
        <w:outlineLvl w:val="1"/>
      </w:pPr>
      <w:r/>
      <w:bookmarkStart w:id="64" w:name="_Toc16938526"/>
      <w:r/>
      <w:bookmarkStart w:id="65" w:name="_Toc513029210"/>
      <w:r/>
      <w:bookmarkStart w:id="66" w:name="_Toc20823282"/>
      <w:r>
        <w:rPr>
          <w:rFonts w:hint="eastAsia" w:ascii="宋体" w:hAnsi="宋体" w:eastAsia="宋体" w:cs="宋体"/>
          <w:b/>
          <w:bCs/>
        </w:rPr>
        <w:t xml:space="preserve">6、招标文件构成</w:t>
      </w:r>
      <w:bookmarkEnd w:id="64"/>
      <w:r/>
      <w:bookmarkEnd w:id="65"/>
      <w:r/>
      <w:bookmarkEnd w:id="66"/>
      <w:r/>
      <w:r/>
    </w:p>
    <w:p>
      <w:pPr>
        <w:pStyle w:val="730"/>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6.1 招标文件由以下部分组成：</w:t>
      </w:r>
      <w:r/>
    </w:p>
    <w:p>
      <w:pPr>
        <w:pStyle w:val="730"/>
        <w:ind w:firstLine="36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（1）招标公告</w:t>
      </w:r>
      <w:r/>
    </w:p>
    <w:p>
      <w:pPr>
        <w:pStyle w:val="730"/>
        <w:ind w:firstLine="36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（2）投标人须知</w:t>
      </w:r>
      <w:r/>
    </w:p>
    <w:p>
      <w:pPr>
        <w:pStyle w:val="730"/>
        <w:ind w:firstLine="36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（3）合同文本</w:t>
      </w:r>
      <w:r/>
    </w:p>
    <w:p>
      <w:pPr>
        <w:pStyle w:val="730"/>
        <w:ind w:firstLine="36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（4）采购需求</w:t>
      </w:r>
      <w:r/>
    </w:p>
    <w:p>
      <w:pPr>
        <w:pStyle w:val="730"/>
        <w:ind w:firstLine="36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（5）评标方法与评标标准</w:t>
      </w:r>
      <w:r/>
    </w:p>
    <w:p>
      <w:pPr>
        <w:pStyle w:val="730"/>
        <w:ind w:firstLine="36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（6）投标文件格式</w:t>
      </w:r>
      <w:r/>
    </w:p>
    <w:p>
      <w:pPr>
        <w:pStyle w:val="730"/>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请仔细检查招标文件是否齐全，如有缺漏请立即与采购中心联系解决。</w:t>
      </w:r>
      <w:r/>
    </w:p>
    <w:p>
      <w:pPr>
        <w:pStyle w:val="730"/>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30"/>
        <w:ind w:firstLine="560"/>
        <w:jc w:val="both"/>
        <w:keepLines/>
        <w:keepNext/>
        <w:spacing w:beforeAutospacing="0" w:afterAutospacing="0" w:line="480" w:lineRule="exact"/>
        <w:rPr>
          <w:rFonts w:hint="eastAsia" w:ascii="宋体" w:hAnsi="宋体" w:eastAsia="宋体" w:cs="宋体"/>
          <w:b/>
          <w:bCs/>
        </w:rPr>
        <w:outlineLvl w:val="1"/>
      </w:pPr>
      <w:r/>
      <w:bookmarkStart w:id="67" w:name="_Toc20823283"/>
      <w:r/>
      <w:bookmarkStart w:id="68" w:name="_Toc513029211"/>
      <w:r/>
      <w:bookmarkStart w:id="69" w:name="_Toc16938527"/>
      <w:r/>
      <w:bookmarkStart w:id="70" w:name="_Toc462564070"/>
      <w:r>
        <w:rPr>
          <w:rFonts w:hint="eastAsia" w:ascii="宋体" w:hAnsi="宋体" w:eastAsia="宋体" w:cs="宋体"/>
          <w:b/>
          <w:bCs/>
        </w:rPr>
        <w:t xml:space="preserve">7、招标文件的澄清</w:t>
      </w:r>
      <w:bookmarkEnd w:id="67"/>
      <w:r/>
      <w:bookmarkEnd w:id="68"/>
      <w:r/>
      <w:bookmarkEnd w:id="69"/>
      <w:r/>
      <w:bookmarkEnd w:id="70"/>
      <w:r/>
      <w:r/>
    </w:p>
    <w:p>
      <w:pPr>
        <w:pStyle w:val="730"/>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7.1任何要求对招标文件进行澄清的投标人，应在投标截止期</w:t>
      </w:r>
      <w:r>
        <w:rPr>
          <w:rFonts w:hint="eastAsia" w:ascii="宋体" w:hAnsi="宋体" w:eastAsia="宋体" w:cs="宋体"/>
          <w:b/>
        </w:rPr>
        <w:t xml:space="preserve">十日</w:t>
      </w:r>
      <w:r>
        <w:rPr>
          <w:rFonts w:hint="eastAsia" w:ascii="宋体" w:hAnsi="宋体" w:eastAsia="宋体" w:cs="宋体"/>
        </w:rPr>
        <w:t xml:space="preserve">前按招标公告中的通讯地址，以书面形式通知采购中心。</w:t>
      </w:r>
      <w:r/>
    </w:p>
    <w:p>
      <w:pPr>
        <w:pStyle w:val="730"/>
        <w:ind w:firstLine="560"/>
        <w:jc w:val="both"/>
        <w:keepLines/>
        <w:keepNext/>
        <w:spacing w:beforeAutospacing="0" w:afterAutospacing="0" w:line="480" w:lineRule="exact"/>
        <w:rPr>
          <w:rFonts w:hint="eastAsia" w:ascii="宋体" w:hAnsi="宋体" w:eastAsia="宋体" w:cs="宋体"/>
          <w:b/>
          <w:bCs/>
        </w:rPr>
        <w:outlineLvl w:val="1"/>
      </w:pPr>
      <w:r/>
      <w:bookmarkStart w:id="71" w:name="_Toc20823284"/>
      <w:r/>
      <w:bookmarkStart w:id="72" w:name="_Toc462564071"/>
      <w:r/>
      <w:bookmarkStart w:id="73" w:name="_Toc16938528"/>
      <w:r/>
      <w:bookmarkStart w:id="74" w:name="_Toc513029212"/>
      <w:r>
        <w:rPr>
          <w:rFonts w:hint="eastAsia" w:ascii="宋体" w:hAnsi="宋体" w:eastAsia="宋体" w:cs="宋体"/>
          <w:b/>
          <w:bCs/>
        </w:rPr>
        <w:t xml:space="preserve">8、招标文件的修改</w:t>
      </w:r>
      <w:bookmarkEnd w:id="71"/>
      <w:r/>
      <w:bookmarkEnd w:id="72"/>
      <w:r/>
      <w:bookmarkEnd w:id="73"/>
      <w:r/>
      <w:bookmarkEnd w:id="74"/>
      <w:r/>
      <w:r/>
    </w:p>
    <w:p>
      <w:pPr>
        <w:pStyle w:val="730"/>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8.1在投标截止时间前，采购中心可以对招标文件进行修改。</w:t>
      </w:r>
      <w:r/>
    </w:p>
    <w:p>
      <w:pPr>
        <w:pStyle w:val="730"/>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8.2采购中心有权按照法定的要求推迟投标截止日期和开标日期。</w:t>
      </w:r>
      <w:r/>
    </w:p>
    <w:p>
      <w:pPr>
        <w:pStyle w:val="730"/>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8.3招标文件的修改将在中国政府采购网</w:t>
      </w:r>
      <w:r>
        <w:rPr>
          <w:rFonts w:hint="eastAsia" w:ascii="宋体" w:hAnsi="宋体" w:eastAsia="宋体" w:cs="宋体"/>
          <w:shd w:val="clear" w:color="auto" w:fill="ffffff"/>
        </w:rPr>
        <w:t xml:space="preserve">、</w:t>
      </w:r>
      <w:r>
        <w:rPr>
          <w:rFonts w:hint="eastAsia" w:ascii="宋体" w:hAnsi="宋体" w:eastAsia="宋体" w:cs="宋体"/>
        </w:rPr>
        <w:t xml:space="preserve">江苏政府采购网、盐城市政府采购网公布，补充文件将作为招标文件的组成部分，并对投标人具有约束力。</w:t>
      </w:r>
      <w:r/>
    </w:p>
    <w:p>
      <w:pPr>
        <w:pStyle w:val="730"/>
        <w:ind w:firstLine="482"/>
        <w:jc w:val="both"/>
        <w:keepLines/>
        <w:keepNext/>
        <w:spacing w:before="145" w:beforeAutospacing="0" w:after="145" w:afterAutospacing="0" w:line="480" w:lineRule="exact"/>
        <w:rPr>
          <w:rFonts w:hint="eastAsia" w:ascii="宋体" w:hAnsi="宋体" w:eastAsia="宋体" w:cs="宋体"/>
        </w:rPr>
        <w:outlineLvl w:val="0"/>
      </w:pPr>
      <w:r/>
      <w:bookmarkStart w:id="75" w:name="_Toc462564072"/>
      <w:r/>
      <w:bookmarkStart w:id="76" w:name="_Toc513029213"/>
      <w:r/>
      <w:bookmarkStart w:id="77" w:name="_Toc20823285"/>
      <w:r/>
      <w:bookmarkStart w:id="78" w:name="_Toc120614216"/>
      <w:r/>
      <w:bookmarkStart w:id="79" w:name="_Toc16938529"/>
      <w:r>
        <w:rPr>
          <w:rFonts w:hint="eastAsia" w:ascii="宋体" w:hAnsi="宋体" w:eastAsia="宋体" w:cs="宋体"/>
          <w:b/>
        </w:rPr>
        <w:t xml:space="preserve">三、投标文件的编制</w:t>
      </w:r>
      <w:bookmarkEnd w:id="75"/>
      <w:r/>
      <w:bookmarkEnd w:id="76"/>
      <w:r/>
      <w:bookmarkEnd w:id="77"/>
      <w:r/>
      <w:bookmarkEnd w:id="78"/>
      <w:r/>
      <w:bookmarkEnd w:id="79"/>
      <w:r/>
      <w:r/>
    </w:p>
    <w:p>
      <w:pPr>
        <w:pStyle w:val="730"/>
        <w:ind w:firstLine="560"/>
        <w:jc w:val="both"/>
        <w:keepLines/>
        <w:keepNext/>
        <w:spacing w:beforeAutospacing="0" w:afterAutospacing="0" w:line="480" w:lineRule="exact"/>
        <w:rPr>
          <w:rFonts w:hint="eastAsia" w:ascii="宋体" w:hAnsi="宋体" w:eastAsia="宋体" w:cs="宋体"/>
          <w:b/>
          <w:bCs/>
        </w:rPr>
        <w:outlineLvl w:val="1"/>
      </w:pPr>
      <w:r/>
      <w:bookmarkStart w:id="80" w:name="_Toc20823286"/>
      <w:r/>
      <w:bookmarkStart w:id="81" w:name="_Toc513029214"/>
      <w:r/>
      <w:bookmarkStart w:id="82" w:name="_Toc462564073"/>
      <w:r/>
      <w:bookmarkStart w:id="83" w:name="_Toc16938530"/>
      <w:r>
        <w:rPr>
          <w:rFonts w:hint="eastAsia" w:ascii="宋体" w:hAnsi="宋体" w:eastAsia="宋体" w:cs="宋体"/>
          <w:b/>
          <w:bCs/>
        </w:rPr>
        <w:t xml:space="preserve">9、投标文件的语言及度量衡单位</w:t>
      </w:r>
      <w:bookmarkEnd w:id="80"/>
      <w:r/>
      <w:bookmarkEnd w:id="81"/>
      <w:r/>
      <w:bookmarkEnd w:id="82"/>
      <w:r/>
      <w:bookmarkEnd w:id="83"/>
      <w:r/>
      <w:r/>
    </w:p>
    <w:p>
      <w:pPr>
        <w:pStyle w:val="730"/>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9.1投标人提交的投标文件以及投标人与采购中心就有关投标的所有来往通知、函件和文件均应使用</w:t>
      </w:r>
      <w:r>
        <w:rPr>
          <w:rFonts w:hint="eastAsia" w:ascii="宋体" w:hAnsi="宋体" w:eastAsia="宋体" w:cs="宋体"/>
          <w:b/>
        </w:rPr>
        <w:t xml:space="preserve">简体中文</w:t>
      </w:r>
      <w:r>
        <w:rPr>
          <w:rFonts w:hint="eastAsia" w:ascii="宋体" w:hAnsi="宋体" w:eastAsia="宋体" w:cs="宋体"/>
        </w:rPr>
        <w:t xml:space="preserve">。</w:t>
      </w:r>
      <w:r/>
    </w:p>
    <w:p>
      <w:pPr>
        <w:pStyle w:val="730"/>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9.2除技术性能另有规定外，投标文件所使用的度量衡单位，均须采用国家法定计量单位。</w:t>
      </w:r>
      <w:r/>
    </w:p>
    <w:p>
      <w:pPr>
        <w:pStyle w:val="730"/>
        <w:ind w:firstLine="420"/>
        <w:jc w:val="both"/>
        <w:keepLines/>
        <w:keepNext/>
        <w:spacing w:beforeAutospacing="0" w:afterAutospacing="0" w:line="480" w:lineRule="exact"/>
        <w:rPr>
          <w:rFonts w:hint="eastAsia" w:ascii="宋体" w:hAnsi="宋体" w:eastAsia="宋体" w:cs="宋体"/>
          <w:b/>
          <w:bCs/>
        </w:rPr>
        <w:outlineLvl w:val="1"/>
      </w:pPr>
      <w:r/>
      <w:bookmarkStart w:id="84" w:name="_Toc462564074"/>
      <w:r/>
      <w:bookmarkStart w:id="85" w:name="_Toc513029215"/>
      <w:r/>
      <w:bookmarkStart w:id="86" w:name="_Toc16938531"/>
      <w:r/>
      <w:bookmarkStart w:id="87" w:name="_Toc20823287"/>
      <w:r>
        <w:rPr>
          <w:rFonts w:hint="eastAsia" w:ascii="宋体" w:hAnsi="宋体" w:eastAsia="宋体" w:cs="宋体"/>
          <w:b/>
          <w:bCs/>
        </w:rPr>
        <w:t xml:space="preserve">10、投标文件构成</w:t>
      </w:r>
      <w:bookmarkEnd w:id="84"/>
      <w:r/>
      <w:bookmarkEnd w:id="85"/>
      <w:r/>
      <w:bookmarkEnd w:id="86"/>
      <w:r/>
      <w:bookmarkEnd w:id="87"/>
      <w:r/>
      <w:r/>
    </w:p>
    <w:p>
      <w:pPr>
        <w:pStyle w:val="730"/>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10.1投标人编写的投标文件应包括资格证明文件、符合性证明文件、投标分项报价表、技术要求响应及偏离表、商务要求响应及偏离表、其他证明文件、投标函、开标一览表等部分。</w:t>
      </w:r>
      <w:r/>
    </w:p>
    <w:p>
      <w:pPr>
        <w:pStyle w:val="730"/>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10.2如标书制作工具中格式和内容与</w:t>
      </w:r>
      <w:r>
        <w:rPr>
          <w:rFonts w:hint="eastAsia" w:ascii="宋体" w:hAnsi="宋体" w:eastAsia="宋体" w:cs="宋体"/>
          <w:shd w:val="clear" w:color="auto" w:fill="ffffff"/>
        </w:rPr>
        <w:t xml:space="preserve">“</w:t>
      </w:r>
      <w:r>
        <w:rPr>
          <w:rFonts w:hint="eastAsia" w:ascii="宋体" w:hAnsi="宋体" w:eastAsia="宋体" w:cs="宋体"/>
        </w:rPr>
        <w:t xml:space="preserve">中国政府采购网</w:t>
      </w:r>
      <w:r>
        <w:rPr>
          <w:rFonts w:hint="eastAsia" w:ascii="宋体" w:hAnsi="宋体" w:eastAsia="宋体" w:cs="宋体"/>
          <w:shd w:val="clear" w:color="auto" w:fill="ffffff"/>
        </w:rPr>
        <w:t xml:space="preserve">”、</w:t>
      </w:r>
      <w:r>
        <w:rPr>
          <w:rFonts w:hint="eastAsia" w:ascii="宋体" w:hAnsi="宋体" w:eastAsia="宋体" w:cs="宋体"/>
        </w:rPr>
        <w:t xml:space="preserve">“江苏政府采购网”、“盐城市政府采购网”发布的招标文件不一致，请以</w:t>
      </w:r>
      <w:r>
        <w:rPr>
          <w:rFonts w:hint="eastAsia" w:ascii="宋体" w:hAnsi="宋体" w:eastAsia="宋体" w:cs="宋体"/>
          <w:shd w:val="clear" w:color="auto" w:fill="ffffff"/>
        </w:rPr>
        <w:t xml:space="preserve">“</w:t>
      </w:r>
      <w:r>
        <w:rPr>
          <w:rFonts w:hint="eastAsia" w:ascii="宋体" w:hAnsi="宋体" w:eastAsia="宋体" w:cs="宋体"/>
        </w:rPr>
        <w:t xml:space="preserve">中国政府采购网</w:t>
      </w:r>
      <w:r>
        <w:rPr>
          <w:rFonts w:hint="eastAsia" w:ascii="宋体" w:hAnsi="宋体" w:eastAsia="宋体" w:cs="宋体"/>
          <w:shd w:val="clear" w:color="auto" w:fill="ffffff"/>
        </w:rPr>
        <w:t xml:space="preserve">”、</w:t>
      </w:r>
      <w:r>
        <w:rPr>
          <w:rFonts w:hint="eastAsia" w:ascii="宋体" w:hAnsi="宋体" w:eastAsia="宋体" w:cs="宋体"/>
        </w:rPr>
        <w:t xml:space="preserve">“江苏政府采购网”、“盐城市政府采购网”发布的招标文件为准。</w:t>
      </w:r>
      <w:r/>
    </w:p>
    <w:p>
      <w:pPr>
        <w:pStyle w:val="730"/>
        <w:ind w:firstLine="420"/>
        <w:jc w:val="both"/>
        <w:keepLines/>
        <w:keepNext/>
        <w:spacing w:beforeAutospacing="0" w:afterAutospacing="0" w:line="480" w:lineRule="exact"/>
        <w:rPr>
          <w:rFonts w:hint="eastAsia" w:ascii="宋体" w:hAnsi="宋体" w:eastAsia="宋体" w:cs="宋体"/>
          <w:b/>
          <w:bCs/>
        </w:rPr>
        <w:outlineLvl w:val="1"/>
      </w:pPr>
      <w:r/>
      <w:bookmarkStart w:id="88" w:name="_Toc14577354"/>
      <w:r/>
      <w:bookmarkStart w:id="89" w:name="_Toc49090509"/>
      <w:r/>
      <w:bookmarkStart w:id="90" w:name="_Toc513029216"/>
      <w:r/>
      <w:bookmarkStart w:id="91" w:name="_Toc14577357"/>
      <w:r/>
      <w:bookmarkStart w:id="92" w:name="_Toc513029219"/>
      <w:r/>
      <w:bookmarkStart w:id="93" w:name="_Toc49090507"/>
      <w:r/>
      <w:bookmarkStart w:id="94" w:name="_Hlt26954838"/>
      <w:r/>
      <w:bookmarkStart w:id="95" w:name="_Hlt26668975"/>
      <w:r/>
      <w:bookmarkStart w:id="96" w:name="_Hlt26670360"/>
      <w:r>
        <w:rPr>
          <w:rFonts w:hint="eastAsia" w:ascii="宋体" w:hAnsi="宋体" w:eastAsia="宋体" w:cs="宋体"/>
          <w:b/>
          <w:bCs/>
        </w:rPr>
        <w:t xml:space="preserve">11、证明投标人及投标标的符合招标文件规定的文件</w:t>
      </w:r>
      <w:bookmarkEnd w:id="88"/>
      <w:r/>
      <w:bookmarkEnd w:id="89"/>
      <w:r/>
      <w:bookmarkEnd w:id="90"/>
      <w:r/>
      <w:bookmarkEnd w:id="91"/>
      <w:r/>
      <w:bookmarkEnd w:id="92"/>
      <w:r/>
      <w:bookmarkEnd w:id="93"/>
      <w:r/>
      <w:r/>
    </w:p>
    <w:p>
      <w:pPr>
        <w:pStyle w:val="730"/>
        <w:ind w:firstLine="480"/>
        <w:jc w:val="both"/>
        <w:spacing w:beforeAutospacing="0" w:afterAutospacing="0" w:line="480" w:lineRule="exact"/>
        <w:rPr>
          <w:rFonts w:hint="eastAsia" w:ascii="宋体" w:hAnsi="宋体" w:eastAsia="宋体" w:cs="宋体"/>
        </w:rPr>
      </w:pPr>
      <w:r/>
      <w:bookmarkStart w:id="97" w:name="_Toc14577355"/>
      <w:r/>
      <w:bookmarkStart w:id="98" w:name="_Toc49090508"/>
      <w:r>
        <w:rPr>
          <w:rFonts w:hint="eastAsia" w:ascii="宋体" w:hAnsi="宋体" w:eastAsia="宋体" w:cs="宋体"/>
        </w:rPr>
        <w:t xml:space="preserve">11.1投标人应按照法律、法规、规章和规范性文件以及招标文件要求提交证明文件，证明其及投标标的符合招标文件规定。</w:t>
      </w:r>
      <w:bookmarkEnd w:id="97"/>
      <w:r/>
      <w:bookmarkEnd w:id="98"/>
      <w:r/>
      <w:r/>
    </w:p>
    <w:p>
      <w:pPr>
        <w:pStyle w:val="730"/>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11.2招标文件对证明文件无明确形式要求的，证明文件可以以文字资料、图纸和数据等形式提交。</w:t>
      </w:r>
      <w:r/>
    </w:p>
    <w:p>
      <w:pPr>
        <w:pStyle w:val="730"/>
        <w:ind w:firstLine="420"/>
        <w:jc w:val="both"/>
        <w:keepLines/>
        <w:keepNext/>
        <w:spacing w:beforeAutospacing="0" w:afterAutospacing="0" w:line="480" w:lineRule="exact"/>
        <w:rPr>
          <w:rFonts w:hint="eastAsia" w:ascii="宋体" w:hAnsi="宋体" w:eastAsia="宋体" w:cs="宋体"/>
          <w:b/>
          <w:bCs/>
        </w:rPr>
        <w:outlineLvl w:val="1"/>
      </w:pPr>
      <w:r>
        <w:rPr>
          <w:rFonts w:hint="eastAsia" w:ascii="宋体" w:hAnsi="宋体" w:eastAsia="宋体" w:cs="宋体"/>
          <w:b/>
          <w:bCs/>
        </w:rPr>
        <w:t xml:space="preserve">12、投标分项报价</w:t>
      </w:r>
      <w:bookmarkStart w:id="99" w:name="_Hlt26670373"/>
      <w:r>
        <w:rPr>
          <w:rFonts w:hint="eastAsia" w:ascii="宋体" w:hAnsi="宋体" w:eastAsia="宋体" w:cs="宋体"/>
          <w:b/>
          <w:bCs/>
        </w:rPr>
        <w:t xml:space="preserve">表</w:t>
      </w:r>
      <w:r/>
    </w:p>
    <w:p>
      <w:pPr>
        <w:pStyle w:val="730"/>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12.1投</w:t>
      </w:r>
      <w:bookmarkStart w:id="100" w:name="_Hlt26954840"/>
      <w:r>
        <w:rPr>
          <w:rFonts w:hint="eastAsia" w:ascii="宋体" w:hAnsi="宋体" w:eastAsia="宋体" w:cs="宋体"/>
        </w:rPr>
        <w:t xml:space="preserve">标人应按照招标文件规定格式填报投标分项报价表</w:t>
      </w:r>
      <w:bookmarkStart w:id="101" w:name="_Hlt26670399"/>
      <w:r>
        <w:rPr>
          <w:rFonts w:hint="eastAsia" w:ascii="宋体" w:hAnsi="宋体" w:eastAsia="宋体" w:cs="宋体"/>
        </w:rPr>
        <w:t xml:space="preserve">。</w:t>
      </w:r>
      <w:r/>
    </w:p>
    <w:p>
      <w:pPr>
        <w:pStyle w:val="730"/>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12.2投标货币。投标文件中的单价和总价无特殊规定的采用人民币报价，以元为单位标注。招标文件中另有规定的按规定执行。</w:t>
      </w:r>
      <w:r/>
    </w:p>
    <w:p>
      <w:pPr>
        <w:pStyle w:val="730"/>
        <w:ind w:firstLine="420"/>
        <w:jc w:val="both"/>
        <w:keepLines/>
        <w:keepNext/>
        <w:spacing w:beforeAutospacing="0" w:afterAutospacing="0" w:line="480" w:lineRule="exact"/>
        <w:rPr>
          <w:rFonts w:hint="eastAsia" w:ascii="宋体" w:hAnsi="宋体" w:eastAsia="宋体" w:cs="宋体"/>
          <w:b/>
          <w:bCs/>
        </w:rPr>
        <w:outlineLvl w:val="1"/>
      </w:pPr>
      <w:r/>
      <w:bookmarkStart w:id="102" w:name="_Hlt26954848"/>
      <w:r/>
      <w:bookmarkStart w:id="103" w:name="_Hlt26954731"/>
      <w:r/>
      <w:bookmarkStart w:id="104" w:name="_Hlt26954842"/>
      <w:r/>
      <w:bookmarkStart w:id="105" w:name="_Hlt26954846"/>
      <w:r/>
      <w:bookmarkStart w:id="106" w:name="_Hlt26670486"/>
      <w:r/>
      <w:bookmarkStart w:id="107" w:name="_Hlt26670482"/>
      <w:r/>
      <w:bookmarkStart w:id="108" w:name="_Hlt26954844"/>
      <w:r/>
      <w:bookmarkStart w:id="109" w:name="_Hlt26670403"/>
      <w:r/>
      <w:bookmarkStart w:id="110" w:name="_Hlt26668983"/>
      <w:r/>
      <w:bookmarkStart w:id="111" w:name="_Hlt26670425"/>
      <w:r>
        <w:rPr>
          <w:rFonts w:hint="eastAsia" w:ascii="宋体" w:hAnsi="宋体" w:eastAsia="宋体" w:cs="宋体"/>
          <w:b/>
          <w:bCs/>
        </w:rPr>
        <w:t xml:space="preserve">13、技术要求响应及偏离表、商务要求响应及偏离表</w:t>
      </w:r>
      <w:r/>
    </w:p>
    <w:p>
      <w:pPr>
        <w:pStyle w:val="730"/>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13.1投标人需对招标文件中的技术要求与商务要求逐项作出响应或偏离，并说明原因。</w:t>
      </w:r>
      <w:r/>
    </w:p>
    <w:p>
      <w:pPr>
        <w:pStyle w:val="730"/>
        <w:ind w:firstLine="480"/>
        <w:jc w:val="both"/>
        <w:spacing w:beforeAutospacing="0" w:afterAutospacing="0" w:line="480" w:lineRule="exact"/>
        <w:tabs>
          <w:tab w:val="left" w:pos="1036" w:leader="none"/>
        </w:tabs>
        <w:rPr>
          <w:rFonts w:hint="eastAsia" w:ascii="宋体" w:hAnsi="宋体" w:eastAsia="宋体" w:cs="宋体"/>
        </w:rPr>
      </w:pPr>
      <w:r>
        <w:rPr>
          <w:rFonts w:hint="eastAsia" w:ascii="宋体" w:hAnsi="宋体" w:eastAsia="宋体" w:cs="宋体"/>
        </w:rPr>
        <w:t xml:space="preserve">13.2投标人可在投标文件中提供认为需要的其他技术文件或说明。</w:t>
      </w:r>
      <w:r/>
    </w:p>
    <w:p>
      <w:pPr>
        <w:pStyle w:val="730"/>
        <w:ind w:firstLine="420"/>
        <w:jc w:val="both"/>
        <w:keepLines/>
        <w:keepNext/>
        <w:spacing w:beforeAutospacing="0" w:afterAutospacing="0" w:line="480" w:lineRule="exact"/>
        <w:rPr>
          <w:rFonts w:hint="eastAsia" w:ascii="宋体" w:hAnsi="宋体" w:eastAsia="宋体" w:cs="宋体"/>
          <w:b/>
          <w:bCs/>
        </w:rPr>
        <w:outlineLvl w:val="1"/>
      </w:pPr>
      <w:r/>
      <w:bookmarkStart w:id="112" w:name="_Toc49090510"/>
      <w:r/>
      <w:bookmarkStart w:id="113" w:name="_Toc14577359"/>
      <w:r>
        <w:rPr>
          <w:rFonts w:hint="eastAsia" w:ascii="宋体" w:hAnsi="宋体" w:eastAsia="宋体" w:cs="宋体"/>
          <w:b/>
          <w:bCs/>
        </w:rPr>
        <w:t xml:space="preserve">14、投标函和开标一览表</w:t>
      </w:r>
      <w:bookmarkEnd w:id="112"/>
      <w:r/>
      <w:bookmarkEnd w:id="113"/>
      <w:r/>
      <w:r/>
    </w:p>
    <w:p>
      <w:pPr>
        <w:pStyle w:val="730"/>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14.1投标人应按照招标文件中提供的格式完整、正确填写投标函、开标一览表。</w:t>
      </w:r>
      <w:r/>
    </w:p>
    <w:p>
      <w:pPr>
        <w:pStyle w:val="730"/>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rPr>
        <w:t xml:space="preserve">。</w:t>
      </w:r>
      <w:r/>
    </w:p>
    <w:p>
      <w:pPr>
        <w:pStyle w:val="730"/>
        <w:ind w:firstLine="420"/>
        <w:jc w:val="both"/>
        <w:keepLines/>
        <w:keepNext/>
        <w:spacing w:beforeAutospacing="0" w:afterAutospacing="0" w:line="480" w:lineRule="exact"/>
        <w:rPr>
          <w:rFonts w:hint="eastAsia" w:ascii="宋体" w:hAnsi="宋体" w:eastAsia="宋体" w:cs="宋体"/>
          <w:b/>
          <w:bCs/>
        </w:rPr>
        <w:outlineLvl w:val="1"/>
      </w:pPr>
      <w:r/>
      <w:bookmarkStart w:id="114" w:name="_Toc49090511"/>
      <w:r/>
      <w:bookmarkStart w:id="115" w:name="_Toc14577360"/>
      <w:r/>
      <w:bookmarkStart w:id="116" w:name="_Hlt26954734"/>
      <w:r/>
      <w:bookmarkStart w:id="117" w:name="_Hlt26954850"/>
      <w:r/>
      <w:bookmarkStart w:id="118" w:name="_Hlt26670489"/>
      <w:r>
        <w:rPr>
          <w:rFonts w:hint="eastAsia" w:ascii="宋体" w:hAnsi="宋体" w:eastAsia="宋体" w:cs="宋体"/>
          <w:b/>
          <w:bCs/>
        </w:rPr>
        <w:t xml:space="preserve">15、投标有效期</w:t>
      </w:r>
      <w:bookmarkEnd w:id="114"/>
      <w:r/>
      <w:bookmarkEnd w:id="115"/>
      <w:r/>
      <w:r/>
    </w:p>
    <w:p>
      <w:pPr>
        <w:pStyle w:val="730"/>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15.1投标有效期为采购中心规定的开标之日后</w:t>
      </w:r>
      <w:r>
        <w:rPr>
          <w:rFonts w:hint="eastAsia" w:ascii="宋体" w:hAnsi="宋体" w:eastAsia="宋体" w:cs="宋体"/>
          <w:b/>
          <w:u w:val="single"/>
        </w:rPr>
        <w:t xml:space="preserve">九十（90）天</w:t>
      </w:r>
      <w:r>
        <w:rPr>
          <w:rFonts w:hint="eastAsia" w:ascii="宋体" w:hAnsi="宋体" w:eastAsia="宋体" w:cs="宋体"/>
        </w:rPr>
        <w:t xml:space="preserve">。投标有效期比规定短的将被视为未实质性响应招标文件而予以拒绝。</w:t>
      </w:r>
      <w:r/>
    </w:p>
    <w:p>
      <w:pPr>
        <w:pStyle w:val="730"/>
        <w:ind w:firstLine="420"/>
        <w:jc w:val="both"/>
        <w:keepLines/>
        <w:keepNext/>
        <w:spacing w:beforeAutospacing="0" w:afterAutospacing="0" w:line="480" w:lineRule="exact"/>
        <w:rPr>
          <w:rFonts w:hint="eastAsia" w:ascii="宋体" w:hAnsi="宋体" w:eastAsia="宋体" w:cs="宋体"/>
          <w:b/>
          <w:bCs/>
        </w:rPr>
        <w:outlineLvl w:val="1"/>
      </w:pPr>
      <w:r>
        <w:rPr>
          <w:rFonts w:hint="eastAsia" w:ascii="宋体" w:hAnsi="宋体" w:eastAsia="宋体" w:cs="宋体"/>
          <w:b/>
          <w:bCs/>
        </w:rPr>
        <w:t xml:space="preserve">16、投标有效期的延长</w:t>
      </w:r>
      <w:r/>
    </w:p>
    <w:p>
      <w:pPr>
        <w:pStyle w:val="730"/>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p>
    <w:p>
      <w:pPr>
        <w:pStyle w:val="730"/>
        <w:ind w:firstLine="482"/>
        <w:jc w:val="both"/>
        <w:spacing w:before="145" w:beforeAutospacing="0" w:after="145" w:afterAutospacing="0" w:line="480" w:lineRule="exact"/>
        <w:rPr>
          <w:rFonts w:hint="eastAsia" w:ascii="宋体" w:hAnsi="宋体" w:eastAsia="宋体" w:cs="宋体"/>
        </w:rPr>
        <w:outlineLvl w:val="0"/>
      </w:pPr>
      <w:r/>
      <w:bookmarkStart w:id="119" w:name="_Toc20823296"/>
      <w:r/>
      <w:bookmarkStart w:id="120" w:name="_Toc120614217"/>
      <w:r/>
      <w:bookmarkStart w:id="121" w:name="_Toc16938540"/>
      <w:r/>
      <w:bookmarkStart w:id="122" w:name="_Toc513029224"/>
      <w:r/>
      <w:bookmarkStart w:id="123" w:name="_Hlt26954739"/>
      <w:r/>
      <w:bookmarkStart w:id="124" w:name="_Hlt26954852"/>
      <w:r>
        <w:rPr>
          <w:rFonts w:hint="eastAsia" w:ascii="宋体" w:hAnsi="宋体" w:eastAsia="宋体" w:cs="宋体"/>
          <w:b/>
        </w:rPr>
        <w:t xml:space="preserve">四、投标文件的递交</w:t>
      </w:r>
      <w:bookmarkEnd w:id="119"/>
      <w:r/>
      <w:bookmarkEnd w:id="120"/>
      <w:r/>
      <w:bookmarkEnd w:id="121"/>
      <w:r/>
      <w:bookmarkEnd w:id="122"/>
      <w:r/>
      <w:r/>
    </w:p>
    <w:p>
      <w:pPr>
        <w:pStyle w:val="730"/>
        <w:ind w:firstLine="561"/>
        <w:jc w:val="both"/>
        <w:spacing w:beforeAutospacing="0" w:afterAutospacing="0" w:line="480" w:lineRule="exact"/>
        <w:rPr>
          <w:rFonts w:hint="eastAsia" w:ascii="宋体" w:hAnsi="宋体" w:eastAsia="宋体" w:cs="宋体"/>
          <w:b/>
          <w:bCs/>
        </w:rPr>
        <w:outlineLvl w:val="1"/>
      </w:pPr>
      <w:r/>
      <w:bookmarkStart w:id="125" w:name="_Toc20823297"/>
      <w:r/>
      <w:bookmarkStart w:id="126" w:name="_Toc16938541"/>
      <w:r/>
      <w:bookmarkStart w:id="127" w:name="_Toc462564084"/>
      <w:r/>
      <w:bookmarkStart w:id="128" w:name="_Toc513029225"/>
      <w:r>
        <w:rPr>
          <w:rFonts w:hint="eastAsia" w:ascii="宋体" w:hAnsi="宋体" w:eastAsia="宋体" w:cs="宋体"/>
          <w:b/>
          <w:bCs/>
        </w:rPr>
        <w:t xml:space="preserve">17、投标文件</w:t>
      </w:r>
      <w:bookmarkEnd w:id="125"/>
      <w:r/>
      <w:bookmarkEnd w:id="126"/>
      <w:r/>
      <w:bookmarkEnd w:id="127"/>
      <w:r/>
      <w:bookmarkEnd w:id="128"/>
      <w:r>
        <w:rPr>
          <w:rFonts w:hint="eastAsia" w:ascii="宋体" w:hAnsi="宋体" w:eastAsia="宋体" w:cs="宋体"/>
          <w:b/>
          <w:bCs/>
        </w:rPr>
        <w:t xml:space="preserve">的递交</w:t>
      </w:r>
      <w:r/>
    </w:p>
    <w:p>
      <w:pPr>
        <w:pStyle w:val="730"/>
        <w:ind w:firstLine="480"/>
        <w:jc w:val="both"/>
        <w:spacing w:beforeAutospacing="0" w:afterAutospacing="0" w:line="480" w:lineRule="exact"/>
        <w:rPr>
          <w:rFonts w:hint="eastAsia" w:ascii="宋体" w:hAnsi="宋体" w:eastAsia="宋体" w:cs="宋体"/>
        </w:rPr>
        <w:outlineLvl w:val="2"/>
      </w:pPr>
      <w:r>
        <w:rPr>
          <w:rFonts w:hint="eastAsia" w:ascii="宋体" w:hAnsi="宋体" w:eastAsia="宋体" w:cs="宋体"/>
        </w:rPr>
        <w:t xml:space="preserve">17.1 电子投标文件的递交</w:t>
      </w:r>
      <w:r/>
    </w:p>
    <w:p>
      <w:pPr>
        <w:pStyle w:val="730"/>
        <w:ind w:left="525"/>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投标人应当按照《操作手册》规定，在投标截止时间前制作并上传电子投标文件。</w:t>
      </w:r>
      <w:bookmarkStart w:id="129" w:name="_Toc16938542"/>
      <w:r/>
      <w:bookmarkEnd w:id="129"/>
      <w:r/>
      <w:bookmarkStart w:id="130" w:name="_Toc20823298"/>
      <w:r/>
      <w:bookmarkEnd w:id="130"/>
      <w:r/>
      <w:bookmarkStart w:id="131" w:name="_Toc513029226"/>
      <w:r/>
      <w:r/>
    </w:p>
    <w:p>
      <w:pPr>
        <w:pStyle w:val="730"/>
        <w:ind w:firstLine="561"/>
        <w:jc w:val="both"/>
        <w:spacing w:beforeAutospacing="0" w:afterAutospacing="0" w:line="480" w:lineRule="exact"/>
        <w:rPr>
          <w:rFonts w:hint="eastAsia" w:ascii="宋体" w:hAnsi="宋体" w:eastAsia="宋体" w:cs="宋体"/>
          <w:b/>
          <w:bCs/>
        </w:rPr>
        <w:outlineLvl w:val="1"/>
      </w:pPr>
      <w:r>
        <w:rPr>
          <w:rFonts w:hint="eastAsia" w:ascii="宋体" w:hAnsi="宋体" w:eastAsia="宋体" w:cs="宋体"/>
          <w:b/>
          <w:bCs/>
        </w:rPr>
        <w:t xml:space="preserve">18、投标截止时间</w:t>
      </w:r>
      <w:r/>
    </w:p>
    <w:p>
      <w:pPr>
        <w:pStyle w:val="730"/>
        <w:ind w:firstLine="480"/>
        <w:jc w:val="both"/>
        <w:spacing w:beforeAutospacing="0" w:afterAutospacing="0" w:line="480" w:lineRule="exact"/>
        <w:rPr>
          <w:rFonts w:hint="eastAsia" w:ascii="宋体" w:hAnsi="宋体" w:eastAsia="宋体" w:cs="宋体"/>
          <w:b/>
          <w:bCs/>
        </w:rPr>
      </w:pPr>
      <w:r>
        <w:rPr>
          <w:rFonts w:hint="eastAsia" w:ascii="宋体" w:hAnsi="宋体" w:eastAsia="宋体" w:cs="宋体"/>
          <w:b/>
          <w:bCs/>
          <w:i/>
          <w:u w:val="single"/>
        </w:rPr>
        <w:t xml:space="preserve">18.1投标人上传电子投标文件的时间不得迟于招标公告中规定的投标截止时间。</w:t>
      </w:r>
      <w:r/>
    </w:p>
    <w:p>
      <w:pPr>
        <w:pStyle w:val="730"/>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投标人应充分考虑到网络环境、网络带宽等风险因素，如因投标人自身原因造成的电子投标文件上传不成功的按照本招标文件第二章第26.1.2条 规定做无效投标处理。</w:t>
      </w:r>
      <w:r/>
    </w:p>
    <w:p>
      <w:pPr>
        <w:pStyle w:val="730"/>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18.2采购中心可以按照规定，通过修改招标文件酌情延长投标截止时间，在此情况下，投标人的所有权利和义务以及投标人受制的截止时间均应以延长后新的截止时间为准。</w:t>
      </w:r>
      <w:bookmarkStart w:id="132" w:name="_Toc16938543"/>
      <w:r/>
      <w:bookmarkStart w:id="133" w:name="_Toc20823299"/>
      <w:r/>
      <w:bookmarkStart w:id="134" w:name="_Toc513029227"/>
      <w:r/>
      <w:r/>
    </w:p>
    <w:p>
      <w:pPr>
        <w:pStyle w:val="730"/>
        <w:ind w:firstLine="480"/>
        <w:jc w:val="both"/>
        <w:spacing w:beforeAutospacing="0" w:afterAutospacing="0" w:line="480" w:lineRule="exact"/>
        <w:rPr>
          <w:rFonts w:hint="eastAsia" w:ascii="宋体" w:hAnsi="宋体" w:eastAsia="宋体" w:cs="宋体"/>
          <w:b/>
          <w:bCs/>
        </w:rPr>
        <w:outlineLvl w:val="1"/>
      </w:pPr>
      <w:r>
        <w:rPr>
          <w:rFonts w:hint="eastAsia" w:ascii="宋体" w:hAnsi="宋体" w:eastAsia="宋体" w:cs="宋体"/>
          <w:b/>
          <w:bCs/>
        </w:rPr>
        <w:t xml:space="preserve">19、投标文件</w:t>
      </w:r>
      <w:bookmarkEnd w:id="132"/>
      <w:r/>
      <w:bookmarkEnd w:id="133"/>
      <w:r/>
      <w:bookmarkEnd w:id="134"/>
      <w:r>
        <w:rPr>
          <w:rFonts w:hint="eastAsia" w:ascii="宋体" w:hAnsi="宋体" w:eastAsia="宋体" w:cs="宋体"/>
          <w:b/>
          <w:bCs/>
        </w:rPr>
        <w:t xml:space="preserve">的拒收</w:t>
      </w:r>
      <w:r/>
    </w:p>
    <w:p>
      <w:pPr>
        <w:pStyle w:val="730"/>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19.1采购中心拒绝接收在其规定的投标截止时间后上传的任何投标文件。</w:t>
      </w:r>
      <w:r/>
    </w:p>
    <w:p>
      <w:pPr>
        <w:pStyle w:val="730"/>
        <w:ind w:firstLine="420"/>
        <w:jc w:val="both"/>
        <w:keepLines/>
        <w:keepNext/>
        <w:spacing w:beforeAutospacing="0" w:afterAutospacing="0" w:line="480" w:lineRule="exact"/>
        <w:rPr>
          <w:rFonts w:hint="eastAsia" w:ascii="宋体" w:hAnsi="宋体" w:eastAsia="宋体" w:cs="宋体"/>
          <w:b/>
          <w:bCs/>
        </w:rPr>
        <w:outlineLvl w:val="1"/>
      </w:pPr>
      <w:r/>
      <w:bookmarkStart w:id="135" w:name="_Toc16938544"/>
      <w:r/>
      <w:bookmarkStart w:id="136" w:name="_Toc513029228"/>
      <w:r/>
      <w:bookmarkStart w:id="137" w:name="_Toc20823300"/>
      <w:r>
        <w:rPr>
          <w:rFonts w:hint="eastAsia" w:ascii="宋体" w:hAnsi="宋体" w:eastAsia="宋体" w:cs="宋体"/>
          <w:b/>
          <w:bCs/>
        </w:rPr>
        <w:t xml:space="preserve">20、投标文件的撤回和修改</w:t>
      </w:r>
      <w:bookmarkEnd w:id="135"/>
      <w:r/>
      <w:bookmarkEnd w:id="136"/>
      <w:r/>
      <w:bookmarkEnd w:id="137"/>
      <w:r/>
      <w:r/>
    </w:p>
    <w:p>
      <w:pPr>
        <w:pStyle w:val="730"/>
        <w:ind w:firstLine="480"/>
        <w:jc w:val="both"/>
        <w:spacing w:beforeAutospacing="0" w:afterAutospacing="0" w:line="480" w:lineRule="exact"/>
        <w:rPr>
          <w:rFonts w:hint="eastAsia" w:ascii="宋体" w:hAnsi="宋体" w:eastAsia="宋体" w:cs="宋体"/>
        </w:rPr>
        <w:outlineLvl w:val="2"/>
      </w:pPr>
      <w:r>
        <w:rPr>
          <w:rFonts w:hint="eastAsia" w:ascii="宋体" w:hAnsi="宋体" w:eastAsia="宋体" w:cs="宋体"/>
        </w:rPr>
        <w:t xml:space="preserve">20.1投标文件的撤回</w:t>
      </w:r>
      <w:r/>
    </w:p>
    <w:p>
      <w:pPr>
        <w:pStyle w:val="730"/>
        <w:ind w:firstLine="480"/>
        <w:jc w:val="both"/>
        <w:spacing w:beforeAutospacing="0" w:afterAutospacing="0" w:line="480" w:lineRule="exact"/>
        <w:rPr>
          <w:rFonts w:hint="eastAsia" w:ascii="宋体" w:hAnsi="宋体" w:eastAsia="宋体" w:cs="宋体"/>
        </w:rPr>
        <w:outlineLvl w:val="3"/>
      </w:pPr>
      <w:r>
        <w:rPr>
          <w:rFonts w:hint="eastAsia" w:ascii="宋体" w:hAnsi="宋体" w:eastAsia="宋体" w:cs="宋体"/>
        </w:rPr>
        <w:t xml:space="preserve">20.1.1电子投标文件的撤回</w:t>
      </w:r>
      <w:r/>
    </w:p>
    <w:p>
      <w:pPr>
        <w:pStyle w:val="730"/>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投标人可在投标截止时间前，撤回其电子投标文件，具体操作方法见《操作手册》。</w:t>
      </w:r>
      <w:r/>
    </w:p>
    <w:p>
      <w:pPr>
        <w:pStyle w:val="730"/>
        <w:ind w:firstLine="480"/>
        <w:jc w:val="both"/>
        <w:spacing w:beforeAutospacing="0" w:afterAutospacing="0" w:line="480" w:lineRule="exact"/>
        <w:rPr>
          <w:rFonts w:hint="eastAsia" w:ascii="宋体" w:hAnsi="宋体" w:eastAsia="宋体" w:cs="宋体"/>
        </w:rPr>
        <w:outlineLvl w:val="3"/>
      </w:pPr>
      <w:r>
        <w:rPr>
          <w:rFonts w:hint="eastAsia" w:ascii="宋体" w:hAnsi="宋体" w:eastAsia="宋体" w:cs="宋体"/>
        </w:rPr>
        <w:t xml:space="preserve">20.1.2投标人撤回电子投标文件，则认为其不再参与本项目投标活动。</w:t>
      </w:r>
      <w:r/>
    </w:p>
    <w:p>
      <w:pPr>
        <w:pStyle w:val="730"/>
        <w:ind w:firstLine="480"/>
        <w:jc w:val="both"/>
        <w:spacing w:beforeAutospacing="0" w:afterAutospacing="0" w:line="480" w:lineRule="exact"/>
        <w:rPr>
          <w:rFonts w:hint="eastAsia" w:ascii="宋体" w:hAnsi="宋体" w:eastAsia="宋体" w:cs="宋体"/>
        </w:rPr>
        <w:outlineLvl w:val="2"/>
      </w:pPr>
      <w:r>
        <w:rPr>
          <w:rFonts w:hint="eastAsia" w:ascii="宋体" w:hAnsi="宋体" w:eastAsia="宋体" w:cs="宋体"/>
        </w:rPr>
        <w:t xml:space="preserve">20.2 投标文件的修改</w:t>
      </w:r>
      <w:r/>
    </w:p>
    <w:p>
      <w:pPr>
        <w:pStyle w:val="730"/>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20.2.1投标人可在投标截止时间前，对其电子投标文件进行修改，具体操作方法见《操作手册》。</w:t>
      </w:r>
      <w:r/>
    </w:p>
    <w:p>
      <w:pPr>
        <w:pStyle w:val="730"/>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20.2.2在投标截止时间之后，投标人不得对其电子投标文件作任何修改。</w:t>
      </w:r>
      <w:r/>
    </w:p>
    <w:p>
      <w:pPr>
        <w:pStyle w:val="730"/>
        <w:ind w:firstLine="480"/>
        <w:jc w:val="both"/>
        <w:spacing w:beforeAutospacing="0" w:afterAutospacing="0" w:line="480" w:lineRule="exact"/>
        <w:rPr>
          <w:rFonts w:hint="eastAsia" w:ascii="宋体" w:hAnsi="宋体" w:eastAsia="宋体" w:cs="宋体"/>
        </w:rPr>
        <w:outlineLvl w:val="2"/>
      </w:pPr>
      <w:r>
        <w:rPr>
          <w:rFonts w:hint="eastAsia" w:ascii="宋体" w:hAnsi="宋体" w:eastAsia="宋体" w:cs="宋体"/>
        </w:rPr>
        <w:t xml:space="preserve">20.3在投标截止时间至招标文件中规定的投标有效期满之间的这段时间内，投标人不得撤回其投标。</w:t>
      </w:r>
      <w:r/>
    </w:p>
    <w:p>
      <w:pPr>
        <w:pStyle w:val="730"/>
        <w:ind w:firstLine="482"/>
        <w:jc w:val="both"/>
        <w:spacing w:before="145" w:beforeAutospacing="0" w:after="145" w:afterAutospacing="0" w:line="480" w:lineRule="exact"/>
        <w:rPr>
          <w:rFonts w:hint="eastAsia" w:ascii="宋体" w:hAnsi="宋体" w:eastAsia="宋体" w:cs="宋体"/>
        </w:rPr>
        <w:outlineLvl w:val="0"/>
      </w:pPr>
      <w:r/>
      <w:bookmarkStart w:id="138" w:name="_Toc16938545"/>
      <w:r/>
      <w:bookmarkStart w:id="139" w:name="_Toc20823301"/>
      <w:r/>
      <w:bookmarkStart w:id="140" w:name="_Toc513029229"/>
      <w:r/>
      <w:bookmarkStart w:id="141" w:name="_Toc120614218"/>
      <w:r>
        <w:rPr>
          <w:rFonts w:hint="eastAsia" w:ascii="宋体" w:hAnsi="宋体" w:eastAsia="宋体" w:cs="宋体"/>
          <w:b/>
        </w:rPr>
        <w:t xml:space="preserve">五、开标与评标</w:t>
      </w:r>
      <w:bookmarkEnd w:id="138"/>
      <w:r/>
      <w:bookmarkEnd w:id="139"/>
      <w:r/>
      <w:bookmarkEnd w:id="140"/>
      <w:r/>
      <w:bookmarkEnd w:id="141"/>
      <w:r/>
      <w:r/>
    </w:p>
    <w:p>
      <w:pPr>
        <w:pStyle w:val="730"/>
        <w:ind w:firstLine="420"/>
        <w:jc w:val="both"/>
        <w:keepLines/>
        <w:keepNext/>
        <w:spacing w:beforeAutospacing="0" w:afterAutospacing="0" w:line="480" w:lineRule="exact"/>
        <w:rPr>
          <w:rFonts w:hint="eastAsia" w:ascii="宋体" w:hAnsi="宋体" w:eastAsia="宋体" w:cs="宋体"/>
          <w:b/>
          <w:bCs/>
        </w:rPr>
        <w:outlineLvl w:val="1"/>
      </w:pPr>
      <w:r/>
      <w:bookmarkStart w:id="142" w:name="_Toc20823302"/>
      <w:r/>
      <w:bookmarkStart w:id="143" w:name="_Toc16938546"/>
      <w:r/>
      <w:bookmarkStart w:id="144" w:name="_Toc513029230"/>
      <w:r>
        <w:rPr>
          <w:rFonts w:hint="eastAsia" w:ascii="宋体" w:hAnsi="宋体" w:eastAsia="宋体" w:cs="宋体"/>
          <w:b/>
          <w:bCs/>
        </w:rPr>
        <w:t xml:space="preserve">21、开标</w:t>
      </w:r>
      <w:bookmarkEnd w:id="142"/>
      <w:r/>
      <w:bookmarkEnd w:id="143"/>
      <w:r/>
      <w:bookmarkEnd w:id="144"/>
      <w:r/>
      <w:r/>
    </w:p>
    <w:p>
      <w:pPr>
        <w:pStyle w:val="730"/>
        <w:ind w:firstLine="36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21.1采购中心将在招标公告中规定的时间和地点组织公开开标。投标人应当按照《操作手册》规定，参加开标活动和在苏采云系统规定的时间内对投标文件进行解密。</w:t>
      </w:r>
      <w:r/>
    </w:p>
    <w:p>
      <w:pPr>
        <w:pStyle w:val="730"/>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21.2开标仪式由采购中心组织。苏采云系统将自动对项目进行开标，并宣布各投标人名称和投标价格。</w:t>
      </w:r>
      <w:r/>
    </w:p>
    <w:p>
      <w:pPr>
        <w:pStyle w:val="730"/>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21.3投标人在开标过程中涉及到的投标文件解密、开标结果确认等工作，应按照《操作手册》规定执行。</w:t>
      </w:r>
      <w:r/>
    </w:p>
    <w:p>
      <w:pPr>
        <w:pStyle w:val="730"/>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21.4投标人如果对开标过程和开标记录有疑义，应当根据《操作手册》规定提出，如苏采云系统中《开标记录表》宣布后5分钟内未提出的，视同认可开标结果。</w:t>
      </w:r>
      <w:r/>
    </w:p>
    <w:p>
      <w:pPr>
        <w:pStyle w:val="730"/>
        <w:ind w:firstLine="420"/>
        <w:jc w:val="both"/>
        <w:keepLines/>
        <w:keepNext/>
        <w:spacing w:beforeAutospacing="0" w:afterAutospacing="0" w:line="480" w:lineRule="exact"/>
        <w:rPr>
          <w:rFonts w:hint="eastAsia" w:ascii="宋体" w:hAnsi="宋体" w:eastAsia="宋体" w:cs="宋体"/>
          <w:b/>
          <w:bCs/>
        </w:rPr>
        <w:outlineLvl w:val="1"/>
      </w:pPr>
      <w:r/>
      <w:bookmarkStart w:id="145" w:name="_Toc16938547"/>
      <w:r/>
      <w:bookmarkStart w:id="146" w:name="_Toc20823303"/>
      <w:r/>
      <w:bookmarkStart w:id="147" w:name="_Toc513029231"/>
      <w:r>
        <w:rPr>
          <w:rFonts w:hint="eastAsia" w:ascii="宋体" w:hAnsi="宋体" w:eastAsia="宋体" w:cs="宋体"/>
          <w:b/>
          <w:bCs/>
        </w:rPr>
        <w:t xml:space="preserve">22、评标委员会</w:t>
      </w:r>
      <w:bookmarkEnd w:id="145"/>
      <w:r/>
      <w:bookmarkEnd w:id="146"/>
      <w:r/>
      <w:bookmarkEnd w:id="147"/>
      <w:r/>
      <w:r/>
    </w:p>
    <w:p>
      <w:pPr>
        <w:pStyle w:val="730"/>
        <w:jc w:val="both"/>
        <w:spacing w:beforeAutospacing="0" w:afterAutospacing="0" w:line="480" w:lineRule="exact"/>
        <w:rPr>
          <w:rFonts w:hint="eastAsia" w:ascii="宋体" w:hAnsi="宋体" w:eastAsia="宋体" w:cs="宋体"/>
        </w:rPr>
      </w:pPr>
      <w:r>
        <w:rPr>
          <w:rFonts w:hint="eastAsia" w:ascii="宋体" w:hAnsi="宋体" w:eastAsia="宋体" w:cs="宋体"/>
          <w:b/>
        </w:rPr>
        <w:t xml:space="preserve">  </w:t>
      </w:r>
      <w:r>
        <w:rPr>
          <w:rFonts w:hint="eastAsia" w:ascii="宋体" w:hAnsi="宋体" w:eastAsia="宋体" w:cs="宋体"/>
        </w:rPr>
        <w:t xml:space="preserve">22.1开标后，采购中心将立即组织评标委员会（以下简称评委会）进行评标。</w:t>
      </w:r>
      <w:r/>
    </w:p>
    <w:p>
      <w:pPr>
        <w:pStyle w:val="730"/>
        <w:jc w:val="both"/>
        <w:spacing w:beforeAutospacing="0" w:afterAutospacing="0" w:line="480" w:lineRule="exact"/>
        <w:rPr>
          <w:rFonts w:hint="eastAsia" w:ascii="宋体" w:hAnsi="宋体" w:eastAsia="宋体" w:cs="宋体"/>
        </w:rPr>
      </w:pPr>
      <w:r>
        <w:rPr>
          <w:rFonts w:hint="eastAsia" w:ascii="宋体" w:hAnsi="宋体" w:eastAsia="宋体" w:cs="宋体"/>
          <w:b/>
        </w:rPr>
        <w:t xml:space="preserve">  </w:t>
      </w:r>
      <w:r>
        <w:rPr>
          <w:rFonts w:hint="eastAsia" w:ascii="宋体" w:hAnsi="宋体" w:eastAsia="宋体" w:cs="宋体"/>
        </w:rPr>
        <w:t xml:space="preserve">22.2评委会由有关技术、经济等方面的专家组成，且人员构成符合政府采购有关规定。</w:t>
      </w:r>
      <w:r/>
    </w:p>
    <w:p>
      <w:pPr>
        <w:pStyle w:val="730"/>
        <w:jc w:val="both"/>
        <w:spacing w:beforeAutospacing="0" w:afterAutospacing="0" w:line="480" w:lineRule="exact"/>
        <w:rPr>
          <w:rFonts w:hint="eastAsia" w:ascii="宋体" w:hAnsi="宋体" w:eastAsia="宋体" w:cs="宋体"/>
        </w:rPr>
      </w:pPr>
      <w:r>
        <w:rPr>
          <w:rFonts w:hint="eastAsia" w:ascii="宋体" w:hAnsi="宋体" w:eastAsia="宋体" w:cs="宋体"/>
          <w:b/>
        </w:rPr>
        <w:t xml:space="preserve">  </w:t>
      </w:r>
      <w:r>
        <w:rPr>
          <w:rFonts w:hint="eastAsia" w:ascii="宋体" w:hAnsi="宋体" w:eastAsia="宋体" w:cs="宋体"/>
        </w:rPr>
        <w:t xml:space="preserve">22.3评委会独立工作，负责评审所有投标文件并确定中标侯选人。</w:t>
      </w:r>
      <w:r/>
    </w:p>
    <w:p>
      <w:pPr>
        <w:pStyle w:val="730"/>
        <w:ind w:firstLine="420"/>
        <w:jc w:val="both"/>
        <w:keepLines/>
        <w:keepNext/>
        <w:spacing w:beforeAutospacing="0" w:afterAutospacing="0" w:line="480" w:lineRule="exact"/>
        <w:rPr>
          <w:rFonts w:hint="eastAsia" w:ascii="宋体" w:hAnsi="宋体" w:eastAsia="宋体" w:cs="宋体"/>
          <w:b/>
          <w:bCs/>
        </w:rPr>
        <w:outlineLvl w:val="1"/>
      </w:pPr>
      <w:r>
        <w:rPr>
          <w:rFonts w:hint="eastAsia" w:ascii="宋体" w:hAnsi="宋体" w:eastAsia="宋体" w:cs="宋体"/>
          <w:b/>
          <w:bCs/>
        </w:rPr>
        <w:t xml:space="preserve">23、评标过程的保密与公正</w:t>
      </w:r>
      <w:r/>
    </w:p>
    <w:p>
      <w:pPr>
        <w:pStyle w:val="730"/>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23.1凡是与审查、澄清、评价和比较投标的有关资料以及授标建议等，采购人、评委、采购中心均不得向投标人或与评标无关的其他人员透露。</w:t>
      </w:r>
      <w:r/>
    </w:p>
    <w:p>
      <w:pPr>
        <w:pStyle w:val="730"/>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23.2在评标过程中，投标人不得以任何行为影响评标过程，否则其投标文件将被作为无效投标文件。</w:t>
      </w:r>
      <w:r/>
    </w:p>
    <w:p>
      <w:pPr>
        <w:pStyle w:val="730"/>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23.3采购中心和评标委员会不向未中标的投标人解释未中标原因，也不公布评标过程中的相关细节。</w:t>
      </w:r>
      <w:r/>
    </w:p>
    <w:p>
      <w:pPr>
        <w:pStyle w:val="730"/>
        <w:ind w:firstLine="480"/>
        <w:jc w:val="both"/>
        <w:spacing w:beforeAutospacing="0" w:afterAutospacing="0" w:line="480" w:lineRule="exact"/>
        <w:rPr>
          <w:rFonts w:hint="eastAsia" w:ascii="宋体" w:hAnsi="宋体" w:eastAsia="宋体" w:cs="宋体"/>
          <w:highlight w:val="none"/>
        </w:rPr>
      </w:pPr>
      <w:r>
        <w:rPr>
          <w:rFonts w:hint="eastAsia" w:ascii="宋体" w:hAnsi="宋体" w:eastAsia="宋体" w:cs="宋体"/>
          <w:highlight w:val="none"/>
        </w:rPr>
        <w:t xml:space="preserve">23.4采用综合评分法的项目，未中标的投标人可于中标结果公告期限届满之日起通过苏采云系统查看自己的评审得分及排序情况。</w:t>
      </w:r>
      <w:r/>
    </w:p>
    <w:p>
      <w:pPr>
        <w:pStyle w:val="730"/>
        <w:ind w:firstLine="420"/>
        <w:jc w:val="both"/>
        <w:keepLines/>
        <w:keepNext/>
        <w:spacing w:beforeAutospacing="0" w:afterAutospacing="0" w:line="480" w:lineRule="exact"/>
        <w:rPr>
          <w:rFonts w:hint="eastAsia" w:ascii="宋体" w:hAnsi="宋体" w:eastAsia="宋体" w:cs="宋体"/>
          <w:b/>
          <w:bCs/>
        </w:rPr>
        <w:outlineLvl w:val="1"/>
      </w:pPr>
      <w:r/>
      <w:bookmarkStart w:id="148" w:name="_Toc20823304"/>
      <w:r/>
      <w:bookmarkStart w:id="149" w:name="_Toc513029232"/>
      <w:r/>
      <w:bookmarkStart w:id="150" w:name="_Toc16938548"/>
      <w:r>
        <w:rPr>
          <w:rFonts w:hint="eastAsia" w:ascii="宋体" w:hAnsi="宋体" w:eastAsia="宋体" w:cs="宋体"/>
          <w:b/>
          <w:bCs/>
        </w:rPr>
        <w:t xml:space="preserve">24、投标文件的澄清</w:t>
      </w:r>
      <w:bookmarkEnd w:id="148"/>
      <w:r/>
      <w:bookmarkEnd w:id="149"/>
      <w:r/>
      <w:bookmarkEnd w:id="150"/>
      <w:r/>
      <w:r/>
    </w:p>
    <w:p>
      <w:pPr>
        <w:pStyle w:val="730"/>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24.1评标期间，评委会对投标文件中含义不明确、同类问题表述不一致或者有明显文字和计算错误的内容 ，有权要求投标人作出必要的澄清、说明或者补正。</w:t>
      </w:r>
      <w:r/>
    </w:p>
    <w:p>
      <w:pPr>
        <w:pStyle w:val="730"/>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投标人的澄清、说明或者补正不得超出投标文件的范围或者改变投标文件的实质性内容。</w:t>
      </w:r>
      <w:r/>
    </w:p>
    <w:p>
      <w:pPr>
        <w:pStyle w:val="730"/>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评标委员会并非对每个投标人都做澄清要求。</w:t>
      </w:r>
      <w:r/>
    </w:p>
    <w:p>
      <w:pPr>
        <w:pStyle w:val="730"/>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73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  24.3接到评委会澄清、说明和补正要求的投标人如未按规定做出澄清、说明和补正，其风险由投标人自行承担。</w:t>
      </w:r>
      <w:r/>
    </w:p>
    <w:p>
      <w:pPr>
        <w:pStyle w:val="730"/>
        <w:ind w:firstLine="420"/>
        <w:jc w:val="both"/>
        <w:keepLines/>
        <w:keepNext/>
        <w:spacing w:beforeAutospacing="0" w:afterAutospacing="0" w:line="480" w:lineRule="exact"/>
        <w:rPr>
          <w:rFonts w:hint="eastAsia" w:ascii="宋体" w:hAnsi="宋体" w:eastAsia="宋体" w:cs="宋体"/>
          <w:b/>
          <w:bCs/>
        </w:rPr>
        <w:outlineLvl w:val="1"/>
      </w:pPr>
      <w:r/>
      <w:bookmarkStart w:id="151" w:name="_Toc16938549"/>
      <w:r/>
      <w:bookmarkStart w:id="152" w:name="_Toc20823305"/>
      <w:r/>
      <w:bookmarkStart w:id="153" w:name="_Toc513029233"/>
      <w:r>
        <w:rPr>
          <w:rFonts w:hint="eastAsia" w:ascii="宋体" w:hAnsi="宋体" w:eastAsia="宋体" w:cs="宋体"/>
          <w:b/>
          <w:bCs/>
        </w:rPr>
        <w:t xml:space="preserve">25、对投标文件的初审</w:t>
      </w:r>
      <w:bookmarkEnd w:id="151"/>
      <w:r/>
      <w:bookmarkEnd w:id="152"/>
      <w:r/>
      <w:bookmarkEnd w:id="153"/>
      <w:r/>
      <w:r/>
    </w:p>
    <w:p>
      <w:pPr>
        <w:pStyle w:val="730"/>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25.1投标文件初审分为资格审查和符合性审查。</w:t>
      </w:r>
      <w:r/>
    </w:p>
    <w:p>
      <w:pPr>
        <w:pStyle w:val="730"/>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25.1.1资格审查：依据法律法规和招标文件的规定，由采购人对投标文件中的资格证明文件进行审查。资格审查的结论，采购人以书面形式向评委会进行反馈。</w:t>
      </w:r>
      <w:r/>
    </w:p>
    <w:p>
      <w:pPr>
        <w:pStyle w:val="730"/>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采购人在进行资格性审查的同时，将在“信用中国”网站（www.creditchina.gov.cn）查询投标人的信用记录，以确定投标人是否具备投标资格,查询结果留存并归档。</w:t>
      </w:r>
      <w:r/>
    </w:p>
    <w:p>
      <w:pPr>
        <w:pStyle w:val="730"/>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25.1.2符合性审查：依据招标文件的规定，由评委会从投标文件的有效性、完整性和对招标文件的响应程度进行审查，以确定是否对招标文件的实质性要求作出响应。</w:t>
      </w:r>
      <w:r/>
    </w:p>
    <w:p>
      <w:pPr>
        <w:pStyle w:val="730"/>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25.1.3未通过资格审查或符合性审查的投标人，采购中心将在苏采云系统中告知未通过资格审查或符合性审查的原因，评标结束后，采购中心将不再告知未通过资格审查和符合性审查的原因。</w:t>
      </w:r>
      <w:r/>
    </w:p>
    <w:p>
      <w:pPr>
        <w:pStyle w:val="730"/>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730"/>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30"/>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25.3如果投标文件实质上没有响应招标文件的要求，评委会将予以拒绝，投标人不得通过修改或撤销不合要求的偏离或保留而使其投标成为实质性响应的投标。</w:t>
      </w:r>
      <w:r/>
    </w:p>
    <w:p>
      <w:pPr>
        <w:pStyle w:val="730"/>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25.4评委会将对确定为实质性响应的投标进行进一步审核，确定其是否有计算上或累加上的算术错误，修正错误的原则如下：</w:t>
      </w:r>
      <w:r/>
    </w:p>
    <w:p>
      <w:pPr>
        <w:pStyle w:val="730"/>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（1）投标文件中开标一览表内容与投标文件中相应内容不一致的，以开标一览表为准。</w:t>
      </w:r>
      <w:r/>
    </w:p>
    <w:p>
      <w:pPr>
        <w:pStyle w:val="730"/>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（2）大写金额和小写金额不一致的，以大写金额为准。</w:t>
      </w:r>
      <w:r/>
    </w:p>
    <w:p>
      <w:pPr>
        <w:pStyle w:val="730"/>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（3）单价金额小数点或者百分比有明显错位的，以开标一览表的总价为准，并修改单价。</w:t>
      </w:r>
      <w:r/>
    </w:p>
    <w:p>
      <w:pPr>
        <w:pStyle w:val="730"/>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（4）总价金额与按单价汇总金额不一致的，以单价金额计算结果为准。</w:t>
      </w:r>
      <w:r/>
    </w:p>
    <w:p>
      <w:pPr>
        <w:pStyle w:val="730"/>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同时出现两种以上错误的，按照前款规定的顺序修正。</w:t>
      </w:r>
      <w:r/>
    </w:p>
    <w:p>
      <w:pPr>
        <w:pStyle w:val="730"/>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730"/>
        <w:ind w:firstLine="480"/>
        <w:jc w:val="both"/>
        <w:spacing w:beforeAutospacing="0" w:afterAutospacing="0" w:line="460" w:lineRule="exact"/>
        <w:rPr>
          <w:rFonts w:hint="eastAsia" w:ascii="宋体" w:hAnsi="宋体" w:eastAsia="宋体" w:cs="宋体"/>
        </w:rPr>
      </w:pPr>
      <w:r/>
      <w:bookmarkStart w:id="154" w:name="_Toc513029234"/>
      <w:r/>
      <w:bookmarkStart w:id="155" w:name="_Toc20823306"/>
      <w:r/>
      <w:bookmarkStart w:id="156" w:name="_Toc16938550"/>
      <w:r>
        <w:rPr>
          <w:rFonts w:hint="eastAsia" w:ascii="宋体" w:hAnsi="宋体" w:eastAsia="宋体" w:cs="宋体"/>
        </w:rPr>
        <w:t xml:space="preserve">25.</w:t>
      </w:r>
      <w:r>
        <w:rPr>
          <w:rFonts w:hint="eastAsia" w:ascii="宋体" w:hAnsi="宋体" w:eastAsia="宋体" w:cs="宋体"/>
          <w:lang w:val="en-US" w:eastAsia="zh-CN"/>
        </w:rPr>
        <w:t xml:space="preserve">6</w:t>
      </w:r>
      <w:r>
        <w:rPr>
          <w:rFonts w:hint="eastAsia" w:ascii="宋体" w:hAnsi="宋体" w:eastAsia="宋体" w:cs="宋体"/>
        </w:rPr>
        <w:t xml:space="preserve">投标人在开、评标全过程中应保持通讯畅通，及时登录苏采云系统查阅、答复相关信息，并安排专人与采购中心及评标委员会联系。</w:t>
      </w:r>
      <w:bookmarkEnd w:id="154"/>
      <w:r/>
      <w:bookmarkEnd w:id="155"/>
      <w:r/>
      <w:bookmarkEnd w:id="156"/>
      <w:r/>
      <w:r/>
    </w:p>
    <w:p>
      <w:pPr>
        <w:pStyle w:val="730"/>
        <w:ind w:firstLine="420"/>
        <w:jc w:val="both"/>
        <w:keepLines/>
        <w:keepNext/>
        <w:spacing w:beforeAutospacing="0" w:afterAutospacing="0" w:line="480" w:lineRule="exact"/>
        <w:rPr>
          <w:rFonts w:hint="eastAsia" w:ascii="宋体" w:hAnsi="宋体" w:eastAsia="宋体" w:cs="宋体"/>
          <w:b/>
          <w:bCs/>
        </w:rPr>
        <w:outlineLvl w:val="1"/>
      </w:pPr>
      <w:r>
        <w:rPr>
          <w:rFonts w:hint="eastAsia" w:ascii="宋体" w:hAnsi="宋体" w:eastAsia="宋体" w:cs="宋体"/>
          <w:b/>
          <w:bCs/>
        </w:rPr>
        <w:t xml:space="preserve">26、无效投标条款和废标条款</w:t>
      </w:r>
      <w:r/>
    </w:p>
    <w:p>
      <w:pPr>
        <w:pStyle w:val="730"/>
        <w:ind w:left="479"/>
        <w:jc w:val="both"/>
        <w:spacing w:beforeAutospacing="0" w:afterAutospacing="0" w:line="480" w:lineRule="exact"/>
        <w:rPr>
          <w:rFonts w:hint="eastAsia" w:ascii="宋体" w:hAnsi="宋体" w:eastAsia="宋体" w:cs="宋体"/>
        </w:rPr>
        <w:outlineLvl w:val="2"/>
      </w:pPr>
      <w:r/>
      <w:bookmarkStart w:id="157" w:name="_Toc20823307"/>
      <w:r/>
      <w:bookmarkStart w:id="158" w:name="_Toc16938551"/>
      <w:r/>
      <w:bookmarkStart w:id="159" w:name="_Toc513029235"/>
      <w:r>
        <w:rPr>
          <w:rFonts w:hint="eastAsia" w:ascii="宋体" w:hAnsi="宋体" w:eastAsia="宋体" w:cs="宋体"/>
        </w:rPr>
        <w:t xml:space="preserve">26.1无效投标条款</w:t>
      </w:r>
      <w:bookmarkEnd w:id="157"/>
      <w:r/>
      <w:bookmarkEnd w:id="158"/>
      <w:r/>
      <w:bookmarkEnd w:id="159"/>
      <w:r/>
      <w:r/>
    </w:p>
    <w:p>
      <w:pPr>
        <w:pStyle w:val="730"/>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26.1.1投标人在苏采云系统规定的时间内未成功解密电子投标文件的。</w:t>
      </w:r>
      <w:r/>
    </w:p>
    <w:p>
      <w:pPr>
        <w:pStyle w:val="730"/>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26.1.2投标人未按照招标文件要求上传电子投标文件的。</w:t>
      </w:r>
      <w:r/>
    </w:p>
    <w:p>
      <w:pPr>
        <w:pStyle w:val="730"/>
        <w:ind w:left="479"/>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26.1.3同一投标人提交两个（含两个）以上不同的投标报价的。</w:t>
      </w:r>
      <w:r/>
    </w:p>
    <w:p>
      <w:pPr>
        <w:pStyle w:val="730"/>
        <w:ind w:left="479"/>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26.1.4投标人不具备招标文件中规定资格要求的。</w:t>
      </w:r>
      <w:r/>
    </w:p>
    <w:p>
      <w:pPr>
        <w:pStyle w:val="730"/>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26.1.5投标人的报价超过了采购预算或最高限价的。</w:t>
      </w:r>
      <w:r/>
    </w:p>
    <w:p>
      <w:pPr>
        <w:pStyle w:val="730"/>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26.1.6未通过符合性审查的。</w:t>
      </w:r>
      <w:r/>
    </w:p>
    <w:p>
      <w:pPr>
        <w:pStyle w:val="730"/>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26.1.7不符合招标文件中规定的实质性要求和条件的（</w:t>
      </w:r>
      <w:r>
        <w:rPr>
          <w:rFonts w:hint="eastAsia" w:ascii="宋体" w:hAnsi="宋体" w:eastAsia="宋体" w:cs="宋体"/>
          <w:i/>
          <w:u w:val="single"/>
        </w:rPr>
        <w:t xml:space="preserve">本招标文件中斜体且有下划线部分为实质性要求和条件）。</w:t>
      </w:r>
      <w:r/>
    </w:p>
    <w:p>
      <w:pPr>
        <w:pStyle w:val="730"/>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30"/>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26.1.9投标文件含有采购人不能接受的附加条件的。</w:t>
      </w:r>
      <w:r/>
    </w:p>
    <w:p>
      <w:pPr>
        <w:pStyle w:val="730"/>
        <w:ind w:firstLine="480"/>
        <w:jc w:val="both"/>
        <w:spacing w:beforeAutospacing="0" w:afterAutospacing="0" w:line="480" w:lineRule="exact"/>
        <w:rPr>
          <w:rFonts w:hint="eastAsia" w:ascii="宋体" w:hAnsi="宋体" w:eastAsia="宋体" w:cs="宋体"/>
          <w:highlight w:val="none"/>
        </w:rPr>
      </w:pPr>
      <w:r>
        <w:rPr>
          <w:rFonts w:hint="eastAsia" w:ascii="宋体" w:hAnsi="宋体" w:eastAsia="宋体" w:cs="宋体"/>
          <w:color w:val="auto"/>
          <w:highlight w:val="none"/>
        </w:rPr>
        <w:t xml:space="preserve">2</w:t>
      </w:r>
      <w:r>
        <w:rPr>
          <w:rFonts w:hint="eastAsia" w:ascii="宋体" w:hAnsi="宋体" w:eastAsia="宋体" w:cs="宋体"/>
        </w:rPr>
        <w:t xml:space="preserve">6</w:t>
      </w:r>
      <w:r>
        <w:rPr>
          <w:rFonts w:hint="eastAsia" w:ascii="宋体" w:hAnsi="宋体" w:eastAsia="宋体" w:cs="宋体"/>
          <w:color w:val="auto"/>
          <w:highlight w:val="none"/>
        </w:rPr>
        <w:t xml:space="preserve">.1.10</w:t>
      </w:r>
      <w:r>
        <w:rPr>
          <w:rFonts w:hint="eastAsia" w:ascii="宋体" w:hAnsi="宋体" w:eastAsia="宋体" w:cs="宋体"/>
          <w:highlight w:val="none"/>
        </w:rPr>
        <w:t xml:space="preserve">投标人不能证明其报价合理性的，评标委员会应当将其作为无效投标处理。</w:t>
      </w:r>
      <w:r/>
    </w:p>
    <w:p>
      <w:pPr>
        <w:pStyle w:val="730"/>
        <w:ind w:firstLine="480"/>
        <w:jc w:val="both"/>
        <w:spacing w:beforeAutospacing="0" w:afterAutospacing="0" w:line="480" w:lineRule="exact"/>
        <w:rPr>
          <w:rFonts w:hint="eastAsia" w:ascii="宋体" w:hAnsi="宋体" w:eastAsia="宋体" w:cs="宋体"/>
          <w:b/>
          <w:bCs/>
          <w:color w:val="ff0000"/>
          <w:highlight w:val="none"/>
        </w:rPr>
      </w:pPr>
      <w:r>
        <w:rPr>
          <w:rFonts w:hint="eastAsia" w:ascii="宋体" w:hAnsi="宋体" w:eastAsia="宋体" w:cs="宋体"/>
          <w:b/>
          <w:bCs/>
          <w:color w:val="ff0000"/>
          <w:highlight w:val="none"/>
        </w:rPr>
        <w:t xml:space="preserve">（一）评审过程中出现下列情形之一的，评标委员会应当启动异常低价投标审查程序：</w:t>
      </w:r>
      <w:r/>
    </w:p>
    <w:p>
      <w:pPr>
        <w:pStyle w:val="730"/>
        <w:ind w:firstLine="480"/>
        <w:jc w:val="both"/>
        <w:spacing w:beforeAutospacing="0" w:afterAutospacing="0" w:line="480" w:lineRule="exact"/>
        <w:rPr>
          <w:rFonts w:hint="eastAsia" w:ascii="宋体" w:hAnsi="宋体" w:eastAsia="宋体" w:cs="宋体"/>
          <w:lang w:val="en-US" w:eastAsia="zh-CN"/>
        </w:rPr>
      </w:pPr>
      <w:r>
        <w:rPr>
          <w:rFonts w:hint="eastAsia" w:ascii="宋体" w:hAnsi="宋体" w:eastAsia="宋体" w:cs="宋体"/>
          <w:lang w:val="en-US" w:eastAsia="zh-CN"/>
        </w:rPr>
        <w:t xml:space="preserve">1.投标（响应）报价低于全部通过符合性审查供应商投标（响应）报价平均值50%的，即投标（响应）报价&lt;全部通过符合性审查供应商投标（响应）报价平均值×50%；</w:t>
      </w:r>
      <w:r/>
    </w:p>
    <w:p>
      <w:pPr>
        <w:pStyle w:val="730"/>
        <w:ind w:firstLine="480"/>
        <w:jc w:val="both"/>
        <w:spacing w:beforeAutospacing="0" w:afterAutospacing="0" w:line="480" w:lineRule="exact"/>
        <w:rPr>
          <w:rFonts w:hint="eastAsia" w:ascii="宋体" w:hAnsi="宋体" w:eastAsia="宋体" w:cs="宋体"/>
          <w:lang w:val="en-US" w:eastAsia="zh-CN"/>
        </w:rPr>
      </w:pPr>
      <w:r>
        <w:rPr>
          <w:rFonts w:hint="eastAsia" w:ascii="宋体" w:hAnsi="宋体" w:eastAsia="宋体" w:cs="宋体"/>
          <w:lang w:val="en-US" w:eastAsia="zh-CN"/>
        </w:rPr>
        <w:t xml:space="preserve">2.投标（响应）报价低于通过符合性审查的次低报价供应商投标（响应）报价50%的，即投标（响应）报价&lt;通过符合性审查的次低报价供应商投标（响应）报价×50%；</w:t>
      </w:r>
      <w:r/>
    </w:p>
    <w:p>
      <w:pPr>
        <w:pStyle w:val="730"/>
        <w:ind w:firstLine="480"/>
        <w:jc w:val="both"/>
        <w:spacing w:beforeAutospacing="0" w:afterAutospacing="0" w:line="480" w:lineRule="exact"/>
        <w:rPr>
          <w:rFonts w:hint="eastAsia" w:ascii="宋体" w:hAnsi="宋体" w:eastAsia="宋体" w:cs="宋体"/>
          <w:lang w:val="en-US" w:eastAsia="zh-CN"/>
        </w:rPr>
      </w:pPr>
      <w:r>
        <w:rPr>
          <w:rFonts w:hint="eastAsia" w:ascii="宋体" w:hAnsi="宋体" w:eastAsia="宋体" w:cs="宋体"/>
          <w:lang w:val="en-US" w:eastAsia="zh-CN"/>
        </w:rPr>
        <w:t xml:space="preserve">3.投标（响应）报价低于采购项目最高限价45%的，即投标（响应）报价&lt;采购项目最高限价×45%；</w:t>
      </w:r>
      <w:r/>
    </w:p>
    <w:p>
      <w:pPr>
        <w:pStyle w:val="730"/>
        <w:ind w:firstLine="480"/>
        <w:jc w:val="both"/>
        <w:spacing w:beforeAutospacing="0" w:afterAutospacing="0" w:line="480" w:lineRule="exact"/>
        <w:rPr>
          <w:rFonts w:hint="eastAsia" w:ascii="宋体" w:hAnsi="宋体" w:eastAsia="宋体" w:cs="宋体"/>
          <w:lang w:val="en-US" w:eastAsia="zh-CN"/>
        </w:rPr>
      </w:pPr>
      <w:r>
        <w:rPr>
          <w:rFonts w:hint="eastAsia" w:ascii="宋体" w:hAnsi="宋体" w:eastAsia="宋体" w:cs="宋体"/>
          <w:lang w:val="en-US" w:eastAsia="zh-CN"/>
        </w:rPr>
        <w:t xml:space="preserve">4.评审委员会基于专业判断，认为供应商报价过低，有可能影响产品质量或者不能诚信履约的其他情形。</w:t>
      </w:r>
      <w:r/>
    </w:p>
    <w:p>
      <w:pPr>
        <w:pStyle w:val="730"/>
        <w:ind w:firstLine="480"/>
        <w:jc w:val="both"/>
        <w:spacing w:beforeAutospacing="0" w:afterAutospacing="0" w:line="480" w:lineRule="exact"/>
        <w:rPr>
          <w:rFonts w:hint="eastAsia" w:ascii="宋体" w:hAnsi="宋体" w:eastAsia="宋体" w:cs="宋体"/>
          <w:lang w:val="en-US" w:eastAsia="zh-CN"/>
        </w:rPr>
      </w:pPr>
      <w:r>
        <w:rPr>
          <w:rFonts w:hint="eastAsia" w:ascii="宋体" w:hAnsi="宋体" w:eastAsia="宋体" w:cs="宋体"/>
          <w:lang w:val="en-US" w:eastAsia="zh-CN"/>
        </w:rPr>
        <w:t xml:space="preserve">相关法律法规对供应商报价有规定的，从其规定。</w:t>
      </w:r>
      <w:r/>
    </w:p>
    <w:p>
      <w:pPr>
        <w:pStyle w:val="730"/>
        <w:ind w:firstLine="480"/>
        <w:jc w:val="both"/>
        <w:spacing w:beforeAutospacing="0" w:afterAutospacing="0" w:line="480" w:lineRule="exact"/>
        <w:rPr>
          <w:rFonts w:hint="eastAsia" w:ascii="宋体" w:hAnsi="宋体" w:eastAsia="宋体" w:cs="宋体"/>
          <w:lang w:val="en-US" w:eastAsia="zh-CN"/>
        </w:rPr>
      </w:pPr>
      <w:r>
        <w:rPr>
          <w:rFonts w:hint="eastAsia" w:ascii="宋体" w:hAnsi="宋体" w:eastAsia="宋体" w:cs="宋体"/>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730"/>
        <w:ind w:firstLine="480"/>
        <w:jc w:val="both"/>
        <w:spacing w:beforeAutospacing="0" w:afterAutospacing="0" w:line="480" w:lineRule="exact"/>
        <w:rPr>
          <w:rFonts w:hint="eastAsia" w:ascii="宋体" w:hAnsi="宋体" w:eastAsia="宋体" w:cs="宋体"/>
          <w:lang w:val="en-US" w:eastAsia="zh-CN"/>
        </w:rPr>
      </w:pPr>
      <w:r>
        <w:rPr>
          <w:rFonts w:hint="eastAsia" w:ascii="宋体" w:hAnsi="宋体" w:eastAsia="宋体" w:cs="宋体"/>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730"/>
        <w:ind w:firstLine="480"/>
        <w:jc w:val="both"/>
        <w:spacing w:beforeAutospacing="0" w:afterAutospacing="0" w:line="480" w:lineRule="exact"/>
        <w:rPr>
          <w:rFonts w:hint="eastAsia" w:ascii="宋体" w:hAnsi="宋体" w:eastAsia="宋体" w:cs="宋体"/>
          <w:lang w:val="en-US" w:eastAsia="zh-CN"/>
        </w:rPr>
      </w:pPr>
      <w:r>
        <w:rPr>
          <w:rFonts w:hint="eastAsia" w:ascii="宋体" w:hAnsi="宋体" w:eastAsia="宋体" w:cs="宋体"/>
          <w:lang w:val="en-US" w:eastAsia="zh-CN"/>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730"/>
        <w:ind w:firstLine="480"/>
        <w:jc w:val="both"/>
        <w:spacing w:beforeAutospacing="0" w:afterAutospacing="0" w:line="480" w:lineRule="exact"/>
        <w:rPr>
          <w:rFonts w:hint="eastAsia" w:ascii="宋体" w:hAnsi="宋体" w:eastAsia="宋体" w:cs="宋体"/>
          <w:lang w:val="en-US" w:eastAsia="zh-CN"/>
        </w:rPr>
      </w:pPr>
      <w:r>
        <w:rPr>
          <w:rFonts w:hint="eastAsia" w:ascii="宋体" w:hAnsi="宋体" w:eastAsia="宋体" w:cs="宋体"/>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30"/>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26.1.1</w:t>
      </w:r>
      <w:r>
        <w:rPr>
          <w:rFonts w:hint="eastAsia" w:ascii="宋体" w:hAnsi="宋体" w:eastAsia="宋体" w:cs="宋体"/>
          <w:lang w:val="en-US" w:eastAsia="zh-CN"/>
        </w:rPr>
        <w:t xml:space="preserve">1</w:t>
      </w:r>
      <w:r>
        <w:rPr>
          <w:rFonts w:hint="eastAsia" w:ascii="宋体" w:hAnsi="宋体" w:eastAsia="宋体" w:cs="宋体"/>
        </w:rPr>
        <w:t xml:space="preserve">投标文件未按照招标文件要求加盖CA电子公章的。</w:t>
      </w:r>
      <w:r/>
    </w:p>
    <w:p>
      <w:pPr>
        <w:pStyle w:val="730"/>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26.1.1</w:t>
      </w:r>
      <w:r>
        <w:rPr>
          <w:rFonts w:hint="eastAsia" w:ascii="宋体" w:hAnsi="宋体" w:eastAsia="宋体" w:cs="宋体"/>
          <w:lang w:val="en-US" w:eastAsia="zh-CN"/>
        </w:rPr>
        <w:t xml:space="preserve">2</w:t>
      </w:r>
      <w:r>
        <w:rPr>
          <w:rFonts w:hint="eastAsia" w:ascii="宋体" w:hAnsi="宋体" w:eastAsia="宋体" w:cs="宋体"/>
        </w:rPr>
        <w:t xml:space="preserve">其他法律、法规及本招标文件规定的属无效投标的情形。</w:t>
      </w:r>
      <w:r/>
    </w:p>
    <w:p>
      <w:pPr>
        <w:pStyle w:val="730"/>
        <w:ind w:left="479"/>
        <w:jc w:val="both"/>
        <w:spacing w:beforeAutospacing="0" w:afterAutospacing="0" w:line="480" w:lineRule="exact"/>
        <w:rPr>
          <w:rFonts w:hint="eastAsia" w:ascii="宋体" w:hAnsi="宋体" w:eastAsia="宋体" w:cs="宋体"/>
        </w:rPr>
        <w:outlineLvl w:val="2"/>
      </w:pPr>
      <w:r>
        <w:rPr>
          <w:rFonts w:hint="eastAsia" w:ascii="宋体" w:hAnsi="宋体" w:eastAsia="宋体" w:cs="宋体"/>
        </w:rPr>
        <w:t xml:space="preserve">26.2废标条款</w:t>
      </w:r>
      <w:r/>
    </w:p>
    <w:p>
      <w:pPr>
        <w:pStyle w:val="730"/>
        <w:ind w:left="479"/>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26.2.1符合专业条件的供应商或者对招标文件作实质响应的供应商不足三家的。</w:t>
      </w:r>
      <w:r/>
    </w:p>
    <w:p>
      <w:pPr>
        <w:pStyle w:val="730"/>
        <w:ind w:left="479"/>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26.2.2出现影响采购公正的违法、违规行为的。</w:t>
      </w:r>
      <w:r/>
    </w:p>
    <w:p>
      <w:pPr>
        <w:pStyle w:val="730"/>
        <w:ind w:left="479"/>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26.2.3因重大变故，采购任务取消的。</w:t>
      </w:r>
      <w:r/>
    </w:p>
    <w:p>
      <w:pPr>
        <w:pStyle w:val="730"/>
        <w:ind w:left="479"/>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26.2.4评标委员会认定招标文件存在歧义、重大缺陷导致评审工作无法进行。</w:t>
      </w:r>
      <w:r/>
    </w:p>
    <w:p>
      <w:pPr>
        <w:pStyle w:val="730"/>
        <w:ind w:left="479"/>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26.2.5因苏采云系统系统故障原因造成开标不成功的。</w:t>
      </w:r>
      <w:r/>
    </w:p>
    <w:p>
      <w:pPr>
        <w:pStyle w:val="730"/>
        <w:ind w:left="479"/>
        <w:jc w:val="both"/>
        <w:spacing w:beforeAutospacing="0" w:afterAutospacing="0" w:line="480" w:lineRule="exact"/>
        <w:rPr>
          <w:rFonts w:hint="eastAsia" w:ascii="宋体" w:hAnsi="宋体" w:eastAsia="宋体" w:cs="宋体"/>
        </w:rPr>
        <w:outlineLvl w:val="2"/>
      </w:pPr>
      <w:r>
        <w:rPr>
          <w:rFonts w:hint="eastAsia" w:ascii="宋体" w:hAnsi="宋体" w:eastAsia="宋体" w:cs="宋体"/>
        </w:rPr>
        <w:t xml:space="preserve">26.3 投标截止时间结束后参加投标的供应商不足三家的处理：</w:t>
      </w:r>
      <w:r/>
    </w:p>
    <w:p>
      <w:pPr>
        <w:pStyle w:val="730"/>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26.3.1如出现投标截止时间结束后参加投标的供应商或者在评标期间对招标文件做出实质响应的供应商不足三家情况，按政府采购相关规定执行。</w:t>
      </w:r>
      <w:r/>
    </w:p>
    <w:p>
      <w:pPr>
        <w:pStyle w:val="730"/>
        <w:ind w:firstLine="482"/>
        <w:jc w:val="both"/>
        <w:spacing w:before="145" w:beforeAutospacing="0" w:after="145" w:afterAutospacing="0" w:line="480" w:lineRule="exact"/>
        <w:rPr>
          <w:rFonts w:hint="eastAsia" w:ascii="宋体" w:hAnsi="宋体" w:eastAsia="宋体" w:cs="宋体"/>
        </w:rPr>
        <w:outlineLvl w:val="0"/>
      </w:pPr>
      <w:r/>
      <w:bookmarkStart w:id="160" w:name="_Toc120614219"/>
      <w:r>
        <w:rPr>
          <w:rFonts w:hint="eastAsia" w:ascii="宋体" w:hAnsi="宋体" w:eastAsia="宋体" w:cs="宋体"/>
          <w:b/>
        </w:rPr>
        <w:t xml:space="preserve">六、定标</w:t>
      </w:r>
      <w:bookmarkEnd w:id="160"/>
      <w:r/>
      <w:r/>
    </w:p>
    <w:p>
      <w:pPr>
        <w:pStyle w:val="730"/>
        <w:ind w:firstLine="480"/>
        <w:jc w:val="both"/>
        <w:spacing w:beforeAutospacing="0" w:afterAutospacing="0" w:line="480" w:lineRule="exact"/>
        <w:rPr>
          <w:rFonts w:hint="eastAsia" w:ascii="宋体" w:hAnsi="宋体" w:eastAsia="宋体" w:cs="宋体"/>
          <w:b/>
          <w:bCs/>
        </w:rPr>
        <w:outlineLvl w:val="1"/>
      </w:pPr>
      <w:r/>
      <w:bookmarkStart w:id="161" w:name="_Toc20823310"/>
      <w:r/>
      <w:bookmarkStart w:id="162" w:name="_Toc513029238"/>
      <w:r/>
      <w:bookmarkStart w:id="163" w:name="_Toc16938554"/>
      <w:r>
        <w:rPr>
          <w:rFonts w:hint="eastAsia" w:ascii="宋体" w:hAnsi="宋体" w:eastAsia="宋体" w:cs="宋体"/>
          <w:b/>
          <w:bCs/>
        </w:rPr>
        <w:t xml:space="preserve">27、</w:t>
      </w:r>
      <w:bookmarkEnd w:id="161"/>
      <w:r>
        <w:rPr>
          <w:rFonts w:hint="eastAsia" w:ascii="宋体" w:hAnsi="宋体" w:eastAsia="宋体" w:cs="宋体"/>
          <w:b/>
          <w:bCs/>
        </w:rPr>
        <w:t xml:space="preserve">确定</w:t>
      </w:r>
      <w:bookmarkEnd w:id="162"/>
      <w:r/>
      <w:bookmarkEnd w:id="163"/>
      <w:r>
        <w:rPr>
          <w:rFonts w:hint="eastAsia" w:ascii="宋体" w:hAnsi="宋体" w:eastAsia="宋体" w:cs="宋体"/>
          <w:b/>
          <w:bCs/>
        </w:rPr>
        <w:t xml:space="preserve">中标单位</w:t>
      </w:r>
      <w:r/>
    </w:p>
    <w:p>
      <w:pPr>
        <w:pStyle w:val="730"/>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27.1中标候选人的选取原则和数量见招标文件第五章规定。 </w:t>
      </w:r>
      <w:r/>
    </w:p>
    <w:p>
      <w:pPr>
        <w:pStyle w:val="730"/>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27.2采购人应根据评委会推荐的中标候选人确定中标人。</w:t>
      </w:r>
      <w:r/>
    </w:p>
    <w:p>
      <w:pPr>
        <w:pStyle w:val="730"/>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27.3采购中心将在“中国政府采购网”、“江苏政府采购网”、“盐城市政府采购网”发布中标公告，公告期限为1个工作日。</w:t>
      </w:r>
      <w:r/>
    </w:p>
    <w:p>
      <w:pPr>
        <w:pStyle w:val="730"/>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27.4若有充分证据证明，中标人出现下列情况之一的，一经查实，将被取消中标资格：</w:t>
      </w:r>
      <w:r/>
    </w:p>
    <w:p>
      <w:pPr>
        <w:pStyle w:val="730"/>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27.4.1提供虚假材料谋取中标的。</w:t>
      </w:r>
      <w:r/>
    </w:p>
    <w:p>
      <w:pPr>
        <w:pStyle w:val="730"/>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27.4.2向采购人、采购中心行贿或者提供其他不正当利益的。</w:t>
      </w:r>
      <w:r/>
    </w:p>
    <w:p>
      <w:pPr>
        <w:pStyle w:val="730"/>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27.4.3属于本文件规定的无效条件，但在评标过程中又未被评委会发现的。</w:t>
      </w:r>
      <w:r/>
    </w:p>
    <w:p>
      <w:pPr>
        <w:pStyle w:val="730"/>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27.4.4与采购人或者其他供应商恶意串通的。</w:t>
      </w:r>
      <w:r/>
    </w:p>
    <w:p>
      <w:pPr>
        <w:pStyle w:val="730"/>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27.4.5采取不正当手段诋毁、排挤其他供应商的。</w:t>
      </w:r>
      <w:r/>
    </w:p>
    <w:p>
      <w:pPr>
        <w:pStyle w:val="730"/>
        <w:ind w:firstLine="480"/>
        <w:jc w:val="both"/>
        <w:spacing w:beforeAutospacing="0" w:afterAutospacing="0" w:line="480" w:lineRule="exact"/>
        <w:rPr>
          <w:rFonts w:hint="eastAsia" w:ascii="宋体" w:hAnsi="宋体" w:eastAsia="宋体" w:cs="宋体"/>
        </w:rPr>
      </w:pPr>
      <w:r/>
      <w:bookmarkStart w:id="164" w:name="_Toc200451960"/>
      <w:r>
        <w:rPr>
          <w:rFonts w:hint="eastAsia" w:ascii="宋体" w:hAnsi="宋体" w:eastAsia="宋体" w:cs="宋体"/>
        </w:rPr>
        <w:t xml:space="preserve">27.5 有下列情形之一的，视为投标人串通投标，投标无效：</w:t>
      </w:r>
      <w:bookmarkEnd w:id="164"/>
      <w:r/>
      <w:r/>
    </w:p>
    <w:p>
      <w:pPr>
        <w:pStyle w:val="730"/>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27.5.1不同投标人的投标文件由同一单位或者个人编制；</w:t>
      </w:r>
      <w:r/>
    </w:p>
    <w:p>
      <w:pPr>
        <w:pStyle w:val="730"/>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27.5.2不同投标人委托同一单位或者个人办理投标事宜；</w:t>
      </w:r>
      <w:r/>
    </w:p>
    <w:p>
      <w:pPr>
        <w:pStyle w:val="730"/>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27.5.3不同投标人的投标文件载明的项目管理成员或者联系人员为同一人；</w:t>
      </w:r>
      <w:r/>
    </w:p>
    <w:p>
      <w:pPr>
        <w:pStyle w:val="730"/>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27.5.4不同投标人的投标文件异常一致或者投标报价呈规律性差异。</w:t>
      </w:r>
      <w:r/>
    </w:p>
    <w:p>
      <w:pPr>
        <w:pStyle w:val="730"/>
        <w:ind w:firstLine="600"/>
        <w:jc w:val="both"/>
        <w:keepLines/>
        <w:keepNext/>
        <w:spacing w:beforeAutospacing="0" w:afterAutospacing="0" w:line="480" w:lineRule="exact"/>
        <w:rPr>
          <w:rFonts w:hint="eastAsia" w:ascii="宋体" w:hAnsi="宋体" w:eastAsia="宋体" w:cs="宋体"/>
          <w:b/>
          <w:bCs/>
        </w:rPr>
        <w:outlineLvl w:val="1"/>
      </w:pPr>
      <w:r>
        <w:rPr>
          <w:rFonts w:hint="eastAsia" w:ascii="宋体" w:hAnsi="宋体" w:eastAsia="宋体" w:cs="宋体"/>
          <w:b/>
          <w:bCs/>
        </w:rPr>
        <w:t xml:space="preserve">28、质疑处理</w:t>
      </w:r>
      <w:r/>
    </w:p>
    <w:p>
      <w:pPr>
        <w:pStyle w:val="730"/>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28.1提出质疑的供应商应当是参与所质疑项目采购活动的供应商。潜在供应商依法获取其可质疑的采购文件的，可以对采购文件提出质疑。</w:t>
      </w:r>
      <w:r/>
    </w:p>
    <w:p>
      <w:pPr>
        <w:pStyle w:val="730"/>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pStyle w:val="730"/>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28.2.1对可以质疑的采购文件提出质疑的，为收到采购文件之日或者采购文件公告期限届满之日；</w:t>
      </w:r>
      <w:r/>
    </w:p>
    <w:p>
      <w:pPr>
        <w:pStyle w:val="730"/>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28.2.2对采购过程提出质疑的，为各采购程序环节结束之日；</w:t>
      </w:r>
      <w:r/>
    </w:p>
    <w:p>
      <w:pPr>
        <w:pStyle w:val="730"/>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28.2.3对中标或者成交结果提出质疑的，为中标或者成交结果公告期限届满之日。</w:t>
      </w:r>
      <w:r/>
    </w:p>
    <w:p>
      <w:pPr>
        <w:pStyle w:val="730"/>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pStyle w:val="730"/>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28.3质疑函必须按照本招标文件中《质疑函范本》要求的格式和内容进行填写。</w:t>
      </w:r>
      <w:r/>
    </w:p>
    <w:p>
      <w:pPr>
        <w:pStyle w:val="730"/>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中心提出，由采购中心负责答复。</w:t>
      </w:r>
      <w:r/>
    </w:p>
    <w:p>
      <w:pPr>
        <w:ind w:firstLine="480"/>
        <w:jc w:val="left"/>
        <w:spacing w:line="480" w:lineRule="exact"/>
        <w:tabs>
          <w:tab w:val="left" w:pos="1331" w:leader="none"/>
        </w:tabs>
        <w:rPr>
          <w:rFonts w:hint="eastAsia" w:ascii="宋体" w:hAnsi="宋体" w:eastAsia="宋体" w:cs="宋体"/>
          <w:sz w:val="24"/>
        </w:rPr>
      </w:pPr>
      <w:r>
        <w:rPr>
          <w:rFonts w:hint="eastAsia" w:ascii="宋体" w:hAnsi="宋体" w:eastAsia="宋体" w:cs="宋体"/>
          <w:sz w:val="24"/>
        </w:rPr>
        <w:t xml:space="preserve">采购中心及采购人只接收以纸质原件形式送达的质疑,采购人和采购中心不接受未填写快递运单的快件。质疑接收部门为公共资源交易中心业务受理处，联系地址：江苏省盐城市射阳县幸福大道16号公共资源交易中心业务受理处，联系电话：0515-82391711。</w:t>
      </w:r>
      <w:r/>
    </w:p>
    <w:p>
      <w:pPr>
        <w:pStyle w:val="730"/>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28.5 以下情形的质疑不予受理</w:t>
      </w:r>
      <w:r/>
    </w:p>
    <w:p>
      <w:pPr>
        <w:pStyle w:val="730"/>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28.5.1内容不符合《政府采购质疑和投诉办法》第十二条规定的质疑。</w:t>
      </w:r>
      <w:r/>
    </w:p>
    <w:p>
      <w:pPr>
        <w:pStyle w:val="730"/>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28.5.2超出政府采购法定期限的质疑。</w:t>
      </w:r>
      <w:r/>
    </w:p>
    <w:p>
      <w:pPr>
        <w:pStyle w:val="730"/>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28.5.3以传真、电子邮件等方式递交的非原件形式的质疑。</w:t>
      </w:r>
      <w:r/>
    </w:p>
    <w:p>
      <w:pPr>
        <w:pStyle w:val="730"/>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28.5.4未参加投标活动的供应商或在投标活动中自身权益未受到损害的供应商所提出的质疑。</w:t>
      </w:r>
      <w:r/>
    </w:p>
    <w:p>
      <w:pPr>
        <w:pStyle w:val="730"/>
        <w:ind w:firstLine="468"/>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730"/>
        <w:ind w:firstLine="468"/>
        <w:jc w:val="both"/>
        <w:spacing w:beforeAutospacing="0" w:afterAutospacing="0" w:line="480" w:lineRule="exact"/>
        <w:rPr>
          <w:rFonts w:hint="eastAsia" w:ascii="宋体" w:hAnsi="宋体" w:eastAsia="宋体" w:cs="宋体"/>
          <w:b/>
          <w:bCs/>
        </w:rPr>
        <w:outlineLvl w:val="1"/>
      </w:pPr>
      <w:r>
        <w:rPr>
          <w:rFonts w:hint="eastAsia" w:ascii="宋体" w:hAnsi="宋体" w:eastAsia="宋体" w:cs="宋体"/>
          <w:b/>
          <w:bCs/>
        </w:rPr>
        <w:t xml:space="preserve">29、中标通知书</w:t>
      </w:r>
      <w:r/>
    </w:p>
    <w:p>
      <w:pPr>
        <w:pStyle w:val="730"/>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29.l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730"/>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29.2中标通知书将是合同的一个组成部分。对采购人和中标人均具有法律效力。中标通知书发出后，采购人改变中标结果的，或者中标人放弃中标项目的，应当依法承担法律责任。</w:t>
      </w:r>
      <w:r/>
    </w:p>
    <w:p>
      <w:pPr>
        <w:pStyle w:val="730"/>
        <w:ind w:firstLine="482"/>
        <w:jc w:val="both"/>
        <w:keepLines/>
        <w:keepNext/>
        <w:spacing w:before="145" w:beforeAutospacing="0" w:after="145" w:afterAutospacing="0" w:line="480" w:lineRule="exact"/>
        <w:rPr>
          <w:rFonts w:hint="eastAsia" w:ascii="宋体" w:hAnsi="宋体" w:eastAsia="宋体" w:cs="宋体"/>
        </w:rPr>
        <w:outlineLvl w:val="0"/>
      </w:pPr>
      <w:r/>
      <w:bookmarkStart w:id="165" w:name="_Toc16938552"/>
      <w:r/>
      <w:bookmarkStart w:id="166" w:name="_Toc120614220"/>
      <w:r/>
      <w:bookmarkStart w:id="167" w:name="_Toc20823308"/>
      <w:r/>
      <w:bookmarkStart w:id="168" w:name="_Toc513029236"/>
      <w:r>
        <w:rPr>
          <w:rFonts w:hint="eastAsia" w:ascii="宋体" w:hAnsi="宋体" w:eastAsia="宋体" w:cs="宋体"/>
          <w:b/>
        </w:rPr>
        <w:t xml:space="preserve">七、授予合同</w:t>
      </w:r>
      <w:bookmarkEnd w:id="165"/>
      <w:r/>
      <w:bookmarkEnd w:id="166"/>
      <w:r/>
      <w:bookmarkEnd w:id="167"/>
      <w:r/>
      <w:bookmarkEnd w:id="168"/>
      <w:r/>
      <w:r/>
    </w:p>
    <w:p>
      <w:pPr>
        <w:pStyle w:val="730"/>
        <w:ind w:firstLine="600"/>
        <w:jc w:val="both"/>
        <w:keepLines/>
        <w:keepNext/>
        <w:spacing w:beforeAutospacing="0" w:afterAutospacing="0" w:line="480" w:lineRule="exact"/>
        <w:rPr>
          <w:rFonts w:hint="eastAsia" w:ascii="宋体" w:hAnsi="宋体" w:eastAsia="宋体" w:cs="宋体"/>
          <w:b/>
          <w:bCs/>
        </w:rPr>
        <w:outlineLvl w:val="1"/>
      </w:pPr>
      <w:r/>
      <w:bookmarkStart w:id="169" w:name="_Toc16938553"/>
      <w:r/>
      <w:bookmarkStart w:id="170" w:name="_Toc513029237"/>
      <w:r/>
      <w:bookmarkStart w:id="171" w:name="_Toc20823309"/>
      <w:r>
        <w:rPr>
          <w:rFonts w:hint="eastAsia" w:ascii="宋体" w:hAnsi="宋体" w:eastAsia="宋体" w:cs="宋体"/>
          <w:b/>
          <w:bCs/>
        </w:rPr>
        <w:t xml:space="preserve">30</w:t>
      </w:r>
      <w:r>
        <w:rPr>
          <w:rFonts w:hint="eastAsia" w:ascii="宋体" w:hAnsi="宋体" w:eastAsia="宋体" w:cs="宋体"/>
          <w:b/>
          <w:bCs/>
          <w:lang w:eastAsia="zh-CN"/>
        </w:rPr>
        <w:t xml:space="preserve">、</w:t>
      </w:r>
      <w:r>
        <w:rPr>
          <w:rFonts w:hint="eastAsia" w:ascii="宋体" w:hAnsi="宋体" w:eastAsia="宋体" w:cs="宋体"/>
          <w:b/>
          <w:bCs/>
        </w:rPr>
        <w:t xml:space="preserve">签订合同</w:t>
      </w:r>
      <w:bookmarkEnd w:id="169"/>
      <w:r/>
      <w:bookmarkEnd w:id="170"/>
      <w:r/>
      <w:bookmarkEnd w:id="171"/>
      <w:r/>
      <w:r/>
    </w:p>
    <w:p>
      <w:pPr>
        <w:pStyle w:val="730"/>
        <w:ind w:firstLine="60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30.l中标人应当在中标通知书发出之日起三十日内（原则上应在15日内签订采购合同），按照招标文件确定的事项与采购人签订政府采购合同。</w:t>
      </w:r>
      <w:r/>
    </w:p>
    <w:p>
      <w:pPr>
        <w:pStyle w:val="730"/>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30.2招标文件、中标人的投标文件及招标过程中有关澄清、承诺文件均应作为合同附件。</w:t>
      </w:r>
      <w:r/>
    </w:p>
    <w:p>
      <w:pPr>
        <w:pStyle w:val="730"/>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30.3签订合同后，</w:t>
      </w:r>
      <w:r>
        <w:rPr>
          <w:rFonts w:hint="eastAsia" w:ascii="宋体" w:hAnsi="宋体" w:eastAsia="宋体" w:cs="宋体"/>
          <w:b/>
          <w:bCs/>
          <w:i/>
          <w:u w:val="single"/>
        </w:rPr>
        <w:t xml:space="preserve">中标人不得将合同标的进行转包</w:t>
      </w:r>
      <w:r>
        <w:rPr>
          <w:rFonts w:hint="eastAsia" w:ascii="宋体" w:hAnsi="宋体" w:eastAsia="宋体" w:cs="宋体"/>
        </w:rPr>
        <w:t xml:space="preserve">。未经采购人同意，中标人也不得采用分包的形式履行合同，否则采购人有权终止合同。转包或分包造成采购人损失的，中标人应承担相应赔偿责任。</w:t>
      </w:r>
      <w:r/>
    </w:p>
    <w:p>
      <w:pPr>
        <w:pStyle w:val="730"/>
        <w:ind w:firstLine="482"/>
        <w:jc w:val="both"/>
        <w:keepLines/>
        <w:keepNext/>
        <w:spacing w:beforeAutospacing="0" w:afterAutospacing="0" w:line="480" w:lineRule="exact"/>
        <w:rPr>
          <w:rFonts w:hint="eastAsia" w:ascii="宋体" w:hAnsi="宋体" w:eastAsia="宋体" w:cs="宋体"/>
          <w:b/>
          <w:bCs/>
        </w:rPr>
        <w:outlineLvl w:val="1"/>
      </w:pPr>
      <w:r>
        <w:rPr>
          <w:rFonts w:hint="eastAsia" w:ascii="宋体" w:hAnsi="宋体" w:eastAsia="宋体" w:cs="宋体"/>
          <w:b/>
          <w:bCs/>
        </w:rPr>
        <w:t xml:space="preserve">31、服务（包含与服务相关的货物）的追加</w:t>
      </w:r>
      <w:r/>
    </w:p>
    <w:p>
      <w:pPr>
        <w:pStyle w:val="730"/>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730"/>
        <w:ind w:firstLine="482"/>
        <w:jc w:val="both"/>
        <w:keepLines/>
        <w:keepNext/>
        <w:spacing w:beforeAutospacing="0" w:afterAutospacing="0" w:line="480" w:lineRule="exact"/>
        <w:rPr>
          <w:rFonts w:hint="eastAsia" w:ascii="宋体" w:hAnsi="宋体" w:eastAsia="宋体" w:cs="宋体"/>
          <w:b/>
          <w:bCs/>
        </w:rPr>
        <w:outlineLvl w:val="1"/>
      </w:pPr>
      <w:r>
        <w:rPr>
          <w:rFonts w:hint="eastAsia" w:ascii="宋体" w:hAnsi="宋体" w:eastAsia="宋体" w:cs="宋体"/>
          <w:b/>
          <w:bCs/>
        </w:rPr>
        <w:t xml:space="preserve">32</w:t>
      </w:r>
      <w:r>
        <w:rPr>
          <w:rFonts w:hint="eastAsia" w:ascii="宋体" w:hAnsi="宋体" w:eastAsia="宋体" w:cs="宋体"/>
          <w:b/>
          <w:bCs/>
          <w:lang w:eastAsia="zh-CN"/>
        </w:rPr>
        <w:t xml:space="preserve">、</w:t>
      </w:r>
      <w:r>
        <w:rPr>
          <w:rFonts w:hint="eastAsia" w:ascii="宋体" w:hAnsi="宋体" w:eastAsia="宋体" w:cs="宋体"/>
          <w:b/>
          <w:bCs/>
        </w:rPr>
        <w:t xml:space="preserve">政府采购政策功能落实</w:t>
      </w:r>
      <w:r/>
    </w:p>
    <w:p>
      <w:pPr>
        <w:pStyle w:val="730"/>
        <w:ind w:firstLine="482"/>
        <w:jc w:val="both"/>
        <w:keepLines/>
        <w:keepNext/>
        <w:spacing w:beforeAutospacing="0" w:afterAutospacing="0" w:line="480" w:lineRule="exact"/>
        <w:rPr>
          <w:rFonts w:hint="eastAsia" w:ascii="宋体" w:hAnsi="宋体" w:eastAsia="宋体" w:cs="宋体"/>
          <w:b/>
          <w:bCs/>
        </w:rPr>
        <w:outlineLvl w:val="2"/>
      </w:pPr>
      <w:r>
        <w:rPr>
          <w:rFonts w:hint="eastAsia" w:ascii="宋体" w:hAnsi="宋体" w:eastAsia="宋体" w:cs="宋体"/>
          <w:b/>
          <w:bCs/>
        </w:rPr>
        <w:t xml:space="preserve">32.1政府采购线上合同信用融资政策</w:t>
      </w:r>
      <w:r/>
    </w:p>
    <w:p>
      <w:pPr>
        <w:pStyle w:val="730"/>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 </w:t>
      </w:r>
      <w:r/>
    </w:p>
    <w:p>
      <w:pPr>
        <w:ind w:firstLine="482"/>
        <w:spacing w:line="480" w:lineRule="exact"/>
        <w:tabs>
          <w:tab w:val="left" w:pos="1381" w:leader="none"/>
        </w:tabs>
        <w:rPr>
          <w:rFonts w:hint="eastAsia" w:ascii="宋体" w:hAnsi="宋体" w:eastAsia="宋体" w:cs="宋体"/>
          <w:b/>
          <w:bCs/>
          <w:sz w:val="24"/>
        </w:rPr>
        <w:outlineLvl w:val="2"/>
      </w:pPr>
      <w:r>
        <w:rPr>
          <w:rFonts w:hint="eastAsia" w:ascii="宋体" w:hAnsi="宋体" w:eastAsia="宋体" w:cs="宋体"/>
          <w:b/>
          <w:bCs/>
          <w:sz w:val="24"/>
        </w:rPr>
        <w:t xml:space="preserve">32.2进口产品</w:t>
      </w:r>
      <w:r/>
    </w:p>
    <w:p>
      <w:pPr>
        <w:pStyle w:val="730"/>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480" w:lineRule="exact"/>
        <w:tabs>
          <w:tab w:val="left" w:pos="1381" w:leader="none"/>
        </w:tabs>
        <w:rPr>
          <w:rFonts w:hint="eastAsia" w:ascii="宋体" w:hAnsi="宋体" w:eastAsia="宋体" w:cs="宋体"/>
          <w:sz w:val="24"/>
        </w:rPr>
        <w:outlineLvl w:val="2"/>
      </w:pPr>
      <w:r>
        <w:rPr>
          <w:rFonts w:hint="eastAsia" w:ascii="宋体" w:hAnsi="宋体" w:eastAsia="宋体" w:cs="宋体"/>
          <w:b/>
          <w:bCs/>
          <w:sz w:val="24"/>
        </w:rPr>
        <w:t xml:space="preserve">32.3中小企业、监狱企业及残疾人福利性单位</w:t>
      </w:r>
      <w:r/>
    </w:p>
    <w:p>
      <w:pPr>
        <w:pStyle w:val="730"/>
        <w:ind w:firstLine="480"/>
        <w:jc w:val="both"/>
        <w:spacing w:beforeAutospacing="0" w:afterAutospacing="0" w:line="480" w:lineRule="exact"/>
        <w:rPr>
          <w:rFonts w:hint="eastAsia" w:ascii="宋体" w:hAnsi="宋体" w:eastAsia="宋体" w:cs="宋体"/>
          <w:b w:val="0"/>
          <w:bCs w:val="0"/>
        </w:rPr>
      </w:pPr>
      <w:r>
        <w:rPr>
          <w:rFonts w:hint="eastAsia" w:ascii="宋体" w:hAnsi="宋体" w:eastAsia="宋体" w:cs="宋体"/>
          <w:b w:val="0"/>
          <w:bCs w:val="0"/>
        </w:rPr>
        <w:t xml:space="preserve">32.3.1中小企业定义：</w:t>
      </w:r>
      <w:r/>
    </w:p>
    <w:p>
      <w:pPr>
        <w:pStyle w:val="730"/>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中小企业是</w:t>
      </w:r>
      <w:r>
        <w:rPr>
          <w:rFonts w:hint="eastAsia" w:ascii="宋体" w:hAnsi="宋体" w:eastAsia="宋体" w:cs="宋体"/>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730"/>
        <w:ind w:firstLine="480"/>
        <w:jc w:val="both"/>
        <w:spacing w:beforeAutospacing="0" w:afterAutospacing="0" w:line="480" w:lineRule="exact"/>
        <w:rPr>
          <w:rFonts w:hint="eastAsia" w:ascii="宋体" w:hAnsi="宋体" w:eastAsia="宋体" w:cs="宋体"/>
          <w:b w:val="0"/>
          <w:bCs w:val="0"/>
        </w:rPr>
      </w:pPr>
      <w:r>
        <w:rPr>
          <w:rFonts w:hint="eastAsia" w:ascii="宋体" w:hAnsi="宋体" w:eastAsia="宋体" w:cs="宋体"/>
          <w:b w:val="0"/>
          <w:bCs w:val="0"/>
        </w:rPr>
        <w:t xml:space="preserve">32.3.2供应商提供的货物、工程或者服务符合下列情形的，享受中小企业扶持政策：</w:t>
      </w:r>
      <w:r/>
    </w:p>
    <w:p>
      <w:pPr>
        <w:pStyle w:val="730"/>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32.3.2.1在货物采购项目中，货物由中小企业制造，即货物由中小企业生产且使用该中小企业商号或者注册商标；</w:t>
      </w:r>
      <w:r/>
    </w:p>
    <w:p>
      <w:pPr>
        <w:pStyle w:val="730"/>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32.3.2.2在工程采购项目中，工程由中小企业承建，即工程施工单位为中小企业；</w:t>
      </w:r>
      <w:r/>
    </w:p>
    <w:p>
      <w:pPr>
        <w:pStyle w:val="730"/>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32.3.2.3在服务采购项目中，服务由中小企业承接，即提供服务的人员为中小企业依照《中华人民共和国劳动合同法》订立劳动合同的从业人员。</w:t>
      </w:r>
      <w:r/>
    </w:p>
    <w:p>
      <w:pPr>
        <w:pStyle w:val="730"/>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32.3.3在货物采购项目中，供应商提供的货物既有中小企业制造货物，也有大型企业制造货物的，不享受中小企业扶持政策。</w:t>
      </w:r>
      <w:r/>
    </w:p>
    <w:p>
      <w:pPr>
        <w:pStyle w:val="730"/>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32.3.</w:t>
      </w:r>
      <w:r>
        <w:rPr>
          <w:rFonts w:hint="eastAsia" w:ascii="宋体" w:hAnsi="宋体" w:eastAsia="宋体" w:cs="宋体"/>
          <w:lang w:val="en-US" w:eastAsia="zh-CN"/>
        </w:rPr>
        <w:t xml:space="preserve">4</w:t>
      </w:r>
      <w:r>
        <w:rPr>
          <w:rFonts w:hint="eastAsia" w:ascii="宋体" w:hAnsi="宋体" w:eastAsia="宋体" w:cs="宋体"/>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30"/>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32.3.</w:t>
      </w:r>
      <w:r>
        <w:rPr>
          <w:rFonts w:hint="eastAsia" w:ascii="宋体" w:hAnsi="宋体" w:eastAsia="宋体" w:cs="宋体"/>
          <w:lang w:val="en-US" w:eastAsia="zh-CN"/>
        </w:rPr>
        <w:t xml:space="preserve">5</w:t>
      </w:r>
      <w:r>
        <w:rPr>
          <w:rFonts w:hint="eastAsia" w:ascii="宋体" w:hAnsi="宋体" w:eastAsia="宋体" w:cs="宋体"/>
        </w:rPr>
        <w:t xml:space="preserve">残疾人福利单位定义：享受政府采购支持政策的残疾人福利性单位应当同时满足以下条件：</w:t>
      </w:r>
      <w:r/>
    </w:p>
    <w:p>
      <w:pPr>
        <w:pStyle w:val="730"/>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32.3.</w:t>
      </w:r>
      <w:r>
        <w:rPr>
          <w:rFonts w:hint="eastAsia" w:ascii="宋体" w:hAnsi="宋体" w:eastAsia="宋体" w:cs="宋体"/>
          <w:lang w:val="en-US" w:eastAsia="zh-CN"/>
        </w:rPr>
        <w:t xml:space="preserve">5</w:t>
      </w:r>
      <w:r>
        <w:rPr>
          <w:rFonts w:hint="eastAsia" w:ascii="宋体" w:hAnsi="宋体" w:eastAsia="宋体" w:cs="宋体"/>
        </w:rPr>
        <w:t xml:space="preserve">.1安置的残疾人占本单位在职职工人数的比例不低于25%（含25%），并且安置的残疾人人数不少于10 人（含10 人）；</w:t>
      </w:r>
      <w:r/>
    </w:p>
    <w:p>
      <w:pPr>
        <w:pStyle w:val="730"/>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32.3.</w:t>
      </w:r>
      <w:r>
        <w:rPr>
          <w:rFonts w:hint="eastAsia" w:ascii="宋体" w:hAnsi="宋体" w:eastAsia="宋体" w:cs="宋体"/>
          <w:lang w:val="en-US" w:eastAsia="zh-CN"/>
        </w:rPr>
        <w:t xml:space="preserve">5</w:t>
      </w:r>
      <w:r>
        <w:rPr>
          <w:rFonts w:hint="eastAsia" w:ascii="宋体" w:hAnsi="宋体" w:eastAsia="宋体" w:cs="宋体"/>
        </w:rPr>
        <w:t xml:space="preserve">.2依法与安置的每位残疾人签订了一年以上（含一年）的劳动合同或服务协议；</w:t>
      </w:r>
      <w:r/>
    </w:p>
    <w:p>
      <w:pPr>
        <w:pStyle w:val="730"/>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32.3.</w:t>
      </w:r>
      <w:r>
        <w:rPr>
          <w:rFonts w:hint="eastAsia" w:ascii="宋体" w:hAnsi="宋体" w:eastAsia="宋体" w:cs="宋体"/>
          <w:lang w:val="en-US" w:eastAsia="zh-CN"/>
        </w:rPr>
        <w:t xml:space="preserve">5</w:t>
      </w:r>
      <w:r>
        <w:rPr>
          <w:rFonts w:hint="eastAsia" w:ascii="宋体" w:hAnsi="宋体" w:eastAsia="宋体" w:cs="宋体"/>
        </w:rPr>
        <w:t xml:space="preserve">.3为安置的每位残疾人按月足额缴纳了基本养老保险、基本医疗保险、失业保险、工伤保险和生育保险等社会保险费；</w:t>
      </w:r>
      <w:r/>
    </w:p>
    <w:p>
      <w:pPr>
        <w:pStyle w:val="730"/>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32.3.</w:t>
      </w:r>
      <w:r>
        <w:rPr>
          <w:rFonts w:hint="eastAsia" w:ascii="宋体" w:hAnsi="宋体" w:eastAsia="宋体" w:cs="宋体"/>
          <w:lang w:val="en-US" w:eastAsia="zh-CN"/>
        </w:rPr>
        <w:t xml:space="preserve">5</w:t>
      </w:r>
      <w:r>
        <w:rPr>
          <w:rFonts w:hint="eastAsia" w:ascii="宋体" w:hAnsi="宋体" w:eastAsia="宋体" w:cs="宋体"/>
        </w:rPr>
        <w:t xml:space="preserve">.4通过银行等金融机构向安置的每位残疾人，按月支付了不低于单位所在区县适用的经省级人民政府批准的月最低工资标准的工资；</w:t>
      </w:r>
      <w:r/>
    </w:p>
    <w:p>
      <w:pPr>
        <w:pStyle w:val="730"/>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32.3.</w:t>
      </w:r>
      <w:r>
        <w:rPr>
          <w:rFonts w:hint="eastAsia" w:ascii="宋体" w:hAnsi="宋体" w:eastAsia="宋体" w:cs="宋体"/>
          <w:lang w:val="en-US" w:eastAsia="zh-CN"/>
        </w:rPr>
        <w:t xml:space="preserve">5</w:t>
      </w:r>
      <w:r>
        <w:rPr>
          <w:rFonts w:hint="eastAsia" w:ascii="宋体" w:hAnsi="宋体" w:eastAsia="宋体" w:cs="宋体"/>
        </w:rPr>
        <w:t xml:space="preserve">.5提供本单位制造的货物、承担的工程或者服务（以下简称产品），或者提供其他残疾人福利性单位制造的货物（不包括使用非残疾人福利性单位注册商标的货物）；</w:t>
      </w:r>
      <w:r/>
    </w:p>
    <w:p>
      <w:pPr>
        <w:pStyle w:val="730"/>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32.3.</w:t>
      </w:r>
      <w:r>
        <w:rPr>
          <w:rFonts w:hint="eastAsia" w:ascii="宋体" w:hAnsi="宋体" w:eastAsia="宋体" w:cs="宋体"/>
          <w:lang w:val="en-US" w:eastAsia="zh-CN"/>
        </w:rPr>
        <w:t xml:space="preserve">5</w:t>
      </w:r>
      <w:r>
        <w:rPr>
          <w:rFonts w:hint="eastAsia" w:ascii="宋体" w:hAnsi="宋体" w:eastAsia="宋体" w:cs="宋体"/>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730"/>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32.3</w:t>
      </w:r>
      <w:r>
        <w:rPr>
          <w:rFonts w:hint="eastAsia" w:ascii="宋体" w:hAnsi="宋体" w:eastAsia="宋体" w:cs="宋体"/>
          <w:lang w:val="en-US" w:eastAsia="zh-CN"/>
        </w:rPr>
        <w:t xml:space="preserve">.6</w:t>
      </w:r>
      <w:r>
        <w:rPr>
          <w:rFonts w:hint="eastAsia" w:ascii="宋体" w:hAnsi="宋体" w:eastAsia="宋体" w:cs="宋体"/>
        </w:rPr>
        <w:t xml:space="preserve">本项目是否专门面向中小企业预留采购份额见第一章《招标公告》。</w:t>
      </w:r>
      <w:r/>
    </w:p>
    <w:p>
      <w:pPr>
        <w:pStyle w:val="730"/>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32.3.</w:t>
      </w:r>
      <w:r>
        <w:rPr>
          <w:rFonts w:hint="eastAsia" w:ascii="宋体" w:hAnsi="宋体" w:eastAsia="宋体" w:cs="宋体"/>
          <w:lang w:val="en-US" w:eastAsia="zh-CN"/>
        </w:rPr>
        <w:t xml:space="preserve">7</w:t>
      </w:r>
      <w:r>
        <w:rPr>
          <w:rFonts w:hint="eastAsia" w:ascii="宋体" w:hAnsi="宋体" w:eastAsia="宋体" w:cs="宋体"/>
        </w:rPr>
        <w:t xml:space="preserve">采购标的对应的中小企业划分标准所属行业见第四章《采购需求》。</w:t>
      </w:r>
      <w:r/>
    </w:p>
    <w:p>
      <w:pPr>
        <w:pStyle w:val="730"/>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32.3.</w:t>
      </w:r>
      <w:r>
        <w:rPr>
          <w:rFonts w:hint="eastAsia" w:ascii="宋体" w:hAnsi="宋体" w:eastAsia="宋体" w:cs="宋体"/>
          <w:lang w:val="en-US" w:eastAsia="zh-CN"/>
        </w:rPr>
        <w:t xml:space="preserve">8</w:t>
      </w:r>
      <w:r>
        <w:rPr>
          <w:rFonts w:hint="eastAsia" w:ascii="宋体" w:hAnsi="宋体" w:eastAsia="宋体" w:cs="宋体"/>
        </w:rPr>
        <w:t xml:space="preserve">小微企业价格评审优惠的政策：见第五章《评标方法和评标标准》。</w:t>
      </w:r>
      <w:r/>
    </w:p>
    <w:p>
      <w:pPr>
        <w:pStyle w:val="730"/>
        <w:ind w:firstLine="482"/>
        <w:jc w:val="both"/>
        <w:keepLines/>
        <w:keepNext/>
        <w:spacing w:beforeAutospacing="0" w:afterAutospacing="0" w:line="480" w:lineRule="exact"/>
        <w:rPr>
          <w:rFonts w:hint="eastAsia" w:ascii="宋体" w:hAnsi="宋体" w:eastAsia="宋体" w:cs="宋体"/>
          <w:b/>
          <w:bCs/>
        </w:rPr>
        <w:outlineLvl w:val="2"/>
      </w:pPr>
      <w:r>
        <w:rPr>
          <w:rFonts w:hint="eastAsia" w:ascii="宋体" w:hAnsi="宋体" w:eastAsia="宋体" w:cs="宋体"/>
          <w:b/>
          <w:bCs/>
        </w:rPr>
        <w:t xml:space="preserve">32.4政府采购节能产品、环境标志产品</w:t>
      </w:r>
      <w:r/>
    </w:p>
    <w:p>
      <w:pPr>
        <w:pStyle w:val="730"/>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iCs/>
        </w:rPr>
        <w:t xml:space="preserve">如属政府强制采购产品未提供认证证书的或认证证书提供不全的将视为未实质性响应采购要求。</w:t>
      </w:r>
      <w:r>
        <w:rPr>
          <w:rFonts w:hint="eastAsia" w:ascii="宋体" w:hAnsi="宋体" w:eastAsia="宋体" w:cs="宋体"/>
        </w:rPr>
        <w:t xml:space="preserve">其他条件相同情况下，应当优先采购节能产品、环境标志产品。</w:t>
      </w:r>
      <w:r/>
    </w:p>
    <w:p>
      <w:pPr>
        <w:pStyle w:val="730"/>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730"/>
        <w:ind w:firstLine="480"/>
        <w:jc w:val="both"/>
        <w:spacing w:beforeAutospacing="0" w:afterAutospacing="0" w:line="480" w:lineRule="exact"/>
        <w:rPr>
          <w:rFonts w:hint="eastAsia" w:ascii="宋体" w:hAnsi="宋体" w:eastAsia="宋体" w:cs="宋体"/>
          <w:b/>
          <w:bCs/>
        </w:rPr>
        <w:outlineLvl w:val="2"/>
      </w:pPr>
      <w:r>
        <w:rPr>
          <w:rFonts w:hint="eastAsia" w:ascii="宋体" w:hAnsi="宋体" w:eastAsia="宋体" w:cs="宋体"/>
          <w:b/>
          <w:bCs/>
        </w:rPr>
        <w:t xml:space="preserve">32.5绿色包装</w:t>
      </w:r>
      <w:r/>
    </w:p>
    <w:p>
      <w:pPr>
        <w:pStyle w:val="730"/>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480" w:lineRule="exact"/>
        <w:tabs>
          <w:tab w:val="left" w:pos="1381" w:leader="none"/>
        </w:tabs>
        <w:rPr>
          <w:rFonts w:hint="eastAsia" w:ascii="宋体" w:hAnsi="宋体" w:eastAsia="宋体" w:cs="宋体"/>
          <w:b/>
          <w:bCs/>
          <w:sz w:val="24"/>
        </w:rPr>
        <w:outlineLvl w:val="2"/>
      </w:pPr>
      <w:r>
        <w:rPr>
          <w:rFonts w:hint="eastAsia" w:ascii="宋体" w:hAnsi="宋体" w:eastAsia="宋体" w:cs="宋体"/>
          <w:b/>
          <w:bCs/>
          <w:sz w:val="24"/>
        </w:rPr>
        <w:t xml:space="preserve">32.6政府采购创新产品</w:t>
      </w:r>
      <w:r/>
    </w:p>
    <w:p>
      <w:pPr>
        <w:pStyle w:val="730"/>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采购人优先采购各级政府部门公开发布的有效期内的创新产品、创新服务、首台套、首购首用等《目录》的创新产品。</w:t>
      </w:r>
      <w:r/>
    </w:p>
    <w:p>
      <w:pPr>
        <w:ind w:firstLine="482"/>
        <w:spacing w:line="480" w:lineRule="exact"/>
        <w:tabs>
          <w:tab w:val="left" w:pos="1381" w:leader="none"/>
        </w:tabs>
        <w:rPr>
          <w:rFonts w:hint="eastAsia" w:ascii="宋体" w:hAnsi="宋体" w:eastAsia="宋体" w:cs="宋体"/>
          <w:b/>
          <w:bCs/>
          <w:sz w:val="24"/>
        </w:rPr>
        <w:outlineLvl w:val="2"/>
      </w:pPr>
      <w:r>
        <w:rPr>
          <w:rFonts w:hint="eastAsia" w:ascii="宋体" w:hAnsi="宋体" w:eastAsia="宋体" w:cs="宋体"/>
          <w:b/>
          <w:bCs/>
          <w:sz w:val="24"/>
        </w:rPr>
        <w:t xml:space="preserve">32.7绿色数据中心政策 </w:t>
      </w:r>
      <w:r/>
    </w:p>
    <w:p>
      <w:pPr>
        <w:pStyle w:val="730"/>
        <w:ind w:firstLine="480"/>
        <w:jc w:val="both"/>
        <w:spacing w:beforeAutospacing="0" w:afterAutospacing="0" w:line="480" w:lineRule="exact"/>
        <w:rPr>
          <w:rFonts w:hint="eastAsia" w:ascii="宋体" w:hAnsi="宋体" w:eastAsia="宋体" w:cs="宋体"/>
        </w:rPr>
      </w:pPr>
      <w:r>
        <w:rPr>
          <w:rFonts w:hint="eastAsia" w:ascii="宋体" w:hAnsi="宋体" w:eastAsia="宋体" w:cs="宋体"/>
        </w:rPr>
        <w:t xml:space="preserve">本文件中若涉及到数据中心采购，采购人应依据《绿色数据中心政府采购需求标准（试行）》（财办库〔2023〕7号）文件精神</w:t>
      </w:r>
      <w:r>
        <w:rPr>
          <w:rFonts w:hint="eastAsia" w:ascii="宋体" w:hAnsi="宋体" w:eastAsia="宋体" w:cs="宋体"/>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480" w:lineRule="exact"/>
        <w:tabs>
          <w:tab w:val="left" w:pos="1381" w:leader="none"/>
        </w:tabs>
        <w:rPr>
          <w:rFonts w:hint="eastAsia" w:ascii="宋体" w:hAnsi="宋体" w:eastAsia="宋体" w:cs="宋体"/>
          <w:b/>
          <w:bCs/>
          <w:sz w:val="24"/>
        </w:rPr>
        <w:outlineLvl w:val="2"/>
      </w:pPr>
      <w:r>
        <w:rPr>
          <w:rFonts w:hint="eastAsia" w:ascii="宋体" w:hAnsi="宋体" w:eastAsia="宋体" w:cs="宋体"/>
          <w:b/>
          <w:bCs/>
          <w:sz w:val="24"/>
        </w:rPr>
        <w:t xml:space="preserve">32.8履约保证金政策</w:t>
      </w:r>
      <w:r/>
    </w:p>
    <w:p>
      <w:pPr>
        <w:pStyle w:val="730"/>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32.8.1履约保证金的金额和是否缴纳由采购人与成交供应商协商确定。确需收取履约保证金的，成交后签订合同时成交供应商须交纳不超过中标额10%的履约保证金到采购人</w:t>
      </w:r>
      <w:r>
        <w:rPr>
          <w:rFonts w:hint="eastAsia" w:ascii="宋体" w:hAnsi="宋体" w:eastAsia="宋体" w:cs="宋体"/>
          <w:color w:val="000000"/>
        </w:rPr>
        <w:t xml:space="preserve">指定账户；允许成交供应商自主选择以转账、支票、汇票、本票或者金融机构、担保机构出具的保函(保险)等形式提交(根据苏财购[2023]150号《关于在全省政府采购领域推行电子履约保函(保险)的通知》乙方可选择电子保函(保险)的形式)，鼓励成交供应商自愿使用履约保函(保险)代替缴纳约保证金。根据合同履行情况，成交供应商在履约期内无违约行为的，采购人在验收合格后15日内全额退还履约保证金，不计利息。如果成交供应商不同意按照规定去做，采购方有权取消本次采购成交决定。履约保证金不予退还的情形按政府采购相关法律法规执行。</w:t>
      </w:r>
      <w:r/>
    </w:p>
    <w:p>
      <w:pPr>
        <w:pStyle w:val="730"/>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注：根据《盐城市财政局、盐城市公共资源交易管理委员会办公室、盐城市社会信用体系建设领导小组办公室关于在政府采购活动中应用第三方信用报告建立“信易购”应用场景的通知》的文件精神，采购人对第三方信用服务机构依据标准规范评定为AA级及以上的政府采购供应商（需在签订采购合同前提供信用管理部门备案的第三方信用报告，且信用报告通过“信用盐城网”可查实），可降低履约保证金缴纳比例至5%（或免于缴纳履约保证金）。</w:t>
      </w:r>
      <w:r/>
    </w:p>
    <w:p>
      <w:pPr>
        <w:pStyle w:val="730"/>
        <w:ind w:firstLine="480"/>
        <w:jc w:val="both"/>
        <w:spacing w:beforeAutospacing="0" w:afterAutospacing="0" w:line="460" w:lineRule="exact"/>
        <w:rPr>
          <w:rFonts w:hint="eastAsia" w:ascii="宋体" w:hAnsi="宋体" w:eastAsia="宋体" w:cs="宋体"/>
          <w:color w:val="0000ff"/>
        </w:rPr>
      </w:pPr>
      <w:r>
        <w:rPr>
          <w:rFonts w:hint="eastAsia" w:ascii="宋体" w:hAnsi="宋体" w:eastAsia="宋体" w:cs="宋体"/>
          <w:b/>
          <w:bCs/>
        </w:rPr>
        <w:t xml:space="preserve">本项目采购人是否收取履约保证金，在签订本项目合同时根据合同内容约定来执行。</w:t>
      </w:r>
      <w:r/>
    </w:p>
    <w:p>
      <w:pPr>
        <w:pStyle w:val="730"/>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32.8.2合同履行结束后，甲方应及时退还交纳的履约保证金。</w:t>
      </w:r>
      <w:r/>
    </w:p>
    <w:p>
      <w:pPr>
        <w:pStyle w:val="730"/>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32.8.3履约保证金的退还：</w:t>
      </w:r>
      <w:r/>
    </w:p>
    <w:p>
      <w:pPr>
        <w:pStyle w:val="730"/>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32.8.3.1方式：无息退还至成交供应商缴纳履约保证金的账户。如为保函，在到期时自行失效。</w:t>
      </w:r>
      <w:r/>
    </w:p>
    <w:p>
      <w:pPr>
        <w:pStyle w:val="730"/>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32.8.3.2时间：验收合格且采购人收到发票后1</w:t>
      </w:r>
      <w:r>
        <w:rPr>
          <w:rFonts w:hint="eastAsia" w:ascii="宋体" w:hAnsi="宋体" w:eastAsia="宋体" w:cs="宋体"/>
          <w:color w:val="000000"/>
          <w:lang w:val="en-US" w:eastAsia="zh-CN"/>
        </w:rPr>
        <w:t xml:space="preserve">5</w:t>
      </w:r>
      <w:r>
        <w:rPr>
          <w:rFonts w:hint="eastAsia" w:ascii="宋体" w:hAnsi="宋体" w:eastAsia="宋体" w:cs="宋体"/>
          <w:color w:val="000000"/>
        </w:rPr>
        <w:t xml:space="preserve">日内。</w:t>
      </w:r>
      <w:r/>
    </w:p>
    <w:p>
      <w:pPr>
        <w:pStyle w:val="730"/>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32.8.3.3条件：按合同要求全部履约完成并经采购人验收合格，且采购人收到成交供应商出具的发票。</w:t>
      </w:r>
      <w:r/>
    </w:p>
    <w:p>
      <w:pPr>
        <w:pStyle w:val="730"/>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32.8.3.4不予退还情形：</w:t>
      </w:r>
      <w:r/>
    </w:p>
    <w:p>
      <w:pPr>
        <w:pStyle w:val="730"/>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除不可抗力情况外，成交供应商出现下列情形之一的，其履约保证金，采购人将视情节决定不予退还或部分不予退还。</w:t>
      </w:r>
      <w:r/>
    </w:p>
    <w:p>
      <w:pPr>
        <w:pStyle w:val="730"/>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（1）成交供应商无正当理由拒绝签订合同的，或者在签订合同时向采购人提出附加条件或者更改合同实质性内容要求的；</w:t>
      </w:r>
      <w:r/>
    </w:p>
    <w:p>
      <w:pPr>
        <w:pStyle w:val="730"/>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（2）成交供应商不履行与采购人订立的合同的；</w:t>
      </w:r>
      <w:r/>
    </w:p>
    <w:p>
      <w:pPr>
        <w:pStyle w:val="730"/>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（3）成交供应商所供货物或服务不符合磋商文件规定要求的；</w:t>
      </w:r>
      <w:r/>
    </w:p>
    <w:p>
      <w:pPr>
        <w:pStyle w:val="730"/>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（4）成交供应商采取欺骗、弄虚作假方式投标的或与其它供应商串通投标的；</w:t>
      </w:r>
      <w:r/>
    </w:p>
    <w:p>
      <w:pPr>
        <w:pStyle w:val="730"/>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（5）成交供应商将合同内容转包、违法分包的；</w:t>
      </w:r>
      <w:r/>
    </w:p>
    <w:p>
      <w:pPr>
        <w:pStyle w:val="730"/>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（6）成交供应商故意捏造事实或伪造证明材料，进行虚假恶意投诉或反映的。</w:t>
      </w:r>
      <w:r/>
    </w:p>
    <w:p>
      <w:pPr>
        <w:pStyle w:val="730"/>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32.8.3.5逾期退还的违约责任：采购人逾期无故未退还履约保证金的，按中国人民银行同期贷款基准利率上浮20%后的利率支付超期资金占用费，但因供应商自身原因导致无法及时退还的除外。</w:t>
      </w:r>
      <w:r/>
    </w:p>
    <w:p>
      <w:pPr>
        <w:pStyle w:val="730"/>
        <w:ind w:firstLine="480"/>
        <w:jc w:val="both"/>
        <w:spacing w:beforeAutospacing="0" w:afterAutospacing="0" w:line="480" w:lineRule="exact"/>
        <w:rPr>
          <w:rFonts w:hint="eastAsia" w:ascii="宋体" w:hAnsi="宋体" w:eastAsia="宋体" w:cs="宋体"/>
          <w:b/>
          <w:bCs/>
        </w:rPr>
        <w:outlineLvl w:val="1"/>
      </w:pPr>
      <w:r>
        <w:rPr>
          <w:rFonts w:hint="eastAsia" w:ascii="宋体" w:hAnsi="宋体" w:eastAsia="宋体" w:cs="宋体"/>
          <w:b/>
          <w:bCs/>
        </w:rPr>
        <w:t xml:space="preserve">3</w:t>
      </w:r>
      <w:r>
        <w:rPr>
          <w:rFonts w:hint="eastAsia" w:ascii="宋体" w:hAnsi="宋体" w:eastAsia="宋体" w:cs="宋体"/>
          <w:b/>
          <w:bCs/>
          <w:lang w:val="en-US" w:eastAsia="zh-CN"/>
        </w:rPr>
        <w:t xml:space="preserve">3、</w:t>
      </w:r>
      <w:r>
        <w:rPr>
          <w:rFonts w:hint="eastAsia" w:ascii="宋体" w:hAnsi="宋体" w:eastAsia="宋体" w:cs="宋体"/>
          <w:b/>
          <w:bCs/>
        </w:rPr>
        <w:t xml:space="preserve">预付款制度</w:t>
      </w:r>
      <w:r/>
    </w:p>
    <w:p>
      <w:pPr>
        <w:ind w:firstLine="480"/>
        <w:spacing w:line="540" w:lineRule="exact"/>
        <w:rPr>
          <w:rFonts w:hint="eastAsia" w:ascii="宋体" w:hAnsi="宋体" w:eastAsia="宋体" w:cs="Times New Roman"/>
          <w:b/>
          <w:bCs/>
          <w:color w:val="000000"/>
          <w:sz w:val="24"/>
        </w:rPr>
        <w:outlineLvl w:val="9"/>
      </w:pPr>
      <w:r>
        <w:rPr>
          <w:rFonts w:hint="eastAsia" w:ascii="宋体" w:hAnsi="宋体" w:eastAsia="宋体" w:cs="宋体"/>
          <w:color w:val="auto"/>
          <w:sz w:val="24"/>
          <w:szCs w:val="24"/>
          <w:highlight w:val="none"/>
          <w:lang w:val="en-US" w:eastAsia="zh-CN" w:bidi="ar-SA"/>
        </w:rPr>
        <w:t xml:space="preserve">本项目落实预付款制度，预付款比例为30%</w:t>
      </w:r>
      <w:r>
        <w:rPr>
          <w:rFonts w:hint="eastAsia" w:ascii="宋体" w:hAnsi="宋体" w:eastAsia="宋体" w:cs="宋体"/>
          <w:color w:val="auto"/>
          <w:sz w:val="24"/>
          <w:szCs w:val="24"/>
          <w:highlight w:val="none"/>
          <w:shd w:val="clear" w:color="auto" w:fill="auto"/>
          <w:lang w:val="en-US" w:eastAsia="zh-CN" w:bidi="ar-SA"/>
        </w:rPr>
        <w:t xml:space="preserve">（原则上不低于合同金额的30%）</w:t>
      </w:r>
      <w:r>
        <w:rPr>
          <w:rFonts w:hint="eastAsia" w:ascii="宋体" w:hAnsi="宋体" w:eastAsia="宋体" w:cs="宋体"/>
          <w:color w:val="auto"/>
          <w:sz w:val="24"/>
          <w:szCs w:val="24"/>
          <w:highlight w:val="none"/>
          <w:lang w:val="en-US" w:eastAsia="zh-CN" w:bidi="ar-SA"/>
        </w:rPr>
        <w:t xml:space="preserve">。在签订合同时，中标、成交供应商明确书面表示无需预付款或者主动要求降低预付款比例的，采购人可就预付款比例作相应调整。</w:t>
      </w:r>
      <w:r/>
    </w:p>
    <w:p>
      <w:pPr>
        <w:ind w:firstLine="480"/>
        <w:spacing w:line="480" w:lineRule="exact"/>
        <w:rPr>
          <w:rFonts w:hint="eastAsia" w:ascii="宋体" w:hAnsi="宋体" w:eastAsia="宋体" w:cs="Times New Roman"/>
          <w:b/>
          <w:bCs/>
          <w:color w:val="000000"/>
          <w:sz w:val="24"/>
        </w:rPr>
        <w:outlineLvl w:val="1"/>
      </w:pPr>
      <w:r>
        <w:rPr>
          <w:rFonts w:hint="eastAsia" w:ascii="宋体" w:hAnsi="宋体" w:eastAsia="宋体" w:cs="Times New Roman"/>
          <w:b/>
          <w:bCs/>
          <w:color w:val="000000"/>
          <w:sz w:val="24"/>
        </w:rPr>
        <w:t xml:space="preserve">3</w:t>
      </w:r>
      <w:r>
        <w:rPr>
          <w:rFonts w:hint="eastAsia" w:ascii="宋体" w:hAnsi="宋体" w:eastAsia="宋体" w:cs="Times New Roman"/>
          <w:b/>
          <w:bCs/>
          <w:color w:val="000000"/>
          <w:sz w:val="24"/>
          <w:lang w:val="en-US" w:eastAsia="zh-CN"/>
        </w:rPr>
        <w:t xml:space="preserve">4</w:t>
      </w:r>
      <w:r>
        <w:rPr>
          <w:rFonts w:hint="eastAsia" w:ascii="宋体" w:hAnsi="宋体" w:eastAsia="宋体" w:cs="Times New Roman"/>
          <w:b/>
          <w:bCs/>
          <w:color w:val="000000"/>
          <w:sz w:val="24"/>
        </w:rPr>
        <w:t xml:space="preserve">、踏勘</w:t>
      </w:r>
      <w:r/>
    </w:p>
    <w:p>
      <w:pPr>
        <w:pStyle w:val="730"/>
        <w:ind w:firstLine="482"/>
        <w:jc w:val="both"/>
        <w:keepLines w:val="0"/>
        <w:keepNext w:val="0"/>
        <w:pageBreakBefore w:val="0"/>
        <w:spacing w:beforeAutospacing="0" w:afterAutospacing="0" w:line="420" w:lineRule="exact"/>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lang w:val="en-US" w:eastAsia="zh-CN"/>
        </w:rPr>
        <w:t xml:space="preserve">4</w:t>
      </w:r>
      <w:r>
        <w:rPr>
          <w:rFonts w:hint="eastAsia" w:ascii="宋体" w:hAnsi="宋体" w:eastAsia="宋体" w:cs="宋体"/>
          <w:color w:val="000000"/>
        </w:rPr>
        <w:t xml:space="preserve">.1供应商自行到项目现场进行踏勘，充分了解位置、情况、规模及任何其它足以影响投标报价的情况，并将本项目可预见的相关费用考虑到投标报价中，中标后采购人可认为本项目可预见费用已包括在投标报价中。任何因忽视或误解项目情况而导致的索赔将不予认可。</w:t>
      </w:r>
      <w:r/>
    </w:p>
    <w:p>
      <w:pPr>
        <w:pStyle w:val="730"/>
        <w:ind w:firstLine="482"/>
        <w:jc w:val="both"/>
        <w:keepLines w:val="0"/>
        <w:keepNext w:val="0"/>
        <w:pageBreakBefore w:val="0"/>
        <w:spacing w:beforeAutospacing="0" w:afterAutospacing="0" w:line="420" w:lineRule="exact"/>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lang w:val="en-US" w:eastAsia="zh-CN"/>
        </w:rPr>
        <w:t xml:space="preserve">4</w:t>
      </w:r>
      <w:r>
        <w:rPr>
          <w:rFonts w:hint="eastAsia" w:ascii="宋体" w:hAnsi="宋体" w:eastAsia="宋体" w:cs="宋体"/>
          <w:color w:val="000000"/>
        </w:rPr>
        <w:t xml:space="preserve">.2采购人在踏勘现场中介绍的项目情况，供应商在编制响应文件时参考，采购人不对供应商据此作出的判断和决策负责。</w:t>
      </w:r>
      <w:r/>
    </w:p>
    <w:p>
      <w:pPr>
        <w:pStyle w:val="730"/>
        <w:ind w:firstLine="482"/>
        <w:jc w:val="both"/>
        <w:keepLines w:val="0"/>
        <w:keepNext w:val="0"/>
        <w:pageBreakBefore w:val="0"/>
        <w:spacing w:beforeAutospacing="0" w:afterAutospacing="0" w:line="420" w:lineRule="exact"/>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lang w:val="en-US" w:eastAsia="zh-CN"/>
        </w:rPr>
        <w:t xml:space="preserve">4</w:t>
      </w:r>
      <w:r>
        <w:rPr>
          <w:rFonts w:hint="eastAsia" w:ascii="宋体" w:hAnsi="宋体" w:eastAsia="宋体" w:cs="宋体"/>
          <w:color w:val="000000"/>
        </w:rPr>
        <w:t xml:space="preserve">.3供应商承担踏勘现场所发生的自身费用。</w:t>
      </w:r>
      <w:r/>
    </w:p>
    <w:p>
      <w:pPr>
        <w:pStyle w:val="730"/>
        <w:ind w:firstLine="482"/>
        <w:jc w:val="both"/>
        <w:keepLines w:val="0"/>
        <w:keepNext w:val="0"/>
        <w:pageBreakBefore w:val="0"/>
        <w:spacing w:beforeAutospacing="0" w:afterAutospacing="0" w:line="420" w:lineRule="exact"/>
        <w:widowControl w:val="off"/>
        <w:rPr>
          <w:rFonts w:hint="eastAsia" w:ascii="宋体" w:hAnsi="宋体" w:eastAsia="宋体" w:cs="宋体"/>
          <w:color w:val="000000"/>
        </w:rPr>
      </w:pPr>
      <w:r>
        <w:rPr>
          <w:rFonts w:hint="eastAsia" w:ascii="宋体" w:hAnsi="宋体" w:eastAsia="宋体" w:cs="宋体"/>
          <w:color w:val="000000"/>
        </w:rPr>
      </w:r>
      <w:r/>
    </w:p>
    <w:p>
      <w:pPr>
        <w:pStyle w:val="730"/>
        <w:jc w:val="center"/>
        <w:spacing w:beforeAutospacing="0" w:afterAutospacing="0"/>
        <w:rPr>
          <w:b w:val="0"/>
          <w:bCs w:val="0"/>
          <w:sz w:val="44"/>
          <w:szCs w:val="44"/>
        </w:rPr>
        <w:outlineLvl w:val="0"/>
      </w:pPr>
      <w:r/>
      <w:bookmarkStart w:id="172" w:name="_Hlt16619350"/>
      <w:r/>
      <w:bookmarkStart w:id="173" w:name="_Toc120614244"/>
      <w:r/>
      <w:bookmarkStart w:id="174" w:name="_Toc16938590"/>
      <w:r/>
      <w:bookmarkStart w:id="175" w:name="_Toc462564139"/>
      <w:r/>
      <w:bookmarkStart w:id="176" w:name="_Toc479757211"/>
      <w:r/>
      <w:bookmarkStart w:id="177" w:name="_Toc20823346"/>
      <w:r/>
      <w:bookmarkStart w:id="178" w:name="_Hlt16619369"/>
      <w:r>
        <w:rPr>
          <w:rFonts w:hint="default"/>
          <w:b w:val="0"/>
          <w:bCs w:val="0"/>
          <w:sz w:val="44"/>
          <w:szCs w:val="44"/>
        </w:rPr>
        <w:t xml:space="preserve">第三章  合同文本</w:t>
      </w:r>
      <w:r/>
    </w:p>
    <w:p>
      <w:pPr>
        <w:pStyle w:val="730"/>
        <w:ind w:firstLine="480"/>
        <w:jc w:val="both"/>
        <w:spacing w:beforeAutospacing="0" w:afterAutospacing="0" w:line="460" w:lineRule="exact"/>
        <w:rPr>
          <w:rFonts w:hint="eastAsia" w:ascii="宋体" w:hAnsi="宋体" w:eastAsia="宋体" w:cs="宋体"/>
        </w:rPr>
      </w:pPr>
      <w:r/>
      <w:bookmarkStart w:id="179" w:name="_Toc20823315"/>
      <w:r/>
      <w:bookmarkStart w:id="180" w:name="_Toc513029243"/>
      <w:r/>
      <w:bookmarkStart w:id="181" w:name="_Toc16938559"/>
      <w:r>
        <w:rPr>
          <w:rFonts w:hint="eastAsia" w:ascii="宋体" w:hAnsi="宋体" w:eastAsia="宋体" w:cs="宋体"/>
        </w:rPr>
        <w:t xml:space="preserve">以下为中标后签定本项目合同的通用条款，中标人不得提出实质性的修改。</w:t>
      </w:r>
      <w:bookmarkEnd w:id="179"/>
      <w:r/>
      <w:bookmarkEnd w:id="180"/>
      <w:r/>
      <w:bookmarkEnd w:id="181"/>
      <w:r/>
      <w:r/>
    </w:p>
    <w:p>
      <w:pPr>
        <w:jc w:val="center"/>
        <w:spacing w:before="145" w:after="145"/>
        <w:rPr>
          <w:rFonts w:hint="eastAsia" w:ascii="宋体" w:hAnsi="宋体"/>
          <w:b/>
          <w:bCs/>
          <w:color w:val="000000"/>
          <w:sz w:val="30"/>
          <w:szCs w:val="20"/>
        </w:rPr>
        <w:outlineLvl w:val="0"/>
      </w:pPr>
      <w:r/>
      <w:bookmarkStart w:id="182" w:name="_Toc166173722"/>
      <w:r/>
      <w:bookmarkStart w:id="183" w:name="_Toc5640"/>
      <w:r>
        <w:rPr>
          <w:rFonts w:hint="eastAsia" w:ascii="宋体" w:hAnsi="宋体"/>
          <w:b/>
          <w:color w:val="000000"/>
          <w:sz w:val="30"/>
          <w:szCs w:val="21"/>
        </w:rPr>
        <w:t xml:space="preserve">政府采购合同（货物）（合同编号）</w:t>
      </w:r>
      <w:bookmarkEnd w:id="182"/>
      <w:r/>
      <w:bookmarkEnd w:id="183"/>
      <w:r/>
      <w:r/>
    </w:p>
    <w:p>
      <w:pPr>
        <w:jc w:val="center"/>
        <w:spacing w:before="120" w:after="120"/>
        <w:rPr>
          <w:rFonts w:ascii="宋体" w:hAnsi="宋体" w:eastAsia="宋体" w:cs="宋体"/>
          <w:b/>
          <w:color w:val="auto"/>
          <w:sz w:val="30"/>
          <w:highlight w:val="none"/>
        </w:rPr>
        <w:outlineLvl w:val="0"/>
      </w:pPr>
      <w:r>
        <w:rPr>
          <w:rFonts w:hint="eastAsia" w:ascii="宋体" w:hAnsi="宋体" w:eastAsia="宋体" w:cs="宋体"/>
          <w:b/>
          <w:color w:val="auto"/>
          <w:sz w:val="30"/>
          <w:szCs w:val="30"/>
          <w:highlight w:val="none"/>
        </w:rPr>
        <w:t xml:space="preserve">政府采购合同（服务）</w:t>
      </w:r>
      <w:r/>
    </w:p>
    <w:p>
      <w:pPr>
        <w:pStyle w:val="717"/>
        <w:ind w:firstLine="48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p>
      <w:pPr>
        <w:pStyle w:val="717"/>
        <w:ind w:firstLine="48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p>
    <w:p>
      <w:pPr>
        <w:pStyle w:val="717"/>
        <w:ind w:firstLine="48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甲方（买方）：_________</w:t>
      </w:r>
      <w:r/>
    </w:p>
    <w:p>
      <w:pPr>
        <w:pStyle w:val="717"/>
        <w:ind w:firstLine="48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乙方（卖方）：_________</w:t>
      </w:r>
      <w:r/>
    </w:p>
    <w:p>
      <w:pPr>
        <w:ind w:firstLine="48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甲、乙双方 甲、乙双方根据</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组织的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】公开招标的结果，签署本合同。</w:t>
      </w:r>
      <w:r/>
    </w:p>
    <w:p>
      <w:pPr>
        <w:pStyle w:val="730"/>
        <w:ind w:firstLine="482"/>
        <w:jc w:val="both"/>
        <w:spacing w:beforeAutospacing="0" w:afterAutospacing="0" w:line="460" w:lineRule="exac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一、采购标的</w:t>
      </w:r>
      <w:r/>
    </w:p>
    <w:p>
      <w:pPr>
        <w:pStyle w:val="730"/>
        <w:ind w:firstLine="482"/>
        <w:jc w:val="both"/>
        <w:spacing w:beforeAutospacing="0" w:afterAutospacing="0" w:line="46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1.1服务内容： </w:t>
      </w:r>
      <w:r/>
    </w:p>
    <w:p>
      <w:pPr>
        <w:pStyle w:val="730"/>
        <w:ind w:firstLine="482"/>
        <w:jc w:val="both"/>
        <w:spacing w:beforeAutospacing="0" w:afterAutospacing="0" w:line="46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 服务期限： </w:t>
      </w:r>
      <w:r/>
    </w:p>
    <w:p>
      <w:pPr>
        <w:pStyle w:val="730"/>
        <w:ind w:firstLine="482"/>
        <w:jc w:val="both"/>
        <w:spacing w:beforeAutospacing="0" w:afterAutospacing="0" w:line="460" w:lineRule="exact"/>
        <w:rPr>
          <w:rFonts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1.3 补充条款：</w:t>
      </w:r>
      <w:r>
        <w:rPr>
          <w:rFonts w:hint="eastAsia" w:ascii="宋体" w:hAnsi="宋体" w:eastAsia="宋体" w:cs="宋体"/>
          <w:b/>
          <w:color w:val="auto"/>
          <w:sz w:val="24"/>
          <w:szCs w:val="24"/>
          <w:highlight w:val="none"/>
        </w:rPr>
        <w:t xml:space="preserve"> </w:t>
      </w:r>
      <w:r/>
    </w:p>
    <w:p>
      <w:pPr>
        <w:pStyle w:val="730"/>
        <w:ind w:firstLine="482"/>
        <w:jc w:val="both"/>
        <w:spacing w:beforeAutospacing="0" w:afterAutospacing="0" w:line="460" w:lineRule="exac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二、合同金额</w:t>
      </w:r>
      <w:r/>
    </w:p>
    <w:p>
      <w:pPr>
        <w:pStyle w:val="730"/>
        <w:ind w:firstLine="482"/>
        <w:jc w:val="both"/>
        <w:spacing w:beforeAutospacing="0" w:afterAutospacing="0" w:line="46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 本合同金额为（大写）：_________________元整（￥__________元）人民币。</w:t>
      </w:r>
      <w:r/>
    </w:p>
    <w:p>
      <w:pPr>
        <w:pStyle w:val="730"/>
        <w:ind w:firstLine="482"/>
        <w:jc w:val="both"/>
        <w:spacing w:beforeAutospacing="0" w:afterAutospacing="0" w:line="46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2.2本合同价款包含所有乙方提供合同约定服务的报酬及乙方提供合同中服务所支出的必要费用，甲方在上述合同价款之外不再向乙方支付其他任何费用。</w:t>
      </w:r>
      <w:r/>
    </w:p>
    <w:p>
      <w:pPr>
        <w:pStyle w:val="730"/>
        <w:ind w:firstLine="482"/>
        <w:jc w:val="both"/>
        <w:spacing w:beforeAutospacing="0" w:afterAutospacing="0" w:line="460" w:lineRule="exac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三、技术资料</w:t>
      </w:r>
      <w:r/>
    </w:p>
    <w:p>
      <w:pPr>
        <w:pStyle w:val="730"/>
        <w:ind w:firstLine="482"/>
        <w:jc w:val="both"/>
        <w:spacing w:beforeAutospacing="0" w:afterAutospacing="0" w:line="46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3.1乙方应按投标文件规定的时间向甲方提供有关技术资料。</w:t>
      </w:r>
      <w:r/>
    </w:p>
    <w:p>
      <w:pPr>
        <w:pStyle w:val="730"/>
        <w:ind w:firstLine="482"/>
        <w:jc w:val="both"/>
        <w:spacing w:beforeAutospacing="0" w:afterAutospacing="0" w:line="46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30"/>
        <w:ind w:firstLine="482"/>
        <w:jc w:val="both"/>
        <w:spacing w:beforeAutospacing="0" w:afterAutospacing="0" w:line="460" w:lineRule="exac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四、知识产权</w:t>
      </w:r>
      <w:r/>
    </w:p>
    <w:p>
      <w:pPr>
        <w:pStyle w:val="730"/>
        <w:ind w:firstLine="482"/>
        <w:jc w:val="both"/>
        <w:spacing w:beforeAutospacing="0" w:afterAutospacing="0" w:line="460" w:lineRule="exact"/>
        <w:rPr>
          <w:rFonts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乙方应保证甲方在使用、接受本合同服务（包含与服务相关的货物）或其任何一部分时不受第三方提出侵犯其专利权、版权、商标权和工业设计权等知识产权的起诉。一旦出现侵权，由乙方负全部责任。</w:t>
      </w:r>
      <w:r/>
    </w:p>
    <w:p>
      <w:pPr>
        <w:pStyle w:val="730"/>
        <w:ind w:firstLine="482"/>
        <w:jc w:val="both"/>
        <w:spacing w:beforeAutospacing="0" w:afterAutospacing="0" w:line="460" w:lineRule="exact"/>
        <w:rPr>
          <w:color w:val="auto"/>
          <w:sz w:val="24"/>
          <w:szCs w:val="24"/>
          <w:highlight w:val="none"/>
        </w:rPr>
      </w:pPr>
      <w:r>
        <w:rPr>
          <w:rFonts w:hint="eastAsia" w:ascii="宋体" w:hAnsi="宋体" w:eastAsia="宋体" w:cs="宋体"/>
          <w:b/>
          <w:color w:val="auto"/>
          <w:sz w:val="24"/>
          <w:szCs w:val="24"/>
          <w:highlight w:val="none"/>
        </w:rPr>
        <w:t xml:space="preserve">五、履约保证金</w:t>
      </w:r>
      <w:r/>
    </w:p>
    <w:p>
      <w:pPr>
        <w:ind w:firstLine="48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5.1乙方交纳人民币_________元作为本合同的履约保证金。</w:t>
      </w:r>
      <w:r/>
    </w:p>
    <w:p>
      <w:pPr>
        <w:ind w:firstLine="48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rPr>
          <w:rFonts w:hint="eastAsia" w:ascii="宋体" w:hAnsi="宋体" w:eastAsia="宋体" w:cs="宋体"/>
          <w:color w:val="000000"/>
          <w:sz w:val="24"/>
          <w:szCs w:val="24"/>
          <w:highlight w:val="none"/>
          <w:lang w:val="en-US" w:eastAsia="zh-CN"/>
        </w:rPr>
        <w:t xml:space="preserve">履约保证金金额为合同金额的10%</w:t>
      </w:r>
      <w:r>
        <w:rPr>
          <w:rFonts w:hint="eastAsia" w:ascii="宋体" w:hAnsi="宋体" w:eastAsia="宋体" w:cs="宋体"/>
          <w:color w:val="auto"/>
          <w:sz w:val="24"/>
          <w:szCs w:val="24"/>
          <w:highlight w:val="none"/>
        </w:rPr>
        <w:t xml:space="preserve">，鼓励采购人对AA评级及以上政府采购供应商（需提供信用管理部门备案的第三方信用报告）免收履约保证金或降低履约保证金缴纳比例。依据《关于在全省政府采购领域推行电子履约保函（保险）的通知》，鼓励供应商自愿使用履约保函（保险）代替缴纳履约保证金）</w:t>
      </w:r>
      <w:r/>
    </w:p>
    <w:p>
      <w:pPr>
        <w:ind w:firstLine="48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5.2确需收取履约保证金的，履约保证金的缴纳形式：</w:t>
      </w:r>
      <w:r/>
    </w:p>
    <w:p>
      <w:pPr>
        <w:ind w:firstLine="48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5.2.2 如以履约保函（保险）形式缴纳履约保证金，供应商可通过政府采购电子履约保函（保险）平台（www.jsdzbh.com）在线申请履约保函（保险）。</w:t>
      </w:r>
      <w:r/>
    </w:p>
    <w:p>
      <w:pPr>
        <w:ind w:firstLine="48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5.3合同履行结束后，甲方应及时退还交纳的履约保证金。</w:t>
      </w:r>
      <w:r/>
    </w:p>
    <w:p>
      <w:pPr>
        <w:ind w:firstLine="48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5.4履约保证金的退还：</w:t>
      </w:r>
      <w:r/>
    </w:p>
    <w:p>
      <w:pPr>
        <w:ind w:firstLine="48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5.4.1方式：无息退还至投标人缴纳履约保证金的账户。如为保函，在到期时自行失效。</w:t>
      </w:r>
      <w:r/>
    </w:p>
    <w:p>
      <w:pPr>
        <w:ind w:firstLine="48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5.4.2时间：验收合格且采购人收到发票后1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个工作日内。</w:t>
      </w:r>
      <w:r/>
    </w:p>
    <w:p>
      <w:pPr>
        <w:ind w:firstLine="48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5.4.3条件：按合同要求全部履约完成并经采购人验收合格，且采购人收到中标人出具的发票。</w:t>
      </w:r>
      <w:r/>
    </w:p>
    <w:p>
      <w:pPr>
        <w:ind w:firstLine="48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5.4.4不予退还情形：</w:t>
      </w:r>
      <w:r/>
    </w:p>
    <w:p>
      <w:pPr>
        <w:ind w:firstLine="48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除不可抗力情况外，投标人出现下列情形之一的，其履约保证金，招标人将视情节决定不予退还或部分不予退还。</w:t>
      </w:r>
      <w:r/>
    </w:p>
    <w:p>
      <w:pPr>
        <w:ind w:firstLine="48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（1）中标人无正当理由拒绝签订合同的，或者在签订合同时向采购人提出附加条件或者更改合同实质性内容要求的；</w:t>
      </w:r>
      <w:r/>
    </w:p>
    <w:p>
      <w:pPr>
        <w:ind w:firstLine="48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（2）中标人不履行与采购人订立的合同的；</w:t>
      </w:r>
      <w:r/>
    </w:p>
    <w:p>
      <w:pPr>
        <w:ind w:firstLine="48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（3）中标人所供货物或服务不符合招标文件规定要求的；</w:t>
      </w:r>
      <w:r/>
    </w:p>
    <w:p>
      <w:pPr>
        <w:ind w:firstLine="48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（4）中标人采取欺骗、弄虚作假方式投标的或与其它投标人串通投标的；</w:t>
      </w:r>
      <w:r/>
    </w:p>
    <w:p>
      <w:pPr>
        <w:ind w:firstLine="48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（5）中标人将合同内容转包、违法分包的；</w:t>
      </w:r>
      <w:r/>
    </w:p>
    <w:p>
      <w:pPr>
        <w:ind w:firstLine="48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（6）中标人故意捏造事实或伪造证明材料，进行虚假恶意投诉或反映的。</w:t>
      </w:r>
      <w:r/>
    </w:p>
    <w:p>
      <w:pPr>
        <w:ind w:firstLine="480"/>
        <w:spacing w:line="460" w:lineRule="exact"/>
        <w:rPr>
          <w:color w:val="auto"/>
          <w:sz w:val="24"/>
          <w:szCs w:val="24"/>
          <w:highlight w:val="none"/>
        </w:rPr>
      </w:pPr>
      <w:r>
        <w:rPr>
          <w:rFonts w:hint="eastAsia" w:ascii="宋体" w:hAnsi="宋体" w:eastAsia="宋体" w:cs="宋体"/>
          <w:color w:val="auto"/>
          <w:sz w:val="24"/>
          <w:szCs w:val="24"/>
          <w:highlight w:val="none"/>
        </w:rPr>
        <w:t xml:space="preserve">5.4.5逾期退还的违约责任：采购人逾期无故未退还履约保证金的，按中国人民银行同期贷款基准利率上浮20%后的利率支付超期资金占用费，但因供应商自身原因导致无法及时退还的除外。</w:t>
      </w:r>
      <w:r/>
    </w:p>
    <w:p>
      <w:pPr>
        <w:pStyle w:val="730"/>
        <w:ind w:firstLine="482"/>
        <w:jc w:val="both"/>
        <w:spacing w:beforeAutospacing="0" w:afterAutospacing="0" w:line="460" w:lineRule="exact"/>
        <w:rPr>
          <w:color w:val="auto"/>
          <w:sz w:val="24"/>
          <w:szCs w:val="24"/>
          <w:highlight w:val="none"/>
        </w:rPr>
      </w:pPr>
      <w:r>
        <w:rPr>
          <w:rFonts w:hint="eastAsia" w:ascii="宋体" w:hAnsi="宋体" w:eastAsia="宋体" w:cs="宋体"/>
          <w:b/>
          <w:color w:val="auto"/>
          <w:sz w:val="24"/>
          <w:szCs w:val="24"/>
          <w:highlight w:val="none"/>
        </w:rPr>
        <w:t xml:space="preserve">六、合同转包或分包</w:t>
      </w:r>
      <w:r/>
    </w:p>
    <w:p>
      <w:pPr>
        <w:pStyle w:val="730"/>
        <w:ind w:firstLine="480"/>
        <w:jc w:val="both"/>
        <w:spacing w:beforeAutospacing="0" w:afterAutospacing="0" w:line="360" w:lineRule="auto"/>
        <w:rPr>
          <w:color w:val="auto"/>
          <w:sz w:val="24"/>
          <w:szCs w:val="24"/>
          <w:highlight w:val="none"/>
        </w:rPr>
      </w:pPr>
      <w:r>
        <w:rPr>
          <w:rFonts w:hint="eastAsia" w:ascii="宋体" w:hAnsi="宋体" w:eastAsia="宋体" w:cs="宋体"/>
          <w:color w:val="auto"/>
          <w:sz w:val="24"/>
          <w:szCs w:val="24"/>
          <w:highlight w:val="none"/>
        </w:rPr>
        <w:t xml:space="preserve">6.1乙方不得将合同标的转包给他人履行。</w:t>
      </w:r>
      <w:r/>
    </w:p>
    <w:p>
      <w:pPr>
        <w:pStyle w:val="730"/>
        <w:ind w:firstLine="480"/>
        <w:jc w:val="both"/>
        <w:spacing w:beforeAutospacing="0" w:afterAutospacing="0"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6.2乙方不得将合同标的分包给他人履行。</w:t>
      </w:r>
      <w:r/>
    </w:p>
    <w:p>
      <w:pPr>
        <w:pStyle w:val="730"/>
        <w:ind w:firstLine="480"/>
        <w:jc w:val="both"/>
        <w:spacing w:beforeAutospacing="0" w:afterAutospacing="0" w:line="360" w:lineRule="auto"/>
        <w:rPr>
          <w:color w:val="auto"/>
          <w:sz w:val="24"/>
          <w:szCs w:val="24"/>
          <w:highlight w:val="none"/>
        </w:rPr>
      </w:pPr>
      <w:r>
        <w:rPr>
          <w:rFonts w:hint="eastAsia" w:ascii="宋体" w:hAnsi="宋体" w:eastAsia="宋体" w:cs="宋体"/>
          <w:color w:val="auto"/>
          <w:sz w:val="24"/>
          <w:szCs w:val="24"/>
          <w:highlight w:val="none"/>
        </w:rPr>
        <w:t xml:space="preserve">6.3乙方如有转包或未经甲方同意的分包行为，甲方有权解除合同。</w:t>
      </w:r>
      <w:r/>
    </w:p>
    <w:p>
      <w:pPr>
        <w:pStyle w:val="730"/>
        <w:ind w:firstLine="482"/>
        <w:jc w:val="both"/>
        <w:spacing w:beforeAutospacing="0" w:afterAutospacing="0" w:line="360" w:lineRule="auto"/>
        <w:rPr>
          <w:color w:val="auto"/>
          <w:sz w:val="24"/>
          <w:szCs w:val="24"/>
          <w:highlight w:val="none"/>
        </w:rPr>
      </w:pPr>
      <w:r>
        <w:rPr>
          <w:rFonts w:hint="eastAsia" w:ascii="宋体" w:hAnsi="宋体" w:eastAsia="宋体" w:cs="宋体"/>
          <w:b/>
          <w:color w:val="auto"/>
          <w:sz w:val="24"/>
          <w:szCs w:val="24"/>
          <w:highlight w:val="none"/>
        </w:rPr>
        <w:t xml:space="preserve">七、合同款项支付</w:t>
      </w:r>
      <w:r/>
    </w:p>
    <w:p>
      <w:pPr>
        <w:ind w:firstLine="480"/>
        <w:jc w:val="left"/>
        <w:spacing w:line="360" w:lineRule="exact"/>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合同签订时，支付合同总价的30%作为项目启动预付款；</w:t>
      </w:r>
      <w:r>
        <w:rPr>
          <w:rFonts w:hint="eastAsia" w:ascii="宋体" w:hAnsi="宋体" w:eastAsia="宋体" w:cs="宋体"/>
          <w:sz w:val="24"/>
          <w:highlight w:val="none"/>
          <w:lang w:val="en-US" w:eastAsia="zh-CN" w:bidi="ar"/>
        </w:rPr>
        <w:t xml:space="preserve">项目</w:t>
      </w:r>
      <w:r>
        <w:rPr>
          <w:rFonts w:hint="eastAsia" w:ascii="宋体" w:hAnsi="宋体" w:eastAsia="宋体" w:cs="宋体"/>
          <w:sz w:val="24"/>
          <w:highlight w:val="none"/>
          <w:lang w:bidi="ar"/>
        </w:rPr>
        <w:t xml:space="preserve">验收合格</w:t>
      </w:r>
      <w:r>
        <w:rPr>
          <w:rFonts w:hint="eastAsia" w:ascii="宋体" w:hAnsi="宋体" w:eastAsia="宋体" w:cs="宋体"/>
          <w:sz w:val="24"/>
          <w:highlight w:val="none"/>
          <w:lang w:val="en-US" w:eastAsia="zh-CN" w:bidi="ar"/>
        </w:rPr>
        <w:t xml:space="preserve">后支付至合同总价90%，并无息退还履约保证金（如有），余款在该项目满1年服务期后</w:t>
      </w:r>
      <w:r>
        <w:rPr>
          <w:rFonts w:hint="eastAsia" w:ascii="宋体" w:hAnsi="宋体" w:eastAsia="宋体" w:cs="宋体"/>
          <w:sz w:val="24"/>
          <w:highlight w:val="none"/>
          <w:lang w:bidi="ar"/>
        </w:rPr>
        <w:t xml:space="preserve">无服务问题一次性付清。以上付款均不计任何利息和相关费用，付款一律通过银行结转。相关付款手续由用户单位由财政部门报批后办理。</w:t>
      </w:r>
      <w:r/>
    </w:p>
    <w:p>
      <w:pPr>
        <w:ind w:firstLine="482"/>
        <w:jc w:val="left"/>
        <w:spacing w:line="360" w:lineRule="exact"/>
        <w:rPr>
          <w:rFonts w:hint="eastAsia" w:ascii="宋体" w:hAnsi="宋体" w:eastAsia="宋体" w:cs="宋体"/>
          <w:b/>
          <w:bCs/>
          <w:sz w:val="24"/>
        </w:rPr>
      </w:pPr>
      <w:r>
        <w:rPr>
          <w:rFonts w:hint="eastAsia" w:ascii="宋体" w:hAnsi="宋体" w:eastAsia="宋体" w:cs="宋体"/>
          <w:b/>
          <w:bCs/>
          <w:sz w:val="24"/>
          <w:lang w:bidi="ar"/>
        </w:rPr>
        <w:t xml:space="preserve">注：在签订合同时，中标人明确表示无需预付款或者主动要求降低预付款比例的金额，采购人可不适用预付款规定,但中标人需提供书面声明。</w:t>
      </w:r>
      <w:r/>
    </w:p>
    <w:p>
      <w:pPr>
        <w:pStyle w:val="730"/>
        <w:ind w:left="482"/>
        <w:jc w:val="both"/>
        <w:spacing w:beforeAutospacing="0" w:afterAutospacing="0" w:line="460" w:lineRule="exact"/>
        <w:rPr>
          <w:color w:val="auto"/>
          <w:sz w:val="24"/>
          <w:szCs w:val="24"/>
          <w:highlight w:val="none"/>
        </w:rPr>
      </w:pPr>
      <w:r>
        <w:rPr>
          <w:rFonts w:hint="eastAsia" w:ascii="宋体" w:hAnsi="宋体" w:eastAsia="宋体" w:cs="宋体"/>
          <w:b/>
          <w:color w:val="auto"/>
          <w:sz w:val="24"/>
          <w:szCs w:val="24"/>
          <w:highlight w:val="none"/>
        </w:rPr>
        <w:t xml:space="preserve">八、税费</w:t>
      </w:r>
      <w:r/>
    </w:p>
    <w:p>
      <w:pPr>
        <w:pStyle w:val="730"/>
        <w:ind w:firstLine="480"/>
        <w:jc w:val="both"/>
        <w:spacing w:beforeAutospacing="0" w:afterAutospacing="0"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8.1本合同执行中相关的一切税费均由乙方负担。</w:t>
      </w:r>
      <w:r/>
    </w:p>
    <w:p>
      <w:pPr>
        <w:pStyle w:val="730"/>
        <w:ind w:firstLine="482"/>
        <w:jc w:val="both"/>
        <w:spacing w:beforeAutospacing="0" w:afterAutospacing="0" w:line="460" w:lineRule="exact"/>
        <w:rPr>
          <w:color w:val="auto"/>
          <w:sz w:val="24"/>
          <w:szCs w:val="24"/>
          <w:highlight w:val="none"/>
        </w:rPr>
      </w:pPr>
      <w:r>
        <w:rPr>
          <w:rFonts w:hint="eastAsia" w:ascii="宋体" w:hAnsi="宋体" w:eastAsia="宋体" w:cs="宋体"/>
          <w:b/>
          <w:color w:val="auto"/>
          <w:sz w:val="24"/>
          <w:szCs w:val="24"/>
          <w:highlight w:val="none"/>
        </w:rPr>
        <w:t xml:space="preserve">九、违约责任</w:t>
      </w:r>
      <w:r/>
    </w:p>
    <w:p>
      <w:pPr>
        <w:pStyle w:val="730"/>
        <w:ind w:firstLine="480"/>
        <w:jc w:val="both"/>
        <w:spacing w:beforeAutospacing="0" w:afterAutospacing="0"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 甲方违反合同规定，拒绝接收乙方交付的服务，应当承担乙方由此造成的损失。</w:t>
      </w:r>
      <w:r/>
    </w:p>
    <w:p>
      <w:pPr>
        <w:pStyle w:val="730"/>
        <w:ind w:firstLine="480"/>
        <w:jc w:val="both"/>
        <w:spacing w:beforeAutospacing="0" w:afterAutospacing="0" w:line="460" w:lineRule="exact"/>
        <w:rPr>
          <w:rFonts w:eastAsia="宋体"/>
          <w:color w:val="auto"/>
          <w:sz w:val="24"/>
          <w:szCs w:val="24"/>
          <w:highlight w:val="none"/>
        </w:rPr>
      </w:pPr>
      <w:r>
        <w:rPr>
          <w:rFonts w:hint="eastAsia" w:ascii="宋体" w:hAnsi="宋体" w:eastAsia="宋体" w:cs="宋体"/>
          <w:color w:val="auto"/>
          <w:sz w:val="24"/>
          <w:szCs w:val="24"/>
          <w:highlight w:val="none"/>
        </w:rPr>
        <w:t xml:space="preserve">9.2乙方所交的产品或服务不符合项目需求要求、乙方投标文件承诺及国家有关质量标准的，甲方有权拒收，甲方可单方面解除合同，并由乙方赔偿由此造成的甲方全部损失。</w:t>
      </w:r>
      <w:r/>
    </w:p>
    <w:p>
      <w:pPr>
        <w:pStyle w:val="730"/>
        <w:ind w:firstLine="482"/>
        <w:jc w:val="both"/>
        <w:spacing w:beforeAutospacing="0" w:afterAutospacing="0" w:line="460" w:lineRule="exact"/>
        <w:rPr>
          <w:color w:val="auto"/>
          <w:sz w:val="24"/>
          <w:szCs w:val="24"/>
          <w:highlight w:val="none"/>
        </w:rPr>
      </w:pPr>
      <w:r>
        <w:rPr>
          <w:rFonts w:hint="eastAsia" w:ascii="宋体" w:hAnsi="宋体" w:eastAsia="宋体" w:cs="宋体"/>
          <w:b/>
          <w:color w:val="auto"/>
          <w:sz w:val="24"/>
          <w:szCs w:val="24"/>
          <w:highlight w:val="none"/>
        </w:rPr>
        <w:t xml:space="preserve">十、不可抗力事件处理</w:t>
      </w:r>
      <w:r/>
    </w:p>
    <w:p>
      <w:pPr>
        <w:pStyle w:val="730"/>
        <w:ind w:firstLine="480"/>
        <w:jc w:val="both"/>
        <w:spacing w:beforeAutospacing="0" w:afterAutospacing="0"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10.1在合同有效期内，任何一方因不可抗力事件导致不能履行合同，则合同履行期可延长，其延长期与不可抗力影响期相同。</w:t>
      </w:r>
      <w:r/>
    </w:p>
    <w:p>
      <w:pPr>
        <w:pStyle w:val="730"/>
        <w:ind w:firstLine="480"/>
        <w:jc w:val="both"/>
        <w:spacing w:beforeAutospacing="0" w:afterAutospacing="0" w:line="460" w:lineRule="exact"/>
        <w:rPr>
          <w:color w:val="auto"/>
          <w:sz w:val="24"/>
          <w:szCs w:val="24"/>
          <w:highlight w:val="none"/>
        </w:rPr>
      </w:pPr>
      <w:r>
        <w:rPr>
          <w:rFonts w:hint="eastAsia" w:ascii="宋体" w:hAnsi="宋体" w:eastAsia="宋体" w:cs="宋体"/>
          <w:color w:val="auto"/>
          <w:sz w:val="24"/>
          <w:szCs w:val="24"/>
          <w:highlight w:val="none"/>
        </w:rPr>
        <w:t xml:space="preserve">10.2不可抗力事件发生后，应立即通知对方，并寄送有关权威机构出具的证明。</w:t>
      </w:r>
      <w:r/>
    </w:p>
    <w:p>
      <w:pPr>
        <w:pStyle w:val="730"/>
        <w:ind w:firstLine="480"/>
        <w:jc w:val="both"/>
        <w:spacing w:beforeAutospacing="0" w:afterAutospacing="0" w:line="460" w:lineRule="exact"/>
        <w:rPr>
          <w:color w:val="auto"/>
          <w:sz w:val="24"/>
          <w:szCs w:val="24"/>
          <w:highlight w:val="none"/>
        </w:rPr>
      </w:pPr>
      <w:r>
        <w:rPr>
          <w:rFonts w:hint="eastAsia" w:ascii="宋体" w:hAnsi="宋体" w:eastAsia="宋体" w:cs="宋体"/>
          <w:color w:val="auto"/>
          <w:sz w:val="24"/>
          <w:szCs w:val="24"/>
          <w:highlight w:val="none"/>
        </w:rPr>
        <w:t xml:space="preserve">10.3不可抗力事件延续120天以上，双方应通过友好协商，确定是否继续履行合同。</w:t>
      </w:r>
      <w:r/>
    </w:p>
    <w:p>
      <w:pPr>
        <w:pStyle w:val="730"/>
        <w:ind w:firstLine="482"/>
        <w:jc w:val="both"/>
        <w:spacing w:beforeAutospacing="0" w:afterAutospacing="0" w:line="460" w:lineRule="exact"/>
        <w:rPr>
          <w:color w:val="auto"/>
          <w:sz w:val="24"/>
          <w:szCs w:val="24"/>
          <w:highlight w:val="none"/>
        </w:rPr>
      </w:pPr>
      <w:r>
        <w:rPr>
          <w:rFonts w:hint="eastAsia" w:ascii="宋体" w:hAnsi="宋体" w:eastAsia="宋体" w:cs="宋体"/>
          <w:b/>
          <w:color w:val="auto"/>
          <w:sz w:val="24"/>
          <w:szCs w:val="24"/>
          <w:highlight w:val="none"/>
        </w:rPr>
        <w:t xml:space="preserve">十一、解决争议的方法</w:t>
      </w:r>
      <w:r/>
    </w:p>
    <w:p>
      <w:pPr>
        <w:pStyle w:val="730"/>
        <w:ind w:firstLine="480"/>
        <w:jc w:val="both"/>
        <w:spacing w:beforeAutospacing="0" w:afterAutospacing="0" w:line="460" w:lineRule="exact"/>
        <w:rPr>
          <w:color w:val="auto"/>
          <w:sz w:val="24"/>
          <w:szCs w:val="24"/>
          <w:highlight w:val="none"/>
        </w:rPr>
      </w:pPr>
      <w:r>
        <w:rPr>
          <w:rFonts w:hint="eastAsia" w:ascii="宋体" w:hAnsi="宋体" w:eastAsia="宋体" w:cs="宋体"/>
          <w:color w:val="auto"/>
          <w:sz w:val="24"/>
          <w:szCs w:val="24"/>
          <w:highlight w:val="none"/>
        </w:rPr>
        <w:t xml:space="preserve">11.1双方在执行合同中所发生的一切争议，应通过协商解决。如协商不成，可向合同签订地法院起诉，合同签订地在此约定为射阳县。</w:t>
      </w:r>
      <w:r/>
    </w:p>
    <w:p>
      <w:pPr>
        <w:pStyle w:val="730"/>
        <w:ind w:firstLine="482"/>
        <w:jc w:val="both"/>
        <w:spacing w:beforeAutospacing="0" w:afterAutospacing="0" w:line="460" w:lineRule="exact"/>
        <w:rPr>
          <w:color w:val="auto"/>
          <w:sz w:val="24"/>
          <w:szCs w:val="24"/>
          <w:highlight w:val="none"/>
        </w:rPr>
      </w:pPr>
      <w:r>
        <w:rPr>
          <w:rFonts w:hint="eastAsia" w:ascii="宋体" w:hAnsi="宋体" w:eastAsia="宋体" w:cs="宋体"/>
          <w:b/>
          <w:color w:val="auto"/>
          <w:sz w:val="24"/>
          <w:szCs w:val="24"/>
          <w:highlight w:val="none"/>
        </w:rPr>
        <w:t xml:space="preserve">十二、合同生效及其他</w:t>
      </w:r>
      <w:r/>
    </w:p>
    <w:p>
      <w:pPr>
        <w:pStyle w:val="730"/>
        <w:ind w:firstLine="480"/>
        <w:jc w:val="both"/>
        <w:spacing w:beforeAutospacing="0" w:afterAutospacing="0" w:line="460" w:lineRule="exact"/>
        <w:rPr>
          <w:color w:val="auto"/>
          <w:sz w:val="24"/>
          <w:szCs w:val="24"/>
          <w:highlight w:val="none"/>
        </w:rPr>
      </w:pPr>
      <w:r>
        <w:rPr>
          <w:rFonts w:hint="eastAsia" w:ascii="宋体" w:hAnsi="宋体" w:eastAsia="宋体" w:cs="宋体"/>
          <w:color w:val="auto"/>
          <w:sz w:val="24"/>
          <w:szCs w:val="24"/>
          <w:highlight w:val="none"/>
        </w:rPr>
        <w:t xml:space="preserve">12.1合同经双方法定代表人或授权委托代表人签字并加盖单位公章后生效。</w:t>
      </w:r>
      <w:r/>
    </w:p>
    <w:p>
      <w:pPr>
        <w:pStyle w:val="730"/>
        <w:ind w:firstLine="480"/>
        <w:jc w:val="both"/>
        <w:spacing w:beforeAutospacing="0" w:afterAutospacing="0" w:line="460" w:lineRule="exact"/>
        <w:rPr>
          <w:color w:val="auto"/>
          <w:sz w:val="24"/>
          <w:szCs w:val="24"/>
          <w:highlight w:val="none"/>
        </w:rPr>
      </w:pPr>
      <w:r>
        <w:rPr>
          <w:rFonts w:hint="eastAsia" w:ascii="宋体" w:hAnsi="宋体" w:eastAsia="宋体" w:cs="宋体"/>
          <w:color w:val="auto"/>
          <w:sz w:val="24"/>
          <w:szCs w:val="24"/>
          <w:highlight w:val="none"/>
        </w:rPr>
        <w:t xml:space="preserve">12.2本合同未尽事宜，遵照《民法典》 有关条文执行。</w:t>
      </w:r>
      <w:r/>
    </w:p>
    <w:p>
      <w:pPr>
        <w:ind w:firstLine="48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 本项目招标文件和乙方的投标文件中被采购方认可的部分为本合同的不可分割的组成部分，与本合同具有同样效力。</w:t>
      </w:r>
      <w:r/>
    </w:p>
    <w:p>
      <w:pPr>
        <w:ind w:firstLine="48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12.4本合同正本一式四份，具有同等法律效力，甲方、乙方、财政监管部门及代理机构各执一份。</w:t>
      </w:r>
      <w:r/>
    </w:p>
    <w:p>
      <w:pPr>
        <w:pStyle w:val="711"/>
        <w:rPr>
          <w:color w:val="auto"/>
          <w:sz w:val="24"/>
          <w:szCs w:val="24"/>
          <w:highlight w:val="none"/>
          <w:lang w:eastAsia="zh-CN"/>
        </w:rPr>
      </w:pPr>
      <w:r>
        <w:rPr>
          <w:color w:val="auto"/>
          <w:sz w:val="24"/>
          <w:szCs w:val="24"/>
          <w:highlight w:val="none"/>
          <w:lang w:eastAsia="zh-CN"/>
        </w:rPr>
      </w:r>
      <w:r/>
    </w:p>
    <w:p>
      <w:pPr>
        <w:ind w:firstLine="48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                               </w:t>
      </w:r>
      <w:r/>
    </w:p>
    <w:p>
      <w:pPr>
        <w:ind w:firstLine="48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p>
    <w:p>
      <w:pPr>
        <w:ind w:firstLine="48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法定代表人或授权代表：               </w:t>
      </w:r>
      <w:r/>
    </w:p>
    <w:p>
      <w:pPr>
        <w:ind w:firstLine="48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                           </w:t>
      </w:r>
      <w:r/>
    </w:p>
    <w:p>
      <w:pPr>
        <w:ind w:firstLine="480"/>
        <w:spacing w:line="4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w:t>
      </w:r>
      <w:r/>
    </w:p>
    <w:p>
      <w:pPr>
        <w:ind w:firstLine="48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p>
    <w:p>
      <w:pPr>
        <w:ind w:firstLine="48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法定代表人或授权代表：</w:t>
      </w:r>
      <w:r/>
    </w:p>
    <w:p>
      <w:pPr>
        <w:ind w:firstLine="48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p>
      <w:pPr>
        <w:ind w:firstLine="480"/>
        <w:spacing w:line="4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签订日期：      年  月  日</w:t>
      </w:r>
      <w:r/>
    </w:p>
    <w:p>
      <w:pPr>
        <w:pStyle w:val="730"/>
        <w:ind w:firstLine="480"/>
        <w:jc w:val="both"/>
        <w:spacing w:beforeAutospacing="0" w:afterAutospacing="0" w:line="460" w:lineRule="exact"/>
        <w:rPr>
          <w:rFonts w:hint="eastAsia" w:ascii="宋体" w:hAnsi="宋体" w:eastAsia="宋体" w:cs="宋体"/>
        </w:rPr>
      </w:pPr>
      <w:r>
        <w:rPr>
          <w:rFonts w:hint="eastAsia" w:ascii="宋体" w:hAnsi="宋体" w:eastAsia="宋体" w:cs="宋体"/>
        </w:rPr>
      </w:r>
      <w:r/>
    </w:p>
    <w:p>
      <w:pPr>
        <w:pStyle w:val="730"/>
        <w:ind w:firstLine="480"/>
        <w:jc w:val="both"/>
        <w:spacing w:beforeAutospacing="0" w:afterAutospacing="0" w:line="460" w:lineRule="exact"/>
        <w:rPr>
          <w:rFonts w:hint="eastAsia" w:ascii="宋体" w:hAnsi="宋体" w:eastAsia="宋体" w:cs="宋体"/>
        </w:rPr>
      </w:pPr>
      <w:r>
        <w:rPr>
          <w:rFonts w:hint="eastAsia" w:ascii="宋体" w:hAnsi="宋体" w:eastAsia="宋体" w:cs="宋体"/>
        </w:rPr>
      </w:r>
      <w:r/>
    </w:p>
    <w:p>
      <w:pPr>
        <w:pStyle w:val="730"/>
        <w:ind w:firstLine="480"/>
        <w:jc w:val="both"/>
        <w:spacing w:beforeAutospacing="0" w:afterAutospacing="0" w:line="460" w:lineRule="exact"/>
        <w:rPr>
          <w:rFonts w:hint="eastAsia" w:ascii="宋体" w:hAnsi="宋体" w:eastAsia="宋体" w:cs="宋体"/>
        </w:rPr>
      </w:pPr>
      <w:r>
        <w:rPr>
          <w:rFonts w:hint="eastAsia" w:ascii="宋体" w:hAnsi="宋体" w:eastAsia="宋体" w:cs="宋体"/>
        </w:rPr>
      </w:r>
      <w:r/>
    </w:p>
    <w:p>
      <w:pPr>
        <w:pStyle w:val="730"/>
        <w:ind w:firstLine="480"/>
        <w:jc w:val="both"/>
        <w:spacing w:beforeAutospacing="0" w:afterAutospacing="0" w:line="460" w:lineRule="exact"/>
        <w:rPr>
          <w:rFonts w:hint="eastAsia" w:ascii="宋体" w:hAnsi="宋体" w:eastAsia="宋体" w:cs="宋体"/>
        </w:rPr>
      </w:pPr>
      <w:r>
        <w:rPr>
          <w:rFonts w:hint="eastAsia" w:ascii="宋体" w:hAnsi="宋体" w:eastAsia="宋体" w:cs="宋体"/>
        </w:rPr>
      </w:r>
      <w:r/>
    </w:p>
    <w:p>
      <w:pPr>
        <w:pStyle w:val="730"/>
        <w:ind w:firstLine="480"/>
        <w:jc w:val="both"/>
        <w:spacing w:beforeAutospacing="0" w:afterAutospacing="0" w:line="460" w:lineRule="exact"/>
        <w:rPr>
          <w:rFonts w:hint="eastAsia" w:ascii="宋体" w:hAnsi="宋体" w:eastAsia="宋体" w:cs="宋体"/>
        </w:rPr>
      </w:pPr>
      <w:r>
        <w:rPr>
          <w:rFonts w:hint="eastAsia" w:ascii="宋体" w:hAnsi="宋体" w:eastAsia="宋体" w:cs="宋体"/>
        </w:rPr>
      </w:r>
      <w:r/>
    </w:p>
    <w:p>
      <w:pPr>
        <w:pStyle w:val="730"/>
        <w:ind w:firstLine="480"/>
        <w:jc w:val="both"/>
        <w:spacing w:beforeAutospacing="0" w:afterAutospacing="0" w:line="460" w:lineRule="exact"/>
        <w:rPr>
          <w:rFonts w:hint="eastAsia" w:ascii="宋体" w:hAnsi="宋体" w:eastAsia="宋体" w:cs="宋体"/>
        </w:rPr>
      </w:pPr>
      <w:r>
        <w:rPr>
          <w:rFonts w:hint="eastAsia" w:ascii="宋体" w:hAnsi="宋体" w:eastAsia="宋体" w:cs="宋体"/>
        </w:rPr>
      </w:r>
      <w:r/>
    </w:p>
    <w:p>
      <w:pPr>
        <w:pStyle w:val="730"/>
        <w:ind w:firstLine="480"/>
        <w:jc w:val="both"/>
        <w:spacing w:beforeAutospacing="0" w:afterAutospacing="0" w:line="460" w:lineRule="exact"/>
        <w:rPr>
          <w:rFonts w:hint="eastAsia" w:ascii="宋体" w:hAnsi="宋体" w:eastAsia="宋体" w:cs="宋体"/>
        </w:rPr>
      </w:pPr>
      <w:r>
        <w:rPr>
          <w:rFonts w:hint="eastAsia" w:ascii="宋体" w:hAnsi="宋体" w:eastAsia="宋体" w:cs="宋体"/>
        </w:rPr>
      </w:r>
      <w:r/>
    </w:p>
    <w:p>
      <w:pPr>
        <w:pStyle w:val="730"/>
        <w:ind w:firstLine="480"/>
        <w:jc w:val="both"/>
        <w:spacing w:beforeAutospacing="0" w:afterAutospacing="0" w:line="460" w:lineRule="exact"/>
        <w:rPr>
          <w:rFonts w:hint="eastAsia" w:ascii="宋体" w:hAnsi="宋体" w:eastAsia="宋体" w:cs="宋体"/>
        </w:rPr>
      </w:pPr>
      <w:r>
        <w:rPr>
          <w:rFonts w:hint="eastAsia" w:ascii="宋体" w:hAnsi="宋体" w:eastAsia="宋体" w:cs="宋体"/>
        </w:rPr>
      </w:r>
      <w:bookmarkEnd w:id="172"/>
      <w:r/>
      <w:bookmarkEnd w:id="173"/>
      <w:r/>
      <w:bookmarkEnd w:id="174"/>
      <w:r/>
      <w:bookmarkEnd w:id="175"/>
      <w:r/>
      <w:bookmarkEnd w:id="176"/>
      <w:r/>
      <w:bookmarkEnd w:id="177"/>
      <w:r/>
      <w:r/>
    </w:p>
    <w:p>
      <w:pPr>
        <w:jc w:val="left"/>
        <w:widowControl/>
        <w:rPr>
          <w:rFonts w:cs="Times New Roman"/>
          <w:b/>
          <w:bCs/>
          <w:sz w:val="44"/>
          <w:szCs w:val="44"/>
        </w:rPr>
      </w:pPr>
      <w:r>
        <w:rPr>
          <w:b/>
          <w:bCs/>
          <w:sz w:val="44"/>
          <w:szCs w:val="44"/>
        </w:rPr>
        <w:br w:type="page" w:clear="all"/>
      </w:r>
      <w:r/>
    </w:p>
    <w:p>
      <w:pPr>
        <w:pStyle w:val="730"/>
        <w:jc w:val="center"/>
        <w:spacing w:beforeAutospacing="0" w:afterAutospacing="0"/>
        <w:rPr>
          <w:b w:val="0"/>
          <w:bCs w:val="0"/>
          <w:sz w:val="44"/>
          <w:szCs w:val="44"/>
        </w:rPr>
        <w:outlineLvl w:val="0"/>
      </w:pPr>
      <w:r>
        <w:rPr>
          <w:rFonts w:hint="default"/>
          <w:b w:val="0"/>
          <w:bCs w:val="0"/>
          <w:sz w:val="44"/>
          <w:szCs w:val="44"/>
        </w:rPr>
        <w:t xml:space="preserve">第四章 采购需求</w:t>
      </w:r>
      <w:r/>
    </w:p>
    <w:p>
      <w:pPr>
        <w:ind w:firstLine="482"/>
        <w:jc w:val="left"/>
        <w:keepLines w:val="0"/>
        <w:keepNext w:val="0"/>
        <w:pageBreakBefore w:val="0"/>
        <w:spacing w:line="480" w:lineRule="exact"/>
        <w:widowControl/>
        <w:rPr>
          <w:rFonts w:hint="eastAsia" w:ascii="宋体" w:hAnsi="宋体" w:eastAsia="宋体" w:cs="宋体"/>
          <w:b/>
          <w:bCs/>
          <w:sz w:val="28"/>
          <w:szCs w:val="28"/>
          <w:lang w:val="en-US" w:eastAsia="zh-CN"/>
        </w:rPr>
        <w:outlineLvl w:val="9"/>
      </w:pPr>
      <w:r>
        <w:rPr>
          <w:rFonts w:hint="eastAsia" w:ascii="宋体" w:hAnsi="宋体" w:eastAsia="宋体" w:cs="宋体"/>
          <w:b w:val="0"/>
          <w:bCs/>
          <w:sz w:val="24"/>
          <w:szCs w:val="24"/>
          <w:lang w:bidi="ar"/>
        </w:rPr>
        <w:t xml:space="preserve">项目属性</w:t>
      </w:r>
      <w:r>
        <w:rPr>
          <w:rFonts w:hint="eastAsia" w:ascii="宋体" w:hAnsi="宋体" w:eastAsia="宋体" w:cs="宋体"/>
          <w:b w:val="0"/>
          <w:bCs/>
          <w:sz w:val="24"/>
          <w:szCs w:val="24"/>
          <w:lang w:eastAsia="zh-CN" w:bidi="ar"/>
        </w:rPr>
        <w:t xml:space="preserve">：服务</w:t>
      </w:r>
      <w:r>
        <w:rPr>
          <w:rFonts w:hint="eastAsia" w:ascii="宋体" w:hAnsi="宋体" w:eastAsia="宋体" w:cs="宋体"/>
          <w:b w:val="0"/>
          <w:bCs/>
          <w:sz w:val="24"/>
          <w:szCs w:val="24"/>
          <w:lang w:bidi="ar"/>
        </w:rPr>
        <w:t xml:space="preserve">类项目。</w:t>
      </w:r>
      <w:r/>
    </w:p>
    <w:p>
      <w:pPr>
        <w:ind w:firstLine="562"/>
        <w:keepLines w:val="0"/>
        <w:keepNext w:val="0"/>
        <w:pageBreakBefore w:val="0"/>
        <w:spacing w:line="520" w:lineRule="exact"/>
        <w:widowControl w:val="off"/>
        <w:rPr>
          <w:rFonts w:hint="default"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一、服务要求</w:t>
      </w:r>
      <w:r/>
    </w:p>
    <w:p>
      <w:pPr>
        <w:ind w:firstLine="562"/>
        <w:keepLines w:val="0"/>
        <w:keepNext w:val="0"/>
        <w:pageBreakBefore w:val="0"/>
        <w:spacing w:line="440" w:lineRule="exact"/>
        <w:widowControl/>
        <w:rPr>
          <w:rFonts w:hint="eastAsia" w:ascii="宋体" w:hAnsi="宋体" w:eastAsia="宋体" w:cs="宋体"/>
          <w:b/>
          <w:bCs/>
          <w:color w:val="auto"/>
          <w:sz w:val="28"/>
          <w:szCs w:val="28"/>
          <w:highlight w:val="none"/>
          <w:lang w:val="en-US" w:eastAsia="zh-CN"/>
        </w:rPr>
      </w:pPr>
      <w:r>
        <w:rPr>
          <w:rFonts w:hint="eastAsia" w:ascii="宋体" w:hAnsi="宋体" w:eastAsia="宋体" w:cs="宋体"/>
          <w:b/>
          <w:bCs/>
          <w:sz w:val="28"/>
          <w:szCs w:val="28"/>
          <w:lang w:val="en-US" w:eastAsia="zh-CN"/>
        </w:rPr>
        <w:t xml:space="preserve">1、追溯码上传接口</w:t>
      </w:r>
      <w:r/>
    </w:p>
    <w:p>
      <w:pPr>
        <w:ind w:firstLine="480"/>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2102药店结算接口增加药品追溯码节点信息</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节点主要包括费用明细流水号、药品追溯码、拆零标志等字段</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、3501、3502、3505、3506增加追溯码节点信息</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、新增交易：3513-销售药品追溯信息查询</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3512-入库药品追溯信息查询</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rPr>
        <w:t xml:space="preserve">、增加4个库存变更类型字典值（108--111）4701接口sinc_heal_lv和sinc_heal_lv_code接口校验调整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3506接口去除追溯节点信息必传校验</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exact"/>
        <w:widowControl w:val="off"/>
        <w:rPr>
          <w:rFonts w:hint="eastAsia" w:ascii="宋体" w:hAnsi="宋体" w:eastAsia="宋体" w:cs="宋体"/>
          <w:color w:val="auto"/>
          <w:sz w:val="24"/>
          <w:szCs w:val="24"/>
          <w:highlight w:val="none"/>
          <w:lang w:eastAsia="zh-CN"/>
        </w:rPr>
      </w:pPr>
      <w:r/>
      <w:bookmarkStart w:id="184" w:name="OLE_LINK14"/>
      <w:r/>
      <w:bookmarkStart w:id="185" w:name="OLE_LINK15"/>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接口NJELS7008，获取药品追溯码信息：医疗机构在入库环节</w:t>
      </w:r>
      <w:r>
        <w:rPr>
          <w:rFonts w:hint="eastAsia" w:ascii="宋体" w:hAnsi="宋体" w:eastAsia="宋体" w:cs="宋体"/>
          <w:color w:val="auto"/>
          <w:sz w:val="24"/>
          <w:szCs w:val="24"/>
          <w:highlight w:val="none"/>
          <w:lang w:val="en-US" w:eastAsia="zh-CN"/>
        </w:rPr>
        <w:t xml:space="preserve">可</w:t>
      </w:r>
      <w:r>
        <w:rPr>
          <w:rFonts w:hint="eastAsia" w:ascii="宋体" w:hAnsi="宋体" w:eastAsia="宋体" w:cs="宋体"/>
          <w:color w:val="auto"/>
          <w:sz w:val="24"/>
          <w:szCs w:val="24"/>
          <w:highlight w:val="none"/>
        </w:rPr>
        <w:t xml:space="preserve">通过大箱码、中箱码获取箱中具体药品追溯码后写入HIS药品信息表</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1.6、</w:t>
      </w:r>
      <w:r>
        <w:rPr>
          <w:rFonts w:hint="eastAsia" w:ascii="宋体" w:hAnsi="宋体" w:eastAsia="宋体" w:cs="宋体"/>
          <w:color w:val="auto"/>
          <w:sz w:val="24"/>
          <w:szCs w:val="24"/>
          <w:highlight w:val="none"/>
        </w:rPr>
        <w:t xml:space="preserve">接口NJELS7009，获取药品映射信息：医疗机构可通过药品追溯码获取药品信息，包含医保编码、药品通用名、剂型、规格等信息后写入HIS药品物价表。</w:t>
      </w:r>
      <w:bookmarkEnd w:id="184"/>
      <w:r/>
      <w:bookmarkEnd w:id="185"/>
      <w:r/>
      <w:r/>
    </w:p>
    <w:p>
      <w:pPr>
        <w:ind w:firstLine="480"/>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1.7详细需求</w:t>
      </w:r>
      <w:r/>
    </w:p>
    <w:p>
      <w:pPr>
        <w:pStyle w:val="732"/>
        <w:numPr>
          <w:ilvl w:val="0"/>
          <w:numId w:val="0"/>
        </w:numPr>
        <w:ind w:right="0" w:firstLine="480"/>
        <w:keepLines w:val="0"/>
        <w:keepNext w:val="0"/>
        <w:pageBreakBefore w:val="0"/>
        <w:spacing w:before="0" w:after="0" w:line="360" w:lineRule="exact"/>
        <w:widowControl w:val="off"/>
        <w:tabs>
          <w:tab w:val="left" w:pos="567"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
        </w:rPr>
        <w:t xml:space="preserve">1.7.1、</w:t>
      </w:r>
      <w:r>
        <w:rPr>
          <w:rFonts w:hint="eastAsia" w:ascii="宋体" w:hAnsi="宋体" w:eastAsia="宋体" w:cs="宋体"/>
          <w:color w:val="auto"/>
          <w:sz w:val="24"/>
          <w:szCs w:val="24"/>
          <w:highlight w:val="none"/>
        </w:rPr>
        <w:t xml:space="preserve">【2102】药店结算交易新增入参minpacunt_drug_trac_cnt本次结算</w:t>
      </w:r>
      <w:r>
        <w:rPr>
          <w:rFonts w:hint="eastAsia" w:ascii="宋体" w:hAnsi="宋体" w:eastAsia="宋体" w:cs="宋体"/>
          <w:color w:val="auto"/>
          <w:sz w:val="24"/>
          <w:szCs w:val="24"/>
          <w:highlight w:val="none"/>
          <w:lang w:val="en-US" w:eastAsia="zh-CN"/>
        </w:rPr>
        <w:t xml:space="preserve">可</w:t>
      </w:r>
      <w:r>
        <w:rPr>
          <w:rFonts w:hint="eastAsia" w:ascii="宋体" w:hAnsi="宋体" w:eastAsia="宋体" w:cs="宋体"/>
          <w:color w:val="auto"/>
          <w:sz w:val="24"/>
          <w:szCs w:val="24"/>
          <w:highlight w:val="none"/>
        </w:rPr>
        <w:t xml:space="preserve">上传最小包装药品追溯码数量、mcs_trac_cnt本次结算</w:t>
      </w:r>
      <w:r>
        <w:rPr>
          <w:rFonts w:hint="eastAsia" w:ascii="宋体" w:hAnsi="宋体" w:eastAsia="宋体" w:cs="宋体"/>
          <w:color w:val="auto"/>
          <w:sz w:val="24"/>
          <w:szCs w:val="24"/>
          <w:highlight w:val="none"/>
          <w:lang w:val="en-US" w:eastAsia="zh-CN"/>
        </w:rPr>
        <w:t xml:space="preserve">可</w:t>
      </w:r>
      <w:r>
        <w:rPr>
          <w:rFonts w:hint="eastAsia" w:ascii="宋体" w:hAnsi="宋体" w:eastAsia="宋体" w:cs="宋体"/>
          <w:color w:val="auto"/>
          <w:sz w:val="24"/>
          <w:szCs w:val="24"/>
          <w:highlight w:val="none"/>
        </w:rPr>
        <w:t xml:space="preserve">上传耗材追溯码数量</w:t>
      </w:r>
      <w:r>
        <w:rPr>
          <w:rFonts w:hint="eastAsia" w:ascii="宋体" w:hAnsi="宋体" w:eastAsia="宋体" w:cs="宋体"/>
          <w:color w:val="auto"/>
          <w:sz w:val="24"/>
          <w:szCs w:val="24"/>
          <w:highlight w:val="none"/>
          <w:lang w:eastAsia="zh-CN"/>
        </w:rPr>
        <w:t xml:space="preserve">；</w:t>
      </w:r>
      <w:r/>
    </w:p>
    <w:p>
      <w:pPr>
        <w:pStyle w:val="732"/>
        <w:ind w:left="0" w:firstLine="480"/>
        <w:keepLines w:val="0"/>
        <w:keepNext w:val="0"/>
        <w:pageBreakBefore w:val="0"/>
        <w:spacing w:before="0" w:after="0" w:line="360" w:lineRule="exact"/>
        <w:widowControl w:val="off"/>
        <w:tabs>
          <w:tab w:val="left" w:pos="567"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1.7.2</w:t>
      </w:r>
      <w:r>
        <w:rPr>
          <w:rFonts w:hint="eastAsia" w:ascii="宋体" w:hAnsi="宋体" w:eastAsia="宋体" w:cs="宋体"/>
          <w:color w:val="auto"/>
          <w:sz w:val="24"/>
          <w:szCs w:val="24"/>
          <w:highlight w:val="none"/>
        </w:rPr>
        <w:t xml:space="preserve">、【2207】门诊结算交易新增入参pub_hosp_rfom_flag</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公立医院改革标志、minpacunt_drug_trac_cnt本次结算</w:t>
      </w:r>
      <w:r>
        <w:rPr>
          <w:rFonts w:hint="eastAsia" w:ascii="宋体" w:hAnsi="宋体" w:eastAsia="宋体" w:cs="宋体"/>
          <w:color w:val="auto"/>
          <w:sz w:val="24"/>
          <w:szCs w:val="24"/>
          <w:highlight w:val="none"/>
          <w:lang w:val="en-US" w:eastAsia="zh-CN"/>
        </w:rPr>
        <w:t xml:space="preserve">可</w:t>
      </w:r>
      <w:r>
        <w:rPr>
          <w:rFonts w:hint="eastAsia" w:ascii="宋体" w:hAnsi="宋体" w:eastAsia="宋体" w:cs="宋体"/>
          <w:color w:val="auto"/>
          <w:sz w:val="24"/>
          <w:szCs w:val="24"/>
          <w:highlight w:val="none"/>
        </w:rPr>
        <w:t xml:space="preserve">上传最小包装药品追溯码数量、mcs_trac_cnt本次结算</w:t>
      </w:r>
      <w:r>
        <w:rPr>
          <w:rFonts w:hint="eastAsia" w:ascii="宋体" w:hAnsi="宋体" w:eastAsia="宋体" w:cs="宋体"/>
          <w:color w:val="auto"/>
          <w:sz w:val="24"/>
          <w:szCs w:val="24"/>
          <w:highlight w:val="none"/>
          <w:lang w:val="en-US" w:eastAsia="zh-CN"/>
        </w:rPr>
        <w:t xml:space="preserve">可</w:t>
      </w:r>
      <w:r>
        <w:rPr>
          <w:rFonts w:hint="eastAsia" w:ascii="宋体" w:hAnsi="宋体" w:eastAsia="宋体" w:cs="宋体"/>
          <w:color w:val="auto"/>
          <w:sz w:val="24"/>
          <w:szCs w:val="24"/>
          <w:highlight w:val="none"/>
        </w:rPr>
        <w:t xml:space="preserve">上传耗材追溯码数量</w:t>
      </w:r>
      <w:r>
        <w:rPr>
          <w:rFonts w:hint="eastAsia" w:ascii="宋体" w:hAnsi="宋体" w:eastAsia="宋体" w:cs="宋体"/>
          <w:color w:val="auto"/>
          <w:sz w:val="24"/>
          <w:szCs w:val="24"/>
          <w:highlight w:val="none"/>
          <w:lang w:eastAsia="zh-CN"/>
        </w:rPr>
        <w:t xml:space="preserve">；</w:t>
      </w:r>
      <w:r/>
    </w:p>
    <w:p>
      <w:pPr>
        <w:pStyle w:val="732"/>
        <w:ind w:left="0" w:firstLine="480"/>
        <w:keepLines w:val="0"/>
        <w:keepNext w:val="0"/>
        <w:pageBreakBefore w:val="0"/>
        <w:spacing w:before="0" w:after="0" w:line="360" w:lineRule="exact"/>
        <w:widowControl w:val="off"/>
        <w:tabs>
          <w:tab w:val="left" w:pos="567"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1.7.3</w:t>
      </w:r>
      <w:r>
        <w:rPr>
          <w:rFonts w:hint="eastAsia" w:ascii="宋体" w:hAnsi="宋体" w:eastAsia="宋体" w:cs="宋体"/>
          <w:color w:val="auto"/>
          <w:sz w:val="24"/>
          <w:szCs w:val="24"/>
          <w:highlight w:val="none"/>
        </w:rPr>
        <w:t xml:space="preserve">、【2304】住院结算新增入参insuplc_admdvs参保地医保区划、mdtrtarea_admvs就医地医保区划、minpacunt_drug_trac_cnt本次结算</w:t>
      </w:r>
      <w:r>
        <w:rPr>
          <w:rFonts w:hint="eastAsia" w:ascii="宋体" w:hAnsi="宋体" w:eastAsia="宋体" w:cs="宋体"/>
          <w:color w:val="auto"/>
          <w:sz w:val="24"/>
          <w:szCs w:val="24"/>
          <w:highlight w:val="none"/>
          <w:lang w:val="en-US" w:eastAsia="zh-CN"/>
        </w:rPr>
        <w:t xml:space="preserve">可</w:t>
      </w:r>
      <w:r>
        <w:rPr>
          <w:rFonts w:hint="eastAsia" w:ascii="宋体" w:hAnsi="宋体" w:eastAsia="宋体" w:cs="宋体"/>
          <w:color w:val="auto"/>
          <w:sz w:val="24"/>
          <w:szCs w:val="24"/>
          <w:highlight w:val="none"/>
        </w:rPr>
        <w:t xml:space="preserve">上传最小包装药品追溯码数量、mcs_trac_cnt本次结算</w:t>
      </w:r>
      <w:r>
        <w:rPr>
          <w:rFonts w:hint="eastAsia" w:ascii="宋体" w:hAnsi="宋体" w:eastAsia="宋体" w:cs="宋体"/>
          <w:color w:val="auto"/>
          <w:sz w:val="24"/>
          <w:szCs w:val="24"/>
          <w:highlight w:val="none"/>
          <w:lang w:val="en-US" w:eastAsia="zh-CN"/>
        </w:rPr>
        <w:t xml:space="preserve">可</w:t>
      </w:r>
      <w:r>
        <w:rPr>
          <w:rFonts w:hint="eastAsia" w:ascii="宋体" w:hAnsi="宋体" w:eastAsia="宋体" w:cs="宋体"/>
          <w:color w:val="auto"/>
          <w:sz w:val="24"/>
          <w:szCs w:val="24"/>
          <w:highlight w:val="none"/>
        </w:rPr>
        <w:t xml:space="preserve">上传耗材追溯码数量、dscgTime出院时间</w:t>
      </w:r>
      <w:r>
        <w:rPr>
          <w:rFonts w:hint="eastAsia" w:ascii="宋体" w:hAnsi="宋体" w:eastAsia="宋体" w:cs="宋体"/>
          <w:color w:val="auto"/>
          <w:sz w:val="24"/>
          <w:szCs w:val="24"/>
          <w:highlight w:val="none"/>
          <w:lang w:eastAsia="zh-CN"/>
        </w:rPr>
        <w:t xml:space="preserve">；</w:t>
      </w:r>
      <w:r/>
    </w:p>
    <w:p>
      <w:pPr>
        <w:pStyle w:val="732"/>
        <w:numPr>
          <w:ilvl w:val="0"/>
          <w:numId w:val="0"/>
        </w:numPr>
        <w:ind w:firstLine="480"/>
        <w:keepLines w:val="0"/>
        <w:keepNext w:val="0"/>
        <w:pageBreakBefore w:val="0"/>
        <w:spacing w:line="360" w:lineRule="exact"/>
        <w:tabs>
          <w:tab w:val="left" w:pos="567" w:leader="none"/>
        </w:tabs>
        <w:rPr>
          <w:rFonts w:hint="eastAsia" w:ascii="宋体" w:hAnsi="宋体" w:eastAsia="宋体" w:cs="宋体"/>
          <w:b/>
          <w:bCs/>
          <w:sz w:val="28"/>
          <w:szCs w:val="28"/>
          <w:lang w:val="en-US" w:eastAsia="zh-CN"/>
        </w:rPr>
      </w:pPr>
      <w:r>
        <w:rPr>
          <w:rFonts w:hint="eastAsia" w:ascii="宋体" w:hAnsi="宋体" w:eastAsia="宋体" w:cs="宋体"/>
          <w:color w:val="auto"/>
          <w:sz w:val="24"/>
          <w:szCs w:val="24"/>
          <w:highlight w:val="none"/>
          <w:lang w:val="en-US" w:eastAsia="zh-CN" w:bidi="ar"/>
        </w:rPr>
        <w:t xml:space="preserve">1.7.4、</w:t>
      </w:r>
      <w:r>
        <w:rPr>
          <w:rFonts w:hint="eastAsia" w:ascii="宋体" w:hAnsi="宋体" w:eastAsia="宋体" w:cs="宋体"/>
          <w:color w:val="auto"/>
          <w:sz w:val="24"/>
          <w:szCs w:val="24"/>
          <w:highlight w:val="none"/>
        </w:rPr>
        <w:t xml:space="preserve">上传的追溯码</w:t>
      </w:r>
      <w:r>
        <w:rPr>
          <w:rFonts w:hint="eastAsia" w:ascii="宋体" w:hAnsi="宋体" w:eastAsia="宋体" w:cs="宋体"/>
          <w:color w:val="auto"/>
          <w:sz w:val="24"/>
          <w:szCs w:val="24"/>
          <w:highlight w:val="none"/>
          <w:lang w:val="en-US" w:eastAsia="zh-CN"/>
        </w:rPr>
        <w:t xml:space="preserve">长度不得少</w:t>
      </w:r>
      <w:r>
        <w:rPr>
          <w:rFonts w:hint="eastAsia" w:ascii="宋体" w:hAnsi="宋体" w:eastAsia="宋体" w:cs="宋体"/>
          <w:color w:val="auto"/>
          <w:sz w:val="24"/>
          <w:szCs w:val="24"/>
          <w:highlight w:val="none"/>
        </w:rPr>
        <w:t xml:space="preserve">于20位，</w:t>
      </w:r>
      <w:r>
        <w:rPr>
          <w:rFonts w:hint="eastAsia" w:ascii="宋体" w:hAnsi="宋体" w:eastAsia="宋体" w:cs="宋体"/>
          <w:color w:val="auto"/>
          <w:sz w:val="24"/>
          <w:szCs w:val="24"/>
          <w:highlight w:val="none"/>
          <w:lang w:val="en-US" w:eastAsia="zh-CN"/>
        </w:rPr>
        <w:t xml:space="preserve">且不得包含</w:t>
      </w:r>
      <w:r>
        <w:rPr>
          <w:rFonts w:hint="eastAsia" w:ascii="宋体" w:hAnsi="宋体" w:eastAsia="宋体" w:cs="宋体"/>
          <w:color w:val="auto"/>
          <w:sz w:val="24"/>
          <w:szCs w:val="24"/>
          <w:highlight w:val="none"/>
        </w:rPr>
        <w:t xml:space="preserve">汉字</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字母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标点符号等特殊</w:t>
      </w:r>
      <w:r>
        <w:rPr>
          <w:rFonts w:hint="eastAsia" w:ascii="宋体" w:hAnsi="宋体" w:eastAsia="宋体" w:cs="宋体"/>
          <w:color w:val="auto"/>
          <w:sz w:val="24"/>
          <w:szCs w:val="24"/>
          <w:highlight w:val="none"/>
          <w:lang w:val="en-US" w:eastAsia="zh-CN"/>
        </w:rPr>
        <w:t xml:space="preserve">字符</w:t>
      </w:r>
      <w:r>
        <w:rPr>
          <w:rFonts w:hint="eastAsia" w:ascii="宋体" w:hAnsi="宋体" w:eastAsia="宋体" w:cs="宋体"/>
          <w:color w:val="auto"/>
          <w:sz w:val="24"/>
          <w:szCs w:val="24"/>
          <w:highlight w:val="none"/>
          <w:lang w:eastAsia="zh-CN"/>
        </w:rPr>
        <w:t xml:space="preserve">。</w:t>
      </w:r>
      <w:r/>
    </w:p>
    <w:p>
      <w:pPr>
        <w:ind w:firstLine="562"/>
        <w:keepLines w:val="0"/>
        <w:keepNext w:val="0"/>
        <w:pageBreakBefore w:val="0"/>
        <w:spacing w:line="440" w:lineRule="exact"/>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2、传染病对接改造</w:t>
      </w:r>
      <w:r/>
    </w:p>
    <w:tbl>
      <w:tblPr>
        <w:tblStyle w:val="707"/>
        <w:tblW w:w="966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54"/>
        <w:gridCol w:w="1208"/>
        <w:gridCol w:w="1324"/>
        <w:gridCol w:w="6182"/>
      </w:tblGrid>
      <w:tr>
        <w:trPr>
          <w:trHeight w:val="300"/>
        </w:trPr>
        <w:tc>
          <w:tcPr>
            <w:tcBorders>
              <w:top w:val="single" w:color="000000" w:sz="4" w:space="0"/>
              <w:left w:val="single" w:color="000000" w:sz="4" w:space="0"/>
              <w:bottom w:val="single" w:color="000000" w:sz="4" w:space="0"/>
              <w:right w:val="single" w:color="000000" w:sz="4" w:space="0"/>
            </w:tcBorders>
            <w:tcW w:w="954" w:type="dxa"/>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208" w:type="dxa"/>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接口名称</w:t>
            </w:r>
            <w:r/>
          </w:p>
        </w:tc>
        <w:tc>
          <w:tcPr>
            <w:tcBorders>
              <w:top w:val="single" w:color="000000" w:sz="4" w:space="0"/>
              <w:left w:val="single" w:color="000000" w:sz="4" w:space="0"/>
              <w:bottom w:val="single" w:color="000000" w:sz="4" w:space="0"/>
              <w:right w:val="single" w:color="000000" w:sz="4" w:space="0"/>
            </w:tcBorders>
            <w:tcW w:w="1324" w:type="dxa"/>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分项目</w:t>
            </w:r>
            <w:r/>
          </w:p>
        </w:tc>
        <w:tc>
          <w:tcPr>
            <w:tcBorders>
              <w:top w:val="single" w:color="000000" w:sz="4" w:space="0"/>
              <w:left w:val="single" w:color="000000" w:sz="4" w:space="0"/>
              <w:bottom w:val="single" w:color="000000" w:sz="4" w:space="0"/>
              <w:right w:val="single" w:color="000000" w:sz="4" w:space="0"/>
            </w:tcBorders>
            <w:tcW w:w="6182" w:type="dxa"/>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软件研发+实施内容</w:t>
            </w:r>
            <w:r/>
          </w:p>
        </w:tc>
      </w:tr>
      <w:tr>
        <w:trPr>
          <w:trHeight w:val="600"/>
        </w:trPr>
        <w:tc>
          <w:tcPr>
            <w:tcBorders>
              <w:top w:val="single" w:color="000000" w:sz="4" w:space="0"/>
              <w:left w:val="single" w:color="000000" w:sz="4" w:space="0"/>
              <w:bottom w:val="single" w:color="000000" w:sz="4" w:space="0"/>
              <w:right w:val="single" w:color="000000" w:sz="4" w:space="0"/>
            </w:tcBorders>
            <w:tcW w:w="954" w:type="dxa"/>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（一）</w:t>
            </w:r>
            <w:r/>
          </w:p>
        </w:tc>
        <w:tc>
          <w:tcPr>
            <w:tcBorders>
              <w:top w:val="single" w:color="000000" w:sz="4" w:space="0"/>
              <w:left w:val="single" w:color="000000" w:sz="4" w:space="0"/>
              <w:bottom w:val="single" w:color="000000" w:sz="4" w:space="0"/>
              <w:right w:val="single" w:color="000000" w:sz="4" w:space="0"/>
            </w:tcBorders>
            <w:tcW w:w="1208" w:type="dxa"/>
            <w:vAlign w:val="center"/>
            <w:vMerge w:val="restart"/>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1.国家传染病智能监测预警前置软件接口</w:t>
            </w:r>
            <w:r/>
          </w:p>
        </w:tc>
        <w:tc>
          <w:tcPr>
            <w:tcBorders>
              <w:top w:val="single" w:color="000000" w:sz="4" w:space="0"/>
              <w:left w:val="single" w:color="000000" w:sz="4" w:space="0"/>
              <w:bottom w:val="single" w:color="000000" w:sz="4" w:space="0"/>
              <w:right w:val="single" w:color="000000" w:sz="4" w:space="0"/>
            </w:tcBorders>
            <w:tcW w:w="1324" w:type="dxa"/>
            <w:vAlign w:val="center"/>
            <w:vMerge w:val="restart"/>
            <w:textDirection w:val="lrTb"/>
            <w:noWrap/>
          </w:tcPr>
          <w:p>
            <w:pPr>
              <w:jc w:val="center"/>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1.1数据采集内容</w:t>
            </w:r>
            <w:r/>
          </w:p>
        </w:tc>
        <w:tc>
          <w:tcPr>
            <w:tcBorders>
              <w:top w:val="single" w:color="000000" w:sz="4" w:space="0"/>
              <w:left w:val="single" w:color="000000" w:sz="4" w:space="0"/>
              <w:bottom w:val="single" w:color="000000" w:sz="4" w:space="0"/>
              <w:right w:val="single" w:color="000000" w:sz="4" w:space="0"/>
            </w:tcBorders>
            <w:tcW w:w="6182" w:type="dxa"/>
            <w:vAlign w:val="center"/>
            <w:textDirection w:val="lrTb"/>
            <w:noWrap/>
          </w:tcPr>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1.1.1检验报告 EMR_EX_LAB</w:t>
            </w:r>
            <w:r/>
          </w:p>
        </w:tc>
      </w:tr>
      <w:tr>
        <w:trPr>
          <w:trHeight w:val="600"/>
        </w:trPr>
        <w:tc>
          <w:tcPr>
            <w:tcBorders>
              <w:top w:val="single" w:color="000000" w:sz="4" w:space="0"/>
              <w:left w:val="single" w:color="000000" w:sz="4" w:space="0"/>
              <w:bottom w:val="single" w:color="000000" w:sz="4" w:space="0"/>
              <w:right w:val="single" w:color="000000" w:sz="4" w:space="0"/>
            </w:tcBorders>
            <w:tcW w:w="954"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08" w:type="dxa"/>
            <w:vAlign w:val="center"/>
            <w:vMerge w:val="continue"/>
            <w:textDirection w:val="lrTb"/>
            <w:noWrap w:val="false"/>
          </w:tcPr>
          <w:p>
            <w:pPr>
              <w:jc w:val="left"/>
              <w:keepLines w:val="0"/>
              <w:keepNext w:val="0"/>
              <w:pageBreakBefore w:val="0"/>
              <w:spacing w:line="3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324" w:type="dxa"/>
            <w:vAlign w:val="center"/>
            <w:vMerge w:val="continue"/>
            <w:textDirection w:val="lrTb"/>
            <w:noWrap/>
          </w:tcPr>
          <w:p>
            <w:pPr>
              <w:jc w:val="center"/>
              <w:keepLines w:val="0"/>
              <w:keepNext w:val="0"/>
              <w:pageBreakBefore w:val="0"/>
              <w:spacing w:line="3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6182" w:type="dxa"/>
            <w:vAlign w:val="center"/>
            <w:textDirection w:val="lrTb"/>
            <w:noWrap/>
          </w:tcPr>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1.1.2检验报告项目 EMR_EX_LAB_ITEM</w:t>
            </w:r>
            <w:r/>
          </w:p>
        </w:tc>
      </w:tr>
      <w:tr>
        <w:trPr>
          <w:trHeight w:val="600"/>
        </w:trPr>
        <w:tc>
          <w:tcPr>
            <w:tcBorders>
              <w:top w:val="single" w:color="000000" w:sz="4" w:space="0"/>
              <w:left w:val="single" w:color="000000" w:sz="4" w:space="0"/>
              <w:bottom w:val="single" w:color="000000" w:sz="4" w:space="0"/>
              <w:right w:val="single" w:color="000000" w:sz="4" w:space="0"/>
            </w:tcBorders>
            <w:tcW w:w="954"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08" w:type="dxa"/>
            <w:vAlign w:val="center"/>
            <w:vMerge w:val="continue"/>
            <w:textDirection w:val="lrTb"/>
            <w:noWrap w:val="false"/>
          </w:tcPr>
          <w:p>
            <w:pPr>
              <w:jc w:val="left"/>
              <w:keepLines w:val="0"/>
              <w:keepNext w:val="0"/>
              <w:pageBreakBefore w:val="0"/>
              <w:spacing w:line="3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324" w:type="dxa"/>
            <w:vAlign w:val="center"/>
            <w:vMerge w:val="restart"/>
            <w:textDirection w:val="lrTb"/>
            <w:noWrap/>
          </w:tcPr>
          <w:p>
            <w:pPr>
              <w:jc w:val="center"/>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1.2值域代码转换</w:t>
            </w:r>
            <w:r/>
          </w:p>
        </w:tc>
        <w:tc>
          <w:tcPr>
            <w:tcBorders>
              <w:top w:val="single" w:color="000000" w:sz="4" w:space="0"/>
              <w:left w:val="single" w:color="000000" w:sz="4" w:space="0"/>
              <w:bottom w:val="single" w:color="000000" w:sz="4" w:space="0"/>
              <w:right w:val="single" w:color="000000" w:sz="4" w:space="0"/>
            </w:tcBorders>
            <w:tcW w:w="6182" w:type="dxa"/>
            <w:vAlign w:val="center"/>
            <w:textDirection w:val="lrTb"/>
            <w:noWrap/>
          </w:tcPr>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1.2.1身份证件类别代码</w:t>
            </w:r>
            <w:r/>
          </w:p>
        </w:tc>
      </w:tr>
      <w:tr>
        <w:trPr>
          <w:trHeight w:val="600"/>
        </w:trPr>
        <w:tc>
          <w:tcPr>
            <w:tcBorders>
              <w:top w:val="single" w:color="000000" w:sz="4" w:space="0"/>
              <w:left w:val="single" w:color="000000" w:sz="4" w:space="0"/>
              <w:bottom w:val="single" w:color="000000" w:sz="4" w:space="0"/>
              <w:right w:val="single" w:color="000000" w:sz="4" w:space="0"/>
            </w:tcBorders>
            <w:tcW w:w="954"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08" w:type="dxa"/>
            <w:vAlign w:val="center"/>
            <w:vMerge w:val="continue"/>
            <w:textDirection w:val="lrTb"/>
            <w:noWrap w:val="false"/>
          </w:tcPr>
          <w:p>
            <w:pPr>
              <w:jc w:val="left"/>
              <w:keepLines w:val="0"/>
              <w:keepNext w:val="0"/>
              <w:pageBreakBefore w:val="0"/>
              <w:spacing w:line="3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324" w:type="dxa"/>
            <w:vAlign w:val="center"/>
            <w:vMerge w:val="continue"/>
            <w:textDirection w:val="lrTb"/>
            <w:noWrap/>
          </w:tcPr>
          <w:p>
            <w:pPr>
              <w:jc w:val="center"/>
              <w:keepLines w:val="0"/>
              <w:keepNext w:val="0"/>
              <w:pageBreakBefore w:val="0"/>
              <w:spacing w:line="3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6182"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1.2.2性别代码</w:t>
            </w:r>
            <w:r/>
          </w:p>
        </w:tc>
      </w:tr>
      <w:tr>
        <w:trPr>
          <w:trHeight w:val="600"/>
        </w:trPr>
        <w:tc>
          <w:tcPr>
            <w:tcBorders>
              <w:top w:val="single" w:color="000000" w:sz="4" w:space="0"/>
              <w:left w:val="single" w:color="000000" w:sz="4" w:space="0"/>
              <w:bottom w:val="single" w:color="000000" w:sz="4" w:space="0"/>
              <w:right w:val="single" w:color="000000" w:sz="4" w:space="0"/>
            </w:tcBorders>
            <w:tcW w:w="954"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08" w:type="dxa"/>
            <w:vAlign w:val="center"/>
            <w:vMerge w:val="continue"/>
            <w:textDirection w:val="lrTb"/>
            <w:noWrap w:val="false"/>
          </w:tcPr>
          <w:p>
            <w:pPr>
              <w:jc w:val="left"/>
              <w:keepLines w:val="0"/>
              <w:keepNext w:val="0"/>
              <w:pageBreakBefore w:val="0"/>
              <w:spacing w:line="3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324" w:type="dxa"/>
            <w:vAlign w:val="center"/>
            <w:vMerge w:val="continue"/>
            <w:textDirection w:val="lrTb"/>
            <w:noWrap/>
          </w:tcPr>
          <w:p>
            <w:pPr>
              <w:jc w:val="center"/>
              <w:keepLines w:val="0"/>
              <w:keepNext w:val="0"/>
              <w:pageBreakBefore w:val="0"/>
              <w:spacing w:line="3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6182" w:type="dxa"/>
            <w:vAlign w:val="center"/>
            <w:textDirection w:val="lrTb"/>
            <w:noWrap/>
          </w:tcPr>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1.2.3检验结果代码</w:t>
            </w:r>
            <w:r/>
          </w:p>
        </w:tc>
      </w:tr>
      <w:tr>
        <w:trPr>
          <w:trHeight w:val="600"/>
        </w:trPr>
        <w:tc>
          <w:tcPr>
            <w:tcBorders>
              <w:top w:val="single" w:color="000000" w:sz="4" w:space="0"/>
              <w:left w:val="single" w:color="000000" w:sz="4" w:space="0"/>
              <w:bottom w:val="single" w:color="000000" w:sz="4" w:space="0"/>
              <w:right w:val="single" w:color="000000" w:sz="4" w:space="0"/>
            </w:tcBorders>
            <w:tcW w:w="954"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08" w:type="dxa"/>
            <w:vAlign w:val="center"/>
            <w:vMerge w:val="continue"/>
            <w:textDirection w:val="lrTb"/>
            <w:noWrap w:val="false"/>
          </w:tcPr>
          <w:p>
            <w:pPr>
              <w:jc w:val="left"/>
              <w:keepLines w:val="0"/>
              <w:keepNext w:val="0"/>
              <w:pageBreakBefore w:val="0"/>
              <w:spacing w:line="3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324" w:type="dxa"/>
            <w:vAlign w:val="center"/>
            <w:vMerge w:val="continue"/>
            <w:textDirection w:val="lrTb"/>
            <w:noWrap/>
          </w:tcPr>
          <w:p>
            <w:pPr>
              <w:jc w:val="center"/>
              <w:keepLines w:val="0"/>
              <w:keepNext w:val="0"/>
              <w:pageBreakBefore w:val="0"/>
              <w:spacing w:line="3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6182" w:type="dxa"/>
            <w:vAlign w:val="center"/>
            <w:textDirection w:val="lrTb"/>
            <w:noWrap/>
          </w:tcPr>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1.2.4标本类别代码</w:t>
            </w:r>
            <w:r/>
          </w:p>
        </w:tc>
      </w:tr>
      <w:tr>
        <w:trPr>
          <w:trHeight w:val="600"/>
        </w:trPr>
        <w:tc>
          <w:tcPr>
            <w:tcBorders>
              <w:top w:val="single" w:color="000000" w:sz="4" w:space="0"/>
              <w:left w:val="single" w:color="000000" w:sz="4" w:space="0"/>
              <w:bottom w:val="single" w:color="000000" w:sz="4" w:space="0"/>
              <w:right w:val="single" w:color="000000" w:sz="4" w:space="0"/>
            </w:tcBorders>
            <w:tcW w:w="954"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08" w:type="dxa"/>
            <w:vAlign w:val="center"/>
            <w:vMerge w:val="continue"/>
            <w:textDirection w:val="lrTb"/>
            <w:noWrap w:val="false"/>
          </w:tcPr>
          <w:p>
            <w:pPr>
              <w:jc w:val="left"/>
              <w:keepLines w:val="0"/>
              <w:keepNext w:val="0"/>
              <w:pageBreakBefore w:val="0"/>
              <w:spacing w:line="3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324" w:type="dxa"/>
            <w:vAlign w:val="center"/>
            <w:vMerge w:val="restart"/>
            <w:textDirection w:val="lrTb"/>
            <w:noWrap/>
          </w:tcPr>
          <w:p>
            <w:pPr>
              <w:jc w:val="center"/>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1.3实验室检验项目采集范围</w:t>
            </w:r>
            <w:r/>
          </w:p>
        </w:tc>
        <w:tc>
          <w:tcPr>
            <w:tcBorders>
              <w:top w:val="single" w:color="000000" w:sz="4" w:space="0"/>
              <w:left w:val="single" w:color="000000" w:sz="4" w:space="0"/>
              <w:bottom w:val="single" w:color="000000" w:sz="4" w:space="0"/>
              <w:right w:val="single" w:color="000000" w:sz="4" w:space="0"/>
            </w:tcBorders>
            <w:tcW w:w="6182"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i w:val="0"/>
                <w:iCs w:val="0"/>
                <w:color w:val="auto"/>
                <w:sz w:val="24"/>
                <w:szCs w:val="24"/>
                <w:highlight w:val="none"/>
                <w:u w:val="none"/>
                <w:lang w:val="en-US" w:eastAsia="zh-CN" w:bidi="ar"/>
              </w:rPr>
              <w:t xml:space="preserve">1.3.1实验室病原体检验采集范围</w:t>
            </w:r>
            <w:r/>
          </w:p>
        </w:tc>
      </w:tr>
      <w:tr>
        <w:trPr>
          <w:trHeight w:val="600"/>
        </w:trPr>
        <w:tc>
          <w:tcPr>
            <w:tcBorders>
              <w:top w:val="single" w:color="000000" w:sz="4" w:space="0"/>
              <w:left w:val="single" w:color="000000" w:sz="4" w:space="0"/>
              <w:bottom w:val="single" w:color="000000" w:sz="4" w:space="0"/>
              <w:right w:val="single" w:color="000000" w:sz="4" w:space="0"/>
            </w:tcBorders>
            <w:tcW w:w="954"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08" w:type="dxa"/>
            <w:vAlign w:val="center"/>
            <w:vMerge w:val="continue"/>
            <w:textDirection w:val="lrTb"/>
            <w:noWrap w:val="false"/>
          </w:tcPr>
          <w:p>
            <w:pPr>
              <w:jc w:val="left"/>
              <w:keepLines w:val="0"/>
              <w:keepNext w:val="0"/>
              <w:pageBreakBefore w:val="0"/>
              <w:spacing w:line="3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324" w:type="dxa"/>
            <w:vAlign w:val="center"/>
            <w:vMerge w:val="continue"/>
            <w:textDirection w:val="lrTb"/>
            <w:noWrap/>
          </w:tcPr>
          <w:p>
            <w:pPr>
              <w:jc w:val="center"/>
              <w:keepLines w:val="0"/>
              <w:keepNext w:val="0"/>
              <w:pageBreakBefore w:val="0"/>
              <w:spacing w:line="3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6182" w:type="dxa"/>
            <w:vAlign w:val="center"/>
            <w:textDirection w:val="lrTb"/>
            <w:noWrap/>
          </w:tcPr>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i w:val="0"/>
                <w:iCs w:val="0"/>
                <w:color w:val="auto"/>
                <w:sz w:val="24"/>
                <w:szCs w:val="24"/>
                <w:highlight w:val="none"/>
                <w:u w:val="none"/>
                <w:lang w:val="en-US" w:eastAsia="zh-CN" w:bidi="ar"/>
              </w:rPr>
              <w:t xml:space="preserve">1.3.2实验室临床生化检验采集范围</w:t>
            </w:r>
            <w:r/>
          </w:p>
        </w:tc>
      </w:tr>
      <w:tr>
        <w:trPr>
          <w:trHeight w:val="600"/>
        </w:trPr>
        <w:tc>
          <w:tcPr>
            <w:tcBorders>
              <w:top w:val="single" w:color="000000" w:sz="4" w:space="0"/>
              <w:left w:val="single" w:color="000000" w:sz="4" w:space="0"/>
              <w:bottom w:val="single" w:color="000000" w:sz="4" w:space="0"/>
              <w:right w:val="single" w:color="000000" w:sz="4" w:space="0"/>
            </w:tcBorders>
            <w:tcW w:w="954"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08" w:type="dxa"/>
            <w:vAlign w:val="center"/>
            <w:vMerge w:val="continue"/>
            <w:textDirection w:val="lrTb"/>
            <w:noWrap w:val="false"/>
          </w:tcPr>
          <w:p>
            <w:pPr>
              <w:jc w:val="left"/>
              <w:keepLines w:val="0"/>
              <w:keepNext w:val="0"/>
              <w:pageBreakBefore w:val="0"/>
              <w:spacing w:line="3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324" w:type="dxa"/>
            <w:vAlign w:val="center"/>
            <w:vMerge w:val="continue"/>
            <w:textDirection w:val="lrTb"/>
            <w:noWrap/>
          </w:tcPr>
          <w:p>
            <w:pPr>
              <w:jc w:val="center"/>
              <w:keepLines w:val="0"/>
              <w:keepNext w:val="0"/>
              <w:pageBreakBefore w:val="0"/>
              <w:spacing w:line="3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6182" w:type="dxa"/>
            <w:vAlign w:val="center"/>
            <w:textDirection w:val="lrTb"/>
            <w:noWrap/>
          </w:tcPr>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i w:val="0"/>
                <w:iCs w:val="0"/>
                <w:color w:val="auto"/>
                <w:sz w:val="24"/>
                <w:szCs w:val="24"/>
                <w:highlight w:val="none"/>
                <w:u w:val="none"/>
                <w:lang w:val="en-US" w:eastAsia="zh-CN" w:bidi="ar"/>
              </w:rPr>
              <w:t xml:space="preserve">1.3.3实验室药敏检验采集范围</w:t>
            </w:r>
            <w:r/>
          </w:p>
        </w:tc>
      </w:tr>
      <w:tr>
        <w:trPr>
          <w:trHeight w:val="580"/>
        </w:trPr>
        <w:tc>
          <w:tcPr>
            <w:tcBorders>
              <w:top w:val="single" w:color="000000" w:sz="4" w:space="0"/>
              <w:left w:val="single" w:color="000000" w:sz="4" w:space="0"/>
              <w:bottom w:val="single" w:color="000000" w:sz="4" w:space="0"/>
              <w:right w:val="single" w:color="000000" w:sz="4" w:space="0"/>
            </w:tcBorders>
            <w:tcW w:w="954" w:type="dxa"/>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（二）</w:t>
            </w:r>
            <w:r/>
          </w:p>
        </w:tc>
        <w:tc>
          <w:tcPr>
            <w:tcBorders>
              <w:top w:val="single" w:color="000000" w:sz="4" w:space="0"/>
              <w:left w:val="single" w:color="000000" w:sz="4" w:space="0"/>
              <w:bottom w:val="single" w:color="000000" w:sz="4" w:space="0"/>
              <w:right w:val="single" w:color="000000" w:sz="4" w:space="0"/>
            </w:tcBorders>
            <w:tcW w:w="1208" w:type="dxa"/>
            <w:vAlign w:val="center"/>
            <w:vMerge w:val="restart"/>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2.省卫生健康云临床检验平台对接接口</w:t>
            </w:r>
            <w:r/>
          </w:p>
        </w:tc>
        <w:tc>
          <w:tcPr>
            <w:tcBorders>
              <w:top w:val="single" w:color="000000" w:sz="4" w:space="0"/>
              <w:left w:val="single" w:color="000000" w:sz="4" w:space="0"/>
              <w:bottom w:val="single" w:color="000000" w:sz="4" w:space="0"/>
              <w:right w:val="single" w:color="000000" w:sz="4" w:space="0"/>
            </w:tcBorders>
            <w:tcW w:w="1324" w:type="dxa"/>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2.1数据采集内容</w:t>
            </w:r>
            <w:r/>
          </w:p>
        </w:tc>
        <w:tc>
          <w:tcPr>
            <w:tcBorders>
              <w:top w:val="single" w:color="000000" w:sz="4" w:space="0"/>
              <w:left w:val="single" w:color="000000" w:sz="4" w:space="0"/>
              <w:bottom w:val="single" w:color="000000" w:sz="4" w:space="0"/>
              <w:right w:val="single" w:color="000000" w:sz="4" w:space="0"/>
            </w:tcBorders>
            <w:tcW w:w="6182" w:type="dxa"/>
            <w:vAlign w:val="center"/>
            <w:textDirection w:val="lrTb"/>
            <w:noWrap/>
          </w:tcPr>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2.1.1检验报告记录表结构（主表）EMR_TEST_SAMPLING_RECORD</w:t>
            </w:r>
            <w:r/>
          </w:p>
        </w:tc>
      </w:tr>
      <w:tr>
        <w:trPr>
          <w:trHeight w:val="580"/>
        </w:trPr>
        <w:tc>
          <w:tcPr>
            <w:tcBorders>
              <w:top w:val="single" w:color="000000" w:sz="4" w:space="0"/>
              <w:left w:val="single" w:color="000000" w:sz="4" w:space="0"/>
              <w:bottom w:val="single" w:color="000000" w:sz="4" w:space="0"/>
              <w:right w:val="single" w:color="000000" w:sz="4" w:space="0"/>
            </w:tcBorders>
            <w:tcW w:w="954"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08" w:type="dxa"/>
            <w:vAlign w:val="center"/>
            <w:vMerge w:val="continue"/>
            <w:textDirection w:val="lrTb"/>
            <w:noWrap w:val="false"/>
          </w:tcPr>
          <w:p>
            <w:pPr>
              <w:jc w:val="left"/>
              <w:keepLines w:val="0"/>
              <w:keepNext w:val="0"/>
              <w:pageBreakBefore w:val="0"/>
              <w:spacing w:line="3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324"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6182" w:type="dxa"/>
            <w:vAlign w:val="center"/>
            <w:textDirection w:val="lrTb"/>
            <w:noWrap/>
          </w:tcPr>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2.1.2检验结果明细通用表结构（从表）EMR_TEST_RESULT_RECORD</w:t>
            </w:r>
            <w:r/>
          </w:p>
        </w:tc>
      </w:tr>
      <w:tr>
        <w:trPr>
          <w:trHeight w:val="580"/>
        </w:trPr>
        <w:tc>
          <w:tcPr>
            <w:tcBorders>
              <w:top w:val="single" w:color="000000" w:sz="4" w:space="0"/>
              <w:left w:val="single" w:color="000000" w:sz="4" w:space="0"/>
              <w:bottom w:val="single" w:color="000000" w:sz="4" w:space="0"/>
              <w:right w:val="single" w:color="000000" w:sz="4" w:space="0"/>
            </w:tcBorders>
            <w:tcW w:w="954"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08" w:type="dxa"/>
            <w:vAlign w:val="center"/>
            <w:vMerge w:val="continue"/>
            <w:textDirection w:val="lrTb"/>
            <w:noWrap w:val="false"/>
          </w:tcPr>
          <w:p>
            <w:pPr>
              <w:jc w:val="left"/>
              <w:keepLines w:val="0"/>
              <w:keepNext w:val="0"/>
              <w:pageBreakBefore w:val="0"/>
              <w:spacing w:line="3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324"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6182" w:type="dxa"/>
            <w:vAlign w:val="center"/>
            <w:textDirection w:val="lrTb"/>
            <w:noWrap/>
          </w:tcPr>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2.1.3微生物培养及涂片结果明细表结构（从表）EMR_TEST_CULTURERESULT_RECORD</w:t>
            </w:r>
            <w:r/>
          </w:p>
        </w:tc>
      </w:tr>
      <w:tr>
        <w:trPr>
          <w:trHeight w:val="580"/>
        </w:trPr>
        <w:tc>
          <w:tcPr>
            <w:tcBorders>
              <w:top w:val="single" w:color="000000" w:sz="4" w:space="0"/>
              <w:left w:val="single" w:color="000000" w:sz="4" w:space="0"/>
              <w:bottom w:val="single" w:color="000000" w:sz="4" w:space="0"/>
              <w:right w:val="single" w:color="000000" w:sz="4" w:space="0"/>
            </w:tcBorders>
            <w:tcW w:w="954"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08" w:type="dxa"/>
            <w:vAlign w:val="center"/>
            <w:vMerge w:val="continue"/>
            <w:textDirection w:val="lrTb"/>
            <w:noWrap w:val="false"/>
          </w:tcPr>
          <w:p>
            <w:pPr>
              <w:jc w:val="left"/>
              <w:keepLines w:val="0"/>
              <w:keepNext w:val="0"/>
              <w:pageBreakBefore w:val="0"/>
              <w:spacing w:line="3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324"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6182" w:type="dxa"/>
            <w:vAlign w:val="center"/>
            <w:textDirection w:val="lrTb"/>
            <w:noWrap/>
          </w:tcPr>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2.1.4微生物鉴定药敏结果明细表结构（从表）EMR_TEST_ANTIDTLRESULT_RECORD</w:t>
            </w:r>
            <w:r/>
          </w:p>
        </w:tc>
      </w:tr>
      <w:tr>
        <w:trPr>
          <w:trHeight w:val="580"/>
        </w:trPr>
        <w:tc>
          <w:tcPr>
            <w:tcBorders>
              <w:top w:val="single" w:color="000000" w:sz="4" w:space="0"/>
              <w:left w:val="single" w:color="000000" w:sz="4" w:space="0"/>
              <w:bottom w:val="single" w:color="000000" w:sz="4" w:space="0"/>
              <w:right w:val="single" w:color="000000" w:sz="4" w:space="0"/>
            </w:tcBorders>
            <w:tcW w:w="954"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08" w:type="dxa"/>
            <w:vAlign w:val="center"/>
            <w:vMerge w:val="continue"/>
            <w:textDirection w:val="lrTb"/>
            <w:noWrap w:val="false"/>
          </w:tcPr>
          <w:p>
            <w:pPr>
              <w:jc w:val="left"/>
              <w:keepLines w:val="0"/>
              <w:keepNext w:val="0"/>
              <w:pageBreakBefore w:val="0"/>
              <w:spacing w:line="3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324"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6182" w:type="dxa"/>
            <w:vAlign w:val="center"/>
            <w:textDirection w:val="lrTb"/>
            <w:noWrap/>
          </w:tcPr>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2.1.5非结构化数据明细表结构(从表)EMR_TEST_FILE_RECORD</w:t>
            </w:r>
            <w:r/>
          </w:p>
        </w:tc>
      </w:tr>
      <w:tr>
        <w:trPr>
          <w:trHeight w:val="580"/>
        </w:trPr>
        <w:tc>
          <w:tcPr>
            <w:tcBorders>
              <w:top w:val="single" w:color="000000" w:sz="4" w:space="0"/>
              <w:left w:val="single" w:color="000000" w:sz="4" w:space="0"/>
              <w:bottom w:val="single" w:color="000000" w:sz="4" w:space="0"/>
              <w:right w:val="single" w:color="000000" w:sz="4" w:space="0"/>
            </w:tcBorders>
            <w:tcW w:w="954"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08" w:type="dxa"/>
            <w:vAlign w:val="center"/>
            <w:vMerge w:val="continue"/>
            <w:textDirection w:val="lrTb"/>
            <w:noWrap w:val="false"/>
          </w:tcPr>
          <w:p>
            <w:pPr>
              <w:jc w:val="left"/>
              <w:keepLines w:val="0"/>
              <w:keepNext w:val="0"/>
              <w:pageBreakBefore w:val="0"/>
              <w:spacing w:line="3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324"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6182" w:type="dxa"/>
            <w:vAlign w:val="center"/>
            <w:textDirection w:val="lrTb"/>
            <w:noWrap/>
          </w:tcPr>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2.1.6存储介质信息表结构(从表)EMR_TEST_HOST_INFO</w:t>
            </w:r>
            <w:r/>
          </w:p>
        </w:tc>
      </w:tr>
      <w:tr>
        <w:trPr>
          <w:trHeight w:val="580"/>
        </w:trPr>
        <w:tc>
          <w:tcPr>
            <w:tcBorders>
              <w:top w:val="single" w:color="000000" w:sz="4" w:space="0"/>
              <w:left w:val="single" w:color="000000" w:sz="4" w:space="0"/>
              <w:bottom w:val="single" w:color="000000" w:sz="4" w:space="0"/>
              <w:right w:val="single" w:color="000000" w:sz="4" w:space="0"/>
            </w:tcBorders>
            <w:tcW w:w="954"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08" w:type="dxa"/>
            <w:vAlign w:val="center"/>
            <w:vMerge w:val="continue"/>
            <w:textDirection w:val="lrTb"/>
            <w:noWrap w:val="false"/>
          </w:tcPr>
          <w:p>
            <w:pPr>
              <w:jc w:val="left"/>
              <w:keepLines w:val="0"/>
              <w:keepNext w:val="0"/>
              <w:pageBreakBefore w:val="0"/>
              <w:spacing w:line="3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324"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6182" w:type="dxa"/>
            <w:vAlign w:val="center"/>
            <w:textDirection w:val="lrTb"/>
            <w:noWrap/>
          </w:tcPr>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2.1.7检验室内质控信息表 EMR_TEST_QC_RESULT</w:t>
            </w:r>
            <w:r/>
          </w:p>
        </w:tc>
      </w:tr>
      <w:tr>
        <w:trPr>
          <w:trHeight w:val="580"/>
        </w:trPr>
        <w:tc>
          <w:tcPr>
            <w:tcBorders>
              <w:top w:val="single" w:color="000000" w:sz="4" w:space="0"/>
              <w:left w:val="single" w:color="000000" w:sz="4" w:space="0"/>
              <w:bottom w:val="single" w:color="000000" w:sz="4" w:space="0"/>
              <w:right w:val="single" w:color="000000" w:sz="4" w:space="0"/>
            </w:tcBorders>
            <w:tcW w:w="954"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08" w:type="dxa"/>
            <w:vAlign w:val="center"/>
            <w:vMerge w:val="continue"/>
            <w:textDirection w:val="lrTb"/>
            <w:noWrap w:val="false"/>
          </w:tcPr>
          <w:p>
            <w:pPr>
              <w:jc w:val="left"/>
              <w:keepLines w:val="0"/>
              <w:keepNext w:val="0"/>
              <w:pageBreakBefore w:val="0"/>
              <w:spacing w:line="3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324" w:type="dxa"/>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2.2值域代码转换</w:t>
            </w:r>
            <w:r/>
          </w:p>
        </w:tc>
        <w:tc>
          <w:tcPr>
            <w:tcBorders>
              <w:top w:val="single" w:color="000000" w:sz="4" w:space="0"/>
              <w:left w:val="single" w:color="000000" w:sz="4" w:space="0"/>
              <w:bottom w:val="single" w:color="000000" w:sz="4" w:space="0"/>
              <w:right w:val="single" w:color="000000" w:sz="4" w:space="0"/>
            </w:tcBorders>
            <w:tcW w:w="6182" w:type="dxa"/>
            <w:vAlign w:val="center"/>
            <w:textDirection w:val="lrTb"/>
            <w:noWrap/>
          </w:tcPr>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2.2.1国家公立医院绩效考核患者证件类别编码表</w:t>
            </w:r>
            <w:r/>
          </w:p>
        </w:tc>
      </w:tr>
      <w:tr>
        <w:trPr>
          <w:trHeight w:val="580"/>
        </w:trPr>
        <w:tc>
          <w:tcPr>
            <w:tcBorders>
              <w:top w:val="single" w:color="000000" w:sz="4" w:space="0"/>
              <w:left w:val="single" w:color="000000" w:sz="4" w:space="0"/>
              <w:bottom w:val="single" w:color="000000" w:sz="4" w:space="0"/>
              <w:right w:val="single" w:color="000000" w:sz="4" w:space="0"/>
            </w:tcBorders>
            <w:tcW w:w="954"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08" w:type="dxa"/>
            <w:vAlign w:val="center"/>
            <w:vMerge w:val="continue"/>
            <w:textDirection w:val="lrTb"/>
            <w:noWrap w:val="false"/>
          </w:tcPr>
          <w:p>
            <w:pPr>
              <w:jc w:val="left"/>
              <w:keepLines w:val="0"/>
              <w:keepNext w:val="0"/>
              <w:pageBreakBefore w:val="0"/>
              <w:spacing w:line="3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324"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6182" w:type="dxa"/>
            <w:vAlign w:val="center"/>
            <w:textDirection w:val="lrTb"/>
            <w:noWrap/>
          </w:tcPr>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2.2.2检验样本类型代码表</w:t>
            </w:r>
            <w:r/>
          </w:p>
        </w:tc>
      </w:tr>
      <w:tr>
        <w:trPr>
          <w:trHeight w:val="580"/>
        </w:trPr>
        <w:tc>
          <w:tcPr>
            <w:tcBorders>
              <w:top w:val="single" w:color="000000" w:sz="4" w:space="0"/>
              <w:left w:val="single" w:color="000000" w:sz="4" w:space="0"/>
              <w:bottom w:val="single" w:color="000000" w:sz="4" w:space="0"/>
              <w:right w:val="single" w:color="000000" w:sz="4" w:space="0"/>
            </w:tcBorders>
            <w:tcW w:w="954"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08" w:type="dxa"/>
            <w:vAlign w:val="center"/>
            <w:vMerge w:val="continue"/>
            <w:textDirection w:val="lrTb"/>
            <w:noWrap w:val="false"/>
          </w:tcPr>
          <w:p>
            <w:pPr>
              <w:jc w:val="left"/>
              <w:keepLines w:val="0"/>
              <w:keepNext w:val="0"/>
              <w:pageBreakBefore w:val="0"/>
              <w:spacing w:line="3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324"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6182" w:type="dxa"/>
            <w:vAlign w:val="center"/>
            <w:textDirection w:val="lrTb"/>
            <w:noWrap/>
          </w:tcPr>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2.2.3检验方法编码表</w:t>
            </w:r>
            <w:r/>
          </w:p>
        </w:tc>
      </w:tr>
      <w:tr>
        <w:trPr>
          <w:trHeight w:val="580"/>
        </w:trPr>
        <w:tc>
          <w:tcPr>
            <w:tcBorders>
              <w:top w:val="single" w:color="000000" w:sz="4" w:space="0"/>
              <w:left w:val="single" w:color="000000" w:sz="4" w:space="0"/>
              <w:bottom w:val="single" w:color="000000" w:sz="4" w:space="0"/>
              <w:right w:val="single" w:color="000000" w:sz="4" w:space="0"/>
            </w:tcBorders>
            <w:tcW w:w="954"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08" w:type="dxa"/>
            <w:vAlign w:val="center"/>
            <w:vMerge w:val="continue"/>
            <w:textDirection w:val="lrTb"/>
            <w:noWrap w:val="false"/>
          </w:tcPr>
          <w:p>
            <w:pPr>
              <w:jc w:val="left"/>
              <w:keepLines w:val="0"/>
              <w:keepNext w:val="0"/>
              <w:pageBreakBefore w:val="0"/>
              <w:spacing w:line="3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324"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6182" w:type="dxa"/>
            <w:vAlign w:val="center"/>
            <w:textDirection w:val="lrTb"/>
            <w:noWrap/>
          </w:tcPr>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2.2.4江苏检验标本分类编码表</w:t>
            </w:r>
            <w:r/>
          </w:p>
        </w:tc>
      </w:tr>
      <w:tr>
        <w:trPr>
          <w:trHeight w:val="580"/>
        </w:trPr>
        <w:tc>
          <w:tcPr>
            <w:tcBorders>
              <w:top w:val="single" w:color="000000" w:sz="4" w:space="0"/>
              <w:left w:val="single" w:color="000000" w:sz="4" w:space="0"/>
              <w:bottom w:val="single" w:color="000000" w:sz="4" w:space="0"/>
              <w:right w:val="single" w:color="000000" w:sz="4" w:space="0"/>
            </w:tcBorders>
            <w:tcW w:w="954"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08" w:type="dxa"/>
            <w:vAlign w:val="center"/>
            <w:vMerge w:val="continue"/>
            <w:textDirection w:val="lrTb"/>
            <w:noWrap w:val="false"/>
          </w:tcPr>
          <w:p>
            <w:pPr>
              <w:jc w:val="left"/>
              <w:keepLines w:val="0"/>
              <w:keepNext w:val="0"/>
              <w:pageBreakBefore w:val="0"/>
              <w:spacing w:line="3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324"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6182" w:type="dxa"/>
            <w:vAlign w:val="center"/>
            <w:textDirection w:val="lrTb"/>
            <w:noWrap/>
          </w:tcPr>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2.2.5微生物标本分类编码表</w:t>
            </w:r>
            <w:r/>
          </w:p>
        </w:tc>
      </w:tr>
      <w:tr>
        <w:trPr>
          <w:trHeight w:val="580"/>
        </w:trPr>
        <w:tc>
          <w:tcPr>
            <w:tcBorders>
              <w:top w:val="single" w:color="000000" w:sz="4" w:space="0"/>
              <w:left w:val="single" w:color="000000" w:sz="4" w:space="0"/>
              <w:bottom w:val="single" w:color="000000" w:sz="4" w:space="0"/>
              <w:right w:val="single" w:color="000000" w:sz="4" w:space="0"/>
            </w:tcBorders>
            <w:tcW w:w="954"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08" w:type="dxa"/>
            <w:vAlign w:val="center"/>
            <w:vMerge w:val="continue"/>
            <w:textDirection w:val="lrTb"/>
            <w:noWrap w:val="false"/>
          </w:tcPr>
          <w:p>
            <w:pPr>
              <w:jc w:val="left"/>
              <w:keepLines w:val="0"/>
              <w:keepNext w:val="0"/>
              <w:pageBreakBefore w:val="0"/>
              <w:spacing w:line="3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324"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6182" w:type="dxa"/>
            <w:vAlign w:val="center"/>
            <w:textDirection w:val="lrTb"/>
            <w:noWrap/>
          </w:tcPr>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2.2.6检验项目编码</w:t>
            </w:r>
            <w:r/>
          </w:p>
        </w:tc>
      </w:tr>
    </w:tbl>
    <w:p>
      <w:pPr>
        <w:ind w:firstLine="562"/>
        <w:keepLines w:val="0"/>
        <w:keepNext w:val="0"/>
        <w:pageBreakBefore w:val="0"/>
        <w:spacing w:line="440" w:lineRule="exact"/>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3、公卫疫苗接种宣传模块</w:t>
      </w:r>
      <w:r/>
    </w:p>
    <w:p>
      <w:pPr>
        <w:pStyle w:val="730"/>
        <w:ind w:left="0" w:right="0" w:firstLine="480"/>
        <w:keepLines w:val="0"/>
        <w:keepNext w:val="0"/>
        <w:pageBreakBefore w:val="0"/>
        <w:spacing w:before="0" w:beforeAutospacing="0" w:after="0" w:afterAutospacing="0" w:line="360" w:lineRule="exact"/>
        <w:widowControl/>
        <w:rPr>
          <w:rFonts w:hint="eastAsia" w:ascii="宋体" w:hAnsi="宋体" w:eastAsia="宋体" w:cs="宋体"/>
          <w:b w:val="0"/>
          <w:bCs/>
          <w:sz w:val="24"/>
          <w:szCs w:val="24"/>
          <w:lang w:eastAsia="zh-CN"/>
        </w:rPr>
        <w:pBdr>
          <w:top w:val="none" w:color="auto" w:sz="0" w:space="0"/>
          <w:left w:val="none" w:color="auto" w:sz="0" w:space="0"/>
          <w:bottom w:val="none" w:color="auto" w:sz="0" w:space="0"/>
          <w:right w:val="none" w:color="auto" w:sz="0" w:space="0"/>
        </w:pBdr>
        <w:suppressLineNumbers w:val="0"/>
      </w:pPr>
      <w:r>
        <w:rPr>
          <w:rStyle w:val="735"/>
          <w:rFonts w:hint="eastAsia" w:ascii="宋体" w:hAnsi="宋体" w:eastAsia="宋体" w:cs="宋体"/>
          <w:b w:val="0"/>
          <w:bCs/>
          <w:sz w:val="24"/>
          <w:szCs w:val="24"/>
          <w:lang w:val="en-US" w:eastAsia="zh-CN"/>
        </w:rPr>
        <w:t xml:space="preserve">3.1、</w:t>
      </w:r>
      <w:r>
        <w:rPr>
          <w:rStyle w:val="735"/>
          <w:rFonts w:hint="eastAsia" w:ascii="宋体" w:hAnsi="宋体" w:eastAsia="宋体" w:cs="宋体"/>
          <w:b w:val="0"/>
          <w:bCs/>
          <w:sz w:val="24"/>
          <w:szCs w:val="24"/>
          <w:lang w:eastAsia="zh-CN"/>
        </w:rPr>
        <w:t xml:space="preserve">预防接种健康处方开具的科室、触发条件及疫苗种类</w:t>
      </w:r>
      <w:r/>
    </w:p>
    <w:p>
      <w:pPr>
        <w:pStyle w:val="730"/>
        <w:ind w:left="0" w:right="0" w:firstLine="496"/>
        <w:jc w:val="both"/>
        <w:keepLines w:val="0"/>
        <w:keepNext w:val="0"/>
        <w:pageBreakBefore w:val="0"/>
        <w:spacing w:before="0" w:beforeAutospacing="0" w:after="0" w:afterAutospacing="0" w:line="360" w:lineRule="exact"/>
        <w:shd w:val="clear" w:color="auto" w:fill="ffffff"/>
        <w:widowControl/>
        <w:rPr>
          <w:rFonts w:hint="eastAsia" w:ascii="宋体" w:hAnsi="宋体" w:eastAsia="宋体" w:cs="宋体"/>
          <w:b w:val="0"/>
          <w:bCs w:val="0"/>
          <w:i w:val="0"/>
          <w:iCs w:val="0"/>
          <w:caps w:val="0"/>
          <w:spacing w:val="4"/>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spacing w:val="4"/>
          <w:sz w:val="24"/>
          <w:szCs w:val="24"/>
          <w:highlight w:val="none"/>
          <w:shd w:val="clear" w:color="auto" w:fill="ffffff"/>
          <w:lang w:val="en-US" w:eastAsia="zh-CN"/>
        </w:rPr>
        <w:t xml:space="preserve">3.1.1、感染科门诊：以乙肝疫苗健康处方为主。</w:t>
      </w:r>
      <w:r>
        <w:rPr>
          <w:rFonts w:hint="eastAsia" w:ascii="宋体" w:hAnsi="宋体" w:eastAsia="宋体" w:cs="宋体"/>
          <w:b/>
          <w:bCs/>
          <w:i w:val="0"/>
          <w:iCs w:val="0"/>
          <w:caps w:val="0"/>
          <w:spacing w:val="4"/>
          <w:sz w:val="24"/>
          <w:szCs w:val="24"/>
          <w:highlight w:val="none"/>
          <w:shd w:val="clear" w:color="auto" w:fill="ffffff"/>
          <w:lang w:val="en-US" w:eastAsia="zh-CN"/>
        </w:rPr>
        <w:t xml:space="preserve">触发条件：</w:t>
      </w:r>
      <w:r>
        <w:rPr>
          <w:rFonts w:hint="eastAsia" w:ascii="宋体" w:hAnsi="宋体" w:eastAsia="宋体" w:cs="宋体"/>
          <w:b w:val="0"/>
          <w:bCs w:val="0"/>
          <w:i w:val="0"/>
          <w:iCs w:val="0"/>
          <w:caps w:val="0"/>
          <w:spacing w:val="4"/>
          <w:sz w:val="24"/>
          <w:szCs w:val="24"/>
          <w:highlight w:val="none"/>
          <w:shd w:val="clear" w:color="auto" w:fill="ffffff"/>
          <w:lang w:val="en-US" w:eastAsia="zh-CN"/>
        </w:rPr>
        <w:t xml:space="preserve">18周岁以上；</w:t>
      </w:r>
      <w:r/>
    </w:p>
    <w:p>
      <w:pPr>
        <w:pStyle w:val="730"/>
        <w:ind w:left="0" w:right="0" w:firstLine="496"/>
        <w:jc w:val="both"/>
        <w:keepLines w:val="0"/>
        <w:keepNext w:val="0"/>
        <w:pageBreakBefore w:val="0"/>
        <w:spacing w:before="0" w:beforeAutospacing="0" w:after="0" w:afterAutospacing="0" w:line="360" w:lineRule="exact"/>
        <w:shd w:val="clear" w:color="auto" w:fill="ffffff"/>
        <w:widowControl/>
        <w:rPr>
          <w:rFonts w:hint="eastAsia" w:ascii="宋体" w:hAnsi="宋体" w:eastAsia="宋体" w:cs="宋体"/>
          <w:b w:val="0"/>
          <w:bCs w:val="0"/>
          <w:i w:val="0"/>
          <w:iCs w:val="0"/>
          <w:caps w:val="0"/>
          <w:spacing w:val="4"/>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spacing w:val="4"/>
          <w:sz w:val="24"/>
          <w:szCs w:val="24"/>
          <w:highlight w:val="none"/>
          <w:shd w:val="clear" w:color="auto" w:fill="ffffff"/>
          <w:lang w:val="en-US" w:eastAsia="zh-CN"/>
        </w:rPr>
        <w:t xml:space="preserve">3.1.2、普通内科门诊：以流感、23价肺炎疫苗健康处方为主。</w:t>
      </w:r>
      <w:r>
        <w:rPr>
          <w:rFonts w:hint="eastAsia" w:ascii="宋体" w:hAnsi="宋体" w:eastAsia="宋体" w:cs="宋体"/>
          <w:b/>
          <w:bCs/>
          <w:i w:val="0"/>
          <w:iCs w:val="0"/>
          <w:caps w:val="0"/>
          <w:spacing w:val="4"/>
          <w:sz w:val="24"/>
          <w:szCs w:val="24"/>
          <w:highlight w:val="none"/>
          <w:shd w:val="clear" w:color="auto" w:fill="ffffff"/>
          <w:lang w:val="en-US" w:eastAsia="zh-CN"/>
        </w:rPr>
        <w:t xml:space="preserve">触发条件：</w:t>
      </w:r>
      <w:r>
        <w:rPr>
          <w:rFonts w:hint="eastAsia" w:ascii="宋体" w:hAnsi="宋体" w:eastAsia="宋体" w:cs="宋体"/>
          <w:b w:val="0"/>
          <w:bCs w:val="0"/>
          <w:i w:val="0"/>
          <w:iCs w:val="0"/>
          <w:caps w:val="0"/>
          <w:spacing w:val="4"/>
          <w:sz w:val="24"/>
          <w:szCs w:val="24"/>
          <w:highlight w:val="none"/>
          <w:shd w:val="clear" w:color="auto" w:fill="ffffff"/>
          <w:lang w:val="en-US" w:eastAsia="zh-CN"/>
        </w:rPr>
        <w:t xml:space="preserve">18周岁以上；</w:t>
      </w:r>
      <w:r/>
    </w:p>
    <w:p>
      <w:pPr>
        <w:pStyle w:val="730"/>
        <w:ind w:left="0" w:right="0" w:firstLine="496"/>
        <w:jc w:val="both"/>
        <w:keepLines w:val="0"/>
        <w:keepNext w:val="0"/>
        <w:pageBreakBefore w:val="0"/>
        <w:spacing w:before="0" w:beforeAutospacing="0" w:after="0" w:afterAutospacing="0" w:line="360" w:lineRule="exact"/>
        <w:shd w:val="clear" w:color="auto" w:fill="ffffff"/>
        <w:widowControl/>
        <w:rPr>
          <w:rFonts w:hint="eastAsia" w:ascii="宋体" w:hAnsi="宋体" w:eastAsia="宋体" w:cs="宋体"/>
          <w:b w:val="0"/>
          <w:bCs w:val="0"/>
          <w:i w:val="0"/>
          <w:iCs w:val="0"/>
          <w:caps w:val="0"/>
          <w:spacing w:val="4"/>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spacing w:val="4"/>
          <w:sz w:val="24"/>
          <w:szCs w:val="24"/>
          <w:highlight w:val="none"/>
          <w:shd w:val="clear" w:color="auto" w:fill="ffffff"/>
          <w:lang w:val="en-US" w:eastAsia="zh-CN"/>
        </w:rPr>
        <w:t xml:space="preserve">3.1.3、老年医学科门诊：以流感、23价肺炎疫苗健康处方为主。</w:t>
      </w:r>
      <w:r>
        <w:rPr>
          <w:rFonts w:hint="eastAsia" w:ascii="宋体" w:hAnsi="宋体" w:eastAsia="宋体" w:cs="宋体"/>
          <w:b/>
          <w:bCs/>
          <w:i w:val="0"/>
          <w:iCs w:val="0"/>
          <w:caps w:val="0"/>
          <w:spacing w:val="4"/>
          <w:sz w:val="24"/>
          <w:szCs w:val="24"/>
          <w:highlight w:val="none"/>
          <w:shd w:val="clear" w:color="auto" w:fill="ffffff"/>
          <w:lang w:val="en-US" w:eastAsia="zh-CN"/>
        </w:rPr>
        <w:t xml:space="preserve">触发条件：</w:t>
      </w:r>
      <w:r>
        <w:rPr>
          <w:rFonts w:hint="eastAsia" w:ascii="宋体" w:hAnsi="宋体" w:eastAsia="宋体" w:cs="宋体"/>
          <w:b w:val="0"/>
          <w:bCs w:val="0"/>
          <w:i w:val="0"/>
          <w:iCs w:val="0"/>
          <w:caps w:val="0"/>
          <w:spacing w:val="4"/>
          <w:sz w:val="24"/>
          <w:szCs w:val="24"/>
          <w:highlight w:val="none"/>
          <w:shd w:val="clear" w:color="auto" w:fill="ffffff"/>
          <w:lang w:val="en-US" w:eastAsia="zh-CN"/>
        </w:rPr>
        <w:t xml:space="preserve">50岁以上；</w:t>
      </w:r>
      <w:r/>
    </w:p>
    <w:p>
      <w:pPr>
        <w:pStyle w:val="730"/>
        <w:ind w:left="0" w:right="0" w:firstLine="496"/>
        <w:jc w:val="both"/>
        <w:keepLines w:val="0"/>
        <w:keepNext w:val="0"/>
        <w:pageBreakBefore w:val="0"/>
        <w:spacing w:before="0" w:beforeAutospacing="0" w:after="0" w:afterAutospacing="0" w:line="360" w:lineRule="exact"/>
        <w:shd w:val="clear" w:color="auto" w:fill="ffffff"/>
        <w:widowControl/>
        <w:rPr>
          <w:rFonts w:hint="eastAsia" w:ascii="宋体" w:hAnsi="宋体" w:eastAsia="宋体" w:cs="宋体"/>
          <w:b w:val="0"/>
          <w:bCs w:val="0"/>
          <w:i w:val="0"/>
          <w:iCs w:val="0"/>
          <w:caps w:val="0"/>
          <w:spacing w:val="4"/>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spacing w:val="4"/>
          <w:sz w:val="24"/>
          <w:szCs w:val="24"/>
          <w:highlight w:val="none"/>
          <w:shd w:val="clear" w:color="auto" w:fill="ffffff"/>
          <w:lang w:val="en-US" w:eastAsia="zh-CN"/>
        </w:rPr>
        <w:t xml:space="preserve">3.1.4、皮肤科门诊：以带状疱疹疫苗健康处方为主。</w:t>
      </w:r>
      <w:r>
        <w:rPr>
          <w:rFonts w:hint="eastAsia" w:ascii="宋体" w:hAnsi="宋体" w:eastAsia="宋体" w:cs="宋体"/>
          <w:b/>
          <w:bCs/>
          <w:i w:val="0"/>
          <w:iCs w:val="0"/>
          <w:caps w:val="0"/>
          <w:spacing w:val="4"/>
          <w:sz w:val="24"/>
          <w:szCs w:val="24"/>
          <w:highlight w:val="none"/>
          <w:shd w:val="clear" w:color="auto" w:fill="ffffff"/>
          <w:lang w:val="en-US" w:eastAsia="zh-CN"/>
        </w:rPr>
        <w:t xml:space="preserve">触发条件：</w:t>
      </w:r>
      <w:r>
        <w:rPr>
          <w:rFonts w:hint="eastAsia" w:ascii="宋体" w:hAnsi="宋体" w:eastAsia="宋体" w:cs="宋体"/>
          <w:b w:val="0"/>
          <w:bCs w:val="0"/>
          <w:i w:val="0"/>
          <w:iCs w:val="0"/>
          <w:caps w:val="0"/>
          <w:spacing w:val="4"/>
          <w:sz w:val="24"/>
          <w:szCs w:val="24"/>
          <w:highlight w:val="none"/>
          <w:shd w:val="clear" w:color="auto" w:fill="ffffff"/>
          <w:lang w:val="en-US" w:eastAsia="zh-CN"/>
        </w:rPr>
        <w:t xml:space="preserve">50岁以上；</w:t>
      </w:r>
      <w:r/>
    </w:p>
    <w:p>
      <w:pPr>
        <w:pStyle w:val="730"/>
        <w:ind w:left="0" w:right="0" w:firstLine="496"/>
        <w:jc w:val="both"/>
        <w:keepLines w:val="0"/>
        <w:keepNext w:val="0"/>
        <w:pageBreakBefore w:val="0"/>
        <w:spacing w:before="0" w:beforeAutospacing="0" w:after="0" w:afterAutospacing="0" w:line="360" w:lineRule="exact"/>
        <w:shd w:val="clear" w:color="auto" w:fill="ffffff"/>
        <w:widowControl/>
        <w:rPr>
          <w:rFonts w:hint="eastAsia" w:ascii="宋体" w:hAnsi="宋体" w:eastAsia="宋体" w:cs="宋体"/>
          <w:b w:val="0"/>
          <w:bCs w:val="0"/>
          <w:i w:val="0"/>
          <w:iCs w:val="0"/>
          <w:caps w:val="0"/>
          <w:spacing w:val="4"/>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spacing w:val="4"/>
          <w:sz w:val="24"/>
          <w:szCs w:val="24"/>
          <w:highlight w:val="none"/>
          <w:shd w:val="clear" w:color="auto" w:fill="ffffff"/>
          <w:lang w:val="en-US" w:eastAsia="zh-CN"/>
        </w:rPr>
        <w:t xml:space="preserve">3.1.5、妇科门诊：以HPV疫苗健康处方为主。</w:t>
      </w:r>
      <w:r>
        <w:rPr>
          <w:rFonts w:hint="eastAsia" w:ascii="宋体" w:hAnsi="宋体" w:eastAsia="宋体" w:cs="宋体"/>
          <w:b/>
          <w:bCs/>
          <w:i w:val="0"/>
          <w:iCs w:val="0"/>
          <w:caps w:val="0"/>
          <w:spacing w:val="4"/>
          <w:sz w:val="24"/>
          <w:szCs w:val="24"/>
          <w:highlight w:val="none"/>
          <w:shd w:val="clear" w:color="auto" w:fill="ffffff"/>
          <w:lang w:val="en-US" w:eastAsia="zh-CN"/>
        </w:rPr>
        <w:t xml:space="preserve">触发条件：</w:t>
      </w:r>
      <w:r>
        <w:rPr>
          <w:rFonts w:hint="eastAsia" w:ascii="宋体" w:hAnsi="宋体" w:eastAsia="宋体" w:cs="宋体"/>
          <w:b w:val="0"/>
          <w:bCs w:val="0"/>
          <w:i w:val="0"/>
          <w:iCs w:val="0"/>
          <w:caps w:val="0"/>
          <w:spacing w:val="4"/>
          <w:sz w:val="24"/>
          <w:szCs w:val="24"/>
          <w:highlight w:val="none"/>
          <w:shd w:val="clear" w:color="auto" w:fill="ffffff"/>
          <w:lang w:val="en-US" w:eastAsia="zh-CN"/>
        </w:rPr>
        <w:t xml:space="preserve">①18-44岁女性对象；</w:t>
      </w:r>
      <w:r/>
    </w:p>
    <w:p>
      <w:pPr>
        <w:pStyle w:val="730"/>
        <w:ind w:left="0" w:right="0" w:firstLine="496"/>
        <w:jc w:val="both"/>
        <w:keepLines w:val="0"/>
        <w:keepNext w:val="0"/>
        <w:pageBreakBefore w:val="0"/>
        <w:spacing w:before="0" w:beforeAutospacing="0" w:after="0" w:afterAutospacing="0" w:line="360" w:lineRule="exact"/>
        <w:shd w:val="clear" w:color="auto" w:fill="ffffff"/>
        <w:widowControl/>
        <w:rPr>
          <w:rFonts w:hint="eastAsia" w:ascii="宋体" w:hAnsi="宋体" w:eastAsia="宋体" w:cs="宋体"/>
          <w:b w:val="0"/>
          <w:bCs w:val="0"/>
          <w:i w:val="0"/>
          <w:iCs w:val="0"/>
          <w:caps w:val="0"/>
          <w:spacing w:val="4"/>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spacing w:val="4"/>
          <w:sz w:val="24"/>
          <w:szCs w:val="24"/>
          <w:highlight w:val="none"/>
          <w:shd w:val="clear" w:color="auto" w:fill="ffffff"/>
          <w:lang w:val="en-US" w:eastAsia="zh-CN"/>
        </w:rPr>
        <w:t xml:space="preserve">3.1.6体检中心、慢病门诊：以乙肝、23价肺炎、流感疫苗处方为主。</w:t>
      </w:r>
      <w:r>
        <w:rPr>
          <w:rFonts w:hint="eastAsia" w:ascii="宋体" w:hAnsi="宋体" w:eastAsia="宋体" w:cs="宋体"/>
          <w:b/>
          <w:bCs/>
          <w:i w:val="0"/>
          <w:iCs w:val="0"/>
          <w:caps w:val="0"/>
          <w:spacing w:val="4"/>
          <w:sz w:val="24"/>
          <w:szCs w:val="24"/>
          <w:highlight w:val="none"/>
          <w:shd w:val="clear" w:color="auto" w:fill="ffffff"/>
          <w:lang w:val="en-US" w:eastAsia="zh-CN"/>
        </w:rPr>
        <w:t xml:space="preserve">触发条件：</w:t>
      </w:r>
      <w:r>
        <w:rPr>
          <w:rFonts w:hint="eastAsia" w:ascii="宋体" w:hAnsi="宋体" w:eastAsia="宋体" w:cs="宋体"/>
          <w:b w:val="0"/>
          <w:bCs w:val="0"/>
          <w:i w:val="0"/>
          <w:iCs w:val="0"/>
          <w:caps w:val="0"/>
          <w:spacing w:val="4"/>
          <w:sz w:val="24"/>
          <w:szCs w:val="24"/>
          <w:highlight w:val="none"/>
          <w:shd w:val="clear" w:color="auto" w:fill="ffffff"/>
          <w:lang w:val="en-US" w:eastAsia="zh-CN"/>
        </w:rPr>
        <w:t xml:space="preserve">18周岁以上。</w:t>
      </w:r>
      <w:r/>
    </w:p>
    <w:p>
      <w:pPr>
        <w:pStyle w:val="730"/>
        <w:ind w:right="0" w:firstLine="480"/>
        <w:keepLines w:val="0"/>
        <w:keepNext w:val="0"/>
        <w:pageBreakBefore w:val="0"/>
        <w:spacing w:before="0" w:beforeAutospacing="0" w:after="0" w:afterAutospacing="0" w:line="360" w:lineRule="exact"/>
        <w:widowControl/>
        <w:rPr>
          <w:rFonts w:hint="eastAsia" w:ascii="宋体" w:hAnsi="宋体" w:eastAsia="宋体" w:cs="宋体"/>
          <w:b w:val="0"/>
          <w:bCs/>
          <w:color w:val="ffe790"/>
          <w:sz w:val="24"/>
          <w:szCs w:val="24"/>
        </w:rPr>
        <w:pBdr>
          <w:top w:val="none" w:color="auto" w:sz="0" w:space="0"/>
          <w:left w:val="none" w:color="auto" w:sz="0" w:space="0"/>
          <w:bottom w:val="none" w:color="auto" w:sz="0" w:space="0"/>
          <w:right w:val="none" w:color="auto" w:sz="0" w:space="0"/>
        </w:pBdr>
        <w:suppressLineNumbers w:val="0"/>
      </w:pPr>
      <w:r>
        <w:rPr>
          <w:rStyle w:val="735"/>
          <w:rFonts w:hint="eastAsia" w:ascii="宋体" w:hAnsi="宋体" w:eastAsia="宋体" w:cs="宋体"/>
          <w:b w:val="0"/>
          <w:bCs/>
          <w:sz w:val="24"/>
          <w:szCs w:val="24"/>
          <w:lang w:val="en-US" w:eastAsia="zh-CN"/>
        </w:rPr>
        <w:t xml:space="preserve">3.2、</w:t>
      </w:r>
      <w:r>
        <w:rPr>
          <w:rStyle w:val="735"/>
          <w:rFonts w:hint="eastAsia" w:ascii="宋体" w:hAnsi="宋体" w:eastAsia="宋体" w:cs="宋体"/>
          <w:b w:val="0"/>
          <w:bCs/>
          <w:sz w:val="24"/>
          <w:szCs w:val="24"/>
          <w:lang w:eastAsia="zh-CN"/>
        </w:rPr>
        <w:t xml:space="preserve">临床科室预防接种健康处方开具的操作流程</w:t>
      </w:r>
      <w:r/>
    </w:p>
    <w:p>
      <w:pPr>
        <w:pStyle w:val="730"/>
        <w:ind w:right="0" w:firstLine="496"/>
        <w:jc w:val="both"/>
        <w:keepLines w:val="0"/>
        <w:keepNext w:val="0"/>
        <w:pageBreakBefore w:val="0"/>
        <w:spacing w:before="0" w:beforeAutospacing="0" w:after="0" w:afterAutospacing="0" w:line="360" w:lineRule="exact"/>
        <w:shd w:val="clear" w:color="auto" w:fill="ffffff"/>
        <w:widowControl/>
        <w:rPr>
          <w:rFonts w:hint="eastAsia" w:ascii="宋体" w:hAnsi="宋体" w:eastAsia="宋体" w:cs="宋体"/>
          <w:b w:val="0"/>
          <w:bCs w:val="0"/>
          <w:i w:val="0"/>
          <w:iCs w:val="0"/>
          <w:caps w:val="0"/>
          <w:spacing w:val="4"/>
          <w:sz w:val="24"/>
          <w:szCs w:val="24"/>
          <w:shd w:val="clear" w:color="auto" w:fill="ffffff"/>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spacing w:val="4"/>
          <w:sz w:val="24"/>
          <w:szCs w:val="24"/>
          <w:shd w:val="clear" w:color="auto" w:fill="ffffff"/>
          <w:lang w:val="en-US" w:eastAsia="zh-CN"/>
        </w:rPr>
        <w:t xml:space="preserve">3.2.1、就诊者</w:t>
      </w:r>
      <w:r>
        <w:rPr>
          <w:rFonts w:hint="eastAsia" w:ascii="宋体" w:hAnsi="宋体" w:eastAsia="宋体" w:cs="宋体"/>
          <w:b w:val="0"/>
          <w:bCs w:val="0"/>
          <w:i w:val="0"/>
          <w:iCs w:val="0"/>
          <w:caps w:val="0"/>
          <w:spacing w:val="4"/>
          <w:sz w:val="24"/>
          <w:szCs w:val="24"/>
          <w:shd w:val="clear" w:color="auto" w:fill="ffffff"/>
        </w:rPr>
        <w:t xml:space="preserve">来到医院，进入相应挂号科室就诊</w:t>
      </w:r>
      <w:r>
        <w:rPr>
          <w:rFonts w:hint="eastAsia" w:ascii="宋体" w:hAnsi="宋体" w:eastAsia="宋体" w:cs="宋体"/>
          <w:b w:val="0"/>
          <w:bCs w:val="0"/>
          <w:i w:val="0"/>
          <w:iCs w:val="0"/>
          <w:caps w:val="0"/>
          <w:spacing w:val="4"/>
          <w:sz w:val="24"/>
          <w:szCs w:val="24"/>
          <w:shd w:val="clear" w:color="auto" w:fill="ffffff"/>
          <w:lang w:eastAsia="zh-CN"/>
        </w:rPr>
        <w:t xml:space="preserve">；</w:t>
      </w:r>
      <w:r/>
    </w:p>
    <w:p>
      <w:pPr>
        <w:pStyle w:val="730"/>
        <w:ind w:right="0" w:firstLine="496"/>
        <w:jc w:val="both"/>
        <w:keepLines w:val="0"/>
        <w:keepNext w:val="0"/>
        <w:pageBreakBefore w:val="0"/>
        <w:spacing w:before="0" w:beforeAutospacing="0" w:after="0" w:afterAutospacing="0" w:line="360" w:lineRule="exact"/>
        <w:shd w:val="clear" w:color="auto" w:fill="ffffff"/>
        <w:widowControl/>
        <w:rPr>
          <w:rFonts w:hint="eastAsia" w:ascii="宋体" w:hAnsi="宋体" w:eastAsia="宋体" w:cs="宋体"/>
          <w:b w:val="0"/>
          <w:bCs w:val="0"/>
          <w:i w:val="0"/>
          <w:iCs w:val="0"/>
          <w:caps w:val="0"/>
          <w:spacing w:val="4"/>
          <w:sz w:val="24"/>
          <w:szCs w:val="24"/>
          <w:shd w:val="clear" w:color="auto" w:fill="ffffff"/>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spacing w:val="4"/>
          <w:sz w:val="24"/>
          <w:szCs w:val="24"/>
          <w:shd w:val="clear" w:color="auto" w:fill="ffffff"/>
          <w:lang w:val="en-US" w:eastAsia="zh-CN"/>
        </w:rPr>
        <w:t xml:space="preserve">3.2.2、</w:t>
      </w:r>
      <w:r>
        <w:rPr>
          <w:rFonts w:hint="eastAsia" w:ascii="宋体" w:hAnsi="宋体" w:eastAsia="宋体" w:cs="宋体"/>
          <w:b w:val="0"/>
          <w:bCs w:val="0"/>
          <w:i w:val="0"/>
          <w:iCs w:val="0"/>
          <w:caps w:val="0"/>
          <w:spacing w:val="4"/>
          <w:sz w:val="24"/>
          <w:szCs w:val="24"/>
          <w:shd w:val="clear" w:color="auto" w:fill="ffffff"/>
        </w:rPr>
        <w:t xml:space="preserve">接诊医生对</w:t>
      </w:r>
      <w:r>
        <w:rPr>
          <w:rFonts w:hint="eastAsia" w:ascii="宋体" w:hAnsi="宋体" w:eastAsia="宋体" w:cs="宋体"/>
          <w:b w:val="0"/>
          <w:bCs w:val="0"/>
          <w:i w:val="0"/>
          <w:iCs w:val="0"/>
          <w:caps w:val="0"/>
          <w:spacing w:val="4"/>
          <w:sz w:val="24"/>
          <w:szCs w:val="24"/>
          <w:shd w:val="clear" w:color="auto" w:fill="ffffff"/>
          <w:lang w:val="en-US" w:eastAsia="zh-CN"/>
        </w:rPr>
        <w:t xml:space="preserve">就诊</w:t>
      </w:r>
      <w:r>
        <w:rPr>
          <w:rFonts w:hint="eastAsia" w:ascii="宋体" w:hAnsi="宋体" w:eastAsia="宋体" w:cs="宋体"/>
          <w:b w:val="0"/>
          <w:bCs w:val="0"/>
          <w:i w:val="0"/>
          <w:iCs w:val="0"/>
          <w:caps w:val="0"/>
          <w:spacing w:val="4"/>
          <w:sz w:val="24"/>
          <w:szCs w:val="24"/>
          <w:shd w:val="clear" w:color="auto" w:fill="ffffff"/>
        </w:rPr>
        <w:t xml:space="preserve">者进行必要的身体检查，如测量体温、检查心肺功能等</w:t>
      </w:r>
      <w:r>
        <w:rPr>
          <w:rFonts w:hint="eastAsia" w:ascii="宋体" w:hAnsi="宋体" w:eastAsia="宋体" w:cs="宋体"/>
          <w:b w:val="0"/>
          <w:bCs w:val="0"/>
          <w:i w:val="0"/>
          <w:iCs w:val="0"/>
          <w:caps w:val="0"/>
          <w:spacing w:val="4"/>
          <w:sz w:val="24"/>
          <w:szCs w:val="24"/>
          <w:shd w:val="clear" w:color="auto" w:fill="ffffff"/>
          <w:lang w:eastAsia="zh-CN"/>
        </w:rPr>
        <w:t xml:space="preserve">；</w:t>
      </w:r>
      <w:r/>
    </w:p>
    <w:p>
      <w:pPr>
        <w:pStyle w:val="730"/>
        <w:ind w:right="0" w:firstLine="496"/>
        <w:jc w:val="both"/>
        <w:keepLines w:val="0"/>
        <w:keepNext w:val="0"/>
        <w:pageBreakBefore w:val="0"/>
        <w:spacing w:before="0" w:beforeAutospacing="0" w:after="0" w:afterAutospacing="0" w:line="360" w:lineRule="exact"/>
        <w:shd w:val="clear" w:color="auto" w:fill="ffffff"/>
        <w:widowControl/>
        <w:rPr>
          <w:rFonts w:hint="eastAsia" w:ascii="宋体" w:hAnsi="宋体" w:eastAsia="宋体" w:cs="宋体"/>
          <w:b/>
          <w:bCs/>
          <w:i w:val="0"/>
          <w:iCs w:val="0"/>
          <w:caps w:val="0"/>
          <w:spacing w:val="4"/>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spacing w:val="4"/>
          <w:sz w:val="24"/>
          <w:szCs w:val="24"/>
          <w:shd w:val="clear" w:color="auto" w:fill="ffffff"/>
          <w:lang w:val="en-US" w:eastAsia="zh-CN"/>
        </w:rPr>
        <w:t xml:space="preserve">3.2.3、接诊医生根据就诊对象检查情况作出临床诊断，开具临床处方，</w:t>
      </w:r>
      <w:r>
        <w:rPr>
          <w:rFonts w:hint="eastAsia" w:ascii="宋体" w:hAnsi="宋体" w:eastAsia="宋体" w:cs="宋体"/>
          <w:b/>
          <w:bCs/>
          <w:i w:val="0"/>
          <w:iCs w:val="0"/>
          <w:caps w:val="0"/>
          <w:spacing w:val="4"/>
          <w:sz w:val="24"/>
          <w:szCs w:val="24"/>
          <w:shd w:val="clear" w:color="auto" w:fill="ffffff"/>
          <w:lang w:val="en-US" w:eastAsia="zh-CN"/>
        </w:rPr>
        <w:t xml:space="preserve">并触发预防接种健康处方；</w:t>
      </w:r>
      <w:r/>
    </w:p>
    <w:p>
      <w:pPr>
        <w:pStyle w:val="730"/>
        <w:ind w:right="0" w:firstLine="496"/>
        <w:jc w:val="both"/>
        <w:keepLines w:val="0"/>
        <w:keepNext w:val="0"/>
        <w:pageBreakBefore w:val="0"/>
        <w:spacing w:before="0" w:beforeAutospacing="0" w:after="0" w:afterAutospacing="0" w:line="360" w:lineRule="exact"/>
        <w:shd w:val="clear" w:color="auto" w:fill="ffffff"/>
        <w:widowControl/>
        <w:rPr>
          <w:rFonts w:hint="eastAsia" w:ascii="宋体" w:hAnsi="宋体" w:eastAsia="宋体" w:cs="宋体"/>
          <w:b w:val="0"/>
          <w:bCs w:val="0"/>
          <w:i w:val="0"/>
          <w:iCs w:val="0"/>
          <w:caps w:val="0"/>
          <w:spacing w:val="4"/>
          <w:sz w:val="24"/>
          <w:szCs w:val="24"/>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spacing w:val="4"/>
          <w:sz w:val="24"/>
          <w:szCs w:val="24"/>
          <w:shd w:val="clear" w:color="auto" w:fill="ffffff"/>
          <w:lang w:val="en-US" w:eastAsia="zh-CN"/>
        </w:rPr>
        <w:t xml:space="preserve">3.2.4、接诊医生</w:t>
      </w:r>
      <w:r>
        <w:rPr>
          <w:rFonts w:hint="eastAsia" w:ascii="宋体" w:hAnsi="宋体" w:eastAsia="宋体" w:cs="宋体"/>
          <w:b w:val="0"/>
          <w:bCs w:val="0"/>
          <w:i w:val="0"/>
          <w:iCs w:val="0"/>
          <w:caps w:val="0"/>
          <w:spacing w:val="4"/>
          <w:sz w:val="24"/>
          <w:szCs w:val="24"/>
          <w:shd w:val="clear" w:color="auto" w:fill="ffffff"/>
        </w:rPr>
        <w:t xml:space="preserve">详细询问并分析</w:t>
      </w:r>
      <w:r>
        <w:rPr>
          <w:rFonts w:hint="eastAsia" w:ascii="宋体" w:hAnsi="宋体" w:eastAsia="宋体" w:cs="宋体"/>
          <w:b w:val="0"/>
          <w:bCs w:val="0"/>
          <w:i w:val="0"/>
          <w:iCs w:val="0"/>
          <w:caps w:val="0"/>
          <w:spacing w:val="4"/>
          <w:sz w:val="24"/>
          <w:szCs w:val="24"/>
          <w:shd w:val="clear" w:color="auto" w:fill="ffffff"/>
          <w:lang w:val="en-US" w:eastAsia="zh-CN"/>
        </w:rPr>
        <w:t xml:space="preserve">就诊者</w:t>
      </w:r>
      <w:r>
        <w:rPr>
          <w:rFonts w:hint="eastAsia" w:ascii="宋体" w:hAnsi="宋体" w:eastAsia="宋体" w:cs="宋体"/>
          <w:b w:val="0"/>
          <w:bCs w:val="0"/>
          <w:i w:val="0"/>
          <w:iCs w:val="0"/>
          <w:caps w:val="0"/>
          <w:spacing w:val="4"/>
          <w:sz w:val="24"/>
          <w:szCs w:val="24"/>
          <w:shd w:val="clear" w:color="auto" w:fill="ffffff"/>
        </w:rPr>
        <w:t xml:space="preserve">既往病史</w:t>
      </w:r>
      <w:r>
        <w:rPr>
          <w:rFonts w:hint="eastAsia" w:ascii="宋体" w:hAnsi="宋体" w:eastAsia="宋体" w:cs="宋体"/>
          <w:b w:val="0"/>
          <w:bCs w:val="0"/>
          <w:i w:val="0"/>
          <w:iCs w:val="0"/>
          <w:caps w:val="0"/>
          <w:spacing w:val="4"/>
          <w:sz w:val="24"/>
          <w:szCs w:val="24"/>
          <w:shd w:val="clear" w:color="auto" w:fill="ffffff"/>
          <w:lang w:eastAsia="zh-CN"/>
        </w:rPr>
        <w:t xml:space="preserve">、</w:t>
      </w:r>
      <w:r>
        <w:rPr>
          <w:rFonts w:hint="eastAsia" w:ascii="宋体" w:hAnsi="宋体" w:eastAsia="宋体" w:cs="宋体"/>
          <w:b w:val="0"/>
          <w:bCs w:val="0"/>
          <w:i w:val="0"/>
          <w:iCs w:val="0"/>
          <w:caps w:val="0"/>
          <w:spacing w:val="4"/>
          <w:sz w:val="24"/>
          <w:szCs w:val="24"/>
          <w:shd w:val="clear" w:color="auto" w:fill="ffffff"/>
          <w:lang w:val="en-US" w:eastAsia="zh-CN"/>
        </w:rPr>
        <w:t xml:space="preserve">过敏史和疫苗接种史，</w:t>
      </w:r>
      <w:r>
        <w:rPr>
          <w:rFonts w:hint="eastAsia" w:ascii="宋体" w:hAnsi="宋体" w:eastAsia="宋体" w:cs="宋体"/>
          <w:b w:val="0"/>
          <w:bCs w:val="0"/>
          <w:i w:val="0"/>
          <w:iCs w:val="0"/>
          <w:caps w:val="0"/>
          <w:spacing w:val="4"/>
          <w:sz w:val="24"/>
          <w:szCs w:val="24"/>
          <w:shd w:val="clear" w:color="auto" w:fill="ffffff"/>
        </w:rPr>
        <w:t xml:space="preserve">特别是与疫苗接种相关的疾病史，以了解</w:t>
      </w:r>
      <w:r>
        <w:rPr>
          <w:rFonts w:hint="eastAsia" w:ascii="宋体" w:hAnsi="宋体" w:eastAsia="宋体" w:cs="宋体"/>
          <w:b w:val="0"/>
          <w:bCs w:val="0"/>
          <w:i w:val="0"/>
          <w:iCs w:val="0"/>
          <w:caps w:val="0"/>
          <w:spacing w:val="4"/>
          <w:sz w:val="24"/>
          <w:szCs w:val="24"/>
          <w:shd w:val="clear" w:color="auto" w:fill="ffffff"/>
          <w:lang w:val="en-US" w:eastAsia="zh-CN"/>
        </w:rPr>
        <w:t xml:space="preserve">就诊者</w:t>
      </w:r>
      <w:r>
        <w:rPr>
          <w:rFonts w:hint="eastAsia" w:ascii="宋体" w:hAnsi="宋体" w:eastAsia="宋体" w:cs="宋体"/>
          <w:b w:val="0"/>
          <w:bCs w:val="0"/>
          <w:i w:val="0"/>
          <w:iCs w:val="0"/>
          <w:caps w:val="0"/>
          <w:spacing w:val="4"/>
          <w:sz w:val="24"/>
          <w:szCs w:val="24"/>
          <w:shd w:val="clear" w:color="auto" w:fill="ffffff"/>
        </w:rPr>
        <w:t xml:space="preserve">对特定疫苗的反应或禁忌情况</w:t>
      </w:r>
      <w:r>
        <w:rPr>
          <w:rFonts w:hint="eastAsia" w:ascii="宋体" w:hAnsi="宋体" w:eastAsia="宋体" w:cs="宋体"/>
          <w:b w:val="0"/>
          <w:bCs w:val="0"/>
          <w:i w:val="0"/>
          <w:iCs w:val="0"/>
          <w:caps w:val="0"/>
          <w:spacing w:val="4"/>
          <w:sz w:val="24"/>
          <w:szCs w:val="24"/>
          <w:shd w:val="clear" w:color="auto" w:fill="ffffff"/>
          <w:lang w:eastAsia="zh-CN"/>
        </w:rPr>
        <w:t xml:space="preserve">；</w:t>
      </w:r>
      <w:r/>
    </w:p>
    <w:p>
      <w:pPr>
        <w:pStyle w:val="730"/>
        <w:ind w:right="0" w:firstLine="496"/>
        <w:jc w:val="both"/>
        <w:keepLines w:val="0"/>
        <w:keepNext w:val="0"/>
        <w:pageBreakBefore w:val="0"/>
        <w:spacing w:before="0" w:beforeAutospacing="0" w:after="0" w:afterAutospacing="0" w:line="360" w:lineRule="exact"/>
        <w:shd w:val="clear" w:color="auto" w:fill="ffffff"/>
        <w:widowControl/>
        <w:rPr>
          <w:rFonts w:hint="eastAsia" w:ascii="宋体" w:hAnsi="宋体" w:eastAsia="宋体" w:cs="宋体"/>
          <w:b w:val="0"/>
          <w:bCs w:val="0"/>
          <w:i w:val="0"/>
          <w:iCs w:val="0"/>
          <w:caps w:val="0"/>
          <w:spacing w:val="4"/>
          <w:sz w:val="24"/>
          <w:szCs w:val="24"/>
          <w:shd w:val="clear" w:color="auto" w:fill="ffffff"/>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spacing w:val="4"/>
          <w:sz w:val="24"/>
          <w:szCs w:val="24"/>
          <w:shd w:val="clear" w:color="auto" w:fill="ffffff"/>
          <w:lang w:val="en-US" w:eastAsia="zh-CN"/>
        </w:rPr>
        <w:t xml:space="preserve">3.2.5、</w:t>
      </w:r>
      <w:r>
        <w:rPr>
          <w:rFonts w:hint="eastAsia" w:ascii="宋体" w:hAnsi="宋体" w:eastAsia="宋体" w:cs="宋体"/>
          <w:b w:val="0"/>
          <w:bCs w:val="0"/>
          <w:i w:val="0"/>
          <w:iCs w:val="0"/>
          <w:caps w:val="0"/>
          <w:spacing w:val="4"/>
          <w:sz w:val="24"/>
          <w:szCs w:val="24"/>
          <w:shd w:val="clear" w:color="auto" w:fill="ffffff"/>
        </w:rPr>
        <w:t xml:space="preserve">基于以上信息，</w:t>
      </w:r>
      <w:r>
        <w:rPr>
          <w:rFonts w:hint="eastAsia" w:ascii="宋体" w:hAnsi="宋体" w:eastAsia="宋体" w:cs="宋体"/>
          <w:b w:val="0"/>
          <w:bCs w:val="0"/>
          <w:i w:val="0"/>
          <w:iCs w:val="0"/>
          <w:caps w:val="0"/>
          <w:spacing w:val="4"/>
          <w:sz w:val="24"/>
          <w:szCs w:val="24"/>
          <w:shd w:val="clear" w:color="auto" w:fill="ffffff"/>
          <w:lang w:val="en-US" w:eastAsia="zh-CN"/>
        </w:rPr>
        <w:t xml:space="preserve">接诊医生</w:t>
      </w:r>
      <w:r>
        <w:rPr>
          <w:rFonts w:hint="eastAsia" w:ascii="宋体" w:hAnsi="宋体" w:eastAsia="宋体" w:cs="宋体"/>
          <w:b w:val="0"/>
          <w:bCs w:val="0"/>
          <w:i w:val="0"/>
          <w:iCs w:val="0"/>
          <w:caps w:val="0"/>
          <w:spacing w:val="4"/>
          <w:sz w:val="24"/>
          <w:szCs w:val="24"/>
          <w:shd w:val="clear" w:color="auto" w:fill="ffffff"/>
        </w:rPr>
        <w:t xml:space="preserve">进行综合评估</w:t>
      </w:r>
      <w:r>
        <w:rPr>
          <w:rFonts w:hint="eastAsia" w:ascii="宋体" w:hAnsi="宋体" w:eastAsia="宋体" w:cs="宋体"/>
          <w:b w:val="0"/>
          <w:bCs w:val="0"/>
          <w:i w:val="0"/>
          <w:iCs w:val="0"/>
          <w:caps w:val="0"/>
          <w:spacing w:val="4"/>
          <w:sz w:val="24"/>
          <w:szCs w:val="24"/>
          <w:shd w:val="clear" w:color="auto" w:fill="ffffff"/>
          <w:lang w:eastAsia="zh-CN"/>
        </w:rPr>
        <w:t xml:space="preserve">；</w:t>
      </w:r>
      <w:r/>
    </w:p>
    <w:p>
      <w:pPr>
        <w:pStyle w:val="730"/>
        <w:ind w:right="0" w:firstLine="496"/>
        <w:jc w:val="both"/>
        <w:keepLines w:val="0"/>
        <w:keepNext w:val="0"/>
        <w:pageBreakBefore w:val="0"/>
        <w:spacing w:before="0" w:beforeAutospacing="0" w:after="0" w:afterAutospacing="0" w:line="360" w:lineRule="exact"/>
        <w:shd w:val="clear" w:color="auto" w:fill="ffffff"/>
        <w:widowControl/>
        <w:rPr>
          <w:rFonts w:hint="eastAsia" w:ascii="宋体" w:hAnsi="宋体" w:eastAsia="宋体" w:cs="宋体"/>
          <w:b w:val="0"/>
          <w:bCs w:val="0"/>
          <w:i w:val="0"/>
          <w:iCs w:val="0"/>
          <w:caps w:val="0"/>
          <w:spacing w:val="4"/>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spacing w:val="4"/>
          <w:sz w:val="24"/>
          <w:szCs w:val="24"/>
          <w:shd w:val="clear" w:color="auto" w:fill="ffffff"/>
          <w:lang w:val="en-US" w:eastAsia="zh-CN"/>
        </w:rPr>
        <w:t xml:space="preserve">3.2.6、接诊医生根据评估结果，作出就诊对象相应的预防接种医学建议；</w:t>
      </w:r>
      <w:r/>
    </w:p>
    <w:p>
      <w:pPr>
        <w:pStyle w:val="730"/>
        <w:ind w:right="0" w:firstLine="496"/>
        <w:jc w:val="both"/>
        <w:keepLines w:val="0"/>
        <w:keepNext w:val="0"/>
        <w:pageBreakBefore w:val="0"/>
        <w:spacing w:before="0" w:beforeAutospacing="0" w:after="0" w:afterAutospacing="0" w:line="360" w:lineRule="exact"/>
        <w:shd w:val="clear" w:color="auto" w:fill="ffffff"/>
        <w:widowControl/>
        <w:rPr>
          <w:rFonts w:hint="eastAsia" w:ascii="宋体" w:hAnsi="宋体" w:eastAsia="宋体" w:cs="宋体"/>
          <w:b w:val="0"/>
          <w:bCs w:val="0"/>
          <w:i w:val="0"/>
          <w:iCs w:val="0"/>
          <w:caps w:val="0"/>
          <w:spacing w:val="4"/>
          <w:sz w:val="24"/>
          <w:szCs w:val="24"/>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spacing w:val="4"/>
          <w:sz w:val="24"/>
          <w:szCs w:val="24"/>
          <w:shd w:val="clear" w:color="auto" w:fill="ffffff"/>
          <w:lang w:val="en-US" w:eastAsia="zh-CN"/>
        </w:rPr>
        <w:t xml:space="preserve">3.2.7、经评估后，建议就诊对象接种疫苗和缓种疫苗的，作出建议具体疫苗种类的名称和建议接种的理由，并推送该疫苗及疫苗针对疾病的健康知识、疫苗接种提示等，</w:t>
      </w:r>
      <w:r>
        <w:rPr>
          <w:rFonts w:hint="eastAsia" w:ascii="宋体" w:hAnsi="宋体" w:eastAsia="宋体" w:cs="宋体"/>
          <w:b w:val="0"/>
          <w:bCs w:val="0"/>
          <w:i w:val="0"/>
          <w:iCs w:val="0"/>
          <w:caps w:val="0"/>
          <w:spacing w:val="4"/>
          <w:sz w:val="24"/>
          <w:szCs w:val="24"/>
          <w:shd w:val="clear" w:color="auto" w:fill="ffffff"/>
        </w:rPr>
        <w:t xml:space="preserve">在</w:t>
      </w:r>
      <w:r>
        <w:rPr>
          <w:rFonts w:hint="eastAsia" w:ascii="宋体" w:hAnsi="宋体" w:eastAsia="宋体" w:cs="宋体"/>
          <w:b w:val="0"/>
          <w:bCs w:val="0"/>
          <w:i w:val="0"/>
          <w:iCs w:val="0"/>
          <w:caps w:val="0"/>
          <w:spacing w:val="4"/>
          <w:sz w:val="24"/>
          <w:szCs w:val="24"/>
          <w:shd w:val="clear" w:color="auto" w:fill="ffffff"/>
          <w:lang w:val="en-US" w:eastAsia="zh-CN"/>
        </w:rPr>
        <w:t xml:space="preserve">HIS</w:t>
      </w:r>
      <w:r>
        <w:rPr>
          <w:rFonts w:hint="eastAsia" w:ascii="宋体" w:hAnsi="宋体" w:eastAsia="宋体" w:cs="宋体"/>
          <w:b w:val="0"/>
          <w:bCs w:val="0"/>
          <w:i w:val="0"/>
          <w:iCs w:val="0"/>
          <w:caps w:val="0"/>
          <w:spacing w:val="4"/>
          <w:sz w:val="24"/>
          <w:szCs w:val="24"/>
          <w:shd w:val="clear" w:color="auto" w:fill="ffffff"/>
        </w:rPr>
        <w:t xml:space="preserve">系统</w:t>
      </w:r>
      <w:r>
        <w:rPr>
          <w:rFonts w:hint="eastAsia" w:ascii="宋体" w:hAnsi="宋体" w:eastAsia="宋体" w:cs="宋体"/>
          <w:b w:val="0"/>
          <w:bCs w:val="0"/>
          <w:i w:val="0"/>
          <w:iCs w:val="0"/>
          <w:caps w:val="0"/>
          <w:spacing w:val="4"/>
          <w:sz w:val="24"/>
          <w:szCs w:val="24"/>
          <w:shd w:val="clear" w:color="auto" w:fill="ffffff"/>
          <w:lang w:eastAsia="zh-CN"/>
        </w:rPr>
        <w:t xml:space="preserve">内形成该就诊对象的个性化预防接种健康</w:t>
      </w:r>
      <w:r>
        <w:rPr>
          <w:rFonts w:hint="eastAsia" w:ascii="宋体" w:hAnsi="宋体" w:eastAsia="宋体" w:cs="宋体"/>
          <w:b w:val="0"/>
          <w:bCs w:val="0"/>
          <w:i w:val="0"/>
          <w:iCs w:val="0"/>
          <w:caps w:val="0"/>
          <w:spacing w:val="4"/>
          <w:sz w:val="24"/>
          <w:szCs w:val="24"/>
          <w:shd w:val="clear" w:color="auto" w:fill="ffffff"/>
        </w:rPr>
        <w:t xml:space="preserve">处方</w:t>
      </w:r>
      <w:r>
        <w:rPr>
          <w:rFonts w:hint="eastAsia" w:ascii="宋体" w:hAnsi="宋体" w:eastAsia="宋体" w:cs="宋体"/>
          <w:b w:val="0"/>
          <w:bCs w:val="0"/>
          <w:i w:val="0"/>
          <w:iCs w:val="0"/>
          <w:caps w:val="0"/>
          <w:spacing w:val="4"/>
          <w:sz w:val="24"/>
          <w:szCs w:val="24"/>
          <w:shd w:val="clear" w:color="auto" w:fill="ffffff"/>
          <w:lang w:eastAsia="zh-CN"/>
        </w:rPr>
        <w:t xml:space="preserve">后，以电子病历形式打印给就诊对象；经评估后，不建议接种的，结束操作，系统留存评估情；</w:t>
      </w:r>
      <w:r/>
    </w:p>
    <w:p>
      <w:pPr>
        <w:pStyle w:val="730"/>
        <w:ind w:right="0" w:firstLine="496"/>
        <w:jc w:val="both"/>
        <w:keepLines w:val="0"/>
        <w:keepNext w:val="0"/>
        <w:pageBreakBefore w:val="0"/>
        <w:spacing w:before="0" w:beforeAutospacing="0" w:after="0" w:afterAutospacing="0" w:line="360" w:lineRule="exact"/>
        <w:shd w:val="clear" w:color="auto" w:fill="ffffff"/>
        <w:widowControl/>
        <w:rPr>
          <w:rFonts w:hint="eastAsia" w:ascii="宋体" w:hAnsi="宋体" w:eastAsia="宋体" w:cs="宋体"/>
          <w:b w:val="0"/>
          <w:bCs w:val="0"/>
          <w:i w:val="0"/>
          <w:iCs w:val="0"/>
          <w:caps w:val="0"/>
          <w:spacing w:val="4"/>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spacing w:val="4"/>
          <w:sz w:val="24"/>
          <w:szCs w:val="24"/>
          <w:shd w:val="clear" w:color="auto" w:fill="ffffff"/>
          <w:lang w:val="en-US" w:eastAsia="zh-CN"/>
        </w:rPr>
        <w:t xml:space="preserve">3.2.8、接诊</w:t>
      </w:r>
      <w:r>
        <w:rPr>
          <w:rFonts w:hint="eastAsia" w:ascii="宋体" w:hAnsi="宋体" w:eastAsia="宋体" w:cs="宋体"/>
          <w:b w:val="0"/>
          <w:bCs w:val="0"/>
          <w:i w:val="0"/>
          <w:iCs w:val="0"/>
          <w:caps w:val="0"/>
          <w:spacing w:val="4"/>
          <w:sz w:val="24"/>
          <w:szCs w:val="24"/>
          <w:shd w:val="clear" w:color="auto" w:fill="ffffff"/>
        </w:rPr>
        <w:t xml:space="preserve">医生向</w:t>
      </w:r>
      <w:r>
        <w:rPr>
          <w:rFonts w:hint="eastAsia" w:ascii="宋体" w:hAnsi="宋体" w:eastAsia="宋体" w:cs="宋体"/>
          <w:b w:val="0"/>
          <w:bCs w:val="0"/>
          <w:i w:val="0"/>
          <w:iCs w:val="0"/>
          <w:caps w:val="0"/>
          <w:spacing w:val="4"/>
          <w:sz w:val="24"/>
          <w:szCs w:val="24"/>
          <w:shd w:val="clear" w:color="auto" w:fill="ffffff"/>
          <w:lang w:val="en-US" w:eastAsia="zh-CN"/>
        </w:rPr>
        <w:t xml:space="preserve">就诊</w:t>
      </w:r>
      <w:r>
        <w:rPr>
          <w:rFonts w:hint="eastAsia" w:ascii="宋体" w:hAnsi="宋体" w:eastAsia="宋体" w:cs="宋体"/>
          <w:b w:val="0"/>
          <w:bCs w:val="0"/>
          <w:i w:val="0"/>
          <w:iCs w:val="0"/>
          <w:caps w:val="0"/>
          <w:spacing w:val="4"/>
          <w:sz w:val="24"/>
          <w:szCs w:val="24"/>
          <w:shd w:val="clear" w:color="auto" w:fill="ffffff"/>
        </w:rPr>
        <w:t xml:space="preserve">者解释疫苗的作用、可能的不良反应以及注意事项。</w:t>
      </w:r>
      <w:r/>
    </w:p>
    <w:p>
      <w:pPr>
        <w:pStyle w:val="730"/>
        <w:numPr>
          <w:ilvl w:val="0"/>
          <w:numId w:val="0"/>
        </w:numPr>
        <w:ind w:left="0" w:right="0" w:firstLine="480"/>
        <w:keepLines w:val="0"/>
        <w:keepNext w:val="0"/>
        <w:pageBreakBefore w:val="0"/>
        <w:spacing w:before="0" w:beforeAutospacing="0" w:after="0" w:afterAutospacing="0" w:line="360" w:lineRule="exact"/>
        <w:widowControl/>
        <w:rPr>
          <w:rStyle w:val="735"/>
          <w:rFonts w:hint="eastAsia" w:ascii="宋体" w:hAnsi="宋体" w:eastAsia="宋体" w:cs="宋体"/>
          <w:b w:val="0"/>
          <w:bCs/>
          <w:sz w:val="24"/>
          <w:szCs w:val="24"/>
          <w:lang w:eastAsia="zh-CN"/>
        </w:rPr>
        <w:pBdr>
          <w:top w:val="none" w:color="auto" w:sz="0" w:space="0"/>
          <w:left w:val="none" w:color="auto" w:sz="0" w:space="0"/>
          <w:bottom w:val="none" w:color="auto" w:sz="0" w:space="0"/>
          <w:right w:val="none" w:color="auto" w:sz="0" w:space="0"/>
        </w:pBdr>
        <w:suppressLineNumbers w:val="0"/>
      </w:pPr>
      <w:r>
        <w:rPr>
          <w:rStyle w:val="735"/>
          <w:rFonts w:hint="eastAsia" w:ascii="宋体" w:hAnsi="宋体" w:eastAsia="宋体" w:cs="宋体"/>
          <w:b w:val="0"/>
          <w:bCs/>
          <w:sz w:val="24"/>
          <w:szCs w:val="24"/>
          <w:lang w:val="en-US" w:eastAsia="zh-CN"/>
        </w:rPr>
        <w:t xml:space="preserve">3.3、</w:t>
      </w:r>
      <w:r>
        <w:rPr>
          <w:rStyle w:val="735"/>
          <w:rFonts w:hint="eastAsia" w:ascii="宋体" w:hAnsi="宋体" w:eastAsia="宋体" w:cs="宋体"/>
          <w:b w:val="0"/>
          <w:bCs/>
          <w:sz w:val="24"/>
          <w:szCs w:val="24"/>
          <w:lang w:eastAsia="zh-CN"/>
        </w:rPr>
        <w:t xml:space="preserve">预防接种健康处方的使用流程</w:t>
      </w:r>
      <w:r/>
    </w:p>
    <w:p>
      <w:pPr>
        <w:pStyle w:val="730"/>
        <w:ind w:right="0" w:firstLine="496"/>
        <w:jc w:val="both"/>
        <w:keepLines w:val="0"/>
        <w:keepNext w:val="0"/>
        <w:pageBreakBefore w:val="0"/>
        <w:spacing w:before="0" w:beforeAutospacing="0" w:after="0" w:afterAutospacing="0" w:line="360" w:lineRule="exact"/>
        <w:shd w:val="clear" w:color="auto" w:fill="ffffff"/>
        <w:widowControl/>
        <w:rPr>
          <w:rFonts w:hint="eastAsia" w:ascii="宋体" w:hAnsi="宋体" w:eastAsia="宋体" w:cs="宋体"/>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spacing w:val="4"/>
          <w:sz w:val="24"/>
          <w:szCs w:val="24"/>
          <w:shd w:val="clear" w:color="auto" w:fill="ffffff"/>
          <w:lang w:val="en-US" w:eastAsia="zh-CN"/>
        </w:rPr>
        <w:t xml:space="preserve">3.3.1、</w:t>
      </w:r>
      <w:r>
        <w:rPr>
          <w:rFonts w:hint="eastAsia" w:ascii="宋体" w:hAnsi="宋体" w:eastAsia="宋体" w:cs="宋体"/>
          <w:b w:val="0"/>
          <w:bCs w:val="0"/>
          <w:i w:val="0"/>
          <w:iCs w:val="0"/>
          <w:caps w:val="0"/>
          <w:spacing w:val="4"/>
          <w:sz w:val="24"/>
          <w:szCs w:val="24"/>
          <w:shd w:val="clear" w:color="auto" w:fill="ffffff"/>
          <w:lang w:eastAsia="zh-CN"/>
        </w:rPr>
        <w:t xml:space="preserve">医疗机构临床科室开具预防接种健康处方→就诊对象根据健康处方信息，选择预防接种门诊预约接种→预防接种门诊对来诊对象，按成人疫苗接种规范流程（询问诊→照缴费→登记→接种→留观）实施接种服务。</w:t>
      </w:r>
      <w:r/>
    </w:p>
    <w:p>
      <w:pPr>
        <w:ind w:firstLine="562"/>
        <w:keepLines w:val="0"/>
        <w:keepNext w:val="0"/>
        <w:pageBreakBefore w:val="0"/>
        <w:spacing w:line="440" w:lineRule="exact"/>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4、门急诊诊疗信息页</w:t>
      </w:r>
      <w:r/>
    </w:p>
    <w:p>
      <w:pPr>
        <w:pStyle w:val="720"/>
        <w:ind w:firstLine="480"/>
        <w:keepLines w:val="0"/>
        <w:keepNext w:val="0"/>
        <w:pageBreakBefore w:val="0"/>
        <w:spacing w:before="0"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i w:val="0"/>
          <w:iCs w:val="0"/>
          <w:caps w:val="0"/>
          <w:color w:val="auto"/>
          <w:spacing w:val="0"/>
          <w:sz w:val="24"/>
          <w:szCs w:val="24"/>
          <w:highlight w:val="none"/>
          <w:shd w:val="clear" w:color="auto" w:fill="ffffff"/>
          <w:lang w:val="en-US" w:eastAsia="zh-CN"/>
        </w:rPr>
        <w:t xml:space="preserve">4.1、</w:t>
      </w:r>
      <w:r>
        <w:rPr>
          <w:rFonts w:hint="eastAsia" w:ascii="宋体" w:hAnsi="宋体" w:eastAsia="宋体" w:cs="宋体"/>
          <w:color w:val="auto"/>
          <w:sz w:val="24"/>
          <w:szCs w:val="24"/>
          <w:highlight w:val="none"/>
          <w:lang w:val="en-US" w:eastAsia="zh-CN"/>
        </w:rPr>
        <w:t xml:space="preserve">门(急)诊诊疗信息采集患者基本信息采集；</w:t>
      </w:r>
      <w:r/>
    </w:p>
    <w:p>
      <w:pPr>
        <w:pStyle w:val="720"/>
        <w:ind w:firstLine="480"/>
        <w:keepLines w:val="0"/>
        <w:keepNext w:val="0"/>
        <w:pageBreakBefore w:val="0"/>
        <w:spacing w:before="0"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i w:val="0"/>
          <w:iCs w:val="0"/>
          <w:caps w:val="0"/>
          <w:color w:val="auto"/>
          <w:spacing w:val="0"/>
          <w:sz w:val="24"/>
          <w:szCs w:val="24"/>
          <w:highlight w:val="none"/>
          <w:shd w:val="clear" w:color="auto" w:fill="ffffff"/>
          <w:lang w:val="en-US" w:eastAsia="zh-CN"/>
        </w:rPr>
        <w:t xml:space="preserve">4.2、</w:t>
      </w:r>
      <w:r>
        <w:rPr>
          <w:rFonts w:hint="eastAsia" w:ascii="宋体" w:hAnsi="宋体" w:eastAsia="宋体" w:cs="宋体"/>
          <w:color w:val="auto"/>
          <w:sz w:val="24"/>
          <w:szCs w:val="24"/>
          <w:highlight w:val="none"/>
          <w:lang w:val="en-US" w:eastAsia="zh-CN"/>
        </w:rPr>
        <w:t xml:space="preserve">患者门(急)诊就诊过程信息采集；</w:t>
      </w:r>
      <w:r/>
    </w:p>
    <w:p>
      <w:pPr>
        <w:pStyle w:val="720"/>
        <w:ind w:firstLine="480"/>
        <w:keepLines w:val="0"/>
        <w:keepNext w:val="0"/>
        <w:pageBreakBefore w:val="0"/>
        <w:spacing w:before="0"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i w:val="0"/>
          <w:iCs w:val="0"/>
          <w:caps w:val="0"/>
          <w:color w:val="auto"/>
          <w:spacing w:val="0"/>
          <w:sz w:val="24"/>
          <w:szCs w:val="24"/>
          <w:highlight w:val="none"/>
          <w:shd w:val="clear" w:color="auto" w:fill="ffffff"/>
          <w:lang w:val="en-US" w:eastAsia="zh-CN"/>
        </w:rPr>
        <w:t xml:space="preserve">4.3、</w:t>
      </w:r>
      <w:r>
        <w:rPr>
          <w:rFonts w:hint="eastAsia" w:ascii="宋体" w:hAnsi="宋体" w:eastAsia="宋体" w:cs="宋体"/>
          <w:color w:val="auto"/>
          <w:sz w:val="24"/>
          <w:szCs w:val="24"/>
          <w:highlight w:val="none"/>
          <w:lang w:val="en-US" w:eastAsia="zh-CN"/>
        </w:rPr>
        <w:t xml:space="preserve">门(急)诊费用信息采集；</w:t>
      </w:r>
      <w:r/>
    </w:p>
    <w:p>
      <w:pPr>
        <w:pStyle w:val="720"/>
        <w:ind w:firstLine="480"/>
        <w:keepLines w:val="0"/>
        <w:keepNext w:val="0"/>
        <w:pageBreakBefore w:val="0"/>
        <w:spacing w:before="0"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i w:val="0"/>
          <w:iCs w:val="0"/>
          <w:caps w:val="0"/>
          <w:color w:val="auto"/>
          <w:spacing w:val="0"/>
          <w:sz w:val="24"/>
          <w:szCs w:val="24"/>
          <w:highlight w:val="none"/>
          <w:shd w:val="clear" w:color="auto" w:fill="ffffff"/>
          <w:lang w:val="en-US" w:eastAsia="zh-CN"/>
        </w:rPr>
        <w:t xml:space="preserve">4.4、</w:t>
      </w:r>
      <w:r>
        <w:rPr>
          <w:rFonts w:hint="eastAsia" w:ascii="宋体" w:hAnsi="宋体" w:eastAsia="宋体" w:cs="宋体"/>
          <w:color w:val="auto"/>
          <w:sz w:val="24"/>
          <w:szCs w:val="24"/>
          <w:highlight w:val="none"/>
          <w:lang w:val="en-US" w:eastAsia="zh-CN"/>
        </w:rPr>
        <w:t xml:space="preserve">门(急)诊病例信息采集；</w:t>
      </w:r>
      <w:r/>
    </w:p>
    <w:p>
      <w:pPr>
        <w:pStyle w:val="720"/>
        <w:ind w:firstLine="480"/>
        <w:keepLines w:val="0"/>
        <w:keepNext w:val="0"/>
        <w:pageBreakBefore w:val="0"/>
        <w:spacing w:before="0"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i w:val="0"/>
          <w:iCs w:val="0"/>
          <w:caps w:val="0"/>
          <w:color w:val="auto"/>
          <w:spacing w:val="0"/>
          <w:sz w:val="24"/>
          <w:szCs w:val="24"/>
          <w:highlight w:val="none"/>
          <w:shd w:val="clear" w:color="auto" w:fill="ffffff"/>
          <w:lang w:val="en-US" w:eastAsia="zh-CN"/>
        </w:rPr>
        <w:t xml:space="preserve">4.5、</w:t>
      </w:r>
      <w:r>
        <w:rPr>
          <w:rFonts w:hint="eastAsia" w:ascii="宋体" w:hAnsi="宋体" w:eastAsia="宋体" w:cs="宋体"/>
          <w:color w:val="auto"/>
          <w:sz w:val="24"/>
          <w:szCs w:val="24"/>
          <w:highlight w:val="none"/>
          <w:lang w:val="en-US" w:eastAsia="zh-CN"/>
        </w:rPr>
        <w:t xml:space="preserve">门(急)诊手术操作信息采集等。</w:t>
      </w:r>
      <w:r/>
    </w:p>
    <w:p>
      <w:pPr>
        <w:pStyle w:val="720"/>
        <w:ind w:firstLine="480"/>
        <w:keepLines w:val="0"/>
        <w:keepNext w:val="0"/>
        <w:pageBreakBefore w:val="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4.6、满足国家卫健委《门(急)诊诊疗信息页质量管理规定(试行)》(国卫办医政发[2024]16号)、《关于开展门(急)诊诊疗信息数据报告有关工作的通知》(国卫医政医疗便函[2024]197号)相关要求。</w:t>
      </w:r>
      <w:r/>
    </w:p>
    <w:p>
      <w:pPr>
        <w:pStyle w:val="720"/>
        <w:ind w:firstLine="480"/>
        <w:keepLines w:val="0"/>
        <w:keepNext w:val="0"/>
        <w:pageBreakBefore w:val="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▲4.7、门急诊诊疗信息首页显示执行次数；</w:t>
      </w:r>
      <w:r/>
    </w:p>
    <w:p>
      <w:pPr>
        <w:pStyle w:val="720"/>
        <w:ind w:firstLine="480"/>
        <w:keepLines w:val="0"/>
        <w:keepNext w:val="0"/>
        <w:pageBreakBefore w:val="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4.8、按时间段查询诊疗记录；</w:t>
      </w:r>
      <w:r/>
    </w:p>
    <w:p>
      <w:pPr>
        <w:pStyle w:val="720"/>
        <w:ind w:firstLine="480"/>
        <w:keepLines w:val="0"/>
        <w:keepNext w:val="0"/>
        <w:pageBreakBefore w:val="0"/>
        <w:spacing w:line="360" w:lineRule="exact"/>
        <w:rPr>
          <w:rFonts w:hint="eastAsia" w:ascii="宋体" w:hAnsi="宋体" w:eastAsia="宋体" w:cs="宋体"/>
          <w:sz w:val="24"/>
          <w:szCs w:val="24"/>
          <w:lang w:val="en-US" w:eastAsia="zh-CN"/>
        </w:rPr>
      </w:pPr>
      <w:r>
        <w:rPr>
          <w:rFonts w:hint="eastAsia" w:ascii="宋体" w:hAnsi="宋体" w:eastAsia="宋体" w:cs="宋体"/>
          <w:color w:val="auto"/>
          <w:sz w:val="24"/>
          <w:szCs w:val="24"/>
          <w:highlight w:val="none"/>
          <w:lang w:val="en-US" w:eastAsia="zh-CN"/>
        </w:rPr>
        <w:t xml:space="preserve">▲4.9、诊疗信息中显示就诊科室、接诊医师、接诊医师职称。</w:t>
      </w:r>
      <w:r/>
    </w:p>
    <w:p>
      <w:pPr>
        <w:ind w:firstLine="562"/>
        <w:keepLines w:val="0"/>
        <w:keepNext w:val="0"/>
        <w:pageBreakBefore w:val="0"/>
        <w:spacing w:line="440" w:lineRule="exact"/>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5、转介功能改造</w:t>
      </w:r>
      <w:r/>
    </w:p>
    <w:p>
      <w:pPr>
        <w:pStyle w:val="720"/>
        <w:ind w:right="0" w:firstLine="480"/>
        <w:keepLines w:val="0"/>
        <w:keepNext w:val="0"/>
        <w:pageBreakBefore w:val="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门诊或者住院点击转介按钮进行登记，然后填写具体信息和转介的科室，打印单子。具体分以下几种情况：</w:t>
      </w:r>
      <w:r/>
    </w:p>
    <w:p>
      <w:pPr>
        <w:pStyle w:val="720"/>
        <w:ind w:right="0" w:firstLine="480"/>
        <w:keepLines w:val="0"/>
        <w:keepNext w:val="0"/>
        <w:pageBreakBefore w:val="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5.1、门诊转介到住院,登记后到科室后进行接收；</w:t>
      </w:r>
      <w:r/>
    </w:p>
    <w:p>
      <w:pPr>
        <w:pStyle w:val="720"/>
        <w:ind w:right="0" w:firstLine="480"/>
        <w:keepLines w:val="0"/>
        <w:keepNext w:val="0"/>
        <w:pageBreakBefore w:val="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5.2、住院转介到门诊，门诊查询到患者后进行免费挂号并接收；</w:t>
      </w:r>
      <w:r/>
    </w:p>
    <w:p>
      <w:pPr>
        <w:pStyle w:val="720"/>
        <w:ind w:right="0" w:firstLine="480"/>
        <w:keepLines w:val="0"/>
        <w:keepNext w:val="0"/>
        <w:pageBreakBefore w:val="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5.3、门诊到门诊的转介，门诊医生点击按钮后，弹出窗口进行填写信息及转介科室，打印单据，然后填写专科申请,然后到介绍科室后医生查询转介患者。</w:t>
      </w:r>
      <w:r/>
    </w:p>
    <w:p>
      <w:pPr>
        <w:ind w:firstLine="562"/>
        <w:spacing w:line="52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lang w:val="en-US" w:eastAsia="zh-CN"/>
        </w:rPr>
        <w:t xml:space="preserve">二、</w:t>
      </w:r>
      <w:r>
        <w:rPr>
          <w:rFonts w:hint="eastAsia" w:ascii="宋体" w:hAnsi="宋体" w:eastAsia="宋体" w:cs="宋体"/>
          <w:b/>
          <w:bCs/>
          <w:color w:val="000000"/>
          <w:sz w:val="28"/>
          <w:szCs w:val="28"/>
          <w:highlight w:val="none"/>
        </w:rPr>
        <w:t xml:space="preserve">商务要求</w:t>
      </w:r>
      <w:r/>
    </w:p>
    <w:p>
      <w:pPr>
        <w:pStyle w:val="894"/>
        <w:ind w:firstLine="482"/>
        <w:spacing w:line="36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1、报价要求</w:t>
      </w:r>
      <w:r/>
    </w:p>
    <w:p>
      <w:pPr>
        <w:pStyle w:val="894"/>
        <w:ind w:firstLine="480"/>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1.1、</w:t>
      </w:r>
      <w:r>
        <w:rPr>
          <w:rFonts w:hint="eastAsia" w:ascii="宋体" w:hAnsi="宋体" w:cs="宋体"/>
          <w:color w:val="000000"/>
          <w:sz w:val="24"/>
          <w:szCs w:val="24"/>
          <w:highlight w:val="none"/>
        </w:rPr>
        <w:t xml:space="preserve">投标总报价一次报定，包括全部软件、辅材、通讯费、制作、安装、调试、人工、机械、运输、仓储、保险、临时设施、安全措施、维保期内费用、维护费、利润、税金、检测验收等交付使用前的一切费用。投标报价为最终报价，投标人不得再要求追加任何费用。</w:t>
      </w:r>
      <w:r/>
    </w:p>
    <w:p>
      <w:pPr>
        <w:pStyle w:val="894"/>
        <w:ind w:firstLine="480"/>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1.2、</w:t>
      </w:r>
      <w:r>
        <w:rPr>
          <w:rFonts w:hint="eastAsia" w:ascii="宋体" w:hAnsi="宋体" w:cs="宋体"/>
          <w:color w:val="000000"/>
          <w:sz w:val="24"/>
          <w:szCs w:val="24"/>
          <w:highlight w:val="none"/>
        </w:rPr>
        <w:t xml:space="preserve">供应商的任何错漏、优惠、竞争性报价不得作为减轻责任、减少服务、增加收费、降低服务质量的理由。</w:t>
      </w:r>
      <w:r/>
    </w:p>
    <w:p>
      <w:pPr>
        <w:pStyle w:val="894"/>
        <w:ind w:firstLine="480"/>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1.3、</w:t>
      </w:r>
      <w:r>
        <w:rPr>
          <w:rFonts w:hint="eastAsia" w:ascii="宋体" w:hAnsi="宋体" w:cs="宋体"/>
          <w:color w:val="000000"/>
          <w:sz w:val="24"/>
          <w:szCs w:val="24"/>
          <w:highlight w:val="none"/>
        </w:rPr>
        <w:t xml:space="preserve">供应商报价除包含采购文件中列明的项目外还应包括保障服务正常运行应当具有的物资和服务，对服务正常运行应当具有的物资和服务理解不一致的以采购单位理解为准。</w:t>
      </w:r>
      <w:r/>
    </w:p>
    <w:p>
      <w:pPr>
        <w:pStyle w:val="894"/>
        <w:ind w:firstLine="480"/>
        <w:spacing w:line="360" w:lineRule="exact"/>
        <w:rPr>
          <w:rFonts w:hint="eastAsia" w:ascii="宋体" w:hAnsi="宋体" w:cs="宋体"/>
          <w:color w:val="000000"/>
          <w:sz w:val="24"/>
          <w:szCs w:val="24"/>
          <w:highlight w:val="none"/>
          <w:lang w:val="en-US" w:eastAsia="zh-CN"/>
        </w:rPr>
      </w:pPr>
      <w:r>
        <w:rPr>
          <w:rFonts w:hint="eastAsia" w:ascii="宋体" w:hAnsi="宋体" w:eastAsia="宋体" w:cs="宋体"/>
          <w:bCs/>
          <w:sz w:val="24"/>
          <w:lang w:val="en-US" w:eastAsia="zh-CN" w:bidi="ar"/>
        </w:rPr>
        <w:t xml:space="preserve">1.4、</w:t>
      </w:r>
      <w:r>
        <w:rPr>
          <w:rFonts w:hint="eastAsia" w:ascii="宋体" w:hAnsi="宋体" w:eastAsia="宋体" w:cs="宋体"/>
          <w:bCs/>
          <w:sz w:val="24"/>
          <w:lang w:bidi="ar"/>
        </w:rPr>
        <w:t xml:space="preserve">本项目报价包含但不限于前期咨询费，前期咨询费</w:t>
      </w:r>
      <w:r>
        <w:rPr>
          <w:rFonts w:hint="eastAsia" w:ascii="宋体" w:hAnsi="宋体" w:eastAsia="宋体" w:cs="宋体"/>
          <w:bCs/>
          <w:sz w:val="24"/>
          <w:lang w:val="en-US" w:eastAsia="zh-CN" w:bidi="ar"/>
        </w:rPr>
        <w:t xml:space="preserve">4000元</w:t>
      </w:r>
      <w:r>
        <w:rPr>
          <w:rFonts w:hint="eastAsia" w:ascii="宋体" w:hAnsi="宋体" w:eastAsia="宋体" w:cs="宋体"/>
          <w:bCs/>
          <w:sz w:val="24"/>
          <w:lang w:bidi="ar"/>
        </w:rPr>
        <w:t xml:space="preserve">，该费用折算在报价中，在报价单中不单独列明。中标人在中标公告公示后七个工作日内一次性缴纳。报价含项目成果交付前一切费用。</w:t>
      </w:r>
      <w:r/>
    </w:p>
    <w:p>
      <w:pPr>
        <w:pStyle w:val="894"/>
        <w:ind w:firstLine="482"/>
        <w:spacing w:line="36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2</w:t>
      </w:r>
      <w:r>
        <w:rPr>
          <w:rFonts w:hint="eastAsia" w:ascii="宋体" w:hAnsi="宋体" w:cs="宋体"/>
          <w:b/>
          <w:bCs/>
          <w:color w:val="000000"/>
          <w:sz w:val="24"/>
          <w:szCs w:val="24"/>
          <w:highlight w:val="none"/>
        </w:rPr>
        <w:t xml:space="preserve">、</w:t>
      </w:r>
      <w:r>
        <w:rPr>
          <w:rFonts w:hint="eastAsia" w:ascii="宋体" w:hAnsi="宋体" w:cs="宋体"/>
          <w:b/>
          <w:bCs/>
          <w:color w:val="000000"/>
          <w:sz w:val="24"/>
          <w:szCs w:val="24"/>
          <w:highlight w:val="none"/>
          <w:lang w:val="en-US" w:eastAsia="zh-CN"/>
        </w:rPr>
        <w:t xml:space="preserve">交货</w:t>
      </w:r>
      <w:r>
        <w:rPr>
          <w:rFonts w:hint="eastAsia" w:ascii="宋体" w:hAnsi="宋体" w:cs="宋体"/>
          <w:b/>
          <w:bCs/>
          <w:color w:val="000000"/>
          <w:sz w:val="24"/>
          <w:szCs w:val="24"/>
          <w:highlight w:val="none"/>
          <w:lang w:val="en-US" w:eastAsia="zh-CN" w:bidi="ar-SA"/>
        </w:rPr>
        <w:t xml:space="preserve">期限</w:t>
      </w:r>
      <w:r>
        <w:rPr>
          <w:rFonts w:hint="eastAsia" w:ascii="宋体" w:hAnsi="宋体" w:cs="宋体"/>
          <w:b/>
          <w:bCs/>
          <w:color w:val="000000"/>
          <w:sz w:val="24"/>
          <w:szCs w:val="24"/>
          <w:highlight w:val="none"/>
        </w:rPr>
        <w:t xml:space="preserve">和地点</w:t>
      </w:r>
      <w:r/>
    </w:p>
    <w:p>
      <w:pPr>
        <w:pStyle w:val="894"/>
        <w:ind w:firstLine="480"/>
        <w:spacing w:line="36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2.1、合同履行期限：合同签订后，90天内完成。</w:t>
      </w:r>
      <w:r/>
    </w:p>
    <w:p>
      <w:pPr>
        <w:pStyle w:val="894"/>
        <w:ind w:firstLine="480"/>
        <w:spacing w:line="36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2.2、履约地点：射阳县妇幼保健院指定地点。</w:t>
      </w:r>
      <w:r/>
    </w:p>
    <w:p>
      <w:pPr>
        <w:pStyle w:val="894"/>
        <w:ind w:firstLine="482"/>
        <w:spacing w:line="36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3、售后服务要求</w:t>
      </w:r>
      <w:r/>
    </w:p>
    <w:p>
      <w:pPr>
        <w:pStyle w:val="894"/>
        <w:ind w:firstLine="480"/>
        <w:spacing w:line="3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3.1、中标人应对该项目提供1年免费维护保障服务。</w:t>
      </w:r>
      <w:r/>
    </w:p>
    <w:p>
      <w:pPr>
        <w:pStyle w:val="894"/>
        <w:ind w:firstLine="480"/>
        <w:spacing w:line="3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3.2、在系统安装调试并经验收合格后，中标人需要为采购方的相关人员提供系统应用技术和操作方面的培训。</w:t>
      </w:r>
      <w:r/>
    </w:p>
    <w:p>
      <w:pPr>
        <w:pStyle w:val="894"/>
        <w:ind w:firstLine="480"/>
        <w:jc w:val="left"/>
        <w:spacing w:line="360" w:lineRule="exact"/>
        <w:widowControl/>
        <w:rPr>
          <w:rFonts w:hint="eastAsia" w:ascii="宋体" w:hAnsi="宋体" w:eastAsia="宋体" w:cs="宋体"/>
          <w:b/>
          <w:sz w:val="28"/>
          <w:szCs w:val="28"/>
          <w:lang w:bidi="ar"/>
        </w:rPr>
        <w:outlineLvl w:val="0"/>
      </w:pPr>
      <w:r>
        <w:rPr>
          <w:rFonts w:hint="eastAsia" w:ascii="宋体" w:hAnsi="宋体" w:eastAsia="宋体" w:cs="宋体"/>
          <w:color w:val="000000"/>
          <w:sz w:val="24"/>
          <w:szCs w:val="24"/>
          <w:highlight w:val="none"/>
          <w:lang w:val="en-US" w:eastAsia="zh-CN"/>
        </w:rPr>
        <w:t xml:space="preserve">3.3、本项目为交钥匙工程，本项目系统所需与操作系统、其它软件及设备的数据接口由中标人自行负责。采购人不再向中标人支付相应系统改造和接口调试等相关费用。 </w:t>
      </w:r>
      <w:r/>
    </w:p>
    <w:p>
      <w:pPr>
        <w:ind w:firstLine="567"/>
        <w:jc w:val="left"/>
        <w:spacing w:line="520" w:lineRule="exact"/>
        <w:widowControl/>
        <w:rPr>
          <w:rFonts w:hint="default" w:ascii="宋体" w:hAnsi="宋体" w:eastAsia="宋体" w:cs="宋体"/>
          <w:sz w:val="24"/>
          <w:lang w:val="en-US" w:eastAsia="zh-CN"/>
        </w:rPr>
        <w:outlineLvl w:val="0"/>
      </w:pPr>
      <w:r>
        <w:rPr>
          <w:rFonts w:hint="eastAsia" w:ascii="宋体" w:hAnsi="宋体" w:eastAsia="宋体" w:cs="宋体"/>
          <w:b/>
          <w:sz w:val="28"/>
          <w:szCs w:val="28"/>
          <w:lang w:eastAsia="zh-CN" w:bidi="ar"/>
        </w:rPr>
        <w:t xml:space="preserve">三</w:t>
      </w:r>
      <w:r>
        <w:rPr>
          <w:rFonts w:hint="eastAsia" w:ascii="宋体" w:hAnsi="宋体" w:eastAsia="宋体" w:cs="宋体"/>
          <w:b/>
          <w:sz w:val="28"/>
          <w:szCs w:val="28"/>
          <w:lang w:bidi="ar"/>
        </w:rPr>
        <w:t xml:space="preserve">、</w:t>
      </w:r>
      <w:r>
        <w:rPr>
          <w:rFonts w:hint="eastAsia" w:ascii="宋体" w:hAnsi="宋体" w:eastAsia="宋体" w:cs="宋体"/>
          <w:b/>
          <w:sz w:val="28"/>
          <w:szCs w:val="28"/>
          <w:lang w:val="en-US" w:eastAsia="zh-CN" w:bidi="ar"/>
        </w:rPr>
        <w:t xml:space="preserve">项目实施与服务保障要求</w:t>
      </w:r>
      <w:r/>
    </w:p>
    <w:p>
      <w:pPr>
        <w:ind w:firstLine="480"/>
        <w:jc w:val="left"/>
        <w:spacing w:line="360" w:lineRule="exact"/>
        <w:widowControl/>
        <w:rPr>
          <w:rFonts w:hint="eastAsia" w:ascii="宋体" w:hAnsi="宋体" w:eastAsia="宋体" w:cs="宋体"/>
          <w:sz w:val="24"/>
          <w14:ligatures w14:val="standardContextual"/>
        </w:rPr>
      </w:pPr>
      <w:r>
        <w:rPr>
          <w:rFonts w:hint="eastAsia" w:ascii="宋体" w:hAnsi="宋体" w:eastAsia="宋体" w:cs="宋体"/>
          <w:sz w:val="24"/>
          <w:lang w:val="en-US" w:eastAsia="zh-CN"/>
        </w:rPr>
        <w:t xml:space="preserve">1、</w:t>
      </w:r>
      <w:r>
        <w:rPr>
          <w:rFonts w:hint="eastAsia" w:asciiTheme="minorEastAsia" w:hAnsiTheme="minorEastAsia" w:cstheme="minorEastAsia"/>
          <w:color w:val="000000" w:themeColor="text1"/>
          <w:sz w:val="24"/>
          <w14:textFill>
            <w14:solidFill>
              <w14:schemeClr w14:val="tx1"/>
            </w14:solidFill>
          </w14:textFill>
        </w:rPr>
        <w:t xml:space="preserve">投标人须提供详细完整的项目实施方案</w:t>
      </w:r>
      <w:r>
        <w:rPr>
          <w:rFonts w:hint="eastAsia" w:ascii="宋体" w:hAnsi="宋体" w:cs="宋体"/>
          <w:sz w:val="24"/>
        </w:rPr>
        <w:t xml:space="preserve">，包括但不限于</w:t>
      </w:r>
      <w:r>
        <w:rPr>
          <w:rFonts w:hint="eastAsia" w:asciiTheme="minorEastAsia" w:hAnsiTheme="minorEastAsia" w:cstheme="minorEastAsia"/>
          <w:color w:val="000000" w:themeColor="text1"/>
          <w:sz w:val="24"/>
          <w14:textFill>
            <w14:solidFill>
              <w14:schemeClr w14:val="tx1"/>
            </w14:solidFill>
          </w14:textFill>
        </w:rPr>
        <w:t xml:space="preserve">进度安排、组织架构、进度控制、风险控制管理、质量保障措施、安全管理措施、文档管理措施等，确保项目目标实现。    </w:t>
      </w:r>
      <w:r/>
    </w:p>
    <w:p>
      <w:pPr>
        <w:ind w:firstLine="480"/>
        <w:spacing w:line="360" w:lineRule="exact"/>
        <w:rPr>
          <w:rFonts w:hint="eastAsia" w:ascii="宋体" w:hAnsi="宋体" w:eastAsia="宋体" w:cs="宋体"/>
          <w:sz w:val="24"/>
        </w:rPr>
      </w:pPr>
      <w:r>
        <w:rPr>
          <w:rFonts w:hint="eastAsia" w:ascii="宋体" w:hAnsi="宋体" w:eastAsia="宋体" w:cs="宋体"/>
          <w:sz w:val="24"/>
          <w:lang w:val="en-US" w:eastAsia="zh-CN"/>
        </w:rPr>
        <w:t xml:space="preserve">2、</w:t>
      </w:r>
      <w:r>
        <w:rPr>
          <w:rFonts w:hint="eastAsia" w:ascii="宋体" w:hAnsi="宋体" w:eastAsia="宋体" w:cs="宋体"/>
          <w:sz w:val="24"/>
        </w:rPr>
        <w:t xml:space="preserve">投标人须提供详细完整的集成方案，包括但不限于用户现状、项目建设需求、整合计划等等，确保项目保质保量、安全有序实施。</w:t>
      </w:r>
      <w:r/>
    </w:p>
    <w:p>
      <w:pPr>
        <w:ind w:firstLine="480"/>
        <w:spacing w:line="360" w:lineRule="exact"/>
        <w:rPr>
          <w:rFonts w:hint="eastAsia" w:ascii="宋体" w:hAnsi="宋体" w:eastAsia="宋体" w:cs="宋体"/>
          <w:sz w:val="24"/>
        </w:rPr>
      </w:pPr>
      <w:r>
        <w:rPr>
          <w:rFonts w:hint="eastAsia" w:ascii="宋体" w:hAnsi="宋体" w:eastAsia="宋体" w:cs="宋体"/>
          <w:sz w:val="24"/>
          <w:lang w:val="en-US" w:eastAsia="zh-CN"/>
        </w:rPr>
        <w:t xml:space="preserve">3、</w:t>
      </w:r>
      <w:r>
        <w:rPr>
          <w:rFonts w:hint="eastAsia" w:ascii="宋体" w:hAnsi="宋体" w:eastAsia="宋体" w:cs="宋体"/>
          <w:sz w:val="24"/>
        </w:rPr>
        <w:t xml:space="preserve">投标人须提供详细完整的项目售后服务方案，包括但不限于服务流程、服务具体内容、响应时间、服务人员配备等，确保项目售后有保障。</w:t>
      </w:r>
      <w:r/>
    </w:p>
    <w:p>
      <w:pPr>
        <w:ind w:firstLine="480"/>
        <w:spacing w:line="360" w:lineRule="exact"/>
        <w:rPr>
          <w:rFonts w:hint="eastAsia" w:ascii="宋体" w:hAnsi="宋体" w:eastAsia="宋体" w:cs="宋体"/>
          <w:b w:val="0"/>
          <w:bCs w:val="0"/>
          <w:sz w:val="24"/>
          <w:lang w:val="en-US" w:eastAsia="zh-CN"/>
        </w:rPr>
        <w:outlineLvl w:val="9"/>
      </w:pPr>
      <w:r>
        <w:rPr>
          <w:rFonts w:hint="eastAsia" w:ascii="宋体" w:hAnsi="宋体" w:eastAsia="宋体" w:cs="宋体"/>
          <w:b w:val="0"/>
          <w:bCs w:val="0"/>
          <w:sz w:val="24"/>
          <w:lang w:val="en-US" w:eastAsia="zh-CN"/>
        </w:rPr>
        <w:t xml:space="preserve">4、</w:t>
      </w:r>
      <w:r>
        <w:rPr>
          <w:rFonts w:hint="eastAsia" w:ascii="宋体" w:hAnsi="宋体" w:eastAsia="宋体" w:cs="宋体"/>
          <w:b w:val="0"/>
          <w:bCs w:val="0"/>
          <w:sz w:val="24"/>
        </w:rPr>
        <w:t xml:space="preserve">投标人须提供详细完整的</w:t>
      </w:r>
      <w:r>
        <w:rPr>
          <w:rFonts w:hint="eastAsia" w:ascii="宋体" w:hAnsi="宋体" w:eastAsia="宋体" w:cs="宋体"/>
          <w:b w:val="0"/>
          <w:bCs w:val="0"/>
          <w:sz w:val="24"/>
          <w:lang w:val="en-US" w:eastAsia="zh-CN"/>
        </w:rPr>
        <w:t xml:space="preserve">项目</w:t>
      </w:r>
      <w:r>
        <w:rPr>
          <w:rFonts w:hint="eastAsia" w:ascii="宋体" w:hAnsi="宋体" w:eastAsia="宋体" w:cs="宋体"/>
          <w:b w:val="0"/>
          <w:bCs w:val="0"/>
          <w:sz w:val="24"/>
        </w:rPr>
        <w:t xml:space="preserve">培训方案</w:t>
      </w:r>
      <w:r>
        <w:rPr>
          <w:rFonts w:hint="eastAsia" w:ascii="宋体" w:hAnsi="宋体" w:eastAsia="宋体" w:cs="宋体"/>
          <w:b w:val="0"/>
          <w:bCs w:val="0"/>
          <w:sz w:val="24"/>
          <w:lang w:eastAsia="zh-CN"/>
        </w:rPr>
        <w:t xml:space="preserve">，包括但不限于</w:t>
      </w:r>
      <w:r>
        <w:rPr>
          <w:rFonts w:hint="eastAsia" w:ascii="宋体" w:hAnsi="宋体" w:eastAsia="宋体" w:cs="宋体"/>
          <w:b w:val="0"/>
          <w:bCs w:val="0"/>
          <w:sz w:val="24"/>
        </w:rPr>
        <w:t xml:space="preserve">培训计划、培训师资力量、培训内容等</w:t>
      </w:r>
      <w:r>
        <w:rPr>
          <w:rFonts w:hint="eastAsia" w:ascii="宋体" w:hAnsi="宋体" w:eastAsia="宋体" w:cs="宋体"/>
          <w:b w:val="0"/>
          <w:bCs w:val="0"/>
          <w:sz w:val="24"/>
          <w:lang w:eastAsia="zh-CN"/>
        </w:rPr>
        <w:t xml:space="preserve">，确保项目</w:t>
      </w:r>
      <w:r>
        <w:rPr>
          <w:rFonts w:hint="eastAsia" w:ascii="宋体" w:hAnsi="宋体" w:eastAsia="宋体" w:cs="宋体"/>
          <w:b w:val="0"/>
          <w:bCs w:val="0"/>
          <w:sz w:val="24"/>
          <w:lang w:val="en-US" w:eastAsia="zh-CN"/>
        </w:rPr>
        <w:t xml:space="preserve">高效推进，风险可控。</w:t>
      </w:r>
      <w:r/>
    </w:p>
    <w:p>
      <w:pPr>
        <w:ind w:firstLine="480"/>
        <w:spacing w:line="360" w:lineRule="exact"/>
        <w:rPr>
          <w:rFonts w:hint="default" w:ascii="宋体" w:hAnsi="宋体" w:eastAsia="宋体" w:cs="宋体"/>
          <w:sz w:val="24"/>
          <w:lang w:val="en-US" w:eastAsia="zh-CN"/>
        </w:rPr>
      </w:pPr>
      <w:r>
        <w:rPr>
          <w:rFonts w:hint="eastAsia" w:ascii="宋体" w:hAnsi="宋体" w:eastAsia="宋体" w:cs="宋体"/>
          <w:sz w:val="24"/>
          <w:lang w:val="en-US" w:eastAsia="zh-CN"/>
        </w:rPr>
        <w:t xml:space="preserve">5、投标人须提供详细完整的应急方案，包括但不限于应急目标、应急策略、应急场景解决方案、应急响应机制等，确保项目在突发情况下能安全、稳定、顺利推进和完成。</w:t>
      </w:r>
      <w:r/>
    </w:p>
    <w:p>
      <w:pPr>
        <w:ind w:left="239" w:firstLine="309"/>
        <w:spacing w:line="360" w:lineRule="exact"/>
        <w:rPr>
          <w:rFonts w:hint="eastAsia" w:ascii="宋体" w:hAnsi="宋体" w:eastAsia="宋体" w:cs="宋体"/>
          <w:sz w:val="24"/>
          <w:lang w:val="en-US" w:eastAsia="zh-CN"/>
        </w:rPr>
      </w:pPr>
      <w:r>
        <w:rPr>
          <w:rFonts w:hint="eastAsia" w:ascii="宋体" w:hAnsi="宋体" w:eastAsia="宋体" w:cs="宋体"/>
          <w:b w:val="0"/>
          <w:bCs w:val="0"/>
          <w:sz w:val="24"/>
          <w:lang w:val="en-US" w:eastAsia="zh-CN"/>
        </w:rPr>
        <w:t xml:space="preserve">6、</w:t>
      </w:r>
      <w:r>
        <w:rPr>
          <w:rFonts w:hint="eastAsia" w:ascii="宋体" w:hAnsi="宋体" w:eastAsia="宋体" w:cs="宋体"/>
          <w:sz w:val="24"/>
        </w:rPr>
        <w:t xml:space="preserve">投标人须具有一定的综合实力、人员力量、丰富的项目经验，确保本项目按时按质完成。</w:t>
      </w:r>
      <w:r>
        <w:rPr>
          <w:rFonts w:hint="eastAsia" w:ascii="宋体" w:hAnsi="宋体" w:eastAsia="宋体" w:cs="宋体"/>
          <w:sz w:val="24"/>
          <w:lang w:val="en-US" w:eastAsia="zh-CN"/>
        </w:rPr>
        <w:t xml:space="preserve"> </w:t>
      </w:r>
      <w:r/>
    </w:p>
    <w:p>
      <w:pPr>
        <w:numPr>
          <w:ilvl w:val="-1"/>
          <w:numId w:val="0"/>
        </w:numPr>
        <w:ind w:left="0" w:firstLine="480"/>
        <w:spacing w:line="36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6.1</w:t>
      </w:r>
      <w:r>
        <w:rPr>
          <w:rFonts w:hint="eastAsia" w:ascii="宋体" w:hAnsi="宋体" w:eastAsia="宋体" w:cs="宋体"/>
          <w:sz w:val="24"/>
        </w:rPr>
        <w:t xml:space="preserve">投标人需安排专业人员对接项目，确保沟通顺畅，项目负责人具有具有电子信息高级工程师证书的优先</w:t>
      </w:r>
      <w:r>
        <w:rPr>
          <w:rFonts w:hint="eastAsia" w:ascii="宋体" w:hAnsi="宋体" w:eastAsia="宋体" w:cs="宋体"/>
          <w:sz w:val="24"/>
          <w:lang w:eastAsia="zh-CN"/>
        </w:rPr>
        <w:t xml:space="preserve">；其他项目组成员具有信息安全工程师证书</w:t>
      </w:r>
      <w:r>
        <w:rPr>
          <w:rFonts w:hint="eastAsia" w:ascii="宋体" w:hAnsi="宋体" w:eastAsia="宋体" w:cs="宋体"/>
          <w:sz w:val="24"/>
          <w:lang w:val="en-US" w:eastAsia="zh-CN"/>
        </w:rPr>
        <w:t xml:space="preserve">的</w:t>
      </w:r>
      <w:r>
        <w:rPr>
          <w:rFonts w:hint="eastAsia" w:ascii="宋体" w:hAnsi="宋体" w:eastAsia="宋体" w:cs="宋体"/>
          <w:sz w:val="24"/>
          <w:lang w:eastAsia="zh-CN"/>
        </w:rPr>
        <w:t xml:space="preserve">、具有计算机网络工程师证书的、具有系统集成项目管理工程师证书</w:t>
      </w:r>
      <w:r>
        <w:rPr>
          <w:rFonts w:hint="eastAsia" w:ascii="宋体" w:hAnsi="宋体" w:eastAsia="宋体" w:cs="宋体"/>
          <w:sz w:val="24"/>
          <w:lang w:val="en-US" w:eastAsia="zh-CN"/>
        </w:rPr>
        <w:t xml:space="preserve">的优先；</w:t>
      </w:r>
      <w:r/>
    </w:p>
    <w:p>
      <w:pPr>
        <w:numPr>
          <w:ilvl w:val="-1"/>
          <w:numId w:val="0"/>
        </w:numPr>
        <w:ind w:left="0" w:firstLine="480"/>
        <w:spacing w:line="360" w:lineRule="exact"/>
        <w:rPr>
          <w:rFonts w:hint="eastAsia" w:ascii="宋体" w:hAnsi="宋体" w:eastAsia="宋体" w:cs="宋体"/>
          <w:sz w:val="28"/>
          <w:szCs w:val="28"/>
          <w:lang w:bidi="ar"/>
        </w:rPr>
      </w:pPr>
      <w:r>
        <w:rPr>
          <w:rFonts w:hint="eastAsia" w:ascii="宋体" w:hAnsi="宋体" w:eastAsia="宋体" w:cs="宋体"/>
          <w:sz w:val="24"/>
          <w:lang w:val="en-US" w:eastAsia="zh-CN"/>
        </w:rPr>
        <w:t xml:space="preserve">6.2</w:t>
      </w:r>
      <w:r>
        <w:rPr>
          <w:rFonts w:hint="eastAsia" w:ascii="宋体" w:hAnsi="宋体" w:eastAsia="宋体" w:cs="宋体"/>
          <w:sz w:val="24"/>
        </w:rPr>
        <w:t xml:space="preserve">为保障项目质量，</w:t>
      </w:r>
      <w:r>
        <w:rPr>
          <w:rFonts w:hint="eastAsia" w:ascii="宋体" w:hAnsi="宋体" w:eastAsia="宋体" w:cs="宋体"/>
          <w:sz w:val="24"/>
          <w:lang w:val="en-US" w:eastAsia="zh-CN"/>
        </w:rPr>
        <w:t xml:space="preserve">投标人</w:t>
      </w:r>
      <w:r>
        <w:rPr>
          <w:rFonts w:hint="eastAsia" w:ascii="宋体" w:hAnsi="宋体" w:eastAsia="宋体" w:cs="宋体"/>
          <w:sz w:val="24"/>
        </w:rPr>
        <w:t xml:space="preserve">或所投产品厂商已完成对医疗数据集管理、医疗标准术语与字典管理、医疗数据交换平台、医疗数据质量控制、统一认证与授权接入管理的功能测试，全部满足</w:t>
      </w:r>
      <w:r>
        <w:rPr>
          <w:rFonts w:hint="eastAsia" w:ascii="宋体" w:hAnsi="宋体" w:eastAsia="宋体" w:cs="宋体"/>
          <w:sz w:val="24"/>
          <w:lang w:val="en-US" w:eastAsia="zh-CN"/>
        </w:rPr>
        <w:t xml:space="preserve">的优先；本项目采购的产品涉及内外网接口，投标人或所投产品厂商具有内外网接口安全能力，</w:t>
      </w:r>
      <w:r>
        <w:rPr>
          <w:rFonts w:hint="eastAsia" w:ascii="宋体" w:hAnsi="宋体" w:eastAsia="宋体" w:cs="宋体"/>
          <w:sz w:val="24"/>
        </w:rPr>
        <w:t xml:space="preserve">能够提供“内外网接口安全网关平台”类的计算机软件著作权登记证书的优先；投标人或所投产品厂商能够提供有效期内信息系统建设和服务能力资质证书CS5等级的的优先；</w:t>
      </w:r>
      <w:r/>
    </w:p>
    <w:p>
      <w:pPr>
        <w:numPr>
          <w:ilvl w:val="-1"/>
          <w:numId w:val="0"/>
        </w:numPr>
        <w:ind w:left="0" w:firstLine="480"/>
        <w:spacing w:line="360" w:lineRule="exact"/>
        <w:rPr>
          <w:rFonts w:hint="eastAsia" w:ascii="宋体" w:hAnsi="宋体" w:eastAsia="宋体" w:cs="宋体"/>
          <w:sz w:val="28"/>
          <w:szCs w:val="28"/>
          <w:lang w:bidi="ar"/>
        </w:rPr>
      </w:pPr>
      <w:r>
        <w:rPr>
          <w:rFonts w:hint="eastAsia" w:ascii="宋体" w:hAnsi="宋体" w:eastAsia="宋体" w:cs="宋体"/>
          <w:sz w:val="24"/>
          <w:lang w:val="en-US" w:eastAsia="zh-CN"/>
        </w:rPr>
        <w:t xml:space="preserve">6.3</w:t>
      </w:r>
      <w:r>
        <w:rPr>
          <w:rFonts w:hint="eastAsia" w:ascii="宋体" w:hAnsi="宋体" w:eastAsia="宋体" w:cs="宋体"/>
          <w:sz w:val="24"/>
        </w:rPr>
        <w:t xml:space="preserve">为</w:t>
      </w:r>
      <w:r>
        <w:rPr>
          <w:rFonts w:hint="eastAsia" w:ascii="宋体" w:hAnsi="宋体" w:eastAsia="宋体" w:cs="宋体"/>
          <w:sz w:val="24"/>
          <w:shd w:val="clear" w:color="auto" w:fill="ffffff"/>
          <w:lang w:bidi="ar"/>
        </w:rPr>
        <w:t xml:space="preserve">体现履约能力，</w:t>
      </w:r>
      <w:r>
        <w:rPr>
          <w:rFonts w:hint="eastAsia" w:ascii="宋体" w:hAnsi="宋体" w:eastAsia="宋体" w:cs="宋体"/>
          <w:sz w:val="24"/>
          <w:lang w:val="en-US" w:eastAsia="zh-CN"/>
        </w:rPr>
        <w:t xml:space="preserve">投标人能够</w:t>
      </w:r>
      <w:r>
        <w:rPr>
          <w:rFonts w:hint="eastAsia" w:ascii="宋体" w:hAnsi="宋体" w:eastAsia="宋体" w:cs="宋体"/>
          <w:sz w:val="24"/>
        </w:rPr>
        <w:t xml:space="preserve">提供自2023年1月1日以来完成类似项目的案例（至少包含医院信息化）的优先。</w:t>
      </w:r>
      <w:r/>
    </w:p>
    <w:p>
      <w:pPr>
        <w:ind w:firstLine="567"/>
        <w:jc w:val="left"/>
        <w:spacing w:line="520" w:lineRule="exact"/>
        <w:widowControl/>
        <w:rPr>
          <w:rFonts w:hint="eastAsia" w:ascii="宋体" w:hAnsi="宋体" w:eastAsia="宋体" w:cs="宋体"/>
          <w:b/>
          <w:sz w:val="28"/>
          <w:szCs w:val="28"/>
          <w:lang w:bidi="ar"/>
        </w:rPr>
        <w:outlineLvl w:val="0"/>
      </w:pPr>
      <w:r>
        <w:rPr>
          <w:rFonts w:hint="eastAsia" w:ascii="宋体" w:hAnsi="宋体" w:eastAsia="宋体" w:cs="宋体"/>
          <w:b/>
          <w:sz w:val="28"/>
          <w:szCs w:val="28"/>
          <w:lang w:val="en-US" w:eastAsia="zh-CN" w:bidi="ar"/>
        </w:rPr>
        <w:t xml:space="preserve">四</w:t>
      </w:r>
      <w:r>
        <w:rPr>
          <w:rFonts w:hint="eastAsia" w:ascii="宋体" w:hAnsi="宋体" w:eastAsia="宋体" w:cs="宋体"/>
          <w:b/>
          <w:sz w:val="28"/>
          <w:szCs w:val="28"/>
          <w:lang w:bidi="ar"/>
        </w:rPr>
        <w:t xml:space="preserve">、付款方式</w:t>
      </w:r>
      <w:r/>
    </w:p>
    <w:p>
      <w:pPr>
        <w:ind w:firstLine="480"/>
        <w:jc w:val="left"/>
        <w:spacing w:line="360" w:lineRule="exact"/>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合同签订时，支付合同总价的30%作为项目启动预付款；</w:t>
      </w:r>
      <w:r>
        <w:rPr>
          <w:rFonts w:hint="eastAsia" w:ascii="宋体" w:hAnsi="宋体" w:eastAsia="宋体" w:cs="宋体"/>
          <w:sz w:val="24"/>
          <w:highlight w:val="none"/>
          <w:lang w:val="en-US" w:eastAsia="zh-CN" w:bidi="ar"/>
        </w:rPr>
        <w:t xml:space="preserve">项目</w:t>
      </w:r>
      <w:r>
        <w:rPr>
          <w:rFonts w:hint="eastAsia" w:ascii="宋体" w:hAnsi="宋体" w:eastAsia="宋体" w:cs="宋体"/>
          <w:sz w:val="24"/>
          <w:highlight w:val="none"/>
          <w:lang w:bidi="ar"/>
        </w:rPr>
        <w:t xml:space="preserve">验收合格</w:t>
      </w:r>
      <w:r>
        <w:rPr>
          <w:rFonts w:hint="eastAsia" w:ascii="宋体" w:hAnsi="宋体" w:eastAsia="宋体" w:cs="宋体"/>
          <w:sz w:val="24"/>
          <w:highlight w:val="none"/>
          <w:lang w:val="en-US" w:eastAsia="zh-CN" w:bidi="ar"/>
        </w:rPr>
        <w:t xml:space="preserve">后支付至合同总价90%，并无息退还履约保证金（如有），余款在该项目满1年服务期后</w:t>
      </w:r>
      <w:r>
        <w:rPr>
          <w:rFonts w:hint="eastAsia" w:ascii="宋体" w:hAnsi="宋体" w:eastAsia="宋体" w:cs="宋体"/>
          <w:sz w:val="24"/>
          <w:highlight w:val="none"/>
          <w:lang w:bidi="ar"/>
        </w:rPr>
        <w:t xml:space="preserve">无服务问题一次性付清。以上付款均不计任何利息和相关费用，付款一律通过银行结转。相关付款手续由用户单位由财政部门报批后办理。</w:t>
      </w:r>
      <w:r/>
    </w:p>
    <w:p>
      <w:pPr>
        <w:ind w:firstLine="482"/>
        <w:jc w:val="left"/>
        <w:spacing w:line="360" w:lineRule="exact"/>
        <w:rPr>
          <w:rFonts w:hint="eastAsia" w:ascii="宋体" w:hAnsi="宋体" w:eastAsia="宋体" w:cs="宋体"/>
          <w:b/>
          <w:bCs/>
          <w:sz w:val="24"/>
        </w:rPr>
      </w:pPr>
      <w:r>
        <w:rPr>
          <w:rFonts w:hint="eastAsia" w:ascii="宋体" w:hAnsi="宋体" w:eastAsia="宋体" w:cs="宋体"/>
          <w:b/>
          <w:bCs/>
          <w:sz w:val="24"/>
          <w:lang w:bidi="ar"/>
        </w:rPr>
        <w:t xml:space="preserve">注：在签订合同时，中标人明确表示无需预付款或者主动要求降低预付款比例的金额，采购人可不适用预付款规定,但中标人需提供书面声明。</w:t>
      </w:r>
      <w:r/>
    </w:p>
    <w:p>
      <w:pPr>
        <w:ind w:firstLine="567"/>
        <w:jc w:val="left"/>
        <w:spacing w:line="520" w:lineRule="exact"/>
        <w:widowControl/>
        <w:rPr>
          <w:rFonts w:hint="eastAsia" w:ascii="宋体" w:hAnsi="宋体" w:eastAsia="宋体" w:cs="宋体"/>
          <w:b/>
          <w:sz w:val="28"/>
          <w:szCs w:val="28"/>
          <w:lang w:bidi="ar"/>
        </w:rPr>
        <w:outlineLvl w:val="0"/>
      </w:pPr>
      <w:r>
        <w:rPr>
          <w:rFonts w:hint="eastAsia" w:ascii="宋体" w:hAnsi="宋体" w:eastAsia="宋体" w:cs="宋体"/>
          <w:b/>
          <w:sz w:val="28"/>
          <w:szCs w:val="28"/>
          <w:lang w:val="en-US" w:eastAsia="zh-CN" w:bidi="ar"/>
        </w:rPr>
        <w:t xml:space="preserve">五</w:t>
      </w:r>
      <w:r>
        <w:rPr>
          <w:rFonts w:hint="eastAsia" w:ascii="宋体" w:hAnsi="宋体" w:eastAsia="宋体" w:cs="宋体"/>
          <w:b/>
          <w:sz w:val="28"/>
          <w:szCs w:val="28"/>
          <w:lang w:bidi="ar"/>
        </w:rPr>
        <w:t xml:space="preserve">、安全管理要求</w:t>
      </w:r>
      <w:r/>
    </w:p>
    <w:p>
      <w:pPr>
        <w:ind w:firstLine="480"/>
        <w:jc w:val="left"/>
        <w:spacing w:line="360" w:lineRule="exact"/>
        <w:rPr>
          <w:rFonts w:hint="eastAsia" w:ascii="宋体" w:hAnsi="宋体" w:eastAsia="宋体" w:cs="宋体"/>
          <w:sz w:val="24"/>
        </w:rPr>
      </w:pPr>
      <w:r>
        <w:rPr>
          <w:rFonts w:hint="eastAsia" w:ascii="宋体" w:hAnsi="宋体" w:eastAsia="宋体" w:cs="宋体"/>
          <w:sz w:val="24"/>
          <w:lang w:val="en-US" w:eastAsia="zh-CN" w:bidi="ar"/>
        </w:rPr>
        <w:t xml:space="preserve">1、</w:t>
      </w:r>
      <w:r>
        <w:rPr>
          <w:rFonts w:hint="eastAsia" w:ascii="宋体" w:hAnsi="宋体" w:eastAsia="宋体" w:cs="宋体"/>
          <w:sz w:val="24"/>
          <w:lang w:bidi="ar"/>
        </w:rPr>
        <w:t xml:space="preserve">为贯彻“安全第一，预防为主”方针，中标人</w:t>
      </w:r>
      <w:r>
        <w:rPr>
          <w:rFonts w:hint="eastAsia" w:ascii="宋体" w:hAnsi="宋体" w:eastAsia="宋体" w:cs="宋体"/>
          <w:b/>
          <w:bCs/>
          <w:color w:val="ff0000"/>
          <w:sz w:val="24"/>
          <w:lang w:bidi="ar"/>
        </w:rPr>
        <w:t xml:space="preserve">应为项目安装服务人员购买不记名意外伤害保险</w:t>
      </w:r>
      <w:r>
        <w:rPr>
          <w:rFonts w:hint="eastAsia" w:ascii="宋体" w:hAnsi="宋体" w:eastAsia="宋体" w:cs="宋体"/>
          <w:sz w:val="24"/>
          <w:lang w:bidi="ar"/>
        </w:rPr>
        <w:t xml:space="preserve">。中标人在项目安装调试现场过程中，必须遵守国家和地方关于劳动安全、劳务用工等法律法规及规章制度，制定严格的安全措施，加强安全监督管理，对项目服务过程中发生的人身伤害、设备损坏事故承担安全责任，并按国家有关规定，为服务人员进行人身保险，配备合格的劳动防护用品、安全用具。</w:t>
      </w:r>
      <w:r/>
    </w:p>
    <w:p>
      <w:pPr>
        <w:ind w:firstLine="480"/>
        <w:jc w:val="left"/>
        <w:spacing w:line="360" w:lineRule="exact"/>
        <w:rPr>
          <w:rFonts w:hint="eastAsia" w:ascii="宋体" w:hAnsi="宋体" w:eastAsia="宋体" w:cs="宋体"/>
          <w:bCs/>
          <w:sz w:val="24"/>
          <w:lang w:bidi="ar"/>
        </w:rPr>
      </w:pPr>
      <w:r>
        <w:rPr>
          <w:rFonts w:hint="eastAsia" w:ascii="宋体" w:hAnsi="宋体" w:eastAsia="宋体" w:cs="宋体"/>
          <w:sz w:val="24"/>
          <w:lang w:val="en-US" w:eastAsia="zh-CN" w:bidi="ar"/>
        </w:rPr>
        <w:t xml:space="preserve">2、</w:t>
      </w:r>
      <w:r>
        <w:rPr>
          <w:rFonts w:hint="eastAsia" w:ascii="宋体" w:hAnsi="宋体" w:eastAsia="宋体" w:cs="宋体"/>
          <w:sz w:val="24"/>
          <w:lang w:bidi="ar"/>
        </w:rPr>
        <w:t xml:space="preserve">若发生安全问题，由中标人自行负责处理并承担一切经济和法律责任，其与采购人一切无关，同时按合同要求保证项目进度，按时完工。</w:t>
      </w:r>
      <w:r>
        <w:rPr>
          <w:rFonts w:hint="eastAsia" w:ascii="宋体" w:hAnsi="宋体" w:eastAsia="宋体" w:cs="Tahoma"/>
          <w:b/>
          <w:sz w:val="24"/>
          <w:lang w:bidi="ar"/>
        </w:rPr>
        <w:tab/>
      </w:r>
      <w:r/>
    </w:p>
    <w:p>
      <w:pPr>
        <w:ind w:firstLine="567"/>
        <w:jc w:val="left"/>
        <w:spacing w:line="520" w:lineRule="exact"/>
        <w:widowControl/>
        <w:rPr>
          <w:rFonts w:hint="eastAsia" w:ascii="宋体" w:hAnsi="宋体" w:eastAsia="宋体" w:cs="宋体"/>
          <w:b/>
          <w:sz w:val="28"/>
          <w:szCs w:val="28"/>
          <w:lang w:bidi="ar"/>
        </w:rPr>
        <w:outlineLvl w:val="0"/>
      </w:pPr>
      <w:r>
        <w:rPr>
          <w:rFonts w:hint="eastAsia" w:ascii="宋体" w:hAnsi="宋体" w:eastAsia="宋体" w:cs="宋体"/>
          <w:b/>
          <w:sz w:val="28"/>
          <w:szCs w:val="28"/>
          <w:lang w:val="en-US" w:eastAsia="zh-CN" w:bidi="ar"/>
        </w:rPr>
        <w:t xml:space="preserve">六</w:t>
      </w:r>
      <w:r>
        <w:rPr>
          <w:rFonts w:hint="eastAsia" w:ascii="宋体" w:hAnsi="宋体" w:eastAsia="宋体" w:cs="宋体"/>
          <w:b/>
          <w:sz w:val="28"/>
          <w:szCs w:val="28"/>
          <w:lang w:bidi="ar"/>
        </w:rPr>
        <w:t xml:space="preserve">、特别说明</w:t>
      </w:r>
      <w:r/>
    </w:p>
    <w:p>
      <w:pPr>
        <w:ind w:firstLine="480"/>
        <w:jc w:val="left"/>
        <w:spacing w:line="360" w:lineRule="exact"/>
        <w:widowControl/>
        <w:rPr>
          <w:rFonts w:hint="eastAsia" w:ascii="宋体" w:hAnsi="宋体" w:eastAsia="宋体" w:cs="Tahoma"/>
          <w:bCs/>
          <w:sz w:val="24"/>
        </w:rPr>
      </w:pPr>
      <w:r>
        <w:rPr>
          <w:rFonts w:hint="eastAsia" w:ascii="宋体" w:hAnsi="宋体" w:eastAsia="宋体" w:cs="宋体"/>
          <w:bCs/>
          <w:sz w:val="24"/>
          <w:lang w:val="en-US" w:eastAsia="zh-CN" w:bidi="ar"/>
        </w:rPr>
        <w:t xml:space="preserve">1</w:t>
      </w:r>
      <w:r>
        <w:rPr>
          <w:rFonts w:hint="eastAsia" w:ascii="宋体" w:hAnsi="宋体" w:eastAsia="宋体" w:cs="宋体"/>
          <w:bCs/>
          <w:sz w:val="24"/>
          <w:lang w:bidi="ar"/>
        </w:rPr>
        <w:t xml:space="preserve">、本次招标不接受选择性报价。</w:t>
      </w:r>
      <w:r/>
    </w:p>
    <w:p>
      <w:pPr>
        <w:ind w:firstLine="480"/>
        <w:jc w:val="left"/>
        <w:spacing w:line="360" w:lineRule="exact"/>
        <w:widowControl/>
        <w:rPr>
          <w:rFonts w:hint="eastAsia" w:ascii="宋体" w:hAnsi="宋体" w:eastAsia="宋体" w:cs="Tahoma"/>
          <w:bCs/>
          <w:sz w:val="24"/>
        </w:rPr>
      </w:pPr>
      <w:r>
        <w:rPr>
          <w:rFonts w:hint="eastAsia" w:ascii="宋体" w:hAnsi="宋体" w:eastAsia="宋体" w:cs="宋体"/>
          <w:bCs/>
          <w:sz w:val="24"/>
          <w:lang w:val="en-US" w:eastAsia="zh-CN" w:bidi="ar"/>
        </w:rPr>
        <w:t xml:space="preserve">2</w:t>
      </w:r>
      <w:r>
        <w:rPr>
          <w:rFonts w:hint="eastAsia" w:ascii="宋体" w:hAnsi="宋体" w:eastAsia="宋体" w:cs="宋体"/>
          <w:bCs/>
          <w:sz w:val="24"/>
          <w:lang w:bidi="ar"/>
        </w:rPr>
        <w:t xml:space="preserve">、中标人如未能在承诺时间内实施并完成，采购人有权扣除履约保证金或要求提供同等数额赔偿。</w:t>
      </w:r>
      <w:r/>
    </w:p>
    <w:p>
      <w:pPr>
        <w:ind w:firstLine="480"/>
        <w:jc w:val="left"/>
        <w:spacing w:line="360" w:lineRule="exact"/>
        <w:widowControl/>
        <w:rPr>
          <w:rFonts w:hint="eastAsia" w:ascii="宋体" w:hAnsi="宋体" w:eastAsia="宋体" w:cs="Tahoma"/>
          <w:bCs/>
          <w:sz w:val="24"/>
        </w:rPr>
      </w:pPr>
      <w:r>
        <w:rPr>
          <w:rFonts w:hint="eastAsia" w:ascii="宋体" w:hAnsi="宋体" w:eastAsia="宋体" w:cs="宋体"/>
          <w:bCs/>
          <w:sz w:val="24"/>
          <w:lang w:val="en-US" w:eastAsia="zh-CN" w:bidi="ar"/>
        </w:rPr>
        <w:t xml:space="preserve">3</w:t>
      </w:r>
      <w:r>
        <w:rPr>
          <w:rFonts w:hint="eastAsia" w:ascii="宋体" w:hAnsi="宋体" w:eastAsia="宋体" w:cs="宋体"/>
          <w:bCs/>
          <w:sz w:val="24"/>
          <w:lang w:bidi="ar"/>
        </w:rPr>
        <w:t xml:space="preserve">、对本项目投标人资格要求、项目需求、评分标准等的质疑由采购单位负责答复；采购单位具有项目的解释权，质疑函和答复须同时报采购代理机构备案管理。</w:t>
      </w:r>
      <w:r/>
    </w:p>
    <w:p>
      <w:pPr>
        <w:ind w:firstLine="567"/>
        <w:jc w:val="left"/>
        <w:spacing w:line="520" w:lineRule="exact"/>
        <w:widowControl/>
        <w:rPr>
          <w:rFonts w:hint="eastAsia" w:ascii="宋体" w:hAnsi="宋体" w:eastAsia="宋体" w:cs="宋体"/>
          <w:b/>
          <w:sz w:val="28"/>
          <w:szCs w:val="28"/>
          <w:lang w:bidi="ar"/>
        </w:rPr>
        <w:outlineLvl w:val="0"/>
      </w:pPr>
      <w:r>
        <w:rPr>
          <w:rFonts w:hint="eastAsia" w:ascii="宋体" w:hAnsi="宋体" w:eastAsia="宋体" w:cs="宋体"/>
          <w:b/>
          <w:sz w:val="28"/>
          <w:szCs w:val="28"/>
          <w:lang w:val="en-US" w:eastAsia="zh-CN" w:bidi="ar"/>
        </w:rPr>
        <w:t xml:space="preserve">七</w:t>
      </w:r>
      <w:r>
        <w:rPr>
          <w:rFonts w:hint="eastAsia" w:ascii="宋体" w:hAnsi="宋体" w:eastAsia="宋体" w:cs="宋体"/>
          <w:b/>
          <w:sz w:val="28"/>
          <w:szCs w:val="28"/>
          <w:lang w:bidi="ar"/>
        </w:rPr>
        <w:t xml:space="preserve">、采购标的对应的中小企业划分标准所属行业一览表</w:t>
      </w:r>
      <w:r/>
    </w:p>
    <w:p>
      <w:pPr>
        <w:ind w:firstLine="480"/>
        <w:jc w:val="left"/>
        <w:spacing w:line="360" w:lineRule="exact"/>
        <w:widowControl/>
        <w:rPr>
          <w:rFonts w:hint="eastAsia" w:ascii="宋体" w:hAnsi="宋体" w:eastAsia="宋体" w:cs="宋体"/>
          <w:bCs/>
          <w:sz w:val="24"/>
          <w:lang w:bidi="ar"/>
        </w:rPr>
      </w:pPr>
      <w:r>
        <w:rPr>
          <w:rFonts w:hint="eastAsia" w:ascii="宋体" w:hAnsi="宋体" w:eastAsia="宋体" w:cs="宋体"/>
          <w:bCs/>
          <w:sz w:val="24"/>
          <w:lang w:bidi="ar"/>
        </w:rPr>
        <w:t xml:space="preserve"> 根据《工业和信息化部、国家统计局、国家发展和改革委员会、财政部关于印发中小企业划型标准规定的通知》（工信部联企业[2011]300号）规定的划分标准填写。 </w:t>
      </w:r>
      <w:r/>
    </w:p>
    <w:tbl>
      <w:tblPr>
        <w:tblStyle w:val="707"/>
        <w:tblW w:w="9049" w:type="dxa"/>
        <w:jc w:val="center"/>
        <w:tblLayout w:type="fixed"/>
        <w:tblCellMar>
          <w:left w:w="108" w:type="dxa"/>
          <w:top w:w="0" w:type="dxa"/>
          <w:right w:w="108" w:type="dxa"/>
          <w:bottom w:w="0" w:type="dxa"/>
        </w:tblCellMar>
        <w:tblLook w:val="04A0" w:firstRow="1" w:lastRow="0" w:firstColumn="1" w:lastColumn="0" w:noHBand="0" w:noVBand="1"/>
      </w:tblPr>
      <w:tblGrid>
        <w:gridCol w:w="724"/>
        <w:gridCol w:w="3356"/>
        <w:gridCol w:w="4969"/>
      </w:tblGrid>
      <w:tr>
        <w:trPr>
          <w:jc w:val="center"/>
          <w:trHeight w:val="16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730"/>
              <w:jc w:val="center"/>
              <w:spacing w:beforeAutospacing="0" w:line="360" w:lineRule="exact"/>
              <w:widowControl/>
              <w:rPr>
                <w:rFonts w:hint="eastAsia" w:ascii="宋体" w:hAnsi="宋体" w:eastAsia="宋体" w:cs="宋体"/>
                <w:highlight w:val="none"/>
              </w:rPr>
            </w:pPr>
            <w:r>
              <w:rPr>
                <w:rFonts w:hint="eastAsia" w:ascii="宋体" w:hAnsi="宋体" w:eastAsia="宋体" w:cs="宋体"/>
                <w:highlight w:val="none"/>
                <w:lang w:bidi="ar"/>
              </w:rPr>
              <w:t xml:space="preserve">序号</w:t>
            </w:r>
            <w:r/>
          </w:p>
        </w:tc>
        <w:tc>
          <w:tcPr>
            <w:tcBorders>
              <w:top w:val="single" w:color="000000" w:sz="4" w:space="0"/>
              <w:left w:val="none" w:color="000000" w:sz="4" w:space="0"/>
              <w:bottom w:val="single" w:color="000000" w:sz="4" w:space="0"/>
              <w:right w:val="single" w:color="000000" w:sz="4" w:space="0"/>
            </w:tcBorders>
            <w:tcW w:w="3356" w:type="dxa"/>
            <w:vAlign w:val="center"/>
            <w:textDirection w:val="lrTb"/>
            <w:noWrap w:val="false"/>
          </w:tcPr>
          <w:p>
            <w:pPr>
              <w:pStyle w:val="730"/>
              <w:jc w:val="center"/>
              <w:spacing w:beforeAutospacing="0" w:line="360" w:lineRule="exact"/>
              <w:widowControl/>
              <w:rPr>
                <w:rFonts w:hint="eastAsia" w:ascii="宋体" w:hAnsi="宋体" w:eastAsia="宋体" w:cs="宋体"/>
                <w:highlight w:val="none"/>
              </w:rPr>
            </w:pPr>
            <w:r>
              <w:rPr>
                <w:rFonts w:hint="eastAsia" w:ascii="宋体" w:hAnsi="宋体" w:eastAsia="宋体" w:cs="宋体"/>
                <w:highlight w:val="none"/>
                <w:lang w:bidi="ar"/>
              </w:rPr>
              <w:t xml:space="preserve">采购标的</w:t>
            </w:r>
            <w:r/>
          </w:p>
        </w:tc>
        <w:tc>
          <w:tcPr>
            <w:tcBorders>
              <w:top w:val="single" w:color="000000" w:sz="4" w:space="0"/>
              <w:left w:val="none" w:color="000000" w:sz="4" w:space="0"/>
              <w:bottom w:val="single" w:color="000000" w:sz="4" w:space="0"/>
              <w:right w:val="single" w:color="000000" w:sz="4" w:space="0"/>
            </w:tcBorders>
            <w:tcW w:w="4969" w:type="dxa"/>
            <w:vAlign w:val="center"/>
            <w:textDirection w:val="lrTb"/>
            <w:noWrap w:val="false"/>
          </w:tcPr>
          <w:p>
            <w:pPr>
              <w:pStyle w:val="730"/>
              <w:jc w:val="center"/>
              <w:spacing w:beforeAutospacing="0" w:line="360" w:lineRule="exact"/>
              <w:widowControl/>
              <w:rPr>
                <w:rFonts w:hint="eastAsia" w:ascii="宋体" w:hAnsi="宋体" w:eastAsia="宋体" w:cs="宋体"/>
                <w:highlight w:val="none"/>
              </w:rPr>
            </w:pPr>
            <w:r>
              <w:rPr>
                <w:rFonts w:hint="eastAsia" w:ascii="宋体" w:hAnsi="宋体" w:eastAsia="宋体" w:cs="宋体"/>
                <w:highlight w:val="none"/>
                <w:lang w:bidi="ar"/>
              </w:rPr>
              <w:t xml:space="preserve">对应中小企业划分标准所属行业</w:t>
            </w:r>
            <w:r/>
          </w:p>
        </w:tc>
      </w:tr>
      <w:tr>
        <w:trPr>
          <w:jc w:val="center"/>
          <w:trHeight w:val="16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730"/>
              <w:jc w:val="center"/>
              <w:spacing w:beforeAutospacing="0" w:line="360" w:lineRule="exact"/>
              <w:widowControl/>
              <w:rPr>
                <w:rFonts w:hint="eastAsia" w:ascii="宋体" w:hAnsi="宋体" w:eastAsia="宋体" w:cs="宋体"/>
                <w:highlight w:val="none"/>
              </w:rPr>
            </w:pPr>
            <w:r>
              <w:rPr>
                <w:rFonts w:hint="eastAsia" w:ascii="宋体" w:hAnsi="宋体" w:eastAsia="宋体" w:cs="宋体"/>
                <w:highlight w:val="none"/>
                <w:lang w:bidi="ar"/>
              </w:rPr>
              <w:t xml:space="preserve">1</w:t>
            </w:r>
            <w:r/>
          </w:p>
        </w:tc>
        <w:tc>
          <w:tcPr>
            <w:tcBorders>
              <w:top w:val="single" w:color="000000" w:sz="4" w:space="0"/>
              <w:left w:val="none" w:color="000000" w:sz="4" w:space="0"/>
              <w:bottom w:val="single" w:color="000000" w:sz="4" w:space="0"/>
              <w:right w:val="single" w:color="000000" w:sz="4" w:space="0"/>
            </w:tcBorders>
            <w:tcW w:w="3356" w:type="dxa"/>
            <w:vAlign w:val="center"/>
            <w:textDirection w:val="lrTb"/>
            <w:noWrap w:val="false"/>
          </w:tcPr>
          <w:p>
            <w:pPr>
              <w:pStyle w:val="730"/>
              <w:jc w:val="center"/>
              <w:spacing w:beforeAutospacing="0" w:line="360" w:lineRule="exact"/>
              <w:widowControl/>
              <w:rPr>
                <w:rFonts w:hint="eastAsia" w:ascii="宋体" w:hAnsi="宋体" w:eastAsia="宋体" w:cs="宋体"/>
                <w:highlight w:val="none"/>
                <w:lang w:bidi="ar"/>
              </w:rPr>
            </w:pPr>
            <w:r>
              <w:rPr>
                <w:rFonts w:hint="eastAsia" w:ascii="宋体" w:hAnsi="宋体" w:eastAsia="宋体" w:cs="宋体"/>
                <w:b w:val="0"/>
                <w:sz w:val="24"/>
                <w:szCs w:val="24"/>
                <w:highlight w:val="none"/>
                <w:lang w:bidi="ar"/>
              </w:rPr>
              <w:t xml:space="preserve">射阳县妇幼保健院追溯码上传等信息化采购项目</w:t>
            </w:r>
            <w:r/>
          </w:p>
        </w:tc>
        <w:tc>
          <w:tcPr>
            <w:tcBorders>
              <w:top w:val="single" w:color="000000" w:sz="4" w:space="0"/>
              <w:left w:val="none" w:color="000000" w:sz="4" w:space="0"/>
              <w:bottom w:val="single" w:color="000000" w:sz="4" w:space="0"/>
              <w:right w:val="single" w:color="000000" w:sz="4" w:space="0"/>
            </w:tcBorders>
            <w:tcW w:w="4969" w:type="dxa"/>
            <w:vAlign w:val="center"/>
            <w:textDirection w:val="lrTb"/>
            <w:noWrap w:val="false"/>
          </w:tcPr>
          <w:p>
            <w:pPr>
              <w:pStyle w:val="730"/>
              <w:ind w:firstLine="0"/>
              <w:jc w:val="center"/>
              <w:spacing w:beforeAutospacing="0" w:afterAutospacing="0" w:line="360" w:lineRule="exact"/>
              <w:shd w:val="clear" w:color="auto" w:fill="ffffff"/>
              <w:widowControl/>
              <w:rPr>
                <w:rFonts w:hint="eastAsia" w:ascii="宋体" w:hAnsi="宋体" w:eastAsia="宋体" w:cs="宋体"/>
                <w:highlight w:val="none"/>
              </w:rPr>
            </w:pPr>
            <w:r>
              <w:rPr>
                <w:rFonts w:hint="eastAsia" w:ascii="宋体" w:hAnsi="宋体" w:eastAsia="宋体" w:cs="宋体"/>
                <w:highlight w:val="none"/>
              </w:rPr>
              <w:t xml:space="preserve">软件和信息技术服务业</w:t>
            </w:r>
            <w:r/>
          </w:p>
        </w:tc>
      </w:tr>
    </w:tbl>
    <w:p>
      <w:pPr>
        <w:pStyle w:val="730"/>
        <w:jc w:val="center"/>
        <w:spacing w:beforeAutospacing="0" w:afterAutospacing="0"/>
        <w:rPr>
          <w:rFonts w:hint="eastAsia"/>
          <w:b/>
          <w:bCs/>
          <w:sz w:val="44"/>
          <w:szCs w:val="44"/>
        </w:rPr>
        <w:outlineLvl w:val="0"/>
      </w:pPr>
      <w:r/>
      <w:bookmarkStart w:id="186" w:name="_Toc120614281"/>
      <w:r/>
      <w:r/>
    </w:p>
    <w:p>
      <w:pPr>
        <w:pStyle w:val="730"/>
        <w:jc w:val="center"/>
        <w:spacing w:beforeAutospacing="0" w:afterAutospacing="0"/>
        <w:rPr>
          <w:rFonts w:hint="eastAsia"/>
          <w:b/>
          <w:bCs/>
          <w:sz w:val="36"/>
          <w:szCs w:val="36"/>
        </w:rPr>
        <w:outlineLvl w:val="0"/>
      </w:pPr>
      <w:r>
        <w:rPr>
          <w:rFonts w:hint="eastAsia"/>
          <w:b/>
          <w:bCs/>
          <w:sz w:val="36"/>
          <w:szCs w:val="36"/>
        </w:rPr>
      </w:r>
      <w:r/>
    </w:p>
    <w:p>
      <w:pPr>
        <w:pStyle w:val="730"/>
        <w:jc w:val="center"/>
        <w:spacing w:beforeAutospacing="0" w:afterAutospacing="0"/>
        <w:rPr>
          <w:rFonts w:hint="eastAsia"/>
          <w:b/>
          <w:bCs/>
          <w:sz w:val="44"/>
          <w:szCs w:val="44"/>
        </w:rPr>
        <w:outlineLvl w:val="0"/>
      </w:pPr>
      <w:r>
        <w:rPr>
          <w:rFonts w:hint="eastAsia"/>
          <w:b/>
          <w:bCs/>
          <w:sz w:val="44"/>
          <w:szCs w:val="44"/>
        </w:rPr>
      </w:r>
      <w:r/>
    </w:p>
    <w:p>
      <w:pPr>
        <w:pStyle w:val="730"/>
        <w:jc w:val="center"/>
        <w:spacing w:beforeAutospacing="0" w:afterAutospacing="0"/>
        <w:rPr>
          <w:b w:val="0"/>
          <w:bCs w:val="0"/>
          <w:sz w:val="44"/>
          <w:szCs w:val="44"/>
        </w:rPr>
        <w:outlineLvl w:val="0"/>
      </w:pPr>
      <w:r>
        <w:rPr>
          <w:rFonts w:hint="default"/>
          <w:b w:val="0"/>
          <w:bCs w:val="0"/>
          <w:sz w:val="44"/>
          <w:szCs w:val="44"/>
        </w:rPr>
        <w:t xml:space="preserve">第五章  评标方法与评标标准</w:t>
      </w:r>
      <w:r/>
    </w:p>
    <w:p>
      <w:pPr>
        <w:ind w:firstLine="482"/>
        <w:spacing w:line="480" w:lineRule="exact"/>
        <w:rPr>
          <w:rFonts w:hint="eastAsia" w:ascii="宋体" w:hAnsi="宋体" w:eastAsia="宋体" w:cs="宋体"/>
          <w:b/>
          <w:bCs/>
          <w:sz w:val="24"/>
        </w:rPr>
        <w:outlineLvl w:val="0"/>
      </w:pPr>
      <w:r>
        <w:rPr>
          <w:rFonts w:hint="eastAsia" w:ascii="宋体" w:hAnsi="宋体" w:eastAsia="宋体" w:cs="宋体"/>
          <w:b/>
          <w:bCs/>
          <w:sz w:val="24"/>
        </w:rPr>
        <w:t xml:space="preserve">一、定标原则</w:t>
      </w:r>
      <w:r/>
    </w:p>
    <w:p>
      <w:pPr>
        <w:ind w:firstLine="480"/>
        <w:jc w:val="left"/>
        <w:spacing w:line="360" w:lineRule="exact"/>
        <w:widowControl/>
        <w:rPr>
          <w:rFonts w:hint="eastAsia" w:ascii="宋体" w:hAnsi="宋体" w:eastAsia="宋体" w:cs="宋体"/>
          <w:bCs/>
          <w:sz w:val="24"/>
          <w:lang w:bidi="ar"/>
        </w:rPr>
      </w:pPr>
      <w:r>
        <w:rPr>
          <w:rFonts w:hint="eastAsia" w:ascii="宋体" w:hAnsi="宋体" w:eastAsia="宋体" w:cs="宋体"/>
          <w:bCs/>
          <w:sz w:val="24"/>
          <w:lang w:bidi="ar"/>
        </w:rPr>
        <w:t xml:space="preserve">本项目采用</w:t>
      </w:r>
      <w:r>
        <w:rPr>
          <w:rFonts w:hint="eastAsia" w:ascii="宋体" w:hAnsi="宋体" w:eastAsia="宋体" w:cs="宋体"/>
          <w:bCs/>
          <w:sz w:val="24"/>
          <w:u w:val="single"/>
          <w:lang w:bidi="ar"/>
        </w:rPr>
        <w:t xml:space="preserve"> 综合评分 </w:t>
      </w:r>
      <w:r>
        <w:rPr>
          <w:rFonts w:hint="eastAsia" w:ascii="宋体" w:hAnsi="宋体" w:eastAsia="宋体" w:cs="宋体"/>
          <w:bCs/>
          <w:sz w:val="24"/>
          <w:lang w:bidi="ar"/>
        </w:rPr>
        <w:t xml:space="preserve">法。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r/>
    </w:p>
    <w:p>
      <w:pPr>
        <w:ind w:firstLine="482"/>
        <w:spacing w:line="480" w:lineRule="exact"/>
        <w:rPr>
          <w:rFonts w:hint="eastAsia" w:ascii="宋体" w:hAnsi="宋体" w:eastAsia="宋体" w:cs="宋体"/>
          <w:b/>
          <w:bCs/>
          <w:sz w:val="24"/>
        </w:rPr>
        <w:outlineLvl w:val="0"/>
      </w:pPr>
      <w:r>
        <w:rPr>
          <w:rFonts w:hint="eastAsia" w:ascii="宋体" w:hAnsi="宋体" w:eastAsia="宋体" w:cs="宋体"/>
          <w:b/>
          <w:bCs/>
          <w:sz w:val="24"/>
        </w:rPr>
        <w:t xml:space="preserve">二、政府采购政策功能落实</w:t>
      </w:r>
      <w:r/>
    </w:p>
    <w:p>
      <w:pPr>
        <w:ind w:firstLine="480"/>
        <w:jc w:val="left"/>
        <w:spacing w:line="360" w:lineRule="exact"/>
        <w:widowControl/>
        <w:rPr>
          <w:rFonts w:hint="eastAsia" w:ascii="宋体" w:hAnsi="宋体" w:eastAsia="宋体" w:cs="宋体"/>
          <w:bCs/>
          <w:sz w:val="24"/>
          <w:lang w:bidi="ar"/>
        </w:rPr>
      </w:pPr>
      <w:r>
        <w:rPr>
          <w:rFonts w:hint="eastAsia" w:ascii="宋体" w:hAnsi="宋体" w:eastAsia="宋体" w:cs="宋体"/>
          <w:bCs/>
          <w:sz w:val="24"/>
          <w:lang w:bidi="ar"/>
        </w:rPr>
        <w:t xml:space="preserve">1、小微型企业价格扣除</w:t>
      </w:r>
      <w:r/>
    </w:p>
    <w:p>
      <w:pPr>
        <w:ind w:firstLine="480"/>
        <w:jc w:val="left"/>
        <w:spacing w:line="360" w:lineRule="exact"/>
        <w:widowControl/>
        <w:rPr>
          <w:rFonts w:hint="eastAsia" w:ascii="宋体" w:hAnsi="宋体" w:eastAsia="宋体" w:cs="宋体"/>
          <w:bCs/>
          <w:sz w:val="24"/>
          <w:lang w:bidi="ar"/>
        </w:rPr>
      </w:pPr>
      <w:r>
        <w:rPr>
          <w:rFonts w:hint="eastAsia" w:ascii="宋体" w:hAnsi="宋体" w:eastAsia="宋体" w:cs="宋体"/>
          <w:bCs/>
          <w:sz w:val="24"/>
          <w:lang w:bidi="ar"/>
        </w:rPr>
        <w:t xml:space="preserve">（1）本项目若不专门面向中小企业采购，对符合规定的小型和微型企业报价给予20%的扣除价格，用扣除后的价格参与评审；若专门面向中小企业采购，不再对小型和微型企业报价给予价格扣除。</w:t>
      </w:r>
      <w:r/>
    </w:p>
    <w:p>
      <w:pPr>
        <w:ind w:firstLine="480"/>
        <w:jc w:val="left"/>
        <w:spacing w:line="360" w:lineRule="exact"/>
        <w:widowControl/>
        <w:rPr>
          <w:rFonts w:hint="eastAsia" w:ascii="宋体" w:hAnsi="宋体" w:eastAsia="宋体" w:cs="宋体"/>
          <w:bCs/>
          <w:sz w:val="24"/>
          <w:lang w:bidi="ar"/>
        </w:rPr>
      </w:pPr>
      <w:r>
        <w:rPr>
          <w:rFonts w:hint="eastAsia" w:ascii="宋体" w:hAnsi="宋体" w:eastAsia="宋体" w:cs="宋体"/>
          <w:bCs/>
          <w:sz w:val="24"/>
          <w:lang w:bidi="ar"/>
        </w:rPr>
        <w:t xml:space="preserve">（2）供应商需按照采购文件的要求提供相应的《中小企业声明函》。</w:t>
      </w:r>
      <w:r/>
    </w:p>
    <w:p>
      <w:pPr>
        <w:ind w:firstLine="480"/>
        <w:jc w:val="left"/>
        <w:spacing w:line="360" w:lineRule="exact"/>
        <w:widowControl/>
        <w:rPr>
          <w:rFonts w:hint="eastAsia" w:ascii="宋体" w:hAnsi="宋体" w:eastAsia="宋体" w:cs="宋体"/>
          <w:bCs/>
          <w:sz w:val="24"/>
          <w:lang w:bidi="ar"/>
        </w:rPr>
      </w:pPr>
      <w:r>
        <w:rPr>
          <w:rFonts w:hint="eastAsia" w:ascii="宋体" w:hAnsi="宋体" w:eastAsia="宋体" w:cs="宋体"/>
          <w:bCs/>
          <w:sz w:val="24"/>
          <w:lang w:bidi="ar"/>
        </w:rPr>
        <w:t xml:space="preserve">（3）企业标准请参照《关于印发中小企业划型标准规定的通知》（工信部联企业[2011]300号）文件规定自行填写。</w:t>
      </w:r>
      <w:r/>
    </w:p>
    <w:p>
      <w:pPr>
        <w:ind w:firstLine="480"/>
        <w:jc w:val="left"/>
        <w:spacing w:line="360" w:lineRule="exact"/>
        <w:widowControl/>
        <w:rPr>
          <w:rFonts w:hint="eastAsia" w:ascii="宋体" w:hAnsi="宋体" w:eastAsia="宋体" w:cs="宋体"/>
          <w:bCs/>
          <w:sz w:val="24"/>
          <w:lang w:bidi="ar"/>
        </w:rPr>
      </w:pPr>
      <w:r>
        <w:rPr>
          <w:rFonts w:hint="eastAsia" w:ascii="宋体" w:hAnsi="宋体" w:eastAsia="宋体" w:cs="宋体"/>
          <w:bCs/>
          <w:sz w:val="24"/>
          <w:lang w:bidi="ar"/>
        </w:rPr>
        <w:t xml:space="preserve">★★★①根据财政部《政府采购促进中小企业发展管理办法》（财库【2020】46号文）规定，在货物类采购项目中，产品制造商提供的货物既有中小企业制造货物，也有大型企业制造货物的，不享受中小企业扶持政策。因此货物类采购项目的供应商在填写《中小企业声明函》时，须按采购清单逐项列明每项产品的生产企业名称，并按声明函内容将每项产品生产企业的情况如实填写完整。如有遗漏的，则所遗漏项的生产企业将被视为非中小企业。</w:t>
      </w:r>
      <w:r/>
    </w:p>
    <w:p>
      <w:pPr>
        <w:ind w:firstLine="480"/>
        <w:jc w:val="left"/>
        <w:spacing w:line="360" w:lineRule="exact"/>
        <w:widowControl/>
        <w:rPr>
          <w:rFonts w:hint="eastAsia" w:ascii="宋体" w:hAnsi="宋体" w:eastAsia="宋体" w:cs="宋体"/>
          <w:bCs/>
          <w:sz w:val="24"/>
          <w:lang w:bidi="ar"/>
        </w:rPr>
      </w:pPr>
      <w:r>
        <w:rPr>
          <w:rFonts w:hint="eastAsia" w:ascii="宋体" w:hAnsi="宋体" w:eastAsia="宋体" w:cs="宋体"/>
          <w:bCs/>
          <w:sz w:val="24"/>
          <w:lang w:bidi="ar"/>
        </w:rPr>
        <w:t xml:space="preserve">②《中小企业声明函》中的“标的名称”是指采购清单中产品名称。</w:t>
      </w:r>
      <w:r/>
    </w:p>
    <w:p>
      <w:pPr>
        <w:ind w:firstLine="480"/>
        <w:jc w:val="left"/>
        <w:spacing w:line="360" w:lineRule="exact"/>
        <w:widowControl/>
        <w:rPr>
          <w:rFonts w:hint="eastAsia" w:ascii="宋体" w:hAnsi="宋体" w:eastAsia="宋体" w:cs="宋体"/>
          <w:bCs/>
          <w:sz w:val="24"/>
          <w:lang w:bidi="ar"/>
        </w:rPr>
      </w:pPr>
      <w:r>
        <w:rPr>
          <w:rFonts w:hint="eastAsia" w:ascii="宋体" w:hAnsi="宋体" w:eastAsia="宋体" w:cs="宋体"/>
          <w:bCs/>
          <w:sz w:val="24"/>
          <w:lang w:bidi="ar"/>
        </w:rPr>
        <w:t xml:space="preserve">2、残疾人福利单位价格扣除</w:t>
      </w:r>
      <w:r/>
    </w:p>
    <w:p>
      <w:pPr>
        <w:ind w:firstLine="480"/>
        <w:jc w:val="left"/>
        <w:spacing w:line="360" w:lineRule="exact"/>
        <w:widowControl/>
        <w:rPr>
          <w:rFonts w:hint="eastAsia" w:ascii="宋体" w:hAnsi="宋体" w:eastAsia="宋体" w:cs="宋体"/>
          <w:bCs/>
          <w:sz w:val="24"/>
          <w:lang w:bidi="ar"/>
        </w:rPr>
      </w:pPr>
      <w:r>
        <w:rPr>
          <w:rFonts w:hint="eastAsia" w:ascii="宋体" w:hAnsi="宋体" w:eastAsia="宋体" w:cs="宋体"/>
          <w:bCs/>
          <w:sz w:val="24"/>
          <w:lang w:bidi="ar"/>
        </w:rPr>
        <w:t xml:space="preserve">（1）本项目对残疾人福利性单位视同小型、微型企业，给予20%的价格扣除。</w:t>
      </w:r>
      <w:r/>
    </w:p>
    <w:p>
      <w:pPr>
        <w:ind w:firstLine="480"/>
        <w:jc w:val="left"/>
        <w:spacing w:line="360" w:lineRule="exact"/>
        <w:widowControl/>
        <w:rPr>
          <w:rFonts w:hint="eastAsia" w:ascii="宋体" w:hAnsi="宋体" w:eastAsia="宋体" w:cs="宋体"/>
          <w:bCs/>
          <w:sz w:val="24"/>
          <w:lang w:bidi="ar"/>
        </w:rPr>
      </w:pPr>
      <w:r>
        <w:rPr>
          <w:rFonts w:hint="eastAsia" w:ascii="宋体" w:hAnsi="宋体" w:eastAsia="宋体" w:cs="宋体"/>
          <w:bCs/>
          <w:sz w:val="24"/>
          <w:lang w:bidi="ar"/>
        </w:rPr>
        <w:t xml:space="preserve">（2）残疾人福利单位需按照采购文件的要求提供《残疾人福利性单位声明函》。</w:t>
      </w:r>
      <w:r/>
    </w:p>
    <w:p>
      <w:pPr>
        <w:ind w:firstLine="480"/>
        <w:jc w:val="left"/>
        <w:spacing w:line="360" w:lineRule="exact"/>
        <w:widowControl/>
        <w:rPr>
          <w:rFonts w:hint="eastAsia" w:ascii="宋体" w:hAnsi="宋体" w:eastAsia="宋体" w:cs="宋体"/>
          <w:bCs/>
          <w:sz w:val="24"/>
          <w:lang w:bidi="ar"/>
        </w:rPr>
      </w:pPr>
      <w:r>
        <w:rPr>
          <w:rFonts w:hint="eastAsia" w:ascii="宋体" w:hAnsi="宋体" w:eastAsia="宋体" w:cs="宋体"/>
          <w:bCs/>
          <w:sz w:val="24"/>
          <w:lang w:bidi="ar"/>
        </w:rPr>
        <w:t xml:space="preserve">（3）残疾人福利单位标准请参照《关于促进残疾人就业政府采购政策的通知》（财库〔2017〕141号）。</w:t>
      </w:r>
      <w:r/>
    </w:p>
    <w:p>
      <w:pPr>
        <w:ind w:firstLine="480"/>
        <w:jc w:val="left"/>
        <w:spacing w:line="360" w:lineRule="exact"/>
        <w:widowControl/>
        <w:rPr>
          <w:rFonts w:hint="eastAsia" w:ascii="宋体" w:hAnsi="宋体" w:eastAsia="宋体" w:cs="宋体"/>
          <w:bCs/>
          <w:sz w:val="24"/>
          <w:lang w:bidi="ar"/>
        </w:rPr>
      </w:pPr>
      <w:r>
        <w:rPr>
          <w:rFonts w:hint="eastAsia" w:ascii="宋体" w:hAnsi="宋体" w:eastAsia="宋体" w:cs="宋体"/>
          <w:bCs/>
          <w:sz w:val="24"/>
          <w:lang w:bidi="ar"/>
        </w:rPr>
        <w:t xml:space="preserve">3、监狱和戒毒企业价格扣除</w:t>
      </w:r>
      <w:r/>
    </w:p>
    <w:p>
      <w:pPr>
        <w:ind w:firstLine="480"/>
        <w:jc w:val="left"/>
        <w:spacing w:line="360" w:lineRule="exact"/>
        <w:widowControl/>
        <w:rPr>
          <w:rFonts w:hint="eastAsia" w:ascii="宋体" w:hAnsi="宋体" w:eastAsia="宋体" w:cs="宋体"/>
          <w:bCs/>
          <w:sz w:val="24"/>
          <w:lang w:bidi="ar"/>
        </w:rPr>
      </w:pPr>
      <w:r>
        <w:rPr>
          <w:rFonts w:hint="eastAsia" w:ascii="宋体" w:hAnsi="宋体" w:eastAsia="宋体" w:cs="宋体"/>
          <w:bCs/>
          <w:sz w:val="24"/>
          <w:lang w:bidi="ar"/>
        </w:rPr>
        <w:t xml:space="preserve">（1）本项目对监狱和戒毒企业（简称监狱企业）视同小型、微型企业，给予20%的价格扣除。</w:t>
      </w:r>
      <w:r/>
    </w:p>
    <w:p>
      <w:pPr>
        <w:ind w:firstLine="480"/>
        <w:jc w:val="left"/>
        <w:spacing w:line="360" w:lineRule="exact"/>
        <w:widowControl/>
        <w:rPr>
          <w:rFonts w:hint="eastAsia" w:ascii="宋体" w:hAnsi="宋体" w:eastAsia="宋体" w:cs="宋体"/>
          <w:bCs/>
          <w:sz w:val="24"/>
          <w:lang w:bidi="ar"/>
        </w:rPr>
      </w:pPr>
      <w:r>
        <w:rPr>
          <w:rFonts w:hint="eastAsia" w:ascii="宋体" w:hAnsi="宋体" w:eastAsia="宋体" w:cs="宋体"/>
          <w:bCs/>
          <w:sz w:val="24"/>
          <w:lang w:bidi="ar"/>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360" w:lineRule="exact"/>
        <w:widowControl/>
        <w:rPr>
          <w:rFonts w:hint="eastAsia" w:ascii="宋体" w:hAnsi="宋体" w:eastAsia="宋体" w:cs="宋体"/>
          <w:bCs/>
          <w:sz w:val="24"/>
          <w:lang w:bidi="ar"/>
        </w:rPr>
      </w:pPr>
      <w:r>
        <w:rPr>
          <w:rFonts w:hint="eastAsia" w:ascii="宋体" w:hAnsi="宋体" w:eastAsia="宋体" w:cs="宋体"/>
          <w:bCs/>
          <w:sz w:val="24"/>
          <w:lang w:bidi="ar"/>
        </w:rPr>
        <w:t xml:space="preserve">（3）监狱企业标准请参照《关于政府采购支持监狱企业发展有关问题的通知》（财库[2014]68号）。</w:t>
      </w:r>
      <w:r/>
    </w:p>
    <w:p>
      <w:pPr>
        <w:ind w:firstLine="480"/>
        <w:jc w:val="left"/>
        <w:spacing w:line="360" w:lineRule="exact"/>
        <w:widowControl/>
        <w:rPr>
          <w:rFonts w:hint="eastAsia" w:ascii="宋体" w:hAnsi="宋体" w:eastAsia="宋体" w:cs="宋体"/>
          <w:bCs/>
          <w:sz w:val="24"/>
          <w:lang w:bidi="ar"/>
        </w:rPr>
      </w:pPr>
      <w:r>
        <w:rPr>
          <w:rFonts w:hint="eastAsia" w:ascii="宋体" w:hAnsi="宋体" w:eastAsia="宋体" w:cs="宋体"/>
          <w:bCs/>
          <w:sz w:val="24"/>
          <w:lang w:bidi="ar"/>
        </w:rPr>
        <w:t xml:space="preserve">4、残疾人福利单位、监狱企业属于小型、微型企业的，不重复享受政策。</w:t>
      </w:r>
      <w:r/>
    </w:p>
    <w:p>
      <w:pPr>
        <w:ind w:firstLine="480"/>
        <w:jc w:val="left"/>
        <w:spacing w:line="360" w:lineRule="exact"/>
        <w:widowControl/>
        <w:rPr>
          <w:rFonts w:hint="eastAsia" w:ascii="宋体" w:hAnsi="宋体" w:eastAsia="宋体" w:cs="宋体"/>
          <w:bCs/>
          <w:sz w:val="24"/>
          <w:lang w:bidi="ar"/>
        </w:rPr>
      </w:pPr>
      <w:r>
        <w:rPr>
          <w:rFonts w:hint="eastAsia" w:ascii="宋体" w:hAnsi="宋体" w:eastAsia="宋体" w:cs="宋体"/>
          <w:bCs/>
          <w:sz w:val="24"/>
          <w:lang w:val="en-US" w:eastAsia="zh-CN" w:bidi="ar"/>
        </w:rPr>
        <w:t xml:space="preserve">5</w:t>
      </w:r>
      <w:r>
        <w:rPr>
          <w:rFonts w:hint="eastAsia" w:ascii="宋体" w:hAnsi="宋体" w:eastAsia="宋体" w:cs="宋体"/>
          <w:bCs/>
          <w:sz w:val="24"/>
          <w:lang w:bidi="ar"/>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bCs/>
          <w:sz w:val="24"/>
          <w:lang w:bidi="ar"/>
        </w:rPr>
        <w:t xml:space="preserve">其他条件相同情况下，应当优先采购节能产品、环境标志产品。</w:t>
      </w:r>
      <w:r/>
    </w:p>
    <w:p>
      <w:pPr>
        <w:ind w:firstLine="482"/>
        <w:spacing w:line="480" w:lineRule="exact"/>
        <w:rPr>
          <w:rFonts w:hint="eastAsia" w:ascii="宋体" w:hAnsi="宋体" w:eastAsia="宋体" w:cs="宋体"/>
          <w:b/>
          <w:bCs/>
          <w:sz w:val="24"/>
        </w:rPr>
        <w:outlineLvl w:val="0"/>
      </w:pPr>
      <w:r>
        <w:rPr>
          <w:rFonts w:hint="eastAsia" w:ascii="宋体" w:hAnsi="宋体" w:eastAsia="宋体" w:cs="宋体"/>
          <w:b/>
          <w:bCs/>
          <w:sz w:val="24"/>
        </w:rPr>
        <w:t xml:space="preserve">三、评标方法与评标标准</w:t>
      </w:r>
      <w:r/>
    </w:p>
    <w:p>
      <w:pPr>
        <w:ind w:firstLine="480"/>
        <w:jc w:val="left"/>
        <w:spacing w:line="360" w:lineRule="exact"/>
        <w:widowControl/>
        <w:rPr>
          <w:rFonts w:hint="eastAsia" w:ascii="宋体" w:hAnsi="宋体" w:eastAsia="宋体" w:cs="宋体"/>
          <w:bCs/>
          <w:sz w:val="24"/>
          <w:lang w:bidi="ar"/>
        </w:rPr>
      </w:pPr>
      <w:r>
        <w:rPr>
          <w:rFonts w:hint="eastAsia" w:ascii="宋体" w:hAnsi="宋体" w:eastAsia="宋体" w:cs="宋体"/>
          <w:bCs/>
          <w:sz w:val="24"/>
          <w:lang w:bidi="ar"/>
        </w:rPr>
        <w:t xml:space="preserve">本项目采用综合评分法确定中标候选人。评标委员会将按下列评分办法和标准进行评分，总分值为100分。</w:t>
      </w:r>
      <w:r/>
    </w:p>
    <w:tbl>
      <w:tblPr>
        <w:tblStyle w:val="70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15"/>
        <w:gridCol w:w="858"/>
        <w:gridCol w:w="7209"/>
        <w:gridCol w:w="674"/>
      </w:tblGrid>
      <w:tr>
        <w:trPr>
          <w:jc w:val="center"/>
          <w:trHeight w:val="613"/>
        </w:trPr>
        <w:tc>
          <w:tcPr>
            <w:shd w:val="clear" w:color="auto" w:fill="auto"/>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85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评审因素</w:t>
            </w:r>
            <w:r/>
          </w:p>
        </w:tc>
        <w:tc>
          <w:tcPr>
            <w:shd w:val="clear" w:color="auto" w:fill="auto"/>
            <w:tcBorders>
              <w:top w:val="single" w:color="auto" w:sz="4" w:space="0"/>
              <w:left w:val="none" w:color="000000" w:sz="4" w:space="0"/>
              <w:bottom w:val="single" w:color="auto" w:sz="4" w:space="0"/>
              <w:right w:val="single" w:color="auto" w:sz="4" w:space="0"/>
            </w:tcBorders>
            <w:tcW w:w="7209"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评审细则</w:t>
            </w:r>
            <w:r/>
          </w:p>
        </w:tc>
        <w:tc>
          <w:tcPr>
            <w:shd w:val="clear" w:color="auto" w:fill="auto"/>
            <w:tcBorders>
              <w:top w:val="single" w:color="auto" w:sz="4" w:space="0"/>
              <w:left w:val="none" w:color="000000" w:sz="4" w:space="0"/>
              <w:bottom w:val="single" w:color="auto" w:sz="4" w:space="0"/>
              <w:right w:val="single" w:color="auto" w:sz="4" w:space="0"/>
            </w:tcBorders>
            <w:tcW w:w="674"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分值</w:t>
            </w:r>
            <w:r/>
          </w:p>
        </w:tc>
      </w:tr>
      <w:tr>
        <w:trPr>
          <w:jc w:val="center"/>
          <w:trHeight w:val="902"/>
        </w:trPr>
        <w:tc>
          <w:tcPr>
            <w:shd w:val="clear" w:color="auto" w:fill="auto"/>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85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价格分</w:t>
            </w:r>
            <w:r/>
          </w:p>
        </w:tc>
        <w:tc>
          <w:tcPr>
            <w:shd w:val="clear" w:color="auto" w:fill="auto"/>
            <w:tcBorders>
              <w:top w:val="single" w:color="auto" w:sz="4" w:space="0"/>
              <w:left w:val="none" w:color="000000" w:sz="4" w:space="0"/>
              <w:bottom w:val="single" w:color="auto" w:sz="4" w:space="0"/>
              <w:right w:val="single" w:color="auto" w:sz="4" w:space="0"/>
            </w:tcBorders>
            <w:tcW w:w="7209" w:type="dxa"/>
            <w:vAlign w:val="center"/>
            <w:textDirection w:val="lrTb"/>
            <w:noWrap w:val="false"/>
          </w:tcPr>
          <w:p>
            <w:pPr>
              <w:jc w:val="left"/>
              <w:spacing w:line="273"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采用低价优先法计算，即满足采购文件要求且</w:t>
            </w:r>
            <w:r>
              <w:rPr>
                <w:rFonts w:hint="eastAsia" w:ascii="宋体" w:hAnsi="宋体" w:eastAsia="宋体" w:cs="宋体"/>
                <w:color w:val="auto"/>
                <w:sz w:val="24"/>
                <w:szCs w:val="24"/>
                <w:highlight w:val="none"/>
                <w:lang w:val="en-US" w:eastAsia="zh-CN"/>
              </w:rPr>
              <w:t xml:space="preserve">报价</w:t>
            </w:r>
            <w:r>
              <w:rPr>
                <w:rFonts w:hint="eastAsia" w:ascii="宋体" w:hAnsi="宋体" w:eastAsia="宋体" w:cs="宋体"/>
                <w:color w:val="auto"/>
                <w:sz w:val="24"/>
                <w:szCs w:val="24"/>
                <w:highlight w:val="none"/>
              </w:rPr>
              <w:t xml:space="preserve">最低的</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报价为评</w:t>
            </w:r>
            <w:r>
              <w:rPr>
                <w:rFonts w:hint="eastAsia" w:ascii="宋体" w:hAnsi="宋体" w:eastAsia="宋体" w:cs="宋体"/>
                <w:color w:val="auto"/>
                <w:sz w:val="24"/>
                <w:szCs w:val="24"/>
                <w:highlight w:val="none"/>
                <w:lang w:val="en-US" w:eastAsia="zh-CN"/>
              </w:rPr>
              <w:t xml:space="preserve">审</w:t>
            </w:r>
            <w:r>
              <w:rPr>
                <w:rFonts w:hint="eastAsia" w:ascii="宋体" w:hAnsi="宋体" w:eastAsia="宋体" w:cs="宋体"/>
                <w:color w:val="auto"/>
                <w:sz w:val="24"/>
                <w:szCs w:val="24"/>
                <w:highlight w:val="none"/>
              </w:rPr>
              <w:t xml:space="preserve">基准价，其价格分为满分。其他供应商的价格分统一按照下列公式计算：</w:t>
            </w:r>
            <w:r>
              <w:rPr>
                <w:rFonts w:hint="eastAsia" w:ascii="宋体" w:hAnsi="宋体" w:eastAsia="宋体" w:cs="宋体"/>
                <w:color w:val="auto"/>
                <w:sz w:val="24"/>
                <w:szCs w:val="24"/>
                <w:highlight w:val="none"/>
                <w:lang w:val="en-US" w:eastAsia="zh-CN"/>
              </w:rPr>
              <w:t xml:space="preserve">报价</w:t>
            </w:r>
            <w:r>
              <w:rPr>
                <w:rFonts w:hint="eastAsia" w:ascii="宋体" w:hAnsi="宋体" w:eastAsia="宋体" w:cs="宋体"/>
                <w:color w:val="auto"/>
                <w:sz w:val="24"/>
                <w:szCs w:val="24"/>
                <w:highlight w:val="none"/>
              </w:rPr>
              <w:t xml:space="preserve">得分=(评</w:t>
            </w:r>
            <w:r>
              <w:rPr>
                <w:rFonts w:hint="eastAsia" w:ascii="宋体" w:hAnsi="宋体" w:eastAsia="宋体" w:cs="宋体"/>
                <w:color w:val="auto"/>
                <w:sz w:val="24"/>
                <w:szCs w:val="24"/>
                <w:highlight w:val="none"/>
                <w:lang w:val="en-US" w:eastAsia="zh-CN"/>
              </w:rPr>
              <w:t xml:space="preserve">审</w:t>
            </w:r>
            <w:r>
              <w:rPr>
                <w:rFonts w:hint="eastAsia" w:ascii="宋体" w:hAnsi="宋体" w:eastAsia="宋体" w:cs="宋体"/>
                <w:color w:val="auto"/>
                <w:sz w:val="24"/>
                <w:szCs w:val="24"/>
                <w:highlight w:val="none"/>
              </w:rPr>
              <w:t xml:space="preserve">基准价/</w:t>
            </w:r>
            <w:r>
              <w:rPr>
                <w:rFonts w:hint="eastAsia" w:ascii="宋体" w:hAnsi="宋体" w:eastAsia="宋体" w:cs="宋体"/>
                <w:color w:val="auto"/>
                <w:sz w:val="24"/>
                <w:szCs w:val="24"/>
                <w:highlight w:val="none"/>
                <w:lang w:val="en-US" w:eastAsia="zh-CN"/>
              </w:rPr>
              <w:t xml:space="preserve">该供应商最后投标</w:t>
            </w:r>
            <w:r>
              <w:rPr>
                <w:rFonts w:hint="eastAsia" w:ascii="宋体" w:hAnsi="宋体" w:eastAsia="宋体" w:cs="宋体"/>
                <w:color w:val="auto"/>
                <w:sz w:val="24"/>
                <w:szCs w:val="24"/>
                <w:highlight w:val="none"/>
              </w:rPr>
              <w:t xml:space="preserve">报价)×</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0</w:t>
            </w:r>
            <w:r>
              <w:rPr>
                <w:rFonts w:hint="eastAsia" w:asciiTheme="minorEastAsia" w:hAnsiTheme="minorEastAsia" w:eastAsiaTheme="minorEastAsia" w:cstheme="minorEastAsia"/>
                <w:color w:val="000000"/>
                <w:sz w:val="24"/>
                <w:szCs w:val="24"/>
              </w:rPr>
              <w:t xml:space="preserve">（小数点保留两位）</w:t>
            </w:r>
            <w:r/>
          </w:p>
        </w:tc>
        <w:tc>
          <w:tcPr>
            <w:shd w:val="clear" w:color="auto" w:fill="auto"/>
            <w:tcBorders>
              <w:top w:val="single" w:color="auto" w:sz="4" w:space="0"/>
              <w:left w:val="none" w:color="000000" w:sz="4" w:space="0"/>
              <w:bottom w:val="single" w:color="auto" w:sz="4" w:space="0"/>
              <w:right w:val="single" w:color="auto" w:sz="4" w:space="0"/>
            </w:tcBorders>
            <w:tcW w:w="674"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0</w:t>
            </w:r>
            <w:r/>
          </w:p>
        </w:tc>
      </w:tr>
      <w:tr>
        <w:trPr>
          <w:jc w:val="center"/>
          <w:trHeight w:val="1314"/>
        </w:trPr>
        <w:tc>
          <w:tcPr>
            <w:shd w:val="clear" w:color="auto" w:fill="auto"/>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858" w:type="dxa"/>
            <w:vAlign w:val="center"/>
            <w:textDirection w:val="lrTb"/>
            <w:noWrap w:val="false"/>
          </w:tcPr>
          <w:p>
            <w:pPr>
              <w:jc w:val="center"/>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产品性能、配置要求</w:t>
            </w:r>
            <w:r/>
          </w:p>
        </w:tc>
        <w:tc>
          <w:tcPr>
            <w:shd w:val="clear" w:color="auto" w:fill="auto"/>
            <w:tcBorders>
              <w:top w:val="single" w:color="auto" w:sz="4" w:space="0"/>
              <w:left w:val="none" w:color="000000" w:sz="4" w:space="0"/>
              <w:bottom w:val="single" w:color="auto" w:sz="4" w:space="0"/>
              <w:right w:val="single" w:color="auto" w:sz="4" w:space="0"/>
            </w:tcBorders>
            <w:tcW w:w="7209" w:type="dxa"/>
            <w:vAlign w:val="center"/>
            <w:textDirection w:val="lrTb"/>
            <w:noWrap w:val="false"/>
          </w:tcPr>
          <w:p>
            <w:pPr>
              <w:ind w:firstLine="480"/>
              <w:keepLines w:val="0"/>
              <w:keepNext w:val="0"/>
              <w:pageBreakBefore w:val="0"/>
              <w:spacing w:line="520" w:lineRule="exact"/>
              <w:widowControl w:val="off"/>
              <w:rPr>
                <w:rFonts w:hint="eastAsia" w:eastAsia="宋体"/>
                <w:sz w:val="24"/>
              </w:rPr>
            </w:pPr>
            <w:r>
              <w:rPr>
                <w:rFonts w:hint="eastAsia" w:eastAsia="宋体"/>
                <w:sz w:val="24"/>
              </w:rPr>
              <w:t xml:space="preserve">根据</w:t>
            </w:r>
            <w:r>
              <w:rPr>
                <w:rFonts w:hint="eastAsia" w:eastAsia="宋体"/>
                <w:sz w:val="24"/>
                <w:lang w:val="en-US" w:eastAsia="zh-CN"/>
              </w:rPr>
              <w:t xml:space="preserve">供应商</w:t>
            </w:r>
            <w:r>
              <w:rPr>
                <w:rFonts w:hint="eastAsia" w:eastAsia="宋体"/>
                <w:sz w:val="24"/>
              </w:rPr>
              <w:t xml:space="preserve">所投的产品性能指标的响应情况进行评分。完全满足</w:t>
            </w:r>
            <w:r>
              <w:rPr>
                <w:rFonts w:hint="eastAsia" w:eastAsia="宋体"/>
                <w:sz w:val="24"/>
                <w:lang w:val="en-US" w:eastAsia="zh-CN"/>
              </w:rPr>
              <w:t xml:space="preserve">采购</w:t>
            </w:r>
            <w:r>
              <w:rPr>
                <w:rFonts w:hint="eastAsia" w:eastAsia="宋体"/>
                <w:sz w:val="24"/>
              </w:rPr>
              <w:t xml:space="preserve">文件</w:t>
            </w:r>
            <w:r>
              <w:rPr>
                <w:rFonts w:hint="eastAsia" w:eastAsia="宋体"/>
                <w:sz w:val="24"/>
                <w:lang w:val="en-US" w:eastAsia="zh-CN"/>
              </w:rPr>
              <w:t xml:space="preserve">采购需求“一、服务要求”</w:t>
            </w:r>
            <w:r>
              <w:rPr>
                <w:rFonts w:hint="eastAsia" w:eastAsia="宋体"/>
                <w:color w:val="000000" w:themeColor="text1"/>
                <w:sz w:val="24"/>
                <w14:textFill>
                  <w14:solidFill>
                    <w14:schemeClr w14:val="tx1"/>
                  </w14:solidFill>
                </w14:textFill>
              </w:rPr>
              <w:t xml:space="preserve">（或正偏离）</w:t>
            </w:r>
            <w:r>
              <w:rPr>
                <w:rFonts w:hint="eastAsia" w:eastAsia="宋体"/>
                <w:sz w:val="24"/>
              </w:rPr>
              <w:t xml:space="preserve">要求的得</w:t>
            </w:r>
            <w:r>
              <w:rPr>
                <w:rFonts w:hint="eastAsia" w:eastAsia="宋体"/>
                <w:sz w:val="24"/>
                <w:lang w:val="en-US" w:eastAsia="zh-CN"/>
              </w:rPr>
              <w:t xml:space="preserve">20</w:t>
            </w:r>
            <w:r>
              <w:rPr>
                <w:rFonts w:hint="eastAsia" w:eastAsia="宋体"/>
                <w:sz w:val="24"/>
              </w:rPr>
              <w:t xml:space="preserve">分。</w:t>
            </w:r>
            <w:r/>
          </w:p>
          <w:p>
            <w:pPr>
              <w:ind w:left="63" w:firstLine="480"/>
              <w:rPr>
                <w:rFonts w:hint="eastAsia" w:ascii="宋体" w:hAnsi="宋体" w:eastAsia="宋体" w:cs="宋体"/>
                <w:color w:val="000000"/>
                <w:sz w:val="24"/>
              </w:rPr>
            </w:pPr>
            <w:r>
              <w:rPr>
                <w:rFonts w:hint="eastAsia" w:ascii="宋体" w:hAnsi="宋体" w:eastAsia="宋体" w:cs="宋体"/>
                <w:sz w:val="24"/>
              </w:rPr>
              <w:t xml:space="preserve">招标文件中带“</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sz w:val="24"/>
              </w:rPr>
              <w:t xml:space="preserve">”条款为重要技术指标，</w:t>
            </w:r>
            <w:r>
              <w:rPr>
                <w:rFonts w:hint="eastAsia" w:ascii="宋体" w:hAnsi="宋体" w:eastAsia="宋体" w:cs="宋体"/>
                <w:color w:val="000000"/>
                <w:sz w:val="24"/>
              </w:rPr>
              <w:t xml:space="preserve">有一项负偏离扣2分，</w:t>
            </w:r>
            <w:r>
              <w:rPr>
                <w:rFonts w:hint="eastAsia" w:ascii="宋体" w:hAnsi="宋体" w:eastAsia="宋体" w:cs="宋体"/>
                <w:sz w:val="24"/>
              </w:rPr>
              <w:t xml:space="preserve">须</w:t>
            </w:r>
            <w:r>
              <w:rPr>
                <w:rFonts w:hint="eastAsia" w:ascii="宋体" w:hAnsi="宋体" w:eastAsia="宋体" w:cs="宋体"/>
                <w:color w:val="auto"/>
                <w:sz w:val="24"/>
                <w:szCs w:val="24"/>
                <w:highlight w:val="none"/>
                <w:lang w:val="en-US" w:eastAsia="zh-CN"/>
              </w:rPr>
              <w:t xml:space="preserve">提供截图证明</w:t>
            </w:r>
            <w:r>
              <w:rPr>
                <w:rFonts w:hint="eastAsia" w:ascii="宋体" w:hAnsi="宋体" w:eastAsia="宋体" w:cs="宋体"/>
                <w:color w:val="000000"/>
                <w:sz w:val="24"/>
              </w:rPr>
              <w:t xml:space="preserve">材料彩色扫描件并加盖</w:t>
            </w:r>
            <w:r>
              <w:rPr>
                <w:rFonts w:hint="eastAsia" w:ascii="宋体" w:hAnsi="宋体" w:eastAsia="宋体" w:cs="宋体"/>
                <w:color w:val="000000"/>
                <w:sz w:val="24"/>
                <w:lang w:val="en-US" w:eastAsia="zh-CN"/>
              </w:rPr>
              <w:t xml:space="preserve">供应商</w:t>
            </w:r>
            <w:r>
              <w:rPr>
                <w:rFonts w:hint="eastAsia" w:ascii="宋体" w:hAnsi="宋体" w:eastAsia="宋体" w:cs="宋体"/>
                <w:color w:val="000000"/>
                <w:sz w:val="24"/>
              </w:rPr>
              <w:t xml:space="preserve">公章，未提供或所要求提供的证明材料不完整、不清晰等问题，即便</w:t>
            </w:r>
            <w:r>
              <w:rPr>
                <w:rFonts w:hint="eastAsia" w:ascii="宋体" w:hAnsi="宋体" w:eastAsia="宋体" w:cs="宋体"/>
                <w:color w:val="000000"/>
                <w:sz w:val="24"/>
                <w:lang w:val="en-US" w:eastAsia="zh-CN"/>
              </w:rPr>
              <w:t xml:space="preserve">响应</w:t>
            </w:r>
            <w:r>
              <w:rPr>
                <w:rFonts w:hint="eastAsia" w:ascii="宋体" w:hAnsi="宋体" w:eastAsia="宋体" w:cs="宋体"/>
                <w:color w:val="000000"/>
                <w:sz w:val="24"/>
              </w:rPr>
              <w:t xml:space="preserve">文件中已承诺响应采购需求的，评审</w:t>
            </w:r>
            <w:r>
              <w:rPr>
                <w:rFonts w:hint="eastAsia" w:ascii="宋体" w:hAnsi="宋体" w:eastAsia="宋体" w:cs="宋体"/>
                <w:color w:val="000000"/>
                <w:sz w:val="24"/>
                <w:lang w:val="en-US" w:eastAsia="zh-CN"/>
              </w:rPr>
              <w:t xml:space="preserve">也予以扣除相应分值</w:t>
            </w:r>
            <w:r>
              <w:rPr>
                <w:rFonts w:hint="eastAsia" w:ascii="宋体" w:hAnsi="宋体" w:eastAsia="宋体" w:cs="宋体"/>
                <w:color w:val="000000"/>
                <w:sz w:val="24"/>
              </w:rPr>
              <w:t xml:space="preserve">。</w:t>
            </w:r>
            <w:r/>
          </w:p>
          <w:p>
            <w:pPr>
              <w:ind w:firstLine="480"/>
              <w:jc w:val="left"/>
              <w:widowControl/>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sz w:val="24"/>
              </w:rPr>
              <w:t xml:space="preserve">其它条款为一般技术指标，需提供《技术参数响应偏离表》，</w:t>
            </w:r>
            <w:r>
              <w:rPr>
                <w:rFonts w:hint="eastAsia" w:ascii="宋体" w:hAnsi="宋体" w:eastAsia="宋体" w:cs="宋体"/>
                <w:color w:val="000000" w:themeColor="text1"/>
                <w:sz w:val="24"/>
                <w14:textFill>
                  <w14:solidFill>
                    <w14:schemeClr w14:val="tx1"/>
                  </w14:solidFill>
                </w14:textFill>
              </w:rPr>
              <w:t xml:space="preserve">负偏离达1-3项的扣1分，负偏离达4-8项的扣3分，负偏离达9-15项的扣5分，负偏离达16项</w:t>
            </w:r>
            <w:r>
              <w:rPr>
                <w:rFonts w:hint="eastAsia" w:ascii="宋体" w:hAnsi="宋体" w:eastAsia="宋体" w:cs="宋体"/>
                <w:color w:val="000000" w:themeColor="text1"/>
                <w:sz w:val="24"/>
                <w:lang w:val="en-US" w:eastAsia="zh-CN"/>
                <w14:textFill>
                  <w14:solidFill>
                    <w14:schemeClr w14:val="tx1"/>
                  </w14:solidFill>
                </w14:textFill>
              </w:rPr>
              <w:t xml:space="preserve">以上</w:t>
            </w:r>
            <w:r>
              <w:rPr>
                <w:rFonts w:hint="eastAsia" w:ascii="宋体" w:hAnsi="宋体" w:eastAsia="宋体" w:cs="宋体"/>
                <w:color w:val="000000" w:themeColor="text1"/>
                <w:sz w:val="24"/>
                <w14:textFill>
                  <w14:solidFill>
                    <w14:schemeClr w14:val="tx1"/>
                  </w14:solidFill>
                </w14:textFill>
              </w:rPr>
              <w:t xml:space="preserve">的每项扣1分，扣完为止。</w:t>
            </w:r>
            <w:r>
              <w:rPr>
                <w:rFonts w:hint="eastAsia" w:ascii="宋体" w:hAnsi="宋体" w:eastAsia="宋体" w:cs="宋体"/>
                <w:color w:val="auto"/>
                <w:sz w:val="24"/>
                <w:szCs w:val="24"/>
                <w:highlight w:val="none"/>
              </w:rPr>
              <w:t xml:space="preserve">严重负偏离的经半数以上评委认定，本项不得分。</w:t>
            </w:r>
            <w:r/>
          </w:p>
          <w:p>
            <w:pPr>
              <w:pStyle w:val="720"/>
              <w:ind w:firstLine="482"/>
              <w:rPr>
                <w:rFonts w:hint="eastAsia"/>
              </w:rPr>
            </w:pPr>
            <w:r>
              <w:rPr>
                <w:rFonts w:hint="eastAsia" w:ascii="宋体" w:hAnsi="宋体" w:eastAsia="宋体" w:cs="宋体"/>
                <w:b/>
                <w:bCs/>
                <w:color w:val="000000" w:themeColor="text1"/>
                <w:sz w:val="24"/>
                <w14:textFill>
                  <w14:solidFill>
                    <w14:schemeClr w14:val="tx1"/>
                  </w14:solidFill>
                </w14:textFill>
              </w:rPr>
              <w:t xml:space="preserve">性能要求和配置要求不得虚假响应，如经查实，将予以取消</w:t>
            </w:r>
            <w:r>
              <w:rPr>
                <w:rFonts w:hint="eastAsia" w:ascii="宋体" w:hAnsi="宋体" w:eastAsia="宋体" w:cs="宋体"/>
                <w:b/>
                <w:bCs/>
                <w:color w:val="000000" w:themeColor="text1"/>
                <w:sz w:val="24"/>
                <w:lang w:val="en-US" w:eastAsia="zh-CN"/>
                <w14:textFill>
                  <w14:solidFill>
                    <w14:schemeClr w14:val="tx1"/>
                  </w14:solidFill>
                </w14:textFill>
              </w:rPr>
              <w:t xml:space="preserve">成交</w:t>
            </w:r>
            <w:r>
              <w:rPr>
                <w:rFonts w:hint="eastAsia" w:ascii="宋体" w:hAnsi="宋体" w:eastAsia="宋体" w:cs="宋体"/>
                <w:b/>
                <w:bCs/>
                <w:color w:val="000000" w:themeColor="text1"/>
                <w:sz w:val="24"/>
                <w14:textFill>
                  <w14:solidFill>
                    <w14:schemeClr w14:val="tx1"/>
                  </w14:solidFill>
                </w14:textFill>
              </w:rPr>
              <w:t xml:space="preserve">资格，提交财政监管部门列入不良记录处理。</w:t>
            </w:r>
            <w:r/>
          </w:p>
        </w:tc>
        <w:tc>
          <w:tcPr>
            <w:shd w:val="clear" w:color="auto" w:fill="auto"/>
            <w:tcBorders>
              <w:top w:val="single" w:color="auto" w:sz="4" w:space="0"/>
              <w:left w:val="none" w:color="000000" w:sz="4" w:space="0"/>
              <w:bottom w:val="single" w:color="auto" w:sz="4" w:space="0"/>
              <w:right w:val="single" w:color="auto" w:sz="4" w:space="0"/>
            </w:tcBorders>
            <w:tcW w:w="674"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w:t>
            </w:r>
            <w:r/>
          </w:p>
        </w:tc>
      </w:tr>
      <w:tr>
        <w:trPr>
          <w:jc w:val="center"/>
          <w:trHeight w:val="253"/>
        </w:trPr>
        <w:tc>
          <w:tcPr>
            <w:shd w:val="clear" w:color="auto" w:fill="auto"/>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jc w:val="center"/>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85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实施方案</w:t>
            </w:r>
            <w:r/>
          </w:p>
        </w:tc>
        <w:tc>
          <w:tcPr>
            <w:shd w:val="clear" w:color="auto" w:fill="auto"/>
            <w:tcBorders>
              <w:top w:val="single" w:color="auto" w:sz="4" w:space="0"/>
              <w:left w:val="none" w:color="000000" w:sz="4" w:space="0"/>
              <w:bottom w:val="single" w:color="auto" w:sz="4" w:space="0"/>
              <w:right w:val="single" w:color="auto" w:sz="4" w:space="0"/>
            </w:tcBorders>
            <w:tcW w:w="7209" w:type="dxa"/>
            <w:vAlign w:val="center"/>
            <w:textDirection w:val="lrTb"/>
            <w:noWrap w:val="false"/>
          </w:tcPr>
          <w:p>
            <w:pPr>
              <w:ind w:firstLine="480"/>
              <w:spacing w:line="273"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根据供应商针对本项目</w:t>
            </w:r>
            <w:r>
              <w:rPr>
                <w:rFonts w:hint="eastAsia" w:ascii="宋体" w:hAnsi="宋体" w:eastAsia="宋体" w:cs="宋体"/>
                <w:color w:val="auto"/>
                <w:sz w:val="24"/>
                <w:szCs w:val="24"/>
                <w:highlight w:val="none"/>
              </w:rPr>
              <w:t xml:space="preserve">提供的</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实施方案（包括进度安排、组织架构、进度控制、风险控制管理、质量保障措施、安全管理措施、文档管理措施等）进行评价。</w:t>
            </w:r>
            <w:r/>
          </w:p>
          <w:p>
            <w:pPr>
              <w:ind w:firstLine="482"/>
              <w:spacing w:line="273" w:lineRule="auto"/>
              <w:widowControl/>
              <w:rPr>
                <w:rFonts w:hint="eastAsia" w:ascii="宋体" w:hAnsi="宋体" w:eastAsia="宋体" w:cs="宋体"/>
                <w:color w:val="auto"/>
                <w:sz w:val="24"/>
                <w:szCs w:val="24"/>
                <w:highlight w:val="none"/>
              </w:rPr>
            </w:pPr>
            <w:r>
              <w:rPr>
                <w:rFonts w:hint="eastAsia" w:ascii="宋体" w:hAnsi="宋体" w:cs="宋体"/>
                <w:b/>
                <w:bCs/>
                <w:sz w:val="24"/>
                <w:highlight w:val="none"/>
              </w:rPr>
              <w:t xml:space="preserve">方案中有上述内容，</w:t>
            </w:r>
            <w:r>
              <w:rPr>
                <w:rFonts w:hint="eastAsia" w:ascii="宋体" w:hAnsi="宋体" w:cs="宋体"/>
                <w:b/>
                <w:bCs/>
                <w:color w:val="000000" w:themeColor="text1"/>
                <w:sz w:val="24"/>
                <w:highlight w:val="none"/>
                <w14:textFill>
                  <w14:solidFill>
                    <w14:schemeClr w14:val="tx1"/>
                  </w14:solidFill>
                </w14:textFill>
              </w:rPr>
              <w:t xml:space="preserve">方案完整详细</w:t>
            </w:r>
            <w:r>
              <w:rPr>
                <w:rFonts w:hint="eastAsia" w:ascii="宋体" w:hAnsi="宋体" w:cs="宋体"/>
                <w:b/>
                <w:bCs/>
                <w:color w:val="000000" w:themeColor="text1"/>
                <w:sz w:val="24"/>
                <w:highlight w:val="none"/>
                <w:lang w:eastAsia="zh-CN"/>
                <w14:textFill>
                  <w14:solidFill>
                    <w14:schemeClr w14:val="tx1"/>
                  </w14:solidFill>
                </w14:textFill>
              </w:rPr>
              <w:t xml:space="preserve">，</w:t>
            </w:r>
            <w:r>
              <w:rPr>
                <w:rFonts w:hint="eastAsia" w:ascii="宋体" w:hAnsi="宋体" w:cs="宋体"/>
                <w:b/>
                <w:bCs/>
                <w:sz w:val="24"/>
                <w:highlight w:val="none"/>
              </w:rPr>
              <w:t xml:space="preserve">专业性、可行性强，考虑周全，思路清晰，符合实际，完全满足采购需求的得</w:t>
            </w:r>
            <w:r>
              <w:rPr>
                <w:rFonts w:hint="eastAsia" w:ascii="宋体" w:hAnsi="宋体" w:cs="宋体"/>
                <w:b/>
                <w:bCs/>
                <w:sz w:val="24"/>
                <w:highlight w:val="none"/>
                <w:lang w:val="en-US" w:eastAsia="zh-CN"/>
              </w:rPr>
              <w:t xml:space="preserve">7</w:t>
            </w:r>
            <w:r>
              <w:rPr>
                <w:rFonts w:hint="eastAsia" w:ascii="宋体" w:hAnsi="宋体" w:cs="宋体"/>
                <w:b/>
                <w:bCs/>
                <w:sz w:val="24"/>
                <w:highlight w:val="none"/>
              </w:rPr>
              <w:t xml:space="preserve">分；每有一项内容缺失的扣</w:t>
            </w:r>
            <w:r>
              <w:rPr>
                <w:rFonts w:hint="eastAsia" w:ascii="宋体" w:hAnsi="宋体" w:cs="宋体"/>
                <w:b/>
                <w:bCs/>
                <w:sz w:val="24"/>
                <w:highlight w:val="none"/>
                <w:lang w:val="en-US" w:eastAsia="zh-CN"/>
              </w:rPr>
              <w:t xml:space="preserve">1</w:t>
            </w:r>
            <w:r>
              <w:rPr>
                <w:rFonts w:hint="eastAsia" w:ascii="宋体" w:hAnsi="宋体" w:cs="宋体"/>
                <w:b/>
                <w:bCs/>
                <w:sz w:val="24"/>
                <w:highlight w:val="none"/>
              </w:rPr>
              <w:t xml:space="preserve">分</w:t>
            </w:r>
            <w:r>
              <w:rPr>
                <w:rFonts w:hint="eastAsia" w:ascii="宋体" w:hAnsi="宋体" w:cs="宋体"/>
                <w:b/>
                <w:bCs/>
                <w:sz w:val="24"/>
                <w:highlight w:val="none"/>
                <w:lang w:eastAsia="zh-CN"/>
              </w:rPr>
              <w:t xml:space="preserve">，</w:t>
            </w:r>
            <w:r>
              <w:rPr>
                <w:rFonts w:hint="eastAsia" w:ascii="宋体" w:hAnsi="宋体" w:cs="宋体"/>
                <w:b/>
                <w:bCs/>
                <w:sz w:val="24"/>
                <w:highlight w:val="none"/>
              </w:rPr>
              <w:t xml:space="preserve">每有一处内容存在缺陷或不满足要求的扣</w:t>
            </w:r>
            <w:r>
              <w:rPr>
                <w:rFonts w:hint="eastAsia" w:ascii="宋体" w:hAnsi="宋体" w:cs="宋体"/>
                <w:b/>
                <w:bCs/>
                <w:sz w:val="24"/>
                <w:highlight w:val="none"/>
                <w:lang w:val="en-US" w:eastAsia="zh-CN"/>
              </w:rPr>
              <w:t xml:space="preserve">0.5</w:t>
            </w:r>
            <w:r>
              <w:rPr>
                <w:rFonts w:hint="eastAsia" w:ascii="宋体" w:hAnsi="宋体" w:cs="宋体"/>
                <w:b/>
                <w:bCs/>
                <w:sz w:val="24"/>
                <w:highlight w:val="none"/>
              </w:rPr>
              <w:t xml:space="preserve">分，扣完为止。(缺陷或不满足指:内容不全面、与实际需求不符、内容不清晰或交叉混乱、套用其他项目方案、有规范性或常识性错误、有逻辑漏洞、存在无关的事项、凭空编造、存在不可能实现的夸大情形等任意一种情形)未提供方案不得分。</w:t>
            </w:r>
            <w:r/>
          </w:p>
        </w:tc>
        <w:tc>
          <w:tcPr>
            <w:shd w:val="clear" w:color="auto" w:fill="auto"/>
            <w:tcBorders>
              <w:top w:val="single" w:color="auto" w:sz="4" w:space="0"/>
              <w:left w:val="none" w:color="000000" w:sz="4" w:space="0"/>
              <w:bottom w:val="single" w:color="auto" w:sz="4" w:space="0"/>
              <w:right w:val="single" w:color="auto" w:sz="4" w:space="0"/>
            </w:tcBorders>
            <w:tcW w:w="674"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p>
        </w:tc>
      </w:tr>
      <w:tr>
        <w:trPr>
          <w:jc w:val="center"/>
          <w:trHeight w:val="286"/>
        </w:trPr>
        <w:tc>
          <w:tcPr>
            <w:shd w:val="clear" w:color="auto" w:fill="auto"/>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jc w:val="center"/>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85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集成方案</w:t>
            </w:r>
            <w:r/>
          </w:p>
        </w:tc>
        <w:tc>
          <w:tcPr>
            <w:shd w:val="clear" w:color="auto" w:fill="auto"/>
            <w:tcBorders>
              <w:top w:val="single" w:color="auto" w:sz="4" w:space="0"/>
              <w:left w:val="none" w:color="000000" w:sz="4" w:space="0"/>
              <w:bottom w:val="single" w:color="auto" w:sz="4" w:space="0"/>
              <w:right w:val="single" w:color="auto" w:sz="4" w:space="0"/>
            </w:tcBorders>
            <w:tcW w:w="7209" w:type="dxa"/>
            <w:textDirection w:val="lrTb"/>
            <w:noWrap w:val="false"/>
          </w:tcPr>
          <w:p>
            <w:pPr>
              <w:ind w:firstLine="480"/>
              <w:spacing w:line="273"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根据供应商针对本项目</w:t>
            </w:r>
            <w:r>
              <w:rPr>
                <w:rFonts w:hint="eastAsia" w:ascii="宋体" w:hAnsi="宋体" w:eastAsia="宋体" w:cs="宋体"/>
                <w:color w:val="auto"/>
                <w:sz w:val="24"/>
                <w:szCs w:val="24"/>
                <w:highlight w:val="none"/>
              </w:rPr>
              <w:t xml:space="preserve">提供的</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集成方案（包括用户现状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项目建设需求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整合计划</w:t>
            </w:r>
            <w:r>
              <w:rPr>
                <w:rFonts w:hint="eastAsia" w:ascii="宋体" w:hAnsi="宋体" w:eastAsia="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rPr>
              <w:t xml:space="preserve">）。</w:t>
            </w:r>
            <w:r/>
          </w:p>
          <w:p>
            <w:pPr>
              <w:ind w:firstLine="482"/>
              <w:spacing w:line="273" w:lineRule="auto"/>
              <w:widowControl/>
              <w:rPr>
                <w:rFonts w:hint="eastAsia" w:ascii="宋体" w:hAnsi="宋体" w:eastAsia="宋体" w:cs="宋体"/>
                <w:color w:val="auto"/>
                <w:sz w:val="24"/>
                <w:szCs w:val="24"/>
                <w:highlight w:val="none"/>
              </w:rPr>
            </w:pPr>
            <w:r>
              <w:rPr>
                <w:rFonts w:hint="eastAsia" w:ascii="宋体" w:hAnsi="宋体" w:cs="宋体"/>
                <w:b/>
                <w:bCs/>
                <w:sz w:val="24"/>
                <w:highlight w:val="none"/>
              </w:rPr>
              <w:t xml:space="preserve">方案中有上述内容，</w:t>
            </w:r>
            <w:r>
              <w:rPr>
                <w:rFonts w:hint="eastAsia" w:ascii="宋体" w:hAnsi="宋体" w:cs="宋体"/>
                <w:b/>
                <w:bCs/>
                <w:color w:val="000000" w:themeColor="text1"/>
                <w:sz w:val="24"/>
                <w:highlight w:val="none"/>
                <w14:textFill>
                  <w14:solidFill>
                    <w14:schemeClr w14:val="tx1"/>
                  </w14:solidFill>
                </w14:textFill>
              </w:rPr>
              <w:t xml:space="preserve">方案完整详细</w:t>
            </w:r>
            <w:r>
              <w:rPr>
                <w:rFonts w:hint="eastAsia" w:ascii="宋体" w:hAnsi="宋体" w:cs="宋体"/>
                <w:b/>
                <w:bCs/>
                <w:color w:val="000000" w:themeColor="text1"/>
                <w:sz w:val="24"/>
                <w:highlight w:val="none"/>
                <w:lang w:eastAsia="zh-CN"/>
                <w14:textFill>
                  <w14:solidFill>
                    <w14:schemeClr w14:val="tx1"/>
                  </w14:solidFill>
                </w14:textFill>
              </w:rPr>
              <w:t xml:space="preserve">，</w:t>
            </w:r>
            <w:r>
              <w:rPr>
                <w:rFonts w:hint="eastAsia" w:ascii="宋体" w:hAnsi="宋体" w:cs="宋体"/>
                <w:b/>
                <w:bCs/>
                <w:sz w:val="24"/>
                <w:highlight w:val="none"/>
              </w:rPr>
              <w:t xml:space="preserve">专业性、可行性强，考虑周全，思路清晰，符合实际，完全满足采购需求的得</w:t>
            </w:r>
            <w:r>
              <w:rPr>
                <w:rFonts w:hint="eastAsia" w:ascii="宋体" w:hAnsi="宋体" w:cs="宋体"/>
                <w:b/>
                <w:bCs/>
                <w:sz w:val="24"/>
                <w:highlight w:val="none"/>
                <w:lang w:val="en-US" w:eastAsia="zh-CN"/>
              </w:rPr>
              <w:t xml:space="preserve">6</w:t>
            </w:r>
            <w:r>
              <w:rPr>
                <w:rFonts w:hint="eastAsia" w:ascii="宋体" w:hAnsi="宋体" w:cs="宋体"/>
                <w:b/>
                <w:bCs/>
                <w:sz w:val="24"/>
                <w:highlight w:val="none"/>
              </w:rPr>
              <w:t xml:space="preserve">分；每有一项内容缺失的扣</w:t>
            </w:r>
            <w:r>
              <w:rPr>
                <w:rFonts w:hint="eastAsia" w:ascii="宋体" w:hAnsi="宋体" w:cs="宋体"/>
                <w:b/>
                <w:bCs/>
                <w:sz w:val="24"/>
                <w:highlight w:val="none"/>
                <w:lang w:val="en-US" w:eastAsia="zh-CN"/>
              </w:rPr>
              <w:t xml:space="preserve">2</w:t>
            </w:r>
            <w:r>
              <w:rPr>
                <w:rFonts w:hint="eastAsia" w:ascii="宋体" w:hAnsi="宋体" w:cs="宋体"/>
                <w:b/>
                <w:bCs/>
                <w:sz w:val="24"/>
                <w:highlight w:val="none"/>
              </w:rPr>
              <w:t xml:space="preserve">分</w:t>
            </w:r>
            <w:r>
              <w:rPr>
                <w:rFonts w:hint="eastAsia" w:ascii="宋体" w:hAnsi="宋体" w:cs="宋体"/>
                <w:b/>
                <w:bCs/>
                <w:sz w:val="24"/>
                <w:highlight w:val="none"/>
                <w:lang w:eastAsia="zh-CN"/>
              </w:rPr>
              <w:t xml:space="preserve">，</w:t>
            </w:r>
            <w:r>
              <w:rPr>
                <w:rFonts w:hint="eastAsia" w:ascii="宋体" w:hAnsi="宋体" w:cs="宋体"/>
                <w:b/>
                <w:bCs/>
                <w:sz w:val="24"/>
                <w:highlight w:val="none"/>
              </w:rPr>
              <w:t xml:space="preserve">每有一处内容存在缺陷或不满足要求的扣</w:t>
            </w:r>
            <w:r>
              <w:rPr>
                <w:rFonts w:hint="eastAsia" w:ascii="宋体" w:hAnsi="宋体" w:cs="宋体"/>
                <w:b/>
                <w:bCs/>
                <w:sz w:val="24"/>
                <w:highlight w:val="none"/>
                <w:lang w:val="en-US" w:eastAsia="zh-CN"/>
              </w:rPr>
              <w:t xml:space="preserve">1</w:t>
            </w:r>
            <w:r>
              <w:rPr>
                <w:rFonts w:hint="eastAsia" w:ascii="宋体" w:hAnsi="宋体" w:cs="宋体"/>
                <w:b/>
                <w:bCs/>
                <w:sz w:val="24"/>
                <w:highlight w:val="none"/>
              </w:rPr>
              <w:t xml:space="preserve">分，扣完为止。(缺陷或不满足指:内容不全面、与实际需求不符、内容不清晰或交叉混乱、套用其他项目方案、有规范性或常识性错误、有逻辑漏洞、存在无关的事项、凭空编造、存在不可能实现的夸大情形等任意一种情形)未提供方案不得分。</w:t>
            </w:r>
            <w:r/>
          </w:p>
        </w:tc>
        <w:tc>
          <w:tcPr>
            <w:shd w:val="clear" w:color="auto" w:fill="auto"/>
            <w:tcBorders>
              <w:top w:val="single" w:color="auto" w:sz="4" w:space="0"/>
              <w:left w:val="none" w:color="000000" w:sz="4" w:space="0"/>
              <w:bottom w:val="single" w:color="auto" w:sz="4" w:space="0"/>
              <w:right w:val="single" w:color="auto" w:sz="4" w:space="0"/>
            </w:tcBorders>
            <w:tcW w:w="674"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p>
        </w:tc>
      </w:tr>
      <w:tr>
        <w:trPr>
          <w:jc w:val="center"/>
          <w:trHeight w:val="1231"/>
        </w:trPr>
        <w:tc>
          <w:tcPr>
            <w:shd w:val="clear" w:color="auto" w:fill="auto"/>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85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售后服务方案</w:t>
            </w:r>
            <w:r/>
          </w:p>
        </w:tc>
        <w:tc>
          <w:tcPr>
            <w:shd w:val="clear" w:color="auto" w:fill="auto"/>
            <w:tcBorders>
              <w:top w:val="single" w:color="auto" w:sz="4" w:space="0"/>
              <w:left w:val="none" w:color="000000" w:sz="4" w:space="0"/>
              <w:bottom w:val="single" w:color="auto" w:sz="4" w:space="0"/>
              <w:right w:val="single" w:color="auto" w:sz="4" w:space="0"/>
            </w:tcBorders>
            <w:tcW w:w="7209" w:type="dxa"/>
            <w:vAlign w:val="center"/>
            <w:textDirection w:val="lrTb"/>
            <w:noWrap w:val="false"/>
          </w:tcPr>
          <w:p>
            <w:pPr>
              <w:ind w:firstLine="480"/>
              <w:spacing w:line="273"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根据供应商针对本项目</w:t>
            </w:r>
            <w:r>
              <w:rPr>
                <w:rFonts w:hint="eastAsia" w:ascii="宋体" w:hAnsi="宋体" w:eastAsia="宋体" w:cs="宋体"/>
                <w:color w:val="auto"/>
                <w:sz w:val="24"/>
                <w:szCs w:val="24"/>
                <w:highlight w:val="none"/>
              </w:rPr>
              <w:t xml:space="preserve">提供的</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售后服务方案（包括服务流程</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服务具体内容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响应时间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服务人员配备等）进行评价。</w:t>
            </w:r>
            <w:r/>
          </w:p>
          <w:p>
            <w:pPr>
              <w:ind w:firstLine="482"/>
              <w:spacing w:line="273" w:lineRule="auto"/>
              <w:widowControl/>
              <w:rPr>
                <w:rFonts w:hint="eastAsia" w:ascii="宋体" w:hAnsi="宋体" w:cs="宋体" w:eastAsiaTheme="minorEastAsia"/>
                <w:color w:val="auto"/>
                <w:sz w:val="24"/>
                <w:szCs w:val="24"/>
                <w:highlight w:val="none"/>
                <w:lang w:eastAsia="zh-CN"/>
              </w:rPr>
            </w:pPr>
            <w:r>
              <w:rPr>
                <w:rFonts w:hint="eastAsia" w:ascii="宋体" w:hAnsi="宋体" w:cs="宋体"/>
                <w:b/>
                <w:bCs/>
                <w:sz w:val="24"/>
                <w:highlight w:val="none"/>
              </w:rPr>
              <w:t xml:space="preserve">方案中有上述内容，</w:t>
            </w:r>
            <w:r>
              <w:rPr>
                <w:rFonts w:hint="eastAsia" w:ascii="宋体" w:hAnsi="宋体" w:cs="宋体"/>
                <w:b/>
                <w:bCs/>
                <w:color w:val="000000" w:themeColor="text1"/>
                <w:sz w:val="24"/>
                <w:highlight w:val="none"/>
                <w14:textFill>
                  <w14:solidFill>
                    <w14:schemeClr w14:val="tx1"/>
                  </w14:solidFill>
                </w14:textFill>
              </w:rPr>
              <w:t xml:space="preserve">方案完整详细</w:t>
            </w:r>
            <w:r>
              <w:rPr>
                <w:rFonts w:hint="eastAsia" w:ascii="宋体" w:hAnsi="宋体" w:cs="宋体"/>
                <w:b/>
                <w:bCs/>
                <w:color w:val="000000" w:themeColor="text1"/>
                <w:sz w:val="24"/>
                <w:highlight w:val="none"/>
                <w:lang w:eastAsia="zh-CN"/>
                <w14:textFill>
                  <w14:solidFill>
                    <w14:schemeClr w14:val="tx1"/>
                  </w14:solidFill>
                </w14:textFill>
              </w:rPr>
              <w:t xml:space="preserve">，</w:t>
            </w:r>
            <w:r>
              <w:rPr>
                <w:rFonts w:hint="eastAsia" w:ascii="宋体" w:hAnsi="宋体" w:cs="宋体"/>
                <w:b/>
                <w:bCs/>
                <w:sz w:val="24"/>
                <w:highlight w:val="none"/>
              </w:rPr>
              <w:t xml:space="preserve">专业性、可行性强，响应时间迅速，服务人员齐备</w:t>
            </w:r>
            <w:r>
              <w:rPr>
                <w:rFonts w:hint="eastAsia" w:ascii="宋体" w:hAnsi="宋体" w:cs="宋体"/>
                <w:b/>
                <w:bCs/>
                <w:sz w:val="24"/>
                <w:highlight w:val="none"/>
                <w:lang w:eastAsia="zh-CN"/>
              </w:rPr>
              <w:t xml:space="preserve">，</w:t>
            </w:r>
            <w:r>
              <w:rPr>
                <w:rFonts w:hint="eastAsia" w:ascii="宋体" w:hAnsi="宋体" w:cs="宋体"/>
                <w:b/>
                <w:bCs/>
                <w:sz w:val="24"/>
                <w:highlight w:val="none"/>
              </w:rPr>
              <w:t xml:space="preserve">符合实际，完全满足采购需求的得</w:t>
            </w:r>
            <w:r>
              <w:rPr>
                <w:rFonts w:hint="eastAsia" w:ascii="宋体" w:hAnsi="宋体" w:cs="宋体"/>
                <w:b/>
                <w:bCs/>
                <w:sz w:val="24"/>
                <w:highlight w:val="none"/>
                <w:lang w:val="en-US" w:eastAsia="zh-CN"/>
              </w:rPr>
              <w:t xml:space="preserve">8</w:t>
            </w:r>
            <w:r>
              <w:rPr>
                <w:rFonts w:hint="eastAsia" w:ascii="宋体" w:hAnsi="宋体" w:cs="宋体"/>
                <w:b/>
                <w:bCs/>
                <w:sz w:val="24"/>
                <w:highlight w:val="none"/>
              </w:rPr>
              <w:t xml:space="preserve">分；每有一项内容缺失的扣</w:t>
            </w:r>
            <w:r>
              <w:rPr>
                <w:rFonts w:hint="eastAsia" w:ascii="宋体" w:hAnsi="宋体" w:cs="宋体"/>
                <w:b/>
                <w:bCs/>
                <w:sz w:val="24"/>
                <w:highlight w:val="none"/>
                <w:lang w:val="en-US" w:eastAsia="zh-CN"/>
              </w:rPr>
              <w:t xml:space="preserve">2</w:t>
            </w:r>
            <w:r>
              <w:rPr>
                <w:rFonts w:hint="eastAsia" w:ascii="宋体" w:hAnsi="宋体" w:cs="宋体"/>
                <w:b/>
                <w:bCs/>
                <w:sz w:val="24"/>
                <w:highlight w:val="none"/>
              </w:rPr>
              <w:t xml:space="preserve">分</w:t>
            </w:r>
            <w:r>
              <w:rPr>
                <w:rFonts w:hint="eastAsia" w:ascii="宋体" w:hAnsi="宋体" w:cs="宋体"/>
                <w:b/>
                <w:bCs/>
                <w:sz w:val="24"/>
                <w:highlight w:val="none"/>
                <w:lang w:eastAsia="zh-CN"/>
              </w:rPr>
              <w:t xml:space="preserve">，</w:t>
            </w:r>
            <w:r>
              <w:rPr>
                <w:rFonts w:hint="eastAsia" w:ascii="宋体" w:hAnsi="宋体" w:cs="宋体"/>
                <w:b/>
                <w:bCs/>
                <w:sz w:val="24"/>
                <w:highlight w:val="none"/>
              </w:rPr>
              <w:t xml:space="preserve">每有一处内容存在缺陷或不满足要求的扣</w:t>
            </w:r>
            <w:r>
              <w:rPr>
                <w:rFonts w:hint="eastAsia" w:ascii="宋体" w:hAnsi="宋体" w:cs="宋体"/>
                <w:b/>
                <w:bCs/>
                <w:sz w:val="24"/>
                <w:highlight w:val="none"/>
                <w:lang w:val="en-US" w:eastAsia="zh-CN"/>
              </w:rPr>
              <w:t xml:space="preserve">1</w:t>
            </w:r>
            <w:r>
              <w:rPr>
                <w:rFonts w:hint="eastAsia" w:ascii="宋体" w:hAnsi="宋体" w:cs="宋体"/>
                <w:b/>
                <w:bCs/>
                <w:sz w:val="24"/>
                <w:highlight w:val="none"/>
              </w:rPr>
              <w:t xml:space="preserve">分，扣完为止。(缺陷或不满足指</w:t>
            </w:r>
            <w:r>
              <w:rPr>
                <w:rFonts w:hint="eastAsia" w:ascii="宋体" w:hAnsi="宋体" w:cs="宋体"/>
                <w:b/>
                <w:bCs/>
                <w:sz w:val="24"/>
                <w:highlight w:val="none"/>
                <w:lang w:eastAsia="zh-CN"/>
              </w:rPr>
              <w:t xml:space="preserve">：</w:t>
            </w:r>
            <w:r>
              <w:rPr>
                <w:rFonts w:hint="eastAsia" w:ascii="宋体" w:hAnsi="宋体" w:cs="宋体"/>
                <w:b/>
                <w:bCs/>
                <w:sz w:val="24"/>
                <w:highlight w:val="none"/>
              </w:rPr>
              <w:t xml:space="preserve">内容不全面、响应时间缓慢，服务人员匹配欠缺</w:t>
            </w:r>
            <w:r>
              <w:rPr>
                <w:rFonts w:hint="eastAsia" w:ascii="宋体" w:hAnsi="宋体" w:cs="宋体"/>
                <w:b/>
                <w:bCs/>
                <w:sz w:val="24"/>
                <w:highlight w:val="none"/>
                <w:lang w:eastAsia="zh-CN"/>
              </w:rPr>
              <w:t xml:space="preserve">、</w:t>
            </w:r>
            <w:r>
              <w:rPr>
                <w:rFonts w:hint="eastAsia" w:ascii="宋体" w:hAnsi="宋体" w:cs="宋体"/>
                <w:b/>
                <w:bCs/>
                <w:sz w:val="24"/>
                <w:highlight w:val="none"/>
              </w:rPr>
              <w:t xml:space="preserve">与实际需求不符、内容不清晰或交叉混乱、套用其他项目方案、有规范性或常识性错误、有逻辑漏洞、存在无关的事项、凭空编造、存在不可能实现的夸大情形等任意一种情形)未提供方案不得分</w:t>
            </w:r>
            <w:r>
              <w:rPr>
                <w:rFonts w:hint="eastAsia" w:ascii="宋体" w:hAnsi="宋体" w:cs="宋体"/>
                <w:b/>
                <w:bCs/>
                <w:sz w:val="24"/>
                <w:highlight w:val="none"/>
                <w:lang w:eastAsia="zh-CN"/>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674"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w:t>
            </w:r>
            <w:r/>
          </w:p>
        </w:tc>
      </w:tr>
      <w:tr>
        <w:trPr>
          <w:jc w:val="center"/>
          <w:trHeight w:val="268"/>
        </w:trPr>
        <w:tc>
          <w:tcPr>
            <w:shd w:val="clear" w:color="auto" w:fill="auto"/>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jc w:val="center"/>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85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培训方案</w:t>
            </w:r>
            <w:r/>
          </w:p>
        </w:tc>
        <w:tc>
          <w:tcPr>
            <w:shd w:val="clear" w:color="auto" w:fill="auto"/>
            <w:tcBorders>
              <w:top w:val="single" w:color="auto" w:sz="4" w:space="0"/>
              <w:left w:val="none" w:color="000000" w:sz="4" w:space="0"/>
              <w:bottom w:val="single" w:color="auto" w:sz="4" w:space="0"/>
              <w:right w:val="single" w:color="auto" w:sz="4" w:space="0"/>
            </w:tcBorders>
            <w:tcW w:w="7209" w:type="dxa"/>
            <w:vAlign w:val="center"/>
            <w:textDirection w:val="lrTb"/>
            <w:noWrap w:val="false"/>
          </w:tcPr>
          <w:p>
            <w:pPr>
              <w:ind w:firstLine="480"/>
              <w:spacing w:line="273"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根据供应商针对本项目</w:t>
            </w:r>
            <w:r>
              <w:rPr>
                <w:rFonts w:hint="eastAsia" w:ascii="宋体" w:hAnsi="宋体" w:eastAsia="宋体" w:cs="宋体"/>
                <w:color w:val="auto"/>
                <w:sz w:val="24"/>
                <w:szCs w:val="24"/>
                <w:highlight w:val="none"/>
              </w:rPr>
              <w:t xml:space="preserve">提供的培训方案（包括培训计划、培训师资力量、培训内容等）进行评价。</w:t>
            </w:r>
            <w:r/>
          </w:p>
          <w:p>
            <w:pPr>
              <w:ind w:firstLine="482"/>
              <w:spacing w:line="273" w:lineRule="auto"/>
              <w:widowControl/>
              <w:rPr>
                <w:rFonts w:hint="eastAsia" w:ascii="宋体" w:hAnsi="宋体" w:eastAsia="宋体" w:cs="宋体"/>
                <w:color w:val="auto"/>
                <w:sz w:val="24"/>
                <w:szCs w:val="24"/>
                <w:highlight w:val="none"/>
              </w:rPr>
            </w:pPr>
            <w:r>
              <w:rPr>
                <w:rFonts w:hint="eastAsia" w:ascii="宋体" w:hAnsi="宋体" w:cs="宋体"/>
                <w:b/>
                <w:bCs/>
                <w:sz w:val="24"/>
                <w:highlight w:val="none"/>
              </w:rPr>
              <w:t xml:space="preserve">方案中有上述内容，</w:t>
            </w:r>
            <w:r>
              <w:rPr>
                <w:rFonts w:hint="eastAsia" w:ascii="宋体" w:hAnsi="宋体" w:cs="宋体"/>
                <w:b/>
                <w:bCs/>
                <w:color w:val="000000" w:themeColor="text1"/>
                <w:sz w:val="24"/>
                <w:highlight w:val="none"/>
                <w14:textFill>
                  <w14:solidFill>
                    <w14:schemeClr w14:val="tx1"/>
                  </w14:solidFill>
                </w14:textFill>
              </w:rPr>
              <w:t xml:space="preserve">方案完整详细</w:t>
            </w:r>
            <w:r>
              <w:rPr>
                <w:rFonts w:hint="eastAsia" w:ascii="宋体" w:hAnsi="宋体" w:cs="宋体"/>
                <w:b/>
                <w:bCs/>
                <w:color w:val="000000" w:themeColor="text1"/>
                <w:sz w:val="24"/>
                <w:highlight w:val="none"/>
                <w:lang w:eastAsia="zh-CN"/>
                <w14:textFill>
                  <w14:solidFill>
                    <w14:schemeClr w14:val="tx1"/>
                  </w14:solidFill>
                </w14:textFill>
              </w:rPr>
              <w:t xml:space="preserve">，</w:t>
            </w:r>
            <w:r>
              <w:rPr>
                <w:rFonts w:hint="eastAsia" w:ascii="宋体" w:hAnsi="宋体" w:cs="宋体"/>
                <w:b/>
                <w:bCs/>
                <w:sz w:val="24"/>
                <w:highlight w:val="none"/>
              </w:rPr>
              <w:t xml:space="preserve">专业性、可行性强，</w:t>
            </w:r>
            <w:r>
              <w:rPr>
                <w:rFonts w:hint="eastAsia" w:ascii="宋体" w:hAnsi="宋体" w:cs="宋体"/>
                <w:b/>
                <w:bCs/>
                <w:sz w:val="24"/>
                <w:highlight w:val="none"/>
                <w:lang w:val="en-US" w:eastAsia="zh-CN"/>
              </w:rPr>
              <w:t xml:space="preserve">具有</w:t>
            </w:r>
            <w:r>
              <w:rPr>
                <w:rFonts w:hint="eastAsia" w:ascii="宋体" w:hAnsi="宋体" w:cs="宋体"/>
                <w:b/>
                <w:bCs/>
                <w:sz w:val="24"/>
                <w:highlight w:val="none"/>
              </w:rPr>
              <w:t xml:space="preserve">培训师资力量</w:t>
            </w:r>
            <w:r>
              <w:rPr>
                <w:rFonts w:hint="eastAsia" w:ascii="宋体" w:hAnsi="宋体" w:cs="宋体"/>
                <w:b/>
                <w:bCs/>
                <w:sz w:val="24"/>
                <w:highlight w:val="none"/>
                <w:lang w:eastAsia="zh-CN"/>
              </w:rPr>
              <w:t xml:space="preserve">，</w:t>
            </w:r>
            <w:r>
              <w:rPr>
                <w:rFonts w:hint="eastAsia" w:ascii="宋体" w:hAnsi="宋体" w:cs="宋体"/>
                <w:b/>
                <w:bCs/>
                <w:sz w:val="24"/>
                <w:highlight w:val="none"/>
              </w:rPr>
              <w:t xml:space="preserve">符合实际，完全满足采购需求的得</w:t>
            </w:r>
            <w:r>
              <w:rPr>
                <w:rFonts w:hint="eastAsia" w:ascii="宋体" w:hAnsi="宋体" w:cs="宋体"/>
                <w:b/>
                <w:bCs/>
                <w:sz w:val="24"/>
                <w:highlight w:val="none"/>
                <w:lang w:val="en-US" w:eastAsia="zh-CN"/>
              </w:rPr>
              <w:t xml:space="preserve">6</w:t>
            </w:r>
            <w:r>
              <w:rPr>
                <w:rFonts w:hint="eastAsia" w:ascii="宋体" w:hAnsi="宋体" w:cs="宋体"/>
                <w:b/>
                <w:bCs/>
                <w:sz w:val="24"/>
                <w:highlight w:val="none"/>
              </w:rPr>
              <w:t xml:space="preserve">分；每有一项内容缺失的扣</w:t>
            </w:r>
            <w:r>
              <w:rPr>
                <w:rFonts w:hint="eastAsia" w:ascii="宋体" w:hAnsi="宋体" w:cs="宋体"/>
                <w:b/>
                <w:bCs/>
                <w:sz w:val="24"/>
                <w:highlight w:val="none"/>
                <w:lang w:val="en-US" w:eastAsia="zh-CN"/>
              </w:rPr>
              <w:t xml:space="preserve">2</w:t>
            </w:r>
            <w:r>
              <w:rPr>
                <w:rFonts w:hint="eastAsia" w:ascii="宋体" w:hAnsi="宋体" w:cs="宋体"/>
                <w:b/>
                <w:bCs/>
                <w:sz w:val="24"/>
                <w:highlight w:val="none"/>
              </w:rPr>
              <w:t xml:space="preserve">分</w:t>
            </w:r>
            <w:r>
              <w:rPr>
                <w:rFonts w:hint="eastAsia" w:ascii="宋体" w:hAnsi="宋体" w:cs="宋体"/>
                <w:b/>
                <w:bCs/>
                <w:sz w:val="24"/>
                <w:highlight w:val="none"/>
                <w:lang w:eastAsia="zh-CN"/>
              </w:rPr>
              <w:t xml:space="preserve">，</w:t>
            </w:r>
            <w:r>
              <w:rPr>
                <w:rFonts w:hint="eastAsia" w:ascii="宋体" w:hAnsi="宋体" w:cs="宋体"/>
                <w:b/>
                <w:bCs/>
                <w:sz w:val="24"/>
                <w:highlight w:val="none"/>
              </w:rPr>
              <w:t xml:space="preserve">每有一处内容存在缺陷或不满足要求的扣</w:t>
            </w:r>
            <w:r>
              <w:rPr>
                <w:rFonts w:hint="eastAsia" w:ascii="宋体" w:hAnsi="宋体" w:cs="宋体"/>
                <w:b/>
                <w:bCs/>
                <w:sz w:val="24"/>
                <w:highlight w:val="none"/>
                <w:lang w:val="en-US" w:eastAsia="zh-CN"/>
              </w:rPr>
              <w:t xml:space="preserve">1</w:t>
            </w:r>
            <w:r>
              <w:rPr>
                <w:rFonts w:hint="eastAsia" w:ascii="宋体" w:hAnsi="宋体" w:cs="宋体"/>
                <w:b/>
                <w:bCs/>
                <w:sz w:val="24"/>
                <w:highlight w:val="none"/>
              </w:rPr>
              <w:t xml:space="preserve">分，扣完为止。(缺陷或不满足指</w:t>
            </w:r>
            <w:r>
              <w:rPr>
                <w:rFonts w:hint="eastAsia" w:ascii="宋体" w:hAnsi="宋体" w:cs="宋体"/>
                <w:b/>
                <w:bCs/>
                <w:sz w:val="24"/>
                <w:highlight w:val="none"/>
                <w:lang w:eastAsia="zh-CN"/>
              </w:rPr>
              <w:t xml:space="preserve">：</w:t>
            </w:r>
            <w:r>
              <w:rPr>
                <w:rFonts w:hint="eastAsia" w:ascii="宋体" w:hAnsi="宋体" w:eastAsia="宋体" w:cs="宋体"/>
                <w:b/>
                <w:bCs/>
                <w:color w:val="auto"/>
                <w:sz w:val="24"/>
                <w:szCs w:val="24"/>
                <w:highlight w:val="none"/>
              </w:rPr>
              <w:t xml:space="preserve">培训内容不够详细</w:t>
            </w:r>
            <w:r>
              <w:rPr>
                <w:rFonts w:hint="eastAsia" w:ascii="宋体" w:hAnsi="宋体" w:cs="宋体"/>
                <w:b/>
                <w:bCs/>
                <w:sz w:val="24"/>
                <w:highlight w:val="none"/>
              </w:rPr>
              <w:t xml:space="preserve">全面</w:t>
            </w:r>
            <w:r>
              <w:rPr>
                <w:rFonts w:hint="eastAsia" w:ascii="宋体" w:hAnsi="宋体" w:cs="宋体"/>
                <w:b/>
                <w:bCs/>
                <w:sz w:val="24"/>
                <w:highlight w:val="none"/>
                <w:lang w:eastAsia="zh-CN"/>
              </w:rPr>
              <w:t xml:space="preserve">、</w:t>
            </w:r>
            <w:r>
              <w:rPr>
                <w:rFonts w:hint="eastAsia" w:ascii="宋体" w:hAnsi="宋体" w:eastAsia="宋体" w:cs="宋体"/>
                <w:b/>
                <w:bCs/>
                <w:color w:val="auto"/>
                <w:sz w:val="24"/>
                <w:szCs w:val="24"/>
                <w:highlight w:val="none"/>
              </w:rPr>
              <w:t xml:space="preserve">培训方案片面</w:t>
            </w:r>
            <w:r>
              <w:rPr>
                <w:rFonts w:hint="eastAsia" w:ascii="宋体" w:hAnsi="宋体" w:cs="宋体"/>
                <w:b/>
                <w:bCs/>
                <w:sz w:val="24"/>
                <w:highlight w:val="none"/>
              </w:rPr>
              <w:t xml:space="preserve">与实际需求不符、内容不清晰或交叉混乱、套用其他项目方案、有规范性或常识性错误、有逻辑漏洞、存在无关的事项、凭空编造、存在不可能实现的夸大情形等任意一种情形)未提供方案不得分</w:t>
            </w:r>
            <w:r>
              <w:rPr>
                <w:rFonts w:hint="eastAsia" w:ascii="宋体" w:hAnsi="宋体" w:cs="宋体"/>
                <w:b/>
                <w:bCs/>
                <w:sz w:val="24"/>
                <w:highlight w:val="none"/>
                <w:lang w:eastAsia="zh-CN"/>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674"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p>
        </w:tc>
      </w:tr>
      <w:tr>
        <w:trPr>
          <w:jc w:val="center"/>
          <w:trHeight w:val="268"/>
        </w:trPr>
        <w:tc>
          <w:tcPr>
            <w:shd w:val="clear" w:color="auto" w:fill="auto"/>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p>
        </w:tc>
        <w:tc>
          <w:tcPr>
            <w:shd w:val="clear" w:color="auto" w:fill="auto"/>
            <w:tcBorders>
              <w:top w:val="single" w:color="auto" w:sz="4" w:space="0"/>
              <w:left w:val="none" w:color="000000" w:sz="4" w:space="0"/>
              <w:bottom w:val="single" w:color="auto" w:sz="4" w:space="0"/>
              <w:right w:val="single" w:color="auto" w:sz="4" w:space="0"/>
            </w:tcBorders>
            <w:tcW w:w="858"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应急方案</w:t>
            </w:r>
            <w:r/>
          </w:p>
        </w:tc>
        <w:tc>
          <w:tcPr>
            <w:shd w:val="clear" w:color="auto" w:fill="auto"/>
            <w:tcBorders>
              <w:top w:val="single" w:color="auto" w:sz="4" w:space="0"/>
              <w:left w:val="none" w:color="000000" w:sz="4" w:space="0"/>
              <w:bottom w:val="single" w:color="auto" w:sz="4" w:space="0"/>
              <w:right w:val="single" w:color="auto" w:sz="4" w:space="0"/>
            </w:tcBorders>
            <w:tcW w:w="7209" w:type="dxa"/>
            <w:vAlign w:val="center"/>
            <w:textDirection w:val="lrTb"/>
            <w:noWrap w:val="false"/>
          </w:tcPr>
          <w:p>
            <w:pPr>
              <w:ind w:firstLine="480"/>
              <w:spacing w:line="273" w:lineRule="auto"/>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val="en-US" w:eastAsia="zh-CN"/>
              </w:rPr>
              <w:t xml:space="preserve">根据供应商针对本项目</w:t>
            </w:r>
            <w:r>
              <w:rPr>
                <w:rFonts w:hint="eastAsia" w:ascii="宋体" w:hAnsi="宋体" w:eastAsia="宋体" w:cs="宋体"/>
                <w:color w:val="auto"/>
                <w:sz w:val="24"/>
                <w:szCs w:val="24"/>
                <w:highlight w:val="none"/>
              </w:rPr>
              <w:t xml:space="preserve">提供的</w:t>
            </w:r>
            <w:r>
              <w:rPr>
                <w:rFonts w:hint="eastAsia" w:ascii="宋体" w:hAnsi="宋体" w:eastAsia="宋体" w:cs="宋体"/>
                <w:i w:val="0"/>
                <w:iCs w:val="0"/>
                <w:color w:val="auto"/>
                <w:sz w:val="24"/>
                <w:szCs w:val="24"/>
                <w:highlight w:val="none"/>
                <w:u w:val="none"/>
                <w:lang w:val="en-US" w:eastAsia="zh-CN" w:bidi="ar"/>
              </w:rPr>
              <w:t xml:space="preserve">应急预案</w:t>
            </w:r>
            <w:r>
              <w:rPr>
                <w:rFonts w:hint="eastAsia" w:ascii="宋体" w:hAnsi="宋体" w:eastAsia="宋体" w:cs="宋体"/>
                <w:color w:val="auto"/>
                <w:sz w:val="24"/>
                <w:szCs w:val="24"/>
                <w:highlight w:val="none"/>
              </w:rPr>
              <w:t xml:space="preserve">（包括</w:t>
            </w:r>
            <w:r>
              <w:rPr>
                <w:rFonts w:hint="eastAsia" w:ascii="宋体" w:hAnsi="宋体" w:eastAsia="宋体" w:cs="宋体"/>
                <w:i w:val="0"/>
                <w:iCs w:val="0"/>
                <w:color w:val="auto"/>
                <w:sz w:val="24"/>
                <w:szCs w:val="24"/>
                <w:highlight w:val="none"/>
                <w:u w:val="none"/>
                <w:lang w:val="en-US" w:eastAsia="zh-CN" w:bidi="ar"/>
              </w:rPr>
              <w:t xml:space="preserve">应急目标、应急策略、</w:t>
            </w:r>
            <w:r>
              <w:rPr>
                <w:rFonts w:hint="eastAsia" w:ascii="宋体" w:hAnsi="宋体" w:eastAsia="宋体" w:cs="宋体"/>
                <w:color w:val="auto"/>
                <w:sz w:val="24"/>
                <w:szCs w:val="24"/>
                <w:highlight w:val="none"/>
                <w:lang w:val="en-US" w:eastAsia="zh-CN"/>
              </w:rPr>
              <w:t xml:space="preserve">应急</w:t>
            </w:r>
            <w:r>
              <w:rPr>
                <w:rFonts w:hint="eastAsia" w:ascii="宋体" w:hAnsi="宋体" w:eastAsia="宋体" w:cs="宋体"/>
                <w:i w:val="0"/>
                <w:iCs w:val="0"/>
                <w:color w:val="auto"/>
                <w:sz w:val="24"/>
                <w:szCs w:val="24"/>
                <w:highlight w:val="none"/>
                <w:u w:val="none"/>
                <w:lang w:val="en-US" w:eastAsia="zh-CN" w:bidi="ar"/>
              </w:rPr>
              <w:t xml:space="preserve">场景解决方案、应急响应机制等）</w:t>
            </w:r>
            <w:r>
              <w:rPr>
                <w:rFonts w:hint="eastAsia" w:ascii="宋体" w:hAnsi="宋体" w:eastAsia="宋体" w:cs="宋体"/>
                <w:color w:val="auto"/>
                <w:sz w:val="24"/>
                <w:szCs w:val="24"/>
                <w:highlight w:val="none"/>
              </w:rPr>
              <w:t xml:space="preserve">进行评价。</w:t>
            </w:r>
            <w:r/>
          </w:p>
          <w:p>
            <w:pPr>
              <w:ind w:firstLine="482"/>
              <w:spacing w:line="273" w:lineRule="auto"/>
              <w:widowControl/>
              <w:rPr>
                <w:rFonts w:hint="eastAsia" w:ascii="宋体" w:hAnsi="宋体" w:eastAsia="宋体" w:cs="宋体"/>
                <w:color w:val="auto"/>
                <w:sz w:val="24"/>
                <w:szCs w:val="24"/>
                <w:highlight w:val="none"/>
                <w:lang w:val="en-US"/>
              </w:rPr>
            </w:pPr>
            <w:r>
              <w:rPr>
                <w:rFonts w:hint="eastAsia" w:ascii="宋体" w:hAnsi="宋体" w:cs="宋体"/>
                <w:b/>
                <w:bCs/>
                <w:sz w:val="24"/>
                <w:highlight w:val="none"/>
              </w:rPr>
              <w:t xml:space="preserve">方案中有上述内容，</w:t>
            </w:r>
            <w:r>
              <w:rPr>
                <w:rFonts w:hint="eastAsia" w:ascii="宋体" w:hAnsi="宋体" w:eastAsia="宋体" w:cs="宋体"/>
                <w:b/>
                <w:bCs/>
                <w:i w:val="0"/>
                <w:iCs w:val="0"/>
                <w:color w:val="auto"/>
                <w:sz w:val="24"/>
                <w:szCs w:val="24"/>
                <w:highlight w:val="none"/>
                <w:u w:val="none"/>
                <w:lang w:val="en-US" w:eastAsia="zh-CN" w:bidi="ar"/>
              </w:rPr>
              <w:t xml:space="preserve">应急响应机制</w:t>
            </w:r>
            <w:r>
              <w:rPr>
                <w:rFonts w:hint="eastAsia" w:ascii="宋体" w:hAnsi="宋体" w:cs="宋体"/>
                <w:b/>
                <w:bCs/>
                <w:color w:val="000000" w:themeColor="text1"/>
                <w:sz w:val="24"/>
                <w:highlight w:val="none"/>
                <w14:textFill>
                  <w14:solidFill>
                    <w14:schemeClr w14:val="tx1"/>
                  </w14:solidFill>
                </w14:textFill>
              </w:rPr>
              <w:t xml:space="preserve">完整详细</w:t>
            </w:r>
            <w:r>
              <w:rPr>
                <w:rFonts w:hint="eastAsia" w:ascii="宋体" w:hAnsi="宋体" w:cs="宋体"/>
                <w:b/>
                <w:bCs/>
                <w:color w:val="000000" w:themeColor="text1"/>
                <w:sz w:val="24"/>
                <w:highlight w:val="none"/>
                <w:lang w:eastAsia="zh-CN"/>
                <w14:textFill>
                  <w14:solidFill>
                    <w14:schemeClr w14:val="tx1"/>
                  </w14:solidFill>
                </w14:textFill>
              </w:rPr>
              <w:t xml:space="preserve">，</w:t>
            </w:r>
            <w:r>
              <w:rPr>
                <w:rFonts w:hint="eastAsia" w:ascii="宋体" w:hAnsi="宋体" w:cs="宋体"/>
                <w:b/>
                <w:bCs/>
                <w:sz w:val="24"/>
                <w:highlight w:val="none"/>
              </w:rPr>
              <w:t xml:space="preserve">专业性、可行性强，符合实际，完全满足采购需求的得</w:t>
            </w:r>
            <w:r>
              <w:rPr>
                <w:rFonts w:hint="eastAsia" w:ascii="宋体" w:hAnsi="宋体" w:cs="宋体"/>
                <w:b/>
                <w:bCs/>
                <w:sz w:val="24"/>
                <w:highlight w:val="none"/>
                <w:lang w:val="en-US" w:eastAsia="zh-CN"/>
              </w:rPr>
              <w:t xml:space="preserve">8</w:t>
            </w:r>
            <w:r>
              <w:rPr>
                <w:rFonts w:hint="eastAsia" w:ascii="宋体" w:hAnsi="宋体" w:cs="宋体"/>
                <w:b/>
                <w:bCs/>
                <w:sz w:val="24"/>
                <w:highlight w:val="none"/>
              </w:rPr>
              <w:t xml:space="preserve">分；每有一项内容缺失的扣</w:t>
            </w:r>
            <w:r>
              <w:rPr>
                <w:rFonts w:hint="eastAsia" w:ascii="宋体" w:hAnsi="宋体" w:cs="宋体"/>
                <w:b/>
                <w:bCs/>
                <w:sz w:val="24"/>
                <w:highlight w:val="none"/>
                <w:lang w:val="en-US" w:eastAsia="zh-CN"/>
              </w:rPr>
              <w:t xml:space="preserve">2</w:t>
            </w:r>
            <w:r>
              <w:rPr>
                <w:rFonts w:hint="eastAsia" w:ascii="宋体" w:hAnsi="宋体" w:cs="宋体"/>
                <w:b/>
                <w:bCs/>
                <w:sz w:val="24"/>
                <w:highlight w:val="none"/>
              </w:rPr>
              <w:t xml:space="preserve">分</w:t>
            </w:r>
            <w:r>
              <w:rPr>
                <w:rFonts w:hint="eastAsia" w:ascii="宋体" w:hAnsi="宋体" w:cs="宋体"/>
                <w:b/>
                <w:bCs/>
                <w:sz w:val="24"/>
                <w:highlight w:val="none"/>
                <w:lang w:eastAsia="zh-CN"/>
              </w:rPr>
              <w:t xml:space="preserve">，</w:t>
            </w:r>
            <w:r>
              <w:rPr>
                <w:rFonts w:hint="eastAsia" w:ascii="宋体" w:hAnsi="宋体" w:cs="宋体"/>
                <w:b/>
                <w:bCs/>
                <w:sz w:val="24"/>
                <w:highlight w:val="none"/>
              </w:rPr>
              <w:t xml:space="preserve">每有一处内容存在缺陷或不满足要求的扣</w:t>
            </w:r>
            <w:r>
              <w:rPr>
                <w:rFonts w:hint="eastAsia" w:ascii="宋体" w:hAnsi="宋体" w:cs="宋体"/>
                <w:b/>
                <w:bCs/>
                <w:sz w:val="24"/>
                <w:highlight w:val="none"/>
                <w:lang w:val="en-US" w:eastAsia="zh-CN"/>
              </w:rPr>
              <w:t xml:space="preserve">1</w:t>
            </w:r>
            <w:r>
              <w:rPr>
                <w:rFonts w:hint="eastAsia" w:ascii="宋体" w:hAnsi="宋体" w:cs="宋体"/>
                <w:b/>
                <w:bCs/>
                <w:sz w:val="24"/>
                <w:highlight w:val="none"/>
              </w:rPr>
              <w:t xml:space="preserve">分，扣完为止。(缺陷或不满足指</w:t>
            </w:r>
            <w:r>
              <w:rPr>
                <w:rFonts w:hint="eastAsia" w:ascii="宋体" w:hAnsi="宋体" w:cs="宋体"/>
                <w:b/>
                <w:bCs/>
                <w:sz w:val="24"/>
                <w:highlight w:val="none"/>
                <w:lang w:eastAsia="zh-CN"/>
              </w:rPr>
              <w:t xml:space="preserve">：</w:t>
            </w:r>
            <w:r>
              <w:rPr>
                <w:rFonts w:hint="eastAsia" w:ascii="宋体" w:hAnsi="宋体" w:cs="宋体"/>
                <w:b/>
                <w:bCs/>
                <w:sz w:val="24"/>
                <w:highlight w:val="none"/>
              </w:rPr>
              <w:t xml:space="preserve">内容不全面、与实际需求不符、内容不清晰或交叉混乱、套用其他项目方案、有规范性或常识性错误、有逻辑漏洞、存在无关的事项、凭空编造、存在不可能实现的夸大情形等任意一种情形)未提供方案不得分。</w:t>
            </w:r>
            <w:r/>
          </w:p>
        </w:tc>
        <w:tc>
          <w:tcPr>
            <w:shd w:val="clear" w:color="auto" w:fill="auto"/>
            <w:tcBorders>
              <w:top w:val="single" w:color="auto" w:sz="4" w:space="0"/>
              <w:left w:val="none" w:color="000000" w:sz="4" w:space="0"/>
              <w:bottom w:val="single" w:color="auto" w:sz="4" w:space="0"/>
              <w:right w:val="single" w:color="auto" w:sz="4" w:space="0"/>
            </w:tcBorders>
            <w:tcW w:w="674"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w:t>
            </w:r>
            <w:r/>
          </w:p>
        </w:tc>
      </w:tr>
      <w:tr>
        <w:trPr>
          <w:jc w:val="center"/>
          <w:trHeight w:val="2676"/>
        </w:trPr>
        <w:tc>
          <w:tcPr>
            <w:shd w:val="clear" w:color="auto" w:fill="auto"/>
            <w:tcBorders>
              <w:top w:val="single" w:color="auto" w:sz="4" w:space="0"/>
              <w:left w:val="single" w:color="auto" w:sz="4" w:space="0"/>
              <w:right w:val="single" w:color="auto" w:sz="4" w:space="0"/>
            </w:tcBorders>
            <w:tcW w:w="715"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w:t>
            </w:r>
            <w:r/>
          </w:p>
        </w:tc>
        <w:tc>
          <w:tcPr>
            <w:shd w:val="clear" w:color="auto" w:fill="auto"/>
            <w:tcBorders>
              <w:top w:val="single" w:color="auto" w:sz="4" w:space="0"/>
              <w:left w:val="none" w:color="000000" w:sz="4" w:space="0"/>
              <w:right w:val="single" w:color="auto" w:sz="4" w:space="0"/>
            </w:tcBorders>
            <w:tcW w:w="858"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人员配置</w:t>
            </w:r>
            <w:r/>
          </w:p>
        </w:tc>
        <w:tc>
          <w:tcPr>
            <w:shd w:val="clear" w:color="auto" w:fill="auto"/>
            <w:tcBorders>
              <w:top w:val="single" w:color="auto" w:sz="4" w:space="0"/>
              <w:left w:val="none" w:color="000000" w:sz="4" w:space="0"/>
              <w:right w:val="single" w:color="auto" w:sz="4" w:space="0"/>
            </w:tcBorders>
            <w:tcW w:w="7209" w:type="dxa"/>
            <w:vAlign w:val="center"/>
            <w:textDirection w:val="lrTb"/>
            <w:noWrap w:val="false"/>
          </w:tcPr>
          <w:p>
            <w:pPr>
              <w:numPr>
                <w:ilvl w:val="0"/>
                <w:numId w:val="1"/>
              </w:numPr>
              <w:ind w:firstLine="480"/>
              <w:jc w:val="both"/>
              <w:keepLines w:val="0"/>
              <w:keepNext w:val="0"/>
              <w:widowControl/>
              <w:rPr>
                <w:rStyle w:val="899"/>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sz w:val="24"/>
                <w:highlight w:val="none"/>
              </w:rPr>
              <w:t xml:space="preserve">拟派项目负责人</w:t>
            </w:r>
            <w:r>
              <w:rPr>
                <w:rStyle w:val="899"/>
                <w:rFonts w:hint="eastAsia" w:ascii="宋体" w:hAnsi="宋体" w:eastAsia="宋体" w:cs="宋体"/>
                <w:color w:val="auto"/>
                <w:sz w:val="24"/>
                <w:szCs w:val="24"/>
                <w:highlight w:val="none"/>
                <w:lang w:val="en-US" w:eastAsia="zh-CN" w:bidi="ar"/>
              </w:rPr>
              <w:t xml:space="preserve">具有电子信息高级工程师证书的得2分，中级及以下的得1分，</w:t>
            </w:r>
            <w:r>
              <w:rPr>
                <w:rFonts w:hint="eastAsia" w:ascii="宋体" w:hAnsi="宋体" w:eastAsia="宋体" w:cs="宋体"/>
                <w:color w:val="auto"/>
                <w:sz w:val="24"/>
                <w:szCs w:val="24"/>
                <w:highlight w:val="none"/>
              </w:rPr>
              <w:t xml:space="preserve">本项最高得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numPr>
                <w:ilvl w:val="0"/>
                <w:numId w:val="1"/>
              </w:numPr>
              <w:ind w:firstLine="480"/>
              <w:spacing w:line="240" w:lineRule="auto"/>
              <w:widowControl/>
              <w:rPr>
                <w:rFonts w:hint="eastAsia" w:ascii="宋体" w:hAnsi="宋体" w:eastAsia="宋体" w:cs="宋体"/>
                <w:color w:val="auto"/>
                <w:sz w:val="24"/>
                <w:szCs w:val="24"/>
                <w:highlight w:val="none"/>
              </w:rPr>
            </w:pPr>
            <w:r>
              <w:rPr>
                <w:rStyle w:val="899"/>
                <w:rFonts w:hint="eastAsia" w:ascii="宋体" w:hAnsi="宋体" w:eastAsia="宋体" w:cs="宋体"/>
                <w:color w:val="auto"/>
                <w:sz w:val="24"/>
                <w:szCs w:val="24"/>
                <w:highlight w:val="none"/>
                <w:lang w:val="en-US" w:eastAsia="zh-CN" w:bidi="ar"/>
              </w:rPr>
              <w:t xml:space="preserve">其他项目组成员具有信息安全工程师证书的得2分；</w:t>
            </w:r>
            <w:r>
              <w:rPr>
                <w:rFonts w:hint="eastAsia" w:ascii="宋体" w:hAnsi="宋体" w:eastAsia="宋体" w:cs="宋体"/>
                <w:sz w:val="24"/>
                <w:highlight w:val="none"/>
              </w:rPr>
              <w:t xml:space="preserve">具有</w:t>
            </w:r>
            <w:r>
              <w:rPr>
                <w:rFonts w:hint="eastAsia" w:ascii="宋体" w:hAnsi="宋体" w:cs="宋体"/>
                <w:color w:val="auto"/>
                <w:sz w:val="24"/>
                <w:szCs w:val="24"/>
                <w:highlight w:val="none"/>
                <w:lang w:val="en-US" w:eastAsia="zh-CN"/>
              </w:rPr>
              <w:t xml:space="preserve">计算机网络工程师证书的得2分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具有</w:t>
            </w:r>
            <w:r>
              <w:rPr>
                <w:rFonts w:hint="eastAsia" w:ascii="宋体" w:hAnsi="宋体" w:cs="宋体"/>
                <w:color w:val="auto"/>
                <w:sz w:val="24"/>
                <w:szCs w:val="24"/>
                <w:highlight w:val="none"/>
                <w:lang w:val="en-US" w:eastAsia="zh-CN" w:bidi="ar"/>
              </w:rPr>
              <w:t xml:space="preserve">系统集成项目管理工程师</w:t>
            </w:r>
            <w:r>
              <w:rPr>
                <w:rFonts w:hint="eastAsia" w:ascii="宋体" w:hAnsi="宋体" w:cs="宋体"/>
                <w:color w:val="auto"/>
                <w:sz w:val="24"/>
                <w:szCs w:val="24"/>
                <w:highlight w:val="none"/>
                <w:lang w:val="en-US" w:eastAsia="zh-CN"/>
              </w:rPr>
              <w:t xml:space="preserve">证书得2分，</w:t>
            </w:r>
            <w:r>
              <w:rPr>
                <w:rFonts w:hint="eastAsia" w:ascii="宋体" w:hAnsi="宋体" w:eastAsia="宋体" w:cs="宋体"/>
                <w:color w:val="auto"/>
                <w:sz w:val="24"/>
                <w:szCs w:val="24"/>
                <w:highlight w:val="none"/>
              </w:rPr>
              <w:t xml:space="preserve">本项最高得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firstLine="482"/>
              <w:spacing w:line="273" w:lineRule="auto"/>
              <w:widowControl/>
              <w:rPr>
                <w:rFonts w:hint="default" w:ascii="宋体" w:hAnsi="宋体" w:eastAsia="宋体" w:cs="宋体"/>
                <w:b/>
                <w:bCs/>
                <w:color w:val="000000" w:themeColor="text1"/>
                <w:sz w:val="24"/>
                <w:highlight w:val="none"/>
                <w:lang w:val="en-US" w:eastAsia="zh-CN"/>
                <w14:textFill>
                  <w14:solidFill>
                    <w14:schemeClr w14:val="tx1"/>
                  </w14:solidFill>
                </w14:textFill>
              </w:rPr>
            </w:pPr>
            <w:r>
              <w:rPr>
                <w:rFonts w:hint="default" w:ascii="宋体" w:hAnsi="宋体" w:eastAsia="宋体" w:cs="宋体"/>
                <w:b/>
                <w:bCs/>
                <w:color w:val="000000" w:themeColor="text1"/>
                <w:sz w:val="24"/>
                <w:highlight w:val="none"/>
                <w:lang w:val="en-US" w:eastAsia="zh-CN"/>
                <w14:textFill>
                  <w14:solidFill>
                    <w14:schemeClr w14:val="tx1"/>
                  </w14:solidFill>
                </w14:textFill>
              </w:rPr>
              <w:t xml:space="preserve">提供相关人员证书彩色扫描件及招标前三个月任一个月供应商为其发放的银行工资流水证明材料彩色扫描件加盖供应商公章，未提供或材料提供不全的不得分，人员不重复得分。</w:t>
            </w:r>
            <w:r/>
          </w:p>
        </w:tc>
        <w:tc>
          <w:tcPr>
            <w:shd w:val="clear" w:color="auto" w:fill="auto"/>
            <w:tcBorders>
              <w:top w:val="single" w:color="auto" w:sz="4" w:space="0"/>
              <w:left w:val="none" w:color="000000" w:sz="4" w:space="0"/>
              <w:bottom w:val="single" w:color="auto" w:sz="4" w:space="0"/>
              <w:right w:val="single" w:color="auto" w:sz="4" w:space="0"/>
            </w:tcBorders>
            <w:tcW w:w="674"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w:t>
            </w:r>
            <w:r/>
          </w:p>
        </w:tc>
      </w:tr>
      <w:tr>
        <w:trPr>
          <w:jc w:val="center"/>
          <w:trHeight w:val="274"/>
        </w:trPr>
        <w:tc>
          <w:tcPr>
            <w:shd w:val="clear" w:color="auto" w:fill="auto"/>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w:t>
            </w:r>
            <w:r/>
          </w:p>
        </w:tc>
        <w:tc>
          <w:tcPr>
            <w:shd w:val="clear" w:color="auto" w:fill="auto"/>
            <w:tcBorders>
              <w:top w:val="single" w:color="auto" w:sz="4" w:space="0"/>
              <w:left w:val="none" w:color="000000" w:sz="4" w:space="0"/>
              <w:bottom w:val="single" w:color="auto" w:sz="4" w:space="0"/>
              <w:right w:val="single" w:color="auto" w:sz="4" w:space="0"/>
            </w:tcBorders>
            <w:tcW w:w="858" w:type="dxa"/>
            <w:vAlign w:val="center"/>
            <w:textDirection w:val="lrTb"/>
            <w:noWrap w:val="false"/>
          </w:tcPr>
          <w:p>
            <w:pPr>
              <w:jc w:val="both"/>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企业实力</w:t>
            </w:r>
            <w:r/>
          </w:p>
        </w:tc>
        <w:tc>
          <w:tcPr>
            <w:shd w:val="clear" w:color="auto" w:fill="auto"/>
            <w:tcBorders>
              <w:top w:val="single" w:color="auto" w:sz="4" w:space="0"/>
              <w:left w:val="none" w:color="000000" w:sz="4" w:space="0"/>
              <w:bottom w:val="single" w:color="auto" w:sz="4" w:space="0"/>
              <w:right w:val="single" w:color="auto" w:sz="4" w:space="0"/>
            </w:tcBorders>
            <w:tcW w:w="7209" w:type="dxa"/>
            <w:vAlign w:val="center"/>
            <w:textDirection w:val="lrTb"/>
            <w:noWrap w:val="false"/>
          </w:tcPr>
          <w:p>
            <w:pPr>
              <w:ind w:firstLine="480"/>
              <w:spacing w:line="273"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1、投标人或</w:t>
            </w:r>
            <w:r>
              <w:rPr>
                <w:rFonts w:hint="eastAsia" w:ascii="宋体" w:hAnsi="宋体" w:eastAsia="宋体" w:cs="宋体"/>
                <w:sz w:val="24"/>
                <w:szCs w:val="24"/>
                <w:highlight w:val="none"/>
              </w:rPr>
              <w:t xml:space="preserve">所投产品</w:t>
            </w:r>
            <w:r>
              <w:rPr>
                <w:rFonts w:hint="eastAsia" w:ascii="宋体" w:hAnsi="宋体" w:eastAsia="宋体" w:cs="宋体"/>
                <w:sz w:val="24"/>
                <w:szCs w:val="24"/>
                <w:highlight w:val="none"/>
                <w:lang w:val="en-US" w:eastAsia="zh-CN"/>
              </w:rPr>
              <w:t xml:space="preserve">厂商已</w:t>
            </w:r>
            <w:r>
              <w:rPr>
                <w:rFonts w:hint="eastAsia" w:ascii="宋体" w:hAnsi="宋体" w:eastAsia="宋体" w:cs="宋体"/>
                <w:sz w:val="24"/>
                <w:szCs w:val="24"/>
                <w:highlight w:val="none"/>
              </w:rPr>
              <w:t xml:space="preserve">完成对医疗数据集管理、医疗标准术语与字典管理、医疗数据交换平台、医疗数据质量控制、统一认证与授权接入管理的功能测试，</w:t>
            </w:r>
            <w:r>
              <w:rPr>
                <w:rFonts w:hint="eastAsia" w:ascii="宋体" w:hAnsi="宋体" w:eastAsia="宋体" w:cs="宋体"/>
                <w:sz w:val="24"/>
                <w:szCs w:val="24"/>
                <w:highlight w:val="none"/>
                <w:lang w:val="en-US" w:eastAsia="zh-CN"/>
              </w:rPr>
              <w:t xml:space="preserve">每提供一个</w:t>
            </w:r>
            <w:r>
              <w:rPr>
                <w:rFonts w:hint="eastAsia" w:ascii="宋体" w:hAnsi="宋体" w:eastAsia="宋体" w:cs="宋体"/>
                <w:sz w:val="24"/>
                <w:szCs w:val="24"/>
                <w:highlight w:val="none"/>
              </w:rPr>
              <w:t xml:space="preserve">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分，全部满足</w:t>
            </w:r>
            <w:r>
              <w:rPr>
                <w:rFonts w:hint="eastAsia" w:ascii="宋体" w:hAnsi="宋体" w:eastAsia="宋体" w:cs="宋体"/>
                <w:sz w:val="24"/>
                <w:szCs w:val="24"/>
                <w:highlight w:val="none"/>
                <w:lang w:val="en-US" w:eastAsia="zh-CN"/>
              </w:rPr>
              <w:t xml:space="preserve">的</w:t>
            </w:r>
            <w:r>
              <w:rPr>
                <w:rFonts w:hint="eastAsia" w:ascii="宋体" w:hAnsi="宋体" w:eastAsia="宋体" w:cs="宋体"/>
                <w:sz w:val="24"/>
                <w:szCs w:val="24"/>
                <w:highlight w:val="none"/>
              </w:rPr>
              <w:t xml:space="preserve">得</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w:t>
            </w:r>
            <w:r>
              <w:rPr>
                <w:rFonts w:hint="eastAsia" w:ascii="宋体" w:hAnsi="宋体" w:eastAsia="宋体" w:cs="宋体"/>
                <w:color w:val="auto"/>
                <w:sz w:val="24"/>
                <w:szCs w:val="24"/>
                <w:highlight w:val="none"/>
              </w:rPr>
              <w:t xml:space="preserve">本项最高得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firstLine="482"/>
              <w:spacing w:line="273" w:lineRule="auto"/>
              <w:widowControl/>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rPr>
              <w:t xml:space="preserve">提供符合上述内容描述的经国家认可具备检测资质的检测机构出具的检测报告</w:t>
            </w:r>
            <w:r>
              <w:rPr>
                <w:rFonts w:hint="eastAsia" w:ascii="宋体" w:hAnsi="宋体" w:eastAsia="宋体" w:cs="宋体"/>
                <w:b/>
                <w:bCs/>
                <w:sz w:val="24"/>
                <w:szCs w:val="24"/>
                <w:highlight w:val="none"/>
                <w:lang w:val="en-US" w:eastAsia="zh-CN"/>
              </w:rPr>
              <w:t xml:space="preserve">彩色扫描件加盖供应商公章。</w:t>
            </w:r>
            <w:r/>
          </w:p>
          <w:p>
            <w:pPr>
              <w:ind w:firstLine="480"/>
              <w:spacing w:line="273"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本项目采购的产品</w:t>
            </w:r>
            <w:r>
              <w:rPr>
                <w:rFonts w:hint="eastAsia" w:ascii="宋体" w:hAnsi="宋体" w:eastAsia="宋体" w:cs="宋体"/>
                <w:color w:val="auto"/>
                <w:sz w:val="24"/>
                <w:szCs w:val="24"/>
                <w:highlight w:val="none"/>
                <w:lang w:val="en-US" w:eastAsia="zh-CN"/>
              </w:rPr>
              <w:t xml:space="preserve">涉及内外网接口</w:t>
            </w:r>
            <w:r>
              <w:rPr>
                <w:rFonts w:hint="eastAsia" w:ascii="宋体" w:hAnsi="宋体" w:eastAsia="宋体" w:cs="宋体"/>
                <w:color w:val="auto"/>
                <w:sz w:val="24"/>
                <w:szCs w:val="24"/>
                <w:highlight w:val="none"/>
              </w:rPr>
              <w:t xml:space="preserve">，</w:t>
            </w:r>
            <w:r>
              <w:rPr>
                <w:rFonts w:hint="eastAsia" w:ascii="宋体" w:hAnsi="宋体" w:eastAsia="宋体" w:cs="宋体"/>
                <w:sz w:val="24"/>
                <w:szCs w:val="24"/>
                <w:highlight w:val="none"/>
                <w:lang w:val="en-US" w:eastAsia="zh-CN"/>
              </w:rPr>
              <w:t xml:space="preserve">投标人或</w:t>
            </w:r>
            <w:r>
              <w:rPr>
                <w:rFonts w:hint="eastAsia" w:ascii="宋体" w:hAnsi="宋体" w:eastAsia="宋体" w:cs="宋体"/>
                <w:sz w:val="24"/>
                <w:szCs w:val="24"/>
                <w:highlight w:val="none"/>
              </w:rPr>
              <w:t xml:space="preserve">所投产品</w:t>
            </w:r>
            <w:r>
              <w:rPr>
                <w:rFonts w:hint="eastAsia" w:ascii="宋体" w:hAnsi="宋体" w:eastAsia="宋体" w:cs="宋体"/>
                <w:sz w:val="24"/>
                <w:szCs w:val="24"/>
                <w:highlight w:val="none"/>
                <w:lang w:val="en-US" w:eastAsia="zh-CN"/>
              </w:rPr>
              <w:t xml:space="preserve">厂商</w:t>
            </w:r>
            <w:r>
              <w:rPr>
                <w:rFonts w:hint="eastAsia" w:ascii="宋体" w:hAnsi="宋体" w:eastAsia="宋体" w:cs="宋体"/>
                <w:color w:val="auto"/>
                <w:sz w:val="24"/>
                <w:szCs w:val="24"/>
                <w:highlight w:val="none"/>
                <w:lang w:val="en-US" w:eastAsia="zh-CN"/>
              </w:rPr>
              <w:t xml:space="preserve">具有内外网接口安全能力，</w:t>
            </w:r>
            <w:r>
              <w:rPr>
                <w:rFonts w:hint="eastAsia" w:ascii="宋体" w:hAnsi="宋体" w:eastAsia="宋体" w:cs="宋体"/>
                <w:color w:val="auto"/>
                <w:sz w:val="24"/>
                <w:szCs w:val="24"/>
                <w:highlight w:val="none"/>
              </w:rPr>
              <w:t xml:space="preserve">能够提供</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内外网接口安全网关平台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类的计算机软件著作权登记证书得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分，本项最高得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pStyle w:val="73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提供上述证书</w:t>
            </w:r>
            <w:r>
              <w:rPr>
                <w:rFonts w:hint="eastAsia" w:ascii="宋体" w:hAnsi="宋体" w:eastAsia="宋体" w:cs="宋体"/>
                <w:b/>
                <w:bCs/>
                <w:color w:val="auto"/>
                <w:sz w:val="24"/>
                <w:szCs w:val="24"/>
                <w:highlight w:val="none"/>
                <w:lang w:val="en-US" w:eastAsia="zh-CN"/>
              </w:rPr>
              <w:t xml:space="preserve">彩色扫描</w:t>
            </w:r>
            <w:r>
              <w:rPr>
                <w:rFonts w:hint="eastAsia" w:ascii="宋体" w:hAnsi="宋体" w:eastAsia="宋体" w:cs="宋体"/>
                <w:b/>
                <w:bCs/>
                <w:color w:val="auto"/>
                <w:sz w:val="24"/>
                <w:szCs w:val="24"/>
                <w:highlight w:val="none"/>
              </w:rPr>
              <w:t xml:space="preserve">件并加盖</w:t>
            </w:r>
            <w:r>
              <w:rPr>
                <w:rFonts w:hint="eastAsia" w:ascii="宋体" w:hAnsi="宋体" w:eastAsia="宋体" w:cs="宋体"/>
                <w:b/>
                <w:bCs/>
                <w:color w:val="auto"/>
                <w:sz w:val="24"/>
                <w:szCs w:val="24"/>
                <w:highlight w:val="none"/>
                <w:lang w:val="en-US" w:eastAsia="zh-CN"/>
              </w:rPr>
              <w:t xml:space="preserve">供应商</w:t>
            </w:r>
            <w:r>
              <w:rPr>
                <w:rFonts w:hint="eastAsia" w:ascii="宋体" w:hAnsi="宋体" w:eastAsia="宋体" w:cs="宋体"/>
                <w:b/>
                <w:bCs/>
                <w:color w:val="auto"/>
                <w:sz w:val="24"/>
                <w:szCs w:val="24"/>
                <w:highlight w:val="none"/>
              </w:rPr>
              <w:t xml:space="preserve">公章</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未提供不得分。</w:t>
            </w:r>
            <w:r/>
          </w:p>
          <w:p>
            <w:pPr>
              <w:ind w:firstLine="480"/>
              <w:spacing w:line="273"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投标人或</w:t>
            </w:r>
            <w:r>
              <w:rPr>
                <w:rFonts w:hint="eastAsia" w:ascii="宋体" w:hAnsi="宋体" w:eastAsia="宋体" w:cs="宋体"/>
                <w:color w:val="auto"/>
                <w:sz w:val="24"/>
                <w:szCs w:val="24"/>
                <w:highlight w:val="none"/>
              </w:rPr>
              <w:t xml:space="preserve">所投产品</w:t>
            </w:r>
            <w:r>
              <w:rPr>
                <w:rFonts w:hint="eastAsia" w:ascii="宋体" w:hAnsi="宋体" w:eastAsia="宋体" w:cs="宋体"/>
                <w:color w:val="auto"/>
                <w:sz w:val="24"/>
                <w:szCs w:val="24"/>
                <w:highlight w:val="none"/>
                <w:lang w:val="en-US" w:eastAsia="zh-CN"/>
              </w:rPr>
              <w:t xml:space="preserve">厂商</w:t>
            </w:r>
            <w:r>
              <w:rPr>
                <w:rFonts w:hint="eastAsia" w:ascii="宋体" w:hAnsi="宋体" w:eastAsia="宋体" w:cs="宋体"/>
                <w:color w:val="auto"/>
                <w:sz w:val="24"/>
                <w:szCs w:val="24"/>
                <w:highlight w:val="none"/>
              </w:rPr>
              <w:t xml:space="preserve">具有有效期内信息系统建设和服务能力资质证书，CS</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等级</w:t>
            </w:r>
            <w:r>
              <w:rPr>
                <w:rFonts w:hint="eastAsia" w:ascii="宋体" w:hAnsi="宋体" w:eastAsia="宋体" w:cs="宋体"/>
                <w:color w:val="auto"/>
                <w:sz w:val="24"/>
                <w:szCs w:val="24"/>
                <w:highlight w:val="none"/>
                <w:lang w:val="en-US" w:eastAsia="zh-CN"/>
              </w:rPr>
              <w:t xml:space="preserve">及以上</w:t>
            </w:r>
            <w:r>
              <w:rPr>
                <w:rFonts w:hint="eastAsia" w:ascii="宋体" w:hAnsi="宋体" w:eastAsia="宋体" w:cs="宋体"/>
                <w:color w:val="auto"/>
                <w:sz w:val="24"/>
                <w:szCs w:val="24"/>
                <w:highlight w:val="none"/>
              </w:rPr>
              <w:t xml:space="preserve">的得3分，CS</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等级的得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分，CS</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等级以下资质的得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分，没有或未提供不得分。</w:t>
            </w:r>
            <w:r/>
          </w:p>
          <w:p>
            <w:pPr>
              <w:pStyle w:val="73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提供以上证书</w:t>
            </w:r>
            <w:r>
              <w:rPr>
                <w:rFonts w:hint="eastAsia" w:ascii="宋体" w:hAnsi="宋体" w:eastAsia="宋体" w:cs="宋体"/>
                <w:b/>
                <w:bCs/>
                <w:color w:val="auto"/>
                <w:sz w:val="24"/>
                <w:szCs w:val="24"/>
                <w:highlight w:val="none"/>
                <w:lang w:val="en-US" w:eastAsia="zh-CN"/>
              </w:rPr>
              <w:t xml:space="preserve">彩色扫描</w:t>
            </w:r>
            <w:r>
              <w:rPr>
                <w:rFonts w:hint="eastAsia" w:ascii="宋体" w:hAnsi="宋体" w:eastAsia="宋体" w:cs="宋体"/>
                <w:b/>
                <w:bCs/>
                <w:color w:val="auto"/>
                <w:sz w:val="24"/>
                <w:szCs w:val="24"/>
                <w:highlight w:val="none"/>
              </w:rPr>
              <w:t xml:space="preserve">件并加盖</w:t>
            </w:r>
            <w:r>
              <w:rPr>
                <w:rFonts w:hint="eastAsia" w:ascii="宋体" w:hAnsi="宋体" w:eastAsia="宋体" w:cs="宋体"/>
                <w:b/>
                <w:bCs/>
                <w:color w:val="auto"/>
                <w:sz w:val="24"/>
                <w:szCs w:val="24"/>
                <w:highlight w:val="none"/>
                <w:lang w:val="en-US" w:eastAsia="zh-CN"/>
              </w:rPr>
              <w:t xml:space="preserve">供应商</w:t>
            </w:r>
            <w:r>
              <w:rPr>
                <w:rFonts w:hint="eastAsia" w:ascii="宋体" w:hAnsi="宋体" w:eastAsia="宋体" w:cs="宋体"/>
                <w:b/>
                <w:bCs/>
                <w:color w:val="auto"/>
                <w:sz w:val="24"/>
                <w:szCs w:val="24"/>
                <w:highlight w:val="none"/>
              </w:rPr>
              <w:t xml:space="preserve">公章，未提供不得分。</w:t>
            </w:r>
            <w:r/>
          </w:p>
        </w:tc>
        <w:tc>
          <w:tcPr>
            <w:shd w:val="clear" w:color="auto" w:fill="auto"/>
            <w:tcBorders>
              <w:top w:val="single" w:color="auto" w:sz="4" w:space="0"/>
              <w:left w:val="none" w:color="000000" w:sz="4" w:space="0"/>
              <w:bottom w:val="single" w:color="auto" w:sz="4" w:space="0"/>
              <w:right w:val="single" w:color="auto" w:sz="4" w:space="0"/>
            </w:tcBorders>
            <w:tcW w:w="674"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jc w:val="center"/>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w:t>
            </w:r>
            <w:r/>
          </w:p>
        </w:tc>
      </w:tr>
      <w:tr>
        <w:trPr>
          <w:jc w:val="center"/>
          <w:trHeight w:val="267"/>
        </w:trPr>
        <w:tc>
          <w:tcPr>
            <w:shd w:val="clear" w:color="auto" w:fill="auto"/>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w:t>
            </w:r>
            <w:r/>
          </w:p>
        </w:tc>
        <w:tc>
          <w:tcPr>
            <w:shd w:val="clear" w:color="auto" w:fill="auto"/>
            <w:tcBorders>
              <w:top w:val="single" w:color="auto" w:sz="4" w:space="0"/>
              <w:left w:val="none" w:color="000000" w:sz="4" w:space="0"/>
              <w:bottom w:val="single" w:color="auto" w:sz="4" w:space="0"/>
              <w:right w:val="single" w:color="auto" w:sz="4" w:space="0"/>
            </w:tcBorders>
            <w:tcW w:w="858" w:type="dxa"/>
            <w:vAlign w:val="center"/>
            <w:textDirection w:val="lrTb"/>
            <w:noWrap w:val="false"/>
          </w:tcPr>
          <w:p>
            <w:pPr>
              <w:jc w:val="center"/>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类似</w:t>
            </w:r>
            <w:r>
              <w:rPr>
                <w:rFonts w:hint="eastAsia" w:ascii="宋体" w:hAnsi="宋体" w:eastAsia="宋体" w:cs="宋体"/>
                <w:color w:val="auto"/>
                <w:sz w:val="24"/>
                <w:szCs w:val="24"/>
                <w:highlight w:val="none"/>
              </w:rPr>
              <w:t xml:space="preserve">业绩</w:t>
            </w:r>
            <w:r/>
          </w:p>
        </w:tc>
        <w:tc>
          <w:tcPr>
            <w:shd w:val="clear" w:color="auto" w:fill="auto"/>
            <w:tcBorders>
              <w:top w:val="single" w:color="auto" w:sz="4" w:space="0"/>
              <w:left w:val="none" w:color="000000" w:sz="4" w:space="0"/>
              <w:bottom w:val="single" w:color="auto" w:sz="4" w:space="0"/>
              <w:right w:val="single" w:color="auto" w:sz="4" w:space="0"/>
            </w:tcBorders>
            <w:tcW w:w="7209" w:type="dxa"/>
            <w:vAlign w:val="center"/>
            <w:textDirection w:val="lrTb"/>
            <w:noWrap w:val="false"/>
          </w:tcPr>
          <w:p>
            <w:pPr>
              <w:ind w:firstLine="480"/>
              <w:spacing w:line="273" w:lineRule="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提供自</w:t>
            </w:r>
            <w:r>
              <w:rPr>
                <w:rFonts w:hint="eastAsia" w:ascii="宋体" w:hAnsi="宋体" w:eastAsia="宋体" w:cs="宋体"/>
                <w:color w:val="auto"/>
                <w:sz w:val="24"/>
                <w:szCs w:val="24"/>
                <w:highlight w:val="none"/>
                <w:lang w:val="en-US" w:eastAsia="zh-CN"/>
              </w:rPr>
              <w:t xml:space="preserve">2023</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日以来完成类似项目的案例（至少包含</w:t>
            </w:r>
            <w:r>
              <w:rPr>
                <w:rFonts w:hint="eastAsia" w:ascii="宋体" w:hAnsi="宋体" w:eastAsia="宋体" w:cs="宋体"/>
                <w:color w:val="auto"/>
                <w:sz w:val="24"/>
                <w:szCs w:val="24"/>
                <w:highlight w:val="none"/>
                <w:lang w:val="en-US" w:eastAsia="zh-CN"/>
              </w:rPr>
              <w:t xml:space="preserve">医院</w:t>
            </w:r>
            <w:r>
              <w:rPr>
                <w:rFonts w:hint="eastAsia" w:ascii="宋体" w:hAnsi="宋体" w:eastAsia="宋体" w:cs="宋体"/>
                <w:color w:val="auto"/>
                <w:sz w:val="24"/>
                <w:szCs w:val="24"/>
                <w:highlight w:val="none"/>
              </w:rPr>
              <w:t xml:space="preserve">信息化），每提供</w:t>
            </w:r>
            <w:r>
              <w:rPr>
                <w:rFonts w:hint="eastAsia" w:ascii="宋体" w:hAnsi="宋体" w:eastAsia="宋体" w:cs="宋体"/>
                <w:color w:val="auto"/>
                <w:sz w:val="24"/>
                <w:szCs w:val="24"/>
                <w:highlight w:val="none"/>
                <w:lang w:val="en-US" w:eastAsia="zh-CN"/>
              </w:rPr>
              <w:t xml:space="preserve">1份</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分，本项最高得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p>
            <w:pPr>
              <w:ind w:firstLine="482"/>
              <w:spacing w:line="273"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rPr>
              <w:t xml:space="preserve">提供合同</w:t>
            </w:r>
            <w:r>
              <w:rPr>
                <w:rFonts w:hint="eastAsia" w:ascii="宋体" w:hAnsi="宋体" w:eastAsia="宋体" w:cs="宋体"/>
                <w:b/>
                <w:bCs/>
                <w:color w:val="auto"/>
                <w:sz w:val="24"/>
                <w:szCs w:val="24"/>
                <w:highlight w:val="none"/>
                <w:lang w:val="en-US" w:eastAsia="zh-CN"/>
              </w:rPr>
              <w:t xml:space="preserve">彩色扫描件</w:t>
            </w:r>
            <w:r>
              <w:rPr>
                <w:rFonts w:hint="eastAsia" w:ascii="宋体" w:hAnsi="宋体" w:eastAsia="宋体" w:cs="宋体"/>
                <w:b/>
                <w:bCs/>
                <w:color w:val="auto"/>
                <w:sz w:val="24"/>
                <w:szCs w:val="24"/>
                <w:highlight w:val="none"/>
              </w:rPr>
              <w:t xml:space="preserve">加盖</w:t>
            </w:r>
            <w:r>
              <w:rPr>
                <w:rFonts w:hint="eastAsia" w:ascii="宋体" w:hAnsi="宋体" w:eastAsia="宋体" w:cs="宋体"/>
                <w:b/>
                <w:bCs/>
                <w:color w:val="auto"/>
                <w:sz w:val="24"/>
                <w:szCs w:val="24"/>
                <w:highlight w:val="none"/>
                <w:lang w:val="en-US" w:eastAsia="zh-CN"/>
              </w:rPr>
              <w:t xml:space="preserve">供应商</w:t>
            </w:r>
            <w:r>
              <w:rPr>
                <w:rFonts w:hint="eastAsia" w:ascii="宋体" w:hAnsi="宋体" w:eastAsia="宋体" w:cs="宋体"/>
                <w:b/>
                <w:bCs/>
                <w:color w:val="auto"/>
                <w:sz w:val="24"/>
                <w:szCs w:val="24"/>
                <w:highlight w:val="none"/>
              </w:rPr>
              <w:t xml:space="preserve">公章，未提供不得分。合同须能反映项目名称、主要标的物，签订时间和签章清晰可见</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000000"/>
                <w:sz w:val="24"/>
              </w:rPr>
              <w:t xml:space="preserve">合同中的重要信息因存在内容模糊、无法辨认、不完整而产生不利于该项评审的情况，供应商自行承担后果。</w:t>
            </w:r>
            <w:r/>
          </w:p>
        </w:tc>
        <w:tc>
          <w:tcPr>
            <w:shd w:val="clear" w:color="auto" w:fill="auto"/>
            <w:tcBorders>
              <w:top w:val="single" w:color="auto" w:sz="4" w:space="0"/>
              <w:left w:val="none" w:color="000000" w:sz="4" w:space="0"/>
              <w:bottom w:val="single" w:color="auto" w:sz="4" w:space="0"/>
              <w:right w:val="single" w:color="auto" w:sz="4" w:space="0"/>
            </w:tcBorders>
            <w:tcW w:w="674" w:type="dxa"/>
            <w:vAlign w:val="center"/>
            <w:textDirection w:val="lrTb"/>
            <w:noWrap w:val="false"/>
          </w:tcPr>
          <w:p>
            <w:pPr>
              <w:jc w:val="center"/>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w:t>
            </w:r>
            <w:r/>
          </w:p>
        </w:tc>
      </w:tr>
    </w:tbl>
    <w:p>
      <w:pPr>
        <w:ind w:firstLine="420"/>
        <w:widowControl/>
      </w:pPr>
      <w:r/>
      <w:r/>
    </w:p>
    <w:p>
      <w:pPr>
        <w:ind w:firstLine="420"/>
        <w:widowControl/>
        <w:rPr>
          <w:rFonts w:hint="eastAsia" w:asciiTheme="minorEastAsia" w:hAnsiTheme="minorEastAsia" w:cstheme="minorEastAsia"/>
          <w:b/>
          <w:bCs/>
          <w:sz w:val="24"/>
        </w:rPr>
      </w:pPr>
      <w:r>
        <w:t xml:space="preserve"> </w:t>
      </w:r>
      <w:r>
        <w:rPr>
          <w:rFonts w:hint="eastAsia" w:asciiTheme="minorEastAsia" w:hAnsiTheme="minorEastAsia" w:cstheme="minorEastAsia"/>
          <w:b/>
          <w:bCs/>
          <w:sz w:val="24"/>
        </w:rPr>
        <w:t xml:space="preserve">注：投标文</w:t>
      </w:r>
      <w:r>
        <w:rPr>
          <w:rFonts w:hint="eastAsia" w:asciiTheme="minorEastAsia" w:hAnsiTheme="minorEastAsia" w:cstheme="minorEastAsia"/>
          <w:b/>
          <w:bCs/>
          <w:sz w:val="24"/>
        </w:rPr>
        <w:t xml:space="preserve">件评分标准材料要求：投标人提供证明材料需彩色扫描件加盖投标人红色公章（如原件是彩色件，则扫描件须是彩色）。否则不能得分。招标人有权在中标公示期间内（中标公示或质疑期间及其他采购人明确要求的时间内）对中标人提供的与本评分办法相关的材料或技术参数响应等评分依据（原件）的真实性进行复查，如未在采购人规定的时间内提交，采购人有权根据政府采购法律法规处理。如发现有通过提供虚假证明材料或响应获得分值，将取消中标资格，同时，采购人保留重新采购或按照新的排名顺序重新确定中标人的权利。并提请监督机构按照政府采购相关法规处理。</w:t>
      </w:r>
      <w:r/>
    </w:p>
    <w:p>
      <w:pPr>
        <w:ind w:firstLine="482"/>
        <w:widowControl/>
        <w:rPr>
          <w:rFonts w:hint="eastAsia" w:asciiTheme="minorEastAsia" w:hAnsiTheme="minorEastAsia" w:cstheme="minorEastAsia"/>
          <w:b/>
          <w:bCs/>
          <w:sz w:val="24"/>
        </w:rPr>
      </w:pPr>
      <w:r>
        <w:rPr>
          <w:rFonts w:hint="eastAsia" w:asciiTheme="minorEastAsia" w:hAnsiTheme="minorEastAsia" w:cstheme="minorEastAsia"/>
          <w:b/>
          <w:bCs/>
          <w:sz w:val="24"/>
        </w:rPr>
        <w:t xml:space="preserve">特别说明：</w:t>
      </w:r>
      <w:r/>
    </w:p>
    <w:p>
      <w:pPr>
        <w:ind w:firstLine="480"/>
        <w:widowControl/>
        <w:rPr>
          <w:rFonts w:hint="eastAsia" w:asciiTheme="minorEastAsia" w:hAnsiTheme="minorEastAsia" w:cstheme="minorEastAsia"/>
          <w:sz w:val="24"/>
        </w:rPr>
      </w:pPr>
      <w:r>
        <w:rPr>
          <w:rFonts w:hint="eastAsia" w:asciiTheme="minorEastAsia" w:hAnsiTheme="minorEastAsia" w:cstheme="minorEastAsia"/>
          <w:sz w:val="24"/>
        </w:rPr>
        <w:t xml:space="preserve">1、证书正在进行年检无法提供证明材料的，应提供相关行政主管部门的受理意见证明、相应官方网站查询结果等相关的有效证明材料。</w:t>
      </w:r>
      <w:r/>
    </w:p>
    <w:p>
      <w:pPr>
        <w:ind w:firstLine="480"/>
        <w:widowControl/>
        <w:rPr>
          <w:rFonts w:hint="eastAsia" w:asciiTheme="minorEastAsia" w:hAnsiTheme="minorEastAsia" w:cstheme="minorEastAsia"/>
          <w:sz w:val="24"/>
        </w:rPr>
      </w:pPr>
      <w:r>
        <w:rPr>
          <w:rFonts w:hint="eastAsia" w:asciiTheme="minorEastAsia" w:hAnsiTheme="minorEastAsia" w:cstheme="minorEastAsia"/>
          <w:sz w:val="24"/>
        </w:rPr>
        <w:t xml:space="preserve">2、评分标准中涉及的证书、检测报告等证明材料应在有效期内，且在招标文件上网前取得。</w:t>
      </w:r>
      <w:r/>
    </w:p>
    <w:p>
      <w:pPr>
        <w:pStyle w:val="730"/>
        <w:jc w:val="center"/>
        <w:spacing w:beforeAutospacing="0" w:afterAutospacing="0"/>
        <w:rPr>
          <w:b/>
          <w:bCs/>
          <w:sz w:val="44"/>
          <w:szCs w:val="44"/>
        </w:rPr>
        <w:outlineLvl w:val="9"/>
      </w:pPr>
      <w:r>
        <w:rPr>
          <w:b/>
          <w:bCs/>
          <w:sz w:val="44"/>
          <w:szCs w:val="44"/>
        </w:rPr>
      </w:r>
      <w:r/>
    </w:p>
    <w:p>
      <w:pPr>
        <w:pStyle w:val="730"/>
        <w:jc w:val="center"/>
        <w:spacing w:beforeAutospacing="0" w:afterAutospacing="0"/>
        <w:rPr>
          <w:b/>
          <w:bCs/>
          <w:sz w:val="44"/>
          <w:szCs w:val="44"/>
        </w:rPr>
        <w:outlineLvl w:val="9"/>
      </w:pPr>
      <w:r>
        <w:rPr>
          <w:b/>
          <w:bCs/>
          <w:sz w:val="44"/>
          <w:szCs w:val="44"/>
        </w:rPr>
      </w:r>
      <w:r/>
    </w:p>
    <w:p>
      <w:pPr>
        <w:pStyle w:val="730"/>
        <w:jc w:val="center"/>
        <w:spacing w:beforeAutospacing="0" w:afterAutospacing="0"/>
        <w:rPr>
          <w:b/>
          <w:bCs/>
          <w:sz w:val="44"/>
          <w:szCs w:val="44"/>
        </w:rPr>
        <w:outlineLvl w:val="9"/>
      </w:pPr>
      <w:r>
        <w:rPr>
          <w:b/>
          <w:bCs/>
          <w:sz w:val="44"/>
          <w:szCs w:val="44"/>
        </w:rPr>
      </w:r>
      <w:r/>
    </w:p>
    <w:p>
      <w:pPr>
        <w:pStyle w:val="730"/>
        <w:jc w:val="center"/>
        <w:spacing w:beforeAutospacing="0" w:afterAutospacing="0"/>
        <w:rPr>
          <w:b/>
          <w:bCs/>
          <w:sz w:val="44"/>
          <w:szCs w:val="44"/>
        </w:rPr>
        <w:outlineLvl w:val="9"/>
      </w:pPr>
      <w:r>
        <w:rPr>
          <w:b/>
          <w:bCs/>
          <w:sz w:val="44"/>
          <w:szCs w:val="44"/>
        </w:rPr>
      </w:r>
      <w:r/>
    </w:p>
    <w:p>
      <w:pPr>
        <w:pStyle w:val="730"/>
        <w:jc w:val="center"/>
        <w:spacing w:beforeAutospacing="0" w:afterAutospacing="0"/>
        <w:rPr>
          <w:b/>
          <w:bCs/>
          <w:sz w:val="44"/>
          <w:szCs w:val="44"/>
        </w:rPr>
        <w:outlineLvl w:val="9"/>
      </w:pPr>
      <w:r>
        <w:rPr>
          <w:b/>
          <w:bCs/>
          <w:sz w:val="44"/>
          <w:szCs w:val="44"/>
        </w:rPr>
      </w:r>
      <w:r/>
    </w:p>
    <w:p>
      <w:pPr>
        <w:pStyle w:val="730"/>
        <w:jc w:val="center"/>
        <w:spacing w:beforeAutospacing="0" w:afterAutospacing="0"/>
        <w:rPr>
          <w:b/>
          <w:bCs/>
          <w:sz w:val="44"/>
          <w:szCs w:val="44"/>
        </w:rPr>
        <w:outlineLvl w:val="9"/>
      </w:pPr>
      <w:r>
        <w:rPr>
          <w:b/>
          <w:bCs/>
          <w:sz w:val="44"/>
          <w:szCs w:val="44"/>
        </w:rPr>
      </w:r>
      <w:r/>
    </w:p>
    <w:p>
      <w:pPr>
        <w:pStyle w:val="730"/>
        <w:jc w:val="center"/>
        <w:spacing w:beforeAutospacing="0" w:afterAutospacing="0"/>
        <w:rPr>
          <w:b/>
          <w:bCs/>
          <w:sz w:val="44"/>
          <w:szCs w:val="44"/>
        </w:rPr>
        <w:outlineLvl w:val="9"/>
      </w:pPr>
      <w:r>
        <w:rPr>
          <w:b/>
          <w:bCs/>
          <w:sz w:val="44"/>
          <w:szCs w:val="44"/>
        </w:rPr>
      </w:r>
      <w:r/>
    </w:p>
    <w:p>
      <w:pPr>
        <w:pStyle w:val="730"/>
        <w:jc w:val="center"/>
        <w:spacing w:beforeAutospacing="0" w:afterAutospacing="0"/>
        <w:rPr>
          <w:b w:val="0"/>
          <w:bCs w:val="0"/>
          <w:sz w:val="44"/>
          <w:szCs w:val="44"/>
        </w:rPr>
        <w:outlineLvl w:val="0"/>
      </w:pPr>
      <w:r>
        <w:rPr>
          <w:rFonts w:hint="default"/>
          <w:b w:val="0"/>
          <w:bCs w:val="0"/>
          <w:sz w:val="44"/>
          <w:szCs w:val="44"/>
        </w:rPr>
        <w:t xml:space="preserve">第六章  投标文件格式</w:t>
      </w:r>
      <w:r/>
    </w:p>
    <w:p>
      <w:pPr>
        <w:pStyle w:val="730"/>
        <w:jc w:val="center"/>
        <w:spacing w:beforeAutospacing="0" w:afterAutospacing="0"/>
        <w:rPr>
          <w:rFonts w:hint="eastAsia" w:ascii="宋体" w:hAnsi="宋体" w:eastAsia="宋体" w:cs="宋体"/>
          <w:b/>
          <w:sz w:val="72"/>
          <w:szCs w:val="72"/>
        </w:rPr>
      </w:pPr>
      <w:r/>
      <w:bookmarkStart w:id="187" w:name="_Hlt26671244"/>
      <w:r/>
      <w:bookmarkEnd w:id="187"/>
      <w:r/>
      <w:bookmarkStart w:id="188" w:name="_Hlt26955039"/>
      <w:r/>
      <w:bookmarkEnd w:id="188"/>
      <w:r/>
      <w:bookmarkStart w:id="189" w:name="_Toc26554094"/>
      <w:r/>
      <w:bookmarkEnd w:id="189"/>
      <w:r/>
      <w:bookmarkStart w:id="190" w:name="_Toc120614282"/>
      <w:r/>
      <w:bookmarkStart w:id="191" w:name="_Toc49090576"/>
      <w:r/>
      <w:r/>
    </w:p>
    <w:p>
      <w:pPr>
        <w:pStyle w:val="730"/>
        <w:jc w:val="center"/>
        <w:spacing w:beforeAutospacing="0" w:afterAutospacing="0"/>
        <w:rPr>
          <w:rFonts w:hint="eastAsia" w:ascii="宋体" w:hAnsi="宋体" w:eastAsia="宋体" w:cs="宋体"/>
          <w:b/>
          <w:sz w:val="72"/>
          <w:szCs w:val="72"/>
        </w:rPr>
      </w:pPr>
      <w:r>
        <w:rPr>
          <w:rFonts w:hint="eastAsia" w:ascii="宋体" w:hAnsi="宋体" w:eastAsia="宋体" w:cs="宋体"/>
          <w:b/>
          <w:sz w:val="72"/>
          <w:szCs w:val="72"/>
        </w:rPr>
      </w:r>
      <w:r/>
    </w:p>
    <w:p>
      <w:pPr>
        <w:pStyle w:val="730"/>
        <w:jc w:val="center"/>
        <w:spacing w:beforeAutospacing="0" w:afterAutospacing="0"/>
        <w:outlineLvl w:val="0"/>
      </w:pPr>
      <w:r>
        <w:rPr>
          <w:rFonts w:hint="eastAsia" w:ascii="宋体" w:hAnsi="宋体" w:eastAsia="宋体" w:cs="宋体"/>
          <w:b/>
          <w:sz w:val="72"/>
          <w:szCs w:val="72"/>
        </w:rPr>
        <w:t xml:space="preserve">投  标  文  件</w:t>
      </w:r>
      <w:r/>
    </w:p>
    <w:p>
      <w:pPr>
        <w:pStyle w:val="730"/>
        <w:jc w:val="center"/>
        <w:spacing w:beforeAutospacing="0" w:afterAutospacing="0"/>
      </w:pPr>
      <w:r>
        <w:t xml:space="preserve"> </w:t>
      </w:r>
      <w:r/>
    </w:p>
    <w:p>
      <w:pPr>
        <w:pStyle w:val="730"/>
        <w:jc w:val="center"/>
        <w:spacing w:beforeAutospacing="0" w:afterAutospacing="0"/>
      </w:pPr>
      <w:r>
        <w:t xml:space="preserve"> </w:t>
      </w:r>
      <w:r/>
    </w:p>
    <w:p>
      <w:pPr>
        <w:pStyle w:val="730"/>
        <w:jc w:val="center"/>
        <w:spacing w:beforeAutospacing="0" w:afterAutospacing="0"/>
      </w:pPr>
      <w:r/>
      <w:r/>
    </w:p>
    <w:p>
      <w:pPr>
        <w:pStyle w:val="730"/>
        <w:jc w:val="center"/>
        <w:spacing w:beforeAutospacing="0" w:afterAutospacing="0"/>
      </w:pPr>
      <w:r/>
      <w:r/>
    </w:p>
    <w:p>
      <w:pPr>
        <w:pStyle w:val="730"/>
        <w:jc w:val="center"/>
        <w:spacing w:beforeAutospacing="0" w:afterAutospacing="0"/>
      </w:pPr>
      <w:r>
        <w:t xml:space="preserve"> </w:t>
      </w:r>
      <w:r/>
    </w:p>
    <w:p>
      <w:pPr>
        <w:pStyle w:val="730"/>
        <w:jc w:val="center"/>
        <w:spacing w:beforeAutospacing="0" w:afterAutospacing="0"/>
      </w:pPr>
      <w:r>
        <w:t xml:space="preserve"> </w:t>
      </w:r>
      <w:r/>
    </w:p>
    <w:p>
      <w:pPr>
        <w:pStyle w:val="730"/>
        <w:jc w:val="center"/>
        <w:spacing w:beforeAutospacing="0" w:afterAutospacing="0"/>
      </w:pPr>
      <w:r>
        <w:t xml:space="preserve"> </w:t>
      </w:r>
      <w:r/>
    </w:p>
    <w:p>
      <w:pPr>
        <w:pStyle w:val="730"/>
        <w:ind w:firstLine="1084"/>
        <w:jc w:val="both"/>
        <w:spacing w:beforeAutospacing="0" w:afterAutospacing="0"/>
      </w:pPr>
      <w:r>
        <w:rPr>
          <w:rFonts w:hint="eastAsia" w:ascii="宋体" w:hAnsi="宋体" w:eastAsia="宋体" w:cs="宋体"/>
          <w:b/>
          <w:sz w:val="36"/>
          <w:szCs w:val="36"/>
        </w:rPr>
        <w:t xml:space="preserve">项目 名 称：</w:t>
      </w:r>
      <w:r>
        <w:rPr>
          <w:rFonts w:hint="eastAsia" w:ascii="宋体" w:hAnsi="宋体" w:eastAsia="宋体" w:cs="宋体"/>
          <w:b/>
          <w:sz w:val="36"/>
          <w:szCs w:val="36"/>
          <w:u w:val="single"/>
        </w:rPr>
        <w:t xml:space="preserve">               </w:t>
      </w:r>
      <w:r/>
    </w:p>
    <w:p>
      <w:pPr>
        <w:pStyle w:val="730"/>
        <w:ind w:firstLine="1084"/>
        <w:jc w:val="both"/>
        <w:spacing w:beforeAutospacing="0" w:afterAutospacing="0"/>
      </w:pPr>
      <w:r>
        <w:rPr>
          <w:rFonts w:hint="eastAsia" w:ascii="宋体" w:hAnsi="宋体" w:eastAsia="宋体" w:cs="宋体"/>
          <w:b/>
          <w:sz w:val="36"/>
          <w:szCs w:val="36"/>
        </w:rPr>
        <w:t xml:space="preserve">项目 编 号：</w:t>
      </w:r>
      <w:r>
        <w:rPr>
          <w:rFonts w:hint="eastAsia" w:ascii="宋体" w:hAnsi="宋体" w:eastAsia="宋体" w:cs="宋体"/>
          <w:b/>
          <w:sz w:val="36"/>
          <w:szCs w:val="36"/>
          <w:u w:val="single"/>
        </w:rPr>
        <w:t xml:space="preserve">               </w:t>
      </w:r>
      <w:r/>
    </w:p>
    <w:p>
      <w:pPr>
        <w:pStyle w:val="730"/>
        <w:jc w:val="both"/>
        <w:spacing w:beforeAutospacing="0" w:afterAutospacing="0"/>
        <w:rPr>
          <w:rFonts w:hint="eastAsia" w:ascii="宋体" w:hAnsi="宋体" w:eastAsia="宋体" w:cs="宋体"/>
          <w:b/>
          <w:sz w:val="36"/>
          <w:szCs w:val="36"/>
        </w:rPr>
      </w:pPr>
      <w:r>
        <w:rPr>
          <w:rFonts w:hint="eastAsia" w:ascii="宋体" w:hAnsi="宋体" w:eastAsia="宋体" w:cs="宋体"/>
          <w:b/>
          <w:sz w:val="36"/>
          <w:szCs w:val="36"/>
        </w:rPr>
        <w:t xml:space="preserve">   </w:t>
      </w:r>
      <w:r/>
    </w:p>
    <w:p>
      <w:pPr>
        <w:pStyle w:val="730"/>
        <w:jc w:val="both"/>
        <w:spacing w:beforeAutospacing="0" w:afterAutospacing="0"/>
        <w:rPr>
          <w:rFonts w:hint="eastAsia" w:ascii="宋体" w:hAnsi="宋体" w:eastAsia="宋体" w:cs="宋体"/>
          <w:b/>
          <w:sz w:val="36"/>
          <w:szCs w:val="36"/>
        </w:rPr>
      </w:pPr>
      <w:r>
        <w:rPr>
          <w:rFonts w:hint="eastAsia" w:ascii="宋体" w:hAnsi="宋体" w:eastAsia="宋体" w:cs="宋体"/>
          <w:b/>
          <w:sz w:val="36"/>
          <w:szCs w:val="36"/>
        </w:rPr>
      </w:r>
      <w:r/>
    </w:p>
    <w:p>
      <w:pPr>
        <w:pStyle w:val="730"/>
        <w:jc w:val="both"/>
        <w:spacing w:beforeAutospacing="0" w:afterAutospacing="0"/>
        <w:rPr>
          <w:rFonts w:hint="eastAsia" w:ascii="宋体" w:hAnsi="宋体" w:eastAsia="宋体" w:cs="宋体"/>
          <w:b/>
          <w:sz w:val="36"/>
          <w:szCs w:val="36"/>
        </w:rPr>
      </w:pPr>
      <w:r>
        <w:rPr>
          <w:rFonts w:hint="eastAsia" w:ascii="宋体" w:hAnsi="宋体" w:eastAsia="宋体" w:cs="宋体"/>
          <w:b/>
          <w:sz w:val="36"/>
          <w:szCs w:val="36"/>
        </w:rPr>
      </w:r>
      <w:r/>
    </w:p>
    <w:p>
      <w:pPr>
        <w:pStyle w:val="730"/>
        <w:jc w:val="both"/>
        <w:spacing w:beforeAutospacing="0" w:afterAutospacing="0"/>
        <w:rPr>
          <w:rFonts w:hint="eastAsia" w:ascii="宋体" w:hAnsi="宋体" w:eastAsia="宋体" w:cs="宋体"/>
          <w:b/>
          <w:sz w:val="36"/>
          <w:szCs w:val="36"/>
        </w:rPr>
      </w:pPr>
      <w:r>
        <w:rPr>
          <w:rFonts w:hint="eastAsia" w:ascii="宋体" w:hAnsi="宋体" w:eastAsia="宋体" w:cs="宋体"/>
          <w:b/>
          <w:sz w:val="36"/>
          <w:szCs w:val="36"/>
        </w:rPr>
      </w:r>
      <w:r/>
    </w:p>
    <w:p>
      <w:pPr>
        <w:pStyle w:val="730"/>
        <w:jc w:val="both"/>
        <w:spacing w:beforeAutospacing="0" w:afterAutospacing="0"/>
        <w:rPr>
          <w:rFonts w:hint="eastAsia" w:ascii="宋体" w:hAnsi="宋体" w:eastAsia="宋体" w:cs="宋体"/>
          <w:b/>
          <w:sz w:val="36"/>
          <w:szCs w:val="36"/>
        </w:rPr>
      </w:pPr>
      <w:r>
        <w:rPr>
          <w:rFonts w:hint="eastAsia" w:ascii="宋体" w:hAnsi="宋体" w:eastAsia="宋体" w:cs="宋体"/>
          <w:b/>
          <w:sz w:val="36"/>
          <w:szCs w:val="36"/>
        </w:rPr>
      </w:r>
      <w:r/>
    </w:p>
    <w:p>
      <w:pPr>
        <w:pStyle w:val="730"/>
        <w:ind w:firstLine="1084"/>
        <w:jc w:val="both"/>
        <w:spacing w:beforeAutospacing="0" w:afterAutospacing="0"/>
      </w:pPr>
      <w:r>
        <w:rPr>
          <w:rFonts w:hint="eastAsia" w:ascii="宋体" w:hAnsi="宋体" w:eastAsia="宋体" w:cs="宋体"/>
          <w:b/>
          <w:sz w:val="36"/>
          <w:szCs w:val="36"/>
        </w:rPr>
        <w:t xml:space="preserve">投标人名称 ：</w:t>
      </w:r>
      <w:r>
        <w:rPr>
          <w:rFonts w:hint="eastAsia" w:ascii="宋体" w:hAnsi="宋体" w:eastAsia="宋体" w:cs="宋体"/>
          <w:b/>
          <w:sz w:val="36"/>
          <w:szCs w:val="36"/>
          <w:u w:val="single"/>
        </w:rPr>
        <w:t xml:space="preserve">（加盖CA电子公章）        </w:t>
      </w:r>
      <w:r/>
    </w:p>
    <w:p>
      <w:pPr>
        <w:pStyle w:val="730"/>
        <w:jc w:val="both"/>
        <w:spacing w:beforeAutospacing="0" w:afterAutospacing="0"/>
      </w:pPr>
      <w:r>
        <w:rPr>
          <w:rFonts w:hint="eastAsia" w:ascii="宋体" w:hAnsi="宋体" w:eastAsia="宋体" w:cs="宋体"/>
          <w:b/>
          <w:sz w:val="36"/>
          <w:szCs w:val="36"/>
        </w:rPr>
        <w:t xml:space="preserve">   日   期 ：</w:t>
      </w:r>
      <w:r>
        <w:rPr>
          <w:rFonts w:hint="eastAsia" w:ascii="宋体" w:hAnsi="宋体" w:eastAsia="宋体" w:cs="宋体"/>
          <w:b/>
          <w:sz w:val="36"/>
          <w:szCs w:val="36"/>
          <w:u w:val="single"/>
        </w:rPr>
        <w:t xml:space="preserve">                     </w:t>
      </w:r>
      <w:r/>
    </w:p>
    <w:p>
      <w:pPr>
        <w:pStyle w:val="730"/>
        <w:jc w:val="center"/>
        <w:spacing w:beforeAutospacing="0" w:afterAutospacing="0" w:line="0" w:lineRule="atLeast"/>
      </w:pPr>
      <w:r>
        <w:t xml:space="preserve"> </w:t>
      </w:r>
      <w:r/>
    </w:p>
    <w:p>
      <w:pPr>
        <w:pStyle w:val="730"/>
        <w:jc w:val="both"/>
        <w:spacing w:beforeAutospacing="0" w:afterAutospacing="0" w:line="0" w:lineRule="atLeast"/>
      </w:pPr>
      <w:r>
        <w:t xml:space="preserve"> </w:t>
      </w:r>
      <w:r/>
    </w:p>
    <w:p>
      <w:pPr>
        <w:pStyle w:val="730"/>
        <w:jc w:val="center"/>
        <w:spacing w:beforeAutospacing="0" w:afterAutospacing="0" w:line="0" w:lineRule="atLeast"/>
        <w:rPr>
          <w:rFonts w:hint="eastAsia" w:ascii="宋体" w:hAnsi="宋体" w:eastAsia="宋体" w:cs="宋体"/>
          <w:b/>
          <w:sz w:val="36"/>
          <w:szCs w:val="36"/>
          <w:u w:val="single"/>
        </w:rPr>
      </w:pPr>
      <w:r>
        <w:rPr>
          <w:rFonts w:hint="eastAsia" w:ascii="宋体" w:hAnsi="宋体" w:eastAsia="宋体" w:cs="宋体"/>
          <w:b/>
          <w:sz w:val="36"/>
          <w:szCs w:val="36"/>
          <w:u w:val="single"/>
        </w:rPr>
      </w:r>
      <w:r/>
    </w:p>
    <w:p>
      <w:pPr>
        <w:pStyle w:val="730"/>
        <w:jc w:val="center"/>
        <w:spacing w:beforeAutospacing="0" w:afterAutospacing="0" w:line="0" w:lineRule="atLeast"/>
        <w:rPr>
          <w:rFonts w:hint="eastAsia" w:ascii="宋体" w:hAnsi="宋体" w:eastAsia="宋体" w:cs="宋体"/>
          <w:b/>
          <w:sz w:val="36"/>
          <w:szCs w:val="36"/>
          <w:u w:val="single"/>
        </w:rPr>
      </w:pPr>
      <w:r>
        <w:rPr>
          <w:rFonts w:hint="eastAsia" w:ascii="宋体" w:hAnsi="宋体" w:eastAsia="宋体" w:cs="宋体"/>
          <w:b/>
          <w:sz w:val="36"/>
          <w:szCs w:val="36"/>
          <w:u w:val="single"/>
        </w:rPr>
      </w:r>
      <w:r/>
    </w:p>
    <w:p>
      <w:pPr>
        <w:pStyle w:val="730"/>
        <w:jc w:val="center"/>
        <w:spacing w:beforeAutospacing="0" w:afterAutospacing="0" w:line="0" w:lineRule="atLeast"/>
        <w:rPr>
          <w:rFonts w:hint="eastAsia" w:ascii="宋体" w:hAnsi="宋体" w:eastAsia="宋体" w:cs="宋体"/>
          <w:b/>
          <w:sz w:val="36"/>
          <w:szCs w:val="36"/>
          <w:u w:val="single"/>
        </w:rPr>
      </w:pPr>
      <w:r>
        <w:rPr>
          <w:rFonts w:hint="eastAsia" w:ascii="宋体" w:hAnsi="宋体" w:eastAsia="宋体" w:cs="宋体"/>
          <w:b/>
          <w:sz w:val="36"/>
          <w:szCs w:val="36"/>
          <w:u w:val="single"/>
        </w:rPr>
      </w:r>
      <w:r/>
    </w:p>
    <w:p>
      <w:pPr>
        <w:pStyle w:val="730"/>
        <w:jc w:val="center"/>
        <w:spacing w:beforeAutospacing="0" w:afterAutospacing="0" w:line="0" w:lineRule="atLeast"/>
        <w:rPr>
          <w:rFonts w:hint="eastAsia" w:ascii="宋体" w:hAnsi="宋体" w:eastAsia="宋体" w:cs="宋体"/>
          <w:b/>
          <w:sz w:val="36"/>
          <w:szCs w:val="36"/>
          <w:u w:val="single"/>
        </w:rPr>
      </w:pPr>
      <w:r>
        <w:rPr>
          <w:rFonts w:hint="eastAsia" w:ascii="宋体" w:hAnsi="宋体" w:eastAsia="宋体" w:cs="宋体"/>
          <w:b/>
          <w:sz w:val="36"/>
          <w:szCs w:val="36"/>
          <w:u w:val="single"/>
        </w:rPr>
      </w:r>
      <w:r/>
    </w:p>
    <w:p>
      <w:pPr>
        <w:pStyle w:val="730"/>
        <w:jc w:val="center"/>
        <w:spacing w:beforeAutospacing="0" w:afterAutospacing="0" w:line="0" w:lineRule="atLeast"/>
        <w:rPr>
          <w:rFonts w:hint="eastAsia" w:ascii="宋体" w:hAnsi="宋体" w:eastAsia="宋体" w:cs="宋体"/>
          <w:b/>
          <w:sz w:val="36"/>
          <w:szCs w:val="36"/>
          <w:u w:val="single"/>
        </w:rPr>
      </w:pPr>
      <w:r>
        <w:rPr>
          <w:rFonts w:hint="eastAsia" w:ascii="宋体" w:hAnsi="宋体" w:eastAsia="宋体" w:cs="宋体"/>
          <w:b/>
          <w:sz w:val="36"/>
          <w:szCs w:val="36"/>
          <w:u w:val="single"/>
        </w:rPr>
      </w:r>
      <w:r/>
    </w:p>
    <w:p>
      <w:pPr>
        <w:pStyle w:val="730"/>
        <w:jc w:val="center"/>
        <w:spacing w:beforeAutospacing="0" w:afterAutospacing="0" w:line="0" w:lineRule="atLeast"/>
        <w:rPr>
          <w:rFonts w:hint="eastAsia" w:ascii="宋体" w:hAnsi="宋体" w:eastAsia="宋体" w:cs="宋体"/>
          <w:b/>
          <w:sz w:val="36"/>
          <w:szCs w:val="36"/>
          <w:u w:val="single"/>
        </w:rPr>
      </w:pPr>
      <w:r>
        <w:rPr>
          <w:rFonts w:hint="eastAsia" w:ascii="宋体" w:hAnsi="宋体" w:eastAsia="宋体" w:cs="宋体"/>
          <w:b/>
          <w:sz w:val="36"/>
          <w:szCs w:val="36"/>
          <w:u w:val="single"/>
        </w:rPr>
      </w:r>
      <w:r/>
    </w:p>
    <w:p>
      <w:pPr>
        <w:pStyle w:val="730"/>
        <w:jc w:val="center"/>
        <w:spacing w:beforeAutospacing="0" w:afterAutospacing="0" w:line="0" w:lineRule="atLeast"/>
        <w:rPr>
          <w:rFonts w:hint="eastAsia" w:ascii="宋体" w:hAnsi="宋体" w:eastAsia="宋体" w:cs="宋体"/>
          <w:b/>
          <w:sz w:val="36"/>
          <w:szCs w:val="36"/>
          <w:u w:val="single"/>
        </w:rPr>
      </w:pPr>
      <w:r>
        <w:rPr>
          <w:rFonts w:hint="eastAsia" w:ascii="宋体" w:hAnsi="宋体" w:eastAsia="宋体" w:cs="宋体"/>
          <w:b/>
          <w:sz w:val="36"/>
          <w:szCs w:val="36"/>
          <w:u w:val="single"/>
        </w:rPr>
      </w:r>
      <w:r/>
    </w:p>
    <w:p>
      <w:pPr>
        <w:pStyle w:val="730"/>
        <w:jc w:val="center"/>
        <w:spacing w:beforeAutospacing="0" w:afterAutospacing="0" w:line="0" w:lineRule="atLeast"/>
        <w:rPr>
          <w:rFonts w:hint="eastAsia" w:ascii="宋体" w:hAnsi="宋体" w:eastAsia="宋体" w:cs="宋体"/>
          <w:b/>
          <w:sz w:val="36"/>
          <w:szCs w:val="36"/>
          <w:u w:val="single"/>
        </w:rPr>
      </w:pPr>
      <w:r>
        <w:rPr>
          <w:rFonts w:hint="eastAsia" w:ascii="宋体" w:hAnsi="宋体" w:eastAsia="宋体" w:cs="宋体"/>
          <w:b/>
          <w:sz w:val="36"/>
          <w:szCs w:val="36"/>
          <w:u w:val="single"/>
        </w:rPr>
      </w:r>
      <w:bookmarkEnd w:id="32"/>
      <w:r/>
      <w:bookmarkEnd w:id="49"/>
      <w:r/>
      <w:bookmarkEnd w:id="94"/>
      <w:r/>
      <w:bookmarkEnd w:id="95"/>
      <w:r/>
      <w:bookmarkEnd w:id="96"/>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6"/>
      <w:r/>
      <w:bookmarkEnd w:id="117"/>
      <w:r/>
      <w:bookmarkEnd w:id="118"/>
      <w:r/>
      <w:bookmarkEnd w:id="123"/>
      <w:r/>
      <w:bookmarkEnd w:id="124"/>
      <w:r/>
      <w:bookmarkEnd w:id="131"/>
      <w:r/>
      <w:bookmarkEnd w:id="178"/>
      <w:r/>
      <w:bookmarkEnd w:id="186"/>
      <w:r/>
      <w:bookmarkEnd w:id="190"/>
      <w:r/>
      <w:bookmarkEnd w:id="191"/>
      <w:r/>
      <w:r/>
    </w:p>
    <w:p>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t xml:space="preserve">投标文件目录</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ind w:firstLine="480"/>
        <w:spacing w:line="400" w:lineRule="exact"/>
        <w:rPr>
          <w:rFonts w:hint="eastAsia" w:ascii="宋体" w:hAnsi="宋体" w:eastAsiaTheme="minorEastAsia"/>
          <w:i/>
          <w:color w:val="000000"/>
          <w:sz w:val="24"/>
          <w:szCs w:val="21"/>
          <w:u w:val="single"/>
          <w:lang w:eastAsia="zh-CN"/>
        </w:rPr>
      </w:pPr>
      <w:r/>
      <w:bookmarkStart w:id="192" w:name="_Toc8023"/>
      <w:r>
        <w:rPr>
          <w:rFonts w:hint="eastAsia" w:ascii="宋体" w:hAnsi="宋体"/>
          <w:i/>
          <w:color w:val="000000"/>
          <w:sz w:val="24"/>
          <w:szCs w:val="21"/>
          <w:u w:val="single"/>
        </w:rPr>
        <w:t xml:space="preserve">一、法人或者其他组织的营业执照等证明文件，自然人的身份证明</w:t>
      </w:r>
      <w:bookmarkEnd w:id="192"/>
      <w:r/>
      <w:r/>
    </w:p>
    <w:p>
      <w:pPr>
        <w:ind w:firstLine="480"/>
        <w:spacing w:line="400" w:lineRule="exact"/>
        <w:rPr>
          <w:rFonts w:hint="eastAsia" w:ascii="宋体" w:hAnsi="宋体"/>
          <w:i/>
          <w:color w:val="000000"/>
          <w:sz w:val="24"/>
          <w:szCs w:val="21"/>
          <w:u w:val="single"/>
        </w:rPr>
      </w:pPr>
      <w:r>
        <w:rPr>
          <w:rFonts w:hint="eastAsia" w:ascii="宋体" w:hAnsi="宋体"/>
          <w:i/>
          <w:color w:val="000000"/>
          <w:sz w:val="24"/>
          <w:szCs w:val="21"/>
          <w:u w:val="single"/>
        </w:rPr>
        <w:t xml:space="preserve">二、上一年度的财务状况报表（如为成立不满一年的公司，应提供公司成立之后的财务报表）或投标截止时间前6个月内，由其基本开户银行出具的资信证明或财政部门认可的政府采购专业担保机构出具的投标担保函</w:t>
      </w:r>
      <w:r/>
    </w:p>
    <w:p>
      <w:pPr>
        <w:ind w:firstLine="480"/>
        <w:spacing w:line="400" w:lineRule="exact"/>
        <w:rPr>
          <w:rFonts w:hint="eastAsia" w:ascii="宋体" w:hAnsi="宋体" w:eastAsiaTheme="minorEastAsia"/>
          <w:i/>
          <w:color w:val="000000"/>
          <w:sz w:val="24"/>
          <w:szCs w:val="21"/>
          <w:u w:val="single"/>
          <w:lang w:eastAsia="zh-CN"/>
        </w:rPr>
      </w:pPr>
      <w:r>
        <w:rPr>
          <w:rFonts w:hint="eastAsia" w:ascii="宋体" w:hAnsi="宋体"/>
          <w:i/>
          <w:color w:val="000000"/>
          <w:sz w:val="24"/>
          <w:szCs w:val="21"/>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00" w:lineRule="exact"/>
        <w:rPr>
          <w:rFonts w:hint="eastAsia" w:ascii="宋体" w:hAnsi="宋体" w:eastAsiaTheme="minorEastAsia"/>
          <w:i/>
          <w:color w:val="000000"/>
          <w:sz w:val="24"/>
          <w:szCs w:val="21"/>
          <w:u w:val="single"/>
          <w:lang w:eastAsia="zh-CN"/>
        </w:rPr>
      </w:pPr>
      <w:r/>
      <w:bookmarkStart w:id="193" w:name="_Toc6042"/>
      <w:r>
        <w:rPr>
          <w:rFonts w:hint="eastAsia" w:ascii="宋体" w:hAnsi="宋体"/>
          <w:i/>
          <w:color w:val="000000"/>
          <w:sz w:val="24"/>
          <w:szCs w:val="21"/>
          <w:u w:val="single"/>
        </w:rPr>
        <w:t xml:space="preserve">四、具备履行合同所必需的设备和专业技术能力的书面声明</w:t>
      </w:r>
      <w:bookmarkEnd w:id="193"/>
      <w:r/>
      <w:r/>
    </w:p>
    <w:p>
      <w:pPr>
        <w:ind w:firstLine="480"/>
        <w:spacing w:line="400" w:lineRule="exact"/>
        <w:rPr>
          <w:rFonts w:hint="eastAsia" w:ascii="宋体" w:hAnsi="宋体" w:eastAsiaTheme="minorEastAsia"/>
          <w:i/>
          <w:color w:val="000000"/>
          <w:sz w:val="24"/>
          <w:szCs w:val="21"/>
          <w:u w:val="single"/>
          <w:lang w:eastAsia="zh-CN"/>
        </w:rPr>
      </w:pPr>
      <w:r>
        <w:rPr>
          <w:rFonts w:hint="eastAsia" w:ascii="宋体" w:hAnsi="宋体"/>
          <w:i/>
          <w:color w:val="000000"/>
          <w:sz w:val="24"/>
          <w:szCs w:val="21"/>
          <w:u w:val="single"/>
        </w:rPr>
        <w:t xml:space="preserve">五、参加政府采购活动前 3 年内，在经营活动中没有重大违法记录的书面声明</w:t>
      </w:r>
      <w:r/>
    </w:p>
    <w:p>
      <w:pPr>
        <w:pStyle w:val="730"/>
        <w:ind w:firstLine="480"/>
        <w:jc w:val="both"/>
        <w:spacing w:beforeAutospacing="0" w:afterAutospacing="0" w:line="400" w:lineRule="exact"/>
        <w:rPr>
          <w:rFonts w:hint="eastAsia" w:ascii="宋体" w:hAnsi="宋体" w:eastAsia="宋体" w:cs="宋体"/>
          <w:i/>
          <w:color w:val="000000"/>
          <w:u w:val="single"/>
        </w:rPr>
      </w:pPr>
      <w:r>
        <w:rPr>
          <w:rFonts w:hint="eastAsia" w:ascii="宋体" w:hAnsi="宋体" w:eastAsia="宋体" w:cs="宋体"/>
          <w:i/>
          <w:color w:val="000000"/>
          <w:u w:val="single"/>
        </w:rPr>
        <w:t xml:space="preserve">六、单位负责人为同一人或者存在直接控股、服务关系的不同供应商，不得参加同一合同项下的政府采购活动</w:t>
      </w:r>
      <w:bookmarkStart w:id="223" w:name="_GoBack"/>
      <w:r/>
      <w:bookmarkEnd w:id="223"/>
      <w:r/>
      <w:r/>
    </w:p>
    <w:p>
      <w:pPr>
        <w:pStyle w:val="730"/>
        <w:ind w:firstLine="480"/>
        <w:jc w:val="both"/>
        <w:spacing w:beforeAutospacing="0" w:afterAutospacing="0" w:line="400" w:lineRule="exact"/>
        <w:rPr>
          <w:rFonts w:hint="eastAsia" w:ascii="宋体" w:hAnsi="宋体" w:eastAsia="宋体" w:cs="宋体"/>
          <w:iCs/>
          <w:color w:val="000000"/>
        </w:rPr>
      </w:pPr>
      <w:r>
        <w:rPr>
          <w:rFonts w:hint="eastAsia" w:ascii="宋体" w:hAnsi="宋体" w:eastAsia="宋体" w:cs="宋体"/>
          <w:iCs/>
          <w:color w:val="000000"/>
        </w:rPr>
        <w:t xml:space="preserve">七、特定资格要求的证明文件（如果本项目设置特定资格要求，则需要提供）</w:t>
      </w:r>
      <w:r/>
    </w:p>
    <w:p>
      <w:pPr>
        <w:pStyle w:val="730"/>
        <w:ind w:firstLine="480"/>
        <w:jc w:val="both"/>
        <w:spacing w:beforeAutospacing="0" w:afterAutospacing="0" w:line="400" w:lineRule="exact"/>
        <w:rPr>
          <w:rFonts w:hint="eastAsia" w:ascii="宋体" w:hAnsi="宋体" w:eastAsia="宋体" w:cs="宋体"/>
          <w:i/>
          <w:color w:val="000000"/>
          <w:u w:val="single"/>
        </w:rPr>
      </w:pPr>
      <w:r>
        <w:rPr>
          <w:rFonts w:hint="eastAsia" w:ascii="宋体" w:hAnsi="宋体" w:eastAsia="宋体" w:cs="宋体"/>
          <w:i/>
          <w:color w:val="000000"/>
          <w:u w:val="single"/>
        </w:rPr>
        <w:t xml:space="preserve">八、法人授权书</w:t>
      </w:r>
      <w:r/>
    </w:p>
    <w:p>
      <w:pPr>
        <w:ind w:firstLine="480"/>
        <w:spacing w:line="400" w:lineRule="exact"/>
        <w:rPr>
          <w:rFonts w:hint="eastAsia" w:ascii="宋体" w:hAnsi="宋体"/>
          <w:i/>
          <w:color w:val="000000"/>
          <w:sz w:val="24"/>
          <w:szCs w:val="21"/>
          <w:u w:val="single"/>
        </w:rPr>
      </w:pPr>
      <w:r>
        <w:rPr>
          <w:rFonts w:hint="eastAsia" w:ascii="宋体" w:hAnsi="宋体"/>
          <w:i/>
          <w:color w:val="000000"/>
          <w:sz w:val="24"/>
          <w:szCs w:val="21"/>
          <w:u w:val="single"/>
        </w:rPr>
        <w:t xml:space="preserve">九、投标函</w:t>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十、中小企业声明函</w:t>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十一、投标分项报价表</w:t>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十二、技术要求响应及偏离表</w:t>
      </w:r>
      <w:r/>
    </w:p>
    <w:p>
      <w:pPr>
        <w:ind w:firstLine="480"/>
        <w:spacing w:line="400" w:lineRule="exact"/>
        <w:rPr>
          <w:rFonts w:hint="eastAsia" w:ascii="宋体" w:hAnsi="宋体" w:eastAsia="宋体" w:cs="Times New Roman"/>
          <w:i/>
          <w:iCs/>
          <w:color w:val="000000"/>
          <w:sz w:val="24"/>
          <w:szCs w:val="21"/>
          <w:u w:val="single"/>
        </w:rPr>
      </w:pPr>
      <w:r>
        <w:rPr>
          <w:rFonts w:hint="eastAsia" w:ascii="宋体" w:hAnsi="宋体" w:eastAsia="宋体" w:cs="Times New Roman"/>
          <w:color w:val="000000"/>
          <w:sz w:val="24"/>
          <w:szCs w:val="21"/>
        </w:rPr>
        <w:t xml:space="preserve">十三、商务要求响应及偏离表</w:t>
      </w:r>
      <w:r/>
    </w:p>
    <w:p>
      <w:pPr>
        <w:ind w:firstLine="480"/>
        <w:spacing w:line="400" w:lineRule="exact"/>
        <w:rPr>
          <w:rFonts w:hint="eastAsia" w:ascii="宋体" w:hAnsi="宋体" w:eastAsia="宋体" w:cs="Times New Roman"/>
          <w:i/>
          <w:iCs/>
          <w:color w:val="000000"/>
          <w:sz w:val="24"/>
          <w:szCs w:val="21"/>
          <w:u w:val="single"/>
        </w:rPr>
      </w:pPr>
      <w:r>
        <w:rPr>
          <w:rFonts w:hint="eastAsia" w:ascii="宋体" w:hAnsi="宋体" w:eastAsia="宋体" w:cs="Times New Roman"/>
          <w:i/>
          <w:iCs/>
          <w:color w:val="000000"/>
          <w:sz w:val="24"/>
          <w:szCs w:val="21"/>
          <w:u w:val="single"/>
        </w:rPr>
        <w:t xml:space="preserve">十四、开标一览表</w:t>
      </w:r>
      <w:r/>
    </w:p>
    <w:p>
      <w:pPr>
        <w:ind w:firstLine="480"/>
        <w:spacing w:line="400" w:lineRule="exact"/>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十五、技术方案、服务承诺、培训承诺等</w:t>
      </w:r>
      <w:r/>
    </w:p>
    <w:p>
      <w:pPr>
        <w:ind w:firstLine="480"/>
        <w:spacing w:line="400" w:lineRule="exact"/>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十六、盐城市政府采购事前信用承诺书</w:t>
      </w:r>
      <w:r/>
    </w:p>
    <w:p>
      <w:pPr>
        <w:ind w:firstLine="480"/>
        <w:spacing w:line="400" w:lineRule="exact"/>
        <w:rPr>
          <w:rFonts w:hint="eastAsia" w:ascii="宋体" w:hAnsi="宋体"/>
          <w:color w:val="000000"/>
          <w:sz w:val="24"/>
          <w:szCs w:val="21"/>
        </w:rPr>
      </w:pPr>
      <w:r>
        <w:rPr>
          <w:rFonts w:hint="eastAsia" w:ascii="宋体" w:hAnsi="宋体"/>
          <w:color w:val="000000"/>
          <w:sz w:val="24"/>
          <w:szCs w:val="21"/>
        </w:rPr>
      </w:r>
      <w:r/>
    </w:p>
    <w:p>
      <w:pPr>
        <w:ind w:firstLine="480"/>
        <w:spacing w:line="400" w:lineRule="exact"/>
        <w:rPr>
          <w:rFonts w:hint="eastAsia" w:ascii="宋体" w:hAnsi="宋体"/>
          <w:color w:val="000000"/>
          <w:sz w:val="24"/>
          <w:szCs w:val="21"/>
        </w:rPr>
      </w:pPr>
      <w:r>
        <w:rPr>
          <w:rFonts w:hint="eastAsia" w:ascii="宋体" w:hAnsi="宋体"/>
          <w:color w:val="000000"/>
          <w:sz w:val="24"/>
          <w:szCs w:val="21"/>
        </w:rPr>
      </w:r>
      <w:r/>
    </w:p>
    <w:p>
      <w:pPr>
        <w:ind w:firstLine="480"/>
        <w:spacing w:line="440" w:lineRule="exact"/>
        <w:rPr>
          <w:rFonts w:hint="eastAsia" w:ascii="宋体" w:hAnsi="宋体"/>
          <w:color w:val="000000"/>
          <w:sz w:val="24"/>
          <w:szCs w:val="21"/>
        </w:rPr>
      </w:pPr>
      <w:r>
        <w:rPr>
          <w:rFonts w:hint="eastAsia" w:ascii="宋体" w:hAnsi="宋体"/>
          <w:color w:val="000000"/>
          <w:sz w:val="24"/>
          <w:szCs w:val="21"/>
        </w:rPr>
      </w:r>
      <w:r/>
    </w:p>
    <w:p>
      <w:pPr>
        <w:ind w:firstLine="480"/>
        <w:spacing w:line="440" w:lineRule="exact"/>
        <w:rPr>
          <w:rFonts w:hint="eastAsia" w:ascii="宋体" w:hAnsi="宋体"/>
          <w:color w:val="000000"/>
          <w:sz w:val="24"/>
          <w:szCs w:val="21"/>
        </w:rPr>
      </w:pPr>
      <w:r>
        <w:rPr>
          <w:rFonts w:hint="eastAsia" w:ascii="宋体" w:hAnsi="宋体"/>
          <w:color w:val="000000"/>
          <w:sz w:val="24"/>
          <w:szCs w:val="21"/>
        </w:rPr>
      </w:r>
      <w:r/>
    </w:p>
    <w:p>
      <w:pPr>
        <w:ind w:firstLine="480"/>
        <w:spacing w:line="440" w:lineRule="exact"/>
        <w:rPr>
          <w:rFonts w:hint="eastAsia" w:ascii="宋体" w:hAnsi="宋体"/>
          <w:color w:val="000000"/>
          <w:sz w:val="24"/>
          <w:szCs w:val="21"/>
        </w:rPr>
      </w:pPr>
      <w:r>
        <w:rPr>
          <w:rFonts w:hint="eastAsia" w:ascii="宋体" w:hAnsi="宋体"/>
          <w:color w:val="000000"/>
          <w:sz w:val="24"/>
          <w:szCs w:val="21"/>
        </w:rPr>
      </w:r>
      <w:r/>
    </w:p>
    <w:p>
      <w:pPr>
        <w:ind w:firstLine="480"/>
        <w:spacing w:line="440" w:lineRule="exact"/>
        <w:rPr>
          <w:rFonts w:hint="eastAsia" w:ascii="宋体" w:hAnsi="宋体"/>
          <w:color w:val="000000"/>
          <w:sz w:val="24"/>
          <w:szCs w:val="21"/>
        </w:rPr>
      </w:pPr>
      <w:r>
        <w:rPr>
          <w:rFonts w:hint="eastAsia" w:ascii="宋体" w:hAnsi="宋体"/>
          <w:color w:val="000000"/>
          <w:sz w:val="24"/>
          <w:szCs w:val="21"/>
        </w:rPr>
      </w:r>
      <w:r/>
    </w:p>
    <w:p>
      <w:pPr>
        <w:pStyle w:val="711"/>
        <w:rPr>
          <w:rFonts w:hint="eastAsia" w:ascii="宋体" w:hAnsi="宋体"/>
          <w:color w:val="000000"/>
          <w:sz w:val="24"/>
          <w:szCs w:val="21"/>
        </w:rPr>
      </w:pPr>
      <w:r>
        <w:rPr>
          <w:rFonts w:hint="eastAsia" w:ascii="宋体" w:hAnsi="宋体"/>
          <w:color w:val="000000"/>
          <w:sz w:val="24"/>
          <w:szCs w:val="21"/>
        </w:rPr>
      </w:r>
      <w:r/>
    </w:p>
    <w:p>
      <w:r/>
      <w:r/>
    </w:p>
    <w:p>
      <w:pPr>
        <w:pStyle w:val="739"/>
      </w:pPr>
      <w:r/>
      <w:r/>
    </w:p>
    <w:p>
      <w:pPr>
        <w:pStyle w:val="711"/>
        <w:rPr>
          <w:rFonts w:hint="eastAsia" w:ascii="宋体" w:hAnsi="宋体"/>
          <w:color w:val="000000"/>
          <w:sz w:val="24"/>
          <w:szCs w:val="21"/>
        </w:rPr>
      </w:pPr>
      <w:r>
        <w:rPr>
          <w:rFonts w:hint="eastAsia" w:ascii="宋体" w:hAnsi="宋体"/>
          <w:color w:val="000000"/>
          <w:sz w:val="24"/>
          <w:szCs w:val="21"/>
        </w:rPr>
      </w:r>
      <w:r/>
    </w:p>
    <w:p>
      <w:r/>
      <w:r/>
    </w:p>
    <w:p>
      <w:pPr>
        <w:rPr>
          <w:rFonts w:hint="eastAsia" w:ascii="宋体" w:hAnsi="宋体"/>
          <w:color w:val="000000"/>
          <w:sz w:val="24"/>
          <w:szCs w:val="21"/>
        </w:rPr>
      </w:pPr>
      <w:r>
        <w:rPr>
          <w:rFonts w:hint="eastAsia" w:ascii="宋体" w:hAnsi="宋体"/>
          <w:color w:val="000000"/>
          <w:sz w:val="24"/>
          <w:szCs w:val="21"/>
        </w:rPr>
      </w:r>
      <w:r/>
    </w:p>
    <w:p>
      <w:pPr>
        <w:rPr>
          <w:rFonts w:hint="eastAsia" w:ascii="宋体" w:hAnsi="宋体"/>
          <w:color w:val="000000"/>
          <w:sz w:val="24"/>
          <w:szCs w:val="21"/>
        </w:rPr>
      </w:pPr>
      <w:r>
        <w:rPr>
          <w:rFonts w:hint="eastAsia" w:ascii="宋体" w:hAnsi="宋体"/>
          <w:color w:val="000000"/>
          <w:sz w:val="24"/>
          <w:szCs w:val="21"/>
        </w:rPr>
      </w:r>
      <w:r/>
    </w:p>
    <w:p>
      <w:pPr>
        <w:rPr>
          <w:rFonts w:hint="eastAsia" w:ascii="宋体" w:hAnsi="宋体"/>
          <w:color w:val="000000"/>
          <w:sz w:val="24"/>
          <w:szCs w:val="21"/>
        </w:rPr>
      </w:pPr>
      <w:r>
        <w:rPr>
          <w:rFonts w:hint="eastAsia" w:ascii="宋体" w:hAnsi="宋体"/>
          <w:color w:val="000000"/>
          <w:sz w:val="24"/>
          <w:szCs w:val="21"/>
        </w:rPr>
      </w:r>
      <w:r/>
    </w:p>
    <w:p>
      <w:pPr>
        <w:ind w:firstLine="640"/>
        <w:jc w:val="left"/>
        <w:rPr>
          <w:rFonts w:hint="eastAsia" w:ascii="黑体" w:hAnsi="黑体" w:eastAsia="黑体"/>
          <w:i/>
          <w:color w:val="000000"/>
          <w:sz w:val="32"/>
          <w:szCs w:val="32"/>
          <w:u w:val="single"/>
        </w:rPr>
      </w:pPr>
      <w:r>
        <w:rPr>
          <w:rFonts w:hint="eastAsia" w:ascii="黑体" w:hAnsi="黑体" w:eastAsia="黑体"/>
          <w:i/>
          <w:color w:val="000000"/>
          <w:sz w:val="32"/>
          <w:szCs w:val="32"/>
          <w:u w:val="single"/>
        </w:rPr>
        <w:t xml:space="preserve">一、法人或者其他组织的营业执照等证明文件，自然人的身份证明</w:t>
      </w:r>
      <w:r/>
    </w:p>
    <w:p>
      <w:pPr>
        <w:ind w:firstLine="480"/>
        <w:jc w:val="left"/>
        <w:spacing w:line="440" w:lineRule="exact"/>
        <w:rPr>
          <w:rFonts w:hint="eastAsia" w:ascii="宋体" w:hAnsi="宋体"/>
          <w:color w:val="000000"/>
          <w:sz w:val="24"/>
          <w:szCs w:val="21"/>
        </w:rPr>
      </w:pPr>
      <w:r>
        <w:rPr>
          <w:rFonts w:hint="eastAsia" w:ascii="宋体" w:hAnsi="宋体"/>
          <w:color w:val="000000"/>
          <w:sz w:val="24"/>
          <w:szCs w:val="21"/>
        </w:rPr>
      </w:r>
      <w:r/>
    </w:p>
    <w:p>
      <w:pPr>
        <w:ind w:firstLine="640"/>
        <w:jc w:val="left"/>
        <w:rPr>
          <w:rFonts w:hint="eastAsia" w:ascii="宋体" w:hAnsi="宋体"/>
          <w:bCs/>
          <w:color w:val="000000"/>
          <w:sz w:val="24"/>
          <w:szCs w:val="21"/>
        </w:rPr>
      </w:pPr>
      <w:r>
        <w:rPr>
          <w:rFonts w:hint="eastAsia" w:ascii="黑体" w:hAnsi="黑体" w:eastAsia="黑体"/>
          <w:i/>
          <w:color w:val="000000"/>
          <w:sz w:val="32"/>
          <w:szCs w:val="32"/>
          <w:u w:val="single"/>
        </w:rPr>
        <w:t xml:space="preserve">二、上一年度的财务状况报表（如为成立不满一年的公司，应提供公司成立之后的财务报表）或投标截止时间前6个月内，由其基本开户银行出具的资信证明或财政部门认可的政府采购专业担保机构出具的投标担保函；</w:t>
      </w:r>
      <w:r/>
    </w:p>
    <w:p>
      <w:pPr>
        <w:ind w:firstLine="640"/>
        <w:jc w:val="left"/>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ind w:firstLine="640"/>
        <w:jc w:val="left"/>
        <w:rPr>
          <w:rFonts w:hint="eastAsia" w:ascii="黑体" w:hAnsi="黑体" w:eastAsia="黑体"/>
          <w:i/>
          <w:color w:val="000000"/>
          <w:sz w:val="32"/>
          <w:szCs w:val="32"/>
          <w:u w:val="single"/>
        </w:rPr>
        <w:outlineLvl w:val="0"/>
      </w:pPr>
      <w:r/>
      <w:bookmarkStart w:id="194" w:name="_Toc2350"/>
      <w:r>
        <w:rPr>
          <w:rFonts w:hint="eastAsia" w:ascii="黑体" w:hAnsi="黑体" w:eastAsia="黑体"/>
          <w:i/>
          <w:color w:val="000000"/>
          <w:sz w:val="32"/>
          <w:szCs w:val="32"/>
          <w:u w:val="single"/>
        </w:rPr>
        <w:t xml:space="preserve">三、依法缴纳税收和社会保障资金的相关材料</w:t>
      </w:r>
      <w:bookmarkEnd w:id="194"/>
      <w:r/>
      <w:r/>
    </w:p>
    <w:p>
      <w:pPr>
        <w:ind w:firstLine="480"/>
        <w:jc w:val="left"/>
        <w:rPr>
          <w:rFonts w:hint="eastAsia" w:ascii="宋体" w:hAnsi="宋体"/>
          <w:bCs/>
          <w:color w:val="000000"/>
          <w:sz w:val="24"/>
          <w:szCs w:val="21"/>
        </w:rPr>
      </w:pPr>
      <w:r>
        <w:rPr>
          <w:rFonts w:hint="eastAsia" w:ascii="宋体" w:hAnsi="宋体"/>
          <w:bCs/>
          <w:color w:val="000000"/>
          <w:sz w:val="24"/>
          <w:szCs w:val="21"/>
        </w:rPr>
        <w:t xml:space="preserve">提供提交投标文件截止时间前一年内至少一个月依法缴纳税收及缴纳社会保障资金的证明材料。投标人依法享受缓缴、免缴税收、社会保障资金的提供证明材料。</w:t>
      </w:r>
      <w:r/>
    </w:p>
    <w:p>
      <w:pPr>
        <w:ind w:firstLine="640"/>
        <w:jc w:val="left"/>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ind w:firstLine="640"/>
        <w:jc w:val="left"/>
        <w:rPr>
          <w:rFonts w:hint="eastAsia" w:ascii="黑体" w:hAnsi="黑体" w:eastAsia="黑体"/>
          <w:i/>
          <w:color w:val="000000"/>
          <w:sz w:val="32"/>
          <w:szCs w:val="32"/>
          <w:u w:val="single"/>
        </w:rPr>
        <w:outlineLvl w:val="0"/>
      </w:pPr>
      <w:r/>
      <w:bookmarkStart w:id="195" w:name="_Toc2125"/>
      <w:r>
        <w:rPr>
          <w:rFonts w:hint="eastAsia" w:ascii="黑体" w:hAnsi="黑体" w:eastAsia="黑体"/>
          <w:i/>
          <w:color w:val="000000"/>
          <w:sz w:val="32"/>
          <w:szCs w:val="32"/>
          <w:u w:val="single"/>
        </w:rPr>
        <w:t xml:space="preserve">四、具备履行合同所必需的设备和专业技术能力的书面声明</w:t>
      </w:r>
      <w:bookmarkEnd w:id="195"/>
      <w:r/>
      <w:r/>
    </w:p>
    <w:p>
      <w:pPr>
        <w:ind w:firstLine="480"/>
        <w:jc w:val="left"/>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p>
    <w:p>
      <w:pPr>
        <w:ind w:firstLine="480"/>
        <w:jc w:val="left"/>
        <w:spacing w:line="460" w:lineRule="exact"/>
        <w:rPr>
          <w:rFonts w:hint="eastAsia"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w:t>
      </w:r>
      <w:r/>
    </w:p>
    <w:p>
      <w:pPr>
        <w:ind w:firstLine="480"/>
        <w:jc w:val="left"/>
        <w:spacing w:line="460" w:lineRule="exact"/>
        <w:rPr>
          <w:rFonts w:hint="eastAsia"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hint="eastAsia" w:ascii="宋体" w:hAnsi="宋体"/>
          <w:bCs/>
          <w:color w:val="000000"/>
          <w:sz w:val="24"/>
          <w:szCs w:val="21"/>
          <w:u w:val="none"/>
        </w:rPr>
        <w:t xml:space="preserve">。</w:t>
      </w:r>
      <w:r>
        <w:rPr>
          <w:rFonts w:hint="eastAsia" w:ascii="宋体" w:hAnsi="宋体"/>
          <w:bCs/>
          <w:color w:val="000000"/>
          <w:sz w:val="24"/>
          <w:szCs w:val="21"/>
        </w:rPr>
        <w:t xml:space="preserve">                                  </w:t>
      </w:r>
      <w:r/>
    </w:p>
    <w:p>
      <w:pPr>
        <w:ind w:firstLine="420"/>
        <w:jc w:val="left"/>
        <w:rPr>
          <w:rFonts w:ascii="Times New Roman" w:hAnsi="Times New Roman"/>
          <w:color w:val="000000"/>
          <w:szCs w:val="21"/>
        </w:rPr>
      </w:pPr>
      <w:r>
        <w:rPr>
          <w:rFonts w:ascii="Times New Roman" w:hAnsi="Times New Roman"/>
          <w:color w:val="000000"/>
          <w:szCs w:val="21"/>
        </w:rPr>
      </w:r>
      <w:r/>
    </w:p>
    <w:p>
      <w:pPr>
        <w:ind w:firstLine="640"/>
        <w:jc w:val="left"/>
        <w:rPr>
          <w:rFonts w:hint="eastAsia" w:ascii="黑体" w:hAnsi="黑体" w:eastAsia="黑体"/>
          <w:i/>
          <w:color w:val="000000"/>
          <w:sz w:val="32"/>
          <w:szCs w:val="32"/>
          <w:u w:val="single"/>
        </w:rPr>
        <w:outlineLvl w:val="9"/>
      </w:pPr>
      <w:r/>
      <w:bookmarkStart w:id="196" w:name="_Toc9868"/>
      <w:r/>
      <w:r/>
    </w:p>
    <w:p>
      <w:pPr>
        <w:ind w:firstLine="640"/>
        <w:jc w:val="left"/>
        <w:rPr>
          <w:rFonts w:hint="eastAsia" w:ascii="黑体" w:hAnsi="黑体" w:eastAsia="黑体"/>
          <w:i/>
          <w:color w:val="000000"/>
          <w:sz w:val="32"/>
          <w:szCs w:val="32"/>
          <w:u w:val="single"/>
        </w:rPr>
        <w:outlineLvl w:val="0"/>
      </w:pPr>
      <w:r>
        <w:rPr>
          <w:rFonts w:hint="eastAsia" w:ascii="黑体" w:hAnsi="黑体" w:eastAsia="黑体"/>
          <w:i/>
          <w:color w:val="000000"/>
          <w:sz w:val="32"/>
          <w:szCs w:val="32"/>
          <w:u w:val="single"/>
        </w:rPr>
        <w:t xml:space="preserve">五、参加政府采购活动前 3 年内在经营活动中没有重大违法记录的书面声明</w:t>
      </w:r>
      <w:bookmarkEnd w:id="196"/>
      <w:r/>
      <w:r/>
    </w:p>
    <w:p>
      <w:pPr>
        <w:ind w:firstLine="883"/>
        <w:jc w:val="left"/>
        <w:spacing w:line="460" w:lineRule="exact"/>
        <w:rPr>
          <w:rFonts w:hint="eastAsia" w:ascii="宋体" w:hAnsi="宋体"/>
          <w:b/>
          <w:bCs/>
          <w:color w:val="000000"/>
          <w:sz w:val="44"/>
          <w:szCs w:val="44"/>
        </w:rPr>
      </w:pPr>
      <w:r>
        <w:rPr>
          <w:rFonts w:hint="eastAsia" w:ascii="宋体" w:hAnsi="宋体"/>
          <w:b/>
          <w:bCs/>
          <w:color w:val="000000"/>
          <w:sz w:val="44"/>
          <w:szCs w:val="44"/>
        </w:rPr>
        <w:t xml:space="preserve">                 声  明</w:t>
      </w:r>
      <w:r/>
    </w:p>
    <w:p>
      <w:pPr>
        <w:ind w:firstLine="480"/>
        <w:jc w:val="left"/>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我单位郑重声明：参加本次政府采购活动前 3 年内，我单位在经营活动中没有因违法经营受到刑事处罚或者责令停产停业、吊销许可证或者执照、较大数额罚款等行政处罚。</w:t>
      </w:r>
      <w:r/>
    </w:p>
    <w:p>
      <w:pPr>
        <w:jc w:val="left"/>
        <w:rPr>
          <w:rFonts w:hint="eastAsia" w:ascii="黑体" w:hAnsi="黑体" w:eastAsia="黑体"/>
          <w:i/>
          <w:color w:val="000000"/>
          <w:sz w:val="32"/>
          <w:szCs w:val="32"/>
          <w:u w:val="single"/>
        </w:rPr>
      </w:pPr>
      <w:r/>
      <w:bookmarkStart w:id="197" w:name="_Toc120614284"/>
      <w:r/>
      <w:r/>
    </w:p>
    <w:p>
      <w:pPr>
        <w:ind w:firstLine="640"/>
        <w:jc w:val="left"/>
        <w:rPr>
          <w:rFonts w:hint="eastAsia" w:ascii="黑体" w:hAnsi="黑体" w:eastAsia="黑体"/>
          <w:i/>
          <w:color w:val="000000"/>
          <w:sz w:val="32"/>
          <w:szCs w:val="32"/>
          <w:u w:val="single"/>
        </w:rPr>
        <w:outlineLvl w:val="0"/>
      </w:pPr>
      <w:r>
        <w:rPr>
          <w:rFonts w:hint="eastAsia" w:ascii="黑体" w:hAnsi="黑体" w:eastAsia="黑体"/>
          <w:i/>
          <w:color w:val="000000"/>
          <w:sz w:val="32"/>
          <w:szCs w:val="32"/>
          <w:u w:val="single"/>
        </w:rPr>
        <w:t xml:space="preserve">六、单位负责人为同一人或者存在直接控股、服务关系的不同供应商，不得参加同一合同项下的政府采购活动。</w:t>
      </w:r>
      <w:r/>
    </w:p>
    <w:p>
      <w:pPr>
        <w:pStyle w:val="730"/>
        <w:ind w:firstLine="883"/>
        <w:jc w:val="center"/>
        <w:spacing w:beforeAutospacing="0" w:afterAutospacing="0" w:line="0" w:lineRule="atLeast"/>
      </w:pPr>
      <w:r>
        <w:rPr>
          <w:rFonts w:hint="eastAsia"/>
          <w:b/>
          <w:color w:val="000000"/>
          <w:sz w:val="44"/>
          <w:szCs w:val="44"/>
        </w:rPr>
        <w:t xml:space="preserve">声  明</w:t>
      </w:r>
      <w:r/>
    </w:p>
    <w:p>
      <w:pPr>
        <w:pStyle w:val="730"/>
        <w:ind w:firstLine="480"/>
        <w:jc w:val="left"/>
        <w:spacing w:beforeAutospacing="0" w:afterAutospacing="0" w:line="0" w:lineRule="atLeast"/>
        <w:rPr>
          <w:color w:val="000000"/>
        </w:rPr>
      </w:pPr>
      <w:r>
        <w:rPr>
          <w:rFonts w:hint="eastAsia"/>
          <w:color w:val="000000"/>
        </w:rPr>
        <w:t xml:space="preserve">我单位郑重声明： </w:t>
      </w:r>
      <w:r/>
    </w:p>
    <w:p>
      <w:pPr>
        <w:pStyle w:val="730"/>
        <w:ind w:firstLine="480"/>
        <w:jc w:val="left"/>
        <w:spacing w:beforeAutospacing="0" w:afterAutospacing="0" w:line="0" w:lineRule="atLeast"/>
      </w:pPr>
      <w:r>
        <w:rPr>
          <w:rFonts w:hint="eastAsia"/>
        </w:rPr>
        <w:t xml:space="preserve">我单位不存在：单位负责人为同一人或者存在直接控股、服务关系的不同供应商，同时参加同一合同项下的政府采购活动。</w:t>
      </w:r>
      <w:r/>
    </w:p>
    <w:p>
      <w:pPr>
        <w:ind w:firstLine="640"/>
        <w:jc w:val="left"/>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ind w:firstLine="640"/>
        <w:jc w:val="left"/>
        <w:rPr>
          <w:rFonts w:hint="eastAsia" w:ascii="黑体" w:hAnsi="黑体" w:eastAsia="黑体"/>
          <w:i/>
          <w:color w:val="000000"/>
          <w:sz w:val="32"/>
          <w:szCs w:val="32"/>
          <w:u w:val="single"/>
        </w:rPr>
        <w:outlineLvl w:val="9"/>
      </w:pPr>
      <w:r>
        <w:rPr>
          <w:rFonts w:hint="eastAsia" w:ascii="黑体" w:hAnsi="黑体" w:eastAsia="黑体"/>
          <w:iCs/>
          <w:color w:val="000000"/>
          <w:sz w:val="32"/>
          <w:szCs w:val="32"/>
        </w:rPr>
        <w:t xml:space="preserve">七、特定资格要求的证明文件（如果本项目设置特定资格要求，则需要提供）</w:t>
      </w:r>
      <w:bookmarkStart w:id="198" w:name="_Toc26277"/>
      <w:r/>
      <w:r/>
    </w:p>
    <w:p>
      <w:pPr>
        <w:jc w:val="center"/>
        <w:rPr>
          <w:rFonts w:hint="eastAsia" w:ascii="宋体" w:hAnsi="宋体" w:cs="宋体"/>
          <w:sz w:val="24"/>
        </w:rPr>
        <w:outlineLvl w:val="0"/>
      </w:pPr>
      <w:r>
        <w:rPr>
          <w:rFonts w:hint="eastAsia" w:ascii="黑体" w:hAnsi="黑体" w:eastAsia="黑体"/>
          <w:i/>
          <w:color w:val="000000"/>
          <w:sz w:val="32"/>
          <w:szCs w:val="32"/>
          <w:u w:val="single"/>
        </w:rPr>
        <w:t xml:space="preserve">八、法人授权书</w:t>
      </w:r>
      <w:bookmarkEnd w:id="198"/>
      <w:r/>
      <w:r/>
    </w:p>
    <w:p>
      <w:pPr>
        <w:pStyle w:val="733"/>
        <w:ind w:firstLine="480"/>
        <w:spacing w:line="360" w:lineRule="exact"/>
        <w:rPr>
          <w:sz w:val="24"/>
        </w:rPr>
      </w:pPr>
      <w:r>
        <w:rPr>
          <w:sz w:val="24"/>
        </w:rPr>
      </w:r>
      <w:r/>
    </w:p>
    <w:p>
      <w:pPr>
        <w:pStyle w:val="733"/>
        <w:ind w:firstLine="480"/>
        <w:spacing w:line="360" w:lineRule="exact"/>
        <w:rPr>
          <w:sz w:val="24"/>
        </w:rPr>
      </w:pPr>
      <w:r>
        <w:rPr>
          <w:rFonts w:hint="eastAsia"/>
          <w:sz w:val="24"/>
        </w:rPr>
        <w:t xml:space="preserve">致：【采购单位】</w:t>
      </w:r>
      <w:r/>
    </w:p>
    <w:p>
      <w:pPr>
        <w:pStyle w:val="733"/>
        <w:ind w:firstLine="480"/>
        <w:spacing w:line="360" w:lineRule="exact"/>
        <w:rPr>
          <w:sz w:val="24"/>
        </w:rPr>
      </w:pPr>
      <w:r>
        <w:rPr>
          <w:rFonts w:hint="eastAsia"/>
          <w:sz w:val="24"/>
        </w:rPr>
        <w:t xml:space="preserve">本人 </w:t>
      </w:r>
      <w:r>
        <w:rPr>
          <w:rFonts w:hint="eastAsia"/>
          <w:sz w:val="24"/>
          <w:u w:val="single"/>
        </w:rPr>
        <w:t xml:space="preserve">  （姓名）   </w:t>
      </w:r>
      <w:r>
        <w:rPr>
          <w:rFonts w:hint="eastAsia"/>
          <w:sz w:val="24"/>
        </w:rPr>
        <w:t xml:space="preserve">系 </w:t>
      </w:r>
      <w:r>
        <w:rPr>
          <w:rFonts w:hint="eastAsia"/>
          <w:sz w:val="24"/>
          <w:u w:val="single"/>
        </w:rPr>
        <w:t xml:space="preserve">  （供应商名称）   </w:t>
      </w:r>
      <w:r>
        <w:rPr>
          <w:rFonts w:hint="eastAsia"/>
          <w:sz w:val="24"/>
        </w:rPr>
        <w:t xml:space="preserve">的法定代表人（单位负责人），现授权</w:t>
      </w:r>
      <w:r>
        <w:rPr>
          <w:rFonts w:hint="eastAsia"/>
          <w:sz w:val="24"/>
          <w:u w:val="single"/>
        </w:rPr>
        <w:t xml:space="preserve">   （姓名）   </w:t>
      </w:r>
      <w:r>
        <w:rPr>
          <w:rFonts w:hint="eastAsia"/>
          <w:sz w:val="24"/>
        </w:rPr>
        <w:t xml:space="preserve">为我方代理人。代理人根据授权，以我方名义签署、澄清确认、递交、撤回、修改</w:t>
      </w:r>
      <w:r>
        <w:rPr>
          <w:rFonts w:hint="eastAsia"/>
          <w:sz w:val="24"/>
          <w:u w:val="single"/>
        </w:rPr>
        <w:t xml:space="preserve">【项目名称】</w:t>
      </w:r>
      <w:r>
        <w:rPr>
          <w:rFonts w:hint="eastAsia"/>
          <w:sz w:val="24"/>
        </w:rPr>
        <w:t xml:space="preserve">项目（项目编号：</w:t>
      </w:r>
      <w:r>
        <w:rPr>
          <w:rFonts w:hint="eastAsia"/>
          <w:sz w:val="24"/>
          <w:u w:val="single"/>
        </w:rPr>
        <w:t xml:space="preserve">【项目编号】</w:t>
      </w:r>
      <w:r>
        <w:rPr>
          <w:rFonts w:hint="eastAsia"/>
          <w:sz w:val="24"/>
        </w:rPr>
        <w:t xml:space="preserve">）招标文件和处理有关事宜，其法律后果由我方承担。</w:t>
      </w:r>
      <w:r/>
    </w:p>
    <w:p>
      <w:pPr>
        <w:pStyle w:val="733"/>
        <w:ind w:firstLine="480"/>
        <w:spacing w:line="360" w:lineRule="exact"/>
        <w:rPr>
          <w:sz w:val="24"/>
        </w:rPr>
      </w:pPr>
      <w:r>
        <w:rPr>
          <w:rFonts w:hint="eastAsia"/>
          <w:sz w:val="24"/>
        </w:rPr>
        <w:t xml:space="preserve">授权期限：自本授权委托书签署之日起至响应有效期届满之日止。</w:t>
      </w:r>
      <w:r/>
    </w:p>
    <w:p>
      <w:pPr>
        <w:pStyle w:val="733"/>
        <w:ind w:firstLine="480"/>
        <w:spacing w:line="360" w:lineRule="exact"/>
        <w:rPr>
          <w:sz w:val="24"/>
        </w:rPr>
      </w:pPr>
      <w:r>
        <w:rPr>
          <w:rFonts w:hint="eastAsia"/>
          <w:sz w:val="24"/>
        </w:rPr>
        <w:t xml:space="preserve">被授权人无转委托权。</w:t>
      </w:r>
      <w:r/>
    </w:p>
    <w:p>
      <w:pPr>
        <w:pStyle w:val="733"/>
        <w:ind w:firstLine="480"/>
        <w:spacing w:line="360" w:lineRule="exact"/>
        <w:rPr>
          <w:sz w:val="24"/>
        </w:rPr>
      </w:pPr>
      <w:r>
        <w:rPr>
          <w:rFonts w:hint="eastAsia"/>
          <w:sz w:val="24"/>
        </w:rPr>
        <w:t xml:space="preserve">供应商名称（加盖CA电子公章）：________________ </w:t>
      </w:r>
      <w:r/>
    </w:p>
    <w:p>
      <w:pPr>
        <w:pStyle w:val="733"/>
        <w:ind w:firstLine="480"/>
        <w:spacing w:line="360" w:lineRule="exact"/>
        <w:rPr>
          <w:rFonts w:eastAsia="宋体"/>
          <w:sz w:val="24"/>
        </w:rPr>
      </w:pPr>
      <w:r>
        <w:rPr>
          <w:rFonts w:hint="eastAsia"/>
          <w:sz w:val="24"/>
        </w:rPr>
        <w:t xml:space="preserve">地址：</w:t>
      </w:r>
      <w:r>
        <w:rPr>
          <w:rFonts w:hint="eastAsia"/>
          <w:sz w:val="24"/>
          <w:u w:val="single"/>
        </w:rPr>
        <w:t xml:space="preserve">             </w:t>
      </w:r>
      <w:r/>
    </w:p>
    <w:p>
      <w:pPr>
        <w:pStyle w:val="733"/>
        <w:ind w:firstLine="480"/>
        <w:spacing w:line="360" w:lineRule="exact"/>
        <w:rPr>
          <w:sz w:val="24"/>
        </w:rPr>
      </w:pPr>
      <w:r>
        <w:rPr>
          <w:rFonts w:hint="eastAsia"/>
          <w:sz w:val="24"/>
        </w:rPr>
        <w:t xml:space="preserve">法定代表人（单位负责人）（签字、签章或印鉴）：________________ </w:t>
      </w:r>
      <w:r/>
    </w:p>
    <w:p>
      <w:pPr>
        <w:pStyle w:val="733"/>
        <w:ind w:firstLine="480"/>
        <w:spacing w:line="360" w:lineRule="exact"/>
        <w:rPr>
          <w:sz w:val="24"/>
          <w:u w:val="single"/>
        </w:rPr>
      </w:pPr>
      <w:r>
        <w:rPr>
          <w:rFonts w:hint="eastAsia"/>
          <w:sz w:val="24"/>
        </w:rPr>
        <w:t xml:space="preserve">法定代表人（单位负责人）联系电话：（手机）</w:t>
      </w:r>
      <w:r>
        <w:rPr>
          <w:rFonts w:hint="eastAsia"/>
          <w:sz w:val="24"/>
          <w:u w:val="single"/>
        </w:rPr>
        <w:t xml:space="preserve">                       </w:t>
      </w:r>
      <w:r/>
    </w:p>
    <w:p>
      <w:pPr>
        <w:pStyle w:val="733"/>
        <w:ind w:firstLine="480"/>
        <w:spacing w:line="360" w:lineRule="exact"/>
        <w:rPr>
          <w:sz w:val="24"/>
        </w:rPr>
      </w:pPr>
      <w:r>
        <w:rPr>
          <w:rFonts w:hint="eastAsia"/>
          <w:sz w:val="24"/>
        </w:rPr>
        <w:t xml:space="preserve">被授权人（签字/签章）：________________   </w:t>
      </w:r>
      <w:r/>
    </w:p>
    <w:p>
      <w:pPr>
        <w:pStyle w:val="733"/>
        <w:ind w:firstLine="480"/>
        <w:spacing w:line="360" w:lineRule="exact"/>
        <w:rPr>
          <w:sz w:val="24"/>
        </w:rPr>
      </w:pPr>
      <w:r>
        <w:rPr>
          <w:rFonts w:hint="eastAsia"/>
          <w:sz w:val="24"/>
        </w:rPr>
        <w:t xml:space="preserve">被授权人身份证号码： </w:t>
      </w:r>
      <w:r>
        <w:rPr>
          <w:rFonts w:hint="eastAsia"/>
          <w:sz w:val="24"/>
          <w:u w:val="single"/>
        </w:rPr>
        <w:t xml:space="preserve">       </w:t>
      </w:r>
      <w:r>
        <w:rPr>
          <w:rFonts w:hint="eastAsia"/>
          <w:sz w:val="24"/>
        </w:rPr>
        <w:t xml:space="preserve"> </w:t>
      </w:r>
      <w:r/>
    </w:p>
    <w:p>
      <w:pPr>
        <w:pStyle w:val="733"/>
        <w:ind w:firstLine="480"/>
        <w:spacing w:line="360" w:lineRule="exact"/>
        <w:rPr>
          <w:rFonts w:eastAsia="宋体"/>
          <w:sz w:val="24"/>
          <w:u w:val="single"/>
        </w:rPr>
      </w:pPr>
      <w:r>
        <w:rPr>
          <w:rFonts w:hint="eastAsia"/>
          <w:sz w:val="24"/>
        </w:rPr>
        <w:t xml:space="preserve">被授权人联系电话：（手机） </w:t>
      </w:r>
      <w:r>
        <w:rPr>
          <w:rFonts w:hint="eastAsia"/>
          <w:sz w:val="24"/>
          <w:u w:val="single"/>
        </w:rPr>
        <w:t xml:space="preserve">      </w:t>
      </w:r>
      <w:r/>
    </w:p>
    <w:p>
      <w:pPr>
        <w:pStyle w:val="733"/>
        <w:ind w:firstLine="480"/>
        <w:spacing w:line="360" w:lineRule="exact"/>
        <w:rPr>
          <w:sz w:val="24"/>
        </w:rPr>
      </w:pPr>
      <w:r>
        <w:rPr>
          <w:rFonts w:hint="eastAsia"/>
          <w:sz w:val="24"/>
        </w:rPr>
        <w:t xml:space="preserve">日期：_____年______月______日</w:t>
      </w:r>
      <w:r/>
    </w:p>
    <w:p>
      <w:pPr>
        <w:pStyle w:val="733"/>
        <w:ind w:firstLine="480"/>
        <w:spacing w:line="360" w:lineRule="exact"/>
        <w:rPr>
          <w:sz w:val="24"/>
        </w:rPr>
      </w:pPr>
      <w:r>
        <w:rPr>
          <w:rFonts w:hint="eastAsia"/>
          <w:sz w:val="24"/>
        </w:rPr>
        <w:t xml:space="preserve">法定代表人（单位负责人）有效期内的身份证正反面电子件：</w:t>
      </w:r>
      <w:r/>
    </w:p>
    <w:tbl>
      <w:tblPr>
        <w:tblStyle w:val="70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346"/>
        <w:gridCol w:w="4737"/>
      </w:tblGrid>
      <w:tr>
        <w:trPr>
          <w:jc w:val="center"/>
          <w:trHeight w:val="924"/>
        </w:trPr>
        <w:tc>
          <w:tcPr>
            <w:tcBorders>
              <w:top w:val="single" w:color="auto" w:sz="4" w:space="0"/>
              <w:left w:val="single" w:color="auto" w:sz="4" w:space="0"/>
              <w:bottom w:val="single" w:color="auto" w:sz="4" w:space="0"/>
              <w:right w:val="single" w:color="auto" w:sz="4" w:space="0"/>
            </w:tcBorders>
            <w:tcW w:w="4346" w:type="dxa"/>
            <w:vAlign w:val="center"/>
            <w:textDirection w:val="lrTb"/>
            <w:noWrap w:val="false"/>
          </w:tcPr>
          <w:p>
            <w:pPr>
              <w:jc w:val="center"/>
              <w:spacing w:line="360" w:lineRule="exact"/>
              <w:rPr>
                <w:rFonts w:hint="eastAsia" w:ascii="宋体" w:hAnsi="宋体" w:cs="宋体"/>
                <w:color w:val="000000"/>
                <w:sz w:val="24"/>
              </w:rPr>
            </w:pPr>
            <w:r>
              <w:rPr>
                <w:rFonts w:hint="eastAsia" w:ascii="宋体" w:hAnsi="宋体" w:cs="宋体"/>
                <w:color w:val="000000"/>
                <w:sz w:val="24"/>
              </w:rPr>
            </w:r>
            <w:r/>
          </w:p>
        </w:tc>
        <w:tc>
          <w:tcPr>
            <w:tcBorders>
              <w:top w:val="single" w:color="auto" w:sz="4" w:space="0"/>
              <w:left w:val="single" w:color="auto" w:sz="4" w:space="0"/>
              <w:bottom w:val="single" w:color="auto" w:sz="4" w:space="0"/>
              <w:right w:val="single" w:color="auto" w:sz="4" w:space="0"/>
            </w:tcBorders>
            <w:tcW w:w="4737" w:type="dxa"/>
            <w:vAlign w:val="center"/>
            <w:textDirection w:val="lrTb"/>
            <w:noWrap w:val="false"/>
          </w:tcPr>
          <w:p>
            <w:pPr>
              <w:jc w:val="center"/>
              <w:spacing w:line="360" w:lineRule="exact"/>
              <w:rPr>
                <w:rFonts w:hint="eastAsia" w:ascii="宋体" w:hAnsi="宋体" w:cs="宋体"/>
                <w:color w:val="000000"/>
                <w:sz w:val="24"/>
              </w:rPr>
            </w:pPr>
            <w:r>
              <w:rPr>
                <w:rFonts w:hint="eastAsia" w:ascii="宋体" w:hAnsi="宋体" w:cs="宋体"/>
                <w:color w:val="000000"/>
                <w:sz w:val="24"/>
              </w:rPr>
            </w:r>
            <w:r/>
          </w:p>
        </w:tc>
      </w:tr>
    </w:tbl>
    <w:p>
      <w:pPr>
        <w:pStyle w:val="733"/>
        <w:ind w:firstLine="480"/>
        <w:spacing w:line="360" w:lineRule="exact"/>
        <w:rPr>
          <w:sz w:val="24"/>
        </w:rPr>
      </w:pPr>
      <w:r>
        <w:rPr>
          <w:rFonts w:hint="eastAsia"/>
          <w:sz w:val="24"/>
        </w:rPr>
        <w:t xml:space="preserve">被授权人有效期内的身份证正反面电子件：</w:t>
      </w:r>
      <w:r/>
    </w:p>
    <w:tbl>
      <w:tblPr>
        <w:tblStyle w:val="70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535"/>
        <w:gridCol w:w="4737"/>
      </w:tblGrid>
      <w:tr>
        <w:trPr>
          <w:jc w:val="center"/>
          <w:trHeight w:val="924"/>
        </w:trPr>
        <w:tc>
          <w:tcPr>
            <w:tcBorders>
              <w:top w:val="single" w:color="auto" w:sz="4" w:space="0"/>
              <w:left w:val="single" w:color="auto" w:sz="4" w:space="0"/>
              <w:bottom w:val="single" w:color="auto" w:sz="4" w:space="0"/>
              <w:right w:val="single" w:color="auto" w:sz="4" w:space="0"/>
            </w:tcBorders>
            <w:tcW w:w="4535" w:type="dxa"/>
            <w:vAlign w:val="center"/>
            <w:textDirection w:val="lrTb"/>
            <w:noWrap w:val="false"/>
          </w:tcPr>
          <w:p>
            <w:pPr>
              <w:jc w:val="center"/>
              <w:spacing w:line="360" w:lineRule="exact"/>
              <w:rPr>
                <w:rFonts w:hint="eastAsia" w:ascii="宋体" w:hAnsi="宋体" w:cs="宋体"/>
                <w:color w:val="000000"/>
                <w:sz w:val="24"/>
              </w:rPr>
            </w:pPr>
            <w:r>
              <w:rPr>
                <w:rFonts w:hint="eastAsia" w:ascii="宋体" w:hAnsi="宋体" w:cs="宋体"/>
                <w:color w:val="000000"/>
                <w:sz w:val="24"/>
              </w:rPr>
            </w:r>
            <w:r/>
          </w:p>
        </w:tc>
        <w:tc>
          <w:tcPr>
            <w:tcBorders>
              <w:top w:val="single" w:color="auto" w:sz="4" w:space="0"/>
              <w:left w:val="single" w:color="auto" w:sz="4" w:space="0"/>
              <w:bottom w:val="single" w:color="auto" w:sz="4" w:space="0"/>
              <w:right w:val="single" w:color="auto" w:sz="4" w:space="0"/>
            </w:tcBorders>
            <w:tcW w:w="4737" w:type="dxa"/>
            <w:vAlign w:val="center"/>
            <w:textDirection w:val="lrTb"/>
            <w:noWrap w:val="false"/>
          </w:tcPr>
          <w:p>
            <w:pPr>
              <w:jc w:val="center"/>
              <w:spacing w:line="360" w:lineRule="exact"/>
              <w:rPr>
                <w:rFonts w:hint="eastAsia" w:ascii="宋体" w:hAnsi="宋体" w:cs="宋体"/>
                <w:color w:val="000000"/>
                <w:sz w:val="24"/>
              </w:rPr>
            </w:pPr>
            <w:r>
              <w:rPr>
                <w:rFonts w:hint="eastAsia" w:ascii="宋体" w:hAnsi="宋体" w:cs="宋体"/>
                <w:color w:val="000000"/>
                <w:sz w:val="24"/>
              </w:rPr>
            </w:r>
            <w:r/>
          </w:p>
        </w:tc>
      </w:tr>
    </w:tbl>
    <w:p>
      <w:pPr>
        <w:pStyle w:val="733"/>
        <w:ind w:firstLine="482"/>
        <w:spacing w:line="360" w:lineRule="exact"/>
        <w:rPr>
          <w:b/>
          <w:bCs/>
          <w:sz w:val="24"/>
        </w:rPr>
      </w:pPr>
      <w:r>
        <w:rPr>
          <w:rFonts w:hint="eastAsia"/>
          <w:b/>
          <w:bCs/>
          <w:sz w:val="24"/>
        </w:rPr>
        <w:t xml:space="preserve">填报说明：</w:t>
      </w:r>
      <w:r/>
    </w:p>
    <w:p>
      <w:pPr>
        <w:pStyle w:val="733"/>
        <w:ind w:firstLine="480"/>
        <w:spacing w:line="360" w:lineRule="exact"/>
        <w:rPr>
          <w:sz w:val="24"/>
        </w:rPr>
      </w:pPr>
      <w:r>
        <w:rPr>
          <w:rFonts w:hint="eastAsia"/>
          <w:sz w:val="24"/>
        </w:rPr>
        <w:t xml:space="preserve">1、若供应商为事业单位或其他组织或分支机构（仅当招标文件注明允许分支机构投标的），则法定代表人（单位负责人）处的签署人可为单位负责人。</w:t>
      </w:r>
      <w:r/>
    </w:p>
    <w:p>
      <w:pPr>
        <w:pStyle w:val="733"/>
        <w:ind w:firstLine="480"/>
        <w:spacing w:line="360" w:lineRule="exact"/>
        <w:rPr>
          <w:sz w:val="24"/>
        </w:rPr>
      </w:pPr>
      <w:r>
        <w:rPr>
          <w:rFonts w:hint="eastAsia"/>
          <w:sz w:val="24"/>
        </w:rPr>
        <w:t xml:space="preserve">2、若招标文件中全部签字之处均为法定代表人（单位负责人）本人签署，则可不提供本《授权委托书》，但须提供《法定代表人（单位负责人）身份证明》。</w:t>
      </w:r>
      <w:r/>
    </w:p>
    <w:p>
      <w:pPr>
        <w:pStyle w:val="733"/>
        <w:ind w:firstLine="480"/>
        <w:spacing w:line="360" w:lineRule="exact"/>
        <w:rPr>
          <w:sz w:val="24"/>
        </w:rPr>
      </w:pPr>
      <w:r>
        <w:rPr>
          <w:rFonts w:hint="eastAsia"/>
          <w:sz w:val="24"/>
        </w:rPr>
        <w:t xml:space="preserve">3、供应商为自然人的情形，可不提供本《授权委托书》。</w:t>
      </w:r>
      <w:r/>
    </w:p>
    <w:p>
      <w:pPr>
        <w:pStyle w:val="733"/>
        <w:ind w:firstLine="0"/>
        <w:rPr>
          <w:b/>
          <w:bCs/>
        </w:rPr>
      </w:pPr>
      <w:r>
        <w:rPr>
          <w:b/>
          <w:bCs/>
        </w:rPr>
      </w:r>
      <w:r/>
    </w:p>
    <w:p>
      <w:pPr>
        <w:rPr>
          <w:b/>
          <w:bCs/>
        </w:rPr>
      </w:pPr>
      <w:r>
        <w:rPr>
          <w:b/>
          <w:bCs/>
        </w:rPr>
      </w:r>
      <w:r/>
    </w:p>
    <w:p>
      <w:pPr>
        <w:jc w:val="center"/>
        <w:rPr>
          <w:rFonts w:hint="eastAsia" w:ascii="黑体" w:hAnsi="黑体" w:eastAsia="黑体"/>
          <w:i/>
          <w:color w:val="000000"/>
          <w:sz w:val="32"/>
          <w:szCs w:val="32"/>
          <w:u w:val="single"/>
        </w:rPr>
        <w:outlineLvl w:val="9"/>
      </w:pPr>
      <w:r>
        <w:rPr>
          <w:rFonts w:hint="eastAsia" w:ascii="黑体" w:hAnsi="黑体" w:eastAsia="黑体"/>
          <w:i/>
          <w:color w:val="000000"/>
          <w:sz w:val="32"/>
          <w:szCs w:val="32"/>
          <w:u w:val="single"/>
        </w:rPr>
        <w:t xml:space="preserve">法定代表人（单位负责人）身份证明</w:t>
      </w:r>
      <w:r/>
    </w:p>
    <w:p>
      <w:pPr>
        <w:pStyle w:val="733"/>
        <w:ind w:firstLine="480"/>
        <w:spacing w:line="360" w:lineRule="exact"/>
        <w:rPr>
          <w:sz w:val="24"/>
        </w:rPr>
      </w:pPr>
      <w:r>
        <w:rPr>
          <w:sz w:val="24"/>
        </w:rPr>
      </w:r>
      <w:r/>
    </w:p>
    <w:p>
      <w:pPr>
        <w:pStyle w:val="733"/>
        <w:ind w:firstLine="480"/>
        <w:spacing w:line="360" w:lineRule="exact"/>
        <w:rPr>
          <w:sz w:val="24"/>
        </w:rPr>
      </w:pPr>
      <w:r>
        <w:rPr>
          <w:rFonts w:hint="eastAsia"/>
          <w:sz w:val="24"/>
        </w:rPr>
        <w:t xml:space="preserve">致：【采购单位】</w:t>
      </w:r>
      <w:r/>
    </w:p>
    <w:p>
      <w:pPr>
        <w:pStyle w:val="733"/>
        <w:ind w:firstLine="480"/>
        <w:spacing w:line="360" w:lineRule="exact"/>
        <w:rPr>
          <w:sz w:val="24"/>
        </w:rPr>
      </w:pPr>
      <w:r>
        <w:rPr>
          <w:rFonts w:hint="eastAsia"/>
          <w:sz w:val="24"/>
        </w:rPr>
        <w:t xml:space="preserve">兹证明，</w:t>
      </w:r>
      <w:r/>
    </w:p>
    <w:p>
      <w:pPr>
        <w:pStyle w:val="733"/>
        <w:ind w:firstLine="480"/>
        <w:spacing w:line="360" w:lineRule="exact"/>
        <w:rPr>
          <w:sz w:val="24"/>
        </w:rPr>
      </w:pPr>
      <w:r>
        <w:rPr>
          <w:rFonts w:hint="eastAsia"/>
          <w:sz w:val="24"/>
        </w:rPr>
        <w:t xml:space="preserve">姓名：____性别：____年龄：____职务：____ 系 </w:t>
      </w:r>
      <w:r>
        <w:rPr>
          <w:rFonts w:hint="eastAsia"/>
          <w:sz w:val="24"/>
          <w:u w:val="single"/>
        </w:rPr>
        <w:t xml:space="preserve">（供应商名称）</w:t>
      </w:r>
      <w:r>
        <w:rPr>
          <w:rFonts w:hint="eastAsia"/>
          <w:sz w:val="24"/>
        </w:rPr>
        <w:t xml:space="preserve">的法定代表人（单位负责人）。</w:t>
      </w:r>
      <w:r/>
    </w:p>
    <w:p>
      <w:pPr>
        <w:pStyle w:val="733"/>
        <w:ind w:firstLine="480"/>
        <w:spacing w:line="360" w:lineRule="exact"/>
        <w:rPr>
          <w:sz w:val="24"/>
        </w:rPr>
      </w:pPr>
      <w:r>
        <w:rPr>
          <w:rFonts w:hint="eastAsia"/>
          <w:sz w:val="24"/>
        </w:rPr>
        <w:t xml:space="preserve">附：法定代表人（单位负责人）有效期内的身份证正反面电子件。（可电子粘贴）</w:t>
      </w:r>
      <w:r/>
    </w:p>
    <w:tbl>
      <w:tblPr>
        <w:tblStyle w:val="70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405"/>
        <w:gridCol w:w="3797"/>
      </w:tblGrid>
      <w:tr>
        <w:trPr>
          <w:jc w:val="center"/>
          <w:trHeight w:val="1474"/>
        </w:trPr>
        <w:tc>
          <w:tcPr>
            <w:tcBorders>
              <w:top w:val="single" w:color="auto" w:sz="4" w:space="0"/>
              <w:left w:val="single" w:color="auto" w:sz="4" w:space="0"/>
              <w:bottom w:val="single" w:color="auto" w:sz="4" w:space="0"/>
              <w:right w:val="single" w:color="auto" w:sz="4" w:space="0"/>
            </w:tcBorders>
            <w:tcW w:w="4405" w:type="dxa"/>
            <w:vAlign w:val="center"/>
            <w:textDirection w:val="lrTb"/>
            <w:noWrap w:val="false"/>
          </w:tcPr>
          <w:p>
            <w:pPr>
              <w:jc w:val="center"/>
              <w:spacing w:line="600" w:lineRule="exact"/>
              <w:rPr>
                <w:rFonts w:hint="eastAsia" w:ascii="宋体" w:hAnsi="宋体" w:cs="宋体"/>
                <w:color w:val="000000"/>
                <w:sz w:val="24"/>
              </w:rPr>
            </w:pPr>
            <w:r>
              <w:rPr>
                <w:rFonts w:hint="eastAsia" w:ascii="宋体" w:hAnsi="宋体" w:cs="宋体"/>
                <w:color w:val="000000"/>
                <w:sz w:val="24"/>
              </w:rPr>
            </w:r>
            <w:r/>
          </w:p>
        </w:tc>
        <w:tc>
          <w:tcPr>
            <w:tcBorders>
              <w:top w:val="single" w:color="auto" w:sz="4" w:space="0"/>
              <w:left w:val="single" w:color="auto" w:sz="4" w:space="0"/>
              <w:bottom w:val="single" w:color="auto" w:sz="4" w:space="0"/>
              <w:right w:val="single" w:color="auto" w:sz="4" w:space="0"/>
            </w:tcBorders>
            <w:tcW w:w="3797" w:type="dxa"/>
            <w:vAlign w:val="center"/>
            <w:textDirection w:val="lrTb"/>
            <w:noWrap w:val="false"/>
          </w:tcPr>
          <w:p>
            <w:pPr>
              <w:jc w:val="center"/>
              <w:spacing w:line="600" w:lineRule="exact"/>
              <w:rPr>
                <w:rFonts w:hint="eastAsia" w:ascii="宋体" w:hAnsi="宋体" w:cs="宋体"/>
                <w:color w:val="000000"/>
                <w:sz w:val="24"/>
              </w:rPr>
            </w:pPr>
            <w:r>
              <w:rPr>
                <w:rFonts w:hint="eastAsia" w:ascii="宋体" w:hAnsi="宋体" w:cs="宋体"/>
                <w:color w:val="000000"/>
                <w:sz w:val="24"/>
              </w:rPr>
            </w:r>
            <w:r/>
          </w:p>
        </w:tc>
      </w:tr>
    </w:tbl>
    <w:p>
      <w:pPr>
        <w:pStyle w:val="733"/>
        <w:ind w:firstLine="0"/>
        <w:rPr>
          <w:sz w:val="24"/>
        </w:rPr>
      </w:pPr>
      <w:r>
        <w:rPr>
          <w:sz w:val="24"/>
        </w:rPr>
      </w:r>
      <w:r/>
    </w:p>
    <w:p>
      <w:pPr>
        <w:pStyle w:val="733"/>
        <w:ind w:firstLine="480"/>
        <w:rPr>
          <w:sz w:val="24"/>
        </w:rPr>
      </w:pPr>
      <w:r>
        <w:rPr>
          <w:rFonts w:hint="eastAsia"/>
          <w:sz w:val="24"/>
        </w:rPr>
        <w:t xml:space="preserve">供应商名称（加盖CA电子公章）：________________ </w:t>
      </w:r>
      <w:r/>
    </w:p>
    <w:p>
      <w:pPr>
        <w:pStyle w:val="733"/>
        <w:ind w:firstLine="480"/>
        <w:rPr>
          <w:sz w:val="24"/>
        </w:rPr>
      </w:pPr>
      <w:r>
        <w:rPr>
          <w:rFonts w:hint="eastAsia"/>
          <w:sz w:val="24"/>
        </w:rPr>
        <w:t xml:space="preserve">法定代表人（单位负责人）（签字、签章或印鉴）：_______ </w:t>
      </w:r>
      <w:r/>
    </w:p>
    <w:p>
      <w:pPr>
        <w:pStyle w:val="733"/>
        <w:ind w:firstLine="480"/>
        <w:rPr>
          <w:sz w:val="24"/>
        </w:rPr>
      </w:pPr>
      <w:r>
        <w:rPr>
          <w:rFonts w:hint="eastAsia"/>
          <w:sz w:val="24"/>
        </w:rPr>
        <w:t xml:space="preserve">日期：_____年______月______</w:t>
      </w:r>
      <w:r/>
    </w:p>
    <w:p>
      <w:pPr>
        <w:pStyle w:val="733"/>
        <w:ind w:firstLine="480"/>
        <w:rPr>
          <w:sz w:val="24"/>
        </w:rPr>
      </w:pPr>
      <w:r>
        <w:rPr>
          <w:sz w:val="24"/>
        </w:rPr>
      </w:r>
      <w:r/>
    </w:p>
    <w:p>
      <w:pPr>
        <w:pStyle w:val="733"/>
        <w:ind w:firstLine="480"/>
        <w:rPr>
          <w:sz w:val="24"/>
        </w:rPr>
      </w:pPr>
      <w:r>
        <w:rPr>
          <w:sz w:val="24"/>
        </w:rPr>
      </w:r>
      <w:r/>
    </w:p>
    <w:p>
      <w:pPr>
        <w:pStyle w:val="733"/>
        <w:ind w:firstLine="480"/>
        <w:rPr>
          <w:sz w:val="24"/>
        </w:rPr>
      </w:pPr>
      <w:r>
        <w:rPr>
          <w:sz w:val="24"/>
        </w:rPr>
      </w:r>
      <w:r/>
    </w:p>
    <w:p>
      <w:pPr>
        <w:pStyle w:val="733"/>
        <w:ind w:firstLine="480"/>
        <w:rPr>
          <w:sz w:val="24"/>
        </w:rPr>
      </w:pPr>
      <w:r>
        <w:rPr>
          <w:sz w:val="24"/>
        </w:rPr>
      </w:r>
      <w:r/>
    </w:p>
    <w:p>
      <w:pPr>
        <w:pStyle w:val="733"/>
        <w:ind w:firstLine="480"/>
        <w:rPr>
          <w:sz w:val="24"/>
        </w:rPr>
      </w:pPr>
      <w:r>
        <w:rPr>
          <w:sz w:val="24"/>
        </w:rPr>
      </w:r>
      <w:r/>
    </w:p>
    <w:p>
      <w:pPr>
        <w:pStyle w:val="733"/>
        <w:ind w:firstLine="480"/>
        <w:rPr>
          <w:sz w:val="24"/>
        </w:rPr>
      </w:pPr>
      <w:r>
        <w:rPr>
          <w:sz w:val="24"/>
        </w:rPr>
      </w:r>
      <w:r/>
    </w:p>
    <w:p>
      <w:pPr>
        <w:pStyle w:val="733"/>
        <w:ind w:firstLine="480"/>
        <w:rPr>
          <w:sz w:val="24"/>
        </w:rPr>
      </w:pPr>
      <w:r>
        <w:rPr>
          <w:sz w:val="24"/>
        </w:rPr>
      </w:r>
      <w:r/>
    </w:p>
    <w:p>
      <w:pPr>
        <w:pStyle w:val="733"/>
        <w:ind w:firstLine="480"/>
        <w:rPr>
          <w:sz w:val="24"/>
        </w:rPr>
      </w:pPr>
      <w:r>
        <w:rPr>
          <w:sz w:val="24"/>
        </w:rPr>
      </w:r>
      <w:r/>
    </w:p>
    <w:p>
      <w:pPr>
        <w:pStyle w:val="733"/>
        <w:ind w:firstLine="480"/>
        <w:rPr>
          <w:sz w:val="24"/>
        </w:rPr>
      </w:pPr>
      <w:r>
        <w:rPr>
          <w:sz w:val="24"/>
        </w:rPr>
      </w:r>
      <w:r/>
    </w:p>
    <w:p>
      <w:pPr>
        <w:pStyle w:val="733"/>
        <w:ind w:firstLine="480"/>
        <w:rPr>
          <w:sz w:val="24"/>
        </w:rPr>
      </w:pPr>
      <w:r>
        <w:rPr>
          <w:sz w:val="24"/>
        </w:rPr>
      </w:r>
      <w:r/>
    </w:p>
    <w:p>
      <w:pPr>
        <w:pStyle w:val="733"/>
        <w:ind w:firstLine="480"/>
        <w:rPr>
          <w:sz w:val="24"/>
        </w:rPr>
      </w:pPr>
      <w:r>
        <w:rPr>
          <w:sz w:val="24"/>
        </w:rPr>
      </w:r>
      <w:r/>
    </w:p>
    <w:p>
      <w:pPr>
        <w:jc w:val="center"/>
        <w:keepLines/>
        <w:keepNext/>
        <w:spacing w:before="260" w:after="260" w:line="416" w:lineRule="auto"/>
        <w:rPr>
          <w:rFonts w:hint="eastAsia" w:ascii="黑体" w:hAnsi="黑体" w:eastAsia="黑体"/>
          <w:b/>
          <w:i/>
          <w:color w:val="000000"/>
          <w:sz w:val="32"/>
          <w:szCs w:val="32"/>
          <w:u w:val="single"/>
        </w:rPr>
        <w:outlineLvl w:val="0"/>
      </w:pPr>
      <w:r/>
      <w:bookmarkStart w:id="199" w:name="_Toc19804"/>
      <w:r>
        <w:rPr>
          <w:rFonts w:hint="eastAsia" w:ascii="黑体" w:hAnsi="黑体" w:eastAsia="黑体" w:cs="Arial"/>
          <w:b/>
          <w:i/>
          <w:color w:val="000000"/>
          <w:sz w:val="32"/>
          <w:szCs w:val="32"/>
          <w:u w:val="single"/>
        </w:rPr>
        <w:t xml:space="preserve">九、</w:t>
      </w:r>
      <w:r>
        <w:rPr>
          <w:rFonts w:hint="eastAsia" w:ascii="黑体" w:hAnsi="黑体" w:eastAsia="黑体"/>
          <w:b/>
          <w:i/>
          <w:color w:val="000000"/>
          <w:sz w:val="32"/>
          <w:szCs w:val="32"/>
          <w:u w:val="single"/>
        </w:rPr>
        <w:t xml:space="preserve">投标函</w:t>
      </w:r>
      <w:bookmarkEnd w:id="199"/>
      <w:r/>
      <w:r/>
    </w:p>
    <w:p>
      <w:pPr>
        <w:jc w:val="left"/>
        <w:spacing w:line="420" w:lineRule="exact"/>
        <w:rPr>
          <w:rFonts w:hint="eastAsia" w:ascii="宋体" w:hAnsi="宋体" w:eastAsia="宋体"/>
          <w:color w:val="000000"/>
          <w:sz w:val="24"/>
          <w:szCs w:val="21"/>
        </w:rPr>
      </w:pPr>
      <w:r>
        <w:rPr>
          <w:rFonts w:hint="eastAsia" w:ascii="宋体" w:hAnsi="宋体"/>
          <w:color w:val="000000"/>
          <w:sz w:val="24"/>
          <w:szCs w:val="21"/>
        </w:rPr>
        <w:t xml:space="preserve">致：射阳县妇幼保健院</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根据贵方的</w:t>
      </w:r>
      <w:r>
        <w:rPr>
          <w:rFonts w:hint="eastAsia" w:ascii="宋体" w:hAnsi="宋体"/>
          <w:b w:val="0"/>
          <w:color w:val="000000"/>
          <w:sz w:val="24"/>
          <w:szCs w:val="21"/>
          <w:u w:val="single"/>
        </w:rPr>
        <w:t xml:space="preserve">  </w:t>
      </w:r>
      <w:r>
        <w:rPr>
          <w:rFonts w:hint="eastAsia" w:ascii="宋体" w:hAnsi="宋体"/>
          <w:color w:val="000000"/>
          <w:sz w:val="24"/>
          <w:szCs w:val="21"/>
          <w:u w:val="single"/>
        </w:rPr>
        <w:t xml:space="preserve">（项目编号）</w:t>
      </w:r>
      <w:r>
        <w:rPr>
          <w:rFonts w:hint="eastAsia" w:ascii="宋体" w:hAnsi="宋体"/>
          <w:b w:val="0"/>
          <w:color w:val="000000"/>
          <w:sz w:val="24"/>
          <w:szCs w:val="21"/>
          <w:u w:val="single"/>
        </w:rPr>
        <w:t xml:space="preserve"> （项目名称） </w:t>
      </w:r>
      <w:r>
        <w:rPr>
          <w:rFonts w:hint="eastAsia" w:ascii="宋体" w:hAnsi="宋体"/>
          <w:color w:val="000000"/>
          <w:sz w:val="24"/>
          <w:szCs w:val="21"/>
        </w:rPr>
        <w:t xml:space="preserve">招标文件，正式授权下述签字人_</w:t>
      </w:r>
      <w:r>
        <w:rPr>
          <w:rFonts w:hint="eastAsia" w:ascii="宋体" w:hAnsi="宋体"/>
          <w:color w:val="000000"/>
          <w:sz w:val="24"/>
          <w:szCs w:val="21"/>
          <w:u w:val="single"/>
        </w:rPr>
        <w:t xml:space="preserve">_(姓名) </w:t>
      </w:r>
      <w:r>
        <w:rPr>
          <w:rFonts w:hint="eastAsia" w:ascii="宋体" w:hAnsi="宋体"/>
          <w:color w:val="000000"/>
          <w:sz w:val="24"/>
          <w:szCs w:val="21"/>
        </w:rPr>
        <w:t xml:space="preserve">代表我方_</w:t>
      </w:r>
      <w:r>
        <w:rPr>
          <w:rFonts w:hint="eastAsia" w:ascii="宋体" w:hAnsi="宋体"/>
          <w:color w:val="000000"/>
          <w:sz w:val="24"/>
          <w:szCs w:val="21"/>
          <w:u w:val="single"/>
        </w:rPr>
        <w:t xml:space="preserve">__（投标人的名称）   </w:t>
      </w:r>
      <w:r>
        <w:rPr>
          <w:rFonts w:hint="eastAsia" w:ascii="宋体" w:hAnsi="宋体"/>
          <w:color w:val="000000"/>
          <w:sz w:val="24"/>
          <w:szCs w:val="21"/>
        </w:rPr>
        <w:t xml:space="preserve">，全权处理本次项目投标的有关事宜。</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据此函，__________签字人兹宣布同意如下：</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p>
    <w:p>
      <w:pPr>
        <w:ind w:firstLine="480"/>
        <w:jc w:val="left"/>
        <w:spacing w:line="420" w:lineRule="exact"/>
        <w:rPr>
          <w:rFonts w:hint="eastAsia" w:ascii="宋体" w:hAnsi="宋体"/>
          <w:color w:val="000000"/>
          <w:sz w:val="24"/>
          <w:szCs w:val="21"/>
        </w:rPr>
      </w:pPr>
      <w:r/>
      <w:bookmarkStart w:id="200" w:name="_Toc11846"/>
      <w:r>
        <w:rPr>
          <w:rFonts w:hint="eastAsia" w:ascii="宋体" w:hAnsi="宋体"/>
          <w:color w:val="000000"/>
          <w:sz w:val="24"/>
          <w:szCs w:val="21"/>
        </w:rPr>
        <w:t xml:space="preserve">2.我们完全理解贵方不一定将合同授予最低报价的投标人。</w:t>
      </w:r>
      <w:bookmarkEnd w:id="200"/>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color w:val="000000"/>
          <w:sz w:val="24"/>
          <w:szCs w:val="21"/>
        </w:rPr>
      </w:pPr>
      <w:r/>
      <w:bookmarkStart w:id="201" w:name="_Toc2502"/>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bookmarkEnd w:id="201"/>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投标人开户行：</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账          号： </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日           期：________年____月____日</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r>
      <w:r/>
    </w:p>
    <w:p>
      <w:pPr>
        <w:pStyle w:val="739"/>
      </w:pPr>
      <w:r/>
      <w:r/>
    </w:p>
    <w:p>
      <w:r/>
      <w:r/>
    </w:p>
    <w:p>
      <w:pPr>
        <w:jc w:val="center"/>
        <w:spacing w:line="419" w:lineRule="atLeast"/>
        <w:rPr>
          <w:rFonts w:ascii="黑体" w:eastAsia="黑体" w:cs="黑体"/>
          <w:b/>
          <w:iCs/>
          <w:color w:val="000000"/>
          <w:sz w:val="32"/>
          <w:szCs w:val="32"/>
        </w:rPr>
        <w:pBdr>
          <w:top w:val="none" w:color="000000" w:sz="0" w:space="0"/>
          <w:left w:val="none" w:color="000000" w:sz="0" w:space="0"/>
          <w:bottom w:val="none" w:color="000000" w:sz="0" w:space="0"/>
          <w:right w:val="none" w:color="000000" w:sz="0" w:space="0"/>
        </w:pBdr>
        <w:outlineLvl w:val="0"/>
      </w:pPr>
      <w:r/>
      <w:bookmarkStart w:id="202" w:name="_Toc1085"/>
      <w:r>
        <w:rPr>
          <w:rFonts w:hint="eastAsia" w:ascii="黑体" w:eastAsia="黑体" w:cs="黑体"/>
          <w:b/>
          <w:iCs/>
          <w:color w:val="000000"/>
          <w:sz w:val="32"/>
          <w:szCs w:val="32"/>
        </w:rPr>
        <w:t xml:space="preserve">十、中小企业声明函（</w:t>
      </w:r>
      <w:r>
        <w:rPr>
          <w:rFonts w:hint="eastAsia" w:ascii="黑体" w:eastAsia="黑体" w:cs="黑体"/>
          <w:b/>
          <w:iCs/>
          <w:color w:val="000000"/>
          <w:sz w:val="32"/>
          <w:szCs w:val="32"/>
          <w:lang w:val="en-US" w:eastAsia="zh-CN"/>
        </w:rPr>
        <w:t xml:space="preserve">服务</w:t>
      </w:r>
      <w:r>
        <w:rPr>
          <w:rFonts w:hint="eastAsia" w:ascii="黑体" w:eastAsia="黑体" w:cs="黑体"/>
          <w:b/>
          <w:iCs/>
          <w:color w:val="000000"/>
          <w:sz w:val="32"/>
          <w:szCs w:val="32"/>
        </w:rPr>
        <w:t xml:space="preserve">）</w:t>
      </w:r>
      <w:r/>
    </w:p>
    <w:p>
      <w:pPr>
        <w:ind w:firstLine="560"/>
        <w:spacing w:line="439" w:lineRule="atLeast"/>
        <w:rPr>
          <w:rFonts w:hint="eastAsia" w:ascii="宋体" w:hAnsi="宋体"/>
          <w:b/>
          <w:bCs/>
          <w:sz w:val="32"/>
          <w:szCs w:val="3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8"/>
        </w:rPr>
        <w:t xml:space="preserve"> </w:t>
      </w:r>
      <w:r/>
    </w:p>
    <w:p>
      <w:pPr>
        <w:ind w:firstLine="482"/>
        <w:keepLines w:val="0"/>
        <w:keepNext w:val="0"/>
        <w:pageBreakBefore w:val="0"/>
        <w:spacing w:line="50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本公司郑重声明，根据《政府采购促进中小企业发展管理办法》（财库﹝2020﹞46号）的规定，本公司参加</w:t>
      </w:r>
      <w:r>
        <w:rPr>
          <w:rFonts w:hint="eastAsia" w:ascii="宋体" w:hAnsi="宋体" w:eastAsia="宋体" w:cs="宋体"/>
          <w:color w:val="auto"/>
          <w:sz w:val="24"/>
          <w:highlight w:val="none"/>
          <w:u w:val="single"/>
        </w:rPr>
        <w:t xml:space="preserve">射阳县行政服务中心</w:t>
      </w:r>
      <w:r>
        <w:rPr>
          <w:rFonts w:hint="eastAsia" w:ascii="宋体" w:hAnsi="宋体" w:eastAsia="宋体" w:cs="宋体"/>
          <w:color w:val="auto"/>
          <w:sz w:val="24"/>
          <w:highlight w:val="none"/>
        </w:rPr>
        <w:t xml:space="preserve">组织的</w:t>
      </w:r>
      <w:r>
        <w:rPr>
          <w:rFonts w:hint="eastAsia" w:ascii="宋体" w:hAnsi="宋体" w:eastAsia="宋体" w:cs="宋体"/>
          <w:i w:val="0"/>
          <w:iCs w:val="0"/>
          <w:color w:val="auto"/>
          <w:sz w:val="24"/>
          <w:highlight w:val="none"/>
          <w:u w:val="single"/>
        </w:rPr>
        <w:t xml:space="preserve">射阳县妇幼保健院</w:t>
      </w:r>
      <w:r>
        <w:rPr>
          <w:rFonts w:hint="eastAsia" w:ascii="宋体" w:hAnsi="宋体" w:eastAsia="宋体" w:cs="宋体"/>
          <w:color w:val="auto"/>
          <w:sz w:val="24"/>
          <w:highlight w:val="none"/>
        </w:rPr>
        <w:t xml:space="preserve">采购编号为</w:t>
      </w:r>
      <w:r>
        <w:rPr>
          <w:rFonts w:hint="eastAsia" w:ascii="宋体" w:hAnsi="宋体" w:eastAsia="宋体" w:cs="宋体"/>
          <w:color w:val="auto"/>
          <w:sz w:val="24"/>
          <w:highlight w:val="none"/>
          <w:u w:val="single"/>
          <w:lang w:val="en-US" w:eastAsia="zh-CN"/>
        </w:rPr>
        <w:t xml:space="preserve">JSZC-320924-JZCG-G2026-0009</w:t>
      </w:r>
      <w:r>
        <w:rPr>
          <w:rFonts w:hint="eastAsia" w:ascii="宋体" w:hAnsi="宋体" w:eastAsia="宋体" w:cs="宋体"/>
          <w:color w:val="auto"/>
          <w:sz w:val="24"/>
          <w:highlight w:val="none"/>
        </w:rPr>
        <w:t xml:space="preserve">的</w:t>
      </w:r>
      <w:r>
        <w:rPr>
          <w:rFonts w:hint="eastAsia" w:ascii="宋体" w:hAnsi="宋体" w:eastAsia="宋体" w:cs="宋体"/>
          <w:i w:val="0"/>
          <w:iCs w:val="0"/>
          <w:color w:val="auto"/>
          <w:sz w:val="24"/>
          <w:highlight w:val="none"/>
          <w:u w:val="single"/>
        </w:rPr>
        <w:t xml:space="preserve">射阳县妇幼保健院追溯码上传等信息化采购项目</w:t>
      </w:r>
      <w:r>
        <w:rPr>
          <w:rFonts w:hint="eastAsia" w:ascii="宋体" w:hAnsi="宋体" w:eastAsia="宋体" w:cs="宋体"/>
          <w:color w:val="auto"/>
          <w:sz w:val="24"/>
          <w:highlight w:val="none"/>
        </w:rPr>
        <w:t xml:space="preserve">的采购活动，服务全部由符合政策要求的中小企业承接。相关企业的具体情况如下：</w:t>
      </w:r>
      <w:r/>
    </w:p>
    <w:p>
      <w:pPr>
        <w:numPr>
          <w:ilvl w:val="0"/>
          <w:numId w:val="2"/>
        </w:numPr>
        <w:ind w:firstLine="480"/>
        <w:spacing w:line="500" w:lineRule="exact"/>
        <w:rPr>
          <w:rFonts w:ascii="宋体" w:hAnsi="宋体" w:eastAsia="宋体" w:cs="宋体"/>
          <w:color w:val="auto"/>
          <w:sz w:val="24"/>
          <w:highlight w:val="none"/>
        </w:rPr>
      </w:pPr>
      <w:r>
        <w:rPr>
          <w:rFonts w:hint="eastAsia" w:ascii="宋体" w:hAnsi="宋体" w:eastAsia="宋体" w:cs="宋体"/>
          <w:i/>
          <w:iCs/>
          <w:color w:val="auto"/>
          <w:sz w:val="24"/>
          <w:highlight w:val="none"/>
          <w:u w:val="single"/>
        </w:rPr>
        <w:t xml:space="preserve">（标的名称）</w:t>
      </w:r>
      <w:r>
        <w:rPr>
          <w:rFonts w:hint="eastAsia" w:ascii="宋体" w:hAnsi="宋体" w:eastAsia="宋体" w:cs="宋体"/>
          <w:color w:val="auto"/>
          <w:sz w:val="24"/>
          <w:highlight w:val="none"/>
        </w:rPr>
        <w:t xml:space="preserve"> ，属于</w:t>
      </w:r>
      <w:r>
        <w:rPr>
          <w:rFonts w:hint="eastAsia" w:ascii="宋体" w:hAnsi="宋体" w:eastAsia="宋体" w:cs="宋体"/>
          <w:i/>
          <w:iCs/>
          <w:color w:val="auto"/>
          <w:sz w:val="24"/>
          <w:highlight w:val="none"/>
          <w:u w:val="single"/>
        </w:rPr>
        <w:t xml:space="preserve">（采购文件中明确的所属行业）</w:t>
      </w:r>
      <w:r>
        <w:rPr>
          <w:rFonts w:hint="eastAsia" w:ascii="宋体" w:hAnsi="宋体" w:eastAsia="宋体" w:cs="宋体"/>
          <w:color w:val="auto"/>
          <w:sz w:val="24"/>
          <w:highlight w:val="none"/>
        </w:rPr>
        <w:t xml:space="preserve">；承建（承接）企业为</w:t>
      </w:r>
      <w:r>
        <w:rPr>
          <w:rFonts w:hint="eastAsia" w:ascii="宋体" w:hAnsi="宋体" w:eastAsia="宋体" w:cs="宋体"/>
          <w:i/>
          <w:iCs/>
          <w:color w:val="auto"/>
          <w:sz w:val="24"/>
          <w:highlight w:val="none"/>
          <w:u w:val="single"/>
        </w:rPr>
        <w:t xml:space="preserve">（企业名称）</w:t>
      </w:r>
      <w:r>
        <w:rPr>
          <w:rFonts w:hint="eastAsia" w:ascii="宋体" w:hAnsi="宋体" w:eastAsia="宋体" w:cs="宋体"/>
          <w:color w:val="auto"/>
          <w:sz w:val="24"/>
          <w:highlight w:val="none"/>
        </w:rPr>
        <w:t xml:space="preserve">，从业人员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人，营业收入为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万元，资产总额为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万元，属于（</w:t>
      </w:r>
      <w:r>
        <w:rPr>
          <w:rFonts w:hint="eastAsia" w:ascii="宋体" w:hAnsi="宋体" w:eastAsia="宋体" w:cs="宋体"/>
          <w:i/>
          <w:iCs/>
          <w:color w:val="auto"/>
          <w:sz w:val="24"/>
          <w:highlight w:val="none"/>
          <w:u w:val="single"/>
        </w:rPr>
        <w:t xml:space="preserve">中型企业、小型企业、微型企业</w:t>
      </w:r>
      <w:r>
        <w:rPr>
          <w:rFonts w:hint="eastAsia" w:ascii="宋体" w:hAnsi="宋体" w:eastAsia="宋体" w:cs="宋体"/>
          <w:color w:val="auto"/>
          <w:sz w:val="24"/>
          <w:highlight w:val="none"/>
        </w:rPr>
        <w:t xml:space="preserve">）；</w:t>
      </w:r>
      <w:r/>
    </w:p>
    <w:p>
      <w:pPr>
        <w:pStyle w:val="730"/>
        <w:ind w:firstLine="360"/>
        <w:jc w:val="both"/>
        <w:spacing w:beforeAutospacing="0" w:afterAutospacing="0" w:line="0" w:lineRule="atLeast"/>
        <w:rPr>
          <w:rFonts w:hint="eastAsia" w:ascii="宋体" w:hAnsi="宋体" w:eastAsia="宋体" w:cstheme="minorBidi"/>
        </w:rPr>
      </w:pPr>
      <w:r>
        <w:rPr>
          <w:rFonts w:hint="eastAsia" w:ascii="宋体" w:hAnsi="宋体" w:eastAsia="宋体" w:cstheme="minorBidi"/>
        </w:rPr>
      </w:r>
      <w:r/>
    </w:p>
    <w:p>
      <w:pPr>
        <w:pStyle w:val="730"/>
        <w:ind w:firstLine="360"/>
        <w:jc w:val="both"/>
        <w:spacing w:beforeAutospacing="0" w:afterAutospacing="0" w:line="0" w:lineRule="atLeast"/>
        <w:rPr>
          <w:rFonts w:hint="eastAsia" w:ascii="宋体" w:hAnsi="宋体" w:eastAsia="宋体" w:cstheme="minorBidi"/>
        </w:rPr>
      </w:pPr>
      <w:r>
        <w:rPr>
          <w:rFonts w:hint="eastAsia" w:ascii="宋体" w:hAnsi="宋体" w:eastAsia="宋体" w:cstheme="minorBidi"/>
        </w:rPr>
        <w:t xml:space="preserve">......</w:t>
      </w:r>
      <w:r/>
    </w:p>
    <w:p>
      <w:pPr>
        <w:pStyle w:val="730"/>
        <w:ind w:firstLine="360"/>
        <w:jc w:val="both"/>
        <w:spacing w:beforeAutospacing="0" w:afterAutospacing="0" w:line="0" w:lineRule="atLeast"/>
        <w:rPr>
          <w:rFonts w:hint="eastAsia" w:ascii="宋体" w:hAnsi="宋体" w:eastAsia="宋体" w:cstheme="minorBidi"/>
        </w:rPr>
      </w:pPr>
      <w:r>
        <w:rPr>
          <w:rFonts w:hint="eastAsia" w:ascii="宋体" w:hAnsi="宋体" w:eastAsia="宋体" w:cstheme="minorBidi"/>
        </w:rPr>
      </w:r>
      <w:r/>
    </w:p>
    <w:p>
      <w:pPr>
        <w:pStyle w:val="730"/>
        <w:ind w:firstLine="360"/>
        <w:jc w:val="both"/>
        <w:spacing w:beforeAutospacing="0" w:afterAutospacing="0" w:line="0" w:lineRule="atLeast"/>
        <w:rPr>
          <w:rFonts w:hint="eastAsia" w:ascii="宋体" w:hAnsi="宋体" w:cstheme="minorBidi"/>
        </w:rPr>
      </w:pPr>
      <w:r>
        <w:rPr>
          <w:rFonts w:hint="eastAsia" w:ascii="宋体" w:hAnsi="宋体" w:cstheme="minorBidi"/>
        </w:rPr>
        <w:t xml:space="preserve">以上企业，不属于大企业的分支机构，不存在控股股东为大企业的情形，也不存在与大企业的负责人为同一人的情形。</w:t>
      </w:r>
      <w:r/>
    </w:p>
    <w:p>
      <w:pPr>
        <w:pStyle w:val="730"/>
        <w:ind w:firstLine="360"/>
        <w:jc w:val="both"/>
        <w:spacing w:beforeAutospacing="0" w:afterAutospacing="0" w:line="0" w:lineRule="atLeast"/>
        <w:rPr>
          <w:rFonts w:hint="eastAsia" w:ascii="宋体" w:hAnsi="宋体" w:cstheme="minorBidi"/>
        </w:rPr>
      </w:pPr>
      <w:r>
        <w:rPr>
          <w:rFonts w:hint="eastAsia" w:ascii="宋体" w:hAnsi="宋体" w:cstheme="minorBidi"/>
        </w:rPr>
        <w:t xml:space="preserve">本企业对上述声明内容的真实性负责。如有虚假，将依法承担相应责任</w:t>
      </w:r>
      <w:r/>
    </w:p>
    <w:p>
      <w:pPr>
        <w:pStyle w:val="730"/>
        <w:ind w:right="720"/>
        <w:jc w:val="both"/>
        <w:spacing w:beforeAutospacing="0" w:afterAutospacing="0" w:line="0" w:lineRule="atLeast"/>
        <w:rPr>
          <w:rFonts w:hint="eastAsia" w:ascii="宋体" w:hAnsi="宋体" w:cstheme="minorBidi"/>
        </w:rPr>
      </w:pPr>
      <w:r>
        <w:rPr>
          <w:rFonts w:hint="eastAsia" w:ascii="宋体" w:hAnsi="宋体" w:cstheme="minorBidi"/>
        </w:rPr>
        <w:t xml:space="preserve"> </w:t>
      </w:r>
      <w:r/>
    </w:p>
    <w:p>
      <w:pPr>
        <w:pStyle w:val="730"/>
        <w:ind w:right="180" w:firstLine="360"/>
        <w:jc w:val="right"/>
        <w:spacing w:beforeAutospacing="0" w:afterAutospacing="0" w:line="0" w:lineRule="atLeast"/>
        <w:rPr>
          <w:rFonts w:hint="eastAsia" w:ascii="宋体" w:hAnsi="宋体" w:cstheme="minorBidi"/>
        </w:rPr>
      </w:pPr>
      <w:r>
        <w:rPr>
          <w:rFonts w:hint="eastAsia" w:ascii="宋体" w:hAnsi="宋体" w:cstheme="minorBidi"/>
        </w:rPr>
      </w:r>
      <w:r/>
    </w:p>
    <w:p>
      <w:pPr>
        <w:pStyle w:val="730"/>
        <w:ind w:right="180" w:firstLine="4488"/>
        <w:jc w:val="both"/>
        <w:spacing w:beforeAutospacing="0" w:afterAutospacing="0" w:line="0" w:lineRule="atLeast"/>
        <w:rPr>
          <w:rFonts w:hint="eastAsia" w:ascii="宋体" w:hAnsi="宋体" w:cstheme="minorBidi"/>
        </w:rPr>
      </w:pPr>
      <w:r>
        <w:rPr>
          <w:rFonts w:hint="eastAsia" w:ascii="宋体" w:hAnsi="宋体" w:cstheme="minorBidi"/>
        </w:rPr>
        <w:t xml:space="preserve">企业名称（加盖CA电子公章）：</w:t>
      </w:r>
      <w:r/>
    </w:p>
    <w:p>
      <w:pPr>
        <w:pStyle w:val="730"/>
        <w:ind w:right="480" w:firstLine="6888"/>
        <w:jc w:val="both"/>
        <w:spacing w:beforeAutospacing="0" w:afterAutospacing="0" w:line="0" w:lineRule="atLeast"/>
        <w:rPr>
          <w:rFonts w:hint="eastAsia" w:ascii="宋体" w:hAnsi="宋体" w:cstheme="minorBidi"/>
        </w:rPr>
      </w:pPr>
      <w:r>
        <w:rPr>
          <w:rFonts w:hint="eastAsia" w:ascii="宋体" w:hAnsi="宋体" w:cstheme="minorBidi"/>
        </w:rPr>
        <w:t xml:space="preserve">日  期：</w:t>
      </w:r>
      <w:r/>
    </w:p>
    <w:p>
      <w:pPr>
        <w:pStyle w:val="730"/>
        <w:ind w:firstLine="240"/>
        <w:jc w:val="both"/>
        <w:spacing w:beforeAutospacing="0" w:afterAutospacing="0" w:line="0" w:lineRule="atLeast"/>
        <w:rPr>
          <w:rFonts w:hint="eastAsia" w:ascii="宋体" w:hAnsi="宋体" w:cstheme="minorBidi"/>
        </w:rPr>
      </w:pPr>
      <w:r>
        <w:rPr>
          <w:rFonts w:hint="eastAsia" w:ascii="宋体" w:hAnsi="宋体" w:cstheme="minorBidi"/>
        </w:rPr>
        <w:t xml:space="preserve"> </w:t>
      </w:r>
      <w:r/>
    </w:p>
    <w:p>
      <w:pPr>
        <w:pStyle w:val="730"/>
        <w:ind w:firstLine="480"/>
        <w:jc w:val="both"/>
        <w:spacing w:beforeAutospacing="0" w:afterAutospacing="0" w:line="0" w:lineRule="atLeast"/>
        <w:rPr>
          <w:rFonts w:hint="eastAsia" w:ascii="宋体" w:hAnsi="宋体" w:cstheme="minorBidi"/>
        </w:rPr>
      </w:pPr>
      <w:r>
        <w:rPr>
          <w:rFonts w:hint="eastAsia" w:ascii="宋体" w:hAnsi="宋体" w:cstheme="minorBidi"/>
        </w:rPr>
      </w:r>
      <w:r/>
    </w:p>
    <w:p>
      <w:pPr>
        <w:pStyle w:val="730"/>
        <w:ind w:firstLine="480"/>
        <w:jc w:val="both"/>
        <w:spacing w:beforeAutospacing="0" w:afterAutospacing="0" w:line="0" w:lineRule="atLeast"/>
        <w:rPr>
          <w:rFonts w:hint="eastAsia" w:ascii="宋体" w:hAnsi="宋体" w:cstheme="minorBidi"/>
        </w:rPr>
      </w:pPr>
      <w:r>
        <w:rPr>
          <w:rFonts w:hint="eastAsia" w:ascii="宋体" w:hAnsi="宋体" w:cstheme="minorBidi"/>
        </w:rPr>
        <w:t xml:space="preserve">备注1：从业人员、营业收入、资产总额填报上一年度数据，无上一年度数据的新成立企业可不填报。</w:t>
      </w:r>
      <w:r/>
    </w:p>
    <w:p>
      <w:pPr>
        <w:pStyle w:val="730"/>
        <w:ind w:firstLine="480"/>
        <w:jc w:val="both"/>
        <w:spacing w:beforeAutospacing="0" w:afterAutospacing="0" w:line="0" w:lineRule="atLeast"/>
        <w:rPr>
          <w:rFonts w:hint="eastAsia" w:ascii="宋体" w:hAnsi="宋体" w:cstheme="minorBidi"/>
        </w:rPr>
      </w:pPr>
      <w:r>
        <w:rPr>
          <w:rFonts w:hint="eastAsia" w:ascii="宋体" w:hAnsi="宋体" w:cstheme="minorBidi"/>
        </w:rPr>
        <w:t xml:space="preserve">备注2：供应商如不提供此声明函，价格将不做相应扣除（如项目全面面向中小企业，则资格审查不通过）。</w:t>
      </w:r>
      <w:r/>
    </w:p>
    <w:p>
      <w:pPr>
        <w:ind w:firstLine="645"/>
        <w:spacing w:line="560" w:lineRule="exact"/>
        <w:rPr>
          <w:rFonts w:hint="eastAsia" w:ascii="宋体" w:hAnsi="宋体"/>
          <w:sz w:val="24"/>
        </w:rPr>
      </w:pPr>
      <w:r>
        <w:rPr>
          <w:rFonts w:hint="eastAsia" w:ascii="宋体" w:hAnsi="宋体"/>
          <w:sz w:val="24"/>
        </w:rPr>
      </w:r>
      <w:r/>
    </w:p>
    <w:p>
      <w:pPr>
        <w:ind w:firstLine="645"/>
        <w:spacing w:line="560" w:lineRule="exact"/>
        <w:rPr>
          <w:rFonts w:hint="eastAsia" w:ascii="宋体" w:hAnsi="宋体"/>
          <w:sz w:val="24"/>
        </w:rPr>
      </w:pPr>
      <w:r>
        <w:rPr>
          <w:rFonts w:hint="eastAsia" w:ascii="宋体" w:hAnsi="宋体"/>
          <w:sz w:val="24"/>
        </w:rPr>
      </w:r>
      <w:bookmarkEnd w:id="202"/>
      <w:r/>
      <w:r/>
    </w:p>
    <w:p>
      <w:pPr>
        <w:ind w:firstLine="422"/>
        <w:spacing w:line="360" w:lineRule="auto"/>
        <w:rPr>
          <w:b/>
          <w:bCs/>
          <w:highlight w:val="yellow"/>
        </w:rPr>
      </w:pPr>
      <w:r>
        <w:rPr>
          <w:b/>
          <w:bCs/>
          <w:highlight w:val="yellow"/>
        </w:rPr>
      </w:r>
      <w:r/>
    </w:p>
    <w:p>
      <w:pPr>
        <w:pStyle w:val="732"/>
      </w:pPr>
      <w:r/>
      <w:r/>
    </w:p>
    <w:p>
      <w:pPr>
        <w:pStyle w:val="726"/>
      </w:pPr>
      <w:r/>
      <w:r/>
    </w:p>
    <w:p>
      <w:r/>
      <w:r/>
    </w:p>
    <w:p>
      <w:r/>
      <w:r/>
    </w:p>
    <w:p>
      <w:r/>
      <w:r/>
    </w:p>
    <w:p>
      <w:r/>
      <w:r/>
    </w:p>
    <w:p>
      <w:r/>
      <w:r/>
    </w:p>
    <w:p>
      <w:r/>
      <w:r/>
    </w:p>
    <w:p>
      <w:r/>
      <w:r/>
    </w:p>
    <w:p>
      <w:r/>
      <w:r/>
    </w:p>
    <w:p>
      <w:pPr>
        <w:pStyle w:val="730"/>
        <w:jc w:val="center"/>
        <w:spacing w:beforeAutospacing="0" w:afterAutospacing="0" w:line="360" w:lineRule="exact"/>
        <w:rPr>
          <w:rFonts w:hint="eastAsia" w:ascii="黑体" w:hAnsi="黑体" w:eastAsia="黑体" w:cs="Arial"/>
          <w:b/>
          <w:iCs/>
          <w:color w:val="000000"/>
          <w:sz w:val="32"/>
          <w:szCs w:val="32"/>
        </w:rPr>
      </w:pPr>
      <w:r>
        <w:rPr>
          <w:rFonts w:hint="eastAsia" w:ascii="黑体" w:hAnsi="黑体" w:eastAsia="黑体" w:cs="Arial"/>
          <w:b/>
          <w:iCs/>
          <w:color w:val="000000"/>
          <w:sz w:val="32"/>
          <w:szCs w:val="32"/>
        </w:rPr>
      </w:r>
      <w:r/>
    </w:p>
    <w:p>
      <w:pPr>
        <w:pStyle w:val="730"/>
        <w:jc w:val="center"/>
        <w:spacing w:beforeAutospacing="0" w:afterAutospacing="0" w:line="360" w:lineRule="exact"/>
        <w:rPr>
          <w:rFonts w:hint="eastAsia" w:ascii="黑体" w:hAnsi="黑体" w:eastAsia="黑体" w:cs="Arial"/>
          <w:b/>
          <w:iCs/>
          <w:color w:val="000000"/>
          <w:sz w:val="32"/>
          <w:szCs w:val="32"/>
        </w:rPr>
        <w:outlineLvl w:val="9"/>
      </w:pPr>
      <w:r>
        <w:rPr>
          <w:rFonts w:hint="eastAsia" w:ascii="黑体" w:hAnsi="黑体" w:eastAsia="黑体" w:cs="Arial"/>
          <w:b/>
          <w:iCs/>
          <w:color w:val="000000"/>
          <w:sz w:val="32"/>
          <w:szCs w:val="32"/>
        </w:rPr>
        <w:t xml:space="preserve">残疾人福利性单位声明函</w:t>
      </w:r>
      <w:r/>
    </w:p>
    <w:p>
      <w:pPr>
        <w:pStyle w:val="730"/>
        <w:jc w:val="center"/>
        <w:spacing w:beforeAutospacing="0" w:afterAutospacing="0" w:line="360" w:lineRule="exact"/>
        <w:rPr>
          <w:rFonts w:hint="eastAsia" w:ascii="黑体" w:hAnsi="黑体" w:eastAsia="黑体" w:cs="Arial"/>
          <w:b/>
          <w:iCs/>
          <w:color w:val="000000"/>
          <w:sz w:val="32"/>
          <w:szCs w:val="32"/>
        </w:rPr>
      </w:pPr>
      <w:r>
        <w:rPr>
          <w:rFonts w:hint="eastAsia" w:ascii="黑体" w:hAnsi="黑体" w:eastAsia="黑体" w:cs="Arial"/>
          <w:b/>
          <w:iCs/>
          <w:color w:val="000000"/>
          <w:sz w:val="32"/>
          <w:szCs w:val="32"/>
        </w:rPr>
      </w:r>
      <w:r/>
    </w:p>
    <w:p>
      <w:pPr>
        <w:pStyle w:val="730"/>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项目采购活动由本单位提供服务。</w:t>
      </w:r>
      <w:r/>
    </w:p>
    <w:p>
      <w:pPr>
        <w:pStyle w:val="730"/>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pStyle w:val="730"/>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30"/>
        <w:ind w:firstLine="480"/>
        <w:jc w:val="both"/>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备注：</w:t>
      </w:r>
      <w:r/>
    </w:p>
    <w:p>
      <w:pPr>
        <w:pStyle w:val="730"/>
        <w:ind w:firstLine="480"/>
        <w:jc w:val="both"/>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1、供应商如不提供此声明函，价格将不做相应扣除（如项目全面面向中小企业，则资格审查不通过）。</w:t>
      </w:r>
      <w:r/>
    </w:p>
    <w:p>
      <w:pPr>
        <w:pStyle w:val="730"/>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2、中标人为残疾人福利单位的，此声明函将随中标结果同时公告，接受社会监督。</w:t>
      </w:r>
      <w:r/>
    </w:p>
    <w:p>
      <w:pPr>
        <w:pStyle w:val="730"/>
        <w:ind w:firstLine="624"/>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30"/>
        <w:ind w:firstLine="624"/>
        <w:jc w:val="both"/>
        <w:spacing w:beforeAutospacing="0" w:afterAutospacing="0" w:line="0" w:lineRule="atLeast"/>
      </w:pPr>
      <w:r>
        <w:t xml:space="preserve"> </w:t>
      </w:r>
      <w:r/>
    </w:p>
    <w:p>
      <w:pPr>
        <w:pStyle w:val="730"/>
        <w:ind w:right="1560" w:firstLine="624"/>
        <w:jc w:val="center"/>
        <w:spacing w:beforeAutospacing="0" w:afterAutospacing="0" w:line="0" w:lineRule="atLeast"/>
        <w:tabs>
          <w:tab w:val="left" w:pos="4864" w:leader="none"/>
        </w:tabs>
      </w:pPr>
      <w:r>
        <w:rPr>
          <w:rFonts w:ascii="仿宋_GB2312" w:eastAsia="仿宋_GB2312" w:cs="仿宋_GB2312"/>
          <w:color w:val="000000"/>
          <w:sz w:val="30"/>
          <w:szCs w:val="30"/>
        </w:rPr>
        <w:t xml:space="preserve">            </w:t>
      </w:r>
      <w:r>
        <w:rPr>
          <w:rFonts w:hint="eastAsia" w:ascii="宋体" w:hAnsi="宋体" w:eastAsia="宋体" w:cs="宋体"/>
          <w:color w:val="000000"/>
        </w:rPr>
        <w:t xml:space="preserve">         供应商全称（加盖CA电子公章）：</w:t>
      </w:r>
      <w:r/>
    </w:p>
    <w:p>
      <w:pPr>
        <w:pStyle w:val="730"/>
        <w:ind w:right="1560" w:firstLine="480"/>
        <w:jc w:val="center"/>
        <w:spacing w:beforeAutospacing="0" w:afterAutospacing="0" w:line="0" w:lineRule="atLeast"/>
        <w:tabs>
          <w:tab w:val="left" w:pos="4864" w:leader="none"/>
        </w:tabs>
      </w:pPr>
      <w:r>
        <w:rPr>
          <w:rFonts w:hint="eastAsia" w:ascii="宋体" w:hAnsi="宋体" w:eastAsia="宋体" w:cs="宋体"/>
          <w:color w:val="000000"/>
        </w:rPr>
        <w:t xml:space="preserve">                                         日  期：</w:t>
      </w:r>
      <w:r/>
    </w:p>
    <w:p>
      <w:pPr>
        <w:pStyle w:val="730"/>
        <w:jc w:val="center"/>
        <w:spacing w:beforeAutospacing="0" w:afterAutospacing="0" w:line="0" w:lineRule="atLeast"/>
      </w:pPr>
      <w:r>
        <w:t xml:space="preserve"> </w:t>
      </w:r>
      <w:r/>
    </w:p>
    <w:p>
      <w:pPr>
        <w:pStyle w:val="730"/>
        <w:jc w:val="center"/>
        <w:spacing w:beforeAutospacing="0" w:afterAutospacing="0" w:line="0" w:lineRule="atLeast"/>
      </w:pPr>
      <w:r>
        <w:t xml:space="preserve"> </w:t>
      </w:r>
      <w:r/>
    </w:p>
    <w:p>
      <w:pPr>
        <w:pStyle w:val="730"/>
        <w:jc w:val="center"/>
        <w:spacing w:beforeAutospacing="0" w:afterAutospacing="0" w:line="360" w:lineRule="exact"/>
        <w:rPr>
          <w:rFonts w:hint="eastAsia" w:ascii="黑体" w:hAnsi="黑体" w:eastAsia="黑体" w:cs="Arial"/>
          <w:b/>
          <w:iCs/>
          <w:color w:val="000000"/>
          <w:sz w:val="32"/>
          <w:szCs w:val="32"/>
        </w:rPr>
      </w:pPr>
      <w:r>
        <w:rPr>
          <w:rFonts w:hint="eastAsia" w:ascii="黑体" w:hAnsi="黑体" w:eastAsia="黑体" w:cs="Arial"/>
          <w:b/>
          <w:iCs/>
          <w:color w:val="000000"/>
          <w:sz w:val="32"/>
          <w:szCs w:val="32"/>
        </w:rPr>
      </w:r>
      <w:r/>
    </w:p>
    <w:p>
      <w:pPr>
        <w:pStyle w:val="730"/>
        <w:jc w:val="center"/>
        <w:spacing w:beforeAutospacing="0" w:afterAutospacing="0" w:line="360" w:lineRule="exact"/>
        <w:rPr>
          <w:rFonts w:hint="eastAsia" w:ascii="黑体" w:hAnsi="黑体" w:eastAsia="黑体" w:cs="Arial"/>
          <w:b/>
          <w:iCs/>
          <w:color w:val="000000"/>
          <w:sz w:val="32"/>
          <w:szCs w:val="32"/>
        </w:rPr>
      </w:pPr>
      <w:r>
        <w:rPr>
          <w:rFonts w:hint="eastAsia" w:ascii="黑体" w:hAnsi="黑体" w:eastAsia="黑体" w:cs="Arial"/>
          <w:b/>
          <w:iCs/>
          <w:color w:val="000000"/>
          <w:sz w:val="32"/>
          <w:szCs w:val="32"/>
        </w:rPr>
      </w:r>
      <w:r/>
    </w:p>
    <w:p>
      <w:pPr>
        <w:pStyle w:val="730"/>
        <w:jc w:val="center"/>
        <w:spacing w:beforeAutospacing="0" w:afterAutospacing="0" w:line="360" w:lineRule="exact"/>
        <w:rPr>
          <w:rFonts w:hint="eastAsia" w:ascii="黑体" w:hAnsi="黑体" w:eastAsia="黑体" w:cs="Arial"/>
          <w:b/>
          <w:iCs/>
          <w:color w:val="000000"/>
          <w:sz w:val="32"/>
          <w:szCs w:val="32"/>
        </w:rPr>
      </w:pPr>
      <w:r>
        <w:rPr>
          <w:rFonts w:hint="eastAsia" w:ascii="黑体" w:hAnsi="黑体" w:eastAsia="黑体" w:cs="Arial"/>
          <w:b/>
          <w:iCs/>
          <w:color w:val="000000"/>
          <w:sz w:val="32"/>
          <w:szCs w:val="32"/>
        </w:rPr>
      </w:r>
      <w:r/>
    </w:p>
    <w:p>
      <w:pPr>
        <w:pStyle w:val="730"/>
        <w:jc w:val="center"/>
        <w:spacing w:beforeAutospacing="0" w:afterAutospacing="0" w:line="360" w:lineRule="exact"/>
        <w:rPr>
          <w:rFonts w:hint="eastAsia" w:ascii="黑体" w:hAnsi="黑体" w:eastAsia="黑体" w:cs="Arial"/>
          <w:b/>
          <w:iCs/>
          <w:color w:val="000000"/>
          <w:sz w:val="32"/>
          <w:szCs w:val="32"/>
        </w:rPr>
      </w:pPr>
      <w:r>
        <w:rPr>
          <w:rFonts w:hint="eastAsia" w:ascii="黑体" w:hAnsi="黑体" w:eastAsia="黑体" w:cs="Arial"/>
          <w:b/>
          <w:iCs/>
          <w:color w:val="000000"/>
          <w:sz w:val="32"/>
          <w:szCs w:val="32"/>
        </w:rPr>
      </w:r>
      <w:r/>
    </w:p>
    <w:p>
      <w:pPr>
        <w:pStyle w:val="730"/>
        <w:jc w:val="center"/>
        <w:spacing w:beforeAutospacing="0" w:afterAutospacing="0" w:line="360" w:lineRule="exact"/>
        <w:rPr>
          <w:rFonts w:hint="eastAsia" w:ascii="黑体" w:hAnsi="黑体" w:eastAsia="黑体" w:cs="Arial"/>
          <w:b/>
          <w:iCs/>
          <w:color w:val="000000"/>
          <w:sz w:val="32"/>
          <w:szCs w:val="32"/>
        </w:rPr>
      </w:pPr>
      <w:r>
        <w:rPr>
          <w:rFonts w:hint="eastAsia" w:ascii="黑体" w:hAnsi="黑体" w:eastAsia="黑体" w:cs="Arial"/>
          <w:b/>
          <w:iCs/>
          <w:color w:val="000000"/>
          <w:sz w:val="32"/>
          <w:szCs w:val="32"/>
        </w:rPr>
      </w:r>
      <w:r/>
    </w:p>
    <w:p>
      <w:pPr>
        <w:pStyle w:val="730"/>
        <w:jc w:val="center"/>
        <w:spacing w:beforeAutospacing="0" w:afterAutospacing="0" w:line="360" w:lineRule="exact"/>
        <w:rPr>
          <w:rFonts w:hint="eastAsia" w:ascii="黑体" w:hAnsi="黑体" w:eastAsia="黑体" w:cs="Arial"/>
          <w:b/>
          <w:iCs/>
          <w:color w:val="000000"/>
          <w:sz w:val="32"/>
          <w:szCs w:val="32"/>
        </w:rPr>
      </w:pPr>
      <w:r>
        <w:rPr>
          <w:rFonts w:hint="eastAsia" w:ascii="黑体" w:hAnsi="黑体" w:eastAsia="黑体" w:cs="Arial"/>
          <w:b/>
          <w:iCs/>
          <w:color w:val="000000"/>
          <w:sz w:val="32"/>
          <w:szCs w:val="32"/>
        </w:rPr>
      </w:r>
      <w:r/>
    </w:p>
    <w:p>
      <w:pPr>
        <w:pStyle w:val="730"/>
        <w:jc w:val="center"/>
        <w:spacing w:beforeAutospacing="0" w:afterAutospacing="0" w:line="360" w:lineRule="exact"/>
        <w:rPr>
          <w:rFonts w:hint="eastAsia" w:ascii="黑体" w:hAnsi="黑体" w:eastAsia="黑体" w:cs="Arial"/>
          <w:b/>
          <w:iCs/>
          <w:color w:val="000000"/>
          <w:sz w:val="32"/>
          <w:szCs w:val="32"/>
        </w:rPr>
      </w:pPr>
      <w:r>
        <w:rPr>
          <w:rFonts w:hint="eastAsia" w:ascii="黑体" w:hAnsi="黑体" w:eastAsia="黑体" w:cs="Arial"/>
          <w:b/>
          <w:iCs/>
          <w:color w:val="000000"/>
          <w:sz w:val="32"/>
          <w:szCs w:val="32"/>
        </w:rPr>
      </w:r>
      <w:r/>
    </w:p>
    <w:p>
      <w:pPr>
        <w:pStyle w:val="730"/>
        <w:jc w:val="center"/>
        <w:spacing w:beforeAutospacing="0" w:afterAutospacing="0" w:line="360" w:lineRule="exact"/>
        <w:rPr>
          <w:rFonts w:hint="eastAsia" w:ascii="黑体" w:hAnsi="黑体" w:eastAsia="黑体" w:cs="Arial"/>
          <w:b/>
          <w:iCs/>
          <w:color w:val="000000"/>
          <w:sz w:val="32"/>
          <w:szCs w:val="32"/>
        </w:rPr>
      </w:pPr>
      <w:r>
        <w:rPr>
          <w:rFonts w:hint="eastAsia" w:ascii="黑体" w:hAnsi="黑体" w:eastAsia="黑体" w:cs="Arial"/>
          <w:b/>
          <w:iCs/>
          <w:color w:val="000000"/>
          <w:sz w:val="32"/>
          <w:szCs w:val="32"/>
        </w:rPr>
      </w:r>
      <w:r/>
    </w:p>
    <w:p>
      <w:pPr>
        <w:pStyle w:val="730"/>
        <w:jc w:val="center"/>
        <w:spacing w:beforeAutospacing="0" w:afterAutospacing="0" w:line="360" w:lineRule="exact"/>
        <w:rPr>
          <w:rFonts w:hint="eastAsia" w:ascii="黑体" w:hAnsi="黑体" w:eastAsia="黑体" w:cs="Arial"/>
          <w:b/>
          <w:iCs/>
          <w:color w:val="000000"/>
          <w:sz w:val="32"/>
          <w:szCs w:val="32"/>
        </w:rPr>
      </w:pPr>
      <w:r>
        <w:rPr>
          <w:rFonts w:hint="eastAsia" w:ascii="黑体" w:hAnsi="黑体" w:eastAsia="黑体" w:cs="Arial"/>
          <w:b/>
          <w:iCs/>
          <w:color w:val="000000"/>
          <w:sz w:val="32"/>
          <w:szCs w:val="32"/>
        </w:rPr>
      </w:r>
      <w:r/>
    </w:p>
    <w:p>
      <w:pPr>
        <w:pStyle w:val="730"/>
        <w:jc w:val="center"/>
        <w:spacing w:beforeAutospacing="0" w:afterAutospacing="0" w:line="360" w:lineRule="exact"/>
        <w:rPr>
          <w:rFonts w:hint="eastAsia" w:ascii="黑体" w:hAnsi="黑体" w:eastAsia="黑体" w:cs="Arial"/>
          <w:b/>
          <w:iCs/>
          <w:color w:val="000000"/>
          <w:sz w:val="32"/>
          <w:szCs w:val="32"/>
        </w:rPr>
      </w:pPr>
      <w:r>
        <w:rPr>
          <w:rFonts w:hint="eastAsia" w:ascii="黑体" w:hAnsi="黑体" w:eastAsia="黑体" w:cs="Arial"/>
          <w:b/>
          <w:iCs/>
          <w:color w:val="000000"/>
          <w:sz w:val="32"/>
          <w:szCs w:val="32"/>
        </w:rPr>
      </w:r>
      <w:r/>
    </w:p>
    <w:p>
      <w:pPr>
        <w:pStyle w:val="730"/>
        <w:jc w:val="center"/>
        <w:spacing w:beforeAutospacing="0" w:afterAutospacing="0" w:line="360" w:lineRule="exact"/>
        <w:rPr>
          <w:rFonts w:hint="eastAsia" w:ascii="黑体" w:hAnsi="黑体" w:eastAsia="黑体" w:cs="Arial"/>
          <w:b/>
          <w:iCs/>
          <w:color w:val="000000"/>
          <w:sz w:val="32"/>
          <w:szCs w:val="32"/>
        </w:rPr>
      </w:pPr>
      <w:r>
        <w:rPr>
          <w:rFonts w:hint="eastAsia" w:ascii="黑体" w:hAnsi="黑体" w:eastAsia="黑体" w:cs="Arial"/>
          <w:b/>
          <w:iCs/>
          <w:color w:val="000000"/>
          <w:sz w:val="32"/>
          <w:szCs w:val="32"/>
        </w:rPr>
      </w:r>
      <w:r/>
    </w:p>
    <w:p>
      <w:pPr>
        <w:pStyle w:val="730"/>
        <w:jc w:val="center"/>
        <w:spacing w:beforeAutospacing="0" w:afterAutospacing="0" w:line="0" w:lineRule="atLeast"/>
      </w:pPr>
      <w:r/>
      <w:r/>
    </w:p>
    <w:p>
      <w:pPr>
        <w:pStyle w:val="730"/>
        <w:jc w:val="center"/>
        <w:spacing w:beforeAutospacing="0" w:afterAutospacing="0" w:line="0" w:lineRule="atLeast"/>
      </w:pPr>
      <w:r/>
      <w:r/>
    </w:p>
    <w:p>
      <w:pPr>
        <w:pStyle w:val="730"/>
        <w:jc w:val="center"/>
        <w:spacing w:beforeAutospacing="0" w:afterAutospacing="0" w:line="0" w:lineRule="atLeast"/>
      </w:pPr>
      <w:r/>
      <w:r/>
    </w:p>
    <w:p>
      <w:pPr>
        <w:pStyle w:val="730"/>
        <w:jc w:val="center"/>
        <w:spacing w:beforeAutospacing="0" w:afterAutospacing="0" w:line="0" w:lineRule="atLeast"/>
      </w:pPr>
      <w:r/>
      <w:r/>
    </w:p>
    <w:p>
      <w:pPr>
        <w:pStyle w:val="730"/>
        <w:jc w:val="center"/>
        <w:spacing w:beforeAutospacing="0" w:afterAutospacing="0" w:line="0" w:lineRule="atLeast"/>
      </w:pPr>
      <w:r/>
      <w:r/>
    </w:p>
    <w:p>
      <w:pPr>
        <w:pStyle w:val="730"/>
        <w:jc w:val="center"/>
        <w:spacing w:beforeAutospacing="0" w:afterAutospacing="0" w:line="0" w:lineRule="atLeast"/>
      </w:pPr>
      <w:r/>
      <w:r/>
    </w:p>
    <w:p>
      <w:pPr>
        <w:pStyle w:val="730"/>
        <w:jc w:val="center"/>
        <w:spacing w:beforeAutospacing="0" w:afterAutospacing="0" w:line="0" w:lineRule="atLeast"/>
      </w:pPr>
      <w:r/>
      <w:r/>
    </w:p>
    <w:p>
      <w:pPr>
        <w:pStyle w:val="730"/>
        <w:jc w:val="center"/>
        <w:spacing w:beforeAutospacing="0" w:afterAutospacing="0" w:line="0" w:lineRule="atLeast"/>
      </w:pPr>
      <w:r/>
      <w:r/>
    </w:p>
    <w:p>
      <w:pPr>
        <w:pStyle w:val="730"/>
        <w:jc w:val="both"/>
        <w:spacing w:beforeAutospacing="0" w:afterAutospacing="0" w:line="0" w:lineRule="atLeast"/>
      </w:pPr>
      <w:r>
        <w:t xml:space="preserve"> </w:t>
      </w:r>
      <w:r/>
    </w:p>
    <w:p>
      <w:pPr>
        <w:pStyle w:val="730"/>
        <w:jc w:val="center"/>
        <w:spacing w:beforeAutospacing="0" w:afterAutospacing="0" w:line="0" w:lineRule="atLeast"/>
        <w:rPr>
          <w:rFonts w:hint="eastAsia" w:ascii="黑体" w:hAnsi="黑体" w:eastAsia="黑体"/>
          <w:b/>
          <w:color w:val="000000"/>
          <w:sz w:val="32"/>
          <w:szCs w:val="32"/>
        </w:rPr>
        <w:outlineLvl w:val="0"/>
      </w:pPr>
      <w:r>
        <w:t xml:space="preserve"> </w:t>
      </w:r>
      <w:bookmarkStart w:id="203" w:name="_Toc7659"/>
      <w:r>
        <w:rPr>
          <w:rFonts w:hint="eastAsia" w:ascii="黑体" w:hAnsi="黑体" w:eastAsia="黑体"/>
          <w:b/>
          <w:color w:val="000000"/>
          <w:sz w:val="32"/>
          <w:szCs w:val="32"/>
        </w:rPr>
        <w:t xml:space="preserve">十一、投标分项报价表</w:t>
      </w:r>
      <w:bookmarkEnd w:id="203"/>
      <w:r/>
      <w:r/>
    </w:p>
    <w:p>
      <w:pPr>
        <w:ind w:firstLine="210"/>
        <w:rPr>
          <w:rFonts w:cs="宋体"/>
          <w:szCs w:val="28"/>
          <w:lang w:val="zh-CN"/>
        </w:rPr>
      </w:pPr>
      <w:r>
        <w:rPr>
          <w:rFonts w:cs="宋体"/>
          <w:szCs w:val="28"/>
          <w:lang w:val="zh-CN"/>
        </w:rPr>
      </w:r>
      <w:r/>
    </w:p>
    <w:tbl>
      <w:tblPr>
        <w:tblStyle w:val="707"/>
        <w:tblW w:w="96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7"/>
        <w:gridCol w:w="2772"/>
        <w:gridCol w:w="998"/>
        <w:gridCol w:w="1223"/>
        <w:gridCol w:w="1223"/>
        <w:gridCol w:w="1396"/>
        <w:gridCol w:w="124"/>
        <w:gridCol w:w="1099"/>
      </w:tblGrid>
      <w:tr>
        <w:trPr>
          <w:jc w:val="center"/>
        </w:trPr>
        <w:tc>
          <w:tcPr>
            <w:tcW w:w="797" w:type="dxa"/>
            <w:vAlign w:val="center"/>
            <w:textDirection w:val="lrTb"/>
            <w:noWrap w:val="false"/>
          </w:tcPr>
          <w:p>
            <w:pPr>
              <w:jc w:val="center"/>
              <w:spacing w:line="360" w:lineRule="auto"/>
              <w:shd w:val="clear" w:color="auto" w:fill="auto"/>
              <w:rPr>
                <w:szCs w:val="21"/>
                <w:highlight w:val="none"/>
              </w:rPr>
            </w:pPr>
            <w:r>
              <w:rPr>
                <w:szCs w:val="21"/>
                <w:highlight w:val="none"/>
              </w:rPr>
              <w:t xml:space="preserve">序号</w:t>
            </w:r>
            <w:r/>
          </w:p>
        </w:tc>
        <w:tc>
          <w:tcPr>
            <w:tcW w:w="2772" w:type="dxa"/>
            <w:vAlign w:val="center"/>
            <w:textDirection w:val="lrTb"/>
            <w:noWrap w:val="false"/>
          </w:tcPr>
          <w:p>
            <w:pPr>
              <w:jc w:val="center"/>
              <w:spacing w:line="360" w:lineRule="auto"/>
              <w:shd w:val="clear" w:color="auto" w:fill="auto"/>
              <w:rPr>
                <w:szCs w:val="21"/>
                <w:highlight w:val="none"/>
              </w:rPr>
            </w:pPr>
            <w:r>
              <w:rPr>
                <w:rFonts w:hint="eastAsia"/>
                <w:szCs w:val="21"/>
                <w:highlight w:val="none"/>
                <w:lang w:val="en-US" w:eastAsia="zh-CN"/>
              </w:rPr>
              <w:t xml:space="preserve">项目</w:t>
            </w:r>
            <w:r>
              <w:rPr>
                <w:szCs w:val="21"/>
                <w:highlight w:val="none"/>
              </w:rPr>
              <w:t xml:space="preserve">名称</w:t>
            </w:r>
            <w:r/>
          </w:p>
        </w:tc>
        <w:tc>
          <w:tcPr>
            <w:tcW w:w="998" w:type="dxa"/>
            <w:vAlign w:val="center"/>
            <w:textDirection w:val="lrTb"/>
            <w:noWrap w:val="false"/>
          </w:tcPr>
          <w:p>
            <w:pPr>
              <w:jc w:val="center"/>
              <w:spacing w:line="360" w:lineRule="auto"/>
              <w:shd w:val="clear" w:color="auto" w:fill="auto"/>
              <w:rPr>
                <w:szCs w:val="21"/>
                <w:highlight w:val="none"/>
              </w:rPr>
            </w:pPr>
            <w:r>
              <w:rPr>
                <w:rFonts w:hint="eastAsia"/>
                <w:szCs w:val="21"/>
                <w:highlight w:val="none"/>
              </w:rPr>
              <w:t xml:space="preserve">数量</w:t>
            </w:r>
            <w:r/>
          </w:p>
        </w:tc>
        <w:tc>
          <w:tcPr>
            <w:tcW w:w="1223" w:type="dxa"/>
            <w:vAlign w:val="center"/>
            <w:textDirection w:val="lrTb"/>
            <w:noWrap w:val="false"/>
          </w:tcPr>
          <w:p>
            <w:pPr>
              <w:jc w:val="center"/>
              <w:spacing w:line="360" w:lineRule="auto"/>
              <w:shd w:val="clear" w:color="auto" w:fill="auto"/>
              <w:rPr>
                <w:rFonts w:hint="eastAsia" w:eastAsiaTheme="minorEastAsia"/>
                <w:szCs w:val="21"/>
                <w:highlight w:val="none"/>
                <w:lang w:val="en-US" w:eastAsia="zh-CN"/>
              </w:rPr>
            </w:pPr>
            <w:r>
              <w:rPr>
                <w:rFonts w:hint="eastAsia"/>
                <w:szCs w:val="21"/>
                <w:highlight w:val="none"/>
                <w:lang w:val="en-US" w:eastAsia="zh-CN"/>
              </w:rPr>
              <w:t xml:space="preserve">单位</w:t>
            </w:r>
            <w:r/>
          </w:p>
        </w:tc>
        <w:tc>
          <w:tcPr>
            <w:tcW w:w="1223" w:type="dxa"/>
            <w:vAlign w:val="center"/>
            <w:textDirection w:val="lrTb"/>
            <w:noWrap w:val="false"/>
          </w:tcPr>
          <w:p>
            <w:pPr>
              <w:jc w:val="center"/>
              <w:spacing w:line="360" w:lineRule="auto"/>
              <w:shd w:val="clear" w:color="auto" w:fill="auto"/>
              <w:rPr>
                <w:rFonts w:hint="eastAsia"/>
                <w:szCs w:val="21"/>
                <w:highlight w:val="none"/>
              </w:rPr>
            </w:pPr>
            <w:r>
              <w:rPr>
                <w:szCs w:val="21"/>
                <w:highlight w:val="none"/>
              </w:rPr>
              <w:t xml:space="preserve">单</w:t>
            </w:r>
            <w:r>
              <w:rPr>
                <w:rFonts w:hint="eastAsia"/>
                <w:szCs w:val="21"/>
                <w:highlight w:val="none"/>
              </w:rPr>
              <w:t xml:space="preserve">价</w:t>
            </w:r>
            <w:r/>
          </w:p>
        </w:tc>
        <w:tc>
          <w:tcPr>
            <w:gridSpan w:val="2"/>
            <w:tcW w:w="1520" w:type="dxa"/>
            <w:vAlign w:val="center"/>
            <w:textDirection w:val="lrTb"/>
            <w:noWrap w:val="false"/>
          </w:tcPr>
          <w:p>
            <w:pPr>
              <w:jc w:val="center"/>
              <w:spacing w:line="360" w:lineRule="auto"/>
              <w:shd w:val="clear" w:color="auto" w:fill="auto"/>
              <w:rPr>
                <w:szCs w:val="21"/>
                <w:highlight w:val="none"/>
              </w:rPr>
            </w:pPr>
            <w:r>
              <w:rPr>
                <w:szCs w:val="21"/>
                <w:highlight w:val="none"/>
              </w:rPr>
              <w:t xml:space="preserve">总价</w:t>
            </w:r>
            <w:r/>
          </w:p>
        </w:tc>
        <w:tc>
          <w:tcPr>
            <w:tcW w:w="1099" w:type="dxa"/>
            <w:vAlign w:val="center"/>
            <w:textDirection w:val="lrTb"/>
            <w:noWrap w:val="false"/>
          </w:tcPr>
          <w:p>
            <w:pPr>
              <w:jc w:val="center"/>
              <w:spacing w:line="360" w:lineRule="auto"/>
              <w:shd w:val="clear" w:color="auto" w:fill="auto"/>
              <w:rPr>
                <w:szCs w:val="21"/>
                <w:highlight w:val="none"/>
              </w:rPr>
            </w:pPr>
            <w:r>
              <w:rPr>
                <w:szCs w:val="21"/>
                <w:highlight w:val="none"/>
              </w:rPr>
              <w:t xml:space="preserve">备注</w:t>
            </w:r>
            <w:r/>
          </w:p>
        </w:tc>
      </w:tr>
      <w:tr>
        <w:trPr>
          <w:jc w:val="center"/>
        </w:trPr>
        <w:tc>
          <w:tcPr>
            <w:tcW w:w="797" w:type="dxa"/>
            <w:vAlign w:val="top"/>
            <w:textDirection w:val="lrTb"/>
            <w:noWrap w:val="false"/>
          </w:tcPr>
          <w:p>
            <w:pPr>
              <w:jc w:val="center"/>
              <w:spacing w:line="360" w:lineRule="auto"/>
              <w:shd w:val="clear" w:color="auto" w:fill="auto"/>
              <w:rPr>
                <w:szCs w:val="21"/>
                <w:highlight w:val="none"/>
              </w:rPr>
            </w:pPr>
            <w:r>
              <w:rPr>
                <w:szCs w:val="21"/>
                <w:highlight w:val="none"/>
              </w:rPr>
              <w:t xml:space="preserve">1</w:t>
            </w:r>
            <w:r/>
          </w:p>
        </w:tc>
        <w:tc>
          <w:tcPr>
            <w:tcW w:w="2772" w:type="dxa"/>
            <w:vAlign w:val="top"/>
            <w:textDirection w:val="lrTb"/>
            <w:noWrap w:val="false"/>
          </w:tcPr>
          <w:p>
            <w:pPr>
              <w:spacing w:line="360" w:lineRule="auto"/>
              <w:shd w:val="clear" w:color="auto" w:fill="auto"/>
              <w:rPr>
                <w:szCs w:val="21"/>
                <w:highlight w:val="none"/>
              </w:rPr>
            </w:pPr>
            <w:r>
              <w:rPr>
                <w:szCs w:val="21"/>
                <w:highlight w:val="none"/>
              </w:rPr>
            </w:r>
            <w:r/>
          </w:p>
        </w:tc>
        <w:tc>
          <w:tcPr>
            <w:tcW w:w="998" w:type="dxa"/>
            <w:vAlign w:val="top"/>
            <w:textDirection w:val="lrTb"/>
            <w:noWrap w:val="false"/>
          </w:tcPr>
          <w:p>
            <w:pPr>
              <w:spacing w:line="360" w:lineRule="auto"/>
              <w:shd w:val="clear" w:color="auto" w:fill="auto"/>
              <w:rPr>
                <w:szCs w:val="21"/>
                <w:highlight w:val="none"/>
              </w:rPr>
            </w:pPr>
            <w:r>
              <w:rPr>
                <w:szCs w:val="21"/>
                <w:highlight w:val="none"/>
              </w:rPr>
            </w:r>
            <w:r/>
          </w:p>
        </w:tc>
        <w:tc>
          <w:tcPr>
            <w:tcW w:w="1223" w:type="dxa"/>
            <w:vAlign w:val="top"/>
            <w:textDirection w:val="lrTb"/>
            <w:noWrap w:val="false"/>
          </w:tcPr>
          <w:p>
            <w:pPr>
              <w:spacing w:line="360" w:lineRule="auto"/>
              <w:shd w:val="clear" w:color="auto" w:fill="auto"/>
              <w:rPr>
                <w:szCs w:val="21"/>
                <w:highlight w:val="none"/>
              </w:rPr>
            </w:pPr>
            <w:r>
              <w:rPr>
                <w:szCs w:val="21"/>
                <w:highlight w:val="none"/>
              </w:rPr>
            </w:r>
            <w:r/>
          </w:p>
        </w:tc>
        <w:tc>
          <w:tcPr>
            <w:tcW w:w="1223" w:type="dxa"/>
            <w:vAlign w:val="top"/>
            <w:textDirection w:val="lrTb"/>
            <w:noWrap w:val="false"/>
          </w:tcPr>
          <w:p>
            <w:pPr>
              <w:spacing w:line="360" w:lineRule="auto"/>
              <w:shd w:val="clear" w:color="auto" w:fill="auto"/>
              <w:rPr>
                <w:szCs w:val="21"/>
                <w:highlight w:val="none"/>
              </w:rPr>
            </w:pPr>
            <w:r>
              <w:rPr>
                <w:szCs w:val="21"/>
                <w:highlight w:val="none"/>
              </w:rPr>
            </w:r>
            <w:r/>
          </w:p>
        </w:tc>
        <w:tc>
          <w:tcPr>
            <w:gridSpan w:val="2"/>
            <w:tcW w:w="1520" w:type="dxa"/>
            <w:vAlign w:val="top"/>
            <w:textDirection w:val="lrTb"/>
            <w:noWrap w:val="false"/>
          </w:tcPr>
          <w:p>
            <w:pPr>
              <w:spacing w:line="360" w:lineRule="auto"/>
              <w:shd w:val="clear" w:color="auto" w:fill="auto"/>
              <w:rPr>
                <w:szCs w:val="21"/>
                <w:highlight w:val="none"/>
              </w:rPr>
            </w:pPr>
            <w:r>
              <w:rPr>
                <w:szCs w:val="21"/>
                <w:highlight w:val="none"/>
              </w:rPr>
            </w:r>
            <w:r/>
          </w:p>
        </w:tc>
        <w:tc>
          <w:tcPr>
            <w:tcW w:w="1099" w:type="dxa"/>
            <w:vAlign w:val="top"/>
            <w:textDirection w:val="lrTb"/>
            <w:noWrap w:val="false"/>
          </w:tcPr>
          <w:p>
            <w:pPr>
              <w:spacing w:line="360" w:lineRule="auto"/>
              <w:shd w:val="clear" w:color="auto" w:fill="auto"/>
              <w:rPr>
                <w:szCs w:val="21"/>
                <w:highlight w:val="none"/>
              </w:rPr>
            </w:pPr>
            <w:r>
              <w:rPr>
                <w:szCs w:val="21"/>
                <w:highlight w:val="none"/>
              </w:rPr>
            </w:r>
            <w:r/>
          </w:p>
        </w:tc>
      </w:tr>
      <w:tr>
        <w:trPr>
          <w:jc w:val="center"/>
        </w:trPr>
        <w:tc>
          <w:tcPr>
            <w:tcW w:w="797" w:type="dxa"/>
            <w:vAlign w:val="top"/>
            <w:textDirection w:val="lrTb"/>
            <w:noWrap w:val="false"/>
          </w:tcPr>
          <w:p>
            <w:pPr>
              <w:jc w:val="center"/>
              <w:spacing w:line="360" w:lineRule="auto"/>
              <w:shd w:val="clear" w:color="auto" w:fill="auto"/>
              <w:rPr>
                <w:szCs w:val="21"/>
                <w:highlight w:val="none"/>
              </w:rPr>
            </w:pPr>
            <w:r>
              <w:rPr>
                <w:szCs w:val="21"/>
                <w:highlight w:val="none"/>
              </w:rPr>
              <w:t xml:space="preserve">2</w:t>
            </w:r>
            <w:r/>
          </w:p>
        </w:tc>
        <w:tc>
          <w:tcPr>
            <w:tcW w:w="2772" w:type="dxa"/>
            <w:vAlign w:val="top"/>
            <w:textDirection w:val="lrTb"/>
            <w:noWrap w:val="false"/>
          </w:tcPr>
          <w:p>
            <w:pPr>
              <w:spacing w:line="360" w:lineRule="auto"/>
              <w:shd w:val="clear" w:color="auto" w:fill="auto"/>
              <w:rPr>
                <w:szCs w:val="21"/>
                <w:highlight w:val="none"/>
              </w:rPr>
            </w:pPr>
            <w:r>
              <w:rPr>
                <w:szCs w:val="21"/>
                <w:highlight w:val="none"/>
              </w:rPr>
            </w:r>
            <w:r/>
          </w:p>
        </w:tc>
        <w:tc>
          <w:tcPr>
            <w:tcW w:w="998" w:type="dxa"/>
            <w:vAlign w:val="top"/>
            <w:textDirection w:val="lrTb"/>
            <w:noWrap w:val="false"/>
          </w:tcPr>
          <w:p>
            <w:pPr>
              <w:spacing w:line="360" w:lineRule="auto"/>
              <w:shd w:val="clear" w:color="auto" w:fill="auto"/>
              <w:rPr>
                <w:szCs w:val="21"/>
                <w:highlight w:val="none"/>
              </w:rPr>
            </w:pPr>
            <w:r>
              <w:rPr>
                <w:szCs w:val="21"/>
                <w:highlight w:val="none"/>
              </w:rPr>
            </w:r>
            <w:r/>
          </w:p>
        </w:tc>
        <w:tc>
          <w:tcPr>
            <w:tcW w:w="1223" w:type="dxa"/>
            <w:vAlign w:val="top"/>
            <w:textDirection w:val="lrTb"/>
            <w:noWrap w:val="false"/>
          </w:tcPr>
          <w:p>
            <w:pPr>
              <w:spacing w:line="360" w:lineRule="auto"/>
              <w:shd w:val="clear" w:color="auto" w:fill="auto"/>
              <w:rPr>
                <w:szCs w:val="21"/>
                <w:highlight w:val="none"/>
              </w:rPr>
            </w:pPr>
            <w:r>
              <w:rPr>
                <w:szCs w:val="21"/>
                <w:highlight w:val="none"/>
              </w:rPr>
            </w:r>
            <w:r/>
          </w:p>
        </w:tc>
        <w:tc>
          <w:tcPr>
            <w:tcW w:w="1223" w:type="dxa"/>
            <w:vAlign w:val="top"/>
            <w:textDirection w:val="lrTb"/>
            <w:noWrap w:val="false"/>
          </w:tcPr>
          <w:p>
            <w:pPr>
              <w:spacing w:line="360" w:lineRule="auto"/>
              <w:shd w:val="clear" w:color="auto" w:fill="auto"/>
              <w:rPr>
                <w:szCs w:val="21"/>
                <w:highlight w:val="none"/>
              </w:rPr>
            </w:pPr>
            <w:r>
              <w:rPr>
                <w:szCs w:val="21"/>
                <w:highlight w:val="none"/>
              </w:rPr>
            </w:r>
            <w:r/>
          </w:p>
        </w:tc>
        <w:tc>
          <w:tcPr>
            <w:gridSpan w:val="2"/>
            <w:tcW w:w="1520" w:type="dxa"/>
            <w:vAlign w:val="top"/>
            <w:textDirection w:val="lrTb"/>
            <w:noWrap w:val="false"/>
          </w:tcPr>
          <w:p>
            <w:pPr>
              <w:spacing w:line="360" w:lineRule="auto"/>
              <w:shd w:val="clear" w:color="auto" w:fill="auto"/>
              <w:rPr>
                <w:szCs w:val="21"/>
                <w:highlight w:val="none"/>
              </w:rPr>
            </w:pPr>
            <w:r>
              <w:rPr>
                <w:szCs w:val="21"/>
                <w:highlight w:val="none"/>
              </w:rPr>
            </w:r>
            <w:r/>
          </w:p>
        </w:tc>
        <w:tc>
          <w:tcPr>
            <w:tcW w:w="1099" w:type="dxa"/>
            <w:vAlign w:val="top"/>
            <w:textDirection w:val="lrTb"/>
            <w:noWrap w:val="false"/>
          </w:tcPr>
          <w:p>
            <w:pPr>
              <w:spacing w:line="360" w:lineRule="auto"/>
              <w:shd w:val="clear" w:color="auto" w:fill="auto"/>
              <w:rPr>
                <w:szCs w:val="21"/>
                <w:highlight w:val="none"/>
              </w:rPr>
            </w:pPr>
            <w:r>
              <w:rPr>
                <w:szCs w:val="21"/>
                <w:highlight w:val="none"/>
              </w:rPr>
            </w:r>
            <w:r/>
          </w:p>
        </w:tc>
      </w:tr>
      <w:tr>
        <w:trPr>
          <w:jc w:val="center"/>
        </w:trPr>
        <w:tc>
          <w:tcPr>
            <w:tcW w:w="797" w:type="dxa"/>
            <w:vAlign w:val="top"/>
            <w:textDirection w:val="lrTb"/>
            <w:noWrap w:val="false"/>
          </w:tcPr>
          <w:p>
            <w:pPr>
              <w:jc w:val="center"/>
              <w:spacing w:line="360" w:lineRule="auto"/>
              <w:shd w:val="clear" w:color="auto" w:fill="auto"/>
              <w:rPr>
                <w:szCs w:val="21"/>
                <w:highlight w:val="none"/>
              </w:rPr>
            </w:pPr>
            <w:r>
              <w:rPr>
                <w:szCs w:val="21"/>
                <w:highlight w:val="none"/>
              </w:rPr>
              <w:t xml:space="preserve">3</w:t>
            </w:r>
            <w:r/>
          </w:p>
        </w:tc>
        <w:tc>
          <w:tcPr>
            <w:tcW w:w="2772" w:type="dxa"/>
            <w:vAlign w:val="top"/>
            <w:textDirection w:val="lrTb"/>
            <w:noWrap w:val="false"/>
          </w:tcPr>
          <w:p>
            <w:pPr>
              <w:ind w:left="-827" w:firstLine="827"/>
              <w:spacing w:line="360" w:lineRule="auto"/>
              <w:shd w:val="clear" w:color="auto" w:fill="auto"/>
              <w:rPr>
                <w:szCs w:val="21"/>
                <w:highlight w:val="none"/>
              </w:rPr>
            </w:pPr>
            <w:r>
              <w:rPr>
                <w:szCs w:val="21"/>
                <w:highlight w:val="none"/>
              </w:rPr>
            </w:r>
            <w:r/>
          </w:p>
        </w:tc>
        <w:tc>
          <w:tcPr>
            <w:tcW w:w="998" w:type="dxa"/>
            <w:vAlign w:val="top"/>
            <w:textDirection w:val="lrTb"/>
            <w:noWrap w:val="false"/>
          </w:tcPr>
          <w:p>
            <w:pPr>
              <w:spacing w:line="360" w:lineRule="auto"/>
              <w:shd w:val="clear" w:color="auto" w:fill="auto"/>
              <w:rPr>
                <w:szCs w:val="21"/>
                <w:highlight w:val="none"/>
              </w:rPr>
            </w:pPr>
            <w:r>
              <w:rPr>
                <w:szCs w:val="21"/>
                <w:highlight w:val="none"/>
              </w:rPr>
            </w:r>
            <w:r/>
          </w:p>
        </w:tc>
        <w:tc>
          <w:tcPr>
            <w:tcW w:w="1223" w:type="dxa"/>
            <w:vAlign w:val="top"/>
            <w:textDirection w:val="lrTb"/>
            <w:noWrap w:val="false"/>
          </w:tcPr>
          <w:p>
            <w:pPr>
              <w:spacing w:line="360" w:lineRule="auto"/>
              <w:shd w:val="clear" w:color="auto" w:fill="auto"/>
              <w:rPr>
                <w:szCs w:val="21"/>
                <w:highlight w:val="none"/>
              </w:rPr>
            </w:pPr>
            <w:r>
              <w:rPr>
                <w:szCs w:val="21"/>
                <w:highlight w:val="none"/>
              </w:rPr>
            </w:r>
            <w:r/>
          </w:p>
        </w:tc>
        <w:tc>
          <w:tcPr>
            <w:tcW w:w="1223" w:type="dxa"/>
            <w:vAlign w:val="top"/>
            <w:textDirection w:val="lrTb"/>
            <w:noWrap w:val="false"/>
          </w:tcPr>
          <w:p>
            <w:pPr>
              <w:spacing w:line="360" w:lineRule="auto"/>
              <w:shd w:val="clear" w:color="auto" w:fill="auto"/>
              <w:rPr>
                <w:szCs w:val="21"/>
                <w:highlight w:val="none"/>
              </w:rPr>
            </w:pPr>
            <w:r>
              <w:rPr>
                <w:szCs w:val="21"/>
                <w:highlight w:val="none"/>
              </w:rPr>
            </w:r>
            <w:r/>
          </w:p>
        </w:tc>
        <w:tc>
          <w:tcPr>
            <w:gridSpan w:val="2"/>
            <w:tcW w:w="1520" w:type="dxa"/>
            <w:vAlign w:val="top"/>
            <w:textDirection w:val="lrTb"/>
            <w:noWrap w:val="false"/>
          </w:tcPr>
          <w:p>
            <w:pPr>
              <w:spacing w:line="360" w:lineRule="auto"/>
              <w:shd w:val="clear" w:color="auto" w:fill="auto"/>
              <w:rPr>
                <w:szCs w:val="21"/>
                <w:highlight w:val="none"/>
              </w:rPr>
            </w:pPr>
            <w:r>
              <w:rPr>
                <w:szCs w:val="21"/>
                <w:highlight w:val="none"/>
              </w:rPr>
            </w:r>
            <w:r/>
          </w:p>
        </w:tc>
        <w:tc>
          <w:tcPr>
            <w:tcW w:w="1099" w:type="dxa"/>
            <w:vAlign w:val="top"/>
            <w:textDirection w:val="lrTb"/>
            <w:noWrap w:val="false"/>
          </w:tcPr>
          <w:p>
            <w:pPr>
              <w:spacing w:line="360" w:lineRule="auto"/>
              <w:shd w:val="clear" w:color="auto" w:fill="auto"/>
              <w:rPr>
                <w:szCs w:val="21"/>
                <w:highlight w:val="none"/>
              </w:rPr>
            </w:pPr>
            <w:r>
              <w:rPr>
                <w:szCs w:val="21"/>
                <w:highlight w:val="none"/>
              </w:rPr>
            </w:r>
            <w:r/>
          </w:p>
        </w:tc>
      </w:tr>
      <w:tr>
        <w:trPr>
          <w:jc w:val="center"/>
        </w:trPr>
        <w:tc>
          <w:tcPr>
            <w:tcW w:w="797" w:type="dxa"/>
            <w:vAlign w:val="top"/>
            <w:textDirection w:val="lrTb"/>
            <w:noWrap w:val="false"/>
          </w:tcPr>
          <w:p>
            <w:pPr>
              <w:jc w:val="center"/>
              <w:spacing w:line="360" w:lineRule="auto"/>
              <w:shd w:val="clear" w:color="auto" w:fill="auto"/>
              <w:rPr>
                <w:szCs w:val="21"/>
                <w:highlight w:val="none"/>
              </w:rPr>
            </w:pPr>
            <w:r>
              <w:rPr>
                <w:szCs w:val="21"/>
                <w:highlight w:val="none"/>
              </w:rPr>
              <w:t xml:space="preserve">4</w:t>
            </w:r>
            <w:r/>
          </w:p>
        </w:tc>
        <w:tc>
          <w:tcPr>
            <w:tcW w:w="2772" w:type="dxa"/>
            <w:vAlign w:val="top"/>
            <w:textDirection w:val="lrTb"/>
            <w:noWrap w:val="false"/>
          </w:tcPr>
          <w:p>
            <w:pPr>
              <w:spacing w:line="360" w:lineRule="auto"/>
              <w:shd w:val="clear" w:color="auto" w:fill="auto"/>
              <w:rPr>
                <w:szCs w:val="21"/>
                <w:highlight w:val="none"/>
              </w:rPr>
            </w:pPr>
            <w:r>
              <w:rPr>
                <w:szCs w:val="21"/>
                <w:highlight w:val="none"/>
              </w:rPr>
            </w:r>
            <w:r/>
          </w:p>
        </w:tc>
        <w:tc>
          <w:tcPr>
            <w:tcW w:w="998" w:type="dxa"/>
            <w:vAlign w:val="top"/>
            <w:textDirection w:val="lrTb"/>
            <w:noWrap w:val="false"/>
          </w:tcPr>
          <w:p>
            <w:pPr>
              <w:spacing w:line="360" w:lineRule="auto"/>
              <w:shd w:val="clear" w:color="auto" w:fill="auto"/>
              <w:rPr>
                <w:szCs w:val="21"/>
                <w:highlight w:val="none"/>
              </w:rPr>
            </w:pPr>
            <w:r>
              <w:rPr>
                <w:szCs w:val="21"/>
                <w:highlight w:val="none"/>
              </w:rPr>
            </w:r>
            <w:r/>
          </w:p>
        </w:tc>
        <w:tc>
          <w:tcPr>
            <w:tcW w:w="1223" w:type="dxa"/>
            <w:vAlign w:val="top"/>
            <w:textDirection w:val="lrTb"/>
            <w:noWrap w:val="false"/>
          </w:tcPr>
          <w:p>
            <w:pPr>
              <w:spacing w:line="360" w:lineRule="auto"/>
              <w:shd w:val="clear" w:color="auto" w:fill="auto"/>
              <w:rPr>
                <w:szCs w:val="21"/>
                <w:highlight w:val="none"/>
              </w:rPr>
            </w:pPr>
            <w:r>
              <w:rPr>
                <w:szCs w:val="21"/>
                <w:highlight w:val="none"/>
              </w:rPr>
            </w:r>
            <w:r/>
          </w:p>
        </w:tc>
        <w:tc>
          <w:tcPr>
            <w:tcW w:w="1223" w:type="dxa"/>
            <w:vAlign w:val="top"/>
            <w:textDirection w:val="lrTb"/>
            <w:noWrap w:val="false"/>
          </w:tcPr>
          <w:p>
            <w:pPr>
              <w:spacing w:line="360" w:lineRule="auto"/>
              <w:shd w:val="clear" w:color="auto" w:fill="auto"/>
              <w:rPr>
                <w:szCs w:val="21"/>
                <w:highlight w:val="none"/>
              </w:rPr>
            </w:pPr>
            <w:r>
              <w:rPr>
                <w:szCs w:val="21"/>
                <w:highlight w:val="none"/>
              </w:rPr>
            </w:r>
            <w:r/>
          </w:p>
        </w:tc>
        <w:tc>
          <w:tcPr>
            <w:gridSpan w:val="2"/>
            <w:tcW w:w="1520" w:type="dxa"/>
            <w:vAlign w:val="top"/>
            <w:textDirection w:val="lrTb"/>
            <w:noWrap w:val="false"/>
          </w:tcPr>
          <w:p>
            <w:pPr>
              <w:spacing w:line="360" w:lineRule="auto"/>
              <w:shd w:val="clear" w:color="auto" w:fill="auto"/>
              <w:rPr>
                <w:szCs w:val="21"/>
                <w:highlight w:val="none"/>
              </w:rPr>
            </w:pPr>
            <w:r>
              <w:rPr>
                <w:szCs w:val="21"/>
                <w:highlight w:val="none"/>
              </w:rPr>
            </w:r>
            <w:r/>
          </w:p>
        </w:tc>
        <w:tc>
          <w:tcPr>
            <w:tcW w:w="1099" w:type="dxa"/>
            <w:vAlign w:val="top"/>
            <w:textDirection w:val="lrTb"/>
            <w:noWrap w:val="false"/>
          </w:tcPr>
          <w:p>
            <w:pPr>
              <w:spacing w:line="360" w:lineRule="auto"/>
              <w:shd w:val="clear" w:color="auto" w:fill="auto"/>
              <w:rPr>
                <w:szCs w:val="21"/>
                <w:highlight w:val="none"/>
              </w:rPr>
            </w:pPr>
            <w:r>
              <w:rPr>
                <w:szCs w:val="21"/>
                <w:highlight w:val="none"/>
              </w:rPr>
            </w:r>
            <w:r/>
          </w:p>
        </w:tc>
      </w:tr>
      <w:tr>
        <w:trPr>
          <w:jc w:val="center"/>
        </w:trPr>
        <w:tc>
          <w:tcPr>
            <w:tcW w:w="797" w:type="dxa"/>
            <w:vAlign w:val="top"/>
            <w:textDirection w:val="lrTb"/>
            <w:noWrap w:val="false"/>
          </w:tcPr>
          <w:p>
            <w:pPr>
              <w:jc w:val="center"/>
              <w:spacing w:line="360" w:lineRule="auto"/>
              <w:shd w:val="clear" w:color="auto" w:fill="auto"/>
              <w:rPr>
                <w:szCs w:val="21"/>
                <w:highlight w:val="none"/>
              </w:rPr>
            </w:pPr>
            <w:r>
              <w:rPr>
                <w:szCs w:val="21"/>
                <w:highlight w:val="none"/>
              </w:rPr>
              <w:t xml:space="preserve">5</w:t>
            </w:r>
            <w:r/>
          </w:p>
        </w:tc>
        <w:tc>
          <w:tcPr>
            <w:tcW w:w="2772" w:type="dxa"/>
            <w:vAlign w:val="top"/>
            <w:textDirection w:val="lrTb"/>
            <w:noWrap w:val="false"/>
          </w:tcPr>
          <w:p>
            <w:pPr>
              <w:spacing w:line="360" w:lineRule="auto"/>
              <w:shd w:val="clear" w:color="auto" w:fill="auto"/>
              <w:rPr>
                <w:szCs w:val="21"/>
                <w:highlight w:val="none"/>
              </w:rPr>
            </w:pPr>
            <w:r>
              <w:rPr>
                <w:szCs w:val="21"/>
                <w:highlight w:val="none"/>
              </w:rPr>
            </w:r>
            <w:r/>
          </w:p>
        </w:tc>
        <w:tc>
          <w:tcPr>
            <w:tcW w:w="998" w:type="dxa"/>
            <w:vAlign w:val="top"/>
            <w:textDirection w:val="lrTb"/>
            <w:noWrap w:val="false"/>
          </w:tcPr>
          <w:p>
            <w:pPr>
              <w:spacing w:line="360" w:lineRule="auto"/>
              <w:shd w:val="clear" w:color="auto" w:fill="auto"/>
              <w:rPr>
                <w:szCs w:val="21"/>
                <w:highlight w:val="none"/>
              </w:rPr>
            </w:pPr>
            <w:r>
              <w:rPr>
                <w:szCs w:val="21"/>
                <w:highlight w:val="none"/>
              </w:rPr>
            </w:r>
            <w:r/>
          </w:p>
        </w:tc>
        <w:tc>
          <w:tcPr>
            <w:tcW w:w="1223" w:type="dxa"/>
            <w:vAlign w:val="top"/>
            <w:textDirection w:val="lrTb"/>
            <w:noWrap w:val="false"/>
          </w:tcPr>
          <w:p>
            <w:pPr>
              <w:spacing w:line="360" w:lineRule="auto"/>
              <w:shd w:val="clear" w:color="auto" w:fill="auto"/>
              <w:rPr>
                <w:szCs w:val="21"/>
                <w:highlight w:val="none"/>
              </w:rPr>
            </w:pPr>
            <w:r>
              <w:rPr>
                <w:szCs w:val="21"/>
                <w:highlight w:val="none"/>
              </w:rPr>
            </w:r>
            <w:r/>
          </w:p>
        </w:tc>
        <w:tc>
          <w:tcPr>
            <w:tcW w:w="1223" w:type="dxa"/>
            <w:vAlign w:val="top"/>
            <w:textDirection w:val="lrTb"/>
            <w:noWrap w:val="false"/>
          </w:tcPr>
          <w:p>
            <w:pPr>
              <w:spacing w:line="360" w:lineRule="auto"/>
              <w:shd w:val="clear" w:color="auto" w:fill="auto"/>
              <w:rPr>
                <w:szCs w:val="21"/>
                <w:highlight w:val="none"/>
              </w:rPr>
            </w:pPr>
            <w:r>
              <w:rPr>
                <w:szCs w:val="21"/>
                <w:highlight w:val="none"/>
              </w:rPr>
            </w:r>
            <w:r/>
          </w:p>
        </w:tc>
        <w:tc>
          <w:tcPr>
            <w:gridSpan w:val="2"/>
            <w:tcW w:w="1520" w:type="dxa"/>
            <w:vAlign w:val="top"/>
            <w:textDirection w:val="lrTb"/>
            <w:noWrap w:val="false"/>
          </w:tcPr>
          <w:p>
            <w:pPr>
              <w:spacing w:line="360" w:lineRule="auto"/>
              <w:shd w:val="clear" w:color="auto" w:fill="auto"/>
              <w:rPr>
                <w:szCs w:val="21"/>
                <w:highlight w:val="none"/>
              </w:rPr>
            </w:pPr>
            <w:r>
              <w:rPr>
                <w:szCs w:val="21"/>
                <w:highlight w:val="none"/>
              </w:rPr>
            </w:r>
            <w:r/>
          </w:p>
        </w:tc>
        <w:tc>
          <w:tcPr>
            <w:tcW w:w="1099" w:type="dxa"/>
            <w:vAlign w:val="top"/>
            <w:textDirection w:val="lrTb"/>
            <w:noWrap w:val="false"/>
          </w:tcPr>
          <w:p>
            <w:pPr>
              <w:spacing w:line="360" w:lineRule="auto"/>
              <w:shd w:val="clear" w:color="auto" w:fill="auto"/>
              <w:rPr>
                <w:szCs w:val="21"/>
                <w:highlight w:val="none"/>
              </w:rPr>
            </w:pPr>
            <w:r>
              <w:rPr>
                <w:szCs w:val="21"/>
                <w:highlight w:val="none"/>
              </w:rPr>
            </w:r>
            <w:r/>
          </w:p>
        </w:tc>
      </w:tr>
      <w:tr>
        <w:trPr>
          <w:jc w:val="center"/>
        </w:trPr>
        <w:tc>
          <w:tcPr>
            <w:tcW w:w="797" w:type="dxa"/>
            <w:vAlign w:val="top"/>
            <w:textDirection w:val="lrTb"/>
            <w:noWrap w:val="false"/>
          </w:tcPr>
          <w:p>
            <w:pPr>
              <w:jc w:val="center"/>
              <w:spacing w:line="360" w:lineRule="auto"/>
              <w:shd w:val="clear" w:color="auto" w:fill="auto"/>
              <w:rPr>
                <w:rFonts w:hint="eastAsia"/>
                <w:szCs w:val="21"/>
                <w:highlight w:val="none"/>
              </w:rPr>
            </w:pPr>
            <w:r>
              <w:rPr>
                <w:rFonts w:hint="eastAsia"/>
                <w:szCs w:val="21"/>
                <w:highlight w:val="none"/>
              </w:rPr>
              <w:t xml:space="preserve">…</w:t>
            </w:r>
            <w:r/>
          </w:p>
        </w:tc>
        <w:tc>
          <w:tcPr>
            <w:tcW w:w="2772" w:type="dxa"/>
            <w:vAlign w:val="top"/>
            <w:textDirection w:val="lrTb"/>
            <w:noWrap w:val="false"/>
          </w:tcPr>
          <w:p>
            <w:pPr>
              <w:spacing w:line="360" w:lineRule="auto"/>
              <w:shd w:val="clear" w:color="auto" w:fill="auto"/>
              <w:rPr>
                <w:szCs w:val="21"/>
                <w:highlight w:val="none"/>
              </w:rPr>
            </w:pPr>
            <w:r>
              <w:rPr>
                <w:szCs w:val="21"/>
                <w:highlight w:val="none"/>
              </w:rPr>
            </w:r>
            <w:r/>
          </w:p>
        </w:tc>
        <w:tc>
          <w:tcPr>
            <w:tcW w:w="998" w:type="dxa"/>
            <w:vAlign w:val="top"/>
            <w:textDirection w:val="lrTb"/>
            <w:noWrap w:val="false"/>
          </w:tcPr>
          <w:p>
            <w:pPr>
              <w:spacing w:line="360" w:lineRule="auto"/>
              <w:shd w:val="clear" w:color="auto" w:fill="auto"/>
              <w:rPr>
                <w:szCs w:val="21"/>
                <w:highlight w:val="none"/>
              </w:rPr>
            </w:pPr>
            <w:r>
              <w:rPr>
                <w:szCs w:val="21"/>
                <w:highlight w:val="none"/>
              </w:rPr>
            </w:r>
            <w:r/>
          </w:p>
        </w:tc>
        <w:tc>
          <w:tcPr>
            <w:tcW w:w="1223" w:type="dxa"/>
            <w:vAlign w:val="top"/>
            <w:textDirection w:val="lrTb"/>
            <w:noWrap w:val="false"/>
          </w:tcPr>
          <w:p>
            <w:pPr>
              <w:spacing w:line="360" w:lineRule="auto"/>
              <w:shd w:val="clear" w:color="auto" w:fill="auto"/>
              <w:rPr>
                <w:szCs w:val="21"/>
                <w:highlight w:val="none"/>
              </w:rPr>
            </w:pPr>
            <w:r>
              <w:rPr>
                <w:szCs w:val="21"/>
                <w:highlight w:val="none"/>
              </w:rPr>
            </w:r>
            <w:r/>
          </w:p>
        </w:tc>
        <w:tc>
          <w:tcPr>
            <w:tcW w:w="1223" w:type="dxa"/>
            <w:vAlign w:val="top"/>
            <w:textDirection w:val="lrTb"/>
            <w:noWrap w:val="false"/>
          </w:tcPr>
          <w:p>
            <w:pPr>
              <w:spacing w:line="360" w:lineRule="auto"/>
              <w:shd w:val="clear" w:color="auto" w:fill="auto"/>
              <w:rPr>
                <w:szCs w:val="21"/>
                <w:highlight w:val="none"/>
              </w:rPr>
            </w:pPr>
            <w:r>
              <w:rPr>
                <w:szCs w:val="21"/>
                <w:highlight w:val="none"/>
              </w:rPr>
            </w:r>
            <w:r/>
          </w:p>
        </w:tc>
        <w:tc>
          <w:tcPr>
            <w:gridSpan w:val="2"/>
            <w:tcW w:w="1520" w:type="dxa"/>
            <w:vAlign w:val="top"/>
            <w:textDirection w:val="lrTb"/>
            <w:noWrap w:val="false"/>
          </w:tcPr>
          <w:p>
            <w:pPr>
              <w:spacing w:line="360" w:lineRule="auto"/>
              <w:shd w:val="clear" w:color="auto" w:fill="auto"/>
              <w:rPr>
                <w:szCs w:val="21"/>
                <w:highlight w:val="none"/>
              </w:rPr>
            </w:pPr>
            <w:r>
              <w:rPr>
                <w:szCs w:val="21"/>
                <w:highlight w:val="none"/>
              </w:rPr>
            </w:r>
            <w:r/>
          </w:p>
        </w:tc>
        <w:tc>
          <w:tcPr>
            <w:tcW w:w="1099" w:type="dxa"/>
            <w:vAlign w:val="top"/>
            <w:textDirection w:val="lrTb"/>
            <w:noWrap w:val="false"/>
          </w:tcPr>
          <w:p>
            <w:pPr>
              <w:spacing w:line="360" w:lineRule="auto"/>
              <w:shd w:val="clear" w:color="auto" w:fill="auto"/>
              <w:rPr>
                <w:szCs w:val="21"/>
                <w:highlight w:val="none"/>
              </w:rPr>
            </w:pPr>
            <w:r>
              <w:rPr>
                <w:szCs w:val="21"/>
                <w:highlight w:val="none"/>
              </w:rPr>
            </w:r>
            <w:r/>
          </w:p>
        </w:tc>
      </w:tr>
      <w:tr>
        <w:trPr>
          <w:jc w:val="center"/>
        </w:trPr>
        <w:tc>
          <w:tcPr>
            <w:gridSpan w:val="2"/>
            <w:tcW w:w="3569" w:type="dxa"/>
            <w:vAlign w:val="top"/>
            <w:textDirection w:val="lrTb"/>
            <w:noWrap w:val="false"/>
          </w:tcPr>
          <w:p>
            <w:pPr>
              <w:jc w:val="center"/>
              <w:spacing w:line="360" w:lineRule="auto"/>
              <w:shd w:val="clear" w:color="auto" w:fill="auto"/>
              <w:rPr>
                <w:szCs w:val="21"/>
                <w:highlight w:val="none"/>
              </w:rPr>
            </w:pPr>
            <w:r>
              <w:rPr>
                <w:rFonts w:hint="eastAsia" w:ascii="宋体" w:hAnsi="宋体" w:cs="宋体"/>
                <w:color w:val="000000"/>
              </w:rPr>
              <w:t xml:space="preserve">投标总报价</w:t>
            </w:r>
            <w:r>
              <w:rPr>
                <w:szCs w:val="21"/>
                <w:highlight w:val="none"/>
              </w:rPr>
              <w:t xml:space="preserve">合计：</w:t>
            </w:r>
            <w:r/>
          </w:p>
        </w:tc>
        <w:tc>
          <w:tcPr>
            <w:gridSpan w:val="4"/>
            <w:tcW w:w="4840" w:type="dxa"/>
            <w:vAlign w:val="top"/>
            <w:textDirection w:val="lrTb"/>
            <w:noWrap w:val="false"/>
          </w:tcPr>
          <w:p>
            <w:pPr>
              <w:spacing w:line="360" w:lineRule="auto"/>
              <w:shd w:val="clear" w:color="auto" w:fill="auto"/>
              <w:rPr>
                <w:szCs w:val="21"/>
                <w:highlight w:val="none"/>
              </w:rPr>
            </w:pPr>
            <w:r>
              <w:rPr>
                <w:szCs w:val="21"/>
                <w:highlight w:val="none"/>
              </w:rPr>
            </w:r>
            <w:r/>
          </w:p>
        </w:tc>
        <w:tc>
          <w:tcPr>
            <w:gridSpan w:val="2"/>
            <w:tcW w:w="1223" w:type="dxa"/>
            <w:vAlign w:val="top"/>
            <w:textDirection w:val="lrTb"/>
            <w:noWrap w:val="false"/>
          </w:tcPr>
          <w:p>
            <w:pPr>
              <w:spacing w:line="360" w:lineRule="auto"/>
              <w:shd w:val="clear" w:color="auto" w:fill="auto"/>
              <w:rPr>
                <w:szCs w:val="21"/>
                <w:highlight w:val="none"/>
              </w:rPr>
            </w:pPr>
            <w:r>
              <w:rPr>
                <w:szCs w:val="21"/>
                <w:highlight w:val="none"/>
              </w:rPr>
            </w:r>
            <w:r/>
          </w:p>
        </w:tc>
      </w:tr>
    </w:tbl>
    <w:p>
      <w:pPr>
        <w:spacing w:line="360" w:lineRule="auto"/>
        <w:shd w:val="clear" w:color="auto" w:fill="auto"/>
        <w:rPr>
          <w:highlight w:val="none"/>
        </w:rPr>
      </w:pPr>
      <w:r>
        <w:rPr>
          <w:highlight w:val="none"/>
        </w:rPr>
      </w:r>
      <w:r/>
    </w:p>
    <w:p>
      <w:pPr>
        <w:ind w:firstLine="420"/>
        <w:spacing w:line="360" w:lineRule="auto"/>
        <w:shd w:val="clear" w:color="auto" w:fill="auto"/>
        <w:rPr>
          <w:sz w:val="22"/>
          <w:szCs w:val="24"/>
          <w:highlight w:val="none"/>
        </w:rPr>
      </w:pPr>
      <w:r>
        <w:rPr>
          <w:sz w:val="22"/>
          <w:szCs w:val="24"/>
          <w:highlight w:val="none"/>
        </w:rPr>
        <w:t xml:space="preserve">表中表格行数可自行添加。</w:t>
      </w:r>
      <w:r/>
    </w:p>
    <w:p>
      <w:pPr>
        <w:ind w:firstLine="420"/>
        <w:spacing w:line="360" w:lineRule="auto"/>
        <w:shd w:val="clear" w:color="auto" w:fill="auto"/>
        <w:rPr>
          <w:rFonts w:hint="eastAsia" w:eastAsia="宋体"/>
          <w:sz w:val="22"/>
          <w:szCs w:val="24"/>
          <w:highlight w:val="none"/>
          <w:lang w:val="en-US" w:eastAsia="zh-CN"/>
        </w:rPr>
      </w:pPr>
      <w:r>
        <w:rPr>
          <w:rFonts w:hint="eastAsia"/>
          <w:sz w:val="22"/>
          <w:szCs w:val="24"/>
          <w:highlight w:val="none"/>
          <w:lang w:val="en-US" w:eastAsia="zh-CN"/>
        </w:rPr>
        <w:t xml:space="preserve">备注：</w:t>
      </w:r>
      <w:r/>
    </w:p>
    <w:p>
      <w:pPr>
        <w:pStyle w:val="730"/>
        <w:ind w:firstLine="480"/>
        <w:jc w:val="both"/>
        <w:spacing w:beforeAutospacing="0" w:afterAutospacing="0"/>
        <w:rPr>
          <w:rFonts w:hint="eastAsia" w:ascii="宋体" w:hAnsi="宋体" w:cs="宋体"/>
          <w:color w:val="000000"/>
        </w:rPr>
      </w:pPr>
      <w:r>
        <w:rPr>
          <w:rFonts w:hint="eastAsia" w:ascii="宋体" w:hAnsi="宋体" w:cs="宋体"/>
          <w:color w:val="000000"/>
        </w:rPr>
        <w:t xml:space="preserve">1.投标报价采用总承包方式，“投标总报价”应包括采购人需求的服务（包含与服务相关的货物）价格、质量保证费用、培训费用等，项目在指定地点、环境交付、调试、验收所需费用和所有相关税金费用及为完成整个项目所产生的其它所有费用，招标文件另有规定的除外。</w:t>
      </w:r>
      <w:r/>
    </w:p>
    <w:p>
      <w:pPr>
        <w:pStyle w:val="730"/>
        <w:ind w:firstLine="480"/>
        <w:jc w:val="both"/>
        <w:spacing w:beforeAutospacing="0" w:afterAutospacing="0"/>
      </w:pPr>
      <w:r>
        <w:rPr>
          <w:rFonts w:hint="eastAsia" w:ascii="宋体" w:hAnsi="宋体" w:cs="宋体"/>
          <w:color w:val="000000"/>
        </w:rPr>
        <w:t xml:space="preserve">2. “投标分项报价表”中“投标总报价”数额应当与“开标一览表”中“投标总报价”数额一致。</w:t>
      </w:r>
      <w:r/>
    </w:p>
    <w:p>
      <w:pPr>
        <w:ind w:firstLine="3780"/>
        <w:spacing w:line="560" w:lineRule="exact"/>
        <w:rPr>
          <w:rFonts w:hAnsi="宋体"/>
          <w:bCs/>
          <w:szCs w:val="28"/>
        </w:rPr>
      </w:pPr>
      <w:r>
        <w:rPr>
          <w:rFonts w:hAnsi="宋体"/>
          <w:bCs/>
          <w:szCs w:val="28"/>
        </w:rPr>
      </w:r>
      <w:r/>
    </w:p>
    <w:p>
      <w:pPr>
        <w:pStyle w:val="730"/>
        <w:ind w:right="1560" w:firstLine="624"/>
        <w:jc w:val="right"/>
        <w:spacing w:line="0" w:lineRule="atLeast"/>
        <w:tabs>
          <w:tab w:val="left" w:pos="4864" w:leader="none"/>
        </w:tabs>
        <w:rPr>
          <w:rFonts w:ascii="宋体" w:hAnsi="宋体" w:eastAsia="宋体" w:cs="宋体"/>
          <w:color w:val="000000"/>
        </w:rPr>
      </w:pPr>
      <w:r>
        <w:rPr>
          <w:rFonts w:ascii="宋体" w:hAnsi="宋体" w:eastAsia="宋体" w:cs="宋体"/>
          <w:color w:val="000000"/>
        </w:rPr>
      </w:r>
      <w:r/>
    </w:p>
    <w:p>
      <w:pPr>
        <w:pStyle w:val="730"/>
        <w:ind w:right="1560" w:firstLine="624"/>
        <w:jc w:val="right"/>
        <w:spacing w:line="0" w:lineRule="atLeast"/>
        <w:tabs>
          <w:tab w:val="left" w:pos="4864" w:leader="none"/>
        </w:tabs>
      </w:pPr>
      <w:r>
        <w:rPr>
          <w:rFonts w:hint="eastAsia" w:ascii="宋体" w:hAnsi="宋体" w:eastAsia="宋体" w:cs="宋体"/>
          <w:color w:val="000000"/>
        </w:rPr>
        <w:t xml:space="preserve">供应商全称（加盖CA电子公章）：</w:t>
      </w:r>
      <w:r/>
    </w:p>
    <w:p>
      <w:pPr>
        <w:pStyle w:val="730"/>
        <w:ind w:right="1560"/>
        <w:spacing w:line="0" w:lineRule="atLeast"/>
        <w:tabs>
          <w:tab w:val="left" w:pos="4864" w:leader="none"/>
        </w:tabs>
        <w:rPr>
          <w:rFonts w:ascii="宋体" w:hAnsi="宋体" w:eastAsia="宋体" w:cs="宋体"/>
          <w:color w:val="000000"/>
        </w:rPr>
      </w:pPr>
      <w:r>
        <w:rPr>
          <w:rFonts w:ascii="宋体" w:hAnsi="宋体" w:eastAsia="宋体" w:cs="宋体"/>
          <w:color w:val="000000"/>
        </w:rPr>
      </w:r>
      <w:r/>
    </w:p>
    <w:p>
      <w:pPr>
        <w:pStyle w:val="730"/>
        <w:ind w:right="1560" w:firstLine="480"/>
        <w:jc w:val="right"/>
        <w:spacing w:line="0" w:lineRule="atLeast"/>
        <w:tabs>
          <w:tab w:val="left" w:pos="4864" w:leader="none"/>
        </w:tabs>
        <w:rPr>
          <w:rFonts w:ascii="宋体" w:hAnsi="宋体" w:eastAsia="宋体" w:cs="宋体"/>
          <w:color w:val="000000"/>
          <w:sz w:val="30"/>
          <w:szCs w:val="30"/>
        </w:rPr>
      </w:pPr>
      <w:r>
        <w:rPr>
          <w:rFonts w:hint="eastAsia" w:ascii="宋体" w:hAnsi="宋体" w:eastAsia="宋体" w:cs="宋体"/>
          <w:color w:val="000000"/>
        </w:rPr>
        <w:t xml:space="preserve">        日  期：</w:t>
      </w:r>
      <w:r/>
    </w:p>
    <w:p>
      <w:pPr>
        <w:rPr>
          <w:rFonts w:hint="eastAsia" w:ascii="宋体" w:hAnsi="宋体"/>
          <w:color w:val="000000"/>
          <w:sz w:val="24"/>
        </w:rPr>
      </w:pPr>
      <w:r>
        <w:rPr>
          <w:rFonts w:hint="eastAsia" w:ascii="宋体" w:hAnsi="宋体"/>
          <w:color w:val="000000"/>
          <w:sz w:val="24"/>
        </w:rPr>
      </w:r>
      <w:r/>
    </w:p>
    <w:p>
      <w:pPr>
        <w:rPr>
          <w:rFonts w:hint="eastAsia" w:ascii="宋体" w:hAnsi="宋体"/>
          <w:color w:val="000000"/>
          <w:sz w:val="24"/>
        </w:rPr>
      </w:pPr>
      <w:r>
        <w:rPr>
          <w:rFonts w:hint="eastAsia" w:ascii="宋体" w:hAnsi="宋体"/>
          <w:color w:val="000000"/>
          <w:sz w:val="24"/>
        </w:rPr>
      </w:r>
      <w:r/>
    </w:p>
    <w:p>
      <w:pPr>
        <w:rPr>
          <w:rFonts w:hint="eastAsia" w:ascii="宋体" w:hAnsi="宋体"/>
          <w:color w:val="000000"/>
          <w:sz w:val="24"/>
        </w:rPr>
      </w:pPr>
      <w:r>
        <w:rPr>
          <w:rFonts w:hint="eastAsia" w:ascii="宋体" w:hAnsi="宋体"/>
          <w:color w:val="000000"/>
          <w:sz w:val="24"/>
        </w:rPr>
      </w:r>
      <w:r/>
    </w:p>
    <w:p>
      <w:pPr>
        <w:ind w:firstLine="480"/>
        <w:rPr>
          <w:rFonts w:hint="eastAsia" w:ascii="宋体" w:hAnsi="宋体"/>
          <w:color w:val="000000"/>
          <w:sz w:val="24"/>
        </w:rPr>
      </w:pPr>
      <w:r>
        <w:rPr>
          <w:rFonts w:hint="eastAsia" w:ascii="宋体" w:hAnsi="宋体"/>
          <w:color w:val="000000"/>
          <w:sz w:val="24"/>
        </w:rPr>
      </w:r>
      <w:r/>
    </w:p>
    <w:p>
      <w:pPr>
        <w:rPr>
          <w:rFonts w:hint="eastAsia" w:ascii="宋体" w:hAnsi="宋体"/>
          <w:color w:val="000000"/>
          <w:sz w:val="24"/>
        </w:rPr>
      </w:pPr>
      <w:r>
        <w:rPr>
          <w:rFonts w:hint="eastAsia" w:ascii="宋体" w:hAnsi="宋体"/>
          <w:color w:val="000000"/>
          <w:sz w:val="24"/>
        </w:rPr>
        <w:t xml:space="preserve"> </w:t>
      </w:r>
      <w:r>
        <w:rPr>
          <w:rFonts w:ascii="宋体" w:hAnsi="宋体"/>
          <w:color w:val="000000"/>
          <w:sz w:val="24"/>
        </w:rPr>
        <w:t xml:space="preserve">                            </w:t>
      </w:r>
      <w:r/>
    </w:p>
    <w:p>
      <w:pPr>
        <w:rPr>
          <w:rFonts w:hint="eastAsia" w:ascii="宋体" w:hAnsi="宋体"/>
          <w:color w:val="000000"/>
          <w:sz w:val="24"/>
        </w:rPr>
      </w:pPr>
      <w:r>
        <w:rPr>
          <w:rFonts w:hint="eastAsia" w:ascii="宋体" w:hAnsi="宋体"/>
          <w:color w:val="000000"/>
          <w:sz w:val="24"/>
        </w:rPr>
      </w:r>
      <w:r/>
    </w:p>
    <w:p>
      <w:pPr>
        <w:pStyle w:val="711"/>
        <w:rPr>
          <w:rFonts w:hint="eastAsia" w:ascii="宋体" w:hAnsi="宋体"/>
          <w:color w:val="000000"/>
          <w:sz w:val="24"/>
        </w:rPr>
      </w:pPr>
      <w:r>
        <w:rPr>
          <w:rFonts w:hint="eastAsia" w:ascii="宋体" w:hAnsi="宋体"/>
          <w:color w:val="000000"/>
          <w:sz w:val="24"/>
        </w:rPr>
      </w:r>
      <w:r/>
    </w:p>
    <w:p>
      <w:pPr>
        <w:rPr>
          <w:rFonts w:hint="eastAsia" w:ascii="宋体" w:hAnsi="宋体"/>
          <w:color w:val="000000"/>
          <w:sz w:val="24"/>
        </w:rPr>
      </w:pPr>
      <w:r>
        <w:rPr>
          <w:rFonts w:hint="eastAsia" w:ascii="宋体" w:hAnsi="宋体"/>
          <w:color w:val="000000"/>
          <w:sz w:val="24"/>
        </w:rPr>
      </w:r>
      <w:r/>
    </w:p>
    <w:p>
      <w:pPr>
        <w:pStyle w:val="711"/>
        <w:rPr>
          <w:rFonts w:hint="eastAsia" w:ascii="宋体" w:hAnsi="宋体"/>
          <w:color w:val="000000"/>
          <w:sz w:val="24"/>
        </w:rPr>
      </w:pPr>
      <w:r>
        <w:rPr>
          <w:rFonts w:hint="eastAsia" w:ascii="宋体" w:hAnsi="宋体"/>
          <w:color w:val="000000"/>
          <w:sz w:val="24"/>
        </w:rPr>
      </w:r>
      <w:r/>
    </w:p>
    <w:p>
      <w:pPr>
        <w:rPr>
          <w:rFonts w:hint="eastAsia" w:ascii="宋体" w:hAnsi="宋体"/>
          <w:color w:val="000000"/>
          <w:sz w:val="24"/>
        </w:rPr>
      </w:pPr>
      <w:r>
        <w:rPr>
          <w:rFonts w:hint="eastAsia" w:ascii="宋体" w:hAnsi="宋体"/>
          <w:color w:val="000000"/>
          <w:sz w:val="24"/>
        </w:rPr>
      </w:r>
      <w:r/>
    </w:p>
    <w:p>
      <w:pPr>
        <w:pStyle w:val="711"/>
        <w:rPr>
          <w:rFonts w:hint="eastAsia" w:ascii="宋体" w:hAnsi="宋体"/>
          <w:color w:val="000000"/>
          <w:sz w:val="24"/>
        </w:rPr>
      </w:pPr>
      <w:r>
        <w:rPr>
          <w:rFonts w:hint="eastAsia" w:ascii="宋体" w:hAnsi="宋体"/>
          <w:color w:val="000000"/>
          <w:sz w:val="24"/>
        </w:rPr>
      </w:r>
      <w:r/>
    </w:p>
    <w:p>
      <w:pPr>
        <w:pStyle w:val="711"/>
        <w:rPr>
          <w:rFonts w:hint="eastAsia" w:ascii="宋体" w:hAnsi="宋体"/>
          <w:color w:val="000000"/>
          <w:sz w:val="24"/>
        </w:rPr>
      </w:pPr>
      <w:r>
        <w:rPr>
          <w:rFonts w:hint="eastAsia" w:ascii="宋体" w:hAnsi="宋体"/>
          <w:color w:val="000000"/>
          <w:sz w:val="24"/>
        </w:rPr>
      </w:r>
      <w:bookmarkEnd w:id="197"/>
      <w:r/>
      <w:r/>
    </w:p>
    <w:p>
      <w:pPr>
        <w:jc w:val="center"/>
        <w:rPr>
          <w:rFonts w:hint="eastAsia" w:ascii="黑体" w:hAnsi="黑体" w:eastAsia="黑体"/>
          <w:b/>
          <w:color w:val="000000"/>
          <w:sz w:val="32"/>
          <w:szCs w:val="32"/>
        </w:rPr>
        <w:outlineLvl w:val="0"/>
      </w:pPr>
      <w:r>
        <w:rPr>
          <w:rFonts w:hint="eastAsia" w:ascii="黑体" w:hAnsi="宋体" w:eastAsia="黑体" w:cs="黑体"/>
          <w:b/>
          <w:color w:val="000000"/>
          <w:sz w:val="32"/>
          <w:szCs w:val="32"/>
        </w:rPr>
        <w:t xml:space="preserve">十二、</w:t>
      </w:r>
      <w:r>
        <w:rPr>
          <w:rFonts w:hint="eastAsia" w:ascii="黑体" w:hAnsi="黑体" w:eastAsia="黑体"/>
          <w:b/>
          <w:color w:val="000000"/>
          <w:sz w:val="32"/>
          <w:szCs w:val="32"/>
        </w:rPr>
        <w:t xml:space="preserve">技术要求响应及偏离表</w:t>
      </w:r>
      <w:r/>
    </w:p>
    <w:p>
      <w:pPr>
        <w:pStyle w:val="730"/>
        <w:jc w:val="both"/>
        <w:spacing w:beforeAutospacing="0" w:afterAutospacing="0"/>
      </w:pPr>
      <w:r/>
      <w:r/>
    </w:p>
    <w:tbl>
      <w:tblPr>
        <w:tblStyle w:val="707"/>
        <w:tblW w:w="97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4"/>
        <w:gridCol w:w="1843"/>
        <w:gridCol w:w="1843"/>
        <w:gridCol w:w="1843"/>
        <w:gridCol w:w="2423"/>
      </w:tblGrid>
      <w:tr>
        <w:trPr>
          <w:cantSplit/>
          <w:jc w:val="center"/>
        </w:trPr>
        <w:tc>
          <w:tcPr>
            <w:tcW w:w="675" w:type="dxa"/>
            <w:vAlign w:val="top"/>
            <w:vMerge w:val="restart"/>
            <w:textDirection w:val="lrTb"/>
            <w:noWrap w:val="false"/>
          </w:tcPr>
          <w:p>
            <w:pPr>
              <w:jc w:val="center"/>
              <w:spacing w:line="440" w:lineRule="exact"/>
              <w:shd w:val="clear" w:color="auto" w:fill="auto"/>
              <w:rPr>
                <w:rFonts w:ascii="Times New Roman" w:hAnsi="Times New Roman" w:cs="Times New Roman"/>
                <w:szCs w:val="21"/>
                <w:highlight w:val="none"/>
              </w:rPr>
            </w:pPr>
            <w:r>
              <w:rPr>
                <w:rFonts w:ascii="Times New Roman" w:hAnsi="Times New Roman" w:cs="Times New Roman"/>
                <w:szCs w:val="21"/>
                <w:highlight w:val="none"/>
              </w:rPr>
              <w:t xml:space="preserve">序号</w:t>
            </w:r>
            <w:r/>
          </w:p>
        </w:tc>
        <w:tc>
          <w:tcPr>
            <w:gridSpan w:val="2"/>
            <w:tcW w:w="2977" w:type="dxa"/>
            <w:vAlign w:val="top"/>
            <w:textDirection w:val="lrTb"/>
            <w:noWrap w:val="false"/>
          </w:tcPr>
          <w:p>
            <w:pPr>
              <w:jc w:val="center"/>
              <w:spacing w:line="440" w:lineRule="exact"/>
              <w:shd w:val="clear" w:color="auto" w:fill="auto"/>
              <w:rPr>
                <w:rFonts w:ascii="Times New Roman" w:hAnsi="Times New Roman" w:cs="Times New Roman"/>
                <w:szCs w:val="21"/>
                <w:highlight w:val="none"/>
              </w:rPr>
            </w:pPr>
            <w:r>
              <w:rPr>
                <w:rFonts w:ascii="Times New Roman" w:hAnsi="Times New Roman" w:cs="Times New Roman"/>
                <w:szCs w:val="21"/>
                <w:highlight w:val="none"/>
              </w:rPr>
              <w:t xml:space="preserve">招标文件</w:t>
            </w:r>
            <w:r/>
          </w:p>
        </w:tc>
        <w:tc>
          <w:tcPr>
            <w:tcW w:w="1843" w:type="dxa"/>
            <w:vAlign w:val="top"/>
            <w:textDirection w:val="lrTb"/>
            <w:noWrap w:val="false"/>
          </w:tcPr>
          <w:p>
            <w:pPr>
              <w:jc w:val="center"/>
              <w:spacing w:line="440" w:lineRule="exact"/>
              <w:shd w:val="clear" w:color="auto" w:fill="auto"/>
              <w:rPr>
                <w:rFonts w:ascii="Times New Roman" w:hAnsi="Times New Roman" w:cs="Times New Roman"/>
                <w:szCs w:val="21"/>
                <w:highlight w:val="none"/>
              </w:rPr>
            </w:pPr>
            <w:r>
              <w:rPr>
                <w:rFonts w:ascii="Times New Roman" w:hAnsi="Times New Roman" w:cs="Times New Roman"/>
                <w:szCs w:val="21"/>
                <w:highlight w:val="none"/>
              </w:rPr>
              <w:t xml:space="preserve">投标文件</w:t>
            </w:r>
            <w:r/>
          </w:p>
        </w:tc>
        <w:tc>
          <w:tcPr>
            <w:tcW w:w="1843" w:type="dxa"/>
            <w:vAlign w:val="top"/>
            <w:vMerge w:val="restart"/>
            <w:textDirection w:val="lrTb"/>
            <w:noWrap w:val="false"/>
          </w:tcPr>
          <w:p>
            <w:pPr>
              <w:jc w:val="center"/>
              <w:spacing w:line="440" w:lineRule="exact"/>
              <w:shd w:val="clear" w:color="auto" w:fill="auto"/>
              <w:rPr>
                <w:rFonts w:ascii="Times New Roman" w:hAnsi="Times New Roman" w:cs="Times New Roman"/>
                <w:szCs w:val="21"/>
                <w:highlight w:val="none"/>
              </w:rPr>
            </w:pPr>
            <w:r>
              <w:rPr>
                <w:rFonts w:ascii="Times New Roman" w:hAnsi="Times New Roman" w:cs="Times New Roman"/>
                <w:szCs w:val="21"/>
                <w:highlight w:val="none"/>
              </w:rPr>
            </w:r>
            <w:r/>
          </w:p>
          <w:p>
            <w:pPr>
              <w:jc w:val="center"/>
              <w:spacing w:line="440" w:lineRule="exact"/>
              <w:shd w:val="clear" w:color="auto" w:fill="auto"/>
              <w:rPr>
                <w:rFonts w:ascii="Times New Roman" w:hAnsi="Times New Roman" w:cs="Times New Roman"/>
                <w:szCs w:val="21"/>
                <w:highlight w:val="none"/>
              </w:rPr>
            </w:pPr>
            <w:r>
              <w:rPr>
                <w:rFonts w:ascii="Times New Roman" w:hAnsi="Times New Roman" w:cs="Times New Roman"/>
                <w:szCs w:val="21"/>
                <w:highlight w:val="none"/>
              </w:rPr>
              <w:t xml:space="preserve">说明</w:t>
            </w:r>
            <w:r/>
          </w:p>
        </w:tc>
        <w:tc>
          <w:tcPr>
            <w:tcW w:w="2423" w:type="dxa"/>
            <w:vAlign w:val="top"/>
            <w:vMerge w:val="restart"/>
            <w:textDirection w:val="lrTb"/>
            <w:noWrap w:val="false"/>
          </w:tcPr>
          <w:p>
            <w:pPr>
              <w:jc w:val="center"/>
              <w:spacing w:line="440" w:lineRule="exact"/>
              <w:shd w:val="clear" w:color="auto" w:fill="auto"/>
              <w:rPr>
                <w:rFonts w:ascii="Times New Roman" w:hAnsi="Times New Roman" w:cs="Times New Roman"/>
                <w:szCs w:val="21"/>
                <w:highlight w:val="none"/>
              </w:rPr>
            </w:pPr>
            <w:r>
              <w:rPr>
                <w:rFonts w:ascii="Times New Roman" w:hAnsi="Times New Roman" w:cs="Times New Roman"/>
                <w:szCs w:val="21"/>
                <w:highlight w:val="none"/>
              </w:rPr>
              <w:t xml:space="preserve">技术规格响应证明文件的具体位置</w:t>
            </w:r>
            <w:r/>
          </w:p>
        </w:tc>
      </w:tr>
      <w:tr>
        <w:trPr>
          <w:cantSplit/>
          <w:jc w:val="center"/>
        </w:trPr>
        <w:tc>
          <w:tcPr>
            <w:tcW w:w="675" w:type="dxa"/>
            <w:vAlign w:val="center"/>
            <w:vMerge w:val="continue"/>
            <w:textDirection w:val="lrTb"/>
            <w:noWrap w:val="false"/>
          </w:tcPr>
          <w:p>
            <w:pPr>
              <w:jc w:val="left"/>
              <w:spacing w:line="440" w:lineRule="exact"/>
              <w:shd w:val="clear" w:color="auto" w:fill="auto"/>
              <w:widowControl/>
              <w:rPr>
                <w:rFonts w:ascii="Times New Roman" w:hAnsi="Times New Roman" w:cs="Times New Roman"/>
                <w:szCs w:val="21"/>
                <w:highlight w:val="none"/>
              </w:rPr>
            </w:pPr>
            <w:r>
              <w:rPr>
                <w:rFonts w:ascii="Times New Roman" w:hAnsi="Times New Roman" w:cs="Times New Roman"/>
                <w:szCs w:val="21"/>
                <w:highlight w:val="none"/>
              </w:rPr>
            </w:r>
            <w:r/>
          </w:p>
        </w:tc>
        <w:tc>
          <w:tcPr>
            <w:tcW w:w="1134" w:type="dxa"/>
            <w:vAlign w:val="top"/>
            <w:textDirection w:val="lrTb"/>
            <w:noWrap w:val="false"/>
          </w:tcPr>
          <w:p>
            <w:pPr>
              <w:jc w:val="center"/>
              <w:spacing w:line="440" w:lineRule="exact"/>
              <w:shd w:val="clear" w:color="auto" w:fill="auto"/>
              <w:rPr>
                <w:rFonts w:ascii="Times New Roman" w:hAnsi="Times New Roman" w:cs="Times New Roman"/>
                <w:szCs w:val="21"/>
                <w:highlight w:val="none"/>
              </w:rPr>
            </w:pPr>
            <w:r>
              <w:rPr>
                <w:rFonts w:ascii="Times New Roman" w:hAnsi="Times New Roman" w:cs="Times New Roman"/>
                <w:szCs w:val="21"/>
                <w:highlight w:val="none"/>
              </w:rPr>
              <w:t xml:space="preserve">条目号</w:t>
            </w:r>
            <w:r/>
          </w:p>
        </w:tc>
        <w:tc>
          <w:tcPr>
            <w:tcW w:w="1843" w:type="dxa"/>
            <w:vAlign w:val="top"/>
            <w:textDirection w:val="lrTb"/>
            <w:noWrap w:val="false"/>
          </w:tcPr>
          <w:p>
            <w:pPr>
              <w:jc w:val="center"/>
              <w:spacing w:line="440" w:lineRule="exact"/>
              <w:shd w:val="clear" w:color="auto" w:fill="auto"/>
              <w:rPr>
                <w:rFonts w:ascii="Times New Roman" w:hAnsi="Times New Roman" w:cs="Times New Roman"/>
                <w:szCs w:val="21"/>
                <w:highlight w:val="none"/>
              </w:rPr>
            </w:pPr>
            <w:r>
              <w:rPr>
                <w:rFonts w:ascii="Times New Roman" w:hAnsi="Times New Roman" w:cs="Times New Roman"/>
                <w:color w:val="000000"/>
                <w:szCs w:val="21"/>
                <w:highlight w:val="none"/>
              </w:rPr>
              <w:t xml:space="preserve">采购要求规格</w:t>
            </w:r>
            <w:r/>
          </w:p>
        </w:tc>
        <w:tc>
          <w:tcPr>
            <w:tcW w:w="1843" w:type="dxa"/>
            <w:vAlign w:val="top"/>
            <w:textDirection w:val="lrTb"/>
            <w:noWrap w:val="false"/>
          </w:tcPr>
          <w:p>
            <w:pPr>
              <w:jc w:val="center"/>
              <w:spacing w:line="440" w:lineRule="exact"/>
              <w:shd w:val="clear" w:color="auto" w:fill="auto"/>
              <w:rPr>
                <w:rFonts w:ascii="Times New Roman" w:hAnsi="Times New Roman" w:cs="Times New Roman"/>
                <w:szCs w:val="21"/>
                <w:highlight w:val="none"/>
              </w:rPr>
            </w:pPr>
            <w:r>
              <w:rPr>
                <w:rFonts w:ascii="Times New Roman" w:hAnsi="Times New Roman" w:cs="Times New Roman"/>
                <w:szCs w:val="21"/>
                <w:highlight w:val="none"/>
              </w:rPr>
              <w:t xml:space="preserve">响应具体情况</w:t>
            </w:r>
            <w:r/>
          </w:p>
        </w:tc>
        <w:tc>
          <w:tcPr>
            <w:tcW w:w="1843" w:type="dxa"/>
            <w:vAlign w:val="top"/>
            <w:vMerge w:val="continue"/>
            <w:textDirection w:val="lrTb"/>
            <w:noWrap w:val="false"/>
          </w:tcPr>
          <w:p>
            <w:pPr>
              <w:jc w:val="center"/>
              <w:spacing w:line="440" w:lineRule="exact"/>
              <w:shd w:val="clear" w:color="auto" w:fill="auto"/>
              <w:rPr>
                <w:rFonts w:ascii="Times New Roman" w:hAnsi="Times New Roman" w:cs="Times New Roman"/>
                <w:szCs w:val="21"/>
                <w:highlight w:val="none"/>
              </w:rPr>
            </w:pPr>
            <w:r>
              <w:rPr>
                <w:rFonts w:ascii="Times New Roman" w:hAnsi="Times New Roman" w:cs="Times New Roman"/>
                <w:szCs w:val="21"/>
                <w:highlight w:val="none"/>
              </w:rPr>
            </w:r>
            <w:r/>
          </w:p>
        </w:tc>
        <w:tc>
          <w:tcPr>
            <w:tcW w:w="2423" w:type="dxa"/>
            <w:vAlign w:val="top"/>
            <w:vMerge w:val="continue"/>
            <w:textDirection w:val="lrTb"/>
            <w:noWrap w:val="false"/>
          </w:tcPr>
          <w:p>
            <w:pPr>
              <w:jc w:val="center"/>
              <w:spacing w:line="440" w:lineRule="exact"/>
              <w:shd w:val="clear" w:color="auto" w:fill="auto"/>
              <w:rPr>
                <w:rFonts w:ascii="Times New Roman" w:hAnsi="Times New Roman" w:cs="Times New Roman"/>
                <w:szCs w:val="21"/>
                <w:highlight w:val="none"/>
              </w:rPr>
            </w:pPr>
            <w:r>
              <w:rPr>
                <w:rFonts w:ascii="Times New Roman" w:hAnsi="Times New Roman" w:cs="Times New Roman"/>
                <w:szCs w:val="21"/>
                <w:highlight w:val="none"/>
              </w:rPr>
            </w:r>
            <w:r/>
          </w:p>
        </w:tc>
      </w:tr>
      <w:tr>
        <w:trPr>
          <w:jc w:val="center"/>
        </w:trPr>
        <w:tc>
          <w:tcPr>
            <w:tcW w:w="675" w:type="dxa"/>
            <w:vAlign w:val="top"/>
            <w:textDirection w:val="lrTb"/>
            <w:noWrap w:val="false"/>
          </w:tcPr>
          <w:p>
            <w:pPr>
              <w:spacing w:line="440" w:lineRule="exact"/>
              <w:shd w:val="clear" w:color="auto" w:fill="auto"/>
              <w:rPr>
                <w:rFonts w:ascii="Times New Roman" w:hAnsi="Times New Roman" w:cs="Times New Roman"/>
                <w:szCs w:val="21"/>
                <w:highlight w:val="none"/>
              </w:rPr>
            </w:pPr>
            <w:r>
              <w:rPr>
                <w:rFonts w:ascii="Times New Roman" w:hAnsi="Times New Roman" w:cs="Times New Roman"/>
                <w:szCs w:val="21"/>
                <w:highlight w:val="none"/>
              </w:rPr>
            </w:r>
            <w:r/>
          </w:p>
        </w:tc>
        <w:tc>
          <w:tcPr>
            <w:tcW w:w="1134" w:type="dxa"/>
            <w:vAlign w:val="top"/>
            <w:textDirection w:val="lrTb"/>
            <w:noWrap w:val="false"/>
          </w:tcPr>
          <w:p>
            <w:pPr>
              <w:spacing w:line="440" w:lineRule="exact"/>
              <w:shd w:val="clear" w:color="auto" w:fill="auto"/>
              <w:rPr>
                <w:rFonts w:ascii="Times New Roman" w:hAnsi="Times New Roman" w:cs="Times New Roman"/>
                <w:szCs w:val="21"/>
                <w:highlight w:val="none"/>
              </w:rPr>
            </w:pPr>
            <w:r>
              <w:rPr>
                <w:rFonts w:ascii="Times New Roman" w:hAnsi="Times New Roman" w:cs="Times New Roman"/>
                <w:szCs w:val="21"/>
                <w:highlight w:val="none"/>
              </w:rPr>
            </w:r>
            <w:r/>
          </w:p>
        </w:tc>
        <w:tc>
          <w:tcPr>
            <w:tcW w:w="1843" w:type="dxa"/>
            <w:vAlign w:val="top"/>
            <w:textDirection w:val="lrTb"/>
            <w:noWrap w:val="false"/>
          </w:tcPr>
          <w:p>
            <w:pPr>
              <w:spacing w:line="440" w:lineRule="exact"/>
              <w:shd w:val="clear" w:color="auto" w:fill="auto"/>
              <w:rPr>
                <w:rFonts w:ascii="Times New Roman" w:hAnsi="Times New Roman" w:cs="Times New Roman"/>
                <w:szCs w:val="21"/>
                <w:highlight w:val="none"/>
              </w:rPr>
            </w:pPr>
            <w:r>
              <w:rPr>
                <w:rFonts w:ascii="Times New Roman" w:hAnsi="Times New Roman" w:cs="Times New Roman"/>
                <w:szCs w:val="21"/>
                <w:highlight w:val="none"/>
              </w:rPr>
            </w:r>
            <w:r/>
          </w:p>
        </w:tc>
        <w:tc>
          <w:tcPr>
            <w:tcW w:w="1843" w:type="dxa"/>
            <w:vAlign w:val="top"/>
            <w:textDirection w:val="lrTb"/>
            <w:noWrap w:val="false"/>
          </w:tcPr>
          <w:p>
            <w:pPr>
              <w:spacing w:line="440" w:lineRule="exact"/>
              <w:shd w:val="clear" w:color="auto" w:fill="auto"/>
              <w:rPr>
                <w:rFonts w:ascii="Times New Roman" w:hAnsi="Times New Roman" w:cs="Times New Roman"/>
                <w:szCs w:val="21"/>
                <w:highlight w:val="none"/>
              </w:rPr>
            </w:pPr>
            <w:r>
              <w:rPr>
                <w:rFonts w:ascii="Times New Roman" w:hAnsi="Times New Roman" w:cs="Times New Roman"/>
                <w:szCs w:val="21"/>
                <w:highlight w:val="none"/>
              </w:rPr>
            </w:r>
            <w:r/>
          </w:p>
        </w:tc>
        <w:tc>
          <w:tcPr>
            <w:tcW w:w="1843" w:type="dxa"/>
            <w:vAlign w:val="top"/>
            <w:textDirection w:val="lrTb"/>
            <w:noWrap w:val="false"/>
          </w:tcPr>
          <w:p>
            <w:pPr>
              <w:spacing w:line="440" w:lineRule="exact"/>
              <w:shd w:val="clear" w:color="auto" w:fill="auto"/>
              <w:rPr>
                <w:rFonts w:ascii="Times New Roman" w:hAnsi="Times New Roman" w:cs="Times New Roman"/>
                <w:szCs w:val="21"/>
                <w:highlight w:val="none"/>
              </w:rPr>
            </w:pPr>
            <w:r>
              <w:rPr>
                <w:rFonts w:ascii="Times New Roman" w:hAnsi="Times New Roman" w:cs="Times New Roman"/>
                <w:szCs w:val="21"/>
                <w:highlight w:val="none"/>
              </w:rPr>
            </w:r>
            <w:r/>
          </w:p>
        </w:tc>
        <w:tc>
          <w:tcPr>
            <w:tcW w:w="2423" w:type="dxa"/>
            <w:vAlign w:val="top"/>
            <w:textDirection w:val="lrTb"/>
            <w:noWrap w:val="false"/>
          </w:tcPr>
          <w:p>
            <w:pPr>
              <w:spacing w:line="440" w:lineRule="exact"/>
              <w:shd w:val="clear" w:color="auto" w:fill="auto"/>
              <w:rPr>
                <w:rFonts w:ascii="Times New Roman" w:hAnsi="Times New Roman" w:cs="Times New Roman"/>
                <w:szCs w:val="21"/>
                <w:highlight w:val="none"/>
              </w:rPr>
            </w:pPr>
            <w:r>
              <w:rPr>
                <w:rFonts w:ascii="Times New Roman" w:hAnsi="Times New Roman" w:cs="Times New Roman"/>
                <w:szCs w:val="21"/>
                <w:highlight w:val="none"/>
              </w:rPr>
            </w:r>
            <w:r/>
          </w:p>
        </w:tc>
      </w:tr>
      <w:tr>
        <w:trPr>
          <w:jc w:val="center"/>
        </w:trPr>
        <w:tc>
          <w:tcPr>
            <w:tcW w:w="675" w:type="dxa"/>
            <w:vAlign w:val="top"/>
            <w:textDirection w:val="lrTb"/>
            <w:noWrap w:val="false"/>
          </w:tcPr>
          <w:p>
            <w:pPr>
              <w:spacing w:line="440" w:lineRule="exact"/>
              <w:shd w:val="clear" w:color="auto" w:fill="auto"/>
              <w:rPr>
                <w:rFonts w:ascii="Times New Roman" w:hAnsi="Times New Roman" w:cs="Times New Roman"/>
                <w:szCs w:val="21"/>
                <w:highlight w:val="none"/>
              </w:rPr>
            </w:pPr>
            <w:r>
              <w:rPr>
                <w:rFonts w:ascii="Times New Roman" w:hAnsi="Times New Roman" w:cs="Times New Roman"/>
                <w:szCs w:val="21"/>
                <w:highlight w:val="none"/>
              </w:rPr>
            </w:r>
            <w:r/>
          </w:p>
        </w:tc>
        <w:tc>
          <w:tcPr>
            <w:tcW w:w="1134" w:type="dxa"/>
            <w:vAlign w:val="top"/>
            <w:textDirection w:val="lrTb"/>
            <w:noWrap w:val="false"/>
          </w:tcPr>
          <w:p>
            <w:pPr>
              <w:spacing w:line="440" w:lineRule="exact"/>
              <w:shd w:val="clear" w:color="auto" w:fill="auto"/>
              <w:rPr>
                <w:rFonts w:ascii="Times New Roman" w:hAnsi="Times New Roman" w:cs="Times New Roman"/>
                <w:szCs w:val="21"/>
                <w:highlight w:val="none"/>
              </w:rPr>
            </w:pPr>
            <w:r>
              <w:rPr>
                <w:rFonts w:ascii="Times New Roman" w:hAnsi="Times New Roman" w:cs="Times New Roman"/>
                <w:szCs w:val="21"/>
                <w:highlight w:val="none"/>
              </w:rPr>
            </w:r>
            <w:r/>
          </w:p>
        </w:tc>
        <w:tc>
          <w:tcPr>
            <w:tcW w:w="1843" w:type="dxa"/>
            <w:vAlign w:val="top"/>
            <w:textDirection w:val="lrTb"/>
            <w:noWrap w:val="false"/>
          </w:tcPr>
          <w:p>
            <w:pPr>
              <w:spacing w:line="440" w:lineRule="exact"/>
              <w:shd w:val="clear" w:color="auto" w:fill="auto"/>
              <w:rPr>
                <w:rFonts w:ascii="Times New Roman" w:hAnsi="Times New Roman" w:cs="Times New Roman"/>
                <w:szCs w:val="21"/>
                <w:highlight w:val="none"/>
              </w:rPr>
            </w:pPr>
            <w:r>
              <w:rPr>
                <w:rFonts w:ascii="Times New Roman" w:hAnsi="Times New Roman" w:cs="Times New Roman"/>
                <w:szCs w:val="21"/>
                <w:highlight w:val="none"/>
              </w:rPr>
            </w:r>
            <w:r/>
          </w:p>
        </w:tc>
        <w:tc>
          <w:tcPr>
            <w:tcW w:w="1843" w:type="dxa"/>
            <w:vAlign w:val="top"/>
            <w:textDirection w:val="lrTb"/>
            <w:noWrap w:val="false"/>
          </w:tcPr>
          <w:p>
            <w:pPr>
              <w:spacing w:line="440" w:lineRule="exact"/>
              <w:shd w:val="clear" w:color="auto" w:fill="auto"/>
              <w:rPr>
                <w:rFonts w:ascii="Times New Roman" w:hAnsi="Times New Roman" w:cs="Times New Roman"/>
                <w:szCs w:val="21"/>
                <w:highlight w:val="none"/>
              </w:rPr>
            </w:pPr>
            <w:r>
              <w:rPr>
                <w:rFonts w:ascii="Times New Roman" w:hAnsi="Times New Roman" w:cs="Times New Roman"/>
                <w:szCs w:val="21"/>
                <w:highlight w:val="none"/>
              </w:rPr>
            </w:r>
            <w:r/>
          </w:p>
        </w:tc>
        <w:tc>
          <w:tcPr>
            <w:tcW w:w="1843" w:type="dxa"/>
            <w:vAlign w:val="top"/>
            <w:textDirection w:val="lrTb"/>
            <w:noWrap w:val="false"/>
          </w:tcPr>
          <w:p>
            <w:pPr>
              <w:spacing w:line="440" w:lineRule="exact"/>
              <w:shd w:val="clear" w:color="auto" w:fill="auto"/>
              <w:rPr>
                <w:rFonts w:ascii="Times New Roman" w:hAnsi="Times New Roman" w:cs="Times New Roman"/>
                <w:szCs w:val="21"/>
                <w:highlight w:val="none"/>
              </w:rPr>
            </w:pPr>
            <w:r>
              <w:rPr>
                <w:rFonts w:ascii="Times New Roman" w:hAnsi="Times New Roman" w:cs="Times New Roman"/>
                <w:szCs w:val="21"/>
                <w:highlight w:val="none"/>
              </w:rPr>
            </w:r>
            <w:r/>
          </w:p>
        </w:tc>
        <w:tc>
          <w:tcPr>
            <w:tcW w:w="2423" w:type="dxa"/>
            <w:vAlign w:val="top"/>
            <w:textDirection w:val="lrTb"/>
            <w:noWrap w:val="false"/>
          </w:tcPr>
          <w:p>
            <w:pPr>
              <w:spacing w:line="440" w:lineRule="exact"/>
              <w:shd w:val="clear" w:color="auto" w:fill="auto"/>
              <w:rPr>
                <w:rFonts w:ascii="Times New Roman" w:hAnsi="Times New Roman" w:cs="Times New Roman"/>
                <w:szCs w:val="21"/>
                <w:highlight w:val="none"/>
              </w:rPr>
            </w:pPr>
            <w:r>
              <w:rPr>
                <w:rFonts w:ascii="Times New Roman" w:hAnsi="Times New Roman" w:cs="Times New Roman"/>
                <w:szCs w:val="21"/>
                <w:highlight w:val="none"/>
              </w:rPr>
            </w:r>
            <w:r/>
          </w:p>
        </w:tc>
      </w:tr>
      <w:tr>
        <w:trPr>
          <w:jc w:val="center"/>
        </w:trPr>
        <w:tc>
          <w:tcPr>
            <w:tcW w:w="675" w:type="dxa"/>
            <w:vAlign w:val="top"/>
            <w:textDirection w:val="lrTb"/>
            <w:noWrap w:val="false"/>
          </w:tcPr>
          <w:p>
            <w:pPr>
              <w:spacing w:line="440" w:lineRule="exact"/>
              <w:shd w:val="clear" w:color="auto" w:fill="auto"/>
              <w:rPr>
                <w:rFonts w:ascii="Times New Roman" w:hAnsi="Times New Roman" w:cs="Times New Roman"/>
                <w:szCs w:val="21"/>
                <w:highlight w:val="none"/>
              </w:rPr>
            </w:pPr>
            <w:r>
              <w:rPr>
                <w:rFonts w:ascii="Times New Roman" w:hAnsi="Times New Roman" w:cs="Times New Roman"/>
                <w:szCs w:val="21"/>
                <w:highlight w:val="none"/>
              </w:rPr>
            </w:r>
            <w:r/>
          </w:p>
        </w:tc>
        <w:tc>
          <w:tcPr>
            <w:tcW w:w="1134" w:type="dxa"/>
            <w:vAlign w:val="top"/>
            <w:textDirection w:val="lrTb"/>
            <w:noWrap w:val="false"/>
          </w:tcPr>
          <w:p>
            <w:pPr>
              <w:spacing w:line="440" w:lineRule="exact"/>
              <w:shd w:val="clear" w:color="auto" w:fill="auto"/>
              <w:rPr>
                <w:rFonts w:ascii="Times New Roman" w:hAnsi="Times New Roman" w:cs="Times New Roman"/>
                <w:szCs w:val="21"/>
                <w:highlight w:val="none"/>
              </w:rPr>
            </w:pPr>
            <w:r>
              <w:rPr>
                <w:rFonts w:ascii="Times New Roman" w:hAnsi="Times New Roman" w:cs="Times New Roman"/>
                <w:szCs w:val="21"/>
                <w:highlight w:val="none"/>
              </w:rPr>
            </w:r>
            <w:r/>
          </w:p>
        </w:tc>
        <w:tc>
          <w:tcPr>
            <w:tcW w:w="1843" w:type="dxa"/>
            <w:vAlign w:val="top"/>
            <w:textDirection w:val="lrTb"/>
            <w:noWrap w:val="false"/>
          </w:tcPr>
          <w:p>
            <w:pPr>
              <w:spacing w:line="440" w:lineRule="exact"/>
              <w:shd w:val="clear" w:color="auto" w:fill="auto"/>
              <w:rPr>
                <w:rFonts w:ascii="Times New Roman" w:hAnsi="Times New Roman" w:cs="Times New Roman"/>
                <w:szCs w:val="21"/>
                <w:highlight w:val="none"/>
              </w:rPr>
            </w:pPr>
            <w:r>
              <w:rPr>
                <w:rFonts w:ascii="Times New Roman" w:hAnsi="Times New Roman" w:cs="Times New Roman"/>
                <w:szCs w:val="21"/>
                <w:highlight w:val="none"/>
              </w:rPr>
            </w:r>
            <w:r/>
          </w:p>
        </w:tc>
        <w:tc>
          <w:tcPr>
            <w:tcW w:w="1843" w:type="dxa"/>
            <w:vAlign w:val="top"/>
            <w:textDirection w:val="lrTb"/>
            <w:noWrap w:val="false"/>
          </w:tcPr>
          <w:p>
            <w:pPr>
              <w:spacing w:line="440" w:lineRule="exact"/>
              <w:shd w:val="clear" w:color="auto" w:fill="auto"/>
              <w:rPr>
                <w:rFonts w:ascii="Times New Roman" w:hAnsi="Times New Roman" w:cs="Times New Roman"/>
                <w:szCs w:val="21"/>
                <w:highlight w:val="none"/>
              </w:rPr>
            </w:pPr>
            <w:r>
              <w:rPr>
                <w:rFonts w:ascii="Times New Roman" w:hAnsi="Times New Roman" w:cs="Times New Roman"/>
                <w:szCs w:val="21"/>
                <w:highlight w:val="none"/>
              </w:rPr>
            </w:r>
            <w:r/>
          </w:p>
        </w:tc>
        <w:tc>
          <w:tcPr>
            <w:tcW w:w="1843" w:type="dxa"/>
            <w:vAlign w:val="top"/>
            <w:textDirection w:val="lrTb"/>
            <w:noWrap w:val="false"/>
          </w:tcPr>
          <w:p>
            <w:pPr>
              <w:spacing w:line="440" w:lineRule="exact"/>
              <w:shd w:val="clear" w:color="auto" w:fill="auto"/>
              <w:rPr>
                <w:rFonts w:ascii="Times New Roman" w:hAnsi="Times New Roman" w:cs="Times New Roman"/>
                <w:szCs w:val="21"/>
                <w:highlight w:val="none"/>
              </w:rPr>
            </w:pPr>
            <w:r>
              <w:rPr>
                <w:rFonts w:ascii="Times New Roman" w:hAnsi="Times New Roman" w:cs="Times New Roman"/>
                <w:szCs w:val="21"/>
                <w:highlight w:val="none"/>
              </w:rPr>
            </w:r>
            <w:r/>
          </w:p>
        </w:tc>
        <w:tc>
          <w:tcPr>
            <w:tcW w:w="2423" w:type="dxa"/>
            <w:vAlign w:val="top"/>
            <w:textDirection w:val="lrTb"/>
            <w:noWrap w:val="false"/>
          </w:tcPr>
          <w:p>
            <w:pPr>
              <w:spacing w:line="440" w:lineRule="exact"/>
              <w:shd w:val="clear" w:color="auto" w:fill="auto"/>
              <w:rPr>
                <w:rFonts w:ascii="Times New Roman" w:hAnsi="Times New Roman" w:cs="Times New Roman"/>
                <w:szCs w:val="21"/>
                <w:highlight w:val="none"/>
              </w:rPr>
            </w:pPr>
            <w:r>
              <w:rPr>
                <w:rFonts w:ascii="Times New Roman" w:hAnsi="Times New Roman" w:cs="Times New Roman"/>
                <w:szCs w:val="21"/>
                <w:highlight w:val="none"/>
              </w:rPr>
            </w:r>
            <w:r/>
          </w:p>
        </w:tc>
      </w:tr>
      <w:tr>
        <w:trPr>
          <w:jc w:val="center"/>
        </w:trPr>
        <w:tc>
          <w:tcPr>
            <w:tcW w:w="675" w:type="dxa"/>
            <w:vAlign w:val="top"/>
            <w:textDirection w:val="lrTb"/>
            <w:noWrap w:val="false"/>
          </w:tcPr>
          <w:p>
            <w:pPr>
              <w:spacing w:line="440" w:lineRule="exact"/>
              <w:shd w:val="clear" w:color="auto" w:fill="auto"/>
              <w:rPr>
                <w:rFonts w:ascii="Times New Roman" w:hAnsi="Times New Roman" w:cs="Times New Roman"/>
                <w:szCs w:val="21"/>
                <w:highlight w:val="none"/>
              </w:rPr>
            </w:pPr>
            <w:r>
              <w:rPr>
                <w:rFonts w:ascii="Times New Roman" w:hAnsi="Times New Roman" w:cs="Times New Roman"/>
                <w:szCs w:val="21"/>
                <w:highlight w:val="none"/>
              </w:rPr>
            </w:r>
            <w:r/>
          </w:p>
        </w:tc>
        <w:tc>
          <w:tcPr>
            <w:tcW w:w="1134" w:type="dxa"/>
            <w:vAlign w:val="top"/>
            <w:textDirection w:val="lrTb"/>
            <w:noWrap w:val="false"/>
          </w:tcPr>
          <w:p>
            <w:pPr>
              <w:spacing w:line="440" w:lineRule="exact"/>
              <w:shd w:val="clear" w:color="auto" w:fill="auto"/>
              <w:rPr>
                <w:rFonts w:ascii="Times New Roman" w:hAnsi="Times New Roman" w:cs="Times New Roman"/>
                <w:szCs w:val="21"/>
                <w:highlight w:val="none"/>
              </w:rPr>
            </w:pPr>
            <w:r>
              <w:rPr>
                <w:rFonts w:ascii="Times New Roman" w:hAnsi="Times New Roman" w:cs="Times New Roman"/>
                <w:szCs w:val="21"/>
                <w:highlight w:val="none"/>
              </w:rPr>
            </w:r>
            <w:r/>
          </w:p>
        </w:tc>
        <w:tc>
          <w:tcPr>
            <w:tcW w:w="1843" w:type="dxa"/>
            <w:vAlign w:val="top"/>
            <w:textDirection w:val="lrTb"/>
            <w:noWrap w:val="false"/>
          </w:tcPr>
          <w:p>
            <w:pPr>
              <w:spacing w:line="440" w:lineRule="exact"/>
              <w:shd w:val="clear" w:color="auto" w:fill="auto"/>
              <w:rPr>
                <w:rFonts w:ascii="Times New Roman" w:hAnsi="Times New Roman" w:cs="Times New Roman"/>
                <w:szCs w:val="21"/>
                <w:highlight w:val="none"/>
              </w:rPr>
            </w:pPr>
            <w:r>
              <w:rPr>
                <w:rFonts w:ascii="Times New Roman" w:hAnsi="Times New Roman" w:cs="Times New Roman"/>
                <w:szCs w:val="21"/>
                <w:highlight w:val="none"/>
              </w:rPr>
            </w:r>
            <w:r/>
          </w:p>
        </w:tc>
        <w:tc>
          <w:tcPr>
            <w:tcW w:w="1843" w:type="dxa"/>
            <w:vAlign w:val="top"/>
            <w:textDirection w:val="lrTb"/>
            <w:noWrap w:val="false"/>
          </w:tcPr>
          <w:p>
            <w:pPr>
              <w:spacing w:line="440" w:lineRule="exact"/>
              <w:shd w:val="clear" w:color="auto" w:fill="auto"/>
              <w:rPr>
                <w:rFonts w:ascii="Times New Roman" w:hAnsi="Times New Roman" w:cs="Times New Roman"/>
                <w:szCs w:val="21"/>
                <w:highlight w:val="none"/>
              </w:rPr>
            </w:pPr>
            <w:r>
              <w:rPr>
                <w:rFonts w:ascii="Times New Roman" w:hAnsi="Times New Roman" w:cs="Times New Roman"/>
                <w:szCs w:val="21"/>
                <w:highlight w:val="none"/>
              </w:rPr>
            </w:r>
            <w:r/>
          </w:p>
        </w:tc>
        <w:tc>
          <w:tcPr>
            <w:tcW w:w="1843" w:type="dxa"/>
            <w:vAlign w:val="top"/>
            <w:textDirection w:val="lrTb"/>
            <w:noWrap w:val="false"/>
          </w:tcPr>
          <w:p>
            <w:pPr>
              <w:spacing w:line="440" w:lineRule="exact"/>
              <w:shd w:val="clear" w:color="auto" w:fill="auto"/>
              <w:rPr>
                <w:rFonts w:ascii="Times New Roman" w:hAnsi="Times New Roman" w:cs="Times New Roman"/>
                <w:szCs w:val="21"/>
                <w:highlight w:val="none"/>
              </w:rPr>
            </w:pPr>
            <w:r>
              <w:rPr>
                <w:rFonts w:ascii="Times New Roman" w:hAnsi="Times New Roman" w:cs="Times New Roman"/>
                <w:szCs w:val="21"/>
                <w:highlight w:val="none"/>
              </w:rPr>
            </w:r>
            <w:r/>
          </w:p>
        </w:tc>
        <w:tc>
          <w:tcPr>
            <w:tcW w:w="2423" w:type="dxa"/>
            <w:vAlign w:val="top"/>
            <w:textDirection w:val="lrTb"/>
            <w:noWrap w:val="false"/>
          </w:tcPr>
          <w:p>
            <w:pPr>
              <w:spacing w:line="440" w:lineRule="exact"/>
              <w:shd w:val="clear" w:color="auto" w:fill="auto"/>
              <w:rPr>
                <w:rFonts w:ascii="Times New Roman" w:hAnsi="Times New Roman" w:cs="Times New Roman"/>
                <w:szCs w:val="21"/>
                <w:highlight w:val="none"/>
              </w:rPr>
            </w:pPr>
            <w:r>
              <w:rPr>
                <w:rFonts w:ascii="Times New Roman" w:hAnsi="Times New Roman" w:cs="Times New Roman"/>
                <w:szCs w:val="21"/>
                <w:highlight w:val="none"/>
              </w:rPr>
            </w:r>
            <w:r/>
          </w:p>
        </w:tc>
      </w:tr>
      <w:tr>
        <w:trPr>
          <w:jc w:val="center"/>
        </w:trPr>
        <w:tc>
          <w:tcPr>
            <w:tcW w:w="675" w:type="dxa"/>
            <w:vAlign w:val="top"/>
            <w:textDirection w:val="lrTb"/>
            <w:noWrap w:val="false"/>
          </w:tcPr>
          <w:p>
            <w:pPr>
              <w:spacing w:line="440" w:lineRule="exact"/>
              <w:shd w:val="clear" w:color="auto" w:fill="auto"/>
              <w:rPr>
                <w:rFonts w:ascii="Times New Roman" w:hAnsi="Times New Roman" w:cs="Times New Roman"/>
                <w:szCs w:val="21"/>
                <w:highlight w:val="none"/>
              </w:rPr>
            </w:pPr>
            <w:r>
              <w:rPr>
                <w:rFonts w:ascii="Times New Roman" w:hAnsi="Times New Roman" w:cs="Times New Roman"/>
                <w:szCs w:val="21"/>
                <w:highlight w:val="none"/>
              </w:rPr>
            </w:r>
            <w:r/>
          </w:p>
        </w:tc>
        <w:tc>
          <w:tcPr>
            <w:tcW w:w="1134" w:type="dxa"/>
            <w:vAlign w:val="top"/>
            <w:textDirection w:val="lrTb"/>
            <w:noWrap w:val="false"/>
          </w:tcPr>
          <w:p>
            <w:pPr>
              <w:spacing w:line="440" w:lineRule="exact"/>
              <w:shd w:val="clear" w:color="auto" w:fill="auto"/>
              <w:rPr>
                <w:rFonts w:ascii="Times New Roman" w:hAnsi="Times New Roman" w:cs="Times New Roman"/>
                <w:szCs w:val="21"/>
                <w:highlight w:val="none"/>
              </w:rPr>
            </w:pPr>
            <w:r>
              <w:rPr>
                <w:rFonts w:ascii="Times New Roman" w:hAnsi="Times New Roman" w:cs="Times New Roman"/>
                <w:szCs w:val="21"/>
                <w:highlight w:val="none"/>
              </w:rPr>
            </w:r>
            <w:r/>
          </w:p>
        </w:tc>
        <w:tc>
          <w:tcPr>
            <w:tcW w:w="1843" w:type="dxa"/>
            <w:vAlign w:val="top"/>
            <w:textDirection w:val="lrTb"/>
            <w:noWrap w:val="false"/>
          </w:tcPr>
          <w:p>
            <w:pPr>
              <w:spacing w:line="440" w:lineRule="exact"/>
              <w:shd w:val="clear" w:color="auto" w:fill="auto"/>
              <w:rPr>
                <w:rFonts w:ascii="Times New Roman" w:hAnsi="Times New Roman" w:cs="Times New Roman"/>
                <w:szCs w:val="21"/>
                <w:highlight w:val="none"/>
              </w:rPr>
            </w:pPr>
            <w:r>
              <w:rPr>
                <w:rFonts w:ascii="Times New Roman" w:hAnsi="Times New Roman" w:cs="Times New Roman"/>
                <w:szCs w:val="21"/>
                <w:highlight w:val="none"/>
              </w:rPr>
            </w:r>
            <w:r/>
          </w:p>
        </w:tc>
        <w:tc>
          <w:tcPr>
            <w:tcW w:w="1843" w:type="dxa"/>
            <w:vAlign w:val="top"/>
            <w:textDirection w:val="lrTb"/>
            <w:noWrap w:val="false"/>
          </w:tcPr>
          <w:p>
            <w:pPr>
              <w:spacing w:line="440" w:lineRule="exact"/>
              <w:shd w:val="clear" w:color="auto" w:fill="auto"/>
              <w:rPr>
                <w:rFonts w:ascii="Times New Roman" w:hAnsi="Times New Roman" w:cs="Times New Roman"/>
                <w:szCs w:val="21"/>
                <w:highlight w:val="none"/>
              </w:rPr>
            </w:pPr>
            <w:r>
              <w:rPr>
                <w:rFonts w:ascii="Times New Roman" w:hAnsi="Times New Roman" w:cs="Times New Roman"/>
                <w:szCs w:val="21"/>
                <w:highlight w:val="none"/>
              </w:rPr>
            </w:r>
            <w:r/>
          </w:p>
        </w:tc>
        <w:tc>
          <w:tcPr>
            <w:tcW w:w="1843" w:type="dxa"/>
            <w:vAlign w:val="top"/>
            <w:textDirection w:val="lrTb"/>
            <w:noWrap w:val="false"/>
          </w:tcPr>
          <w:p>
            <w:pPr>
              <w:spacing w:line="440" w:lineRule="exact"/>
              <w:shd w:val="clear" w:color="auto" w:fill="auto"/>
              <w:rPr>
                <w:rFonts w:ascii="Times New Roman" w:hAnsi="Times New Roman" w:cs="Times New Roman"/>
                <w:szCs w:val="21"/>
                <w:highlight w:val="none"/>
              </w:rPr>
            </w:pPr>
            <w:r>
              <w:rPr>
                <w:rFonts w:ascii="Times New Roman" w:hAnsi="Times New Roman" w:cs="Times New Roman"/>
                <w:szCs w:val="21"/>
                <w:highlight w:val="none"/>
              </w:rPr>
            </w:r>
            <w:r/>
          </w:p>
        </w:tc>
        <w:tc>
          <w:tcPr>
            <w:tcW w:w="2423" w:type="dxa"/>
            <w:vAlign w:val="top"/>
            <w:textDirection w:val="lrTb"/>
            <w:noWrap w:val="false"/>
          </w:tcPr>
          <w:p>
            <w:pPr>
              <w:spacing w:line="440" w:lineRule="exact"/>
              <w:shd w:val="clear" w:color="auto" w:fill="auto"/>
              <w:rPr>
                <w:rFonts w:ascii="Times New Roman" w:hAnsi="Times New Roman" w:cs="Times New Roman"/>
                <w:szCs w:val="21"/>
                <w:highlight w:val="none"/>
              </w:rPr>
            </w:pPr>
            <w:r>
              <w:rPr>
                <w:rFonts w:ascii="Times New Roman" w:hAnsi="Times New Roman" w:cs="Times New Roman"/>
                <w:szCs w:val="21"/>
                <w:highlight w:val="none"/>
              </w:rPr>
            </w:r>
            <w:r/>
          </w:p>
        </w:tc>
      </w:tr>
      <w:tr>
        <w:trPr>
          <w:jc w:val="center"/>
        </w:trPr>
        <w:tc>
          <w:tcPr>
            <w:tcW w:w="675" w:type="dxa"/>
            <w:vAlign w:val="top"/>
            <w:textDirection w:val="lrTb"/>
            <w:noWrap w:val="false"/>
          </w:tcPr>
          <w:p>
            <w:pPr>
              <w:spacing w:line="440" w:lineRule="exact"/>
              <w:shd w:val="clear" w:color="auto" w:fill="auto"/>
              <w:rPr>
                <w:rFonts w:ascii="Times New Roman" w:hAnsi="Times New Roman" w:cs="Times New Roman"/>
                <w:szCs w:val="21"/>
                <w:highlight w:val="none"/>
              </w:rPr>
            </w:pPr>
            <w:r>
              <w:rPr>
                <w:rFonts w:ascii="Times New Roman" w:hAnsi="Times New Roman" w:cs="Times New Roman"/>
                <w:szCs w:val="21"/>
                <w:highlight w:val="none"/>
              </w:rPr>
            </w:r>
            <w:r/>
          </w:p>
        </w:tc>
        <w:tc>
          <w:tcPr>
            <w:tcW w:w="1134" w:type="dxa"/>
            <w:vAlign w:val="top"/>
            <w:textDirection w:val="lrTb"/>
            <w:noWrap w:val="false"/>
          </w:tcPr>
          <w:p>
            <w:pPr>
              <w:spacing w:line="440" w:lineRule="exact"/>
              <w:shd w:val="clear" w:color="auto" w:fill="auto"/>
              <w:rPr>
                <w:rFonts w:ascii="Times New Roman" w:hAnsi="Times New Roman" w:cs="Times New Roman"/>
                <w:szCs w:val="21"/>
                <w:highlight w:val="none"/>
              </w:rPr>
            </w:pPr>
            <w:r>
              <w:rPr>
                <w:rFonts w:ascii="Times New Roman" w:hAnsi="Times New Roman" w:cs="Times New Roman"/>
                <w:szCs w:val="21"/>
                <w:highlight w:val="none"/>
              </w:rPr>
            </w:r>
            <w:r/>
          </w:p>
        </w:tc>
        <w:tc>
          <w:tcPr>
            <w:tcW w:w="1843" w:type="dxa"/>
            <w:vAlign w:val="top"/>
            <w:textDirection w:val="lrTb"/>
            <w:noWrap w:val="false"/>
          </w:tcPr>
          <w:p>
            <w:pPr>
              <w:spacing w:line="440" w:lineRule="exact"/>
              <w:shd w:val="clear" w:color="auto" w:fill="auto"/>
              <w:rPr>
                <w:rFonts w:ascii="Times New Roman" w:hAnsi="Times New Roman" w:cs="Times New Roman"/>
                <w:szCs w:val="21"/>
                <w:highlight w:val="none"/>
              </w:rPr>
            </w:pPr>
            <w:r>
              <w:rPr>
                <w:rFonts w:ascii="Times New Roman" w:hAnsi="Times New Roman" w:cs="Times New Roman"/>
                <w:szCs w:val="21"/>
                <w:highlight w:val="none"/>
              </w:rPr>
            </w:r>
            <w:r/>
          </w:p>
        </w:tc>
        <w:tc>
          <w:tcPr>
            <w:tcW w:w="1843" w:type="dxa"/>
            <w:vAlign w:val="top"/>
            <w:textDirection w:val="lrTb"/>
            <w:noWrap w:val="false"/>
          </w:tcPr>
          <w:p>
            <w:pPr>
              <w:spacing w:line="440" w:lineRule="exact"/>
              <w:shd w:val="clear" w:color="auto" w:fill="auto"/>
              <w:rPr>
                <w:rFonts w:ascii="Times New Roman" w:hAnsi="Times New Roman" w:cs="Times New Roman"/>
                <w:szCs w:val="21"/>
                <w:highlight w:val="none"/>
              </w:rPr>
            </w:pPr>
            <w:r>
              <w:rPr>
                <w:rFonts w:ascii="Times New Roman" w:hAnsi="Times New Roman" w:cs="Times New Roman"/>
                <w:szCs w:val="21"/>
                <w:highlight w:val="none"/>
              </w:rPr>
            </w:r>
            <w:r/>
          </w:p>
        </w:tc>
        <w:tc>
          <w:tcPr>
            <w:tcW w:w="1843" w:type="dxa"/>
            <w:vAlign w:val="top"/>
            <w:textDirection w:val="lrTb"/>
            <w:noWrap w:val="false"/>
          </w:tcPr>
          <w:p>
            <w:pPr>
              <w:spacing w:line="440" w:lineRule="exact"/>
              <w:shd w:val="clear" w:color="auto" w:fill="auto"/>
              <w:rPr>
                <w:rFonts w:ascii="Times New Roman" w:hAnsi="Times New Roman" w:cs="Times New Roman"/>
                <w:szCs w:val="21"/>
                <w:highlight w:val="none"/>
              </w:rPr>
            </w:pPr>
            <w:r>
              <w:rPr>
                <w:rFonts w:ascii="Times New Roman" w:hAnsi="Times New Roman" w:cs="Times New Roman"/>
                <w:szCs w:val="21"/>
                <w:highlight w:val="none"/>
              </w:rPr>
            </w:r>
            <w:r/>
          </w:p>
        </w:tc>
        <w:tc>
          <w:tcPr>
            <w:tcW w:w="2423" w:type="dxa"/>
            <w:vAlign w:val="top"/>
            <w:textDirection w:val="lrTb"/>
            <w:noWrap w:val="false"/>
          </w:tcPr>
          <w:p>
            <w:pPr>
              <w:spacing w:line="440" w:lineRule="exact"/>
              <w:shd w:val="clear" w:color="auto" w:fill="auto"/>
              <w:rPr>
                <w:rFonts w:ascii="Times New Roman" w:hAnsi="Times New Roman" w:cs="Times New Roman"/>
                <w:szCs w:val="21"/>
                <w:highlight w:val="none"/>
              </w:rPr>
            </w:pPr>
            <w:r>
              <w:rPr>
                <w:rFonts w:ascii="Times New Roman" w:hAnsi="Times New Roman" w:cs="Times New Roman"/>
                <w:szCs w:val="21"/>
                <w:highlight w:val="none"/>
              </w:rPr>
            </w:r>
            <w:r/>
          </w:p>
        </w:tc>
      </w:tr>
      <w:tr>
        <w:trPr>
          <w:jc w:val="center"/>
        </w:trPr>
        <w:tc>
          <w:tcPr>
            <w:tcW w:w="675" w:type="dxa"/>
            <w:vAlign w:val="top"/>
            <w:textDirection w:val="lrTb"/>
            <w:noWrap w:val="false"/>
          </w:tcPr>
          <w:p>
            <w:pPr>
              <w:spacing w:line="440" w:lineRule="exact"/>
              <w:shd w:val="clear" w:color="auto" w:fill="auto"/>
              <w:rPr>
                <w:rFonts w:ascii="Times New Roman" w:hAnsi="Times New Roman" w:cs="Times New Roman"/>
                <w:szCs w:val="21"/>
                <w:highlight w:val="none"/>
              </w:rPr>
            </w:pPr>
            <w:r>
              <w:rPr>
                <w:rFonts w:ascii="Times New Roman" w:hAnsi="Times New Roman" w:cs="Times New Roman"/>
                <w:szCs w:val="21"/>
                <w:highlight w:val="none"/>
              </w:rPr>
            </w:r>
            <w:r/>
          </w:p>
        </w:tc>
        <w:tc>
          <w:tcPr>
            <w:tcW w:w="1134" w:type="dxa"/>
            <w:vAlign w:val="top"/>
            <w:textDirection w:val="lrTb"/>
            <w:noWrap w:val="false"/>
          </w:tcPr>
          <w:p>
            <w:pPr>
              <w:spacing w:line="440" w:lineRule="exact"/>
              <w:shd w:val="clear" w:color="auto" w:fill="auto"/>
              <w:rPr>
                <w:rFonts w:ascii="Times New Roman" w:hAnsi="Times New Roman" w:cs="Times New Roman"/>
                <w:szCs w:val="21"/>
                <w:highlight w:val="none"/>
              </w:rPr>
            </w:pPr>
            <w:r>
              <w:rPr>
                <w:rFonts w:ascii="Times New Roman" w:hAnsi="Times New Roman" w:cs="Times New Roman"/>
                <w:szCs w:val="21"/>
                <w:highlight w:val="none"/>
              </w:rPr>
            </w:r>
            <w:r/>
          </w:p>
        </w:tc>
        <w:tc>
          <w:tcPr>
            <w:tcW w:w="1843" w:type="dxa"/>
            <w:vAlign w:val="top"/>
            <w:textDirection w:val="lrTb"/>
            <w:noWrap w:val="false"/>
          </w:tcPr>
          <w:p>
            <w:pPr>
              <w:spacing w:line="440" w:lineRule="exact"/>
              <w:shd w:val="clear" w:color="auto" w:fill="auto"/>
              <w:rPr>
                <w:rFonts w:ascii="Times New Roman" w:hAnsi="Times New Roman" w:cs="Times New Roman"/>
                <w:szCs w:val="21"/>
                <w:highlight w:val="none"/>
              </w:rPr>
            </w:pPr>
            <w:r>
              <w:rPr>
                <w:rFonts w:ascii="Times New Roman" w:hAnsi="Times New Roman" w:cs="Times New Roman"/>
                <w:szCs w:val="21"/>
                <w:highlight w:val="none"/>
              </w:rPr>
            </w:r>
            <w:r/>
          </w:p>
        </w:tc>
        <w:tc>
          <w:tcPr>
            <w:tcW w:w="1843" w:type="dxa"/>
            <w:vAlign w:val="top"/>
            <w:textDirection w:val="lrTb"/>
            <w:noWrap w:val="false"/>
          </w:tcPr>
          <w:p>
            <w:pPr>
              <w:spacing w:line="440" w:lineRule="exact"/>
              <w:shd w:val="clear" w:color="auto" w:fill="auto"/>
              <w:rPr>
                <w:rFonts w:ascii="Times New Roman" w:hAnsi="Times New Roman" w:cs="Times New Roman"/>
                <w:szCs w:val="21"/>
                <w:highlight w:val="none"/>
              </w:rPr>
            </w:pPr>
            <w:r>
              <w:rPr>
                <w:rFonts w:ascii="Times New Roman" w:hAnsi="Times New Roman" w:cs="Times New Roman"/>
                <w:szCs w:val="21"/>
                <w:highlight w:val="none"/>
              </w:rPr>
            </w:r>
            <w:r/>
          </w:p>
        </w:tc>
        <w:tc>
          <w:tcPr>
            <w:tcW w:w="1843" w:type="dxa"/>
            <w:vAlign w:val="top"/>
            <w:textDirection w:val="lrTb"/>
            <w:noWrap w:val="false"/>
          </w:tcPr>
          <w:p>
            <w:pPr>
              <w:spacing w:line="440" w:lineRule="exact"/>
              <w:shd w:val="clear" w:color="auto" w:fill="auto"/>
              <w:rPr>
                <w:rFonts w:ascii="Times New Roman" w:hAnsi="Times New Roman" w:cs="Times New Roman"/>
                <w:szCs w:val="21"/>
                <w:highlight w:val="none"/>
              </w:rPr>
            </w:pPr>
            <w:r>
              <w:rPr>
                <w:rFonts w:ascii="Times New Roman" w:hAnsi="Times New Roman" w:cs="Times New Roman"/>
                <w:szCs w:val="21"/>
                <w:highlight w:val="none"/>
              </w:rPr>
            </w:r>
            <w:r/>
          </w:p>
        </w:tc>
        <w:tc>
          <w:tcPr>
            <w:tcW w:w="2423" w:type="dxa"/>
            <w:vAlign w:val="top"/>
            <w:textDirection w:val="lrTb"/>
            <w:noWrap w:val="false"/>
          </w:tcPr>
          <w:p>
            <w:pPr>
              <w:spacing w:line="440" w:lineRule="exact"/>
              <w:shd w:val="clear" w:color="auto" w:fill="auto"/>
              <w:rPr>
                <w:rFonts w:ascii="Times New Roman" w:hAnsi="Times New Roman" w:cs="Times New Roman"/>
                <w:szCs w:val="21"/>
                <w:highlight w:val="none"/>
              </w:rPr>
            </w:pPr>
            <w:r>
              <w:rPr>
                <w:rFonts w:ascii="Times New Roman" w:hAnsi="Times New Roman" w:cs="Times New Roman"/>
                <w:szCs w:val="21"/>
                <w:highlight w:val="none"/>
              </w:rPr>
            </w:r>
            <w:r/>
          </w:p>
        </w:tc>
      </w:tr>
      <w:tr>
        <w:trPr>
          <w:jc w:val="center"/>
        </w:trPr>
        <w:tc>
          <w:tcPr>
            <w:tcW w:w="675" w:type="dxa"/>
            <w:vAlign w:val="top"/>
            <w:textDirection w:val="lrTb"/>
            <w:noWrap w:val="false"/>
          </w:tcPr>
          <w:p>
            <w:pPr>
              <w:spacing w:line="440" w:lineRule="exact"/>
              <w:shd w:val="clear" w:color="auto" w:fill="auto"/>
              <w:rPr>
                <w:rFonts w:ascii="Times New Roman" w:hAnsi="Times New Roman" w:cs="Times New Roman"/>
                <w:szCs w:val="21"/>
                <w:highlight w:val="none"/>
              </w:rPr>
            </w:pPr>
            <w:r>
              <w:rPr>
                <w:rFonts w:ascii="Times New Roman" w:hAnsi="Times New Roman" w:cs="Times New Roman"/>
                <w:szCs w:val="21"/>
                <w:highlight w:val="none"/>
              </w:rPr>
            </w:r>
            <w:r/>
          </w:p>
        </w:tc>
        <w:tc>
          <w:tcPr>
            <w:tcW w:w="1134" w:type="dxa"/>
            <w:vAlign w:val="top"/>
            <w:textDirection w:val="lrTb"/>
            <w:noWrap w:val="false"/>
          </w:tcPr>
          <w:p>
            <w:pPr>
              <w:spacing w:line="440" w:lineRule="exact"/>
              <w:shd w:val="clear" w:color="auto" w:fill="auto"/>
              <w:rPr>
                <w:rFonts w:ascii="Times New Roman" w:hAnsi="Times New Roman" w:cs="Times New Roman"/>
                <w:szCs w:val="21"/>
                <w:highlight w:val="none"/>
              </w:rPr>
            </w:pPr>
            <w:r>
              <w:rPr>
                <w:rFonts w:ascii="Times New Roman" w:hAnsi="Times New Roman" w:cs="Times New Roman"/>
                <w:szCs w:val="21"/>
                <w:highlight w:val="none"/>
              </w:rPr>
            </w:r>
            <w:r/>
          </w:p>
        </w:tc>
        <w:tc>
          <w:tcPr>
            <w:tcW w:w="1843" w:type="dxa"/>
            <w:vAlign w:val="top"/>
            <w:textDirection w:val="lrTb"/>
            <w:noWrap w:val="false"/>
          </w:tcPr>
          <w:p>
            <w:pPr>
              <w:spacing w:line="440" w:lineRule="exact"/>
              <w:shd w:val="clear" w:color="auto" w:fill="auto"/>
              <w:rPr>
                <w:rFonts w:ascii="Times New Roman" w:hAnsi="Times New Roman" w:cs="Times New Roman"/>
                <w:szCs w:val="21"/>
                <w:highlight w:val="none"/>
              </w:rPr>
            </w:pPr>
            <w:r>
              <w:rPr>
                <w:rFonts w:ascii="Times New Roman" w:hAnsi="Times New Roman" w:cs="Times New Roman"/>
                <w:szCs w:val="21"/>
                <w:highlight w:val="none"/>
              </w:rPr>
            </w:r>
            <w:r/>
          </w:p>
        </w:tc>
        <w:tc>
          <w:tcPr>
            <w:tcW w:w="1843" w:type="dxa"/>
            <w:vAlign w:val="top"/>
            <w:textDirection w:val="lrTb"/>
            <w:noWrap w:val="false"/>
          </w:tcPr>
          <w:p>
            <w:pPr>
              <w:spacing w:line="440" w:lineRule="exact"/>
              <w:shd w:val="clear" w:color="auto" w:fill="auto"/>
              <w:rPr>
                <w:rFonts w:ascii="Times New Roman" w:hAnsi="Times New Roman" w:cs="Times New Roman"/>
                <w:szCs w:val="21"/>
                <w:highlight w:val="none"/>
              </w:rPr>
            </w:pPr>
            <w:r>
              <w:rPr>
                <w:rFonts w:ascii="Times New Roman" w:hAnsi="Times New Roman" w:cs="Times New Roman"/>
                <w:szCs w:val="21"/>
                <w:highlight w:val="none"/>
              </w:rPr>
            </w:r>
            <w:r/>
          </w:p>
        </w:tc>
        <w:tc>
          <w:tcPr>
            <w:tcW w:w="1843" w:type="dxa"/>
            <w:vAlign w:val="top"/>
            <w:textDirection w:val="lrTb"/>
            <w:noWrap w:val="false"/>
          </w:tcPr>
          <w:p>
            <w:pPr>
              <w:spacing w:line="440" w:lineRule="exact"/>
              <w:shd w:val="clear" w:color="auto" w:fill="auto"/>
              <w:rPr>
                <w:rFonts w:ascii="Times New Roman" w:hAnsi="Times New Roman" w:cs="Times New Roman"/>
                <w:szCs w:val="21"/>
                <w:highlight w:val="none"/>
              </w:rPr>
            </w:pPr>
            <w:r>
              <w:rPr>
                <w:rFonts w:ascii="Times New Roman" w:hAnsi="Times New Roman" w:cs="Times New Roman"/>
                <w:szCs w:val="21"/>
                <w:highlight w:val="none"/>
              </w:rPr>
            </w:r>
            <w:r/>
          </w:p>
        </w:tc>
        <w:tc>
          <w:tcPr>
            <w:tcW w:w="2423" w:type="dxa"/>
            <w:vAlign w:val="top"/>
            <w:textDirection w:val="lrTb"/>
            <w:noWrap w:val="false"/>
          </w:tcPr>
          <w:p>
            <w:pPr>
              <w:spacing w:line="440" w:lineRule="exact"/>
              <w:shd w:val="clear" w:color="auto" w:fill="auto"/>
              <w:rPr>
                <w:rFonts w:ascii="Times New Roman" w:hAnsi="Times New Roman" w:cs="Times New Roman"/>
                <w:szCs w:val="21"/>
                <w:highlight w:val="none"/>
              </w:rPr>
            </w:pPr>
            <w:r>
              <w:rPr>
                <w:rFonts w:ascii="Times New Roman" w:hAnsi="Times New Roman" w:cs="Times New Roman"/>
                <w:szCs w:val="21"/>
                <w:highlight w:val="none"/>
              </w:rPr>
            </w:r>
            <w:r/>
          </w:p>
        </w:tc>
      </w:tr>
      <w:tr>
        <w:trPr>
          <w:jc w:val="center"/>
        </w:trPr>
        <w:tc>
          <w:tcPr>
            <w:tcW w:w="675" w:type="dxa"/>
            <w:vAlign w:val="top"/>
            <w:textDirection w:val="lrTb"/>
            <w:noWrap w:val="false"/>
          </w:tcPr>
          <w:p>
            <w:pPr>
              <w:spacing w:line="440" w:lineRule="exact"/>
              <w:shd w:val="clear" w:color="auto" w:fill="auto"/>
              <w:rPr>
                <w:rFonts w:ascii="Times New Roman" w:hAnsi="Times New Roman" w:cs="Times New Roman"/>
                <w:szCs w:val="21"/>
                <w:highlight w:val="none"/>
              </w:rPr>
            </w:pPr>
            <w:r>
              <w:rPr>
                <w:rFonts w:ascii="Times New Roman" w:hAnsi="Times New Roman" w:cs="Times New Roman"/>
                <w:szCs w:val="21"/>
                <w:highlight w:val="none"/>
              </w:rPr>
            </w:r>
            <w:r/>
          </w:p>
        </w:tc>
        <w:tc>
          <w:tcPr>
            <w:tcW w:w="1134" w:type="dxa"/>
            <w:vAlign w:val="top"/>
            <w:textDirection w:val="lrTb"/>
            <w:noWrap w:val="false"/>
          </w:tcPr>
          <w:p>
            <w:pPr>
              <w:spacing w:line="440" w:lineRule="exact"/>
              <w:shd w:val="clear" w:color="auto" w:fill="auto"/>
              <w:rPr>
                <w:rFonts w:ascii="Times New Roman" w:hAnsi="Times New Roman" w:cs="Times New Roman"/>
                <w:szCs w:val="21"/>
                <w:highlight w:val="none"/>
              </w:rPr>
            </w:pPr>
            <w:r>
              <w:rPr>
                <w:rFonts w:ascii="Times New Roman" w:hAnsi="Times New Roman" w:cs="Times New Roman"/>
                <w:szCs w:val="21"/>
                <w:highlight w:val="none"/>
              </w:rPr>
            </w:r>
            <w:r/>
          </w:p>
        </w:tc>
        <w:tc>
          <w:tcPr>
            <w:tcW w:w="1843" w:type="dxa"/>
            <w:vAlign w:val="top"/>
            <w:textDirection w:val="lrTb"/>
            <w:noWrap w:val="false"/>
          </w:tcPr>
          <w:p>
            <w:pPr>
              <w:spacing w:line="440" w:lineRule="exact"/>
              <w:shd w:val="clear" w:color="auto" w:fill="auto"/>
              <w:rPr>
                <w:rFonts w:ascii="Times New Roman" w:hAnsi="Times New Roman" w:cs="Times New Roman"/>
                <w:szCs w:val="21"/>
                <w:highlight w:val="none"/>
              </w:rPr>
            </w:pPr>
            <w:r>
              <w:rPr>
                <w:rFonts w:ascii="Times New Roman" w:hAnsi="Times New Roman" w:cs="Times New Roman"/>
                <w:szCs w:val="21"/>
                <w:highlight w:val="none"/>
              </w:rPr>
            </w:r>
            <w:r/>
          </w:p>
        </w:tc>
        <w:tc>
          <w:tcPr>
            <w:tcW w:w="1843" w:type="dxa"/>
            <w:vAlign w:val="top"/>
            <w:textDirection w:val="lrTb"/>
            <w:noWrap w:val="false"/>
          </w:tcPr>
          <w:p>
            <w:pPr>
              <w:spacing w:line="440" w:lineRule="exact"/>
              <w:shd w:val="clear" w:color="auto" w:fill="auto"/>
              <w:rPr>
                <w:rFonts w:ascii="Times New Roman" w:hAnsi="Times New Roman" w:cs="Times New Roman"/>
                <w:szCs w:val="21"/>
                <w:highlight w:val="none"/>
              </w:rPr>
            </w:pPr>
            <w:r>
              <w:rPr>
                <w:rFonts w:ascii="Times New Roman" w:hAnsi="Times New Roman" w:cs="Times New Roman"/>
                <w:szCs w:val="21"/>
                <w:highlight w:val="none"/>
              </w:rPr>
            </w:r>
            <w:r/>
          </w:p>
        </w:tc>
        <w:tc>
          <w:tcPr>
            <w:tcW w:w="1843" w:type="dxa"/>
            <w:vAlign w:val="top"/>
            <w:textDirection w:val="lrTb"/>
            <w:noWrap w:val="false"/>
          </w:tcPr>
          <w:p>
            <w:pPr>
              <w:spacing w:line="440" w:lineRule="exact"/>
              <w:shd w:val="clear" w:color="auto" w:fill="auto"/>
              <w:rPr>
                <w:rFonts w:ascii="Times New Roman" w:hAnsi="Times New Roman" w:cs="Times New Roman"/>
                <w:szCs w:val="21"/>
                <w:highlight w:val="none"/>
              </w:rPr>
            </w:pPr>
            <w:r>
              <w:rPr>
                <w:rFonts w:ascii="Times New Roman" w:hAnsi="Times New Roman" w:cs="Times New Roman"/>
                <w:szCs w:val="21"/>
                <w:highlight w:val="none"/>
              </w:rPr>
            </w:r>
            <w:r/>
          </w:p>
        </w:tc>
        <w:tc>
          <w:tcPr>
            <w:tcW w:w="2423" w:type="dxa"/>
            <w:vAlign w:val="top"/>
            <w:textDirection w:val="lrTb"/>
            <w:noWrap w:val="false"/>
          </w:tcPr>
          <w:p>
            <w:pPr>
              <w:spacing w:line="440" w:lineRule="exact"/>
              <w:shd w:val="clear" w:color="auto" w:fill="auto"/>
              <w:rPr>
                <w:rFonts w:ascii="Times New Roman" w:hAnsi="Times New Roman" w:cs="Times New Roman"/>
                <w:szCs w:val="21"/>
                <w:highlight w:val="none"/>
              </w:rPr>
            </w:pPr>
            <w:r>
              <w:rPr>
                <w:rFonts w:ascii="Times New Roman" w:hAnsi="Times New Roman" w:cs="Times New Roman"/>
                <w:szCs w:val="21"/>
                <w:highlight w:val="none"/>
              </w:rPr>
            </w:r>
            <w:r/>
          </w:p>
        </w:tc>
      </w:tr>
      <w:tr>
        <w:trPr>
          <w:jc w:val="center"/>
        </w:trPr>
        <w:tc>
          <w:tcPr>
            <w:tcW w:w="675" w:type="dxa"/>
            <w:vAlign w:val="top"/>
            <w:textDirection w:val="lrTb"/>
            <w:noWrap w:val="false"/>
          </w:tcPr>
          <w:p>
            <w:pPr>
              <w:spacing w:line="440" w:lineRule="exact"/>
              <w:shd w:val="clear" w:color="auto" w:fill="auto"/>
              <w:rPr>
                <w:rFonts w:ascii="Times New Roman" w:hAnsi="Times New Roman" w:cs="Times New Roman"/>
                <w:szCs w:val="21"/>
                <w:highlight w:val="none"/>
              </w:rPr>
            </w:pPr>
            <w:r>
              <w:rPr>
                <w:rFonts w:ascii="Times New Roman" w:hAnsi="Times New Roman" w:cs="Times New Roman"/>
                <w:szCs w:val="21"/>
                <w:highlight w:val="none"/>
              </w:rPr>
            </w:r>
            <w:r/>
          </w:p>
        </w:tc>
        <w:tc>
          <w:tcPr>
            <w:tcW w:w="1134" w:type="dxa"/>
            <w:vAlign w:val="top"/>
            <w:textDirection w:val="lrTb"/>
            <w:noWrap w:val="false"/>
          </w:tcPr>
          <w:p>
            <w:pPr>
              <w:spacing w:line="440" w:lineRule="exact"/>
              <w:shd w:val="clear" w:color="auto" w:fill="auto"/>
              <w:rPr>
                <w:rFonts w:ascii="Times New Roman" w:hAnsi="Times New Roman" w:cs="Times New Roman"/>
                <w:szCs w:val="21"/>
                <w:highlight w:val="none"/>
              </w:rPr>
            </w:pPr>
            <w:r>
              <w:rPr>
                <w:rFonts w:ascii="Times New Roman" w:hAnsi="Times New Roman" w:cs="Times New Roman"/>
                <w:szCs w:val="21"/>
                <w:highlight w:val="none"/>
              </w:rPr>
            </w:r>
            <w:r/>
          </w:p>
        </w:tc>
        <w:tc>
          <w:tcPr>
            <w:tcW w:w="1843" w:type="dxa"/>
            <w:vAlign w:val="top"/>
            <w:textDirection w:val="lrTb"/>
            <w:noWrap w:val="false"/>
          </w:tcPr>
          <w:p>
            <w:pPr>
              <w:spacing w:line="440" w:lineRule="exact"/>
              <w:shd w:val="clear" w:color="auto" w:fill="auto"/>
              <w:rPr>
                <w:rFonts w:ascii="Times New Roman" w:hAnsi="Times New Roman" w:cs="Times New Roman"/>
                <w:szCs w:val="21"/>
                <w:highlight w:val="none"/>
              </w:rPr>
            </w:pPr>
            <w:r>
              <w:rPr>
                <w:rFonts w:ascii="Times New Roman" w:hAnsi="Times New Roman" w:cs="Times New Roman"/>
                <w:szCs w:val="21"/>
                <w:highlight w:val="none"/>
              </w:rPr>
            </w:r>
            <w:r/>
          </w:p>
        </w:tc>
        <w:tc>
          <w:tcPr>
            <w:tcW w:w="1843" w:type="dxa"/>
            <w:vAlign w:val="top"/>
            <w:textDirection w:val="lrTb"/>
            <w:noWrap w:val="false"/>
          </w:tcPr>
          <w:p>
            <w:pPr>
              <w:spacing w:line="440" w:lineRule="exact"/>
              <w:shd w:val="clear" w:color="auto" w:fill="auto"/>
              <w:rPr>
                <w:rFonts w:ascii="Times New Roman" w:hAnsi="Times New Roman" w:cs="Times New Roman"/>
                <w:szCs w:val="21"/>
                <w:highlight w:val="none"/>
              </w:rPr>
            </w:pPr>
            <w:r>
              <w:rPr>
                <w:rFonts w:ascii="Times New Roman" w:hAnsi="Times New Roman" w:cs="Times New Roman"/>
                <w:szCs w:val="21"/>
                <w:highlight w:val="none"/>
              </w:rPr>
            </w:r>
            <w:r/>
          </w:p>
        </w:tc>
        <w:tc>
          <w:tcPr>
            <w:tcW w:w="1843" w:type="dxa"/>
            <w:vAlign w:val="top"/>
            <w:textDirection w:val="lrTb"/>
            <w:noWrap w:val="false"/>
          </w:tcPr>
          <w:p>
            <w:pPr>
              <w:spacing w:line="440" w:lineRule="exact"/>
              <w:shd w:val="clear" w:color="auto" w:fill="auto"/>
              <w:rPr>
                <w:rFonts w:ascii="Times New Roman" w:hAnsi="Times New Roman" w:cs="Times New Roman"/>
                <w:szCs w:val="21"/>
                <w:highlight w:val="none"/>
              </w:rPr>
            </w:pPr>
            <w:r>
              <w:rPr>
                <w:rFonts w:ascii="Times New Roman" w:hAnsi="Times New Roman" w:cs="Times New Roman"/>
                <w:szCs w:val="21"/>
                <w:highlight w:val="none"/>
              </w:rPr>
            </w:r>
            <w:r/>
          </w:p>
        </w:tc>
        <w:tc>
          <w:tcPr>
            <w:tcW w:w="2423" w:type="dxa"/>
            <w:vAlign w:val="top"/>
            <w:textDirection w:val="lrTb"/>
            <w:noWrap w:val="false"/>
          </w:tcPr>
          <w:p>
            <w:pPr>
              <w:spacing w:line="440" w:lineRule="exact"/>
              <w:shd w:val="clear" w:color="auto" w:fill="auto"/>
              <w:rPr>
                <w:rFonts w:ascii="Times New Roman" w:hAnsi="Times New Roman" w:cs="Times New Roman"/>
                <w:szCs w:val="21"/>
                <w:highlight w:val="none"/>
              </w:rPr>
            </w:pPr>
            <w:r>
              <w:rPr>
                <w:rFonts w:ascii="Times New Roman" w:hAnsi="Times New Roman" w:cs="Times New Roman"/>
                <w:szCs w:val="21"/>
                <w:highlight w:val="none"/>
              </w:rPr>
            </w:r>
            <w:r/>
          </w:p>
        </w:tc>
      </w:tr>
    </w:tbl>
    <w:p>
      <w:pPr>
        <w:pStyle w:val="730"/>
        <w:jc w:val="both"/>
        <w:spacing w:beforeAutospacing="0" w:afterAutospacing="0"/>
      </w:pPr>
      <w:r/>
      <w:r/>
    </w:p>
    <w:p>
      <w:pPr>
        <w:pStyle w:val="730"/>
        <w:jc w:val="both"/>
        <w:spacing w:beforeAutospacing="0" w:afterAutospacing="0"/>
      </w:pPr>
      <w:r/>
      <w:r/>
    </w:p>
    <w:p>
      <w:pPr>
        <w:ind w:left="0" w:firstLine="0"/>
        <w:spacing w:line="440" w:lineRule="exact"/>
        <w:shd w:val="clear" w:color="auto" w:fill="auto"/>
        <w:rPr>
          <w:rFonts w:hint="eastAsia" w:ascii="Times New Roman" w:hAnsi="Times New Roman" w:eastAsia="宋体" w:cs="Times New Roman"/>
          <w:color w:val="ff0000"/>
          <w:szCs w:val="21"/>
          <w:highlight w:val="none"/>
          <w:lang w:eastAsia="zh-CN"/>
        </w:rPr>
      </w:pPr>
      <w:r>
        <w:rPr>
          <w:rFonts w:ascii="Times New Roman" w:hAnsi="Times New Roman" w:cs="Times New Roman"/>
          <w:color w:val="000000"/>
          <w:szCs w:val="21"/>
          <w:highlight w:val="none"/>
        </w:rPr>
        <w:t xml:space="preserve">注：1、</w:t>
      </w:r>
      <w:r>
        <w:rPr>
          <w:rFonts w:hint="eastAsia" w:ascii="Times New Roman" w:hAnsi="Times New Roman" w:cs="Times New Roman"/>
          <w:color w:val="000000"/>
          <w:szCs w:val="21"/>
          <w:highlight w:val="none"/>
          <w:lang w:val="en-US" w:eastAsia="zh-CN"/>
        </w:rPr>
        <w:t xml:space="preserve">投标人</w:t>
      </w:r>
      <w:r>
        <w:rPr>
          <w:rFonts w:ascii="Times New Roman" w:hAnsi="Times New Roman" w:cs="Times New Roman"/>
          <w:color w:val="000000"/>
          <w:szCs w:val="21"/>
          <w:highlight w:val="none"/>
        </w:rPr>
        <w:t xml:space="preserve">应对招标文件第四章</w:t>
      </w:r>
      <w:r>
        <w:rPr>
          <w:rFonts w:hint="eastAsia" w:ascii="Times New Roman" w:hAnsi="Times New Roman" w:cs="Times New Roman"/>
          <w:color w:val="000000"/>
          <w:szCs w:val="21"/>
          <w:highlight w:val="none"/>
          <w:lang w:val="en-US" w:eastAsia="zh-CN"/>
        </w:rPr>
        <w:t xml:space="preserve">采购需求中“</w:t>
      </w:r>
      <w:r>
        <w:rPr>
          <w:rFonts w:hint="eastAsia" w:ascii="Times New Roman" w:hAnsi="Times New Roman" w:cs="Times New Roman"/>
          <w:b/>
          <w:bCs/>
          <w:color w:val="000000"/>
          <w:szCs w:val="21"/>
          <w:highlight w:val="none"/>
          <w:lang w:val="en-US" w:eastAsia="zh-CN"/>
        </w:rPr>
        <w:t xml:space="preserve">一、服务要求</w:t>
      </w:r>
      <w:r>
        <w:rPr>
          <w:rFonts w:hint="eastAsia" w:ascii="Times New Roman" w:hAnsi="Times New Roman" w:cs="Times New Roman"/>
          <w:color w:val="000000"/>
          <w:szCs w:val="21"/>
          <w:highlight w:val="none"/>
          <w:lang w:val="en-US" w:eastAsia="zh-CN"/>
        </w:rPr>
        <w:t xml:space="preserve">”</w:t>
      </w:r>
      <w:r>
        <w:rPr>
          <w:rFonts w:ascii="Times New Roman" w:hAnsi="Times New Roman" w:cs="Times New Roman"/>
          <w:color w:val="000000"/>
          <w:szCs w:val="21"/>
          <w:highlight w:val="none"/>
        </w:rPr>
        <w:t xml:space="preserve">的内容给予</w:t>
      </w:r>
      <w:r>
        <w:rPr>
          <w:rFonts w:ascii="Times New Roman" w:hAnsi="Times New Roman" w:cs="Times New Roman"/>
          <w:b/>
          <w:bCs/>
          <w:color w:val="000000"/>
          <w:szCs w:val="21"/>
          <w:highlight w:val="none"/>
        </w:rPr>
        <w:t xml:space="preserve">逐条响应</w:t>
      </w:r>
      <w:r>
        <w:rPr>
          <w:rFonts w:ascii="Times New Roman" w:hAnsi="Times New Roman" w:cs="Times New Roman"/>
          <w:color w:val="000000"/>
          <w:szCs w:val="21"/>
          <w:highlight w:val="none"/>
        </w:rPr>
        <w:t xml:space="preserve">，</w:t>
      </w:r>
      <w:r>
        <w:rPr>
          <w:rFonts w:ascii="Times New Roman" w:hAnsi="Times New Roman"/>
          <w:b/>
          <w:bCs/>
          <w:highlight w:val="none"/>
        </w:rPr>
        <w:t xml:space="preserve">若漏项或不逐条应答视为负偏离。</w:t>
      </w:r>
      <w:r>
        <w:rPr>
          <w:rFonts w:ascii="Times New Roman" w:hAnsi="Times New Roman" w:cs="Times New Roman"/>
          <w:color w:val="000000"/>
          <w:szCs w:val="21"/>
          <w:highlight w:val="none"/>
        </w:rPr>
        <w:t xml:space="preserve">以投标服务所能达到的内容予以填写，而</w:t>
      </w:r>
      <w:r>
        <w:rPr>
          <w:rFonts w:ascii="Times New Roman" w:hAnsi="Times New Roman" w:cs="Times New Roman"/>
          <w:b/>
          <w:bCs/>
          <w:color w:val="000000"/>
          <w:szCs w:val="21"/>
          <w:highlight w:val="none"/>
        </w:rPr>
        <w:t xml:space="preserve">不应通过简单拷贝招标文件技术要求作为响应内容</w:t>
      </w:r>
      <w:r>
        <w:rPr>
          <w:rFonts w:hint="eastAsia" w:ascii="Times New Roman" w:hAnsi="Times New Roman" w:cs="Times New Roman"/>
          <w:color w:val="000000"/>
          <w:szCs w:val="21"/>
          <w:highlight w:val="none"/>
          <w:lang w:eastAsia="zh-CN"/>
        </w:rPr>
        <w:t xml:space="preserve">；</w:t>
      </w:r>
      <w:r/>
    </w:p>
    <w:p>
      <w:pPr>
        <w:ind w:left="0" w:firstLine="420"/>
        <w:spacing w:line="440" w:lineRule="exact"/>
        <w:shd w:val="clear" w:color="auto" w:fill="auto"/>
        <w:rPr>
          <w:rFonts w:hint="eastAsia" w:ascii="Times New Roman" w:hAnsi="Times New Roman" w:eastAsia="宋体" w:cs="Times New Roman"/>
          <w:b/>
          <w:bCs/>
          <w:szCs w:val="21"/>
          <w:highlight w:val="none"/>
          <w:lang w:eastAsia="zh-CN"/>
        </w:rPr>
      </w:pPr>
      <w:r>
        <w:rPr>
          <w:rFonts w:ascii="Times New Roman" w:hAnsi="Times New Roman" w:cs="Times New Roman"/>
          <w:color w:val="000000"/>
          <w:szCs w:val="21"/>
          <w:highlight w:val="none"/>
        </w:rPr>
        <w:t xml:space="preserve">2、投标文件“</w:t>
      </w:r>
      <w:r>
        <w:rPr>
          <w:rFonts w:ascii="Times New Roman" w:hAnsi="Times New Roman" w:cs="Times New Roman"/>
          <w:szCs w:val="21"/>
          <w:highlight w:val="none"/>
        </w:rPr>
        <w:t xml:space="preserve">响应具体情况"</w:t>
      </w:r>
      <w:r>
        <w:rPr>
          <w:rFonts w:hint="eastAsia" w:ascii="Times New Roman" w:hAnsi="Times New Roman" w:cs="Times New Roman"/>
          <w:szCs w:val="21"/>
          <w:highlight w:val="none"/>
          <w:lang w:eastAsia="zh-CN"/>
        </w:rPr>
        <w:t xml:space="preserve">，</w:t>
      </w:r>
      <w:r>
        <w:rPr>
          <w:rFonts w:ascii="Times New Roman" w:hAnsi="Times New Roman" w:cs="Times New Roman"/>
          <w:szCs w:val="21"/>
          <w:highlight w:val="none"/>
        </w:rPr>
        <w:t xml:space="preserve">指所投产品的技术应答情况。</w:t>
      </w:r>
      <w:r>
        <w:rPr>
          <w:rFonts w:ascii="Times New Roman" w:hAnsi="Times New Roman" w:cs="Times New Roman"/>
          <w:b/>
          <w:bCs/>
          <w:szCs w:val="21"/>
          <w:highlight w:val="none"/>
        </w:rPr>
        <w:t xml:space="preserve">“说明”栏请注明“响应/正偏离/负偏离”，并且标注针对技术规格响应的证明文件在投标文件中的页码及具体位置</w:t>
      </w:r>
      <w:r>
        <w:rPr>
          <w:rFonts w:hint="eastAsia" w:ascii="Times New Roman" w:hAnsi="Times New Roman" w:cs="Times New Roman"/>
          <w:b/>
          <w:bCs/>
          <w:szCs w:val="21"/>
          <w:highlight w:val="none"/>
          <w:lang w:eastAsia="zh-CN"/>
        </w:rPr>
        <w:t xml:space="preserve">；</w:t>
      </w:r>
      <w:r/>
    </w:p>
    <w:p>
      <w:pPr>
        <w:ind w:left="0" w:firstLine="420"/>
        <w:spacing w:line="440" w:lineRule="exact"/>
        <w:shd w:val="clear" w:color="auto" w:fill="auto"/>
        <w:rPr>
          <w:rFonts w:hint="eastAsia" w:ascii="Times New Roman" w:hAnsi="Times New Roman" w:eastAsia="宋体" w:cs="Times New Roman"/>
          <w:szCs w:val="21"/>
          <w:highlight w:val="none"/>
          <w:lang w:eastAsia="zh-CN"/>
        </w:rPr>
      </w:pPr>
      <w:r>
        <w:rPr>
          <w:rFonts w:ascii="Times New Roman" w:hAnsi="Times New Roman" w:cs="Times New Roman"/>
          <w:szCs w:val="21"/>
          <w:highlight w:val="none"/>
        </w:rPr>
        <w:t xml:space="preserve">3、</w:t>
      </w:r>
      <w:r>
        <w:rPr>
          <w:rFonts w:hint="eastAsia" w:ascii="Times New Roman" w:hAnsi="Times New Roman" w:cs="Times New Roman"/>
          <w:b/>
          <w:bCs/>
          <w:szCs w:val="21"/>
          <w:highlight w:val="none"/>
          <w:lang w:val="en-US" w:eastAsia="zh-CN"/>
        </w:rPr>
        <w:t xml:space="preserve">投标人</w:t>
      </w:r>
      <w:r>
        <w:rPr>
          <w:rFonts w:ascii="Times New Roman" w:hAnsi="Times New Roman" w:cs="Times New Roman"/>
          <w:b/>
          <w:bCs/>
          <w:szCs w:val="21"/>
          <w:highlight w:val="none"/>
        </w:rPr>
        <w:t xml:space="preserve">投标规格和招标规格不一致，而供应商却在此表应答为响应或正偏离时，必须提供充分理由说明（不提供或理由不充分将视为负偏离）</w:t>
      </w:r>
      <w:r>
        <w:rPr>
          <w:rFonts w:hint="eastAsia" w:ascii="Times New Roman" w:hAnsi="Times New Roman" w:cs="Times New Roman"/>
          <w:b/>
          <w:bCs/>
          <w:szCs w:val="21"/>
          <w:highlight w:val="none"/>
          <w:lang w:eastAsia="zh-CN"/>
        </w:rPr>
        <w:t xml:space="preserve">，</w:t>
      </w:r>
      <w:r>
        <w:rPr>
          <w:rFonts w:ascii="Times New Roman" w:hAnsi="Times New Roman" w:cs="Times New Roman"/>
          <w:b/>
          <w:bCs/>
          <w:szCs w:val="21"/>
          <w:highlight w:val="none"/>
        </w:rPr>
        <w:t xml:space="preserve">因此种情况在</w:t>
      </w:r>
      <w:r>
        <w:rPr>
          <w:rFonts w:hint="eastAsia" w:ascii="Times New Roman" w:hAnsi="Times New Roman" w:cs="Times New Roman"/>
          <w:b/>
          <w:bCs/>
          <w:szCs w:val="21"/>
          <w:highlight w:val="none"/>
          <w:lang w:val="en-US" w:eastAsia="zh-CN"/>
        </w:rPr>
        <w:t xml:space="preserve">项目</w:t>
      </w:r>
      <w:r>
        <w:rPr>
          <w:rFonts w:ascii="Times New Roman" w:hAnsi="Times New Roman" w:cs="Times New Roman"/>
          <w:b/>
          <w:bCs/>
          <w:szCs w:val="21"/>
          <w:highlight w:val="none"/>
        </w:rPr>
        <w:t xml:space="preserve">验收时产生争议，采购人有权按照招标文件的原始标准进行验收</w:t>
      </w:r>
      <w:r>
        <w:rPr>
          <w:rFonts w:hint="eastAsia" w:ascii="Times New Roman" w:hAnsi="Times New Roman" w:cs="Times New Roman"/>
          <w:b/>
          <w:bCs/>
          <w:szCs w:val="21"/>
          <w:highlight w:val="none"/>
          <w:lang w:eastAsia="zh-CN"/>
        </w:rPr>
        <w:t xml:space="preserve">；</w:t>
      </w:r>
      <w:r/>
    </w:p>
    <w:p>
      <w:pPr>
        <w:ind w:left="0" w:firstLine="420"/>
        <w:spacing w:line="440" w:lineRule="exact"/>
        <w:shd w:val="clear" w:color="auto" w:fill="auto"/>
        <w:rPr>
          <w:rFonts w:ascii="Times New Roman" w:hAnsi="Times New Roman" w:cs="Times New Roman"/>
          <w:szCs w:val="21"/>
          <w:highlight w:val="none"/>
        </w:rPr>
      </w:pPr>
      <w:r>
        <w:rPr>
          <w:rFonts w:ascii="Times New Roman" w:hAnsi="Times New Roman" w:cs="Times New Roman"/>
          <w:szCs w:val="21"/>
          <w:highlight w:val="none"/>
        </w:rPr>
        <w:t xml:space="preserve">4、如果行数不够，请自行增加。</w:t>
      </w:r>
      <w:r/>
    </w:p>
    <w:p>
      <w:pPr>
        <w:spacing w:line="420" w:lineRule="auto"/>
        <w:rPr>
          <w:rFonts w:hint="eastAsia" w:ascii="宋体" w:hAnsi="宋体"/>
          <w:szCs w:val="28"/>
        </w:rPr>
      </w:pPr>
      <w:r>
        <w:rPr>
          <w:rFonts w:hint="eastAsia" w:ascii="宋体" w:hAnsi="宋体"/>
          <w:szCs w:val="28"/>
        </w:rPr>
      </w:r>
      <w:r/>
    </w:p>
    <w:p>
      <w:pPr>
        <w:jc w:val="center"/>
        <w:rPr>
          <w:rFonts w:hint="eastAsia" w:asciiTheme="minorEastAsia" w:hAnsiTheme="minorEastAsia" w:cstheme="minorEastAsia"/>
          <w:color w:val="000000"/>
          <w:sz w:val="24"/>
        </w:rPr>
      </w:pPr>
      <w:r>
        <w:rPr>
          <w:rFonts w:hint="eastAsia" w:asciiTheme="minorEastAsia" w:hAnsiTheme="minorEastAsia" w:cstheme="minorEastAsia"/>
          <w:color w:val="000000"/>
          <w:sz w:val="24"/>
        </w:rPr>
        <w:t xml:space="preserve">       投标人（加盖CA电子公章）：</w:t>
      </w:r>
      <w:r/>
    </w:p>
    <w:p>
      <w:pPr>
        <w:jc w:val="center"/>
        <w:rPr>
          <w:rFonts w:hint="eastAsia" w:asciiTheme="minorEastAsia" w:hAnsiTheme="minorEastAsia" w:cstheme="minorEastAsia"/>
          <w:color w:val="000000"/>
          <w:sz w:val="24"/>
        </w:rPr>
      </w:pPr>
      <w:r>
        <w:rPr>
          <w:rFonts w:hint="eastAsia" w:asciiTheme="minorEastAsia" w:hAnsiTheme="minorEastAsia" w:cstheme="minorEastAsia"/>
          <w:color w:val="000000"/>
          <w:sz w:val="24"/>
        </w:rPr>
        <w:t xml:space="preserve">                    日  期：</w:t>
      </w:r>
      <w:r/>
    </w:p>
    <w:p>
      <w:pPr>
        <w:pStyle w:val="733"/>
      </w:pPr>
      <w:r/>
      <w:r/>
    </w:p>
    <w:p>
      <w:r/>
      <w:r/>
    </w:p>
    <w:p>
      <w:pPr>
        <w:pStyle w:val="732"/>
      </w:pPr>
      <w:r/>
      <w:r/>
    </w:p>
    <w:p>
      <w:r/>
      <w:r/>
    </w:p>
    <w:p>
      <w:r/>
      <w:r/>
    </w:p>
    <w:p>
      <w:r/>
      <w:r/>
    </w:p>
    <w:p>
      <w:r/>
      <w:r/>
    </w:p>
    <w:p>
      <w:pPr>
        <w:jc w:val="center"/>
        <w:rPr>
          <w:rFonts w:hint="eastAsia" w:ascii="黑体" w:hAnsi="黑体" w:eastAsia="黑体"/>
          <w:b/>
          <w:color w:val="000000"/>
          <w:sz w:val="32"/>
          <w:szCs w:val="32"/>
        </w:rPr>
        <w:outlineLvl w:val="0"/>
      </w:pPr>
      <w:r>
        <w:rPr>
          <w:rFonts w:hint="eastAsia" w:ascii="黑体" w:hAnsi="黑体" w:eastAsia="黑体"/>
          <w:b/>
          <w:color w:val="000000"/>
          <w:sz w:val="32"/>
          <w:szCs w:val="32"/>
        </w:rPr>
        <w:t xml:space="preserve">十三、商务要求响应及偏离表</w:t>
      </w:r>
      <w:r/>
    </w:p>
    <w:tbl>
      <w:tblPr>
        <w:tblStyle w:val="707"/>
        <w:tblW w:w="9682"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4603"/>
        <w:gridCol w:w="1911"/>
        <w:gridCol w:w="1612"/>
        <w:gridCol w:w="1018"/>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0"/>
              <w:jc w:val="center"/>
              <w:spacing w:beforeAutospacing="0" w:afterAutospacing="0"/>
            </w:pPr>
            <w:r/>
            <w:bookmarkStart w:id="204" w:name="_Hlt26580838"/>
            <w:r/>
            <w:bookmarkStart w:id="205" w:name="_Hlt26955056"/>
            <w:r/>
            <w:bookmarkStart w:id="206" w:name="_Hlt24879081"/>
            <w:r/>
            <w:bookmarkStart w:id="207" w:name="_Hlt26671343"/>
            <w:r/>
            <w:bookmarkStart w:id="208" w:name="_Hlt26782999"/>
            <w:r/>
            <w:bookmarkStart w:id="209" w:name="_Hlt26955064"/>
            <w:r/>
            <w:bookmarkStart w:id="210" w:name="_Hlt26671372"/>
            <w:r/>
            <w:bookmarkStart w:id="211" w:name="_Hlt26609391"/>
            <w:r>
              <w:rPr>
                <w:rFonts w:hint="eastAsia" w:ascii="宋体" w:hAnsi="宋体" w:eastAsia="宋体" w:cs="宋体"/>
                <w:color w:val="000000"/>
              </w:rPr>
              <w:t xml:space="preserve">序号</w:t>
            </w:r>
            <w:bookmarkEnd w:id="204"/>
            <w:r/>
            <w:bookmarkEnd w:id="205"/>
            <w:r/>
            <w:bookmarkEnd w:id="206"/>
            <w:r/>
            <w:bookmarkEnd w:id="207"/>
            <w:r/>
            <w:bookmarkEnd w:id="208"/>
            <w:r/>
            <w:bookmarkEnd w:id="209"/>
            <w:r/>
            <w:bookmarkEnd w:id="210"/>
            <w:r/>
            <w:bookmarkEnd w:id="211"/>
            <w:r/>
            <w:r/>
          </w:p>
        </w:tc>
        <w:tc>
          <w:tcPr>
            <w:tcBorders>
              <w:top w:val="single" w:color="000000" w:sz="4" w:space="0"/>
              <w:left w:val="single" w:color="000000" w:sz="4" w:space="0"/>
              <w:bottom w:val="single" w:color="000000" w:sz="4" w:space="0"/>
              <w:right w:val="single" w:color="000000" w:sz="4" w:space="0"/>
            </w:tcBorders>
            <w:tcW w:w="4603" w:type="dxa"/>
            <w:vAlign w:val="center"/>
            <w:textDirection w:val="lrTb"/>
            <w:noWrap w:val="false"/>
          </w:tcPr>
          <w:p>
            <w:pPr>
              <w:pStyle w:val="730"/>
              <w:jc w:val="center"/>
              <w:spacing w:beforeAutospacing="0" w:afterAutospacing="0"/>
            </w:pPr>
            <w:r>
              <w:rPr>
                <w:rFonts w:hint="eastAsia" w:ascii="宋体" w:hAnsi="宋体" w:eastAsia="宋体" w:cs="宋体"/>
                <w:color w:val="000000"/>
              </w:rPr>
              <w:t xml:space="preserve">招标文件要求</w:t>
            </w:r>
            <w:r/>
          </w:p>
        </w:tc>
        <w:tc>
          <w:tcPr>
            <w:tcBorders>
              <w:top w:val="single" w:color="000000" w:sz="4" w:space="0"/>
              <w:left w:val="single" w:color="000000" w:sz="4" w:space="0"/>
              <w:bottom w:val="single" w:color="000000" w:sz="4" w:space="0"/>
              <w:right w:val="single" w:color="000000" w:sz="4" w:space="0"/>
            </w:tcBorders>
            <w:tcW w:w="1911" w:type="dxa"/>
            <w:vAlign w:val="center"/>
            <w:textDirection w:val="lrTb"/>
            <w:noWrap w:val="false"/>
          </w:tcPr>
          <w:p>
            <w:pPr>
              <w:pStyle w:val="730"/>
              <w:jc w:val="center"/>
              <w:spacing w:beforeAutospacing="0" w:afterAutospacing="0"/>
            </w:pPr>
            <w:r>
              <w:rPr>
                <w:rFonts w:hint="eastAsia" w:ascii="宋体" w:hAnsi="宋体" w:eastAsia="宋体" w:cs="宋体"/>
                <w:color w:val="000000"/>
              </w:rPr>
              <w:t xml:space="preserve">投标响应情况</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pStyle w:val="730"/>
              <w:jc w:val="center"/>
              <w:spacing w:beforeAutospacing="0" w:afterAutospacing="0"/>
            </w:pPr>
            <w:r>
              <w:rPr>
                <w:rFonts w:hint="eastAsia" w:ascii="宋体" w:hAnsi="宋体" w:eastAsia="宋体" w:cs="宋体"/>
                <w:color w:val="000000"/>
              </w:rPr>
              <w:t xml:space="preserve">正偏离、符合或负偏离</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pStyle w:val="730"/>
              <w:jc w:val="center"/>
              <w:spacing w:beforeAutospacing="0" w:afterAutospacing="0"/>
            </w:pPr>
            <w:r>
              <w:rPr>
                <w:rFonts w:hint="eastAsia" w:ascii="宋体" w:hAnsi="宋体" w:eastAsia="宋体" w:cs="宋体"/>
                <w:color w:val="000000"/>
              </w:rPr>
              <w:t xml:space="preserve">证明</w:t>
            </w:r>
            <w:r/>
          </w:p>
          <w:p>
            <w:pPr>
              <w:pStyle w:val="730"/>
              <w:jc w:val="center"/>
              <w:spacing w:beforeAutospacing="0" w:afterAutospacing="0"/>
            </w:pPr>
            <w:r>
              <w:rPr>
                <w:rFonts w:hint="eastAsia" w:ascii="宋体" w:hAnsi="宋体" w:eastAsia="宋体" w:cs="宋体"/>
                <w:color w:val="000000"/>
              </w:rPr>
              <w:t xml:space="preserve">材料</w:t>
            </w:r>
            <w:r/>
          </w:p>
        </w:tc>
      </w:tr>
      <w:tr>
        <w:trPr>
          <w:tblCellSpacing w:w="0" w:type="dxa"/>
          <w:trHeight w:val="991"/>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0"/>
              <w:jc w:val="center"/>
              <w:spacing w:beforeAutospacing="0" w:afterAutospacing="0"/>
            </w:pPr>
            <w:r>
              <w:rPr>
                <w:rFonts w:hint="eastAsia"/>
              </w:rPr>
              <w:t xml:space="preserve">1</w:t>
            </w:r>
            <w:r>
              <w:t xml:space="preserve"> </w:t>
            </w:r>
            <w:r/>
          </w:p>
        </w:tc>
        <w:tc>
          <w:tcPr>
            <w:tcBorders>
              <w:top w:val="single" w:color="000000" w:sz="4" w:space="0"/>
              <w:left w:val="single" w:color="000000" w:sz="4" w:space="0"/>
              <w:bottom w:val="single" w:color="000000" w:sz="4" w:space="0"/>
              <w:right w:val="single" w:color="000000" w:sz="4" w:space="0"/>
            </w:tcBorders>
            <w:tcW w:w="4603" w:type="dxa"/>
            <w:vAlign w:val="center"/>
            <w:textDirection w:val="lrTb"/>
            <w:noWrap w:val="false"/>
          </w:tcPr>
          <w:p>
            <w:pPr>
              <w:pStyle w:val="730"/>
              <w:jc w:val="center"/>
              <w:spacing w:beforeAutospacing="0" w:afterAutospacing="0"/>
            </w:pPr>
            <w:r>
              <w:rPr>
                <w:rFonts w:hint="eastAsia"/>
              </w:rPr>
              <w:t xml:space="preserve">最高限价</w:t>
            </w:r>
            <w:r>
              <w:t xml:space="preserve"> </w:t>
            </w:r>
            <w:r/>
          </w:p>
        </w:tc>
        <w:tc>
          <w:tcPr>
            <w:tcBorders>
              <w:top w:val="single" w:color="000000" w:sz="4" w:space="0"/>
              <w:left w:val="single" w:color="000000" w:sz="4" w:space="0"/>
              <w:bottom w:val="single" w:color="000000" w:sz="4" w:space="0"/>
              <w:right w:val="single" w:color="000000" w:sz="4" w:space="0"/>
            </w:tcBorders>
            <w:tcW w:w="1911" w:type="dxa"/>
            <w:vAlign w:val="center"/>
            <w:textDirection w:val="lrTb"/>
            <w:noWrap w:val="false"/>
          </w:tcPr>
          <w:p>
            <w:pPr>
              <w:pStyle w:val="73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pStyle w:val="73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pStyle w:val="730"/>
              <w:jc w:val="center"/>
              <w:spacing w:beforeAutospacing="0" w:afterAutospacing="0"/>
            </w:pPr>
            <w:r>
              <w:t xml:space="preserve"> </w:t>
            </w:r>
            <w:r/>
          </w:p>
        </w:tc>
      </w:tr>
      <w:tr>
        <w:trPr>
          <w:tblCellSpacing w:w="0" w:type="dxa"/>
          <w:trHeight w:val="991"/>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0"/>
              <w:jc w:val="center"/>
              <w:spacing w:beforeAutospacing="0" w:afterAutospacing="0"/>
              <w:rPr>
                <w:rFonts w:eastAsia="宋体"/>
              </w:rPr>
            </w:pPr>
            <w:r>
              <w:t xml:space="preserve"> </w:t>
            </w:r>
            <w:r>
              <w:rPr>
                <w:rFonts w:hint="eastAsia"/>
              </w:rPr>
              <w:t xml:space="preserve">2</w:t>
            </w:r>
            <w:r/>
          </w:p>
        </w:tc>
        <w:tc>
          <w:tcPr>
            <w:tcBorders>
              <w:top w:val="single" w:color="000000" w:sz="4" w:space="0"/>
              <w:left w:val="single" w:color="000000" w:sz="4" w:space="0"/>
              <w:bottom w:val="single" w:color="000000" w:sz="4" w:space="0"/>
              <w:right w:val="single" w:color="000000" w:sz="4" w:space="0"/>
            </w:tcBorders>
            <w:tcW w:w="4603" w:type="dxa"/>
            <w:vAlign w:val="center"/>
            <w:textDirection w:val="lrTb"/>
            <w:noWrap w:val="false"/>
          </w:tcPr>
          <w:p>
            <w:pPr>
              <w:pStyle w:val="730"/>
              <w:jc w:val="center"/>
              <w:spacing w:beforeAutospacing="0" w:afterAutospacing="0"/>
              <w:rPr>
                <w:rFonts w:eastAsia="宋体"/>
              </w:rPr>
            </w:pPr>
            <w:r>
              <w:rPr>
                <w:rFonts w:hint="eastAsia"/>
                <w:highlight w:val="none"/>
              </w:rPr>
              <w:t xml:space="preserve">售后服务要求</w:t>
            </w:r>
            <w:r/>
          </w:p>
        </w:tc>
        <w:tc>
          <w:tcPr>
            <w:tcBorders>
              <w:top w:val="single" w:color="000000" w:sz="4" w:space="0"/>
              <w:left w:val="single" w:color="000000" w:sz="4" w:space="0"/>
              <w:bottom w:val="single" w:color="000000" w:sz="4" w:space="0"/>
              <w:right w:val="single" w:color="000000" w:sz="4" w:space="0"/>
            </w:tcBorders>
            <w:tcW w:w="1911" w:type="dxa"/>
            <w:vAlign w:val="center"/>
            <w:textDirection w:val="lrTb"/>
            <w:noWrap w:val="false"/>
          </w:tcPr>
          <w:p>
            <w:pPr>
              <w:pStyle w:val="73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pStyle w:val="73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pStyle w:val="730"/>
              <w:jc w:val="center"/>
              <w:spacing w:beforeAutospacing="0" w:afterAutospacing="0"/>
            </w:pPr>
            <w:r>
              <w:t xml:space="preserve"> </w:t>
            </w:r>
            <w:r/>
          </w:p>
        </w:tc>
      </w:tr>
      <w:tr>
        <w:trPr>
          <w:tblCellSpacing w:w="0" w:type="dxa"/>
          <w:trHeight w:val="991"/>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0"/>
              <w:jc w:val="center"/>
              <w:spacing w:beforeAutospacing="0" w:afterAutospacing="0"/>
              <w:rPr>
                <w:rFonts w:hint="eastAsia" w:eastAsiaTheme="minorEastAsia"/>
                <w:lang w:val="en-US" w:eastAsia="zh-CN"/>
              </w:rPr>
            </w:pPr>
            <w:r>
              <w:rPr>
                <w:rFonts w:hint="eastAsia"/>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4603" w:type="dxa"/>
            <w:vAlign w:val="center"/>
            <w:textDirection w:val="lrTb"/>
            <w:noWrap w:val="false"/>
          </w:tcPr>
          <w:p>
            <w:pPr>
              <w:pStyle w:val="730"/>
              <w:jc w:val="center"/>
              <w:spacing w:beforeAutospacing="0" w:afterAutospacing="0"/>
              <w:rPr>
                <w:rFonts w:hint="default" w:eastAsiaTheme="minorEastAsia"/>
                <w:lang w:val="en-US" w:eastAsia="zh-CN"/>
              </w:rPr>
            </w:pPr>
            <w:r>
              <w:rPr>
                <w:rFonts w:hint="eastAsia"/>
                <w:lang w:val="en-US" w:eastAsia="zh-CN"/>
              </w:rPr>
              <w:t xml:space="preserve">付款方式</w:t>
            </w:r>
            <w:r/>
          </w:p>
        </w:tc>
        <w:tc>
          <w:tcPr>
            <w:tcBorders>
              <w:top w:val="single" w:color="000000" w:sz="4" w:space="0"/>
              <w:left w:val="single" w:color="000000" w:sz="4" w:space="0"/>
              <w:bottom w:val="single" w:color="000000" w:sz="4" w:space="0"/>
              <w:right w:val="single" w:color="000000" w:sz="4" w:space="0"/>
            </w:tcBorders>
            <w:tcW w:w="1911" w:type="dxa"/>
            <w:vAlign w:val="center"/>
            <w:textDirection w:val="lrTb"/>
            <w:noWrap w:val="false"/>
          </w:tcPr>
          <w:p>
            <w:pPr>
              <w:pStyle w:val="730"/>
              <w:jc w:val="center"/>
              <w:spacing w:beforeAutospacing="0" w:afterAutospacing="0"/>
            </w:pPr>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pStyle w:val="730"/>
              <w:jc w:val="center"/>
              <w:spacing w:beforeAutospacing="0" w:afterAutospacing="0"/>
            </w:p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pStyle w:val="730"/>
              <w:jc w:val="center"/>
              <w:spacing w:beforeAutospacing="0" w:afterAutospacing="0"/>
            </w:pPr>
            <w:r/>
            <w:r/>
          </w:p>
        </w:tc>
      </w:tr>
      <w:tr>
        <w:trPr>
          <w:tblCellSpacing w:w="0" w:type="dxa"/>
          <w:trHeight w:val="991"/>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0"/>
              <w:jc w:val="center"/>
              <w:spacing w:beforeAutospacing="0" w:afterAutospacing="0"/>
              <w:rPr>
                <w:rFonts w:hint="eastAsia" w:eastAsia="宋体"/>
                <w:lang w:eastAsia="zh-CN"/>
              </w:rPr>
            </w:pPr>
            <w:r>
              <w:rPr>
                <w:rFonts w:hint="eastAsia" w:eastAsia="宋体"/>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4603" w:type="dxa"/>
            <w:vAlign w:val="center"/>
            <w:textDirection w:val="lrTb"/>
            <w:noWrap w:val="false"/>
          </w:tcPr>
          <w:p>
            <w:pPr>
              <w:pStyle w:val="730"/>
              <w:jc w:val="center"/>
              <w:spacing w:beforeAutospacing="0" w:afterAutospacing="0"/>
            </w:pPr>
            <w:r>
              <w:rPr>
                <w:rFonts w:hint="eastAsia"/>
              </w:rPr>
              <w:t xml:space="preserve">合同履行期限</w:t>
            </w:r>
            <w:r/>
          </w:p>
        </w:tc>
        <w:tc>
          <w:tcPr>
            <w:tcBorders>
              <w:top w:val="single" w:color="000000" w:sz="4" w:space="0"/>
              <w:left w:val="single" w:color="000000" w:sz="4" w:space="0"/>
              <w:bottom w:val="single" w:color="000000" w:sz="4" w:space="0"/>
              <w:right w:val="single" w:color="000000" w:sz="4" w:space="0"/>
            </w:tcBorders>
            <w:tcW w:w="1911" w:type="dxa"/>
            <w:vAlign w:val="center"/>
            <w:textDirection w:val="lrTb"/>
            <w:noWrap w:val="false"/>
          </w:tcPr>
          <w:p>
            <w:pPr>
              <w:pStyle w:val="73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pStyle w:val="73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pStyle w:val="730"/>
              <w:jc w:val="center"/>
              <w:spacing w:beforeAutospacing="0" w:afterAutospacing="0"/>
            </w:pPr>
            <w:r>
              <w:t xml:space="preserve"> </w:t>
            </w:r>
            <w:r/>
          </w:p>
        </w:tc>
      </w:tr>
      <w:tr>
        <w:trPr>
          <w:tblCellSpacing w:w="0" w:type="dxa"/>
          <w:trHeight w:val="785"/>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0"/>
              <w:jc w:val="center"/>
              <w:spacing w:beforeAutospacing="0" w:afterAutospacing="0"/>
              <w:rPr>
                <w:rFonts w:hint="eastAsia" w:eastAsiaTheme="minorEastAsia"/>
                <w:lang w:eastAsia="zh-CN"/>
              </w:rPr>
            </w:pPr>
            <w:r>
              <w:rPr>
                <w:rFonts w:hint="eastAsia"/>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4603" w:type="dxa"/>
            <w:vAlign w:val="center"/>
            <w:textDirection w:val="lrTb"/>
            <w:noWrap w:val="false"/>
          </w:tcPr>
          <w:p>
            <w:pPr>
              <w:pStyle w:val="697"/>
              <w:jc w:val="center"/>
              <w:outlineLvl w:val="9"/>
            </w:pPr>
            <w:r>
              <w:rPr>
                <w:rFonts w:hint="eastAsia" w:ascii="Calibri" w:hAnsi="Calibri" w:eastAsia="宋体" w:cs="Times New Roman"/>
                <w:sz w:val="24"/>
                <w:szCs w:val="22"/>
              </w:rPr>
              <w:t xml:space="preserve">实质性响应内容</w:t>
            </w:r>
            <w:r>
              <w:rPr>
                <w:rFonts w:hint="eastAsia" w:ascii="Calibri" w:eastAsia="宋体" w:cs="Times New Roman"/>
                <w:sz w:val="24"/>
                <w:szCs w:val="22"/>
              </w:rPr>
              <w:t xml:space="preserve">（附件1）</w:t>
            </w:r>
            <w:r/>
          </w:p>
        </w:tc>
        <w:tc>
          <w:tcPr>
            <w:tcBorders>
              <w:top w:val="single" w:color="000000" w:sz="4" w:space="0"/>
              <w:left w:val="single" w:color="000000" w:sz="4" w:space="0"/>
              <w:bottom w:val="single" w:color="000000" w:sz="4" w:space="0"/>
              <w:right w:val="single" w:color="000000" w:sz="4" w:space="0"/>
            </w:tcBorders>
            <w:tcW w:w="1911" w:type="dxa"/>
            <w:vAlign w:val="center"/>
            <w:textDirection w:val="lrTb"/>
            <w:noWrap w:val="false"/>
          </w:tcPr>
          <w:p>
            <w:pPr>
              <w:pStyle w:val="73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pStyle w:val="73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pStyle w:val="730"/>
              <w:jc w:val="center"/>
              <w:spacing w:beforeAutospacing="0" w:afterAutospacing="0"/>
            </w:pPr>
            <w:r>
              <w:t xml:space="preserve"> </w:t>
            </w:r>
            <w:r/>
          </w:p>
        </w:tc>
      </w:tr>
      <w:tr>
        <w:trPr>
          <w:tblCellSpacing w:w="0" w:type="dxa"/>
          <w:trHeight w:val="991"/>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0"/>
              <w:jc w:val="center"/>
              <w:spacing w:beforeAutospacing="0" w:afterAutospacing="0"/>
              <w:rPr>
                <w:rFonts w:hint="eastAsia" w:eastAsiaTheme="minorEastAsia"/>
                <w:lang w:eastAsia="zh-CN"/>
              </w:rPr>
            </w:pPr>
            <w:r>
              <w:t xml:space="preserve"> </w:t>
            </w:r>
            <w:r>
              <w:rPr>
                <w:rFonts w:hint="eastAsia"/>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4603" w:type="dxa"/>
            <w:vAlign w:val="center"/>
            <w:textDirection w:val="lrTb"/>
            <w:noWrap w:val="false"/>
          </w:tcPr>
          <w:p>
            <w:pPr>
              <w:pStyle w:val="730"/>
              <w:jc w:val="center"/>
              <w:spacing w:beforeAutospacing="0" w:afterAutospacing="0"/>
            </w:pPr>
            <w:r>
              <w:t xml:space="preserve"> </w:t>
            </w:r>
            <w:r>
              <w:rPr>
                <w:rFonts w:hint="eastAsia"/>
              </w:rPr>
              <w:t xml:space="preserve">开标一览表</w:t>
            </w:r>
            <w:r/>
          </w:p>
        </w:tc>
        <w:tc>
          <w:tcPr>
            <w:tcBorders>
              <w:top w:val="single" w:color="000000" w:sz="4" w:space="0"/>
              <w:left w:val="single" w:color="000000" w:sz="4" w:space="0"/>
              <w:bottom w:val="single" w:color="000000" w:sz="4" w:space="0"/>
              <w:right w:val="single" w:color="000000" w:sz="4" w:space="0"/>
            </w:tcBorders>
            <w:tcW w:w="1911" w:type="dxa"/>
            <w:vAlign w:val="center"/>
            <w:textDirection w:val="lrTb"/>
            <w:noWrap w:val="false"/>
          </w:tcPr>
          <w:p>
            <w:pPr>
              <w:pStyle w:val="73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pStyle w:val="73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pStyle w:val="730"/>
              <w:jc w:val="center"/>
              <w:spacing w:beforeAutospacing="0" w:afterAutospacing="0"/>
            </w:pPr>
            <w:r>
              <w:t xml:space="preserve"> </w:t>
            </w:r>
            <w:r/>
          </w:p>
        </w:tc>
      </w:tr>
      <w:tr>
        <w:trPr>
          <w:tblCellSpacing w:w="0" w:type="dxa"/>
          <w:trHeight w:val="991"/>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0"/>
              <w:jc w:val="center"/>
              <w:spacing w:beforeAutospacing="0" w:afterAutospacing="0"/>
              <w:rPr>
                <w:rFonts w:hint="eastAsia" w:eastAsia="宋体"/>
                <w:lang w:eastAsia="zh-CN"/>
              </w:rPr>
            </w:pPr>
            <w:r>
              <w:rPr>
                <w:rFonts w:hint="eastAsia" w:eastAsia="宋体"/>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4603" w:type="dxa"/>
            <w:vAlign w:val="center"/>
            <w:textDirection w:val="lrTb"/>
            <w:noWrap w:val="false"/>
          </w:tcPr>
          <w:p>
            <w:pPr>
              <w:pStyle w:val="730"/>
              <w:jc w:val="center"/>
              <w:spacing w:beforeAutospacing="0" w:afterAutospacing="0"/>
            </w:pPr>
            <w:r>
              <w:t xml:space="preserve"> </w:t>
            </w:r>
            <w:r>
              <w:rPr>
                <w:rFonts w:hint="eastAsia"/>
              </w:rPr>
              <w:t xml:space="preserve">法人授权书</w:t>
            </w:r>
            <w:r/>
          </w:p>
        </w:tc>
        <w:tc>
          <w:tcPr>
            <w:tcBorders>
              <w:top w:val="single" w:color="000000" w:sz="4" w:space="0"/>
              <w:left w:val="single" w:color="000000" w:sz="4" w:space="0"/>
              <w:bottom w:val="single" w:color="000000" w:sz="4" w:space="0"/>
              <w:right w:val="single" w:color="000000" w:sz="4" w:space="0"/>
            </w:tcBorders>
            <w:tcW w:w="1911" w:type="dxa"/>
            <w:vAlign w:val="center"/>
            <w:textDirection w:val="lrTb"/>
            <w:noWrap w:val="false"/>
          </w:tcPr>
          <w:p>
            <w:pPr>
              <w:pStyle w:val="73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pStyle w:val="73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pStyle w:val="730"/>
              <w:jc w:val="center"/>
              <w:spacing w:beforeAutospacing="0" w:afterAutospacing="0"/>
            </w:pPr>
            <w:r>
              <w:t xml:space="preserve"> </w:t>
            </w:r>
            <w:r/>
          </w:p>
        </w:tc>
      </w:tr>
      <w:tr>
        <w:trPr>
          <w:tblCellSpacing w:w="0" w:type="dxa"/>
          <w:trHeight w:val="991"/>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0"/>
              <w:jc w:val="center"/>
              <w:spacing w:beforeAutospacing="0" w:afterAutospacing="0"/>
              <w:rPr>
                <w:rFonts w:hint="eastAsia" w:eastAsia="宋体"/>
                <w:lang w:eastAsia="zh-CN"/>
              </w:rPr>
            </w:pPr>
            <w:r>
              <w:rPr>
                <w:rFonts w:hint="eastAsia" w:eastAsia="宋体"/>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4603" w:type="dxa"/>
            <w:vAlign w:val="center"/>
            <w:textDirection w:val="lrTb"/>
            <w:noWrap w:val="false"/>
          </w:tcPr>
          <w:p>
            <w:pPr>
              <w:pStyle w:val="730"/>
              <w:jc w:val="center"/>
              <w:spacing w:beforeAutospacing="0" w:afterAutospacing="0"/>
            </w:pPr>
            <w:r>
              <w:t xml:space="preserve"> </w:t>
            </w:r>
            <w:r>
              <w:rPr>
                <w:rFonts w:hint="eastAsia"/>
              </w:rPr>
              <w:t xml:space="preserve">投标函</w:t>
            </w:r>
            <w:r/>
          </w:p>
        </w:tc>
        <w:tc>
          <w:tcPr>
            <w:tcBorders>
              <w:top w:val="single" w:color="000000" w:sz="4" w:space="0"/>
              <w:left w:val="single" w:color="000000" w:sz="4" w:space="0"/>
              <w:bottom w:val="single" w:color="000000" w:sz="4" w:space="0"/>
              <w:right w:val="single" w:color="000000" w:sz="4" w:space="0"/>
            </w:tcBorders>
            <w:tcW w:w="1911" w:type="dxa"/>
            <w:vAlign w:val="center"/>
            <w:textDirection w:val="lrTb"/>
            <w:noWrap w:val="false"/>
          </w:tcPr>
          <w:p>
            <w:pPr>
              <w:pStyle w:val="73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pStyle w:val="73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pStyle w:val="730"/>
              <w:jc w:val="center"/>
              <w:spacing w:beforeAutospacing="0" w:afterAutospacing="0"/>
            </w:pPr>
            <w:r>
              <w:t xml:space="preserve"> </w:t>
            </w:r>
            <w:r/>
          </w:p>
        </w:tc>
      </w:tr>
      <w:tr>
        <w:trPr>
          <w:tblCellSpacing w:w="0" w:type="dxa"/>
          <w:trHeight w:val="991"/>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0"/>
              <w:jc w:val="center"/>
              <w:spacing w:beforeAutospacing="0" w:afterAutospacing="0"/>
              <w:rPr>
                <w:rFonts w:eastAsia="宋体"/>
              </w:rPr>
            </w:pPr>
            <w:r>
              <w:t xml:space="preserve"> </w:t>
            </w:r>
            <w:r/>
          </w:p>
        </w:tc>
        <w:tc>
          <w:tcPr>
            <w:tcBorders>
              <w:top w:val="single" w:color="000000" w:sz="4" w:space="0"/>
              <w:left w:val="single" w:color="000000" w:sz="4" w:space="0"/>
              <w:bottom w:val="single" w:color="000000" w:sz="4" w:space="0"/>
              <w:right w:val="single" w:color="000000" w:sz="4" w:space="0"/>
            </w:tcBorders>
            <w:tcW w:w="4603" w:type="dxa"/>
            <w:vAlign w:val="center"/>
            <w:textDirection w:val="lrTb"/>
            <w:noWrap w:val="false"/>
          </w:tcPr>
          <w:p>
            <w:pPr>
              <w:pStyle w:val="730"/>
              <w:jc w:val="center"/>
              <w:spacing w:beforeAutospacing="0" w:afterAutospacing="0"/>
            </w:pPr>
            <w:r>
              <w:rPr>
                <w:rFonts w:hint="eastAsia" w:ascii="宋体" w:hAnsi="宋体" w:eastAsia="宋体" w:cs="宋体"/>
                <w:color w:val="000000"/>
              </w:rPr>
              <w:t xml:space="preserve">……</w:t>
            </w:r>
            <w:r/>
          </w:p>
        </w:tc>
        <w:tc>
          <w:tcPr>
            <w:tcBorders>
              <w:top w:val="single" w:color="000000" w:sz="4" w:space="0"/>
              <w:left w:val="single" w:color="000000" w:sz="4" w:space="0"/>
              <w:bottom w:val="single" w:color="000000" w:sz="4" w:space="0"/>
              <w:right w:val="single" w:color="000000" w:sz="4" w:space="0"/>
            </w:tcBorders>
            <w:tcW w:w="1911" w:type="dxa"/>
            <w:vAlign w:val="center"/>
            <w:textDirection w:val="lrTb"/>
            <w:noWrap w:val="false"/>
          </w:tcPr>
          <w:p>
            <w:pPr>
              <w:pStyle w:val="73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pStyle w:val="73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pStyle w:val="730"/>
              <w:jc w:val="center"/>
              <w:spacing w:beforeAutospacing="0" w:afterAutospacing="0"/>
            </w:pPr>
            <w:r>
              <w:t xml:space="preserve"> </w:t>
            </w:r>
            <w:r/>
          </w:p>
        </w:tc>
      </w:tr>
    </w:tbl>
    <w:p>
      <w:pPr>
        <w:pStyle w:val="730"/>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730"/>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730"/>
        <w:jc w:val="both"/>
        <w:spacing w:beforeAutospacing="0" w:afterAutospacing="0"/>
      </w:pPr>
      <w:r>
        <w:rPr>
          <w:rFonts w:hint="eastAsia" w:ascii="宋体" w:hAnsi="宋体" w:eastAsia="宋体" w:cs="宋体"/>
          <w:color w:val="000000"/>
        </w:rPr>
        <w:t xml:space="preserve">注： 行数不够，可自行添加。</w:t>
      </w:r>
      <w:r/>
    </w:p>
    <w:p>
      <w:pPr>
        <w:pStyle w:val="739"/>
        <w:rPr>
          <w:rFonts w:cs="宋体"/>
          <w:szCs w:val="28"/>
          <w:lang w:val="zh-CN"/>
        </w:rPr>
      </w:pPr>
      <w:r>
        <w:rPr>
          <w:rFonts w:cs="宋体"/>
          <w:szCs w:val="28"/>
          <w:lang w:val="zh-CN"/>
        </w:rPr>
      </w:r>
      <w:r/>
    </w:p>
    <w:p>
      <w:pPr>
        <w:pStyle w:val="739"/>
        <w:rPr>
          <w:rFonts w:cs="宋体"/>
          <w:szCs w:val="28"/>
          <w:lang w:val="zh-CN"/>
        </w:rPr>
      </w:pPr>
      <w:r>
        <w:rPr>
          <w:rFonts w:cs="宋体"/>
          <w:szCs w:val="28"/>
          <w:lang w:val="zh-CN"/>
        </w:rPr>
      </w:r>
      <w:r/>
    </w:p>
    <w:p>
      <w:pPr>
        <w:pStyle w:val="739"/>
        <w:rPr>
          <w:rFonts w:cs="宋体"/>
          <w:szCs w:val="28"/>
          <w:lang w:val="zh-CN"/>
        </w:rPr>
      </w:pPr>
      <w:r>
        <w:rPr>
          <w:rFonts w:cs="宋体"/>
          <w:szCs w:val="28"/>
          <w:lang w:val="zh-CN"/>
        </w:rPr>
      </w:r>
      <w:r/>
    </w:p>
    <w:p>
      <w:pPr>
        <w:jc w:val="center"/>
        <w:spacing w:before="50" w:after="50"/>
        <w:rPr>
          <w:rFonts w:hint="eastAsia" w:asciiTheme="minorEastAsia" w:hAnsiTheme="minorEastAsia" w:cstheme="minorEastAsia"/>
          <w:bCs/>
          <w:sz w:val="24"/>
        </w:rPr>
      </w:pPr>
      <w:r>
        <w:rPr>
          <w:rFonts w:hint="eastAsia" w:asciiTheme="minorEastAsia" w:hAnsiTheme="minorEastAsia" w:cstheme="minorEastAsia"/>
          <w:bCs/>
          <w:sz w:val="24"/>
        </w:rPr>
        <w:t xml:space="preserve">投标人（加盖CA电子公章）：</w:t>
      </w:r>
      <w:r/>
    </w:p>
    <w:p>
      <w:pPr>
        <w:jc w:val="center"/>
        <w:spacing w:before="50" w:after="50"/>
        <w:rPr>
          <w:rFonts w:hint="eastAsia" w:asciiTheme="minorEastAsia" w:hAnsiTheme="minorEastAsia" w:cstheme="minorEastAsia"/>
          <w:b/>
          <w:bCs/>
          <w:sz w:val="24"/>
        </w:rPr>
      </w:pPr>
      <w:r>
        <w:rPr>
          <w:rFonts w:hint="eastAsia" w:asciiTheme="minorEastAsia" w:hAnsiTheme="minorEastAsia" w:cstheme="minorEastAsia"/>
          <w:bCs/>
          <w:sz w:val="24"/>
        </w:rPr>
        <w:t xml:space="preserve">                  日  期：</w:t>
      </w:r>
      <w:r/>
    </w:p>
    <w:p>
      <w:pPr>
        <w:spacing w:before="50" w:after="50"/>
        <w:rPr>
          <w:rFonts w:hint="eastAsia" w:hAnsi="宋体"/>
          <w:b/>
          <w:bCs/>
          <w:sz w:val="24"/>
        </w:rPr>
      </w:pPr>
      <w:r>
        <w:rPr>
          <w:rFonts w:hint="eastAsia" w:hAnsi="宋体"/>
          <w:b/>
          <w:bCs/>
          <w:sz w:val="24"/>
        </w:rPr>
      </w:r>
      <w:r/>
    </w:p>
    <w:p>
      <w:pPr>
        <w:ind w:firstLine="3045"/>
        <w:spacing w:line="360" w:lineRule="auto"/>
        <w:rPr>
          <w:rFonts w:hint="eastAsia" w:hAnsi="宋体"/>
          <w:bCs/>
          <w:szCs w:val="28"/>
        </w:rPr>
      </w:pPr>
      <w:r>
        <w:rPr>
          <w:rFonts w:hint="eastAsia" w:hAnsi="宋体"/>
          <w:bCs/>
          <w:szCs w:val="28"/>
        </w:rPr>
      </w:r>
      <w:r/>
    </w:p>
    <w:p>
      <w:r/>
      <w:r/>
    </w:p>
    <w:p>
      <w:r/>
      <w:r/>
    </w:p>
    <w:p>
      <w:pPr>
        <w:pStyle w:val="697"/>
        <w:jc w:val="center"/>
        <w:rPr>
          <w:rFonts w:hint="eastAsia" w:hAnsi="宋体" w:eastAsia="宋体"/>
          <w:b/>
          <w:bCs/>
          <w:sz w:val="28"/>
          <w:szCs w:val="22"/>
        </w:rPr>
        <w:outlineLvl w:val="9"/>
      </w:pPr>
      <w:r/>
      <w:bookmarkStart w:id="212" w:name="_Hlt26955054"/>
      <w:r/>
      <w:bookmarkEnd w:id="212"/>
      <w:r/>
      <w:bookmarkStart w:id="213" w:name="_Toc166173726"/>
      <w:r/>
      <w:bookmarkStart w:id="214" w:name="_Toc29728"/>
      <w:r>
        <w:rPr>
          <w:rFonts w:hint="eastAsia" w:hAnsi="宋体" w:eastAsia="宋体"/>
          <w:b/>
          <w:bCs w:val="0"/>
          <w:sz w:val="32"/>
          <w:szCs w:val="24"/>
        </w:rPr>
        <w:t xml:space="preserve">实质性响应内容</w:t>
      </w:r>
      <w:bookmarkEnd w:id="213"/>
      <w:r/>
      <w:bookmarkEnd w:id="214"/>
      <w:r/>
      <w:r/>
    </w:p>
    <w:p>
      <w:pPr>
        <w:jc w:val="left"/>
        <w:spacing w:line="520" w:lineRule="exact"/>
        <w:tabs>
          <w:tab w:val="left" w:pos="1304" w:leader="none"/>
          <w:tab w:val="center" w:pos="4972" w:leader="none"/>
        </w:tabs>
        <w:rPr>
          <w:rFonts w:hAnsi="宋体"/>
          <w:bCs/>
          <w:szCs w:val="28"/>
        </w:rPr>
        <w:outlineLvl w:val="0"/>
      </w:pPr>
      <w:r>
        <w:rPr>
          <w:rFonts w:hint="eastAsia" w:hAnsi="宋体" w:eastAsia="宋体"/>
          <w:b/>
          <w:sz w:val="28"/>
          <w:szCs w:val="22"/>
        </w:rPr>
        <w:t xml:space="preserve">附件1、</w:t>
      </w:r>
      <w:r>
        <w:rPr>
          <w:rFonts w:hint="eastAsia" w:hAnsi="宋体" w:eastAsia="宋体"/>
          <w:b/>
          <w:sz w:val="36"/>
          <w:szCs w:val="28"/>
        </w:rPr>
        <w:t xml:space="preserve"> </w:t>
      </w:r>
      <w:r>
        <w:rPr>
          <w:rFonts w:hint="eastAsia" w:hAnsi="宋体" w:eastAsia="宋体"/>
          <w:bCs/>
          <w:szCs w:val="32"/>
        </w:rPr>
        <w:t xml:space="preserve"> </w:t>
      </w:r>
      <w:r>
        <w:rPr>
          <w:rFonts w:hint="eastAsia" w:hAnsi="宋体"/>
          <w:bCs/>
          <w:szCs w:val="28"/>
        </w:rPr>
        <w:t xml:space="preserve"> </w:t>
      </w:r>
      <w:r/>
    </w:p>
    <w:p>
      <w:pPr>
        <w:jc w:val="center"/>
        <w:spacing w:line="520" w:lineRule="exact"/>
        <w:tabs>
          <w:tab w:val="left" w:pos="1304" w:leader="none"/>
          <w:tab w:val="center" w:pos="4972" w:leader="none"/>
        </w:tabs>
        <w:rPr>
          <w:rFonts w:hAnsi="宋体"/>
          <w:bCs/>
          <w:sz w:val="28"/>
        </w:rPr>
      </w:pPr>
      <w:r>
        <w:rPr>
          <w:rStyle w:val="906"/>
          <w:rFonts w:hint="eastAsia" w:ascii="宋体" w:hAnsi="宋体" w:eastAsia="宋体" w:cs="宋体"/>
          <w:b/>
          <w:bCs/>
          <w:sz w:val="32"/>
          <w:szCs w:val="32"/>
          <w:lang w:bidi="ar"/>
        </w:rPr>
        <w:t xml:space="preserve">承诺函</w:t>
      </w:r>
      <w:r/>
    </w:p>
    <w:p>
      <w:pPr>
        <w:pStyle w:val="911"/>
        <w:ind w:firstLine="482"/>
        <w:rPr>
          <w:rFonts w:hint="eastAsia" w:hAnsi="宋体" w:cs="Times New Roman"/>
          <w:b/>
          <w:sz w:val="24"/>
          <w:szCs w:val="24"/>
        </w:rPr>
      </w:pPr>
      <w:r>
        <w:rPr>
          <w:rFonts w:hint="eastAsia" w:hAnsi="宋体" w:cs="Times New Roman"/>
          <w:b/>
          <w:sz w:val="24"/>
          <w:szCs w:val="24"/>
        </w:rPr>
      </w:r>
      <w:r/>
    </w:p>
    <w:p>
      <w:pPr>
        <w:ind w:firstLine="567"/>
        <w:jc w:val="left"/>
        <w:spacing w:line="520" w:lineRule="exact"/>
        <w:widowControl/>
        <w:rPr>
          <w:rFonts w:hint="eastAsia" w:ascii="宋体" w:hAnsi="宋体" w:eastAsia="宋体" w:cs="宋体"/>
          <w:b/>
          <w:sz w:val="28"/>
          <w:szCs w:val="28"/>
          <w:lang w:eastAsia="zh-CN" w:bidi="ar"/>
        </w:rPr>
        <w:outlineLvl w:val="0"/>
      </w:pPr>
      <w:r>
        <w:rPr>
          <w:rFonts w:hint="eastAsia" w:hAnsi="宋体" w:cs="Times New Roman"/>
          <w:b w:val="0"/>
          <w:bCs/>
          <w:sz w:val="24"/>
          <w:szCs w:val="24"/>
        </w:rPr>
        <w:t xml:space="preserve">供应商承诺与医院现有系统中数据的集成和利用兼容</w:t>
      </w:r>
      <w:r>
        <w:rPr>
          <w:rFonts w:hint="eastAsia" w:hAnsi="宋体" w:cs="Times New Roman"/>
          <w:b w:val="0"/>
          <w:bCs/>
          <w:sz w:val="24"/>
          <w:szCs w:val="24"/>
          <w:lang w:eastAsia="zh-CN"/>
        </w:rPr>
        <w:t xml:space="preserve">，</w:t>
      </w:r>
      <w:r>
        <w:rPr>
          <w:rFonts w:hint="eastAsia" w:hAnsi="宋体" w:cs="Times New Roman"/>
          <w:b w:val="0"/>
          <w:bCs/>
          <w:sz w:val="24"/>
          <w:szCs w:val="24"/>
          <w:lang w:val="en-US" w:eastAsia="zh-CN"/>
        </w:rPr>
        <w:t xml:space="preserve">同时</w:t>
      </w:r>
      <w:r>
        <w:rPr>
          <w:rFonts w:hint="eastAsia" w:hAnsi="宋体" w:cs="Times New Roman"/>
          <w:b w:val="0"/>
          <w:bCs/>
          <w:sz w:val="24"/>
          <w:szCs w:val="24"/>
        </w:rPr>
        <w:t xml:space="preserve">承诺</w:t>
      </w:r>
      <w:r>
        <w:rPr>
          <w:rFonts w:hint="eastAsia" w:hAnsi="宋体" w:cs="Times New Roman"/>
          <w:b w:val="0"/>
          <w:bCs/>
          <w:sz w:val="24"/>
          <w:szCs w:val="24"/>
          <w:lang w:val="en-US" w:eastAsia="zh-CN"/>
        </w:rPr>
        <w:t xml:space="preserve">完全</w:t>
      </w:r>
      <w:r>
        <w:rPr>
          <w:rFonts w:hint="eastAsia" w:hAnsi="宋体" w:cs="Times New Roman"/>
          <w:b w:val="0"/>
          <w:bCs/>
          <w:sz w:val="24"/>
          <w:szCs w:val="24"/>
        </w:rPr>
        <w:t xml:space="preserve">响应采购需求中的</w:t>
      </w:r>
      <w:r>
        <w:rPr>
          <w:rFonts w:hint="eastAsia" w:hAnsi="宋体" w:cs="Times New Roman"/>
          <w:b w:val="0"/>
          <w:bCs/>
          <w:sz w:val="24"/>
          <w:szCs w:val="24"/>
          <w:lang w:val="en-US" w:eastAsia="zh-CN"/>
        </w:rPr>
        <w:t xml:space="preserve">其他商务要求的</w:t>
      </w:r>
      <w:r>
        <w:rPr>
          <w:rFonts w:hint="eastAsia" w:hAnsi="宋体" w:cs="Times New Roman"/>
          <w:b w:val="0"/>
          <w:bCs/>
          <w:sz w:val="24"/>
          <w:szCs w:val="24"/>
        </w:rPr>
        <w:t xml:space="preserve">全部内容</w:t>
      </w:r>
      <w:r>
        <w:rPr>
          <w:rFonts w:hint="eastAsia" w:hAnsi="宋体" w:cs="Times New Roman"/>
          <w:b w:val="0"/>
          <w:bCs/>
          <w:sz w:val="24"/>
          <w:szCs w:val="24"/>
          <w:lang w:val="en-US" w:eastAsia="zh-CN"/>
        </w:rPr>
        <w:t xml:space="preserve">及采购需求中的</w:t>
      </w:r>
      <w:r>
        <w:rPr>
          <w:rFonts w:hint="eastAsia" w:hAnsi="宋体" w:cs="Times New Roman"/>
          <w:b w:val="0"/>
          <w:bCs/>
          <w:sz w:val="24"/>
          <w:szCs w:val="24"/>
        </w:rPr>
        <w:t xml:space="preserve">安全管理要求</w:t>
      </w:r>
      <w:r>
        <w:rPr>
          <w:rFonts w:hint="eastAsia" w:hAnsi="宋体" w:cs="Times New Roman"/>
          <w:b w:val="0"/>
          <w:bCs/>
          <w:sz w:val="24"/>
          <w:szCs w:val="24"/>
          <w:lang w:val="en-US" w:eastAsia="zh-CN"/>
        </w:rPr>
        <w:t xml:space="preserve">和</w:t>
      </w:r>
      <w:r>
        <w:rPr>
          <w:rFonts w:hint="eastAsia" w:hAnsi="宋体" w:cs="Times New Roman"/>
          <w:b w:val="0"/>
          <w:bCs/>
          <w:sz w:val="24"/>
          <w:szCs w:val="24"/>
        </w:rPr>
        <w:t xml:space="preserve">特别说明</w:t>
      </w:r>
      <w:r>
        <w:rPr>
          <w:rFonts w:hint="eastAsia" w:hAnsi="宋体" w:cs="Times New Roman"/>
          <w:b w:val="0"/>
          <w:bCs/>
          <w:sz w:val="24"/>
          <w:szCs w:val="24"/>
          <w:lang w:eastAsia="zh-CN"/>
        </w:rPr>
        <w:t xml:space="preserve">。</w:t>
      </w:r>
      <w:r/>
    </w:p>
    <w:p>
      <w:pPr>
        <w:pStyle w:val="911"/>
        <w:ind w:firstLine="560"/>
        <w:rPr>
          <w:rFonts w:hint="eastAsia" w:hAnsi="宋体" w:cs="Times New Roman"/>
          <w:b/>
          <w:szCs w:val="28"/>
        </w:rPr>
      </w:pPr>
      <w:r>
        <w:rPr>
          <w:rFonts w:hint="eastAsia" w:hAnsi="宋体" w:cs="Times New Roman"/>
          <w:b/>
          <w:szCs w:val="28"/>
        </w:rPr>
      </w:r>
      <w:r/>
    </w:p>
    <w:p>
      <w:pPr>
        <w:pStyle w:val="911"/>
        <w:ind w:firstLine="560"/>
        <w:rPr>
          <w:rFonts w:hint="eastAsia" w:hAnsi="宋体" w:cs="Times New Roman"/>
          <w:b/>
          <w:szCs w:val="28"/>
        </w:rPr>
      </w:pPr>
      <w:r>
        <w:rPr>
          <w:rFonts w:hint="eastAsia" w:hAnsi="宋体" w:cs="Times New Roman"/>
          <w:b/>
          <w:szCs w:val="28"/>
        </w:rPr>
      </w:r>
      <w:r/>
    </w:p>
    <w:p>
      <w:pPr>
        <w:jc w:val="center"/>
        <w:spacing w:line="440" w:lineRule="exact"/>
        <w:rPr>
          <w:rFonts w:hint="eastAsia" w:hAnsi="宋体"/>
          <w:bCs/>
          <w:sz w:val="28"/>
        </w:rPr>
      </w:pPr>
      <w:r>
        <w:rPr>
          <w:rFonts w:hint="eastAsia" w:hAnsi="宋体"/>
          <w:bCs/>
          <w:szCs w:val="28"/>
        </w:rPr>
        <w:t xml:space="preserve">                                      投标人</w:t>
      </w:r>
      <w:r>
        <w:rPr>
          <w:rFonts w:hint="eastAsia" w:ascii="宋体" w:hAnsi="宋体"/>
          <w:color w:val="000000"/>
          <w:sz w:val="24"/>
        </w:rPr>
        <w:t xml:space="preserve">（加盖CA电子公章）</w:t>
      </w:r>
      <w:r>
        <w:rPr>
          <w:rFonts w:hint="eastAsia" w:hAnsi="宋体"/>
          <w:bCs/>
          <w:szCs w:val="28"/>
        </w:rPr>
        <w:t xml:space="preserve">：</w:t>
      </w:r>
      <w:r/>
    </w:p>
    <w:p>
      <w:pPr>
        <w:pStyle w:val="714"/>
        <w:ind w:left="0" w:right="0" w:firstLine="5250"/>
        <w:spacing w:line="440" w:lineRule="exact"/>
        <w:rPr>
          <w:rFonts w:hint="eastAsia" w:ascii="Calibri" w:hAnsi="宋体" w:eastAsia="宋体" w:cs="Times New Roman"/>
          <w:bCs/>
        </w:rPr>
      </w:pPr>
      <w:r>
        <w:rPr>
          <w:rFonts w:hint="eastAsia" w:ascii="Calibri" w:hAnsi="宋体" w:eastAsia="宋体" w:cs="Times New Roman"/>
          <w:bCs/>
        </w:rPr>
        <w:t xml:space="preserve">日期：      年     月     日</w:t>
      </w:r>
      <w:r/>
    </w:p>
    <w:p>
      <w:pPr>
        <w:rPr>
          <w:rFonts w:hint="eastAsia" w:ascii="Arial" w:hAnsi="宋体" w:eastAsia="宋体" w:cs="Arial"/>
          <w:bCs/>
          <w:sz w:val="28"/>
          <w:szCs w:val="22"/>
        </w:rPr>
      </w:pPr>
      <w:r>
        <w:rPr>
          <w:rFonts w:hint="eastAsia" w:ascii="Arial" w:hAnsi="宋体" w:eastAsia="宋体" w:cs="Arial"/>
          <w:bCs/>
          <w:sz w:val="28"/>
          <w:szCs w:val="22"/>
        </w:rPr>
      </w:r>
      <w:r/>
    </w:p>
    <w:p>
      <w:pPr>
        <w:rPr>
          <w:rFonts w:hint="eastAsia" w:ascii="Arial" w:hAnsi="宋体" w:eastAsia="宋体" w:cs="Arial"/>
          <w:b/>
          <w:bCs w:val="0"/>
          <w:sz w:val="28"/>
          <w:szCs w:val="22"/>
        </w:rPr>
        <w:outlineLvl w:val="0"/>
      </w:pPr>
      <w:r>
        <w:rPr>
          <w:rFonts w:hint="eastAsia" w:ascii="Arial" w:hAnsi="宋体" w:eastAsia="宋体" w:cs="Arial"/>
          <w:b/>
          <w:bCs w:val="0"/>
          <w:sz w:val="28"/>
          <w:szCs w:val="22"/>
        </w:rPr>
      </w:r>
      <w:r/>
    </w:p>
    <w:p>
      <w:pPr>
        <w:rPr>
          <w:rFonts w:hint="eastAsia" w:ascii="Arial" w:hAnsi="宋体" w:eastAsia="宋体" w:cs="Arial"/>
          <w:b/>
          <w:bCs w:val="0"/>
          <w:sz w:val="28"/>
          <w:szCs w:val="22"/>
        </w:rPr>
        <w:outlineLvl w:val="0"/>
      </w:pPr>
      <w:r>
        <w:rPr>
          <w:rFonts w:hint="eastAsia" w:ascii="Arial" w:hAnsi="宋体" w:eastAsia="宋体" w:cs="Arial"/>
          <w:b/>
          <w:bCs w:val="0"/>
          <w:sz w:val="28"/>
          <w:szCs w:val="22"/>
        </w:rPr>
      </w:r>
      <w:r/>
    </w:p>
    <w:p>
      <w:pPr>
        <w:rPr>
          <w:rFonts w:hint="eastAsia" w:ascii="Arial" w:hAnsi="宋体" w:eastAsia="宋体" w:cs="Arial"/>
          <w:b/>
          <w:bCs w:val="0"/>
          <w:sz w:val="28"/>
          <w:szCs w:val="22"/>
        </w:rPr>
        <w:outlineLvl w:val="0"/>
      </w:pPr>
      <w:r>
        <w:rPr>
          <w:rFonts w:hint="eastAsia" w:ascii="Arial" w:hAnsi="宋体" w:eastAsia="宋体" w:cs="Arial"/>
          <w:b/>
          <w:bCs w:val="0"/>
          <w:sz w:val="28"/>
          <w:szCs w:val="22"/>
        </w:rPr>
      </w:r>
      <w:r/>
    </w:p>
    <w:p>
      <w:pPr>
        <w:rPr>
          <w:rFonts w:hint="eastAsia" w:ascii="Arial" w:hAnsi="宋体" w:eastAsia="宋体" w:cs="Arial"/>
          <w:b/>
          <w:bCs w:val="0"/>
          <w:sz w:val="28"/>
          <w:szCs w:val="22"/>
        </w:rPr>
        <w:outlineLvl w:val="0"/>
      </w:pPr>
      <w:r>
        <w:rPr>
          <w:rFonts w:hint="eastAsia" w:ascii="Arial" w:hAnsi="宋体" w:eastAsia="宋体" w:cs="Arial"/>
          <w:b/>
          <w:bCs w:val="0"/>
          <w:sz w:val="28"/>
          <w:szCs w:val="22"/>
        </w:rPr>
      </w:r>
      <w:r/>
    </w:p>
    <w:p>
      <w:pPr>
        <w:rPr>
          <w:rFonts w:hint="eastAsia" w:ascii="Arial" w:hAnsi="宋体" w:eastAsia="宋体" w:cs="Arial"/>
          <w:b/>
          <w:bCs w:val="0"/>
          <w:sz w:val="28"/>
          <w:szCs w:val="22"/>
        </w:rPr>
        <w:outlineLvl w:val="0"/>
      </w:pPr>
      <w:r>
        <w:rPr>
          <w:rFonts w:hint="eastAsia" w:ascii="Arial" w:hAnsi="宋体" w:eastAsia="宋体" w:cs="Arial"/>
          <w:b/>
          <w:bCs w:val="0"/>
          <w:sz w:val="28"/>
          <w:szCs w:val="22"/>
        </w:rPr>
      </w:r>
      <w:r/>
    </w:p>
    <w:p>
      <w:pPr>
        <w:rPr>
          <w:rFonts w:hint="eastAsia" w:ascii="Arial" w:hAnsi="宋体" w:eastAsia="宋体" w:cs="Arial"/>
          <w:b/>
          <w:bCs w:val="0"/>
          <w:sz w:val="28"/>
          <w:szCs w:val="22"/>
        </w:rPr>
        <w:outlineLvl w:val="0"/>
      </w:pPr>
      <w:r>
        <w:rPr>
          <w:rFonts w:hint="eastAsia" w:ascii="Arial" w:hAnsi="宋体" w:eastAsia="宋体" w:cs="Arial"/>
          <w:b/>
          <w:bCs w:val="0"/>
          <w:sz w:val="28"/>
          <w:szCs w:val="22"/>
        </w:rPr>
      </w:r>
      <w:r/>
    </w:p>
    <w:p>
      <w:pPr>
        <w:rPr>
          <w:rFonts w:hint="eastAsia" w:ascii="Arial" w:hAnsi="宋体" w:eastAsia="宋体" w:cs="Arial"/>
          <w:b/>
          <w:bCs w:val="0"/>
          <w:sz w:val="28"/>
          <w:szCs w:val="22"/>
        </w:rPr>
        <w:outlineLvl w:val="0"/>
      </w:pPr>
      <w:r>
        <w:rPr>
          <w:rFonts w:hint="eastAsia" w:ascii="Arial" w:hAnsi="宋体" w:eastAsia="宋体" w:cs="Arial"/>
          <w:b/>
          <w:bCs w:val="0"/>
          <w:sz w:val="28"/>
          <w:szCs w:val="22"/>
        </w:rPr>
      </w:r>
      <w:r/>
    </w:p>
    <w:p>
      <w:pPr>
        <w:rPr>
          <w:rFonts w:hint="eastAsia" w:ascii="Arial" w:hAnsi="宋体" w:eastAsia="宋体" w:cs="Arial"/>
          <w:b/>
          <w:bCs w:val="0"/>
          <w:sz w:val="28"/>
          <w:szCs w:val="22"/>
        </w:rPr>
        <w:outlineLvl w:val="0"/>
      </w:pPr>
      <w:r>
        <w:rPr>
          <w:rFonts w:hint="eastAsia" w:ascii="Arial" w:hAnsi="宋体" w:eastAsia="宋体" w:cs="Arial"/>
          <w:b/>
          <w:bCs w:val="0"/>
          <w:sz w:val="28"/>
          <w:szCs w:val="22"/>
        </w:rPr>
      </w:r>
      <w:r/>
    </w:p>
    <w:p>
      <w:pPr>
        <w:rPr>
          <w:rFonts w:hint="eastAsia" w:ascii="Arial" w:hAnsi="宋体" w:eastAsia="宋体" w:cs="Arial"/>
          <w:b/>
          <w:bCs w:val="0"/>
          <w:sz w:val="28"/>
          <w:szCs w:val="22"/>
        </w:rPr>
        <w:outlineLvl w:val="0"/>
      </w:pPr>
      <w:r>
        <w:rPr>
          <w:rFonts w:hint="eastAsia" w:ascii="Arial" w:hAnsi="宋体" w:eastAsia="宋体" w:cs="Arial"/>
          <w:b/>
          <w:bCs w:val="0"/>
          <w:sz w:val="28"/>
          <w:szCs w:val="22"/>
        </w:rPr>
      </w:r>
      <w:r/>
    </w:p>
    <w:p>
      <w:pPr>
        <w:rPr>
          <w:rFonts w:hint="eastAsia" w:ascii="Arial" w:hAnsi="宋体" w:eastAsia="宋体" w:cs="Arial"/>
          <w:b/>
          <w:bCs w:val="0"/>
          <w:sz w:val="28"/>
          <w:szCs w:val="22"/>
        </w:rPr>
        <w:outlineLvl w:val="0"/>
      </w:pPr>
      <w:r>
        <w:rPr>
          <w:rFonts w:hint="eastAsia" w:ascii="Arial" w:hAnsi="宋体" w:eastAsia="宋体" w:cs="Arial"/>
          <w:b/>
          <w:bCs w:val="0"/>
          <w:sz w:val="28"/>
          <w:szCs w:val="22"/>
        </w:rPr>
      </w:r>
      <w:r/>
    </w:p>
    <w:p>
      <w:pPr>
        <w:rPr>
          <w:rFonts w:hint="eastAsia" w:ascii="Arial" w:hAnsi="宋体" w:eastAsia="宋体" w:cs="Arial"/>
          <w:b/>
          <w:bCs w:val="0"/>
          <w:sz w:val="28"/>
          <w:szCs w:val="22"/>
        </w:rPr>
        <w:outlineLvl w:val="0"/>
      </w:pPr>
      <w:r>
        <w:rPr>
          <w:rFonts w:hint="eastAsia" w:ascii="Arial" w:hAnsi="宋体" w:eastAsia="宋体" w:cs="Arial"/>
          <w:b/>
          <w:bCs w:val="0"/>
          <w:sz w:val="28"/>
          <w:szCs w:val="22"/>
        </w:rPr>
      </w:r>
      <w:r/>
    </w:p>
    <w:p>
      <w:pPr>
        <w:rPr>
          <w:rFonts w:hint="eastAsia" w:ascii="Arial" w:hAnsi="宋体" w:eastAsia="宋体" w:cs="Arial"/>
          <w:b/>
          <w:bCs w:val="0"/>
          <w:sz w:val="28"/>
          <w:szCs w:val="22"/>
        </w:rPr>
        <w:outlineLvl w:val="0"/>
      </w:pPr>
      <w:r>
        <w:rPr>
          <w:rFonts w:hint="eastAsia" w:ascii="Arial" w:hAnsi="宋体" w:eastAsia="宋体" w:cs="Arial"/>
          <w:b/>
          <w:bCs w:val="0"/>
          <w:sz w:val="28"/>
          <w:szCs w:val="22"/>
        </w:rPr>
      </w:r>
      <w:r/>
    </w:p>
    <w:p>
      <w:pPr>
        <w:rPr>
          <w:rFonts w:hint="eastAsia" w:ascii="Arial" w:hAnsi="宋体" w:eastAsia="宋体" w:cs="Arial"/>
          <w:b/>
          <w:bCs w:val="0"/>
          <w:sz w:val="28"/>
          <w:szCs w:val="22"/>
        </w:rPr>
        <w:outlineLvl w:val="0"/>
      </w:pPr>
      <w:r>
        <w:rPr>
          <w:rFonts w:hint="eastAsia" w:ascii="Arial" w:hAnsi="宋体" w:eastAsia="宋体" w:cs="Arial"/>
          <w:b/>
          <w:bCs w:val="0"/>
          <w:sz w:val="28"/>
          <w:szCs w:val="22"/>
        </w:rPr>
      </w:r>
      <w:r/>
    </w:p>
    <w:p>
      <w:pPr>
        <w:rPr>
          <w:rFonts w:hint="eastAsia" w:ascii="Arial" w:hAnsi="宋体" w:eastAsia="宋体" w:cs="Arial"/>
          <w:b/>
          <w:bCs w:val="0"/>
          <w:sz w:val="28"/>
          <w:szCs w:val="22"/>
        </w:rPr>
        <w:outlineLvl w:val="0"/>
      </w:pPr>
      <w:r>
        <w:rPr>
          <w:rFonts w:hint="eastAsia" w:ascii="Arial" w:hAnsi="宋体" w:eastAsia="宋体" w:cs="Arial"/>
          <w:b/>
          <w:bCs w:val="0"/>
          <w:sz w:val="28"/>
          <w:szCs w:val="22"/>
        </w:rPr>
      </w:r>
      <w:r/>
    </w:p>
    <w:p>
      <w:pPr>
        <w:rPr>
          <w:rFonts w:hint="eastAsia" w:ascii="Arial" w:hAnsi="宋体" w:eastAsia="宋体" w:cs="Arial"/>
          <w:b/>
          <w:bCs w:val="0"/>
          <w:sz w:val="28"/>
          <w:szCs w:val="22"/>
        </w:rPr>
        <w:outlineLvl w:val="0"/>
      </w:pPr>
      <w:r>
        <w:rPr>
          <w:rFonts w:hint="eastAsia" w:ascii="Arial" w:hAnsi="宋体" w:eastAsia="宋体" w:cs="Arial"/>
          <w:b/>
          <w:bCs w:val="0"/>
          <w:sz w:val="28"/>
          <w:szCs w:val="22"/>
        </w:rPr>
      </w:r>
      <w:r/>
    </w:p>
    <w:p>
      <w:pPr>
        <w:rPr>
          <w:rFonts w:hint="eastAsia" w:ascii="Arial" w:hAnsi="宋体" w:eastAsia="宋体" w:cs="Arial"/>
          <w:b/>
          <w:bCs w:val="0"/>
          <w:sz w:val="28"/>
          <w:szCs w:val="22"/>
        </w:rPr>
        <w:outlineLvl w:val="0"/>
      </w:pPr>
      <w:r>
        <w:rPr>
          <w:rFonts w:hint="eastAsia" w:ascii="Arial" w:hAnsi="宋体" w:eastAsia="宋体" w:cs="Arial"/>
          <w:b/>
          <w:bCs w:val="0"/>
          <w:sz w:val="28"/>
          <w:szCs w:val="22"/>
        </w:rPr>
      </w:r>
      <w:r/>
    </w:p>
    <w:p>
      <w:pPr>
        <w:rPr>
          <w:rFonts w:hint="eastAsia" w:ascii="Arial" w:hAnsi="宋体" w:eastAsia="宋体" w:cs="Arial"/>
          <w:b/>
          <w:bCs w:val="0"/>
          <w:sz w:val="28"/>
          <w:szCs w:val="22"/>
        </w:rPr>
        <w:outlineLvl w:val="0"/>
      </w:pPr>
      <w:r>
        <w:rPr>
          <w:rFonts w:hint="eastAsia" w:ascii="Arial" w:hAnsi="宋体" w:eastAsia="宋体" w:cs="Arial"/>
          <w:b/>
          <w:bCs w:val="0"/>
          <w:sz w:val="28"/>
          <w:szCs w:val="22"/>
        </w:rPr>
      </w:r>
      <w:r/>
    </w:p>
    <w:p>
      <w:pPr>
        <w:rPr>
          <w:rFonts w:hint="eastAsia" w:ascii="Arial" w:hAnsi="宋体" w:eastAsia="宋体" w:cs="Arial"/>
          <w:b/>
          <w:bCs w:val="0"/>
          <w:sz w:val="28"/>
          <w:szCs w:val="22"/>
        </w:rPr>
        <w:outlineLvl w:val="0"/>
      </w:pPr>
      <w:r>
        <w:rPr>
          <w:rFonts w:hint="eastAsia" w:ascii="Arial" w:hAnsi="宋体" w:eastAsia="宋体" w:cs="Arial"/>
          <w:b/>
          <w:bCs w:val="0"/>
          <w:sz w:val="28"/>
          <w:szCs w:val="22"/>
        </w:rPr>
      </w:r>
      <w:r/>
    </w:p>
    <w:p>
      <w:pPr>
        <w:rPr>
          <w:rFonts w:hint="eastAsia" w:ascii="Arial" w:hAnsi="宋体" w:eastAsia="宋体" w:cs="Arial"/>
          <w:b/>
          <w:bCs w:val="0"/>
          <w:sz w:val="28"/>
          <w:szCs w:val="22"/>
        </w:rPr>
        <w:outlineLvl w:val="0"/>
      </w:pPr>
      <w:r>
        <w:rPr>
          <w:rFonts w:hint="eastAsia" w:ascii="Arial" w:hAnsi="宋体" w:eastAsia="宋体" w:cs="Arial"/>
          <w:b/>
          <w:bCs w:val="0"/>
          <w:sz w:val="28"/>
          <w:szCs w:val="22"/>
        </w:rPr>
      </w:r>
      <w:r/>
    </w:p>
    <w:p>
      <w:pPr>
        <w:rPr>
          <w:rFonts w:hint="eastAsia" w:ascii="Arial" w:hAnsi="宋体" w:eastAsia="宋体" w:cs="Arial"/>
          <w:b/>
          <w:bCs w:val="0"/>
          <w:sz w:val="28"/>
          <w:szCs w:val="22"/>
        </w:rPr>
        <w:outlineLvl w:val="0"/>
      </w:pPr>
      <w:r>
        <w:rPr>
          <w:rFonts w:hint="eastAsia" w:ascii="Arial" w:hAnsi="宋体" w:eastAsia="宋体" w:cs="Arial"/>
          <w:b/>
          <w:bCs w:val="0"/>
          <w:sz w:val="28"/>
          <w:szCs w:val="22"/>
        </w:rPr>
      </w:r>
      <w:r/>
    </w:p>
    <w:p>
      <w:pPr>
        <w:rPr>
          <w:rFonts w:hint="eastAsia" w:ascii="Arial" w:hAnsi="宋体" w:eastAsia="宋体" w:cs="Arial"/>
          <w:b/>
          <w:bCs w:val="0"/>
          <w:sz w:val="28"/>
          <w:szCs w:val="22"/>
        </w:rPr>
        <w:outlineLvl w:val="0"/>
      </w:pPr>
      <w:r>
        <w:rPr>
          <w:rFonts w:hint="eastAsia" w:ascii="Arial" w:hAnsi="宋体" w:eastAsia="宋体" w:cs="Arial"/>
          <w:b/>
          <w:bCs w:val="0"/>
          <w:sz w:val="28"/>
          <w:szCs w:val="22"/>
        </w:rPr>
      </w:r>
      <w:r/>
    </w:p>
    <w:p>
      <w:pPr>
        <w:rPr>
          <w:rFonts w:hint="eastAsia" w:ascii="Arial" w:hAnsi="宋体" w:eastAsia="宋体" w:cs="Arial"/>
          <w:b/>
          <w:bCs w:val="0"/>
          <w:sz w:val="28"/>
          <w:szCs w:val="22"/>
        </w:rPr>
        <w:outlineLvl w:val="0"/>
      </w:pPr>
      <w:r>
        <w:rPr>
          <w:rFonts w:hint="eastAsia" w:ascii="Arial" w:hAnsi="宋体" w:eastAsia="宋体" w:cs="Arial"/>
          <w:b/>
          <w:bCs w:val="0"/>
          <w:sz w:val="28"/>
          <w:szCs w:val="22"/>
        </w:rPr>
      </w:r>
      <w:r/>
    </w:p>
    <w:p>
      <w:pPr>
        <w:rPr>
          <w:rFonts w:hint="eastAsia" w:ascii="Arial" w:hAnsi="宋体" w:eastAsia="宋体" w:cs="Arial"/>
          <w:b/>
          <w:bCs w:val="0"/>
          <w:sz w:val="28"/>
          <w:szCs w:val="22"/>
        </w:rPr>
        <w:outlineLvl w:val="0"/>
      </w:pPr>
      <w:r>
        <w:rPr>
          <w:rFonts w:hint="eastAsia" w:ascii="Arial" w:hAnsi="宋体" w:eastAsia="宋体" w:cs="Arial"/>
          <w:b/>
          <w:bCs w:val="0"/>
          <w:sz w:val="28"/>
          <w:szCs w:val="22"/>
        </w:rPr>
      </w:r>
      <w:r/>
    </w:p>
    <w:p>
      <w:pPr>
        <w:rPr>
          <w:rFonts w:hint="eastAsia" w:ascii="Arial" w:hAnsi="宋体" w:eastAsia="宋体" w:cs="Arial"/>
          <w:b/>
          <w:bCs w:val="0"/>
          <w:sz w:val="28"/>
          <w:szCs w:val="22"/>
        </w:rPr>
        <w:outlineLvl w:val="0"/>
      </w:pPr>
      <w:r>
        <w:rPr>
          <w:rFonts w:hint="eastAsia" w:ascii="Arial" w:hAnsi="宋体" w:eastAsia="宋体" w:cs="Arial"/>
          <w:b/>
          <w:bCs w:val="0"/>
          <w:sz w:val="28"/>
          <w:szCs w:val="22"/>
        </w:rPr>
      </w:r>
      <w:r/>
    </w:p>
    <w:p>
      <w:pPr>
        <w:rPr>
          <w:rFonts w:hint="eastAsia" w:ascii="Arial" w:hAnsi="宋体" w:eastAsia="宋体" w:cs="Arial"/>
          <w:b/>
          <w:bCs w:val="0"/>
          <w:sz w:val="28"/>
          <w:szCs w:val="22"/>
        </w:rPr>
        <w:outlineLvl w:val="0"/>
      </w:pPr>
      <w:r>
        <w:rPr>
          <w:rFonts w:hint="eastAsia" w:ascii="Arial" w:hAnsi="宋体" w:eastAsia="宋体" w:cs="Arial"/>
          <w:b/>
          <w:bCs w:val="0"/>
          <w:sz w:val="28"/>
          <w:szCs w:val="22"/>
        </w:rPr>
      </w:r>
      <w:r/>
    </w:p>
    <w:p>
      <w:pPr>
        <w:jc w:val="center"/>
        <w:rPr>
          <w:rFonts w:ascii="Times New Roman" w:hAnsi="Times New Roman" w:eastAsia="仿宋_GB2312"/>
          <w:color w:val="000000"/>
          <w:sz w:val="24"/>
          <w:szCs w:val="20"/>
        </w:rPr>
        <w:outlineLvl w:val="0"/>
      </w:pPr>
      <w:r/>
      <w:bookmarkStart w:id="215" w:name="_Toc8640"/>
      <w:r>
        <w:rPr>
          <w:rFonts w:hint="eastAsia" w:ascii="黑体" w:hAnsi="黑体" w:eastAsia="黑体"/>
          <w:b/>
          <w:i/>
          <w:color w:val="000000"/>
          <w:sz w:val="32"/>
          <w:szCs w:val="32"/>
          <w:u w:val="single"/>
        </w:rPr>
        <w:t xml:space="preserve">十四、开标一览表</w:t>
      </w:r>
      <w:bookmarkEnd w:id="215"/>
      <w:r/>
      <w:r/>
    </w:p>
    <w:p>
      <w:pPr>
        <w:ind w:firstLine="480"/>
        <w:rPr>
          <w:rFonts w:hint="eastAsia" w:ascii="宋体" w:hAnsi="宋体"/>
          <w:color w:val="000000"/>
          <w:sz w:val="24"/>
        </w:rPr>
      </w:pPr>
      <w:r>
        <w:rPr>
          <w:rFonts w:hint="eastAsia" w:ascii="宋体" w:hAnsi="宋体"/>
          <w:color w:val="000000"/>
          <w:sz w:val="24"/>
        </w:rPr>
        <w:t xml:space="preserve">投标人全称（加盖CA电子公章）：</w:t>
      </w:r>
      <w:r/>
    </w:p>
    <w:p>
      <w:pPr>
        <w:ind w:firstLine="480"/>
        <w:rPr>
          <w:rFonts w:ascii="Times New Roman" w:hAnsi="Times New Roman"/>
          <w:color w:val="000000"/>
          <w:sz w:val="24"/>
        </w:rPr>
      </w:pPr>
      <w:r>
        <w:rPr>
          <w:rFonts w:hint="eastAsia" w:ascii="宋体" w:hAnsi="宋体"/>
          <w:color w:val="000000"/>
          <w:sz w:val="24"/>
        </w:rPr>
        <w:t xml:space="preserve">项目名称：</w:t>
      </w:r>
      <w:r/>
    </w:p>
    <w:p>
      <w:pPr>
        <w:ind w:firstLine="480"/>
        <w:rPr>
          <w:rFonts w:hint="eastAsia" w:ascii="宋体" w:hAnsi="宋体"/>
          <w:color w:val="000000"/>
          <w:sz w:val="24"/>
        </w:rPr>
      </w:pPr>
      <w:r>
        <w:rPr>
          <w:rFonts w:hint="eastAsia" w:ascii="宋体" w:hAnsi="宋体"/>
          <w:color w:val="000000"/>
          <w:sz w:val="24"/>
        </w:rPr>
        <w:t xml:space="preserve">招标编号：                                 </w:t>
      </w:r>
      <w:r/>
    </w:p>
    <w:p>
      <w:pPr>
        <w:rPr>
          <w:rFonts w:hint="eastAsia" w:ascii="宋体" w:hAnsi="宋体"/>
          <w:color w:val="000000"/>
          <w:sz w:val="24"/>
        </w:rPr>
      </w:pPr>
      <w:r>
        <w:rPr>
          <w:rFonts w:hint="eastAsia" w:ascii="宋体" w:hAnsi="宋体"/>
          <w:color w:val="000000"/>
          <w:sz w:val="24"/>
        </w:rPr>
      </w:r>
      <w:r/>
    </w:p>
    <w:tbl>
      <w:tblPr>
        <w:tblStyle w:val="707"/>
        <w:tblW w:w="8844"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844"/>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844" w:type="dxa"/>
            <w:vAlign w:val="center"/>
            <w:textDirection w:val="lrTb"/>
            <w:noWrap w:val="false"/>
          </w:tcPr>
          <w:p>
            <w:pPr>
              <w:pStyle w:val="730"/>
              <w:jc w:val="both"/>
              <w:spacing w:beforeAutospacing="0" w:afterAutospacing="0"/>
              <w:rPr>
                <w:rFonts w:eastAsia="宋体"/>
              </w:rPr>
            </w:pPr>
            <w:r>
              <w:rPr>
                <w:rFonts w:hint="eastAsia" w:ascii="宋体" w:hAnsi="宋体" w:eastAsia="宋体" w:cs="宋体"/>
                <w:color w:val="000000"/>
              </w:rPr>
              <w:t xml:space="preserve">投标总报价</w:t>
            </w:r>
            <w:r>
              <w:rPr>
                <w:rFonts w:hint="eastAsia" w:ascii="宋体" w:hAnsi="宋体" w:cs="宋体"/>
                <w:color w:val="000000"/>
              </w:rPr>
              <w:t xml:space="preserve">：</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844" w:type="dxa"/>
            <w:vAlign w:val="center"/>
            <w:textDirection w:val="lrTb"/>
            <w:noWrap w:val="false"/>
          </w:tcPr>
          <w:p>
            <w:pPr>
              <w:pStyle w:val="730"/>
              <w:spacing w:beforeAutospacing="0" w:afterAutospacing="0" w:line="0" w:lineRule="atLeast"/>
            </w:pPr>
            <w:r>
              <w:rPr>
                <w:rFonts w:hint="eastAsia" w:ascii="宋体" w:hAnsi="宋体" w:eastAsia="宋体" w:cs="宋体"/>
                <w:color w:val="000000"/>
              </w:rPr>
              <w:t xml:space="preserve">小写：                        （人民币：元）</w:t>
            </w:r>
            <w:r/>
          </w:p>
        </w:tc>
      </w:tr>
    </w:tbl>
    <w:p>
      <w:pPr>
        <w:ind w:firstLine="480"/>
        <w:rPr>
          <w:rFonts w:hint="eastAsia" w:ascii="宋体" w:hAnsi="宋体"/>
          <w:color w:val="000000"/>
          <w:sz w:val="24"/>
        </w:rPr>
      </w:pPr>
      <w:r>
        <w:rPr>
          <w:rFonts w:hint="eastAsia" w:ascii="宋体" w:hAnsi="宋体"/>
          <w:color w:val="000000"/>
          <w:sz w:val="24"/>
        </w:rPr>
        <w:t xml:space="preserve">                                            </w:t>
      </w:r>
      <w:r/>
    </w:p>
    <w:p>
      <w:pPr>
        <w:ind w:firstLine="480"/>
        <w:rPr>
          <w:rFonts w:hint="eastAsia" w:ascii="宋体" w:hAnsi="宋体"/>
          <w:color w:val="000000"/>
          <w:sz w:val="24"/>
        </w:rPr>
      </w:pPr>
      <w:r>
        <w:rPr>
          <w:rFonts w:hint="eastAsia" w:ascii="宋体" w:hAnsi="宋体"/>
          <w:color w:val="000000"/>
          <w:sz w:val="24"/>
        </w:rPr>
        <w:t xml:space="preserve">                                       </w:t>
      </w:r>
      <w:r/>
    </w:p>
    <w:p>
      <w:pPr>
        <w:ind w:firstLine="5582"/>
        <w:rPr>
          <w:rFonts w:hint="eastAsia" w:ascii="宋体" w:hAnsi="宋体"/>
          <w:color w:val="000000"/>
          <w:sz w:val="24"/>
        </w:rPr>
      </w:pPr>
      <w:r>
        <w:rPr>
          <w:rFonts w:hint="eastAsia" w:ascii="宋体" w:hAnsi="宋体"/>
          <w:color w:val="000000"/>
          <w:sz w:val="24"/>
        </w:rPr>
        <w:t xml:space="preserve">日期：  </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w:t>
      </w:r>
      <w:r/>
    </w:p>
    <w:p>
      <w:pPr>
        <w:ind w:firstLine="480"/>
        <w:rPr>
          <w:rFonts w:hint="eastAsia" w:ascii="宋体" w:hAnsi="宋体"/>
          <w:color w:val="000000"/>
          <w:sz w:val="24"/>
        </w:rPr>
      </w:pPr>
      <w:r>
        <w:rPr>
          <w:rFonts w:hint="eastAsia" w:ascii="宋体" w:hAnsi="宋体"/>
          <w:color w:val="000000"/>
          <w:sz w:val="24"/>
        </w:rPr>
      </w:r>
      <w:r/>
    </w:p>
    <w:p>
      <w:pPr>
        <w:ind w:firstLine="480"/>
        <w:rPr>
          <w:rFonts w:hint="eastAsia" w:ascii="宋体" w:hAnsi="宋体"/>
          <w:color w:val="000000"/>
          <w:sz w:val="24"/>
        </w:rPr>
      </w:pPr>
      <w:r>
        <w:rPr>
          <w:rFonts w:hint="eastAsia" w:ascii="宋体" w:hAnsi="宋体"/>
          <w:color w:val="000000"/>
          <w:sz w:val="24"/>
        </w:rPr>
      </w:r>
      <w:r/>
    </w:p>
    <w:p>
      <w:pPr>
        <w:pStyle w:val="733"/>
      </w:pPr>
      <w:r/>
      <w:r/>
    </w:p>
    <w:p>
      <w:r/>
      <w:r/>
    </w:p>
    <w:p>
      <w:pPr>
        <w:pStyle w:val="733"/>
      </w:pPr>
      <w:r/>
      <w:r/>
    </w:p>
    <w:p>
      <w:r/>
      <w:r/>
    </w:p>
    <w:p>
      <w:pPr>
        <w:pStyle w:val="733"/>
      </w:pPr>
      <w:r/>
      <w:r/>
    </w:p>
    <w:p>
      <w:r/>
      <w:r/>
    </w:p>
    <w:p>
      <w:pPr>
        <w:pStyle w:val="733"/>
      </w:pPr>
      <w:r/>
      <w:r/>
    </w:p>
    <w:p>
      <w:r/>
      <w:r/>
    </w:p>
    <w:p>
      <w:pPr>
        <w:pStyle w:val="733"/>
      </w:pPr>
      <w:r/>
      <w:r/>
    </w:p>
    <w:p>
      <w:r/>
      <w:r/>
    </w:p>
    <w:p>
      <w:pPr>
        <w:pStyle w:val="733"/>
      </w:pPr>
      <w:r/>
      <w:r/>
    </w:p>
    <w:p>
      <w:r/>
      <w:r/>
    </w:p>
    <w:p>
      <w:pPr>
        <w:pStyle w:val="733"/>
      </w:pPr>
      <w:r/>
      <w:r/>
    </w:p>
    <w:p>
      <w:r/>
      <w:r/>
    </w:p>
    <w:p>
      <w:pPr>
        <w:pStyle w:val="733"/>
      </w:pPr>
      <w:r/>
      <w:r/>
    </w:p>
    <w:p>
      <w:r/>
      <w:r/>
    </w:p>
    <w:p>
      <w:r/>
      <w:r/>
    </w:p>
    <w:p>
      <w:r/>
      <w:r/>
    </w:p>
    <w:p>
      <w:r/>
      <w:r/>
    </w:p>
    <w:p>
      <w:r/>
      <w:r/>
    </w:p>
    <w:p>
      <w:pPr>
        <w:jc w:val="center"/>
        <w:spacing w:before="120" w:after="120" w:line="440" w:lineRule="exact"/>
        <w:rPr>
          <w:rFonts w:hint="eastAsia" w:hAnsi="宋体" w:cs="宋体"/>
          <w:b/>
          <w:bCs/>
          <w:sz w:val="30"/>
          <w:szCs w:val="30"/>
        </w:rPr>
        <w:outlineLvl w:val="9"/>
      </w:pPr>
      <w:r/>
      <w:bookmarkStart w:id="216" w:name="_Toc25433"/>
      <w:r/>
      <w:r/>
    </w:p>
    <w:p>
      <w:pPr>
        <w:jc w:val="center"/>
        <w:spacing w:before="120" w:after="120" w:line="440" w:lineRule="exact"/>
        <w:rPr>
          <w:rFonts w:hint="eastAsia" w:hAnsi="宋体" w:cs="宋体"/>
          <w:b/>
          <w:bCs/>
          <w:sz w:val="30"/>
          <w:szCs w:val="30"/>
        </w:rPr>
        <w:outlineLvl w:val="0"/>
      </w:pPr>
      <w:r>
        <w:rPr>
          <w:rFonts w:hint="eastAsia" w:ascii="宋体" w:hAnsi="宋体" w:eastAsia="宋体" w:cs="宋体"/>
          <w:color w:val="000000"/>
          <w:sz w:val="32"/>
          <w:szCs w:val="32"/>
        </w:rPr>
        <w:t xml:space="preserve">十五、技术方案、服务承诺、培训承诺等</w:t>
      </w:r>
      <w:r/>
    </w:p>
    <w:p>
      <w:pPr>
        <w:jc w:val="center"/>
        <w:spacing w:before="120" w:after="120" w:line="440" w:lineRule="exact"/>
        <w:rPr>
          <w:rFonts w:hint="eastAsia" w:hAnsi="宋体" w:cs="宋体"/>
          <w:b/>
          <w:bCs/>
          <w:sz w:val="30"/>
          <w:szCs w:val="30"/>
        </w:rPr>
        <w:outlineLvl w:val="9"/>
      </w:pPr>
      <w:r>
        <w:rPr>
          <w:rFonts w:hint="eastAsia" w:hAnsi="宋体" w:cs="宋体"/>
          <w:b/>
          <w:bCs/>
          <w:sz w:val="30"/>
          <w:szCs w:val="30"/>
        </w:rPr>
      </w:r>
      <w:r/>
    </w:p>
    <w:p>
      <w:pPr>
        <w:jc w:val="center"/>
        <w:spacing w:before="120" w:after="120" w:line="440" w:lineRule="exact"/>
        <w:rPr>
          <w:rFonts w:hint="eastAsia" w:hAnsi="宋体" w:cs="宋体"/>
          <w:b/>
          <w:bCs/>
          <w:sz w:val="30"/>
          <w:szCs w:val="30"/>
        </w:rPr>
        <w:outlineLvl w:val="9"/>
      </w:pPr>
      <w:r>
        <w:rPr>
          <w:rFonts w:hint="eastAsia" w:hAnsi="宋体" w:cs="宋体"/>
          <w:b/>
          <w:bCs/>
          <w:sz w:val="30"/>
          <w:szCs w:val="30"/>
        </w:rPr>
      </w:r>
      <w:r/>
    </w:p>
    <w:p>
      <w:pPr>
        <w:jc w:val="center"/>
        <w:spacing w:before="120" w:after="120" w:line="440" w:lineRule="exact"/>
        <w:rPr>
          <w:rFonts w:hint="eastAsia" w:hAnsi="宋体" w:cs="宋体"/>
          <w:b/>
          <w:bCs/>
          <w:sz w:val="30"/>
          <w:szCs w:val="30"/>
        </w:rPr>
        <w:outlineLvl w:val="9"/>
      </w:pPr>
      <w:r>
        <w:rPr>
          <w:rFonts w:hint="eastAsia" w:hAnsi="宋体" w:cs="宋体"/>
          <w:b/>
          <w:bCs/>
          <w:sz w:val="30"/>
          <w:szCs w:val="30"/>
        </w:rPr>
      </w:r>
      <w:r/>
    </w:p>
    <w:p>
      <w:pPr>
        <w:jc w:val="center"/>
        <w:spacing w:before="120" w:after="120" w:line="440" w:lineRule="exact"/>
        <w:rPr>
          <w:rFonts w:hint="eastAsia" w:hAnsi="宋体" w:cs="宋体"/>
          <w:b/>
          <w:bCs/>
          <w:sz w:val="30"/>
          <w:szCs w:val="30"/>
        </w:rPr>
        <w:outlineLvl w:val="9"/>
      </w:pPr>
      <w:r>
        <w:rPr>
          <w:rFonts w:hint="eastAsia" w:hAnsi="宋体" w:cs="宋体"/>
          <w:b/>
          <w:bCs/>
          <w:sz w:val="30"/>
          <w:szCs w:val="30"/>
        </w:rPr>
      </w:r>
      <w:r/>
    </w:p>
    <w:p>
      <w:pPr>
        <w:jc w:val="center"/>
        <w:spacing w:before="120" w:after="120" w:line="440" w:lineRule="exact"/>
        <w:rPr>
          <w:rFonts w:hint="eastAsia" w:hAnsi="宋体" w:cs="宋体"/>
          <w:b/>
          <w:bCs/>
          <w:sz w:val="30"/>
          <w:szCs w:val="30"/>
        </w:rPr>
        <w:outlineLvl w:val="9"/>
      </w:pPr>
      <w:r>
        <w:rPr>
          <w:rFonts w:hint="eastAsia" w:hAnsi="宋体" w:cs="宋体"/>
          <w:b/>
          <w:bCs/>
          <w:sz w:val="30"/>
          <w:szCs w:val="30"/>
        </w:rPr>
      </w:r>
      <w:r/>
    </w:p>
    <w:p>
      <w:pPr>
        <w:jc w:val="center"/>
        <w:spacing w:before="120" w:after="120" w:line="440" w:lineRule="exact"/>
        <w:rPr>
          <w:rFonts w:hint="eastAsia" w:hAnsi="宋体" w:cs="宋体"/>
          <w:b/>
          <w:bCs/>
          <w:sz w:val="30"/>
          <w:szCs w:val="30"/>
        </w:rPr>
        <w:outlineLvl w:val="9"/>
      </w:pPr>
      <w:r>
        <w:rPr>
          <w:rFonts w:hint="eastAsia" w:hAnsi="宋体" w:cs="宋体"/>
          <w:b/>
          <w:bCs/>
          <w:sz w:val="30"/>
          <w:szCs w:val="30"/>
        </w:rPr>
      </w:r>
      <w:r/>
    </w:p>
    <w:p>
      <w:pPr>
        <w:jc w:val="center"/>
        <w:spacing w:before="120" w:after="120" w:line="440" w:lineRule="exact"/>
        <w:rPr>
          <w:rFonts w:hint="eastAsia" w:hAnsi="宋体" w:cs="宋体"/>
          <w:b/>
          <w:bCs/>
          <w:sz w:val="30"/>
          <w:szCs w:val="30"/>
        </w:rPr>
        <w:outlineLvl w:val="9"/>
      </w:pPr>
      <w:r>
        <w:rPr>
          <w:rFonts w:hint="eastAsia" w:hAnsi="宋体" w:cs="宋体"/>
          <w:b/>
          <w:bCs/>
          <w:sz w:val="30"/>
          <w:szCs w:val="30"/>
        </w:rPr>
      </w:r>
      <w:r/>
    </w:p>
    <w:p>
      <w:pPr>
        <w:jc w:val="center"/>
        <w:spacing w:before="120" w:after="120" w:line="440" w:lineRule="exact"/>
        <w:rPr>
          <w:rFonts w:hint="eastAsia" w:hAnsi="宋体" w:cs="宋体"/>
          <w:b/>
          <w:bCs/>
          <w:sz w:val="30"/>
          <w:szCs w:val="30"/>
        </w:rPr>
        <w:outlineLvl w:val="9"/>
      </w:pPr>
      <w:r>
        <w:rPr>
          <w:rFonts w:hint="eastAsia" w:hAnsi="宋体" w:cs="宋体"/>
          <w:b/>
          <w:bCs/>
          <w:sz w:val="30"/>
          <w:szCs w:val="30"/>
        </w:rPr>
      </w:r>
      <w:r/>
    </w:p>
    <w:p>
      <w:pPr>
        <w:jc w:val="center"/>
        <w:spacing w:before="120" w:after="120" w:line="440" w:lineRule="exact"/>
        <w:rPr>
          <w:rFonts w:hint="eastAsia" w:hAnsi="宋体" w:cs="宋体"/>
          <w:b/>
          <w:bCs/>
          <w:sz w:val="30"/>
          <w:szCs w:val="30"/>
        </w:rPr>
        <w:outlineLvl w:val="9"/>
      </w:pPr>
      <w:r>
        <w:rPr>
          <w:rFonts w:hint="eastAsia" w:hAnsi="宋体" w:cs="宋体"/>
          <w:b/>
          <w:bCs/>
          <w:sz w:val="30"/>
          <w:szCs w:val="30"/>
        </w:rPr>
      </w:r>
      <w:r/>
    </w:p>
    <w:p>
      <w:pPr>
        <w:jc w:val="center"/>
        <w:spacing w:before="120" w:after="120" w:line="440" w:lineRule="exact"/>
        <w:rPr>
          <w:rFonts w:hint="eastAsia" w:hAnsi="宋体" w:cs="宋体"/>
          <w:b/>
          <w:bCs/>
          <w:sz w:val="30"/>
          <w:szCs w:val="30"/>
        </w:rPr>
        <w:outlineLvl w:val="9"/>
      </w:pPr>
      <w:r>
        <w:rPr>
          <w:rFonts w:hint="eastAsia" w:hAnsi="宋体" w:cs="宋体"/>
          <w:b/>
          <w:bCs/>
          <w:sz w:val="30"/>
          <w:szCs w:val="30"/>
        </w:rPr>
      </w:r>
      <w:r/>
    </w:p>
    <w:p>
      <w:pPr>
        <w:jc w:val="center"/>
        <w:spacing w:before="120" w:after="120" w:line="440" w:lineRule="exact"/>
        <w:rPr>
          <w:rFonts w:hint="eastAsia" w:hAnsi="宋体" w:cs="宋体"/>
          <w:b/>
          <w:bCs/>
          <w:sz w:val="30"/>
          <w:szCs w:val="30"/>
        </w:rPr>
        <w:outlineLvl w:val="9"/>
      </w:pPr>
      <w:r>
        <w:rPr>
          <w:rFonts w:hint="eastAsia" w:hAnsi="宋体" w:cs="宋体"/>
          <w:b/>
          <w:bCs/>
          <w:sz w:val="30"/>
          <w:szCs w:val="30"/>
        </w:rPr>
      </w:r>
      <w:r/>
    </w:p>
    <w:p>
      <w:pPr>
        <w:jc w:val="center"/>
        <w:spacing w:before="120" w:after="120" w:line="440" w:lineRule="exact"/>
        <w:rPr>
          <w:rFonts w:hint="eastAsia" w:hAnsi="宋体" w:cs="宋体"/>
          <w:b/>
          <w:bCs/>
          <w:sz w:val="30"/>
          <w:szCs w:val="30"/>
        </w:rPr>
        <w:outlineLvl w:val="9"/>
      </w:pPr>
      <w:r>
        <w:rPr>
          <w:rFonts w:hint="eastAsia" w:hAnsi="宋体" w:cs="宋体"/>
          <w:b/>
          <w:bCs/>
          <w:sz w:val="30"/>
          <w:szCs w:val="30"/>
        </w:rPr>
      </w:r>
      <w:r/>
    </w:p>
    <w:p>
      <w:pPr>
        <w:jc w:val="center"/>
        <w:spacing w:before="120" w:after="120" w:line="440" w:lineRule="exact"/>
        <w:rPr>
          <w:rFonts w:hint="eastAsia" w:hAnsi="宋体" w:cs="宋体"/>
          <w:b/>
          <w:bCs/>
          <w:sz w:val="30"/>
          <w:szCs w:val="30"/>
        </w:rPr>
        <w:outlineLvl w:val="9"/>
      </w:pPr>
      <w:r>
        <w:rPr>
          <w:rFonts w:hint="eastAsia" w:hAnsi="宋体" w:cs="宋体"/>
          <w:b/>
          <w:bCs/>
          <w:sz w:val="30"/>
          <w:szCs w:val="30"/>
        </w:rPr>
      </w:r>
      <w:r/>
    </w:p>
    <w:p>
      <w:pPr>
        <w:jc w:val="center"/>
        <w:spacing w:before="120" w:after="120" w:line="440" w:lineRule="exact"/>
        <w:rPr>
          <w:rFonts w:hint="eastAsia" w:hAnsi="宋体" w:cs="宋体"/>
          <w:b/>
          <w:bCs/>
          <w:sz w:val="30"/>
          <w:szCs w:val="30"/>
        </w:rPr>
        <w:outlineLvl w:val="9"/>
      </w:pPr>
      <w:r>
        <w:rPr>
          <w:rFonts w:hint="eastAsia" w:hAnsi="宋体" w:cs="宋体"/>
          <w:b/>
          <w:bCs/>
          <w:sz w:val="30"/>
          <w:szCs w:val="30"/>
        </w:rPr>
      </w:r>
      <w:r/>
    </w:p>
    <w:p>
      <w:pPr>
        <w:jc w:val="center"/>
        <w:spacing w:before="120" w:after="120" w:line="440" w:lineRule="exact"/>
        <w:rPr>
          <w:rFonts w:hint="eastAsia" w:hAnsi="宋体" w:cs="宋体"/>
          <w:b/>
          <w:bCs/>
          <w:sz w:val="30"/>
          <w:szCs w:val="30"/>
        </w:rPr>
        <w:outlineLvl w:val="9"/>
      </w:pPr>
      <w:r>
        <w:rPr>
          <w:rFonts w:hint="eastAsia" w:hAnsi="宋体" w:cs="宋体"/>
          <w:b/>
          <w:bCs/>
          <w:sz w:val="30"/>
          <w:szCs w:val="30"/>
        </w:rPr>
      </w:r>
      <w:r/>
    </w:p>
    <w:p>
      <w:pPr>
        <w:jc w:val="center"/>
        <w:spacing w:before="120" w:after="120" w:line="440" w:lineRule="exact"/>
        <w:rPr>
          <w:rFonts w:hint="eastAsia" w:hAnsi="宋体" w:cs="宋体"/>
          <w:b/>
          <w:bCs/>
          <w:sz w:val="30"/>
          <w:szCs w:val="30"/>
        </w:rPr>
        <w:outlineLvl w:val="9"/>
      </w:pPr>
      <w:r>
        <w:rPr>
          <w:rFonts w:hint="eastAsia" w:hAnsi="宋体" w:cs="宋体"/>
          <w:b/>
          <w:bCs/>
          <w:sz w:val="30"/>
          <w:szCs w:val="30"/>
        </w:rPr>
      </w:r>
      <w:r/>
    </w:p>
    <w:p>
      <w:pPr>
        <w:jc w:val="center"/>
        <w:spacing w:before="120" w:after="120" w:line="440" w:lineRule="exact"/>
        <w:rPr>
          <w:rFonts w:hint="eastAsia" w:hAnsi="宋体" w:cs="宋体"/>
          <w:b/>
          <w:bCs/>
          <w:sz w:val="30"/>
          <w:szCs w:val="30"/>
        </w:rPr>
        <w:outlineLvl w:val="9"/>
      </w:pPr>
      <w:r>
        <w:rPr>
          <w:rFonts w:hint="eastAsia" w:hAnsi="宋体" w:cs="宋体"/>
          <w:b/>
          <w:bCs/>
          <w:sz w:val="30"/>
          <w:szCs w:val="30"/>
        </w:rPr>
      </w:r>
      <w:r/>
    </w:p>
    <w:p>
      <w:pPr>
        <w:jc w:val="center"/>
        <w:spacing w:before="120" w:after="120" w:line="440" w:lineRule="exact"/>
        <w:rPr>
          <w:rFonts w:hint="eastAsia" w:hAnsi="宋体" w:cs="宋体"/>
          <w:b/>
          <w:bCs/>
          <w:sz w:val="30"/>
          <w:szCs w:val="30"/>
        </w:rPr>
        <w:outlineLvl w:val="9"/>
      </w:pPr>
      <w:r>
        <w:rPr>
          <w:rFonts w:hint="eastAsia" w:hAnsi="宋体" w:cs="宋体"/>
          <w:b/>
          <w:bCs/>
          <w:sz w:val="30"/>
          <w:szCs w:val="30"/>
        </w:rPr>
      </w:r>
      <w:r/>
    </w:p>
    <w:p>
      <w:pPr>
        <w:jc w:val="center"/>
        <w:spacing w:before="120" w:after="120" w:line="440" w:lineRule="exact"/>
        <w:rPr>
          <w:rFonts w:hint="eastAsia" w:hAnsi="宋体" w:cs="宋体"/>
          <w:b/>
          <w:bCs/>
          <w:sz w:val="30"/>
          <w:szCs w:val="30"/>
        </w:rPr>
        <w:outlineLvl w:val="9"/>
      </w:pPr>
      <w:r>
        <w:rPr>
          <w:rFonts w:hint="eastAsia" w:hAnsi="宋体" w:cs="宋体"/>
          <w:b/>
          <w:bCs/>
          <w:sz w:val="30"/>
          <w:szCs w:val="30"/>
        </w:rPr>
      </w:r>
      <w:r/>
    </w:p>
    <w:p>
      <w:pPr>
        <w:jc w:val="center"/>
        <w:spacing w:before="120" w:after="120" w:line="440" w:lineRule="exact"/>
        <w:rPr>
          <w:rFonts w:hint="eastAsia" w:hAnsi="宋体" w:cs="宋体"/>
          <w:b/>
          <w:bCs/>
          <w:sz w:val="30"/>
          <w:szCs w:val="30"/>
        </w:rPr>
        <w:outlineLvl w:val="9"/>
      </w:pPr>
      <w:r>
        <w:rPr>
          <w:rFonts w:hint="eastAsia" w:hAnsi="宋体" w:cs="宋体"/>
          <w:b/>
          <w:bCs/>
          <w:sz w:val="30"/>
          <w:szCs w:val="30"/>
        </w:rPr>
      </w:r>
      <w:r/>
    </w:p>
    <w:p>
      <w:pPr>
        <w:jc w:val="center"/>
        <w:spacing w:before="120" w:after="120" w:line="440" w:lineRule="exact"/>
        <w:rPr>
          <w:rFonts w:hint="eastAsia" w:hAnsi="宋体" w:cs="宋体"/>
          <w:b/>
          <w:bCs/>
          <w:sz w:val="30"/>
          <w:szCs w:val="30"/>
        </w:rPr>
        <w:outlineLvl w:val="9"/>
      </w:pPr>
      <w:r>
        <w:rPr>
          <w:rFonts w:hint="eastAsia" w:hAnsi="宋体" w:cs="宋体"/>
          <w:b/>
          <w:bCs/>
          <w:sz w:val="30"/>
          <w:szCs w:val="30"/>
        </w:rPr>
      </w:r>
      <w:r/>
    </w:p>
    <w:p>
      <w:pPr>
        <w:jc w:val="center"/>
        <w:spacing w:before="120" w:after="120" w:line="440" w:lineRule="exact"/>
        <w:rPr>
          <w:rFonts w:hint="eastAsia" w:hAnsi="宋体" w:cs="宋体"/>
          <w:b/>
          <w:bCs/>
          <w:sz w:val="30"/>
          <w:szCs w:val="30"/>
        </w:rPr>
        <w:outlineLvl w:val="9"/>
      </w:pPr>
      <w:r>
        <w:rPr>
          <w:rFonts w:hint="eastAsia" w:hAnsi="宋体" w:cs="宋体"/>
          <w:b/>
          <w:bCs/>
          <w:sz w:val="30"/>
          <w:szCs w:val="30"/>
        </w:rPr>
      </w:r>
      <w:r/>
    </w:p>
    <w:p>
      <w:pPr>
        <w:jc w:val="center"/>
        <w:spacing w:before="120" w:after="120" w:line="440" w:lineRule="exact"/>
        <w:rPr>
          <w:rFonts w:hint="eastAsia" w:hAnsi="宋体" w:cs="宋体"/>
          <w:b/>
          <w:bCs/>
          <w:sz w:val="30"/>
          <w:szCs w:val="30"/>
        </w:rPr>
        <w:outlineLvl w:val="9"/>
      </w:pPr>
      <w:r>
        <w:rPr>
          <w:rFonts w:hint="eastAsia" w:hAnsi="宋体" w:cs="宋体"/>
          <w:b/>
          <w:bCs/>
          <w:sz w:val="30"/>
          <w:szCs w:val="30"/>
        </w:rPr>
      </w:r>
      <w:r/>
    </w:p>
    <w:p>
      <w:pPr>
        <w:jc w:val="center"/>
        <w:spacing w:before="120" w:after="120" w:line="440" w:lineRule="exact"/>
        <w:rPr>
          <w:rFonts w:hint="eastAsia" w:hAnsi="宋体" w:cs="宋体"/>
          <w:b/>
          <w:bCs/>
          <w:sz w:val="30"/>
          <w:szCs w:val="30"/>
        </w:rPr>
        <w:outlineLvl w:val="9"/>
      </w:pPr>
      <w:r>
        <w:rPr>
          <w:rFonts w:hint="eastAsia" w:hAnsi="宋体" w:cs="宋体"/>
          <w:b/>
          <w:bCs/>
          <w:sz w:val="30"/>
          <w:szCs w:val="30"/>
        </w:rPr>
      </w:r>
      <w:r/>
    </w:p>
    <w:p>
      <w:pPr>
        <w:jc w:val="center"/>
        <w:spacing w:before="120" w:after="120" w:line="440" w:lineRule="exact"/>
        <w:rPr>
          <w:rFonts w:hint="eastAsia" w:hAnsi="宋体" w:cs="宋体"/>
          <w:b/>
          <w:bCs/>
          <w:sz w:val="30"/>
          <w:szCs w:val="30"/>
        </w:rPr>
        <w:outlineLvl w:val="9"/>
      </w:pPr>
      <w:r>
        <w:rPr>
          <w:rFonts w:hint="eastAsia" w:hAnsi="宋体" w:cs="宋体"/>
          <w:b/>
          <w:bCs/>
          <w:sz w:val="30"/>
          <w:szCs w:val="30"/>
        </w:rPr>
      </w:r>
      <w:r/>
    </w:p>
    <w:p>
      <w:pPr>
        <w:jc w:val="center"/>
        <w:spacing w:before="120" w:after="120" w:line="440" w:lineRule="exact"/>
        <w:rPr>
          <w:rFonts w:hint="eastAsia" w:hAnsi="宋体" w:cs="宋体"/>
          <w:b/>
          <w:bCs/>
          <w:sz w:val="30"/>
          <w:szCs w:val="30"/>
        </w:rPr>
        <w:outlineLvl w:val="0"/>
      </w:pPr>
      <w:r>
        <w:rPr>
          <w:rFonts w:hint="eastAsia" w:hAnsi="宋体" w:cs="宋体"/>
          <w:b/>
          <w:bCs/>
          <w:sz w:val="30"/>
          <w:szCs w:val="30"/>
        </w:rPr>
        <w:t xml:space="preserve">十六、盐城市政府采购事前信用承诺书</w:t>
      </w:r>
      <w:bookmarkEnd w:id="216"/>
      <w:r/>
      <w:r/>
    </w:p>
    <w:p>
      <w:pPr>
        <w:ind w:firstLine="480"/>
        <w:spacing w:before="120" w:after="120"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为营造我市公开、公平、公正、诚实守信的政府采购交易环境，树立诚信守法的投标人形象，本人代表本单位作出以下承诺：</w:t>
      </w:r>
      <w:r/>
    </w:p>
    <w:p>
      <w:pPr>
        <w:spacing w:before="120" w:after="120"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spacing w:before="120" w:after="120"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spacing w:before="120" w:after="120"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   （三）严格依照国家和省、市关于政府采购的法律、法规、规章、规范性文件，参加政府采购投标活动；积极履行社会责任，促进廉政建设； </w:t>
      </w:r>
      <w:r/>
    </w:p>
    <w:p>
      <w:pPr>
        <w:spacing w:before="120" w:after="120"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   （四）严格遵守即时信息公示规定，及时维护和更新维护和更新盐城市政府采购网中与本单位相关的信息；</w:t>
      </w:r>
      <w:r/>
    </w:p>
    <w:p>
      <w:pPr>
        <w:spacing w:before="120" w:after="120"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spacing w:before="120" w:after="120"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   （六）自觉接受政府、行业组织、社会公众、新闻舆论的监督；</w:t>
      </w:r>
      <w:r/>
    </w:p>
    <w:p>
      <w:pPr>
        <w:ind w:firstLine="480"/>
        <w:spacing w:before="120" w:after="120"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spacing w:before="120" w:after="120"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   （八）本人已认真阅读了上述承诺，并向本单位员工作了宣传教育。</w:t>
      </w:r>
      <w:r/>
    </w:p>
    <w:p>
      <w:pPr>
        <w:jc w:val="right"/>
        <w:spacing w:before="120" w:after="120"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                法定代表人签名：</w:t>
      </w:r>
      <w:r/>
    </w:p>
    <w:p>
      <w:pPr>
        <w:jc w:val="right"/>
        <w:spacing w:before="120" w:after="120"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                  供应商全称（加盖CA电子公章）：</w:t>
      </w:r>
      <w:r/>
    </w:p>
    <w:p>
      <w:pPr>
        <w:jc w:val="right"/>
        <w:spacing w:before="120" w:after="120" w:line="440" w:lineRule="exact"/>
        <w:rPr>
          <w:rFonts w:hint="eastAsia" w:asciiTheme="minorEastAsia" w:hAnsiTheme="minorEastAsia" w:cstheme="minorEastAsia"/>
          <w:sz w:val="24"/>
        </w:rPr>
      </w:pPr>
      <w:r>
        <w:rPr>
          <w:rFonts w:hint="eastAsia" w:asciiTheme="minorEastAsia" w:hAnsiTheme="minorEastAsia" w:cstheme="minorEastAsia"/>
          <w:sz w:val="24"/>
        </w:rPr>
        <w:t xml:space="preserve">                  日  期：</w:t>
      </w:r>
      <w:r/>
    </w:p>
    <w:p>
      <w:pPr>
        <w:pStyle w:val="730"/>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30"/>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30"/>
        <w:jc w:val="both"/>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30"/>
        <w:jc w:val="both"/>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30"/>
        <w:jc w:val="both"/>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30"/>
        <w:jc w:val="center"/>
        <w:spacing w:beforeAutospacing="0" w:afterAutospacing="0"/>
        <w:rPr>
          <w:rFonts w:hint="eastAsia" w:ascii="宋体" w:hAnsi="宋体" w:eastAsia="宋体" w:cs="宋体"/>
          <w:b/>
          <w:color w:val="000000"/>
          <w:sz w:val="32"/>
          <w:szCs w:val="32"/>
        </w:rPr>
        <w:outlineLvl w:val="0"/>
      </w:pPr>
      <w:r/>
      <w:bookmarkStart w:id="217" w:name="_Toc1361"/>
      <w:r>
        <w:rPr>
          <w:rFonts w:hint="eastAsia" w:ascii="宋体" w:hAnsi="宋体" w:eastAsia="宋体" w:cs="宋体"/>
          <w:b/>
          <w:color w:val="000000"/>
          <w:sz w:val="32"/>
          <w:szCs w:val="32"/>
        </w:rPr>
        <w:t xml:space="preserve">质疑函范本</w:t>
      </w:r>
      <w:bookmarkEnd w:id="217"/>
      <w:r/>
      <w:r/>
    </w:p>
    <w:p>
      <w:pPr>
        <w:pStyle w:val="730"/>
        <w:ind w:firstLine="480"/>
        <w:jc w:val="both"/>
        <w:spacing w:before="290" w:beforeAutospacing="0" w:afterAutospacing="0" w:line="360" w:lineRule="auto"/>
        <w:rPr>
          <w:rFonts w:hint="eastAsia" w:ascii="宋体" w:hAnsi="宋体" w:eastAsia="宋体" w:cs="宋体"/>
        </w:rPr>
        <w:outlineLvl w:val="1"/>
      </w:pPr>
      <w:r/>
      <w:bookmarkStart w:id="218" w:name="_Toc11468"/>
      <w:r>
        <w:rPr>
          <w:rFonts w:hint="eastAsia" w:ascii="宋体" w:hAnsi="宋体" w:eastAsia="宋体" w:cs="宋体"/>
          <w:color w:val="000000"/>
        </w:rPr>
        <w:t xml:space="preserve">一、质疑供应商基本信息</w:t>
      </w:r>
      <w:bookmarkEnd w:id="218"/>
      <w:r/>
      <w:r/>
    </w:p>
    <w:p>
      <w:pPr>
        <w:pStyle w:val="73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质疑供应商：</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730"/>
        <w:ind w:firstLine="480"/>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地址：</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73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730"/>
        <w:ind w:firstLine="480"/>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联系人：</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73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p>
    <w:p>
      <w:pPr>
        <w:pStyle w:val="73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授权代表：</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73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730"/>
        <w:ind w:firstLine="480"/>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地址： </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73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p>
    <w:p>
      <w:pPr>
        <w:pStyle w:val="730"/>
        <w:ind w:firstLine="480"/>
        <w:jc w:val="both"/>
        <w:spacing w:beforeAutospacing="0" w:afterAutospacing="0" w:line="360" w:lineRule="auto"/>
        <w:rPr>
          <w:rFonts w:hint="eastAsia" w:ascii="宋体" w:hAnsi="宋体" w:eastAsia="宋体" w:cs="宋体"/>
        </w:rPr>
        <w:outlineLvl w:val="1"/>
      </w:pPr>
      <w:r/>
      <w:bookmarkStart w:id="219" w:name="_Toc2341"/>
      <w:r>
        <w:rPr>
          <w:rFonts w:hint="eastAsia" w:ascii="宋体" w:hAnsi="宋体" w:eastAsia="宋体" w:cs="宋体"/>
          <w:color w:val="000000"/>
        </w:rPr>
        <w:t xml:space="preserve">二、质疑项目基本情况</w:t>
      </w:r>
      <w:bookmarkEnd w:id="219"/>
      <w:r/>
      <w:r/>
    </w:p>
    <w:p>
      <w:pPr>
        <w:pStyle w:val="73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质疑项目的名称：</w:t>
      </w:r>
      <w:r>
        <w:rPr>
          <w:rFonts w:hint="eastAsia" w:ascii="宋体" w:hAnsi="宋体" w:eastAsia="宋体" w:cs="宋体"/>
          <w:color w:val="000000"/>
          <w:u w:val="single"/>
        </w:rPr>
        <w:t xml:space="preserve">                            </w:t>
      </w:r>
      <w:r/>
    </w:p>
    <w:p>
      <w:pPr>
        <w:pStyle w:val="730"/>
        <w:ind w:firstLine="480"/>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质疑项目的编号：</w:t>
      </w:r>
      <w:r>
        <w:rPr>
          <w:rFonts w:hint="eastAsia" w:ascii="宋体" w:hAnsi="宋体" w:eastAsia="宋体" w:cs="宋体"/>
          <w:color w:val="000000"/>
          <w:u w:val="single"/>
        </w:rPr>
        <w:t xml:space="preserve">                          </w:t>
      </w:r>
      <w:r/>
    </w:p>
    <w:p>
      <w:pPr>
        <w:pStyle w:val="73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包号：</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73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采购人名称：</w:t>
      </w:r>
      <w:r>
        <w:rPr>
          <w:rFonts w:hint="eastAsia" w:ascii="宋体" w:hAnsi="宋体" w:eastAsia="宋体" w:cs="宋体"/>
          <w:color w:val="000000"/>
          <w:u w:val="single"/>
        </w:rPr>
        <w:t xml:space="preserve">                            </w:t>
      </w:r>
      <w:r/>
    </w:p>
    <w:p>
      <w:pPr>
        <w:pStyle w:val="73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采购文件获取日期：</w:t>
      </w:r>
      <w:r>
        <w:rPr>
          <w:rFonts w:hint="eastAsia" w:ascii="宋体" w:hAnsi="宋体" w:eastAsia="宋体" w:cs="宋体"/>
          <w:color w:val="000000"/>
          <w:u w:val="single"/>
        </w:rPr>
        <w:t xml:space="preserve">                             </w:t>
      </w:r>
      <w:r/>
    </w:p>
    <w:p>
      <w:pPr>
        <w:pStyle w:val="730"/>
        <w:ind w:firstLine="480"/>
        <w:jc w:val="both"/>
        <w:spacing w:beforeAutospacing="0" w:afterAutospacing="0" w:line="360" w:lineRule="auto"/>
        <w:rPr>
          <w:rFonts w:hint="eastAsia" w:ascii="宋体" w:hAnsi="宋体" w:eastAsia="宋体" w:cs="宋体"/>
        </w:rPr>
        <w:outlineLvl w:val="1"/>
      </w:pPr>
      <w:r/>
      <w:bookmarkStart w:id="220" w:name="_Toc19181"/>
      <w:r>
        <w:rPr>
          <w:rFonts w:hint="eastAsia" w:ascii="宋体" w:hAnsi="宋体" w:eastAsia="宋体" w:cs="宋体"/>
          <w:color w:val="000000"/>
        </w:rPr>
        <w:t xml:space="preserve">三、质疑事项具体内容</w:t>
      </w:r>
      <w:bookmarkEnd w:id="220"/>
      <w:r/>
      <w:r/>
    </w:p>
    <w:p>
      <w:pPr>
        <w:pStyle w:val="73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质疑事项1：</w:t>
      </w:r>
      <w:r>
        <w:rPr>
          <w:rFonts w:hint="eastAsia" w:ascii="宋体" w:hAnsi="宋体" w:eastAsia="宋体" w:cs="宋体"/>
          <w:color w:val="000000"/>
          <w:u w:val="single"/>
        </w:rPr>
        <w:t xml:space="preserve">                             </w:t>
      </w:r>
      <w:r/>
    </w:p>
    <w:p>
      <w:pPr>
        <w:pStyle w:val="730"/>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事实依据：</w:t>
      </w:r>
      <w:r>
        <w:rPr>
          <w:rFonts w:hint="eastAsia" w:ascii="宋体" w:hAnsi="宋体" w:eastAsia="宋体" w:cs="宋体"/>
          <w:color w:val="000000"/>
          <w:u w:val="single"/>
        </w:rPr>
        <w:t xml:space="preserve">                                                   </w:t>
      </w:r>
      <w:r/>
    </w:p>
    <w:p>
      <w:pPr>
        <w:pStyle w:val="73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法律依据：</w:t>
      </w:r>
      <w:r>
        <w:rPr>
          <w:rFonts w:hint="eastAsia" w:ascii="宋体" w:hAnsi="宋体" w:eastAsia="宋体" w:cs="宋体"/>
          <w:color w:val="000000"/>
          <w:u w:val="single"/>
        </w:rPr>
        <w:t xml:space="preserve">                                                    </w:t>
      </w:r>
      <w:r/>
    </w:p>
    <w:p>
      <w:pPr>
        <w:pStyle w:val="73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质疑事项2</w:t>
      </w:r>
      <w:r/>
    </w:p>
    <w:p>
      <w:pPr>
        <w:pStyle w:val="73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w:t>
      </w:r>
      <w:r/>
    </w:p>
    <w:p>
      <w:pPr>
        <w:pStyle w:val="730"/>
        <w:ind w:firstLine="480"/>
        <w:jc w:val="both"/>
        <w:spacing w:beforeAutospacing="0" w:afterAutospacing="0" w:line="360" w:lineRule="auto"/>
        <w:rPr>
          <w:rFonts w:hint="eastAsia" w:ascii="宋体" w:hAnsi="宋体" w:eastAsia="宋体" w:cs="宋体"/>
        </w:rPr>
        <w:outlineLvl w:val="1"/>
      </w:pPr>
      <w:r/>
      <w:bookmarkStart w:id="221" w:name="_Toc21390"/>
      <w:r>
        <w:rPr>
          <w:rFonts w:hint="eastAsia" w:ascii="宋体" w:hAnsi="宋体" w:eastAsia="宋体" w:cs="宋体"/>
          <w:color w:val="000000"/>
        </w:rPr>
        <w:t xml:space="preserve">四、与质疑事项相关的质疑请求</w:t>
      </w:r>
      <w:bookmarkEnd w:id="221"/>
      <w:r/>
      <w:r/>
    </w:p>
    <w:p>
      <w:pPr>
        <w:pStyle w:val="73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请求：</w:t>
      </w:r>
      <w:r>
        <w:rPr>
          <w:rFonts w:hint="eastAsia" w:ascii="宋体" w:hAnsi="宋体" w:eastAsia="宋体" w:cs="宋体"/>
          <w:color w:val="000000"/>
          <w:u w:val="single"/>
        </w:rPr>
        <w:t xml:space="preserve">                                                          </w:t>
      </w:r>
      <w:r/>
    </w:p>
    <w:p>
      <w:pPr>
        <w:pStyle w:val="730"/>
        <w:ind w:firstLine="480"/>
        <w:jc w:val="both"/>
        <w:spacing w:beforeAutospacing="0" w:afterAutospacing="0"/>
        <w:rPr>
          <w:rFonts w:hint="eastAsia" w:ascii="宋体" w:hAnsi="宋体" w:eastAsia="宋体" w:cs="宋体"/>
        </w:rPr>
      </w:pPr>
      <w:r>
        <w:rPr>
          <w:rFonts w:hint="eastAsia" w:ascii="宋体" w:hAnsi="宋体" w:eastAsia="宋体" w:cs="宋体"/>
          <w:color w:val="000000"/>
        </w:rPr>
        <w:t xml:space="preserve">签字(签章)：                 公章：               日期：    </w:t>
      </w:r>
      <w:r/>
    </w:p>
    <w:p>
      <w:pPr>
        <w:pStyle w:val="730"/>
        <w:ind w:firstLine="482"/>
        <w:jc w:val="both"/>
        <w:spacing w:beforeAutospacing="0" w:afterAutospacing="0" w:line="0" w:lineRule="atLeast"/>
        <w:rPr>
          <w:rFonts w:hint="eastAsia" w:ascii="宋体" w:hAnsi="宋体" w:eastAsia="宋体" w:cs="宋体"/>
        </w:rPr>
      </w:pPr>
      <w:r>
        <w:rPr>
          <w:rFonts w:hint="eastAsia" w:ascii="宋体" w:hAnsi="宋体" w:eastAsia="宋体" w:cs="宋体"/>
          <w:b/>
          <w:color w:val="000000"/>
        </w:rPr>
        <w:t xml:space="preserve">质疑函制作说明：</w:t>
      </w:r>
      <w:r/>
    </w:p>
    <w:p>
      <w:pPr>
        <w:pStyle w:val="730"/>
        <w:ind w:firstLine="480"/>
        <w:spacing w:beforeAutospacing="0" w:afterAutospacing="0" w:line="0" w:lineRule="atLeast"/>
        <w:widowControl/>
        <w:rPr>
          <w:rFonts w:hint="eastAsia" w:ascii="宋体" w:hAnsi="宋体" w:eastAsia="宋体" w:cs="宋体"/>
        </w:rPr>
      </w:pPr>
      <w:r>
        <w:rPr>
          <w:rFonts w:hint="eastAsia" w:ascii="宋体" w:hAnsi="宋体" w:eastAsia="宋体" w:cs="宋体"/>
          <w:color w:val="000000"/>
        </w:rPr>
        <w:t xml:space="preserve">1.供应商提出质疑时，应提交质疑函和必要的证明材料。</w:t>
      </w:r>
      <w:r>
        <w:rPr>
          <w:rFonts w:hint="eastAsia" w:ascii="宋体" w:hAnsi="宋体"/>
        </w:rPr>
        <w:t xml:space="preserve">（</w:t>
      </w:r>
      <w:r>
        <w:rPr>
          <w:rFonts w:hint="eastAsia" w:ascii="宋体" w:hAnsi="宋体"/>
          <w:color w:val="ff0000"/>
        </w:rPr>
        <w:t xml:space="preserve">营业执照复印件、授权委托书，授权委托人社保等证明材料）</w:t>
      </w:r>
      <w:r/>
    </w:p>
    <w:p>
      <w:pPr>
        <w:pStyle w:val="730"/>
        <w:ind w:firstLine="480"/>
        <w:spacing w:beforeAutospacing="0" w:afterAutospacing="0" w:line="0" w:lineRule="atLeast"/>
        <w:widowControl/>
        <w:rPr>
          <w:rFonts w:hint="eastAsia" w:ascii="宋体" w:hAnsi="宋体" w:eastAsia="宋体" w:cs="宋体"/>
        </w:rPr>
      </w:pPr>
      <w:r>
        <w:rPr>
          <w:rFonts w:hint="eastAsia" w:ascii="宋体" w:hAnsi="宋体" w:eastAsia="宋体" w:cs="宋体"/>
          <w:color w:val="000000"/>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30"/>
        <w:ind w:firstLine="480"/>
        <w:spacing w:beforeAutospacing="0" w:afterAutospacing="0" w:line="0" w:lineRule="atLeast"/>
        <w:widowControl/>
        <w:rPr>
          <w:rFonts w:hint="eastAsia" w:ascii="宋体" w:hAnsi="宋体" w:eastAsia="宋体" w:cs="宋体"/>
        </w:rPr>
      </w:pPr>
      <w:r>
        <w:rPr>
          <w:rFonts w:hint="eastAsia" w:ascii="宋体" w:hAnsi="宋体" w:eastAsia="宋体" w:cs="宋体"/>
          <w:color w:val="000000"/>
        </w:rPr>
        <w:t xml:space="preserve">3.质疑供应商若对项目的某一分包进行质疑，质疑函中应列明具体分包号。</w:t>
      </w:r>
      <w:r/>
    </w:p>
    <w:p>
      <w:pPr>
        <w:pStyle w:val="730"/>
        <w:ind w:firstLine="480"/>
        <w:spacing w:beforeAutospacing="0" w:afterAutospacing="0" w:line="0" w:lineRule="atLeast"/>
        <w:widowControl/>
        <w:rPr>
          <w:rFonts w:hint="eastAsia" w:ascii="宋体" w:hAnsi="宋体" w:eastAsia="宋体" w:cs="宋体"/>
        </w:rPr>
      </w:pPr>
      <w:r>
        <w:rPr>
          <w:rFonts w:hint="eastAsia" w:ascii="宋体" w:hAnsi="宋体" w:eastAsia="宋体" w:cs="宋体"/>
          <w:color w:val="000000"/>
        </w:rPr>
        <w:t xml:space="preserve">4.质疑函的质疑事项应具体、明确，并有必要的事实依据和法律依据。</w:t>
      </w:r>
      <w:r/>
    </w:p>
    <w:p>
      <w:pPr>
        <w:pStyle w:val="730"/>
        <w:ind w:firstLine="480"/>
        <w:spacing w:beforeAutospacing="0" w:afterAutospacing="0" w:line="0" w:lineRule="atLeast"/>
        <w:widowControl/>
        <w:rPr>
          <w:rFonts w:hint="eastAsia" w:ascii="宋体" w:hAnsi="宋体" w:eastAsia="宋体" w:cs="宋体"/>
        </w:rPr>
      </w:pPr>
      <w:r/>
      <w:bookmarkStart w:id="222" w:name="_Toc6252"/>
      <w:r>
        <w:rPr>
          <w:rFonts w:hint="eastAsia" w:ascii="宋体" w:hAnsi="宋体" w:eastAsia="宋体" w:cs="宋体"/>
          <w:color w:val="000000"/>
        </w:rPr>
        <w:t xml:space="preserve">5.质疑函的质疑请求应与质疑事项相关。</w:t>
      </w:r>
      <w:bookmarkEnd w:id="222"/>
      <w:r/>
      <w:r/>
    </w:p>
    <w:p>
      <w:pPr>
        <w:pStyle w:val="730"/>
        <w:ind w:firstLine="480"/>
        <w:spacing w:beforeAutospacing="0" w:afterAutospacing="0" w:line="0" w:lineRule="atLeast"/>
        <w:widowControl/>
        <w:rPr>
          <w:rFonts w:hint="eastAsia" w:ascii="宋体" w:hAnsi="宋体" w:eastAsia="宋体" w:cs="宋体"/>
        </w:rPr>
      </w:pPr>
      <w:r>
        <w:rPr>
          <w:rFonts w:hint="eastAsia" w:ascii="宋体" w:hAnsi="宋体" w:eastAsia="宋体" w:cs="宋体"/>
          <w:color w:val="000000"/>
        </w:rPr>
        <w:t xml:space="preserve">6.质疑供应商为自然人的，质疑函应由本人签字；质疑供应商为法人或者其他组织的，质疑函应由法定代表人、主要负责人，或者其授权代表签字或者盖章，并加盖公章。</w:t>
      </w:r>
      <w:r/>
    </w:p>
    <w:p>
      <w:r/>
      <w:r/>
    </w:p>
    <w:p>
      <w:r/>
      <w:r/>
    </w:p>
    <w:p>
      <w:pPr>
        <w:pStyle w:val="739"/>
      </w:pPr>
      <w:r/>
      <w:r/>
    </w:p>
    <w:sectPr>
      <w:footerReference w:type="default" r:id="rId10"/>
      <w:footnotePr/>
      <w:endnotePr/>
      <w:type w:val="nextPage"/>
      <w:pgSz w:w="11906" w:h="16838" w:orient="portrait"/>
      <w:pgMar w:top="1134" w:right="1134" w:bottom="1134" w:left="1134"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Symbol">
    <w:panose1 w:val="05050102010706020507"/>
  </w:font>
  <w:font w:name="Wingdings">
    <w:panose1 w:val="05000000000000000000"/>
  </w:font>
  <w:font w:name="方正仿宋_GBK">
    <w:panose1 w:val="020B0503020202020204"/>
  </w:font>
  <w:font w:name="微软雅黑">
    <w:panose1 w:val="020B0503020204020204"/>
  </w:font>
  <w:font w:name="Calibri">
    <w:panose1 w:val="020F0502020204030204"/>
  </w:font>
  <w:font w:name="黑体">
    <w:panose1 w:val="02010609060101010101"/>
  </w:font>
  <w:font w:name="幼圆">
    <w:panose1 w:val="02010509060101010101"/>
  </w:font>
  <w:font w:name="仿宋_GB2312">
    <w:panose1 w:val="02010609060101010101"/>
  </w:font>
  <w:font w:name="Courier New">
    <w:panose1 w:val="02070309020205020404"/>
  </w:font>
  <w:font w:name="等线">
    <w:panose1 w:val="02010600030101010101"/>
  </w:font>
  <w:font w:name="仿宋">
    <w:panose1 w:val="02010609060101010101"/>
  </w:font>
  <w:font w:name="Arial">
    <w:panose1 w:val="020B0604020202020204"/>
  </w:font>
  <w:font w:name="宋体">
    <w:panose1 w:val="02010600030101010101"/>
  </w:font>
  <w:font w:name="宋体-简">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0"/>
      <w:rPr>
        <w:rFonts w:hint="eastAsia"/>
      </w:rPr>
    </w:pP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0"/>
      <w:jc w:val="center"/>
      <w:rPr>
        <w:rFonts w:hint="eastAsia"/>
      </w:rPr>
    </w:pPr>
    <w:r>
      <w:fldChar w:fldCharType="begin"/>
    </w:r>
    <w:r>
      <w:instrText xml:space="preserve"> PAGE  \* MERGEFORMAT </w:instrText>
    </w:r>
    <w:r>
      <w:fldChar w:fldCharType="separate"/>
    </w:r>
    <w:r>
      <w:t xml:space="preserve">9</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62">
    <w:name w:val="Heading 1 Char"/>
    <w:basedOn w:val="706"/>
    <w:link w:val="697"/>
    <w:uiPriority w:val="9"/>
    <w:rPr>
      <w:rFonts w:ascii="Arial" w:hAnsi="Arial" w:eastAsia="Arial" w:cs="Arial"/>
      <w:sz w:val="40"/>
      <w:szCs w:val="40"/>
    </w:rPr>
  </w:style>
  <w:style w:type="character" w:styleId="663">
    <w:name w:val="Heading 3 Char"/>
    <w:basedOn w:val="706"/>
    <w:link w:val="699"/>
    <w:uiPriority w:val="9"/>
    <w:rPr>
      <w:rFonts w:ascii="Arial" w:hAnsi="Arial" w:eastAsia="Arial" w:cs="Arial"/>
      <w:sz w:val="30"/>
      <w:szCs w:val="30"/>
    </w:rPr>
  </w:style>
  <w:style w:type="character" w:styleId="664">
    <w:name w:val="Heading 4 Char"/>
    <w:basedOn w:val="706"/>
    <w:link w:val="700"/>
    <w:uiPriority w:val="9"/>
    <w:rPr>
      <w:rFonts w:ascii="Arial" w:hAnsi="Arial" w:eastAsia="Arial" w:cs="Arial"/>
      <w:b/>
      <w:bCs/>
      <w:sz w:val="26"/>
      <w:szCs w:val="26"/>
    </w:rPr>
  </w:style>
  <w:style w:type="character" w:styleId="665">
    <w:name w:val="Heading 5 Char"/>
    <w:basedOn w:val="706"/>
    <w:link w:val="701"/>
    <w:uiPriority w:val="9"/>
    <w:rPr>
      <w:rFonts w:ascii="Arial" w:hAnsi="Arial" w:eastAsia="Arial" w:cs="Arial"/>
      <w:b/>
      <w:bCs/>
      <w:sz w:val="24"/>
      <w:szCs w:val="24"/>
    </w:rPr>
  </w:style>
  <w:style w:type="character" w:styleId="666">
    <w:name w:val="Heading 6 Char"/>
    <w:basedOn w:val="706"/>
    <w:link w:val="702"/>
    <w:uiPriority w:val="9"/>
    <w:rPr>
      <w:rFonts w:ascii="Arial" w:hAnsi="Arial" w:eastAsia="Arial" w:cs="Arial"/>
      <w:b/>
      <w:bCs/>
      <w:sz w:val="22"/>
      <w:szCs w:val="22"/>
    </w:rPr>
  </w:style>
  <w:style w:type="character" w:styleId="667">
    <w:name w:val="Heading 7 Char"/>
    <w:basedOn w:val="706"/>
    <w:link w:val="703"/>
    <w:uiPriority w:val="9"/>
    <w:rPr>
      <w:rFonts w:ascii="Arial" w:hAnsi="Arial" w:eastAsia="Arial" w:cs="Arial"/>
      <w:b/>
      <w:bCs/>
      <w:i/>
      <w:iCs/>
      <w:sz w:val="22"/>
      <w:szCs w:val="22"/>
    </w:rPr>
  </w:style>
  <w:style w:type="character" w:styleId="668">
    <w:name w:val="Heading 8 Char"/>
    <w:basedOn w:val="706"/>
    <w:link w:val="704"/>
    <w:uiPriority w:val="9"/>
    <w:rPr>
      <w:rFonts w:ascii="Arial" w:hAnsi="Arial" w:eastAsia="Arial" w:cs="Arial"/>
      <w:i/>
      <w:iCs/>
      <w:sz w:val="22"/>
      <w:szCs w:val="22"/>
    </w:rPr>
  </w:style>
  <w:style w:type="character" w:styleId="669">
    <w:name w:val="Heading 9 Char"/>
    <w:basedOn w:val="706"/>
    <w:link w:val="705"/>
    <w:uiPriority w:val="9"/>
    <w:rPr>
      <w:rFonts w:ascii="Arial" w:hAnsi="Arial" w:eastAsia="Arial" w:cs="Arial"/>
      <w:i/>
      <w:iCs/>
      <w:sz w:val="21"/>
      <w:szCs w:val="21"/>
    </w:rPr>
  </w:style>
  <w:style w:type="character" w:styleId="670">
    <w:name w:val="Title Char"/>
    <w:basedOn w:val="706"/>
    <w:link w:val="731"/>
    <w:uiPriority w:val="10"/>
    <w:rPr>
      <w:sz w:val="48"/>
      <w:szCs w:val="48"/>
    </w:rPr>
  </w:style>
  <w:style w:type="character" w:styleId="671">
    <w:name w:val="Subtitle Char"/>
    <w:basedOn w:val="706"/>
    <w:link w:val="724"/>
    <w:uiPriority w:val="11"/>
    <w:rPr>
      <w:sz w:val="24"/>
      <w:szCs w:val="24"/>
    </w:rPr>
  </w:style>
  <w:style w:type="character" w:styleId="672">
    <w:name w:val="Quote Char"/>
    <w:link w:val="752"/>
    <w:uiPriority w:val="29"/>
    <w:rPr>
      <w:i/>
    </w:rPr>
  </w:style>
  <w:style w:type="character" w:styleId="673">
    <w:name w:val="Intense Quote Char"/>
    <w:link w:val="754"/>
    <w:uiPriority w:val="30"/>
    <w:rPr>
      <w:i/>
    </w:rPr>
  </w:style>
  <w:style w:type="table" w:styleId="674">
    <w:name w:val="Plain Table 1"/>
    <w:basedOn w:val="70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5">
    <w:name w:val="Plain Table 2"/>
    <w:basedOn w:val="70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6">
    <w:name w:val="Plain Table 3"/>
    <w:basedOn w:val="7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7">
    <w:name w:val="Plain Table 4"/>
    <w:basedOn w:val="7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8">
    <w:name w:val="Plain Table 5"/>
    <w:basedOn w:val="7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9">
    <w:name w:val="Grid Table 1 Light"/>
    <w:basedOn w:val="70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0">
    <w:name w:val="Grid Table 2"/>
    <w:basedOn w:val="7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1">
    <w:name w:val="Grid Table 3"/>
    <w:basedOn w:val="7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2">
    <w:name w:val="Grid Table 4"/>
    <w:basedOn w:val="70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83">
    <w:name w:val="Grid Table 5 Dark"/>
    <w:basedOn w:val="7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84">
    <w:name w:val="Grid Table 6 Colorful"/>
    <w:basedOn w:val="70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85">
    <w:name w:val="Grid Table 7 Colorful"/>
    <w:basedOn w:val="70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86">
    <w:name w:val="List Table 1 Light"/>
    <w:basedOn w:val="70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87">
    <w:name w:val="List Table 2"/>
    <w:basedOn w:val="70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88">
    <w:name w:val="List Table 3"/>
    <w:basedOn w:val="7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89">
    <w:name w:val="List Table 4"/>
    <w:basedOn w:val="7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90">
    <w:name w:val="List Table 5 Dark"/>
    <w:basedOn w:val="70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91">
    <w:name w:val="List Table 6 Colorful"/>
    <w:basedOn w:val="70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692">
    <w:name w:val="List Table 7 Colorful"/>
    <w:basedOn w:val="70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693">
    <w:name w:val="Footnote Text Char"/>
    <w:link w:val="725"/>
    <w:uiPriority w:val="99"/>
    <w:rPr>
      <w:sz w:val="18"/>
    </w:rPr>
  </w:style>
  <w:style w:type="character" w:styleId="694">
    <w:name w:val="Endnote Text Char"/>
    <w:link w:val="719"/>
    <w:uiPriority w:val="99"/>
    <w:rPr>
      <w:sz w:val="20"/>
    </w:rPr>
  </w:style>
  <w:style w:type="paragraph" w:styleId="695">
    <w:name w:val="TOC Heading"/>
    <w:uiPriority w:val="39"/>
    <w:unhideWhenUsed/>
  </w:style>
  <w:style w:type="paragraph" w:styleId="696"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697">
    <w:name w:val="Heading 1"/>
    <w:basedOn w:val="696"/>
    <w:next w:val="696"/>
    <w:link w:val="740"/>
    <w:uiPriority w:val="9"/>
    <w:qFormat/>
    <w:pPr>
      <w:keepLines/>
      <w:keepNext/>
      <w:spacing w:before="480" w:after="200"/>
      <w:outlineLvl w:val="0"/>
    </w:pPr>
    <w:rPr>
      <w:rFonts w:ascii="Arial" w:hAnsi="Arial" w:eastAsia="Arial" w:cs="Arial"/>
      <w:sz w:val="40"/>
      <w:szCs w:val="40"/>
    </w:rPr>
  </w:style>
  <w:style w:type="paragraph" w:styleId="698">
    <w:name w:val="Heading 2"/>
    <w:basedOn w:val="696"/>
    <w:next w:val="696"/>
    <w:uiPriority w:val="0"/>
    <w:semiHidden/>
    <w:unhideWhenUsed/>
    <w:qFormat/>
    <w:pPr>
      <w:jc w:val="left"/>
      <w:spacing w:beforeAutospacing="1" w:afterAutospacing="1"/>
      <w:outlineLvl w:val="1"/>
    </w:pPr>
    <w:rPr>
      <w:rFonts w:hint="eastAsia" w:ascii="宋体" w:hAnsi="宋体" w:eastAsia="宋体" w:cs="Times New Roman"/>
      <w:b/>
      <w:bCs/>
      <w:sz w:val="36"/>
      <w:szCs w:val="36"/>
    </w:rPr>
  </w:style>
  <w:style w:type="paragraph" w:styleId="699">
    <w:name w:val="Heading 3"/>
    <w:basedOn w:val="696"/>
    <w:next w:val="696"/>
    <w:link w:val="742"/>
    <w:uiPriority w:val="9"/>
    <w:unhideWhenUsed/>
    <w:qFormat/>
    <w:pPr>
      <w:keepLines/>
      <w:keepNext/>
      <w:spacing w:before="320" w:after="200"/>
      <w:outlineLvl w:val="2"/>
    </w:pPr>
    <w:rPr>
      <w:rFonts w:ascii="Arial" w:hAnsi="Arial" w:eastAsia="Arial" w:cs="Arial"/>
      <w:sz w:val="30"/>
      <w:szCs w:val="30"/>
    </w:rPr>
  </w:style>
  <w:style w:type="paragraph" w:styleId="700">
    <w:name w:val="Heading 4"/>
    <w:basedOn w:val="696"/>
    <w:next w:val="696"/>
    <w:link w:val="743"/>
    <w:uiPriority w:val="9"/>
    <w:unhideWhenUsed/>
    <w:qFormat/>
    <w:pPr>
      <w:keepLines/>
      <w:keepNext/>
      <w:spacing w:before="320" w:after="200"/>
      <w:outlineLvl w:val="3"/>
    </w:pPr>
    <w:rPr>
      <w:rFonts w:ascii="Arial" w:hAnsi="Arial" w:eastAsia="Arial" w:cs="Arial"/>
      <w:b/>
      <w:bCs/>
      <w:sz w:val="26"/>
      <w:szCs w:val="26"/>
    </w:rPr>
  </w:style>
  <w:style w:type="paragraph" w:styleId="701">
    <w:name w:val="Heading 5"/>
    <w:basedOn w:val="696"/>
    <w:next w:val="696"/>
    <w:link w:val="744"/>
    <w:uiPriority w:val="9"/>
    <w:unhideWhenUsed/>
    <w:qFormat/>
    <w:pPr>
      <w:keepLines/>
      <w:keepNext/>
      <w:spacing w:before="320" w:after="200"/>
      <w:outlineLvl w:val="4"/>
    </w:pPr>
    <w:rPr>
      <w:rFonts w:ascii="Arial" w:hAnsi="Arial" w:eastAsia="Arial" w:cs="Arial"/>
      <w:b/>
      <w:bCs/>
      <w:sz w:val="24"/>
    </w:rPr>
  </w:style>
  <w:style w:type="paragraph" w:styleId="702">
    <w:name w:val="Heading 6"/>
    <w:basedOn w:val="696"/>
    <w:next w:val="696"/>
    <w:link w:val="745"/>
    <w:uiPriority w:val="9"/>
    <w:unhideWhenUsed/>
    <w:qFormat/>
    <w:pPr>
      <w:keepLines/>
      <w:keepNext/>
      <w:spacing w:before="320" w:after="200"/>
      <w:outlineLvl w:val="5"/>
    </w:pPr>
    <w:rPr>
      <w:rFonts w:ascii="Arial" w:hAnsi="Arial" w:eastAsia="Arial" w:cs="Arial"/>
      <w:b/>
      <w:bCs/>
      <w:sz w:val="22"/>
      <w:szCs w:val="22"/>
    </w:rPr>
  </w:style>
  <w:style w:type="paragraph" w:styleId="703">
    <w:name w:val="Heading 7"/>
    <w:basedOn w:val="696"/>
    <w:next w:val="696"/>
    <w:link w:val="746"/>
    <w:uiPriority w:val="9"/>
    <w:unhideWhenUsed/>
    <w:qFormat/>
    <w:pPr>
      <w:keepLines/>
      <w:keepNext/>
      <w:spacing w:before="320" w:after="200"/>
      <w:outlineLvl w:val="6"/>
    </w:pPr>
    <w:rPr>
      <w:rFonts w:ascii="Arial" w:hAnsi="Arial" w:eastAsia="Arial" w:cs="Arial"/>
      <w:b/>
      <w:bCs/>
      <w:i/>
      <w:iCs/>
      <w:sz w:val="22"/>
      <w:szCs w:val="22"/>
    </w:rPr>
  </w:style>
  <w:style w:type="paragraph" w:styleId="704">
    <w:name w:val="Heading 8"/>
    <w:basedOn w:val="696"/>
    <w:next w:val="696"/>
    <w:link w:val="747"/>
    <w:uiPriority w:val="9"/>
    <w:unhideWhenUsed/>
    <w:qFormat/>
    <w:pPr>
      <w:keepLines/>
      <w:keepNext/>
      <w:spacing w:before="320" w:after="200"/>
      <w:outlineLvl w:val="7"/>
    </w:pPr>
    <w:rPr>
      <w:rFonts w:ascii="Arial" w:hAnsi="Arial" w:eastAsia="Arial" w:cs="Arial"/>
      <w:i/>
      <w:iCs/>
      <w:sz w:val="22"/>
      <w:szCs w:val="22"/>
    </w:rPr>
  </w:style>
  <w:style w:type="paragraph" w:styleId="705">
    <w:name w:val="Heading 9"/>
    <w:basedOn w:val="696"/>
    <w:next w:val="696"/>
    <w:link w:val="748"/>
    <w:uiPriority w:val="9"/>
    <w:unhideWhenUsed/>
    <w:qFormat/>
    <w:pPr>
      <w:keepLines/>
      <w:keepNext/>
      <w:spacing w:before="320" w:after="200"/>
      <w:outlineLvl w:val="8"/>
    </w:pPr>
    <w:rPr>
      <w:rFonts w:ascii="Arial" w:hAnsi="Arial" w:eastAsia="Arial" w:cs="Arial"/>
      <w:i/>
      <w:iCs/>
      <w:szCs w:val="21"/>
    </w:rPr>
  </w:style>
  <w:style w:type="character" w:styleId="706" w:default="1">
    <w:name w:val="Default Paragraph Font"/>
    <w:uiPriority w:val="1"/>
    <w:semiHidden/>
    <w:unhideWhenUsed/>
    <w:qFormat/>
  </w:style>
  <w:style w:type="table" w:styleId="707" w:default="1">
    <w:name w:val="Normal Table"/>
    <w:uiPriority w:val="99"/>
    <w:semiHidden/>
    <w:unhideWhenUsed/>
    <w:qFormat/>
    <w:tblPr>
      <w:tblCellMar>
        <w:left w:w="108" w:type="dxa"/>
        <w:top w:w="0" w:type="dxa"/>
        <w:right w:w="108" w:type="dxa"/>
        <w:bottom w:w="0" w:type="dxa"/>
      </w:tblCellMar>
    </w:tblPr>
  </w:style>
  <w:style w:type="paragraph" w:styleId="708">
    <w:name w:val="toc 7"/>
    <w:basedOn w:val="696"/>
    <w:next w:val="696"/>
    <w:uiPriority w:val="39"/>
    <w:unhideWhenUsed/>
    <w:qFormat/>
    <w:pPr>
      <w:ind w:left="1701"/>
      <w:spacing w:after="57"/>
    </w:pPr>
  </w:style>
  <w:style w:type="paragraph" w:styleId="709">
    <w:name w:val="Caption"/>
    <w:basedOn w:val="696"/>
    <w:next w:val="696"/>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10">
    <w:name w:val="annotation text"/>
    <w:basedOn w:val="696"/>
    <w:uiPriority w:val="0"/>
    <w:qFormat/>
    <w:pPr>
      <w:jc w:val="left"/>
    </w:pPr>
  </w:style>
  <w:style w:type="paragraph" w:styleId="711">
    <w:name w:val="Body Text"/>
    <w:basedOn w:val="696"/>
    <w:next w:val="696"/>
    <w:uiPriority w:val="0"/>
    <w:qFormat/>
    <w:pPr>
      <w:spacing w:after="120"/>
    </w:pPr>
  </w:style>
  <w:style w:type="paragraph" w:styleId="712">
    <w:name w:val="Body Text Indent"/>
    <w:basedOn w:val="696"/>
    <w:next w:val="713"/>
    <w:uiPriority w:val="0"/>
    <w:unhideWhenUsed/>
    <w:qFormat/>
    <w:pPr>
      <w:ind w:left="420"/>
      <w:spacing w:after="120"/>
    </w:pPr>
  </w:style>
  <w:style w:type="paragraph" w:styleId="713">
    <w:name w:val="envelope return"/>
    <w:basedOn w:val="696"/>
    <w:uiPriority w:val="0"/>
    <w:qFormat/>
    <w:rPr>
      <w:rFonts w:ascii="Arial" w:hAnsi="Arial"/>
    </w:rPr>
  </w:style>
  <w:style w:type="paragraph" w:styleId="714">
    <w:name w:val="Block Text"/>
    <w:basedOn w:val="696"/>
    <w:uiPriority w:val="99"/>
    <w:unhideWhenUsed/>
    <w:qFormat/>
    <w:pPr>
      <w:ind w:left="256" w:right="6" w:firstLine="624"/>
      <w:spacing w:before="100" w:beforeAutospacing="1" w:after="100" w:afterAutospacing="1"/>
    </w:pPr>
    <w:rPr>
      <w:rFonts w:ascii="Times New Roman" w:hAnsi="Times New Roman" w:eastAsia="仿宋"/>
      <w:szCs w:val="28"/>
    </w:rPr>
  </w:style>
  <w:style w:type="paragraph" w:styleId="715">
    <w:name w:val="toc 5"/>
    <w:basedOn w:val="696"/>
    <w:next w:val="696"/>
    <w:uiPriority w:val="39"/>
    <w:unhideWhenUsed/>
    <w:qFormat/>
    <w:pPr>
      <w:ind w:left="1134"/>
      <w:spacing w:after="57"/>
    </w:pPr>
  </w:style>
  <w:style w:type="paragraph" w:styleId="716">
    <w:name w:val="toc 3"/>
    <w:basedOn w:val="696"/>
    <w:next w:val="696"/>
    <w:uiPriority w:val="39"/>
    <w:unhideWhenUsed/>
    <w:qFormat/>
    <w:pPr>
      <w:ind w:left="567"/>
      <w:spacing w:after="57"/>
    </w:pPr>
  </w:style>
  <w:style w:type="paragraph" w:styleId="717">
    <w:name w:val="Plain Text"/>
    <w:basedOn w:val="696"/>
    <w:uiPriority w:val="0"/>
    <w:qFormat/>
    <w:rPr>
      <w:rFonts w:hint="eastAsia" w:ascii="宋体" w:hAnsi="Courier New"/>
      <w:szCs w:val="20"/>
    </w:rPr>
  </w:style>
  <w:style w:type="paragraph" w:styleId="718">
    <w:name w:val="toc 8"/>
    <w:basedOn w:val="696"/>
    <w:next w:val="696"/>
    <w:uiPriority w:val="39"/>
    <w:unhideWhenUsed/>
    <w:qFormat/>
    <w:pPr>
      <w:ind w:left="1984"/>
      <w:spacing w:after="57"/>
    </w:pPr>
  </w:style>
  <w:style w:type="paragraph" w:styleId="719">
    <w:name w:val="endnote text"/>
    <w:basedOn w:val="696"/>
    <w:link w:val="885"/>
    <w:uiPriority w:val="99"/>
    <w:semiHidden/>
    <w:unhideWhenUsed/>
    <w:qFormat/>
    <w:rPr>
      <w:sz w:val="20"/>
    </w:rPr>
  </w:style>
  <w:style w:type="paragraph" w:styleId="720">
    <w:name w:val="Footer"/>
    <w:basedOn w:val="696"/>
    <w:link w:val="890"/>
    <w:uiPriority w:val="0"/>
    <w:qFormat/>
    <w:pPr>
      <w:jc w:val="left"/>
      <w:tabs>
        <w:tab w:val="center" w:pos="4153" w:leader="none"/>
        <w:tab w:val="right" w:pos="8306" w:leader="none"/>
      </w:tabs>
    </w:pPr>
    <w:rPr>
      <w:sz w:val="18"/>
      <w:szCs w:val="18"/>
    </w:rPr>
  </w:style>
  <w:style w:type="paragraph" w:styleId="721">
    <w:name w:val="Header"/>
    <w:basedOn w:val="696"/>
    <w:link w:val="889"/>
    <w:uiPriority w:val="0"/>
    <w:qFormat/>
    <w:pPr>
      <w:jc w:val="center"/>
      <w:tabs>
        <w:tab w:val="center" w:pos="4153" w:leader="none"/>
        <w:tab w:val="right" w:pos="8306" w:leader="none"/>
      </w:tabs>
      <w:pBdr>
        <w:bottom w:val="single" w:color="auto" w:sz="6" w:space="1"/>
      </w:pBdr>
    </w:pPr>
    <w:rPr>
      <w:sz w:val="18"/>
      <w:szCs w:val="18"/>
    </w:rPr>
  </w:style>
  <w:style w:type="paragraph" w:styleId="722">
    <w:name w:val="toc 1"/>
    <w:basedOn w:val="696"/>
    <w:next w:val="696"/>
    <w:uiPriority w:val="39"/>
    <w:unhideWhenUsed/>
    <w:qFormat/>
    <w:pPr>
      <w:spacing w:after="57"/>
    </w:pPr>
  </w:style>
  <w:style w:type="paragraph" w:styleId="723">
    <w:name w:val="toc 4"/>
    <w:basedOn w:val="696"/>
    <w:next w:val="696"/>
    <w:uiPriority w:val="39"/>
    <w:unhideWhenUsed/>
    <w:qFormat/>
    <w:pPr>
      <w:ind w:left="850"/>
      <w:spacing w:after="57"/>
    </w:pPr>
  </w:style>
  <w:style w:type="paragraph" w:styleId="724">
    <w:name w:val="Subtitle"/>
    <w:basedOn w:val="696"/>
    <w:next w:val="696"/>
    <w:link w:val="751"/>
    <w:uiPriority w:val="11"/>
    <w:qFormat/>
    <w:pPr>
      <w:spacing w:before="200" w:after="200"/>
    </w:pPr>
    <w:rPr>
      <w:sz w:val="24"/>
    </w:rPr>
  </w:style>
  <w:style w:type="paragraph" w:styleId="725">
    <w:name w:val="footnote text"/>
    <w:basedOn w:val="696"/>
    <w:link w:val="884"/>
    <w:uiPriority w:val="99"/>
    <w:semiHidden/>
    <w:unhideWhenUsed/>
    <w:qFormat/>
    <w:pPr>
      <w:spacing w:after="40"/>
    </w:pPr>
    <w:rPr>
      <w:sz w:val="18"/>
    </w:rPr>
  </w:style>
  <w:style w:type="paragraph" w:styleId="726">
    <w:name w:val="toc 6"/>
    <w:basedOn w:val="696"/>
    <w:next w:val="696"/>
    <w:uiPriority w:val="39"/>
    <w:unhideWhenUsed/>
    <w:qFormat/>
    <w:pPr>
      <w:ind w:left="1417"/>
      <w:spacing w:after="57"/>
    </w:pPr>
  </w:style>
  <w:style w:type="paragraph" w:styleId="727">
    <w:name w:val="table of figures"/>
    <w:basedOn w:val="696"/>
    <w:next w:val="696"/>
    <w:uiPriority w:val="99"/>
    <w:unhideWhenUsed/>
    <w:qFormat/>
  </w:style>
  <w:style w:type="paragraph" w:styleId="728">
    <w:name w:val="toc 2"/>
    <w:basedOn w:val="696"/>
    <w:next w:val="696"/>
    <w:uiPriority w:val="39"/>
    <w:unhideWhenUsed/>
    <w:qFormat/>
    <w:pPr>
      <w:ind w:left="283"/>
      <w:spacing w:after="57"/>
    </w:pPr>
  </w:style>
  <w:style w:type="paragraph" w:styleId="729">
    <w:name w:val="toc 9"/>
    <w:basedOn w:val="696"/>
    <w:next w:val="696"/>
    <w:uiPriority w:val="39"/>
    <w:unhideWhenUsed/>
    <w:qFormat/>
    <w:pPr>
      <w:ind w:left="2268"/>
      <w:spacing w:after="57"/>
    </w:pPr>
  </w:style>
  <w:style w:type="paragraph" w:styleId="730">
    <w:name w:val="Normal (Web)"/>
    <w:basedOn w:val="696"/>
    <w:uiPriority w:val="0"/>
    <w:qFormat/>
    <w:pPr>
      <w:jc w:val="left"/>
      <w:spacing w:beforeAutospacing="1" w:afterAutospacing="1"/>
    </w:pPr>
    <w:rPr>
      <w:rFonts w:cs="Times New Roman"/>
      <w:sz w:val="24"/>
    </w:rPr>
  </w:style>
  <w:style w:type="paragraph" w:styleId="731">
    <w:name w:val="Title"/>
    <w:basedOn w:val="696"/>
    <w:next w:val="696"/>
    <w:link w:val="750"/>
    <w:uiPriority w:val="10"/>
    <w:qFormat/>
    <w:pPr>
      <w:contextualSpacing/>
      <w:spacing w:before="300" w:after="200"/>
    </w:pPr>
    <w:rPr>
      <w:sz w:val="48"/>
      <w:szCs w:val="48"/>
    </w:rPr>
  </w:style>
  <w:style w:type="paragraph" w:styleId="732">
    <w:name w:val="Body Text First Indent"/>
    <w:basedOn w:val="711"/>
    <w:uiPriority w:val="0"/>
    <w:qFormat/>
    <w:pPr>
      <w:ind w:firstLine="200"/>
      <w:spacing w:line="360" w:lineRule="auto"/>
    </w:pPr>
    <w:rPr>
      <w:rFonts w:ascii="仿宋_GB2312" w:hAnsi="Times New Roman" w:eastAsia="仿宋_GB2312" w:cs="Times New Roman"/>
      <w:sz w:val="30"/>
      <w:szCs w:val="30"/>
    </w:rPr>
  </w:style>
  <w:style w:type="paragraph" w:styleId="733">
    <w:name w:val="Body Text First Indent 2"/>
    <w:basedOn w:val="712"/>
    <w:next w:val="696"/>
    <w:uiPriority w:val="0"/>
    <w:qFormat/>
    <w:pPr>
      <w:ind w:left="0" w:firstLine="420"/>
      <w:spacing w:before="50" w:line="360" w:lineRule="auto"/>
    </w:pPr>
    <w:rPr>
      <w:sz w:val="30"/>
    </w:rPr>
  </w:style>
  <w:style w:type="table" w:styleId="734">
    <w:name w:val="Table Grid"/>
    <w:basedOn w:val="707"/>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35">
    <w:name w:val="Strong"/>
    <w:basedOn w:val="706"/>
    <w:uiPriority w:val="22"/>
    <w:qFormat/>
    <w:rPr>
      <w:b/>
    </w:rPr>
  </w:style>
  <w:style w:type="character" w:styleId="736">
    <w:name w:val="endnote reference"/>
    <w:basedOn w:val="706"/>
    <w:uiPriority w:val="99"/>
    <w:semiHidden/>
    <w:unhideWhenUsed/>
    <w:qFormat/>
    <w:rPr>
      <w:vertAlign w:val="superscript"/>
    </w:rPr>
  </w:style>
  <w:style w:type="character" w:styleId="737">
    <w:name w:val="Hyperlink"/>
    <w:uiPriority w:val="99"/>
    <w:unhideWhenUsed/>
    <w:qFormat/>
    <w:rPr>
      <w:color w:val="0563c1" w:themeColor="hyperlink"/>
      <w:u w:val="single"/>
      <w14:textFill>
        <w14:solidFill>
          <w14:schemeClr w14:val="hlink"/>
        </w14:solidFill>
      </w14:textFill>
    </w:rPr>
  </w:style>
  <w:style w:type="character" w:styleId="738">
    <w:name w:val="footnote reference"/>
    <w:basedOn w:val="706"/>
    <w:uiPriority w:val="99"/>
    <w:unhideWhenUsed/>
    <w:qFormat/>
    <w:rPr>
      <w:vertAlign w:val="superscript"/>
    </w:rPr>
  </w:style>
  <w:style w:type="paragraph" w:styleId="739" w:customStyle="1">
    <w:name w:val="BodyText"/>
    <w:basedOn w:val="696"/>
    <w:uiPriority w:val="0"/>
    <w:qFormat/>
    <w:pPr>
      <w:spacing w:after="120"/>
    </w:pPr>
    <w:rPr>
      <w:rFonts w:ascii="Calibri"/>
      <w:sz w:val="20"/>
    </w:rPr>
  </w:style>
  <w:style w:type="character" w:styleId="740" w:customStyle="1">
    <w:name w:val="标题 1 字符"/>
    <w:basedOn w:val="706"/>
    <w:link w:val="697"/>
    <w:uiPriority w:val="9"/>
    <w:qFormat/>
    <w:rPr>
      <w:rFonts w:ascii="Arial" w:hAnsi="Arial" w:eastAsia="Arial" w:cs="Arial"/>
      <w:sz w:val="40"/>
      <w:szCs w:val="40"/>
    </w:rPr>
  </w:style>
  <w:style w:type="character" w:styleId="741" w:customStyle="1">
    <w:name w:val="Heading 2 Char"/>
    <w:basedOn w:val="706"/>
    <w:uiPriority w:val="9"/>
    <w:qFormat/>
    <w:rPr>
      <w:rFonts w:ascii="Arial" w:hAnsi="Arial" w:eastAsia="Arial" w:cs="Arial"/>
      <w:sz w:val="34"/>
    </w:rPr>
  </w:style>
  <w:style w:type="character" w:styleId="742" w:customStyle="1">
    <w:name w:val="标题 3 字符"/>
    <w:basedOn w:val="706"/>
    <w:link w:val="699"/>
    <w:uiPriority w:val="9"/>
    <w:qFormat/>
    <w:rPr>
      <w:rFonts w:ascii="Arial" w:hAnsi="Arial" w:eastAsia="Arial" w:cs="Arial"/>
      <w:sz w:val="30"/>
      <w:szCs w:val="30"/>
    </w:rPr>
  </w:style>
  <w:style w:type="character" w:styleId="743" w:customStyle="1">
    <w:name w:val="标题 4 字符"/>
    <w:basedOn w:val="706"/>
    <w:link w:val="700"/>
    <w:uiPriority w:val="9"/>
    <w:qFormat/>
    <w:rPr>
      <w:rFonts w:ascii="Arial" w:hAnsi="Arial" w:eastAsia="Arial" w:cs="Arial"/>
      <w:b/>
      <w:bCs/>
      <w:sz w:val="26"/>
      <w:szCs w:val="26"/>
    </w:rPr>
  </w:style>
  <w:style w:type="character" w:styleId="744" w:customStyle="1">
    <w:name w:val="标题 5 字符"/>
    <w:basedOn w:val="706"/>
    <w:link w:val="701"/>
    <w:uiPriority w:val="9"/>
    <w:qFormat/>
    <w:rPr>
      <w:rFonts w:ascii="Arial" w:hAnsi="Arial" w:eastAsia="Arial" w:cs="Arial"/>
      <w:b/>
      <w:bCs/>
      <w:sz w:val="24"/>
      <w:szCs w:val="24"/>
    </w:rPr>
  </w:style>
  <w:style w:type="character" w:styleId="745" w:customStyle="1">
    <w:name w:val="标题 6 字符"/>
    <w:basedOn w:val="706"/>
    <w:link w:val="702"/>
    <w:uiPriority w:val="9"/>
    <w:qFormat/>
    <w:rPr>
      <w:rFonts w:ascii="Arial" w:hAnsi="Arial" w:eastAsia="Arial" w:cs="Arial"/>
      <w:b/>
      <w:bCs/>
      <w:sz w:val="22"/>
      <w:szCs w:val="22"/>
    </w:rPr>
  </w:style>
  <w:style w:type="character" w:styleId="746" w:customStyle="1">
    <w:name w:val="标题 7 字符"/>
    <w:basedOn w:val="706"/>
    <w:link w:val="703"/>
    <w:uiPriority w:val="9"/>
    <w:qFormat/>
    <w:rPr>
      <w:rFonts w:ascii="Arial" w:hAnsi="Arial" w:eastAsia="Arial" w:cs="Arial"/>
      <w:b/>
      <w:bCs/>
      <w:i/>
      <w:iCs/>
      <w:sz w:val="22"/>
      <w:szCs w:val="22"/>
    </w:rPr>
  </w:style>
  <w:style w:type="character" w:styleId="747" w:customStyle="1">
    <w:name w:val="标题 8 字符"/>
    <w:basedOn w:val="706"/>
    <w:link w:val="704"/>
    <w:uiPriority w:val="9"/>
    <w:qFormat/>
    <w:rPr>
      <w:rFonts w:ascii="Arial" w:hAnsi="Arial" w:eastAsia="Arial" w:cs="Arial"/>
      <w:i/>
      <w:iCs/>
      <w:sz w:val="22"/>
      <w:szCs w:val="22"/>
    </w:rPr>
  </w:style>
  <w:style w:type="character" w:styleId="748" w:customStyle="1">
    <w:name w:val="标题 9 字符"/>
    <w:basedOn w:val="706"/>
    <w:link w:val="705"/>
    <w:uiPriority w:val="9"/>
    <w:qFormat/>
    <w:rPr>
      <w:rFonts w:ascii="Arial" w:hAnsi="Arial" w:eastAsia="Arial" w:cs="Arial"/>
      <w:i/>
      <w:iCs/>
      <w:sz w:val="21"/>
      <w:szCs w:val="21"/>
    </w:rPr>
  </w:style>
  <w:style w:type="paragraph" w:styleId="749">
    <w:name w:val="No Spacing"/>
    <w:uiPriority w:val="1"/>
    <w:qFormat/>
    <w:rPr>
      <w:rFonts w:ascii="Times New Roman" w:hAnsi="Times New Roman" w:eastAsia="宋体" w:cs="Times New Roman"/>
      <w:lang w:val="en-US" w:eastAsia="zh-CN" w:bidi="ar-SA"/>
    </w:rPr>
  </w:style>
  <w:style w:type="character" w:styleId="750" w:customStyle="1">
    <w:name w:val="标题 字符"/>
    <w:basedOn w:val="706"/>
    <w:link w:val="731"/>
    <w:uiPriority w:val="10"/>
    <w:qFormat/>
    <w:rPr>
      <w:sz w:val="48"/>
      <w:szCs w:val="48"/>
    </w:rPr>
  </w:style>
  <w:style w:type="character" w:styleId="751" w:customStyle="1">
    <w:name w:val="副标题 字符"/>
    <w:basedOn w:val="706"/>
    <w:link w:val="724"/>
    <w:uiPriority w:val="11"/>
    <w:qFormat/>
    <w:rPr>
      <w:sz w:val="24"/>
      <w:szCs w:val="24"/>
    </w:rPr>
  </w:style>
  <w:style w:type="paragraph" w:styleId="752">
    <w:name w:val="Quote"/>
    <w:basedOn w:val="696"/>
    <w:next w:val="696"/>
    <w:link w:val="753"/>
    <w:uiPriority w:val="29"/>
    <w:qFormat/>
    <w:pPr>
      <w:ind w:left="720" w:right="720"/>
    </w:pPr>
    <w:rPr>
      <w:i/>
    </w:rPr>
  </w:style>
  <w:style w:type="character" w:styleId="753" w:customStyle="1">
    <w:name w:val="引用 字符"/>
    <w:link w:val="752"/>
    <w:uiPriority w:val="29"/>
    <w:qFormat/>
    <w:rPr>
      <w:i/>
    </w:rPr>
  </w:style>
  <w:style w:type="paragraph" w:styleId="754">
    <w:name w:val="Intense Quote"/>
    <w:basedOn w:val="696"/>
    <w:next w:val="696"/>
    <w:link w:val="75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5" w:customStyle="1">
    <w:name w:val="明显引用 字符"/>
    <w:link w:val="754"/>
    <w:uiPriority w:val="30"/>
    <w:qFormat/>
    <w:rPr>
      <w:i/>
    </w:rPr>
  </w:style>
  <w:style w:type="character" w:styleId="756" w:customStyle="1">
    <w:name w:val="Header Char"/>
    <w:basedOn w:val="706"/>
    <w:uiPriority w:val="99"/>
    <w:qFormat/>
  </w:style>
  <w:style w:type="character" w:styleId="757" w:customStyle="1">
    <w:name w:val="Footer Char"/>
    <w:basedOn w:val="706"/>
    <w:uiPriority w:val="99"/>
    <w:qFormat/>
  </w:style>
  <w:style w:type="character" w:styleId="758" w:customStyle="1">
    <w:name w:val="Caption Char"/>
    <w:uiPriority w:val="99"/>
    <w:qFormat/>
  </w:style>
  <w:style w:type="table" w:styleId="759" w:customStyle="1">
    <w:name w:val="Table Grid Light"/>
    <w:basedOn w:val="70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60" w:customStyle="1">
    <w:name w:val="无格式表格 11"/>
    <w:basedOn w:val="70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1" w:customStyle="1">
    <w:name w:val="无格式表格 21"/>
    <w:basedOn w:val="70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2" w:customStyle="1">
    <w:name w:val="无格式表格 31"/>
    <w:basedOn w:val="70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3" w:customStyle="1">
    <w:name w:val="无格式表格 41"/>
    <w:basedOn w:val="70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4" w:customStyle="1">
    <w:name w:val="无格式表格 51"/>
    <w:basedOn w:val="70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5" w:customStyle="1">
    <w:name w:val="网格表 1 浅色1"/>
    <w:basedOn w:val="70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1"/>
    <w:basedOn w:val="70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2"/>
    <w:basedOn w:val="70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3"/>
    <w:basedOn w:val="70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4"/>
    <w:basedOn w:val="70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5"/>
    <w:basedOn w:val="707"/>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6"/>
    <w:basedOn w:val="70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72" w:customStyle="1">
    <w:name w:val="网格表 21"/>
    <w:basedOn w:val="70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3" w:customStyle="1">
    <w:name w:val="Grid Table 2 - Accent 1"/>
    <w:basedOn w:val="707"/>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74" w:customStyle="1">
    <w:name w:val="Grid Table 2 - Accent 2"/>
    <w:basedOn w:val="70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75" w:customStyle="1">
    <w:name w:val="Grid Table 2 - Accent 3"/>
    <w:basedOn w:val="70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76" w:customStyle="1">
    <w:name w:val="Grid Table 2 - Accent 4"/>
    <w:basedOn w:val="70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77" w:customStyle="1">
    <w:name w:val="Grid Table 2 - Accent 5"/>
    <w:basedOn w:val="707"/>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78" w:customStyle="1">
    <w:name w:val="Grid Table 2 - Accent 6"/>
    <w:basedOn w:val="70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79" w:customStyle="1">
    <w:name w:val="网格表 31"/>
    <w:basedOn w:val="70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1"/>
    <w:basedOn w:val="707"/>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2"/>
    <w:basedOn w:val="70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3"/>
    <w:basedOn w:val="70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4"/>
    <w:basedOn w:val="70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5"/>
    <w:basedOn w:val="707"/>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6"/>
    <w:basedOn w:val="70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网格表 41"/>
    <w:basedOn w:val="70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7" w:customStyle="1">
    <w:name w:val="Grid Table 4 - Accent 1"/>
    <w:basedOn w:val="707"/>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88" w:customStyle="1">
    <w:name w:val="Grid Table 4 - Accent 2"/>
    <w:basedOn w:val="707"/>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89" w:customStyle="1">
    <w:name w:val="Grid Table 4 - Accent 3"/>
    <w:basedOn w:val="707"/>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90" w:customStyle="1">
    <w:name w:val="Grid Table 4 - Accent 4"/>
    <w:basedOn w:val="707"/>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91" w:customStyle="1">
    <w:name w:val="Grid Table 4 - Accent 5"/>
    <w:basedOn w:val="707"/>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92" w:customStyle="1">
    <w:name w:val="Grid Table 4 - Accent 6"/>
    <w:basedOn w:val="707"/>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93" w:customStyle="1">
    <w:name w:val="网格表 5 深色1"/>
    <w:basedOn w:val="7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4" w:customStyle="1">
    <w:name w:val="Grid Table 5 Dark- Accent 1"/>
    <w:basedOn w:val="7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95" w:customStyle="1">
    <w:name w:val="Grid Table 5 Dark - Accent 2"/>
    <w:basedOn w:val="7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96" w:customStyle="1">
    <w:name w:val="Grid Table 5 Dark - Accent 3"/>
    <w:basedOn w:val="7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97" w:customStyle="1">
    <w:name w:val="Grid Table 5 Dark- Accent 4"/>
    <w:basedOn w:val="7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98" w:customStyle="1">
    <w:name w:val="Grid Table 5 Dark - Accent 5"/>
    <w:basedOn w:val="7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99" w:customStyle="1">
    <w:name w:val="Grid Table 5 Dark - Accent 6"/>
    <w:basedOn w:val="7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00" w:customStyle="1">
    <w:name w:val="网格表 6 彩色1"/>
    <w:basedOn w:val="70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1" w:customStyle="1">
    <w:name w:val="Grid Table 6 Colorful - Accent 1"/>
    <w:basedOn w:val="707"/>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02" w:customStyle="1">
    <w:name w:val="Grid Table 6 Colorful - Accent 2"/>
    <w:basedOn w:val="70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03" w:customStyle="1">
    <w:name w:val="Grid Table 6 Colorful - Accent 3"/>
    <w:basedOn w:val="707"/>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04" w:customStyle="1">
    <w:name w:val="Grid Table 6 Colorful - Accent 4"/>
    <w:basedOn w:val="70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05" w:customStyle="1">
    <w:name w:val="Grid Table 6 Colorful - Accent 5"/>
    <w:basedOn w:val="707"/>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06" w:customStyle="1">
    <w:name w:val="Grid Table 6 Colorful - Accent 6"/>
    <w:basedOn w:val="707"/>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07" w:customStyle="1">
    <w:name w:val="网格表 7 彩色1"/>
    <w:basedOn w:val="70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8" w:customStyle="1">
    <w:name w:val="Grid Table 7 Colorful - Accent 1"/>
    <w:basedOn w:val="707"/>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09" w:customStyle="1">
    <w:name w:val="Grid Table 7 Colorful - Accent 2"/>
    <w:basedOn w:val="707"/>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10" w:customStyle="1">
    <w:name w:val="Grid Table 7 Colorful - Accent 3"/>
    <w:basedOn w:val="707"/>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11" w:customStyle="1">
    <w:name w:val="Grid Table 7 Colorful - Accent 4"/>
    <w:basedOn w:val="707"/>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12" w:customStyle="1">
    <w:name w:val="Grid Table 7 Colorful - Accent 5"/>
    <w:basedOn w:val="707"/>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13" w:customStyle="1">
    <w:name w:val="Grid Table 7 Colorful - Accent 6"/>
    <w:basedOn w:val="707"/>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14" w:customStyle="1">
    <w:name w:val="清单表 1 浅色1"/>
    <w:basedOn w:val="70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5" w:customStyle="1">
    <w:name w:val="List Table 1 Light - Accent 1"/>
    <w:basedOn w:val="707"/>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16" w:customStyle="1">
    <w:name w:val="List Table 1 Light - Accent 2"/>
    <w:basedOn w:val="707"/>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17" w:customStyle="1">
    <w:name w:val="List Table 1 Light - Accent 3"/>
    <w:basedOn w:val="707"/>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18" w:customStyle="1">
    <w:name w:val="List Table 1 Light - Accent 4"/>
    <w:basedOn w:val="707"/>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19" w:customStyle="1">
    <w:name w:val="List Table 1 Light - Accent 5"/>
    <w:basedOn w:val="707"/>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20" w:customStyle="1">
    <w:name w:val="List Table 1 Light - Accent 6"/>
    <w:basedOn w:val="707"/>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21" w:customStyle="1">
    <w:name w:val="清单表 21"/>
    <w:basedOn w:val="70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2" w:customStyle="1">
    <w:name w:val="List Table 2 - Accent 1"/>
    <w:basedOn w:val="707"/>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23" w:customStyle="1">
    <w:name w:val="List Table 2 - Accent 2"/>
    <w:basedOn w:val="707"/>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24" w:customStyle="1">
    <w:name w:val="List Table 2 - Accent 3"/>
    <w:basedOn w:val="707"/>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25" w:customStyle="1">
    <w:name w:val="List Table 2 - Accent 4"/>
    <w:basedOn w:val="707"/>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26" w:customStyle="1">
    <w:name w:val="List Table 2 - Accent 5"/>
    <w:basedOn w:val="707"/>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27" w:customStyle="1">
    <w:name w:val="List Table 2 - Accent 6"/>
    <w:basedOn w:val="707"/>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28" w:customStyle="1">
    <w:name w:val="清单表 31"/>
    <w:basedOn w:val="70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9" w:customStyle="1">
    <w:name w:val="List Table 3 - Accent 1"/>
    <w:basedOn w:val="707"/>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30" w:customStyle="1">
    <w:name w:val="List Table 3 - Accent 2"/>
    <w:basedOn w:val="70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31" w:customStyle="1">
    <w:name w:val="List Table 3 - Accent 3"/>
    <w:basedOn w:val="707"/>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32" w:customStyle="1">
    <w:name w:val="List Table 3 - Accent 4"/>
    <w:basedOn w:val="70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33" w:customStyle="1">
    <w:name w:val="List Table 3 - Accent 5"/>
    <w:basedOn w:val="707"/>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34" w:customStyle="1">
    <w:name w:val="List Table 3 - Accent 6"/>
    <w:basedOn w:val="707"/>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35" w:customStyle="1">
    <w:name w:val="清单表 41"/>
    <w:basedOn w:val="70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6" w:customStyle="1">
    <w:name w:val="List Table 4 - Accent 1"/>
    <w:basedOn w:val="707"/>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37" w:customStyle="1">
    <w:name w:val="List Table 4 - Accent 2"/>
    <w:basedOn w:val="707"/>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38" w:customStyle="1">
    <w:name w:val="List Table 4 - Accent 3"/>
    <w:basedOn w:val="707"/>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39" w:customStyle="1">
    <w:name w:val="List Table 4 - Accent 4"/>
    <w:basedOn w:val="707"/>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40" w:customStyle="1">
    <w:name w:val="List Table 4 - Accent 5"/>
    <w:basedOn w:val="707"/>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41" w:customStyle="1">
    <w:name w:val="List Table 4 - Accent 6"/>
    <w:basedOn w:val="707"/>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42" w:customStyle="1">
    <w:name w:val="清单表 5 深色1"/>
    <w:basedOn w:val="70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5 Dark - Accent 1"/>
    <w:basedOn w:val="707"/>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5 Dark - Accent 2"/>
    <w:basedOn w:val="707"/>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5 Dark - Accent 3"/>
    <w:basedOn w:val="707"/>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5 Dark - Accent 4"/>
    <w:basedOn w:val="707"/>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5 Dark - Accent 5"/>
    <w:basedOn w:val="707"/>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5 Dark - Accent 6"/>
    <w:basedOn w:val="707"/>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清单表 6 彩色1"/>
    <w:basedOn w:val="70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0" w:customStyle="1">
    <w:name w:val="List Table 6 Colorful - Accent 1"/>
    <w:basedOn w:val="707"/>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51" w:customStyle="1">
    <w:name w:val="List Table 6 Colorful - Accent 2"/>
    <w:basedOn w:val="707"/>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52" w:customStyle="1">
    <w:name w:val="List Table 6 Colorful - Accent 3"/>
    <w:basedOn w:val="707"/>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53" w:customStyle="1">
    <w:name w:val="List Table 6 Colorful - Accent 4"/>
    <w:basedOn w:val="707"/>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54" w:customStyle="1">
    <w:name w:val="List Table 6 Colorful - Accent 5"/>
    <w:basedOn w:val="707"/>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55" w:customStyle="1">
    <w:name w:val="List Table 6 Colorful - Accent 6"/>
    <w:basedOn w:val="707"/>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56" w:customStyle="1">
    <w:name w:val="清单表 7 彩色1"/>
    <w:basedOn w:val="70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7" w:customStyle="1">
    <w:name w:val="List Table 7 Colorful - Accent 1"/>
    <w:basedOn w:val="707"/>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58" w:customStyle="1">
    <w:name w:val="List Table 7 Colorful - Accent 2"/>
    <w:basedOn w:val="707"/>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59" w:customStyle="1">
    <w:name w:val="List Table 7 Colorful - Accent 3"/>
    <w:basedOn w:val="707"/>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60" w:customStyle="1">
    <w:name w:val="List Table 7 Colorful - Accent 4"/>
    <w:basedOn w:val="707"/>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61" w:customStyle="1">
    <w:name w:val="List Table 7 Colorful - Accent 5"/>
    <w:basedOn w:val="707"/>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62" w:customStyle="1">
    <w:name w:val="List Table 7 Colorful - Accent 6"/>
    <w:basedOn w:val="707"/>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63" w:customStyle="1">
    <w:name w:val="Lined - Accent"/>
    <w:basedOn w:val="7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4" w:customStyle="1">
    <w:name w:val="Lined - Accent 1"/>
    <w:basedOn w:val="7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65" w:customStyle="1">
    <w:name w:val="Lined - Accent 2"/>
    <w:basedOn w:val="7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66" w:customStyle="1">
    <w:name w:val="Lined - Accent 3"/>
    <w:basedOn w:val="7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67" w:customStyle="1">
    <w:name w:val="Lined - Accent 4"/>
    <w:basedOn w:val="7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68" w:customStyle="1">
    <w:name w:val="Lined - Accent 5"/>
    <w:basedOn w:val="7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69" w:customStyle="1">
    <w:name w:val="Lined - Accent 6"/>
    <w:basedOn w:val="7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70" w:customStyle="1">
    <w:name w:val="Bordered &amp; Lined - Accent"/>
    <w:basedOn w:val="70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1" w:customStyle="1">
    <w:name w:val="Bordered &amp; Lined - Accent 1"/>
    <w:basedOn w:val="707"/>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72" w:customStyle="1">
    <w:name w:val="Bordered &amp; Lined - Accent 2"/>
    <w:basedOn w:val="707"/>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73" w:customStyle="1">
    <w:name w:val="Bordered &amp; Lined - Accent 3"/>
    <w:basedOn w:val="707"/>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74" w:customStyle="1">
    <w:name w:val="Bordered &amp; Lined - Accent 4"/>
    <w:basedOn w:val="707"/>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75" w:customStyle="1">
    <w:name w:val="Bordered &amp; Lined - Accent 5"/>
    <w:basedOn w:val="707"/>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76" w:customStyle="1">
    <w:name w:val="Bordered &amp; Lined - Accent 6"/>
    <w:basedOn w:val="707"/>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77" w:customStyle="1">
    <w:name w:val="Bordered"/>
    <w:basedOn w:val="70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8" w:customStyle="1">
    <w:name w:val="Bordered - Accent 1"/>
    <w:basedOn w:val="70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79" w:customStyle="1">
    <w:name w:val="Bordered - Accent 2"/>
    <w:basedOn w:val="70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80" w:customStyle="1">
    <w:name w:val="Bordered - Accent 3"/>
    <w:basedOn w:val="70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81" w:customStyle="1">
    <w:name w:val="Bordered - Accent 4"/>
    <w:basedOn w:val="70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82" w:customStyle="1">
    <w:name w:val="Bordered - Accent 5"/>
    <w:basedOn w:val="707"/>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83" w:customStyle="1">
    <w:name w:val="Bordered - Accent 6"/>
    <w:basedOn w:val="70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84" w:customStyle="1">
    <w:name w:val="脚注文本 字符"/>
    <w:link w:val="725"/>
    <w:uiPriority w:val="99"/>
    <w:qFormat/>
    <w:rPr>
      <w:sz w:val="18"/>
    </w:rPr>
  </w:style>
  <w:style w:type="character" w:styleId="885" w:customStyle="1">
    <w:name w:val="尾注文本 字符"/>
    <w:link w:val="719"/>
    <w:uiPriority w:val="99"/>
    <w:qFormat/>
    <w:rPr>
      <w:sz w:val="20"/>
    </w:rPr>
  </w:style>
  <w:style w:type="paragraph" w:styleId="886" w:customStyle="1">
    <w:name w:val="TOC 标题1"/>
    <w:uiPriority w:val="39"/>
    <w:unhideWhenUsed/>
    <w:qFormat/>
    <w:rPr>
      <w:rFonts w:ascii="Times New Roman" w:hAnsi="Times New Roman" w:eastAsia="宋体" w:cs="Times New Roman"/>
      <w:lang w:val="en-US" w:eastAsia="zh-CN" w:bidi="ar-SA"/>
    </w:rPr>
  </w:style>
  <w:style w:type="paragraph" w:styleId="887" w:customStyle="1">
    <w:name w:val="普通正文"/>
    <w:basedOn w:val="696"/>
    <w:uiPriority w:val="0"/>
    <w:qFormat/>
    <w:pPr>
      <w:ind w:firstLine="480"/>
      <w:jc w:val="left"/>
      <w:spacing w:before="120" w:after="120" w:line="360" w:lineRule="auto"/>
    </w:pPr>
    <w:rPr>
      <w:rFonts w:ascii="Arial" w:hAnsi="Arial" w:eastAsia="等线" w:cs="Arial"/>
      <w:sz w:val="24"/>
    </w:rPr>
  </w:style>
  <w:style w:type="paragraph" w:styleId="888" w:customStyle="1">
    <w:name w:val="Default"/>
    <w:basedOn w:val="696"/>
    <w:uiPriority w:val="0"/>
    <w:semiHidden/>
    <w:qFormat/>
    <w:pPr>
      <w:jc w:val="left"/>
    </w:pPr>
    <w:rPr>
      <w:rFonts w:ascii="宋体" w:hAnsi="Calibri" w:cs="宋体"/>
      <w:color w:val="000000"/>
      <w:sz w:val="24"/>
    </w:rPr>
  </w:style>
  <w:style w:type="character" w:styleId="889" w:customStyle="1">
    <w:name w:val="页眉 字符"/>
    <w:basedOn w:val="706"/>
    <w:link w:val="721"/>
    <w:uiPriority w:val="0"/>
    <w:qFormat/>
    <w:rPr>
      <w:rFonts w:asciiTheme="minorHAnsi" w:hAnsiTheme="minorHAnsi" w:eastAsiaTheme="minorEastAsia" w:cstheme="minorBidi"/>
      <w:sz w:val="18"/>
      <w:szCs w:val="18"/>
    </w:rPr>
  </w:style>
  <w:style w:type="character" w:styleId="890" w:customStyle="1">
    <w:name w:val="页脚 字符"/>
    <w:basedOn w:val="706"/>
    <w:link w:val="720"/>
    <w:uiPriority w:val="0"/>
    <w:qFormat/>
    <w:rPr>
      <w:rFonts w:asciiTheme="minorHAnsi" w:hAnsiTheme="minorHAnsi" w:eastAsiaTheme="minorEastAsia" w:cstheme="minorBidi"/>
      <w:sz w:val="18"/>
      <w:szCs w:val="18"/>
    </w:rPr>
  </w:style>
  <w:style w:type="paragraph" w:styleId="891" w:customStyle="1">
    <w:name w:val="正文首行缩进 21"/>
    <w:basedOn w:val="892"/>
    <w:uiPriority w:val="0"/>
    <w:qFormat/>
    <w:pPr>
      <w:ind w:firstLine="420"/>
    </w:pPr>
  </w:style>
  <w:style w:type="paragraph" w:styleId="892" w:customStyle="1">
    <w:name w:val="正文文本缩进1"/>
    <w:basedOn w:val="696"/>
    <w:next w:val="893"/>
    <w:uiPriority w:val="0"/>
    <w:qFormat/>
    <w:pPr>
      <w:ind w:left="420"/>
      <w:spacing w:after="120"/>
    </w:pPr>
  </w:style>
  <w:style w:type="paragraph" w:styleId="893" w:customStyle="1">
    <w:name w:val="寄信人地址1"/>
    <w:basedOn w:val="696"/>
    <w:uiPriority w:val="0"/>
    <w:qFormat/>
    <w:rPr>
      <w:rFonts w:ascii="Arial" w:hAnsi="Arial"/>
    </w:rPr>
  </w:style>
  <w:style w:type="paragraph" w:styleId="894">
    <w:name w:val="List Paragraph"/>
    <w:basedOn w:val="696"/>
    <w:uiPriority w:val="34"/>
    <w:qFormat/>
    <w:pPr>
      <w:ind w:firstLine="420"/>
    </w:pPr>
  </w:style>
  <w:style w:type="character" w:styleId="895" w:customStyle="1">
    <w:name w:val="font21"/>
    <w:basedOn w:val="706"/>
    <w:uiPriority w:val="0"/>
    <w:qFormat/>
    <w:rPr>
      <w:rFonts w:hint="eastAsia" w:ascii="方正仿宋_GBK" w:hAnsi="方正仿宋_GBK" w:eastAsia="方正仿宋_GBK" w:cs="方正仿宋_GBK"/>
      <w:color w:val="000000"/>
      <w:sz w:val="24"/>
      <w:szCs w:val="24"/>
      <w:u w:val="none"/>
    </w:rPr>
  </w:style>
  <w:style w:type="character" w:styleId="896" w:customStyle="1">
    <w:name w:val="font41"/>
    <w:basedOn w:val="706"/>
    <w:uiPriority w:val="0"/>
    <w:qFormat/>
    <w:rPr>
      <w:rFonts w:hint="eastAsia" w:ascii="方正仿宋_GBK" w:hAnsi="方正仿宋_GBK" w:eastAsia="方正仿宋_GBK" w:cs="方正仿宋_GBK"/>
      <w:color w:val="000000"/>
      <w:sz w:val="24"/>
      <w:szCs w:val="24"/>
      <w:u w:val="none"/>
    </w:rPr>
  </w:style>
  <w:style w:type="character" w:styleId="897" w:customStyle="1">
    <w:name w:val="px14"/>
    <w:uiPriority w:val="0"/>
    <w:qFormat/>
  </w:style>
  <w:style w:type="paragraph" w:styleId="898" w:customStyle="1">
    <w:name w:val="CM2"/>
    <w:basedOn w:val="696"/>
    <w:next w:val="696"/>
    <w:uiPriority w:val="0"/>
    <w:qFormat/>
    <w:pPr>
      <w:spacing w:line="626" w:lineRule="atLeast"/>
    </w:pPr>
    <w:rPr>
      <w:rFonts w:ascii="幼圆" w:hAnsi="Times New Roman" w:eastAsia="幼圆" w:cs="幼圆"/>
    </w:rPr>
  </w:style>
  <w:style w:type="character" w:styleId="899" w:customStyle="1">
    <w:name w:val="font61"/>
    <w:basedOn w:val="706"/>
    <w:uiPriority w:val="0"/>
    <w:qFormat/>
    <w:rPr>
      <w:rFonts w:hint="default" w:ascii="微软雅黑" w:hAnsi="微软雅黑" w:eastAsia="微软雅黑" w:cs="微软雅黑"/>
      <w:color w:val="000000"/>
      <w:sz w:val="34"/>
      <w:szCs w:val="34"/>
      <w:u w:val="none"/>
    </w:rPr>
  </w:style>
  <w:style w:type="character" w:styleId="900" w:customStyle="1">
    <w:name w:val="font201"/>
    <w:basedOn w:val="706"/>
    <w:uiPriority w:val="0"/>
    <w:qFormat/>
    <w:rPr>
      <w:rFonts w:ascii="宋体-简" w:hAnsi="宋体-简" w:eastAsia="宋体-简" w:cs="宋体-简"/>
      <w:color w:val="000000"/>
      <w:sz w:val="34"/>
      <w:szCs w:val="34"/>
      <w:u w:val="none"/>
    </w:rPr>
  </w:style>
  <w:style w:type="character" w:styleId="901" w:customStyle="1">
    <w:name w:val="font51"/>
    <w:basedOn w:val="706"/>
    <w:uiPriority w:val="0"/>
    <w:qFormat/>
    <w:rPr>
      <w:rFonts w:hint="default" w:ascii="微软雅黑" w:hAnsi="微软雅黑" w:eastAsia="微软雅黑" w:cs="微软雅黑"/>
      <w:b/>
      <w:bCs/>
      <w:color w:val="000000"/>
      <w:sz w:val="34"/>
      <w:szCs w:val="34"/>
      <w:u w:val="none"/>
    </w:rPr>
  </w:style>
  <w:style w:type="character" w:styleId="902" w:customStyle="1">
    <w:name w:val="font71"/>
    <w:basedOn w:val="706"/>
    <w:uiPriority w:val="0"/>
    <w:qFormat/>
    <w:rPr>
      <w:rFonts w:hint="default" w:ascii="微软雅黑" w:hAnsi="微软雅黑" w:eastAsia="微软雅黑" w:cs="微软雅黑"/>
      <w:b/>
      <w:bCs/>
      <w:color w:val="000000"/>
      <w:sz w:val="34"/>
      <w:szCs w:val="34"/>
      <w:u w:val="single"/>
    </w:rPr>
  </w:style>
  <w:style w:type="character" w:styleId="903" w:customStyle="1">
    <w:name w:val="16"/>
    <w:basedOn w:val="706"/>
    <w:uiPriority w:val="0"/>
    <w:qFormat/>
    <w:rPr>
      <w:rFonts w:hint="eastAsia" w:ascii="微软雅黑" w:hAnsi="微软雅黑" w:eastAsia="微软雅黑" w:cs="微软雅黑"/>
      <w:color w:val="000000"/>
      <w:sz w:val="34"/>
      <w:szCs w:val="34"/>
    </w:rPr>
  </w:style>
  <w:style w:type="character" w:styleId="904" w:customStyle="1">
    <w:name w:val="18"/>
    <w:basedOn w:val="706"/>
    <w:uiPriority w:val="0"/>
    <w:qFormat/>
    <w:rPr>
      <w:rFonts w:hint="eastAsia" w:ascii="微软雅黑" w:hAnsi="微软雅黑" w:eastAsia="微软雅黑" w:cs="微软雅黑"/>
      <w:b/>
      <w:bCs/>
      <w:color w:val="000000"/>
      <w:sz w:val="34"/>
      <w:szCs w:val="34"/>
    </w:rPr>
  </w:style>
  <w:style w:type="character" w:styleId="905" w:customStyle="1">
    <w:name w:val="10"/>
    <w:basedOn w:val="706"/>
    <w:uiPriority w:val="0"/>
    <w:qFormat/>
    <w:rPr>
      <w:rFonts w:hint="default" w:ascii="Times New Roman" w:hAnsi="Times New Roman" w:cs="Times New Roman"/>
    </w:rPr>
  </w:style>
  <w:style w:type="character" w:styleId="906" w:customStyle="1">
    <w:name w:val="15"/>
    <w:basedOn w:val="706"/>
    <w:uiPriority w:val="0"/>
    <w:qFormat/>
    <w:rPr>
      <w:rFonts w:hint="default" w:ascii="Times New Roman" w:hAnsi="Times New Roman" w:cs="Times New Roman"/>
    </w:rPr>
  </w:style>
  <w:style w:type="character" w:styleId="907" w:customStyle="1">
    <w:name w:val="17"/>
    <w:basedOn w:val="706"/>
    <w:uiPriority w:val="0"/>
    <w:qFormat/>
    <w:rPr>
      <w:rFonts w:hint="default" w:ascii="宋体-简" w:hAnsi="宋体-简" w:eastAsia="宋体-简" w:cs="宋体-简"/>
      <w:color w:val="000000"/>
      <w:sz w:val="34"/>
      <w:szCs w:val="34"/>
    </w:rPr>
  </w:style>
  <w:style w:type="character" w:styleId="908" w:customStyle="1">
    <w:name w:val="19"/>
    <w:basedOn w:val="706"/>
    <w:uiPriority w:val="0"/>
    <w:qFormat/>
    <w:rPr>
      <w:rFonts w:hint="eastAsia" w:ascii="微软雅黑" w:hAnsi="微软雅黑" w:eastAsia="微软雅黑" w:cs="微软雅黑"/>
      <w:b/>
      <w:bCs/>
      <w:color w:val="000000"/>
      <w:sz w:val="34"/>
      <w:szCs w:val="34"/>
      <w:u w:val="single"/>
    </w:rPr>
  </w:style>
  <w:style w:type="paragraph" w:styleId="909" w:customStyle="1">
    <w:name w:val="标题 61"/>
    <w:basedOn w:val="696"/>
    <w:uiPriority w:val="1"/>
    <w:qFormat/>
    <w:pPr>
      <w:ind w:left="680"/>
      <w:outlineLvl w:val="6"/>
    </w:pPr>
    <w:rPr>
      <w:sz w:val="24"/>
    </w:rPr>
  </w:style>
  <w:style w:type="paragraph" w:styleId="910" w:customStyle="1">
    <w:name w:val="表格文字"/>
    <w:basedOn w:val="696"/>
    <w:uiPriority w:val="0"/>
    <w:qFormat/>
    <w:rPr>
      <w:rFonts w:ascii="宋体" w:hAnsi="宋体" w:cs="宋体"/>
    </w:rPr>
  </w:style>
  <w:style w:type="paragraph" w:styleId="911" w:customStyle="1">
    <w:name w:val="正文空2格  1."/>
    <w:basedOn w:val="696"/>
    <w:uiPriority w:val="0"/>
    <w:qFormat/>
    <w:pPr>
      <w:ind w:firstLine="480"/>
    </w:pPr>
    <w:rPr>
      <w:rFonts w:cs="宋体"/>
      <w:szCs w:val="20"/>
    </w:rPr>
  </w:style>
  <w:style w:type="paragraph" w:styleId="912" w:customStyle="1">
    <w:name w:val="页脚1"/>
    <w:basedOn w:val="696"/>
    <w:uiPriority w:val="0"/>
    <w:qFormat/>
    <w:pPr>
      <w:jc w:val="left"/>
      <w:tabs>
        <w:tab w:val="center" w:pos="4153" w:leader="none"/>
        <w:tab w:val="right" w:pos="8306" w:leader="none"/>
      </w:tabs>
    </w:pPr>
    <w:rPr>
      <w:rFonts w:ascii="Times New Roman" w:hAnsi="Times New Roman"/>
      <w:sz w:val="18"/>
      <w:szCs w:val="18"/>
    </w:rPr>
  </w:style>
  <w:style w:type="paragraph" w:styleId="913" w:customStyle="1">
    <w:name w:val="修订1"/>
    <w:hidden/>
    <w:uiPriority w:val="99"/>
    <w:unhideWhenUsed/>
    <w:qFormat/>
    <w:rPr>
      <w:rFonts w:asciiTheme="minorHAnsi" w:hAnsiTheme="minorHAnsi" w:eastAsiaTheme="minorEastAsia" w:cstheme="minorBidi"/>
      <w:sz w:val="21"/>
      <w:szCs w:val="24"/>
      <w:lang w:val="en-US" w:eastAsia="zh-CN" w:bidi="ar-SA"/>
    </w:rPr>
  </w:style>
  <w:style w:type="paragraph" w:styleId="914" w:customStyle="1">
    <w:name w:val="修订2"/>
    <w:hidden/>
    <w:uiPriority w:val="99"/>
    <w:unhideWhenUsed/>
    <w:qFormat/>
    <w:rPr>
      <w:rFonts w:asciiTheme="minorHAnsi" w:hAnsiTheme="minorHAnsi" w:eastAsiaTheme="minorEastAsia" w:cstheme="minorBidi"/>
      <w:sz w:val="21"/>
      <w:szCs w:val="24"/>
      <w:lang w:val="en-US" w:eastAsia="zh-CN" w:bidi="ar-SA"/>
    </w:rPr>
  </w:style>
  <w:style w:type="paragraph" w:styleId="915" w:customStyle="1">
    <w:name w:val="Revision"/>
    <w:hidden/>
    <w:uiPriority w:val="99"/>
    <w:unhideWhenUsed/>
    <w:qFormat/>
    <w:rPr>
      <w:rFonts w:asciiTheme="minorHAnsi" w:hAnsiTheme="minorHAnsi" w:eastAsiaTheme="minorEastAsia" w:cstheme="minorBidi"/>
      <w:sz w:val="21"/>
      <w:szCs w:val="24"/>
      <w:lang w:val="en-US" w:eastAsia="zh-CN" w:bidi="ar-SA"/>
    </w:rPr>
  </w:style>
  <w:style w:type="numbering" w:styleId="91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彭明静</cp:lastModifiedBy>
  <cp:revision>40</cp:revision>
  <dcterms:created xsi:type="dcterms:W3CDTF">2014-10-29T20:08:00Z</dcterms:created>
  <dcterms:modified xsi:type="dcterms:W3CDTF">2026-04-23T07:33:33Z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29A1B3FA6FD24A2180209F1F62285123_13</vt:lpwstr>
  </property>
  <property fmtid="{D5CDD505-2E9C-101B-9397-08002B2CF9AE}" pid="4" name="KSOTemplateDocerSaveRecord">
    <vt:lpwstr>eyJoZGlkIjoiM2Y0ODFmNDM2NTVkMTc3MGRiOTY0ZTRmZWY1ZjUyY2IiLCJ1c2VySWQiOiI2NzEzMjE2OTMifQ==</vt:lpwstr>
  </property>
</Properties>
</file>