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71"/>
        <w:jc w:val="center"/>
        <w:keepLines w:val="0"/>
        <w:keepNext w:val="0"/>
        <w:spacing w:before="120" w:beforeAutospacing="0" w:after="12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84"/>
          <w:szCs w:val="84"/>
        </w:rPr>
        <w:t xml:space="preserve">招 标 文 件</w:t>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left="3087" w:hanging="2209"/>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长江重要湿地（常熟）监测监控建设</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JSZC-320581-CSXC-G2026-0015</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87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7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江苏协诚工程咨询有限公司</w:t>
      </w:r>
      <w:r/>
    </w:p>
    <w:p>
      <w:pPr>
        <w:jc w:val="center"/>
        <w:rPr>
          <w:rFonts w:hint="eastAsia"/>
          <w:b/>
          <w:sz w:val="44"/>
          <w:szCs w:val="44"/>
        </w:rPr>
      </w:pPr>
      <w:r>
        <w:rPr>
          <w:rFonts w:hint="eastAsia" w:ascii="宋体" w:hAnsi="宋体" w:eastAsia="宋体" w:cs="宋体"/>
          <w:b/>
          <w:sz w:val="44"/>
          <w:szCs w:val="44"/>
          <w:lang w:val="en-US" w:eastAsia="zh-CN"/>
        </w:rPr>
        <w:t xml:space="preserve">2026</w:t>
      </w:r>
      <w:r>
        <w:rPr>
          <w:rFonts w:hint="eastAsia" w:ascii="宋体" w:hAnsi="宋体" w:eastAsia="宋体" w:cs="宋体"/>
          <w:b/>
          <w:sz w:val="44"/>
          <w:szCs w:val="44"/>
        </w:rPr>
        <w:t xml:space="preserve">年</w:t>
      </w:r>
      <w:r>
        <w:rPr>
          <w:rFonts w:hint="eastAsia" w:ascii="宋体" w:hAnsi="宋体" w:eastAsia="宋体" w:cs="宋体"/>
          <w:b/>
          <w:sz w:val="44"/>
          <w:szCs w:val="44"/>
          <w:lang w:val="en-US" w:eastAsia="zh-CN"/>
        </w:rPr>
        <w:t xml:space="preserve">3</w:t>
      </w:r>
      <w:r>
        <w:rPr>
          <w:rFonts w:hint="eastAsia" w:ascii="宋体" w:hAnsi="宋体" w:eastAsia="宋体" w:cs="宋体"/>
          <w:b/>
          <w:sz w:val="44"/>
          <w:szCs w:val="44"/>
        </w:rPr>
        <w:t xml:space="preserve">月</w:t>
      </w:r>
      <w:r>
        <w:rPr>
          <w:rFonts w:hint="eastAsia" w:ascii="宋体" w:hAnsi="宋体" w:eastAsia="宋体" w:cs="宋体"/>
          <w:b/>
          <w:sz w:val="44"/>
          <w:szCs w:val="44"/>
          <w:lang w:val="en-US" w:eastAsia="zh-CN"/>
        </w:rPr>
        <w:t xml:space="preserve">26</w:t>
      </w:r>
      <w:r>
        <w:rPr>
          <w:rFonts w:hint="eastAsia" w:ascii="宋体" w:hAnsi="宋体" w:eastAsia="宋体" w:cs="宋体"/>
          <w:b/>
          <w:sz w:val="44"/>
          <w:szCs w:val="44"/>
        </w:rPr>
        <w:t xml:space="preserve">日</w:t>
      </w:r>
      <w:r/>
    </w:p>
    <w:p>
      <w:pPr>
        <w:pStyle w:val="871"/>
        <w:jc w:val="center"/>
        <w:keepLines w:val="0"/>
        <w:keepNext w:val="0"/>
        <w:spacing w:before="0" w:beforeAutospacing="0" w:after="0" w:afterAutospacing="0" w:line="480" w:lineRule="auto"/>
        <w:widowControl w:val="off"/>
        <w:rPr>
          <w:rFonts w:hint="eastAsia"/>
          <w:b/>
          <w:bCs/>
          <w:sz w:val="44"/>
          <w:szCs w:val="44"/>
          <w:lang w:val="en-US" w:eastAsia="zh-CN"/>
        </w:rPr>
        <w:pBdr>
          <w:top w:val="none" w:color="auto" w:sz="0" w:space="0"/>
          <w:left w:val="none" w:color="auto" w:sz="0" w:space="0"/>
          <w:bottom w:val="none" w:color="auto" w:sz="0" w:space="0"/>
          <w:right w:val="none" w:color="auto" w:sz="0" w:space="0"/>
          <w:between w:val="none" w:color="auto" w:sz="0" w:space="0"/>
        </w:pBdr>
        <w:sectPr>
          <w:headerReference w:type="default" r:id="rId8"/>
          <w:footerReference w:type="default" r:id="rId10"/>
          <w:footnotePr/>
          <w:endnotePr/>
          <w:type w:val="nextPage"/>
          <w:pgSz w:w="11907" w:h="16839" w:orient="portrait"/>
          <w:pgMar w:top="1440" w:right="1077" w:bottom="1440" w:left="1077" w:header="0" w:footer="0" w:gutter="0"/>
          <w:pgNumType w:start="1"/>
          <w:cols w:num="1" w:sep="0" w:space="720" w:equalWidth="1"/>
          <w:docGrid w:linePitch="360"/>
          <w:titlePg/>
        </w:sectPr>
        <w:suppressLineNumbers w:val="0"/>
      </w:pPr>
      <w:r>
        <w:rPr>
          <w:rFonts w:hint="eastAsia"/>
          <w:b/>
          <w:bCs/>
          <w:sz w:val="44"/>
          <w:szCs w:val="44"/>
          <w:lang w:val="en-US" w:eastAsia="zh-CN"/>
        </w:rPr>
      </w:r>
      <w:r/>
    </w:p>
    <w:p>
      <w:pPr>
        <w:pStyle w:val="871"/>
        <w:jc w:val="center"/>
        <w:keepLines w:val="0"/>
        <w:keepNext w:val="0"/>
        <w:spacing w:before="0" w:beforeAutospacing="0" w:after="0" w:afterAutospacing="0" w:line="480" w:lineRule="auto"/>
        <w:widowControl w:val="off"/>
        <w:rPr>
          <w:rFonts w:hint="eastAsia" w:eastAsiaTheme="minorEastAsia"/>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sz w:val="44"/>
          <w:szCs w:val="44"/>
          <w:lang w:val="en-US" w:eastAsia="zh-CN"/>
        </w:rPr>
        <w:t xml:space="preserve">目   录</w:t>
      </w:r>
      <w:r/>
    </w:p>
    <w:p>
      <w:pPr>
        <w:pStyle w:val="863"/>
        <w:jc w:val="both"/>
        <w:keepLines w:val="0"/>
        <w:keepNext w:val="0"/>
        <w:pageBreakBefore w:val="0"/>
        <w:spacing w:line="440" w:lineRule="exact"/>
        <w:widowControl w:val="off"/>
        <w:tabs>
          <w:tab w:val="right" w:pos="9753" w:leader="dot"/>
        </w:tabs>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TOC \o "1-3" \h \u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_Toc7660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第一章</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投标邀请</w:t>
      </w:r>
      <w:r>
        <w:rPr>
          <w:rFonts w:hint="default" w:ascii="Times New Roman" w:hAnsi="Times New Roman" w:eastAsia="宋体" w:cs="Times New Roman"/>
          <w:b/>
          <w:bCs/>
          <w:sz w:val="24"/>
          <w:szCs w:val="24"/>
        </w:rPr>
        <w:tab/>
      </w: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PAGEREF _Toc7660 \h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2</w:t>
      </w:r>
      <w:r>
        <w:rPr>
          <w:rFonts w:hint="default" w:ascii="Times New Roman" w:hAnsi="Times New Roman" w:eastAsia="宋体" w:cs="Times New Roman"/>
          <w:b/>
          <w:bCs/>
          <w:sz w:val="24"/>
          <w:szCs w:val="24"/>
        </w:rPr>
        <w:fldChar w:fldCharType="end"/>
      </w:r>
      <w:r>
        <w:rPr>
          <w:rFonts w:hint="default" w:ascii="Times New Roman" w:hAnsi="Times New Roman" w:eastAsia="宋体" w:cs="Times New Roman"/>
          <w:b/>
          <w:bCs/>
          <w:sz w:val="24"/>
          <w:szCs w:val="24"/>
        </w:rPr>
        <w:fldChar w:fldCharType="end"/>
      </w:r>
      <w:r/>
    </w:p>
    <w:p>
      <w:pPr>
        <w:pStyle w:val="863"/>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_Toc11866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第二章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投标人须知</w:t>
      </w:r>
      <w:r>
        <w:rPr>
          <w:rFonts w:hint="default" w:ascii="Times New Roman" w:hAnsi="Times New Roman" w:eastAsia="宋体" w:cs="Times New Roman"/>
          <w:b/>
          <w:bCs/>
          <w:sz w:val="24"/>
          <w:szCs w:val="24"/>
        </w:rPr>
        <w:tab/>
      </w: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PAGEREF _Toc11866 \h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5</w:t>
      </w:r>
      <w:r>
        <w:rPr>
          <w:rFonts w:hint="default" w:ascii="Times New Roman" w:hAnsi="Times New Roman" w:eastAsia="宋体" w:cs="Times New Roman"/>
          <w:b/>
          <w:bCs/>
          <w:sz w:val="24"/>
          <w:szCs w:val="24"/>
        </w:rPr>
        <w:fldChar w:fldCharType="end"/>
      </w:r>
      <w:r>
        <w:rPr>
          <w:rFonts w:hint="default" w:ascii="Times New Roman" w:hAnsi="Times New Roman" w:eastAsia="宋体" w:cs="Times New Roman"/>
          <w:b/>
          <w:bCs/>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_Toc2726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一、总则</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_Toc2726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_Toc31536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二、招标文件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_Toc31536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_Toc20148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三、投标文件的编制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_Toc20148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_Toc1132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四、投标文件的递交</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_Toc1132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_Toc13162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五、开标与评标</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_Toc13162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_Toc21295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六、定标</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_Toc21295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12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_Toc22034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七、授予合同</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_Toc22034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12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3"/>
        <w:jc w:val="both"/>
        <w:keepLines w:val="0"/>
        <w:keepNext w:val="0"/>
        <w:pageBreakBefore w:val="0"/>
        <w:spacing w:line="440" w:lineRule="exact"/>
        <w:widowControl w:val="off"/>
        <w:tabs>
          <w:tab w:val="right" w:pos="9753" w:leader="dot"/>
        </w:tabs>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_Toc11653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第三章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合同文本</w:t>
      </w:r>
      <w:r>
        <w:rPr>
          <w:rFonts w:hint="default" w:ascii="Times New Roman" w:hAnsi="Times New Roman" w:eastAsia="宋体" w:cs="Times New Roman"/>
          <w:b/>
          <w:bCs/>
          <w:sz w:val="24"/>
          <w:szCs w:val="24"/>
        </w:rPr>
        <w:tab/>
      </w: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PAGEREF _Toc11653 \h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14</w:t>
      </w:r>
      <w:r>
        <w:rPr>
          <w:rFonts w:hint="default" w:ascii="Times New Roman" w:hAnsi="Times New Roman" w:eastAsia="宋体" w:cs="Times New Roman"/>
          <w:b/>
          <w:bCs/>
          <w:sz w:val="24"/>
          <w:szCs w:val="24"/>
        </w:rPr>
        <w:fldChar w:fldCharType="end"/>
      </w:r>
      <w:r>
        <w:rPr>
          <w:rFonts w:hint="default" w:ascii="Times New Roman" w:hAnsi="Times New Roman" w:eastAsia="宋体" w:cs="Times New Roman"/>
          <w:b/>
          <w:bCs/>
          <w:sz w:val="24"/>
          <w:szCs w:val="24"/>
        </w:rPr>
        <w:fldChar w:fldCharType="end"/>
      </w:r>
      <w:r/>
    </w:p>
    <w:p>
      <w:pPr>
        <w:pStyle w:val="863"/>
        <w:jc w:val="both"/>
        <w:keepLines w:val="0"/>
        <w:keepNext w:val="0"/>
        <w:pageBreakBefore w:val="0"/>
        <w:spacing w:line="440" w:lineRule="exact"/>
        <w:widowControl w:val="off"/>
        <w:tabs>
          <w:tab w:val="right" w:pos="9753" w:leader="dot"/>
        </w:tabs>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_Toc13005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第四章</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采购需求</w:t>
      </w:r>
      <w:r>
        <w:rPr>
          <w:rFonts w:hint="default" w:ascii="Times New Roman" w:hAnsi="Times New Roman" w:eastAsia="宋体" w:cs="Times New Roman"/>
          <w:b/>
          <w:bCs/>
          <w:sz w:val="24"/>
          <w:szCs w:val="24"/>
        </w:rPr>
        <w:tab/>
      </w: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PAGEREF _Toc13005 \h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20</w:t>
      </w:r>
      <w:r>
        <w:rPr>
          <w:rFonts w:hint="default" w:ascii="Times New Roman" w:hAnsi="Times New Roman" w:eastAsia="宋体" w:cs="Times New Roman"/>
          <w:b/>
          <w:bCs/>
          <w:sz w:val="24"/>
          <w:szCs w:val="24"/>
        </w:rPr>
        <w:fldChar w:fldCharType="end"/>
      </w:r>
      <w:r>
        <w:rPr>
          <w:rFonts w:hint="default" w:ascii="Times New Roman" w:hAnsi="Times New Roman" w:eastAsia="宋体" w:cs="Times New Roman"/>
          <w:b/>
          <w:bCs/>
          <w:sz w:val="24"/>
          <w:szCs w:val="24"/>
        </w:rPr>
        <w:fldChar w:fldCharType="end"/>
      </w:r>
      <w:r/>
    </w:p>
    <w:p>
      <w:pPr>
        <w:pStyle w:val="863"/>
        <w:jc w:val="both"/>
        <w:keepLines w:val="0"/>
        <w:keepNext w:val="0"/>
        <w:pageBreakBefore w:val="0"/>
        <w:spacing w:line="440" w:lineRule="exact"/>
        <w:widowControl w:val="off"/>
        <w:tabs>
          <w:tab w:val="right" w:pos="9753" w:leader="dot"/>
        </w:tabs>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_Toc15424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第五章  评审因素和评分标准</w:t>
      </w:r>
      <w:r>
        <w:rPr>
          <w:rFonts w:hint="default" w:ascii="Times New Roman" w:hAnsi="Times New Roman" w:eastAsia="宋体" w:cs="Times New Roman"/>
          <w:b/>
          <w:bCs/>
          <w:sz w:val="24"/>
          <w:szCs w:val="24"/>
        </w:rPr>
        <w:tab/>
      </w: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PAGEREF _Toc15424 \h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28</w:t>
      </w:r>
      <w:r>
        <w:rPr>
          <w:rFonts w:hint="default" w:ascii="Times New Roman" w:hAnsi="Times New Roman" w:eastAsia="宋体" w:cs="Times New Roman"/>
          <w:b/>
          <w:bCs/>
          <w:sz w:val="24"/>
          <w:szCs w:val="24"/>
        </w:rPr>
        <w:fldChar w:fldCharType="end"/>
      </w:r>
      <w:r>
        <w:rPr>
          <w:rFonts w:hint="default" w:ascii="Times New Roman" w:hAnsi="Times New Roman" w:eastAsia="宋体" w:cs="Times New Roman"/>
          <w:b/>
          <w:bCs/>
          <w:sz w:val="24"/>
          <w:szCs w:val="24"/>
        </w:rPr>
        <w:fldChar w:fldCharType="end"/>
      </w:r>
      <w:r/>
    </w:p>
    <w:p>
      <w:pPr>
        <w:pStyle w:val="863"/>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_Toc24434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第六章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投标文件格式</w:t>
      </w:r>
      <w:r>
        <w:rPr>
          <w:rFonts w:hint="default" w:ascii="Times New Roman" w:hAnsi="Times New Roman" w:eastAsia="宋体" w:cs="Times New Roman"/>
          <w:b/>
          <w:bCs/>
          <w:sz w:val="24"/>
          <w:szCs w:val="24"/>
        </w:rPr>
        <w:tab/>
      </w: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PAGEREF _Toc24434 \h </w:instrText>
      </w:r>
      <w:r>
        <w:rPr>
          <w:rFonts w:hint="default" w:ascii="Times New Roman" w:hAnsi="Times New Roman" w:eastAsia="宋体" w:cs="Times New Roman"/>
          <w:b/>
          <w:bCs/>
          <w:sz w:val="24"/>
          <w:szCs w:val="24"/>
        </w:rPr>
        <w:fldChar w:fldCharType="separate"/>
      </w:r>
      <w:r>
        <w:rPr>
          <w:rFonts w:hint="default" w:ascii="Times New Roman" w:hAnsi="Times New Roman" w:eastAsia="宋体" w:cs="Times New Roman"/>
          <w:b/>
          <w:bCs/>
          <w:sz w:val="24"/>
          <w:szCs w:val="24"/>
        </w:rPr>
        <w:t xml:space="preserve">32</w:t>
      </w:r>
      <w:r>
        <w:rPr>
          <w:rFonts w:hint="default" w:ascii="Times New Roman" w:hAnsi="Times New Roman" w:eastAsia="宋体" w:cs="Times New Roman"/>
          <w:b/>
          <w:bCs/>
          <w:sz w:val="24"/>
          <w:szCs w:val="24"/>
        </w:rPr>
        <w:fldChar w:fldCharType="end"/>
      </w:r>
      <w:r>
        <w:rPr>
          <w:rFonts w:hint="default" w:ascii="Times New Roman" w:hAnsi="Times New Roman" w:eastAsia="宋体" w:cs="Times New Roman"/>
          <w:b/>
          <w:bCs/>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_Toc21737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附件1 开标一览表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_Toc21737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_Toc15949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bidi="ar-SA"/>
        </w:rPr>
        <w:t xml:space="preserve">附件2 投入费用明细表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_Toc15949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_Toc12277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3</w:t>
      </w:r>
      <w:r>
        <w:rPr>
          <w:rFonts w:hint="default" w:ascii="Times New Roman" w:hAnsi="Times New Roman" w:eastAsia="宋体" w:cs="Times New Roman"/>
          <w:bCs/>
          <w:sz w:val="24"/>
          <w:szCs w:val="24"/>
        </w:rPr>
        <w:t xml:space="preserve"> 服务要求响应及偏离表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_Toc12277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_Toc28655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4</w:t>
      </w:r>
      <w:r>
        <w:rPr>
          <w:rFonts w:hint="default" w:ascii="Times New Roman" w:hAnsi="Times New Roman" w:eastAsia="宋体" w:cs="Times New Roman"/>
          <w:bCs/>
          <w:sz w:val="24"/>
          <w:szCs w:val="24"/>
        </w:rPr>
        <w:t xml:space="preserve"> 商务要求响应及偏离表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_Toc28655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_Toc21981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5</w:t>
      </w:r>
      <w:r>
        <w:rPr>
          <w:rFonts w:hint="default" w:ascii="Times New Roman" w:hAnsi="Times New Roman" w:eastAsia="宋体" w:cs="Times New Roman"/>
          <w:bCs/>
          <w:sz w:val="24"/>
          <w:szCs w:val="24"/>
        </w:rPr>
        <w:t xml:space="preserve"> 具备履行合同所必需的</w:t>
      </w:r>
      <w:r>
        <w:rPr>
          <w:rFonts w:hint="default" w:ascii="Times New Roman" w:hAnsi="Times New Roman" w:eastAsia="宋体" w:cs="Times New Roman"/>
          <w:bCs/>
          <w:sz w:val="24"/>
          <w:szCs w:val="24"/>
          <w:lang w:val="en-US" w:eastAsia="zh-CN"/>
        </w:rPr>
        <w:t xml:space="preserve">设备</w:t>
      </w:r>
      <w:r>
        <w:rPr>
          <w:rFonts w:hint="default" w:ascii="Times New Roman" w:hAnsi="Times New Roman" w:eastAsia="宋体" w:cs="Times New Roman"/>
          <w:bCs/>
          <w:sz w:val="24"/>
          <w:szCs w:val="24"/>
        </w:rPr>
        <w:t xml:space="preserve">和专业技术能力的书面声明</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_Toc21981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_Toc17520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6</w:t>
      </w:r>
      <w:r>
        <w:rPr>
          <w:rFonts w:hint="default" w:ascii="Times New Roman" w:hAnsi="Times New Roman" w:eastAsia="宋体" w:cs="Times New Roman"/>
          <w:bCs/>
          <w:sz w:val="24"/>
          <w:szCs w:val="24"/>
        </w:rPr>
        <w:t xml:space="preserve"> 参加政府采购活动前 3 年内在经营活动中没有重大违法记录的书面声明</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_Toc17520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_Toc8657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7</w:t>
      </w:r>
      <w:r>
        <w:rPr>
          <w:rFonts w:hint="default" w:ascii="Times New Roman" w:hAnsi="Times New Roman" w:eastAsia="宋体" w:cs="Times New Roman"/>
          <w:bCs/>
          <w:sz w:val="24"/>
          <w:szCs w:val="24"/>
        </w:rPr>
        <w:t xml:space="preserve"> 法人授权书</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_Toc8657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_Toc12241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8</w:t>
      </w:r>
      <w:r>
        <w:rPr>
          <w:rFonts w:hint="default" w:ascii="Times New Roman" w:hAnsi="Times New Roman" w:eastAsia="宋体" w:cs="Times New Roman"/>
          <w:bCs/>
          <w:sz w:val="24"/>
          <w:szCs w:val="24"/>
        </w:rPr>
        <w:t xml:space="preserve"> 投标函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_Toc12241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_Toc28439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9</w:t>
      </w:r>
      <w:r>
        <w:rPr>
          <w:rFonts w:hint="default" w:ascii="Times New Roman" w:hAnsi="Times New Roman" w:eastAsia="宋体" w:cs="Times New Roman"/>
          <w:bCs/>
          <w:sz w:val="24"/>
          <w:szCs w:val="24"/>
        </w:rPr>
        <w:t xml:space="preserve"> 中小企业声明函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_Toc28439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_Toc8803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10</w:t>
      </w:r>
      <w:r>
        <w:rPr>
          <w:rFonts w:hint="default" w:ascii="Times New Roman" w:hAnsi="Times New Roman" w:eastAsia="宋体" w:cs="Times New Roman"/>
          <w:bCs/>
          <w:sz w:val="24"/>
          <w:szCs w:val="24"/>
        </w:rPr>
        <w:t xml:space="preserve"> 残疾人福利性单位声明函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_Toc8803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_Toc28250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11</w:t>
      </w:r>
      <w:r>
        <w:rPr>
          <w:rFonts w:hint="default" w:ascii="Times New Roman" w:hAnsi="Times New Roman" w:eastAsia="宋体" w:cs="Times New Roman"/>
          <w:bCs/>
          <w:sz w:val="24"/>
          <w:szCs w:val="24"/>
        </w:rPr>
        <w:t xml:space="preserve"> 实质性要求响应及偏离表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_Toc28250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_Toc27988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12</w:t>
      </w:r>
      <w:r>
        <w:rPr>
          <w:rFonts w:hint="default" w:ascii="Times New Roman" w:hAnsi="Times New Roman" w:eastAsia="宋体" w:cs="Times New Roman"/>
          <w:bCs/>
          <w:sz w:val="24"/>
          <w:szCs w:val="24"/>
        </w:rPr>
        <w:t xml:space="preserve"> 项目服务方案</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_Toc27988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_Toc19059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附件</w:t>
      </w:r>
      <w:r>
        <w:rPr>
          <w:rFonts w:hint="default" w:ascii="Times New Roman" w:hAnsi="Times New Roman" w:eastAsia="宋体" w:cs="Times New Roman"/>
          <w:sz w:val="24"/>
          <w:szCs w:val="24"/>
          <w:lang w:val="en-US" w:eastAsia="zh-CN"/>
        </w:rPr>
        <w:t xml:space="preserve">13</w:t>
      </w:r>
      <w:r>
        <w:rPr>
          <w:rFonts w:hint="default" w:ascii="Times New Roman" w:hAnsi="Times New Roman" w:eastAsia="宋体" w:cs="Times New Roman"/>
          <w:sz w:val="24"/>
          <w:szCs w:val="24"/>
        </w:rPr>
        <w:t xml:space="preserve"> 项目组人员一览表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_Toc19059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69"/>
        <w:jc w:val="both"/>
        <w:keepLines w:val="0"/>
        <w:keepNext w:val="0"/>
        <w:pageBreakBefore w:val="0"/>
        <w:spacing w:line="440" w:lineRule="exact"/>
        <w:widowControl w:val="off"/>
        <w:tabs>
          <w:tab w:val="right" w:pos="9753" w:leader="dot"/>
        </w:tabs>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_Toc23776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 xml:space="preserve">附件14 </w:t>
      </w:r>
      <w:r>
        <w:rPr>
          <w:rFonts w:hint="default" w:ascii="Times New Roman" w:hAnsi="Times New Roman" w:eastAsia="宋体" w:cs="Times New Roman"/>
          <w:bCs/>
          <w:sz w:val="24"/>
          <w:szCs w:val="24"/>
        </w:rPr>
        <w:t xml:space="preserve">业绩一览表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_Toc23776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numPr>
          <w:ilvl w:val="0"/>
          <w:numId w:val="0"/>
        </w:numPr>
        <w:jc w:val="both"/>
        <w:keepLines w:val="0"/>
        <w:keepNext w:val="0"/>
        <w:pageBreakBefore w:val="0"/>
        <w:spacing w:before="0" w:beforeAutospacing="0" w:after="0" w:afterAutospacing="0" w:line="440" w:lineRule="exact"/>
        <w:widowControl/>
        <w:rPr>
          <w:rFonts w:hint="eastAsia" w:ascii="黑体" w:hAnsi="宋体" w:eastAsia="黑体" w:cs="黑体"/>
          <w:color w:val="000000"/>
          <w:sz w:val="44"/>
          <w:szCs w:val="44"/>
        </w:rPr>
        <w:suppressLineNumbers w:val="0"/>
      </w:pPr>
      <w:r>
        <w:rPr>
          <w:rFonts w:hint="default" w:ascii="Times New Roman" w:hAnsi="Times New Roman" w:eastAsia="宋体" w:cs="Times New Roman"/>
          <w:szCs w:val="24"/>
        </w:rPr>
        <w:fldChar w:fldCharType="end"/>
      </w:r>
      <w:r>
        <w:rPr>
          <w:rFonts w:hint="eastAsia" w:ascii="黑体" w:hAnsi="宋体" w:eastAsia="黑体" w:cs="黑体"/>
          <w:color w:val="000000"/>
          <w:sz w:val="44"/>
          <w:szCs w:val="44"/>
        </w:rPr>
        <w:br w:type="page" w:clear="all"/>
      </w:r>
      <w:r/>
    </w:p>
    <w:p>
      <w:pPr>
        <w:pStyle w:val="871"/>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7660"/>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r/>
      <w:r/>
    </w:p>
    <w:p>
      <w:pPr>
        <w:pStyle w:val="87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ascii="宋体" w:hAnsi="宋体" w:eastAsia="宋体" w:cs="宋体"/>
          <w:sz w:val="24"/>
          <w:szCs w:val="24"/>
          <w:lang w:eastAsia="zh-CN"/>
        </w:rPr>
        <w:t xml:space="preserve">常熟市自然资源和规划局</w:t>
      </w:r>
      <w:r>
        <w:rPr>
          <w:rFonts w:hint="eastAsia" w:ascii="宋体" w:hAnsi="宋体" w:eastAsia="宋体" w:cs="宋体"/>
          <w:color w:val="000000"/>
          <w:sz w:val="24"/>
          <w:szCs w:val="24"/>
        </w:rPr>
        <w:t xml:space="preserve">的委托，</w:t>
      </w:r>
      <w:r>
        <w:rPr>
          <w:rFonts w:hint="eastAsia" w:ascii="宋体" w:hAnsi="宋体" w:eastAsia="宋体" w:cs="宋体"/>
          <w:sz w:val="24"/>
          <w:szCs w:val="24"/>
        </w:rPr>
        <w:t xml:space="preserve">江苏协诚工程咨询有限公司</w:t>
      </w:r>
      <w:r>
        <w:rPr>
          <w:rFonts w:hint="eastAsia" w:ascii="宋体" w:hAnsi="宋体" w:eastAsia="宋体" w:cs="宋体"/>
          <w:color w:val="000000"/>
          <w:sz w:val="24"/>
          <w:szCs w:val="24"/>
        </w:rPr>
        <w:t xml:space="preserve">就</w:t>
      </w:r>
      <w:r>
        <w:rPr>
          <w:rFonts w:hint="eastAsia" w:ascii="宋体" w:hAnsi="宋体" w:eastAsia="宋体" w:cs="宋体"/>
          <w:i w:val="0"/>
          <w:iCs w:val="0"/>
          <w:caps w:val="0"/>
          <w:color w:val="333333"/>
          <w:spacing w:val="0"/>
          <w:sz w:val="24"/>
          <w:szCs w:val="24"/>
          <w:shd w:val="clear" w:color="auto" w:fill="ffffff"/>
          <w:lang w:eastAsia="zh-CN"/>
        </w:rPr>
        <w:t xml:space="preserve">长江重要湿地（常熟）监测监控建设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JSZC-320581-CSXC-G2026-0015</w:t>
      </w:r>
      <w:r>
        <w:rPr>
          <w:rFonts w:hint="eastAsia" w:ascii="宋体" w:hAnsi="宋体" w:eastAsia="宋体" w:cs="宋体"/>
          <w:color w:val="000000"/>
          <w:sz w:val="24"/>
          <w:szCs w:val="24"/>
        </w:rPr>
        <w:t xml:space="preserve">)项目进行公开招标采购，欢迎符合条件的投标人投标。</w:t>
      </w:r>
      <w:r/>
    </w:p>
    <w:p>
      <w:pPr>
        <w:pStyle w:val="871"/>
        <w:jc w:val="both"/>
        <w:keepLines w:val="0"/>
        <w:keepNext w:val="0"/>
        <w:pageBreakBefore w:val="0"/>
        <w:spacing w:before="0" w:beforeAutospacing="0" w:after="0" w:afterAutospacing="0" w:line="440" w:lineRule="exact"/>
        <w:widowControl w:val="off"/>
        <w:rPr>
          <w:rFonts w:hint="eastAsia" w:ascii="宋体" w:hAnsi="宋体" w:eastAsia="宋体" w:cs="宋体"/>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87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color w:val="000000"/>
          <w:sz w:val="24"/>
          <w:szCs w:val="24"/>
          <w:u w:val="single"/>
          <w:lang w:eastAsia="zh-CN"/>
        </w:rPr>
        <w:t xml:space="preserve">长江重要湿地（常熟）监测监控建设</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none"/>
        </w:rPr>
        <w:t xml:space="preserve">“苏采云政府采购一体化平台</w:t>
      </w:r>
      <w:r>
        <w:rPr>
          <w:rFonts w:hint="eastAsia" w:ascii="宋体" w:hAnsi="宋体" w:eastAsia="宋体" w:cs="宋体"/>
          <w:color w:val="000000"/>
          <w:sz w:val="24"/>
          <w:szCs w:val="24"/>
          <w:u w:val="none"/>
          <w:lang w:eastAsia="zh-CN"/>
        </w:rPr>
        <w:t xml:space="preserve">”</w:t>
      </w:r>
      <w:r>
        <w:rPr>
          <w:rFonts w:hint="eastAsia" w:ascii="宋体" w:hAnsi="宋体" w:eastAsia="宋体" w:cs="宋体"/>
          <w:sz w:val="24"/>
          <w:szCs w:val="24"/>
        </w:rPr>
        <w:t xml:space="preserve">中参与项目获取采购文件</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17</w:t>
      </w:r>
      <w:r>
        <w:rPr>
          <w:rFonts w:hint="eastAsia" w:ascii="宋体" w:hAnsi="宋体" w:eastAsia="宋体" w:cs="宋体"/>
          <w:color w:val="000000"/>
          <w:sz w:val="24"/>
          <w:szCs w:val="24"/>
          <w:highlight w:val="none"/>
          <w:u w:val="single"/>
        </w:rPr>
        <w:t xml:space="preserve">日13点</w:t>
      </w:r>
      <w:r>
        <w:rPr>
          <w:rFonts w:hint="eastAsia" w:ascii="宋体" w:hAnsi="宋体" w:eastAsia="宋体" w:cs="宋体"/>
          <w:color w:val="000000"/>
          <w:sz w:val="24"/>
          <w:szCs w:val="24"/>
          <w:u w:val="single"/>
          <w:lang w:val="en-US" w:eastAsia="zh-CN"/>
        </w:rPr>
        <w:t xml:space="preserve">00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前递交投标文件。</w:t>
      </w:r>
      <w:r/>
    </w:p>
    <w:p>
      <w:pPr>
        <w:pStyle w:val="87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 w:name="_Toc38985263"/>
      <w:r/>
      <w:bookmarkStart w:id="2" w:name="_Toc35393621"/>
      <w:r/>
      <w:bookmarkStart w:id="3" w:name="_Hlk24379207"/>
      <w:r/>
      <w:bookmarkStart w:id="4" w:name="_Toc28359002"/>
      <w:r/>
      <w:bookmarkStart w:id="5" w:name="_Toc35393790"/>
      <w:r/>
      <w:bookmarkStart w:id="6" w:name="_Toc28359079"/>
      <w:r>
        <w:rPr>
          <w:rFonts w:hint="eastAsia" w:ascii="宋体" w:hAnsi="宋体" w:eastAsia="宋体" w:cs="宋体"/>
          <w:b/>
          <w:bCs/>
          <w:color w:val="000000"/>
          <w:sz w:val="24"/>
          <w:szCs w:val="24"/>
        </w:rPr>
        <w:t xml:space="preserve">一、项目基本情况</w:t>
      </w:r>
      <w:bookmarkEnd w:id="1"/>
      <w:r/>
      <w:bookmarkEnd w:id="2"/>
      <w:r/>
      <w:bookmarkEnd w:id="3"/>
      <w:r/>
      <w:bookmarkEnd w:id="4"/>
      <w:r/>
      <w:bookmarkEnd w:id="5"/>
      <w:r/>
      <w:bookmarkEnd w:id="6"/>
      <w:r/>
      <w:r/>
    </w:p>
    <w:p>
      <w:pPr>
        <w:pStyle w:val="87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JSZC-320581-CSXC-G2026-0015</w:t>
      </w:r>
      <w:r/>
    </w:p>
    <w:p>
      <w:pPr>
        <w:pStyle w:val="87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shd w:val="clear" w:color="auto" w:fill="ffffff"/>
          <w:lang w:eastAsia="zh-CN"/>
        </w:rPr>
        <w:t xml:space="preserve">长江重要湿地（常熟）监测监控建设</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3、采购方式：公开招标</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预算金额：人民币</w:t>
      </w:r>
      <w:r>
        <w:rPr>
          <w:rFonts w:hint="eastAsia" w:ascii="宋体" w:hAnsi="宋体" w:eastAsia="宋体" w:cs="宋体"/>
          <w:color w:val="000000"/>
          <w:sz w:val="24"/>
          <w:szCs w:val="24"/>
          <w:highlight w:val="none"/>
          <w:lang w:val="en-US" w:eastAsia="zh-CN"/>
        </w:rPr>
        <w:t xml:space="preserve">2000000</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rPr>
        <w:t xml:space="preserve">元</w:t>
      </w:r>
      <w:r/>
    </w:p>
    <w:p>
      <w:pPr>
        <w:ind w:firstLine="480"/>
        <w:spacing w:line="440" w:lineRule="exact"/>
        <w:rPr>
          <w:rFonts w:hint="eastAsia" w:ascii="宋体" w:hAnsi="宋体" w:eastAsia="宋体" w:cs="宋体"/>
          <w:sz w:val="24"/>
          <w:szCs w:val="24"/>
          <w:lang w:eastAsia="zh-CN"/>
        </w:rPr>
      </w:pPr>
      <w:r/>
      <w:bookmarkStart w:id="7" w:name="_Toc35393622"/>
      <w:r/>
      <w:bookmarkStart w:id="8" w:name="_Toc35393791"/>
      <w:r/>
      <w:bookmarkStart w:id="9" w:name="_Toc28359080"/>
      <w:r/>
      <w:bookmarkStart w:id="10" w:name="_Toc28359003"/>
      <w:r/>
      <w:bookmarkStart w:id="11" w:name="_Toc38985264"/>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、采购需求概况：</w:t>
      </w:r>
      <w:r>
        <w:rPr>
          <w:rFonts w:hint="eastAsia" w:ascii="宋体" w:hAnsi="宋体" w:eastAsia="宋体" w:cs="宋体"/>
          <w:sz w:val="24"/>
          <w:szCs w:val="24"/>
          <w:lang w:eastAsia="zh-CN"/>
        </w:rPr>
        <w:t xml:space="preserve">常熟市自然资源和规划局</w:t>
      </w:r>
      <w:r>
        <w:rPr>
          <w:rFonts w:hint="eastAsia" w:ascii="宋体" w:hAnsi="宋体" w:eastAsia="宋体" w:cs="宋体"/>
          <w:sz w:val="24"/>
          <w:szCs w:val="24"/>
        </w:rPr>
        <w:t xml:space="preserve">所需的</w:t>
      </w:r>
      <w:r>
        <w:rPr>
          <w:rFonts w:hint="eastAsia" w:ascii="宋体" w:hAnsi="宋体" w:eastAsia="宋体" w:cs="宋体"/>
          <w:i w:val="0"/>
          <w:iCs w:val="0"/>
          <w:caps w:val="0"/>
          <w:color w:val="333333"/>
          <w:spacing w:val="0"/>
          <w:sz w:val="24"/>
          <w:szCs w:val="24"/>
          <w:shd w:val="clear" w:color="auto" w:fill="ffffff"/>
          <w:lang w:eastAsia="zh-CN"/>
        </w:rPr>
        <w:t xml:space="preserve">长江重要湿地（常熟）监测监控建设</w:t>
      </w:r>
      <w:r>
        <w:rPr>
          <w:rFonts w:hint="eastAsia" w:ascii="宋体" w:hAnsi="宋体" w:eastAsia="宋体" w:cs="宋体"/>
          <w:sz w:val="24"/>
          <w:szCs w:val="24"/>
          <w:lang w:eastAsia="zh-CN"/>
        </w:rPr>
        <w:t xml:space="preserve">。</w:t>
      </w:r>
      <w:r/>
    </w:p>
    <w:p>
      <w:pPr>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自合同签订之日起一年</w:t>
      </w:r>
      <w:r>
        <w:rPr>
          <w:rFonts w:hint="eastAsia" w:ascii="宋体" w:hAnsi="宋体" w:eastAsia="宋体" w:cs="宋体"/>
          <w:color w:val="000000"/>
          <w:sz w:val="24"/>
          <w:szCs w:val="24"/>
          <w:highlight w:val="none"/>
          <w:lang w:eastAsia="zh-CN"/>
        </w:rPr>
        <w:t xml:space="preserve">。</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、本项目不接受联合体投标。</w:t>
      </w:r>
      <w:r/>
    </w:p>
    <w:p>
      <w:pPr>
        <w:pStyle w:val="87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二、申请人的资格要求：</w:t>
      </w:r>
      <w:bookmarkEnd w:id="7"/>
      <w:r/>
      <w:bookmarkEnd w:id="8"/>
      <w:r/>
      <w:bookmarkEnd w:id="9"/>
      <w:r/>
      <w:bookmarkEnd w:id="10"/>
      <w:r/>
      <w:bookmarkEnd w:id="11"/>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1、满足《中华人民共和国政府采购法》第二十二条规定：</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（1）具有独立承担民事责任的能力。</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（2）具有良好的商业信誉和健全的财务会计制度。</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（3）具有履行合同所必需的设备和专业技术能力。</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（4）有依法缴纳税收和社会保障资金的良好记录。</w:t>
      </w:r>
      <w:r/>
    </w:p>
    <w:p>
      <w:pPr>
        <w:ind w:firstLine="480"/>
        <w:spacing w:line="440" w:lineRule="exact"/>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（5）参加采购活动前三年内，在经营活动中没有重大违法记录。</w:t>
      </w:r>
      <w:r/>
    </w:p>
    <w:p>
      <w:pPr>
        <w:ind w:firstLine="480"/>
        <w:spacing w:after="0" w:line="440" w:lineRule="exact"/>
        <w:widowControl w:val="off"/>
        <w:rPr>
          <w:rStyle w:val="875"/>
          <w:rFonts w:hint="eastAsia" w:ascii="宋体" w:hAnsi="宋体" w:eastAsia="宋体" w:cs="宋体"/>
          <w:color w:val="000000"/>
          <w:sz w:val="24"/>
          <w:szCs w:val="24"/>
          <w:shd w:val="clear" w:color="auto" w:fill="ffffff"/>
        </w:rPr>
      </w:pPr>
      <w:r>
        <w:rPr>
          <w:rFonts w:hint="eastAsia" w:ascii="宋体" w:hAnsi="宋体" w:eastAsia="宋体" w:cs="宋体"/>
          <w:sz w:val="24"/>
          <w:szCs w:val="24"/>
        </w:rPr>
        <w:t xml:space="preserve">2、落实政府采购政策需满足的资格要求：</w:t>
      </w:r>
      <w:r>
        <w:rPr>
          <w:rFonts w:hint="eastAsia" w:ascii="宋体" w:hAnsi="宋体" w:eastAsia="宋体" w:cs="宋体"/>
          <w:b/>
          <w:bCs/>
          <w:color w:val="000000"/>
          <w:sz w:val="24"/>
          <w:szCs w:val="24"/>
        </w:rPr>
        <w:t xml:space="preserve">本项目专门面向中小企业采购，</w:t>
      </w:r>
      <w:r>
        <w:rPr>
          <w:rStyle w:val="875"/>
          <w:rFonts w:hint="eastAsia" w:ascii="宋体" w:hAnsi="宋体" w:eastAsia="宋体" w:cs="宋体"/>
          <w:color w:val="000000"/>
          <w:sz w:val="24"/>
          <w:szCs w:val="24"/>
          <w:shd w:val="clear" w:color="auto" w:fill="ffffff"/>
        </w:rPr>
        <w:t xml:space="preserve">所属行业为</w:t>
      </w:r>
      <w:r>
        <w:rPr>
          <w:rStyle w:val="875"/>
          <w:rFonts w:hint="eastAsia" w:ascii="宋体" w:hAnsi="宋体" w:eastAsia="宋体" w:cs="宋体"/>
          <w:color w:val="000000"/>
          <w:sz w:val="24"/>
          <w:szCs w:val="24"/>
          <w:shd w:val="clear" w:color="auto" w:fill="ffffff"/>
          <w:lang w:val="en-US" w:eastAsia="zh-CN"/>
        </w:rPr>
        <w:t xml:space="preserve">其他未列明行业</w:t>
      </w:r>
      <w:r>
        <w:rPr>
          <w:rStyle w:val="875"/>
          <w:rFonts w:hint="eastAsia" w:ascii="宋体" w:hAnsi="宋体" w:eastAsia="宋体" w:cs="宋体"/>
          <w:color w:val="000000"/>
          <w:sz w:val="24"/>
          <w:szCs w:val="24"/>
          <w:shd w:val="clear" w:color="auto" w:fill="ffffff"/>
        </w:rPr>
        <w:t xml:space="preserve">，投标时须提供《中小企业声明函》</w:t>
      </w:r>
      <w:r/>
    </w:p>
    <w:p>
      <w:pPr>
        <w:ind w:firstLine="482"/>
        <w:spacing w:after="0" w:line="440" w:lineRule="exact"/>
        <w:widowControl w:val="off"/>
        <w:rPr>
          <w:rFonts w:hint="eastAsia" w:ascii="宋体" w:hAnsi="宋体" w:eastAsia="宋体" w:cs="宋体"/>
          <w:b w:val="0"/>
          <w:bCs w:val="0"/>
          <w:sz w:val="24"/>
          <w:szCs w:val="24"/>
        </w:rPr>
      </w:pPr>
      <w:r>
        <w:rPr>
          <w:rFonts w:hint="eastAsia" w:ascii="宋体" w:hAnsi="宋体" w:eastAsia="宋体" w:cs="宋体"/>
          <w:b/>
          <w:bCs/>
          <w:color w:val="000000"/>
          <w:sz w:val="24"/>
          <w:szCs w:val="24"/>
        </w:rPr>
        <w:t xml:space="preserve">注：对残疾人福利性单位、监狱企业视同小型、微型企业，但须按要求提供有关声明函或证明文件。</w:t>
      </w:r>
      <w:r/>
    </w:p>
    <w:p>
      <w:pPr>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本项目的特定资格要求：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4、其他要求：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（1）根据政府采购法及相关法规，将对</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进行信用查询。</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（2）单位负责人为同一人或者存在直接控股、管理关系的不同供应商，不得参加同一合同项下的政府采购活动。</w:t>
      </w:r>
      <w:r/>
    </w:p>
    <w:p>
      <w:pPr>
        <w:pStyle w:val="87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三、获取招标文件</w:t>
      </w:r>
      <w:r/>
    </w:p>
    <w:p>
      <w:pPr>
        <w:ind w:firstLine="480"/>
        <w:spacing w:line="460" w:lineRule="exact"/>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 xml:space="preserve">1、时间：自招标文件公告发布之日起</w:t>
      </w:r>
      <w:r>
        <w:rPr>
          <w:rFonts w:hint="eastAsia" w:ascii="宋体" w:hAnsi="宋体" w:eastAsia="宋体" w:cs="宋体"/>
          <w:sz w:val="24"/>
          <w:szCs w:val="24"/>
          <w:lang w:val="en-US" w:eastAsia="zh-CN"/>
        </w:rPr>
        <w:t xml:space="preserve">五个工作日。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2、方式：在“苏采云政府采购一体化平台”自行免费下载招标文件。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（1）参与采购活动：</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（2）电子投标准备：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pStyle w:val="87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宋体" w:hAnsi="宋体" w:eastAsia="宋体" w:cs="宋体"/>
          <w:sz w:val="24"/>
          <w:szCs w:val="24"/>
        </w:rPr>
      </w:pPr>
      <w:r/>
      <w:bookmarkStart w:id="12" w:name="_Toc28359084"/>
      <w:r/>
      <w:bookmarkStart w:id="13" w:name="_Toc35393794"/>
      <w:r/>
      <w:bookmarkStart w:id="14" w:name="_Toc35393625"/>
      <w:r/>
      <w:bookmarkStart w:id="15" w:name="_Toc38985267"/>
      <w:r/>
      <w:bookmarkStart w:id="16" w:name="_Toc28359007"/>
      <w:r>
        <w:rPr>
          <w:rFonts w:hint="eastAsia" w:ascii="宋体" w:hAnsi="宋体" w:eastAsia="宋体" w:cs="宋体"/>
          <w:sz w:val="24"/>
          <w:szCs w:val="24"/>
        </w:rPr>
        <w:t xml:space="preserve">1、截止时间：</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日13点</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2、开标地点：苏采云系统网上开标大厅</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3、本项目采用电子化采购形式，</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应当按照《苏采云系统供应商操作手册》规定，须在投标截止时间前制作并上传电子响应文件至“苏采云”系统，否则视为放弃参加该采购项目。</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应充分考虑到网络环境、网络带宽等风险因素，如因</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自身原因造成的电子响应文件上传不成功由</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自行承担全部责任。</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4、本项目采用不见面开标，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登录“苏采云”系统在平台首页点击“开标大厅”，进入江苏省政府采购一体化不见面开标（采购）大厅，在今日项目列表，点击选择对应项目，进入不见面开标系统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并按系统提示完成开标流程。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请</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确保电脑、系统及其他设备（视频输入输出设备等）无误，且开启直至项目结束始终保持系统在线状态。</w:t>
      </w:r>
      <w:r/>
    </w:p>
    <w:p>
      <w:pPr>
        <w:pStyle w:val="87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五、公告期限</w:t>
      </w:r>
      <w:bookmarkEnd w:id="12"/>
      <w:r/>
      <w:bookmarkEnd w:id="13"/>
      <w:r/>
      <w:bookmarkEnd w:id="14"/>
      <w:r/>
      <w:bookmarkEnd w:id="15"/>
      <w:r/>
      <w:bookmarkEnd w:id="16"/>
      <w:r/>
      <w:r/>
    </w:p>
    <w:p>
      <w:pPr>
        <w:ind w:firstLine="480"/>
        <w:spacing w:line="460" w:lineRule="exact"/>
        <w:rPr>
          <w:rFonts w:hint="eastAsia" w:ascii="宋体" w:hAnsi="宋体" w:eastAsia="宋体" w:cs="宋体"/>
          <w:sz w:val="24"/>
          <w:szCs w:val="24"/>
        </w:rPr>
      </w:pPr>
      <w:r/>
      <w:bookmarkStart w:id="17" w:name="_Toc35393796"/>
      <w:r/>
      <w:bookmarkStart w:id="18" w:name="_Toc28359008"/>
      <w:r/>
      <w:bookmarkStart w:id="19" w:name="_Toc28359085"/>
      <w:r/>
      <w:bookmarkStart w:id="20" w:name="_Toc35393627"/>
      <w:r/>
      <w:bookmarkStart w:id="21" w:name="_Toc38985269"/>
      <w:r>
        <w:rPr>
          <w:rFonts w:hint="eastAsia" w:ascii="宋体" w:hAnsi="宋体" w:eastAsia="宋体" w:cs="宋体"/>
          <w:sz w:val="24"/>
          <w:szCs w:val="24"/>
        </w:rPr>
        <w:t xml:space="preserve">公告期限：自本公告发布之日起5个工作日。</w:t>
      </w:r>
      <w:r/>
    </w:p>
    <w:p>
      <w:pPr>
        <w:spacing w:line="440" w:lineRule="exact"/>
        <w:rPr>
          <w:rFonts w:hint="eastAsia" w:ascii="宋体" w:hAnsi="宋体" w:eastAsia="宋体" w:cs="宋体"/>
          <w:b/>
          <w:sz w:val="24"/>
          <w:szCs w:val="21"/>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1"/>
        </w:rPr>
        <w:t xml:space="preserve">其他补充事宜</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宋体" w:hAnsi="宋体" w:eastAsia="宋体" w:cs="宋体"/>
          <w:color w:val="000000"/>
          <w:sz w:val="24"/>
          <w:szCs w:val="24"/>
        </w:rPr>
        <w:t xml:space="preserve">投标人</w:t>
      </w:r>
      <w:r>
        <w:rPr>
          <w:rFonts w:hint="eastAsia" w:ascii="宋体" w:hAnsi="宋体" w:eastAsia="宋体" w:cs="宋体"/>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2、</w:t>
      </w: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在“苏采云”系统操作过程中如有疑问，请按以下方式联系：</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4、本次采购项目有关时间要求均以北京时间为标准，使用24小时制。</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5、本次招标不收取投标保证金。</w:t>
      </w:r>
      <w:r/>
    </w:p>
    <w:p>
      <w:pPr>
        <w:ind w:firstLine="480"/>
        <w:spacing w:line="440" w:lineRule="exact"/>
        <w:shd w:val="clear" w:color="auto" w:fill="ffffff"/>
        <w:rPr>
          <w:rFonts w:hint="eastAsia" w:ascii="宋体" w:hAnsi="宋体" w:eastAsia="宋体" w:cs="宋体"/>
          <w:sz w:val="24"/>
          <w:szCs w:val="22"/>
          <w:lang w:eastAsia="zh-CN"/>
        </w:rPr>
      </w:pPr>
      <w:r>
        <w:rPr>
          <w:rFonts w:hint="eastAsia" w:ascii="宋体" w:hAnsi="宋体" w:eastAsia="宋体" w:cs="宋体"/>
          <w:sz w:val="24"/>
          <w:szCs w:val="22"/>
        </w:rPr>
        <w:t xml:space="preserve">6、公告媒体：苏州市政府采购网、江苏政府采购网</w:t>
      </w:r>
      <w:r>
        <w:rPr>
          <w:rFonts w:hint="eastAsia" w:ascii="宋体" w:hAnsi="宋体" w:eastAsia="宋体" w:cs="宋体"/>
          <w:sz w:val="24"/>
          <w:szCs w:val="22"/>
          <w:lang w:eastAsia="zh-CN"/>
        </w:rPr>
        <w:t xml:space="preserve">。</w:t>
      </w:r>
      <w:r/>
    </w:p>
    <w:p>
      <w:pPr>
        <w:pStyle w:val="87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七、本次招标联系方式</w:t>
      </w:r>
      <w:bookmarkEnd w:id="17"/>
      <w:r/>
      <w:bookmarkEnd w:id="18"/>
      <w:r/>
      <w:bookmarkEnd w:id="19"/>
      <w:r/>
      <w:bookmarkEnd w:id="20"/>
      <w:r/>
      <w:bookmarkEnd w:id="21"/>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1、采购人信息</w:t>
      </w:r>
      <w:r/>
    </w:p>
    <w:p>
      <w:pPr>
        <w:ind w:firstLine="480"/>
        <w:spacing w:after="0" w:line="440" w:lineRule="exact"/>
        <w:widowControl w:val="off"/>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名    称：</w:t>
      </w:r>
      <w:r>
        <w:rPr>
          <w:rFonts w:hint="eastAsia" w:ascii="宋体" w:hAnsi="宋体" w:eastAsia="宋体" w:cs="宋体"/>
          <w:color w:val="000000"/>
          <w:sz w:val="24"/>
          <w:szCs w:val="32"/>
          <w:highlight w:val="none"/>
          <w:lang w:eastAsia="zh-CN"/>
        </w:rPr>
        <w:t xml:space="preserve">常熟市自然资源和规划局</w:t>
      </w:r>
      <w:r/>
    </w:p>
    <w:p>
      <w:pPr>
        <w:ind w:firstLine="480"/>
        <w:spacing w:after="0" w:line="440" w:lineRule="exact"/>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地    址：常熟市新世纪大道1079号</w:t>
      </w:r>
      <w:r/>
    </w:p>
    <w:p>
      <w:pPr>
        <w:ind w:firstLine="480"/>
        <w:spacing w:after="0" w:line="460" w:lineRule="exact"/>
        <w:widowControl w:val="off"/>
        <w:rPr>
          <w:rFonts w:hint="eastAsia" w:ascii="宋体" w:hAnsi="宋体" w:eastAsia="宋体" w:cs="宋体"/>
          <w:color w:val="000000"/>
          <w:sz w:val="24"/>
          <w:szCs w:val="32"/>
          <w:highlight w:val="none"/>
          <w:lang w:val="en-US"/>
        </w:rPr>
      </w:pPr>
      <w:r>
        <w:rPr>
          <w:rFonts w:hint="eastAsia" w:ascii="宋体" w:hAnsi="宋体" w:eastAsia="宋体" w:cs="宋体"/>
          <w:color w:val="000000"/>
          <w:sz w:val="24"/>
          <w:szCs w:val="32"/>
          <w:highlight w:val="none"/>
        </w:rPr>
        <w:t xml:space="preserve">联系方式：0512-52846</w:t>
      </w:r>
      <w:r>
        <w:rPr>
          <w:rFonts w:hint="eastAsia" w:ascii="宋体" w:hAnsi="宋体" w:eastAsia="宋体" w:cs="宋体"/>
          <w:color w:val="000000"/>
          <w:sz w:val="24"/>
          <w:szCs w:val="32"/>
          <w:highlight w:val="none"/>
          <w:lang w:val="en-US" w:eastAsia="zh-CN"/>
        </w:rPr>
        <w:t xml:space="preserve">059</w:t>
      </w:r>
      <w:r>
        <w:rPr>
          <w:rFonts w:hint="eastAsia" w:ascii="宋体" w:hAnsi="宋体" w:eastAsia="宋体" w:cs="宋体"/>
          <w:sz w:val="24"/>
          <w:szCs w:val="24"/>
          <w:highlight w:val="none"/>
          <w:lang w:val="en-US" w:eastAsia="zh-CN"/>
        </w:rPr>
        <w:t xml:space="preserve">（丁齐）</w:t>
      </w:r>
      <w:r/>
    </w:p>
    <w:p>
      <w:pPr>
        <w:ind w:firstLine="480"/>
        <w:spacing w:after="0" w:line="440" w:lineRule="exact"/>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2、采购代理机构信息</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名    称：江苏协诚工程咨询有限公司</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地    址：</w:t>
      </w:r>
      <w:r>
        <w:rPr>
          <w:rFonts w:hint="eastAsia" w:ascii="宋体" w:hAnsi="宋体" w:eastAsia="宋体" w:cs="宋体"/>
          <w:sz w:val="24"/>
          <w:szCs w:val="24"/>
        </w:rPr>
        <w:t xml:space="preserve">常熟市泰慈新村4号（衡丰家园北门对面）</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联系方式：0512-52213738（</w:t>
      </w:r>
      <w:r>
        <w:rPr>
          <w:rFonts w:hint="eastAsia" w:ascii="宋体" w:hAnsi="宋体" w:eastAsia="宋体" w:cs="宋体"/>
          <w:bCs/>
          <w:color w:val="000000"/>
          <w:sz w:val="24"/>
          <w:szCs w:val="32"/>
          <w:lang w:val="en-US" w:eastAsia="zh-CN"/>
        </w:rPr>
        <w:t xml:space="preserve">朱淑燕</w:t>
      </w:r>
      <w:r>
        <w:rPr>
          <w:rFonts w:hint="eastAsia" w:ascii="宋体" w:hAnsi="宋体" w:eastAsia="宋体" w:cs="宋体"/>
          <w:color w:val="000000"/>
          <w:sz w:val="24"/>
          <w:szCs w:val="32"/>
        </w:rPr>
        <w:t xml:space="preserve">）</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3、项目联系方式</w:t>
      </w:r>
      <w:r/>
    </w:p>
    <w:p>
      <w:pPr>
        <w:ind w:firstLine="480"/>
        <w:spacing w:after="0" w:line="440" w:lineRule="exact"/>
        <w:widowControl w:val="off"/>
        <w:rPr>
          <w:rFonts w:hint="eastAsia" w:ascii="宋体" w:hAnsi="宋体" w:eastAsia="宋体" w:cs="宋体"/>
          <w:bCs/>
          <w:color w:val="000000"/>
          <w:sz w:val="24"/>
          <w:szCs w:val="32"/>
          <w:lang w:val="en-US" w:eastAsia="zh-CN"/>
        </w:rPr>
      </w:pPr>
      <w:r>
        <w:rPr>
          <w:rFonts w:hint="eastAsia" w:ascii="宋体" w:hAnsi="宋体" w:eastAsia="宋体" w:cs="宋体"/>
          <w:color w:val="000000"/>
          <w:sz w:val="24"/>
          <w:szCs w:val="32"/>
        </w:rPr>
        <w:t xml:space="preserve">项目联系人：</w:t>
      </w:r>
      <w:r>
        <w:rPr>
          <w:rFonts w:hint="eastAsia" w:ascii="宋体" w:hAnsi="宋体" w:eastAsia="宋体" w:cs="宋体"/>
          <w:bCs/>
          <w:color w:val="000000"/>
          <w:sz w:val="24"/>
          <w:szCs w:val="32"/>
          <w:lang w:val="en-US" w:eastAsia="zh-CN"/>
        </w:rPr>
        <w:t xml:space="preserve">朱淑燕</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电    话：0512-52213738</w:t>
      </w:r>
      <w:r/>
    </w:p>
    <w:p>
      <w:pPr>
        <w:pStyle w:val="871"/>
        <w:ind w:right="84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871"/>
        <w:ind w:left="0" w:firstLine="2429"/>
        <w:jc w:val="both"/>
        <w:keepLines/>
        <w:keepNext/>
        <w:spacing w:before="260" w:beforeAutospacing="0" w:after="260" w:afterAutospacing="0" w:line="415"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2" w:name="_Toc120614211"/>
      <w:r/>
      <w:bookmarkStart w:id="23" w:name="_Toc11866"/>
      <w:r>
        <w:rPr>
          <w:rFonts w:hint="eastAsia" w:ascii="宋体" w:hAnsi="宋体" w:eastAsia="宋体" w:cs="宋体"/>
          <w:b/>
          <w:bCs/>
          <w:color w:val="000000"/>
          <w:sz w:val="44"/>
          <w:szCs w:val="44"/>
        </w:rPr>
        <w:t xml:space="preserve">第二章 </w:t>
      </w:r>
      <w:bookmarkEnd w:id="22"/>
      <w:r/>
      <w:bookmarkStart w:id="24" w:name="_Toc20823274"/>
      <w:r/>
      <w:bookmarkStart w:id="25" w:name="_Toc16938518"/>
      <w:r/>
      <w:bookmarkStart w:id="26" w:name="_Toc120614213"/>
      <w:r/>
      <w:bookmarkStart w:id="27" w:name="_Toc513029202"/>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rPr>
        <w:t xml:space="preserve">投标人须知</w:t>
      </w:r>
      <w:bookmarkEnd w:id="23"/>
      <w:r/>
      <w:bookmarkEnd w:id="24"/>
      <w:r/>
      <w:bookmarkEnd w:id="25"/>
      <w:r/>
      <w:bookmarkEnd w:id="26"/>
      <w:r/>
      <w:bookmarkEnd w:id="27"/>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28" w:name="_Toc513029203"/>
      <w:r/>
      <w:bookmarkStart w:id="29" w:name="_Toc120614214"/>
      <w:r/>
      <w:bookmarkStart w:id="30" w:name="_Toc16938519"/>
      <w:r/>
      <w:bookmarkStart w:id="31" w:name="_Toc20823275"/>
      <w:r/>
      <w:bookmarkStart w:id="32" w:name="_Toc158042189"/>
      <w:r/>
      <w:bookmarkStart w:id="33" w:name="_Toc2726"/>
      <w:r/>
      <w:bookmarkStart w:id="34" w:name="_Toc27918"/>
      <w:r/>
      <w:bookmarkStart w:id="35" w:name="_Hlt26670399"/>
      <w:r/>
      <w:bookmarkStart w:id="36" w:name="_Hlt26954739"/>
      <w:r/>
      <w:bookmarkStart w:id="37" w:name="_Hlt26954850"/>
      <w:r/>
      <w:bookmarkStart w:id="38" w:name="_Hlt16619475"/>
      <w:r/>
      <w:bookmarkStart w:id="39" w:name="_Hlt26954842"/>
      <w:r/>
      <w:bookmarkStart w:id="40" w:name="_Hlt26954846"/>
      <w:r/>
      <w:bookmarkStart w:id="41" w:name="_Hlt26954840"/>
      <w:r/>
      <w:bookmarkStart w:id="42" w:name="_Hlt26954734"/>
      <w:r/>
      <w:bookmarkStart w:id="43" w:name="_Hlt26954731"/>
      <w:r/>
      <w:bookmarkStart w:id="44" w:name="_Hlt26954848"/>
      <w:r/>
      <w:bookmarkStart w:id="45" w:name="_Hlt26670373"/>
      <w:r/>
      <w:bookmarkStart w:id="46" w:name="_Hlt26670425"/>
      <w:r/>
      <w:bookmarkStart w:id="47" w:name="_Hlt26954838"/>
      <w:r/>
      <w:bookmarkStart w:id="48" w:name="_Toc513029226"/>
      <w:r/>
      <w:bookmarkStart w:id="49" w:name="_Hlt26670403"/>
      <w:r/>
      <w:bookmarkStart w:id="50" w:name="_Hlt26954844"/>
      <w:r/>
      <w:bookmarkStart w:id="51" w:name="_Hlt26670486"/>
      <w:r/>
      <w:bookmarkStart w:id="52" w:name="_Hlt26668975"/>
      <w:r/>
      <w:bookmarkStart w:id="53" w:name="_Hlt26670482"/>
      <w:r/>
      <w:bookmarkStart w:id="54" w:name="_Hlt26670489"/>
      <w:r/>
      <w:bookmarkStart w:id="55" w:name="_Hlt26954852"/>
      <w:r/>
      <w:bookmarkStart w:id="56" w:name="_Hlt26670360"/>
      <w:r/>
      <w:bookmarkStart w:id="57" w:name="_Hlt26668983"/>
      <w:r>
        <w:rPr>
          <w:rFonts w:hint="eastAsia" w:ascii="宋体" w:hAnsi="宋体" w:eastAsia="宋体" w:cs="宋体"/>
          <w:b/>
          <w:bCs/>
          <w:sz w:val="28"/>
          <w:szCs w:val="28"/>
        </w:rPr>
        <w:t xml:space="preserve">一、总则</w:t>
      </w:r>
      <w:bookmarkEnd w:id="28"/>
      <w:r/>
      <w:bookmarkEnd w:id="29"/>
      <w:r/>
      <w:bookmarkEnd w:id="30"/>
      <w:r/>
      <w:bookmarkEnd w:id="31"/>
      <w:r/>
      <w:bookmarkEnd w:id="32"/>
      <w:r/>
      <w:bookmarkEnd w:id="33"/>
      <w:r/>
      <w:bookmarkEnd w:id="34"/>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58" w:name="_Toc458694821"/>
      <w:r/>
      <w:bookmarkStart w:id="59" w:name="_Toc513029204"/>
      <w:r/>
      <w:bookmarkStart w:id="60" w:name="_Toc16938520"/>
      <w:r/>
      <w:bookmarkStart w:id="61" w:name="_Toc20823276"/>
      <w:r>
        <w:rPr>
          <w:rFonts w:hint="eastAsia" w:ascii="宋体" w:hAnsi="宋体" w:eastAsia="宋体" w:cs="宋体"/>
          <w:b/>
          <w:bCs/>
          <w:sz w:val="28"/>
          <w:szCs w:val="28"/>
        </w:rPr>
        <w:t xml:space="preserve">1</w:t>
      </w:r>
      <w:bookmarkEnd w:id="58"/>
      <w:r>
        <w:rPr>
          <w:rFonts w:hint="eastAsia" w:ascii="宋体" w:hAnsi="宋体" w:eastAsia="宋体" w:cs="宋体"/>
          <w:b/>
          <w:bCs/>
          <w:sz w:val="28"/>
          <w:szCs w:val="28"/>
        </w:rPr>
        <w:t xml:space="preserve">、采购方式</w:t>
      </w:r>
      <w:bookmarkEnd w:id="59"/>
      <w:r/>
      <w:bookmarkEnd w:id="60"/>
      <w:r/>
      <w:bookmarkEnd w:id="61"/>
      <w:r>
        <w:rPr>
          <w:rFonts w:hint="eastAsia" w:ascii="宋体" w:hAnsi="宋体" w:eastAsia="宋体" w:cs="宋体"/>
          <w:b/>
          <w:bCs/>
          <w:sz w:val="28"/>
          <w:szCs w:val="28"/>
        </w:rPr>
        <w:t xml:space="preserve">及适用法律</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2、定义</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62" w:name="_Toc16938521"/>
      <w:r/>
      <w:bookmarkStart w:id="63" w:name="_Toc513029205"/>
      <w:r/>
      <w:bookmarkStart w:id="64" w:name="_Toc20823277"/>
      <w:r>
        <w:rPr>
          <w:rFonts w:hint="eastAsia" w:ascii="宋体" w:hAnsi="宋体" w:eastAsia="宋体" w:cs="宋体"/>
          <w:b/>
          <w:bCs/>
          <w:sz w:val="28"/>
          <w:szCs w:val="28"/>
        </w:rPr>
        <w:t xml:space="preserve">3、合格的投标人</w:t>
      </w:r>
      <w:bookmarkEnd w:id="62"/>
      <w:r/>
      <w:bookmarkEnd w:id="63"/>
      <w:r/>
      <w:bookmarkEnd w:id="64"/>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 满足招标公告中</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65" w:name="_Toc513029207"/>
      <w:r/>
      <w:bookmarkStart w:id="66" w:name="_Toc462564067"/>
      <w:r/>
      <w:bookmarkStart w:id="67" w:name="_Toc16938523"/>
      <w:r/>
      <w:bookmarkStart w:id="68" w:name="_Toc20823279"/>
      <w:r>
        <w:rPr>
          <w:rFonts w:hint="eastAsia" w:ascii="宋体" w:hAnsi="宋体" w:eastAsia="宋体" w:cs="宋体"/>
          <w:b/>
          <w:bCs/>
          <w:sz w:val="28"/>
          <w:szCs w:val="28"/>
        </w:rPr>
        <w:t xml:space="preserve">4、投标费用</w:t>
      </w:r>
      <w:bookmarkEnd w:id="65"/>
      <w:r/>
      <w:bookmarkEnd w:id="66"/>
      <w:r/>
      <w:bookmarkEnd w:id="67"/>
      <w:r/>
      <w:bookmarkEnd w:id="68"/>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 本次招标不收取采购文件工本费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4.3 采购代理服务费用：</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本项目中标服务费由中标人支付，在招标代理机构发中标通知书时由中标人向招标代理机构支付中标服务费</w:t>
      </w:r>
      <w:r>
        <w:rPr>
          <w:rFonts w:hint="eastAsia" w:ascii="宋体" w:hAnsi="宋体" w:eastAsia="宋体" w:cs="宋体"/>
          <w:color w:val="000000"/>
          <w:sz w:val="24"/>
          <w:szCs w:val="24"/>
          <w:highlight w:val="none"/>
        </w:rPr>
        <w:t xml:space="preserve">人民币</w:t>
      </w:r>
      <w:r>
        <w:rPr>
          <w:rFonts w:hint="eastAsia" w:ascii="宋体" w:hAnsi="宋体" w:eastAsia="宋体" w:cs="宋体"/>
          <w:b w:val="0"/>
          <w:bCs w:val="0"/>
          <w:color w:val="000000"/>
          <w:sz w:val="24"/>
          <w:szCs w:val="24"/>
          <w:highlight w:val="none"/>
          <w:lang w:val="en-US" w:eastAsia="zh-CN"/>
        </w:rPr>
        <w:t xml:space="preserve">壹万陆仟壹佰元整</w:t>
      </w:r>
      <w:r>
        <w:rPr>
          <w:rFonts w:hint="eastAsia" w:ascii="宋体" w:hAnsi="宋体" w:eastAsia="宋体" w:cs="宋体"/>
          <w:sz w:val="24"/>
          <w:szCs w:val="24"/>
          <w:highlight w:val="none"/>
        </w:rPr>
        <w:t xml:space="preserve">，一次性付清。</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5、招标文件的约束力</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69" w:name="_Toc20823281"/>
      <w:r/>
      <w:bookmarkStart w:id="70" w:name="_Toc30059"/>
      <w:r/>
      <w:bookmarkStart w:id="71" w:name="_Toc158042190"/>
      <w:r/>
      <w:bookmarkStart w:id="72" w:name="_Toc16938525"/>
      <w:r/>
      <w:bookmarkStart w:id="73" w:name="_Toc31536"/>
      <w:r/>
      <w:bookmarkStart w:id="74" w:name="_Toc513029209"/>
      <w:r/>
      <w:bookmarkStart w:id="75" w:name="_Toc120614215"/>
      <w:r>
        <w:rPr>
          <w:rFonts w:hint="eastAsia" w:ascii="宋体" w:hAnsi="宋体" w:eastAsia="宋体" w:cs="宋体"/>
          <w:b/>
          <w:bCs/>
          <w:sz w:val="28"/>
          <w:szCs w:val="28"/>
        </w:rPr>
        <w:t xml:space="preserve">二、招标文件</w:t>
      </w:r>
      <w:bookmarkEnd w:id="69"/>
      <w:r/>
      <w:bookmarkEnd w:id="70"/>
      <w:r/>
      <w:bookmarkEnd w:id="71"/>
      <w:r/>
      <w:bookmarkEnd w:id="72"/>
      <w:r/>
      <w:bookmarkEnd w:id="73"/>
      <w:r/>
      <w:bookmarkEnd w:id="74"/>
      <w:r/>
      <w:bookmarkEnd w:id="75"/>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76" w:name="_Toc20823282"/>
      <w:r/>
      <w:bookmarkStart w:id="77" w:name="_Toc16938526"/>
      <w:r/>
      <w:bookmarkStart w:id="78" w:name="_Toc513029210"/>
      <w:r>
        <w:rPr>
          <w:rFonts w:hint="eastAsia" w:ascii="宋体" w:hAnsi="宋体" w:eastAsia="宋体" w:cs="宋体"/>
          <w:b/>
          <w:bCs/>
          <w:sz w:val="28"/>
          <w:szCs w:val="28"/>
        </w:rPr>
        <w:t xml:space="preserve">6、招标文件构成</w:t>
      </w:r>
      <w:bookmarkEnd w:id="76"/>
      <w:r/>
      <w:bookmarkEnd w:id="77"/>
      <w:r/>
      <w:bookmarkEnd w:id="78"/>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（5）评</w:t>
      </w:r>
      <w:r>
        <w:rPr>
          <w:rFonts w:hint="eastAsia" w:ascii="宋体" w:hAnsi="宋体" w:eastAsia="宋体" w:cs="宋体"/>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79" w:name="_Toc462564070"/>
      <w:r/>
      <w:bookmarkStart w:id="80" w:name="_Toc513029211"/>
      <w:r/>
      <w:bookmarkStart w:id="81" w:name="_Toc16938527"/>
      <w:r/>
      <w:bookmarkStart w:id="82" w:name="_Toc20823283"/>
      <w:r>
        <w:rPr>
          <w:rFonts w:hint="eastAsia" w:ascii="宋体" w:hAnsi="宋体" w:eastAsia="宋体" w:cs="宋体"/>
          <w:b/>
          <w:bCs/>
          <w:sz w:val="28"/>
          <w:szCs w:val="28"/>
        </w:rPr>
        <w:t xml:space="preserve">7、招标文件的澄清、修改</w:t>
      </w:r>
      <w:r/>
    </w:p>
    <w:p>
      <w:pPr>
        <w:ind w:firstLine="48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7.1 出于实际需要或澄清投标人问题的情况下，代理机构可对已发出的招标文件进行必要的澄清或者修改，并将在指定媒体上发布。</w:t>
      </w:r>
      <w:r>
        <w:rPr>
          <w:rFonts w:hint="eastAsia" w:ascii="宋体" w:hAnsi="宋体" w:eastAsia="宋体" w:cs="宋体"/>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 有关澄清或者修改的内容将作为招标文件的组成部分，对所有投标人具有约束力。</w:t>
      </w:r>
      <w:bookmarkEnd w:id="79"/>
      <w:r/>
      <w:bookmarkEnd w:id="80"/>
      <w:r/>
      <w:bookmarkEnd w:id="81"/>
      <w:r/>
      <w:bookmarkEnd w:id="82"/>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83" w:name="_Toc513029213"/>
      <w:r/>
      <w:bookmarkStart w:id="84" w:name="_Toc20148"/>
      <w:r/>
      <w:bookmarkStart w:id="85" w:name="_Toc24040"/>
      <w:r/>
      <w:bookmarkStart w:id="86" w:name="_Toc462564072"/>
      <w:r/>
      <w:bookmarkStart w:id="87" w:name="_Toc158042191"/>
      <w:r/>
      <w:bookmarkStart w:id="88" w:name="_Toc20823285"/>
      <w:r/>
      <w:bookmarkStart w:id="89" w:name="_Toc120614216"/>
      <w:r/>
      <w:bookmarkStart w:id="90" w:name="_Toc16938529"/>
      <w:r>
        <w:rPr>
          <w:rFonts w:hint="eastAsia" w:ascii="宋体" w:hAnsi="宋体" w:eastAsia="宋体" w:cs="宋体"/>
          <w:b/>
          <w:bCs/>
          <w:sz w:val="28"/>
          <w:szCs w:val="28"/>
        </w:rPr>
        <w:t xml:space="preserve">三、投标文件的编制</w:t>
      </w:r>
      <w:bookmarkEnd w:id="83"/>
      <w:r/>
      <w:bookmarkEnd w:id="84"/>
      <w:r/>
      <w:bookmarkEnd w:id="85"/>
      <w:r/>
      <w:bookmarkEnd w:id="86"/>
      <w:r/>
      <w:bookmarkEnd w:id="87"/>
      <w:r/>
      <w:bookmarkEnd w:id="88"/>
      <w:r/>
      <w:bookmarkEnd w:id="89"/>
      <w:r/>
      <w:bookmarkEnd w:id="90"/>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91" w:name="_Toc20823286"/>
      <w:r/>
      <w:bookmarkStart w:id="92" w:name="_Toc16938530"/>
      <w:r/>
      <w:bookmarkStart w:id="93" w:name="_Toc462564073"/>
      <w:r/>
      <w:bookmarkStart w:id="94" w:name="_Toc513029214"/>
      <w:r>
        <w:rPr>
          <w:rFonts w:hint="eastAsia" w:ascii="宋体" w:hAnsi="宋体" w:eastAsia="宋体" w:cs="宋体"/>
          <w:b/>
          <w:bCs/>
          <w:sz w:val="28"/>
          <w:szCs w:val="28"/>
        </w:rPr>
        <w:t xml:space="preserve">8、投标文件的语言及度量衡单位</w:t>
      </w:r>
      <w:bookmarkEnd w:id="91"/>
      <w:r/>
      <w:bookmarkEnd w:id="92"/>
      <w:r/>
      <w:bookmarkEnd w:id="93"/>
      <w:r/>
      <w:bookmarkEnd w:id="94"/>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8.1 投标人提交的投标文件以及投标人与代理机构就有关投标的所有来往通知、函件和文件均应使用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95" w:name="_Toc20823287"/>
      <w:r/>
      <w:bookmarkStart w:id="96" w:name="_Toc513029215"/>
      <w:r/>
      <w:bookmarkStart w:id="97" w:name="_Toc462564074"/>
      <w:r/>
      <w:bookmarkStart w:id="98" w:name="_Toc16938531"/>
      <w:r>
        <w:rPr>
          <w:rFonts w:hint="eastAsia" w:ascii="宋体" w:hAnsi="宋体" w:eastAsia="宋体" w:cs="宋体"/>
          <w:b/>
          <w:bCs/>
          <w:sz w:val="28"/>
          <w:szCs w:val="28"/>
        </w:rPr>
        <w:t xml:space="preserve">9、投标文件构成</w:t>
      </w:r>
      <w:bookmarkEnd w:id="95"/>
      <w:r/>
      <w:bookmarkEnd w:id="96"/>
      <w:r/>
      <w:bookmarkEnd w:id="97"/>
      <w:r/>
      <w:bookmarkEnd w:id="98"/>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9.1 投标人编写的投标文件</w:t>
      </w:r>
      <w:r>
        <w:rPr>
          <w:rFonts w:hint="eastAsia" w:ascii="宋体" w:hAnsi="宋体" w:eastAsia="宋体" w:cs="宋体"/>
          <w:sz w:val="24"/>
          <w:szCs w:val="24"/>
          <w:highlight w:val="none"/>
        </w:rPr>
        <w:t xml:space="preserve">应包括资格证明文件、开标一览表、投标函、投入费用明细表、项目</w:t>
      </w:r>
      <w:r>
        <w:rPr>
          <w:rFonts w:hint="eastAsia" w:ascii="宋体" w:hAnsi="宋体" w:eastAsia="宋体" w:cs="宋体"/>
          <w:sz w:val="24"/>
          <w:szCs w:val="24"/>
          <w:highlight w:val="none"/>
          <w:lang w:val="en-US" w:eastAsia="zh-CN"/>
        </w:rPr>
        <w:t xml:space="preserve">组成员一览表、服务</w:t>
      </w:r>
      <w:r>
        <w:rPr>
          <w:rFonts w:hint="eastAsia" w:ascii="宋体" w:hAnsi="宋体" w:eastAsia="宋体" w:cs="宋体"/>
          <w:sz w:val="24"/>
          <w:szCs w:val="24"/>
          <w:highlight w:val="none"/>
        </w:rPr>
        <w:t xml:space="preserve">（或商务）要求响应及偏离表、项目</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方案、业绩情况、其他证明文件等部分。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99" w:name="_Toc49090509"/>
      <w:r/>
      <w:bookmarkStart w:id="100" w:name="_Toc49090507"/>
      <w:r/>
      <w:bookmarkStart w:id="101" w:name="_Toc14577357"/>
      <w:r/>
      <w:bookmarkStart w:id="102" w:name="_Toc513029216"/>
      <w:r/>
      <w:bookmarkStart w:id="103" w:name="_Toc513029219"/>
      <w:r/>
      <w:bookmarkStart w:id="104" w:name="_Toc14577354"/>
      <w:r/>
      <w:bookmarkStart w:id="105" w:name="_Toc14577355"/>
      <w:r/>
      <w:bookmarkStart w:id="106" w:name="_Toc49090508"/>
      <w:r>
        <w:rPr>
          <w:rFonts w:hint="eastAsia" w:ascii="宋体" w:hAnsi="宋体" w:eastAsia="宋体" w:cs="宋体"/>
          <w:b/>
          <w:bCs/>
          <w:sz w:val="28"/>
          <w:szCs w:val="28"/>
        </w:rPr>
        <w:t xml:space="preserve">10、证明投标人及投标标的符合招标文件规定的文件</w:t>
      </w:r>
      <w:bookmarkEnd w:id="99"/>
      <w:r/>
      <w:bookmarkEnd w:id="100"/>
      <w:r/>
      <w:bookmarkEnd w:id="101"/>
      <w:r/>
      <w:bookmarkEnd w:id="102"/>
      <w:r/>
      <w:bookmarkEnd w:id="103"/>
      <w:r/>
      <w:bookmarkEnd w:id="104"/>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招标文件对证明文件无明确形式要求的，证明文件可以以文字资料、图纸和数据等形式提交。</w:t>
      </w:r>
      <w:bookmarkEnd w:id="105"/>
      <w:r/>
      <w:bookmarkEnd w:id="106"/>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11、投标函</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投标人应按照招标文件中提供的格式完整、正确填写投标函。</w:t>
      </w:r>
      <w:r/>
    </w:p>
    <w:p>
      <w:pPr>
        <w:ind w:firstLine="281"/>
        <w:keepLines w:val="0"/>
        <w:keepNext w:val="0"/>
        <w:pageBreakBefore w:val="0"/>
        <w:spacing w:line="440" w:lineRule="exact"/>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12、开标一览表</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投入费用明细表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投标人应按照招标文件规定格式填报</w:t>
      </w:r>
      <w:r>
        <w:rPr>
          <w:rFonts w:hint="eastAsia" w:ascii="宋体" w:hAnsi="宋体" w:eastAsia="宋体" w:cs="宋体"/>
          <w:sz w:val="24"/>
          <w:szCs w:val="24"/>
          <w:lang w:val="en-US" w:eastAsia="zh-CN"/>
        </w:rPr>
        <w:t xml:space="preserve">开标一览表、投入费用明细表</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投标货币。投标文件中的单价和总价无特殊规定的采用人民币报价，以元为单位标注。招标文件中另有规定的按规定执行。</w:t>
      </w:r>
      <w:r/>
    </w:p>
    <w:p>
      <w:pPr>
        <w:ind w:firstLine="480"/>
        <w:keepLines w:val="0"/>
        <w:keepNext w:val="0"/>
        <w:pageBreakBefore w:val="0"/>
        <w:spacing w:line="440" w:lineRule="exact"/>
        <w:widowControl w:val="off"/>
        <w:rPr>
          <w:rFonts w:hint="eastAsia" w:ascii="宋体" w:hAnsi="宋体" w:eastAsia="宋体" w:cs="宋体"/>
          <w:lang w:val="en-US" w:eastAsia="zh-CN"/>
        </w:rPr>
      </w:pPr>
      <w:r>
        <w:rPr>
          <w:rFonts w:hint="eastAsia" w:ascii="宋体" w:hAnsi="宋体" w:eastAsia="宋体" w:cs="宋体"/>
          <w:sz w:val="24"/>
          <w:szCs w:val="24"/>
          <w:lang w:val="en-US" w:eastAsia="zh-CN"/>
        </w:rPr>
        <w:t xml:space="preserve">12.3</w:t>
      </w:r>
      <w:r>
        <w:rPr>
          <w:rFonts w:hint="eastAsia" w:ascii="宋体" w:hAnsi="宋体" w:eastAsia="宋体" w:cs="宋体"/>
          <w:sz w:val="24"/>
          <w:szCs w:val="24"/>
        </w:rPr>
        <w:t xml:space="preserve">对于采用货币报价的项目，开标一览表中的投标总报价应与</w:t>
      </w:r>
      <w:r>
        <w:rPr>
          <w:rFonts w:hint="eastAsia" w:ascii="宋体" w:hAnsi="宋体" w:eastAsia="宋体" w:cs="宋体"/>
          <w:sz w:val="24"/>
          <w:szCs w:val="24"/>
          <w:lang w:val="en-US" w:eastAsia="zh-CN"/>
        </w:rPr>
        <w:t xml:space="preserve">投入费用明细表</w:t>
      </w:r>
      <w:r>
        <w:rPr>
          <w:rFonts w:hint="eastAsia" w:ascii="宋体" w:hAnsi="宋体" w:eastAsia="宋体" w:cs="宋体"/>
          <w:sz w:val="24"/>
          <w:szCs w:val="24"/>
        </w:rPr>
        <w:t xml:space="preserve">中</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highlight w:val="none"/>
          <w:lang w:val="en-US" w:eastAsia="zh-CN"/>
        </w:rPr>
        <w:t xml:space="preserve">合计费用</w:t>
      </w:r>
      <w:r>
        <w:rPr>
          <w:rFonts w:hint="eastAsia" w:ascii="宋体" w:hAnsi="宋体" w:eastAsia="宋体" w:cs="宋体"/>
          <w:sz w:val="24"/>
          <w:szCs w:val="24"/>
          <w:highlight w:val="none"/>
        </w:rPr>
        <w:t xml:space="preserve">一致，如不一致不作为无效投标处理，但评标时按开标一览表中价格为准。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07" w:name="_Hlk155763835"/>
      <w:r>
        <w:rPr>
          <w:rFonts w:hint="eastAsia" w:ascii="宋体" w:hAnsi="宋体" w:eastAsia="宋体" w:cs="宋体"/>
          <w:b/>
          <w:bCs/>
          <w:sz w:val="28"/>
          <w:szCs w:val="28"/>
        </w:rPr>
        <w:t xml:space="preserve">13、服务、商务要求响应及偏离表</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13.1</w:t>
      </w:r>
      <w:r>
        <w:rPr>
          <w:rFonts w:hint="eastAsia" w:ascii="宋体" w:hAnsi="宋体" w:eastAsia="宋体" w:cs="宋体"/>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13.2</w:t>
      </w:r>
      <w:r>
        <w:rPr>
          <w:rFonts w:hint="eastAsia" w:ascii="宋体" w:hAnsi="宋体" w:eastAsia="宋体" w:cs="宋体"/>
          <w:sz w:val="24"/>
          <w:szCs w:val="24"/>
          <w:lang w:val="zh-CN"/>
        </w:rPr>
        <w:t xml:space="preserve"> 投标人需按照招标文件要求，在投标文件中提供与服务要求和商务要求相关的证明材料。</w:t>
      </w:r>
      <w:bookmarkEnd w:id="107"/>
      <w:r>
        <w:rPr>
          <w:rFonts w:hint="eastAsia" w:ascii="宋体" w:hAnsi="宋体" w:eastAsia="宋体" w:cs="宋体"/>
          <w:sz w:val="24"/>
          <w:szCs w:val="24"/>
          <w:lang w:val="zh-CN"/>
        </w:rPr>
        <w:t xml:space="preserve">（如有）</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14、项目服务方案、项目组人员一览表、业绩情况</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 投标人需根据招标文件要求提供有关项目服务方案和项目组人员一览表等</w:t>
      </w:r>
      <w:r>
        <w:rPr>
          <w:rFonts w:hint="eastAsia" w:ascii="宋体" w:hAnsi="宋体" w:eastAsia="宋体" w:cs="宋体"/>
          <w:sz w:val="24"/>
          <w:szCs w:val="24"/>
          <w:lang w:val="en-US" w:eastAsia="zh-CN"/>
        </w:rPr>
        <w:t xml:space="preserve">进行说明</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 投标人需根据招标文件要求提供实施的类似项目业绩情况。</w:t>
      </w:r>
      <w:bookmarkStart w:id="108" w:name="_Toc14577359"/>
      <w:r/>
      <w:bookmarkStart w:id="109" w:name="_Toc49090510"/>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15、其他</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投标人需根据招标文件要求提供的其他证明材料。</w:t>
      </w:r>
      <w:bookmarkEnd w:id="108"/>
      <w:r/>
      <w:bookmarkEnd w:id="109"/>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10" w:name="_Toc49090511"/>
      <w:r/>
      <w:bookmarkStart w:id="111" w:name="_Toc14577360"/>
      <w:r>
        <w:rPr>
          <w:rFonts w:hint="eastAsia" w:ascii="宋体" w:hAnsi="宋体" w:eastAsia="宋体" w:cs="宋体"/>
          <w:b/>
          <w:bCs/>
          <w:sz w:val="28"/>
          <w:szCs w:val="28"/>
        </w:rPr>
        <w:t xml:space="preserve">16、投标有效期</w:t>
      </w:r>
      <w:bookmarkEnd w:id="110"/>
      <w:r/>
      <w:bookmarkEnd w:id="111"/>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17、投标有效期的延长</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12" w:name="_Toc13920"/>
      <w:r/>
      <w:bookmarkStart w:id="113" w:name="_Toc513029224"/>
      <w:r/>
      <w:bookmarkStart w:id="114" w:name="_Toc1132"/>
      <w:r/>
      <w:bookmarkStart w:id="115" w:name="_Toc16938540"/>
      <w:r/>
      <w:bookmarkStart w:id="116" w:name="_Toc158042192"/>
      <w:r/>
      <w:bookmarkStart w:id="117" w:name="_Toc120614217"/>
      <w:r/>
      <w:bookmarkStart w:id="118" w:name="_Toc20823296"/>
      <w:r>
        <w:rPr>
          <w:rFonts w:hint="eastAsia" w:ascii="宋体" w:hAnsi="宋体" w:eastAsia="宋体" w:cs="宋体"/>
          <w:b/>
          <w:bCs/>
          <w:sz w:val="28"/>
          <w:szCs w:val="28"/>
        </w:rPr>
        <w:t xml:space="preserve">四、投标文件的递交</w:t>
      </w:r>
      <w:bookmarkEnd w:id="112"/>
      <w:r/>
      <w:bookmarkEnd w:id="113"/>
      <w:r/>
      <w:bookmarkEnd w:id="114"/>
      <w:r/>
      <w:bookmarkEnd w:id="115"/>
      <w:r/>
      <w:bookmarkEnd w:id="116"/>
      <w:r/>
      <w:bookmarkEnd w:id="117"/>
      <w:r/>
      <w:bookmarkEnd w:id="118"/>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19" w:name="_Toc16938541"/>
      <w:r/>
      <w:bookmarkStart w:id="120" w:name="_Toc462564084"/>
      <w:r/>
      <w:bookmarkStart w:id="121" w:name="_Toc20823297"/>
      <w:r/>
      <w:bookmarkStart w:id="122" w:name="_Toc513029225"/>
      <w:r>
        <w:rPr>
          <w:rFonts w:hint="eastAsia" w:ascii="宋体" w:hAnsi="宋体" w:eastAsia="宋体" w:cs="宋体"/>
          <w:b/>
          <w:bCs/>
          <w:sz w:val="28"/>
          <w:szCs w:val="28"/>
        </w:rPr>
        <w:t xml:space="preserve">18、电子投标文件</w:t>
      </w:r>
      <w:bookmarkEnd w:id="119"/>
      <w:r/>
      <w:bookmarkEnd w:id="120"/>
      <w:r/>
      <w:bookmarkEnd w:id="121"/>
      <w:r/>
      <w:bookmarkEnd w:id="122"/>
      <w:r>
        <w:rPr>
          <w:rFonts w:hint="eastAsia" w:ascii="宋体" w:hAnsi="宋体" w:eastAsia="宋体" w:cs="宋体"/>
          <w:b/>
          <w:bCs/>
          <w:sz w:val="28"/>
          <w:szCs w:val="28"/>
        </w:rPr>
        <w:t xml:space="preserve">的递交</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投标人应当按照《苏采云系统供应商操作手册》规定，在投标截止时间前制作并上传电子投标文件。</w:t>
      </w:r>
      <w:bookmarkStart w:id="123" w:name="_Toc16938542"/>
      <w:r/>
      <w:bookmarkStart w:id="124" w:name="_Toc20823298"/>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19、投标截止日期</w:t>
      </w:r>
      <w:bookmarkEnd w:id="123"/>
      <w:r/>
      <w:bookmarkEnd w:id="124"/>
      <w:r/>
      <w:r/>
    </w:p>
    <w:p>
      <w:pPr>
        <w:ind w:firstLine="480"/>
        <w:keepLines w:val="0"/>
        <w:keepNext w:val="0"/>
        <w:pageBreakBefore w:val="0"/>
        <w:spacing w:line="440" w:lineRule="exact"/>
        <w:widowControl w:val="off"/>
        <w:rPr>
          <w:rFonts w:hint="eastAsia" w:ascii="宋体" w:hAnsi="宋体" w:eastAsia="宋体" w:cs="宋体"/>
          <w:i/>
          <w:iCs/>
          <w:sz w:val="24"/>
          <w:szCs w:val="24"/>
        </w:rPr>
      </w:pPr>
      <w:r>
        <w:rPr>
          <w:rFonts w:hint="eastAsia" w:ascii="宋体" w:hAnsi="宋体" w:eastAsia="宋体" w:cs="宋体"/>
          <w:i/>
          <w:iCs/>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25" w:name="_Toc513029227"/>
      <w:r/>
      <w:bookmarkStart w:id="126" w:name="_Toc20823299"/>
      <w:r/>
      <w:bookmarkStart w:id="127" w:name="_Toc16938543"/>
      <w:r>
        <w:rPr>
          <w:rFonts w:hint="eastAsia" w:ascii="宋体" w:hAnsi="宋体" w:eastAsia="宋体" w:cs="宋体"/>
          <w:b/>
          <w:bCs/>
          <w:sz w:val="28"/>
          <w:szCs w:val="28"/>
        </w:rPr>
        <w:t xml:space="preserve">20、投标文件</w:t>
      </w:r>
      <w:bookmarkEnd w:id="125"/>
      <w:r/>
      <w:bookmarkEnd w:id="126"/>
      <w:r/>
      <w:bookmarkEnd w:id="127"/>
      <w:r>
        <w:rPr>
          <w:rFonts w:hint="eastAsia" w:ascii="宋体" w:hAnsi="宋体" w:eastAsia="宋体" w:cs="宋体"/>
          <w:b/>
          <w:bCs/>
          <w:sz w:val="28"/>
          <w:szCs w:val="28"/>
        </w:rPr>
        <w:t xml:space="preserve">的拒收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28" w:name="_Toc513029228"/>
      <w:r/>
      <w:bookmarkStart w:id="129" w:name="_Toc16938544"/>
      <w:r/>
      <w:bookmarkStart w:id="130" w:name="_Toc20823300"/>
      <w:r>
        <w:rPr>
          <w:rFonts w:hint="eastAsia" w:ascii="宋体" w:hAnsi="宋体" w:eastAsia="宋体" w:cs="宋体"/>
          <w:b/>
          <w:bCs/>
          <w:sz w:val="28"/>
          <w:szCs w:val="28"/>
        </w:rPr>
        <w:t xml:space="preserve">21、投标文件的撤回和修改</w:t>
      </w:r>
      <w:bookmarkEnd w:id="128"/>
      <w:r/>
      <w:bookmarkEnd w:id="129"/>
      <w:r/>
      <w:bookmarkEnd w:id="130"/>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31" w:name="_Toc16938545"/>
      <w:r/>
      <w:bookmarkStart w:id="132" w:name="_Toc20823301"/>
      <w:r/>
      <w:bookmarkStart w:id="133" w:name="_Toc29470"/>
      <w:r/>
      <w:bookmarkStart w:id="134" w:name="_Toc513029229"/>
      <w:r/>
      <w:bookmarkStart w:id="135" w:name="_Toc13162"/>
      <w:r/>
      <w:bookmarkStart w:id="136" w:name="_Toc120614218"/>
      <w:r/>
      <w:bookmarkStart w:id="137" w:name="_Toc158042193"/>
      <w:r>
        <w:rPr>
          <w:rFonts w:hint="eastAsia" w:ascii="宋体" w:hAnsi="宋体" w:eastAsia="宋体" w:cs="宋体"/>
          <w:b/>
          <w:bCs/>
          <w:sz w:val="28"/>
          <w:szCs w:val="28"/>
        </w:rPr>
        <w:t xml:space="preserve">五、开标与评标</w:t>
      </w:r>
      <w:bookmarkEnd w:id="131"/>
      <w:r/>
      <w:bookmarkEnd w:id="132"/>
      <w:r/>
      <w:bookmarkEnd w:id="133"/>
      <w:r/>
      <w:bookmarkEnd w:id="134"/>
      <w:r/>
      <w:bookmarkEnd w:id="135"/>
      <w:r/>
      <w:bookmarkEnd w:id="136"/>
      <w:r/>
      <w:bookmarkEnd w:id="137"/>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38" w:name="_Toc16938546"/>
      <w:r/>
      <w:bookmarkStart w:id="139" w:name="_Toc20823302"/>
      <w:r/>
      <w:bookmarkStart w:id="140" w:name="_Toc513029230"/>
      <w:r>
        <w:rPr>
          <w:rFonts w:hint="eastAsia" w:ascii="宋体" w:hAnsi="宋体" w:eastAsia="宋体" w:cs="宋体"/>
          <w:b/>
          <w:bCs/>
          <w:sz w:val="28"/>
          <w:szCs w:val="28"/>
        </w:rPr>
        <w:t xml:space="preserve">22、开标</w:t>
      </w:r>
      <w:bookmarkEnd w:id="138"/>
      <w:r/>
      <w:bookmarkEnd w:id="139"/>
      <w:r/>
      <w:bookmarkEnd w:id="140"/>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投标人在开标过程中涉及到的投标文件解密、开标结果确认等工作，应按照《苏采云系统供应商操作手册》规定执行。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41" w:name="_Toc20823303"/>
      <w:r/>
      <w:bookmarkStart w:id="142" w:name="_Toc513029231"/>
      <w:r/>
      <w:bookmarkStart w:id="143" w:name="_Toc16938547"/>
      <w:r>
        <w:rPr>
          <w:rFonts w:hint="eastAsia" w:ascii="宋体" w:hAnsi="宋体" w:eastAsia="宋体" w:cs="宋体"/>
          <w:b/>
          <w:bCs/>
          <w:sz w:val="28"/>
          <w:szCs w:val="28"/>
        </w:rPr>
        <w:t xml:space="preserve">23、评标委员会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评委会独立工作，负责评审所有投标文件并确定中标侯选人。</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24．评标过程的保密与公正</w:t>
      </w:r>
      <w:bookmarkEnd w:id="141"/>
      <w:r/>
      <w:bookmarkEnd w:id="142"/>
      <w:r/>
      <w:bookmarkEnd w:id="143"/>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44" w:name="_Toc20823304"/>
      <w:r/>
      <w:bookmarkStart w:id="145" w:name="_Toc16938548"/>
      <w:r/>
      <w:bookmarkStart w:id="146" w:name="_Toc513029232"/>
      <w:r>
        <w:rPr>
          <w:rFonts w:hint="eastAsia" w:ascii="宋体" w:hAnsi="宋体" w:eastAsia="宋体" w:cs="宋体"/>
          <w:b/>
          <w:bCs/>
          <w:sz w:val="28"/>
          <w:szCs w:val="28"/>
        </w:rPr>
        <w:t xml:space="preserve">25．投标文件的澄清</w:t>
      </w:r>
      <w:bookmarkEnd w:id="144"/>
      <w:r/>
      <w:bookmarkEnd w:id="145"/>
      <w:r/>
      <w:bookmarkEnd w:id="146"/>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47" w:name="_Toc513029233"/>
      <w:r/>
      <w:bookmarkStart w:id="148" w:name="_Toc20823305"/>
      <w:r/>
      <w:bookmarkStart w:id="149" w:name="_Toc16938549"/>
      <w:r>
        <w:rPr>
          <w:rFonts w:hint="eastAsia" w:ascii="宋体" w:hAnsi="宋体" w:eastAsia="宋体" w:cs="宋体"/>
          <w:sz w:val="24"/>
          <w:szCs w:val="24"/>
        </w:rPr>
        <w:t xml:space="preserve">25.1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需要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进行澄清、说明和补正的，评委会将通过苏采云系统向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 接到评委会澄清、说明和补正要求的投标人如未按规定做出澄清、说明和补正，其风险由投标人自行承担。</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26、对投标文件的初审</w:t>
      </w:r>
      <w:bookmarkEnd w:id="147"/>
      <w:r/>
      <w:bookmarkEnd w:id="148"/>
      <w:r/>
      <w:bookmarkEnd w:id="149"/>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采购人在进行资格性审查的同时，将在“信用中国”网站（www.creditchina.gov.cn）等查询投标人的信用记录，以确定投标人是否具备投标资格,查询结果留存并归档。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的身份共同参加政府采购活动的,联合体成员中任何一方存在不良信用记录的，视同联合体存在不良应用记录。</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w:t>
      </w:r>
      <w:r>
        <w:rPr>
          <w:rFonts w:hint="eastAsia" w:ascii="宋体" w:hAnsi="宋体" w:eastAsia="宋体" w:cs="宋体"/>
          <w:sz w:val="24"/>
          <w:szCs w:val="24"/>
          <w:lang w:val="en-US" w:eastAsia="zh-CN"/>
        </w:rPr>
        <w:t xml:space="preserve">符</w:t>
      </w:r>
      <w:r>
        <w:rPr>
          <w:rFonts w:hint="eastAsia" w:ascii="宋体" w:hAnsi="宋体" w:eastAsia="宋体" w:cs="宋体"/>
          <w:sz w:val="24"/>
          <w:szCs w:val="24"/>
        </w:rPr>
        <w:t xml:space="preserve">合要求的偏离或保留而使其投标成为实质性响应的投标。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50" w:name="_Toc20823306"/>
      <w:r/>
      <w:bookmarkStart w:id="151" w:name="_Toc16938550"/>
      <w:r/>
      <w:bookmarkStart w:id="152" w:name="_Toc513029234"/>
      <w:r>
        <w:rPr>
          <w:rFonts w:hint="eastAsia" w:ascii="宋体" w:hAnsi="宋体" w:eastAsia="宋体" w:cs="宋体"/>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26.7投标人在开、评标全过程中应保持通讯畅通，及时登录苏采云系统查阅、答复相关信息，并安排专人与代理机构及评委会联系。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27、</w:t>
      </w:r>
      <w:bookmarkEnd w:id="150"/>
      <w:r/>
      <w:bookmarkEnd w:id="151"/>
      <w:r/>
      <w:bookmarkEnd w:id="152"/>
      <w:r>
        <w:rPr>
          <w:rFonts w:hint="eastAsia" w:ascii="宋体" w:hAnsi="宋体" w:eastAsia="宋体" w:cs="宋体"/>
          <w:b/>
          <w:bCs/>
          <w:sz w:val="28"/>
          <w:szCs w:val="28"/>
        </w:rPr>
        <w:t xml:space="preserve">无效投标条款和废标条款</w:t>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53" w:name="_Toc513029235"/>
      <w:r/>
      <w:bookmarkStart w:id="154" w:name="_Toc20823307"/>
      <w:r/>
      <w:bookmarkStart w:id="155" w:name="_Toc16938551"/>
      <w:r>
        <w:rPr>
          <w:rFonts w:hint="eastAsia" w:ascii="宋体" w:hAnsi="宋体" w:eastAsia="宋体" w:cs="宋体"/>
          <w:sz w:val="24"/>
          <w:szCs w:val="24"/>
        </w:rPr>
        <w:t xml:space="preserve">27.1无效投标条款</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未通过符合性审查的。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i/>
          <w:iCs/>
          <w:sz w:val="24"/>
          <w:szCs w:val="24"/>
        </w:rPr>
        <w:t xml:space="preserve">（本招标文件中斜体且有下划线部分为实质性要求和条件）。</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27.1.9 投标文件含有采购人不能接受的附加条件的。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27.1.12 投标文件未按照招标文件要求加盖CA电子公章的。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27.1.13 </w:t>
      </w:r>
      <w:r>
        <w:rPr>
          <w:rFonts w:hint="eastAsia" w:ascii="宋体" w:hAnsi="宋体" w:eastAsia="宋体" w:cs="宋体"/>
          <w:bCs/>
          <w:color w:val="000000"/>
          <w:sz w:val="24"/>
          <w:szCs w:val="21"/>
        </w:rPr>
        <w:t xml:space="preserve">未通过异常低价审查的</w:t>
      </w:r>
      <w:r>
        <w:rPr>
          <w:rFonts w:hint="eastAsia" w:ascii="宋体" w:hAnsi="宋体" w:eastAsia="宋体" w:cs="宋体"/>
          <w:bCs/>
          <w:color w:val="000000"/>
          <w:sz w:val="24"/>
          <w:szCs w:val="21"/>
          <w:lang w:eastAsia="zh-CN"/>
        </w:rPr>
        <w:t xml:space="preserve">。</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14 </w:t>
      </w:r>
      <w:r>
        <w:rPr>
          <w:rFonts w:hint="eastAsia" w:ascii="宋体" w:hAnsi="宋体" w:eastAsia="宋体" w:cs="宋体"/>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27.2废标条款</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符合专业条件的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或者对招标文件作实质响应的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不足</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家的。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因重大变故，采购任务取消的。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27.2.5 因苏采云系统系统故障原因造成开标不成功的。</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 投标截止时间结束后参加投标的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不足</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家的处理：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如出现投标截止时间结束后参加投标的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或者在评标期间对招标文件做出实质响应的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不足</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家情况，按政府采购相关规定执行。</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56" w:name="_Toc13988"/>
      <w:r/>
      <w:bookmarkStart w:id="157" w:name="_Toc158042194"/>
      <w:r/>
      <w:bookmarkStart w:id="158" w:name="_Toc120614219"/>
      <w:r/>
      <w:bookmarkStart w:id="159" w:name="_Toc21295"/>
      <w:r>
        <w:rPr>
          <w:rFonts w:hint="eastAsia" w:ascii="宋体" w:hAnsi="宋体" w:eastAsia="宋体" w:cs="宋体"/>
          <w:b/>
          <w:bCs/>
          <w:sz w:val="28"/>
          <w:szCs w:val="28"/>
        </w:rPr>
        <w:t xml:space="preserve">六、</w:t>
      </w:r>
      <w:bookmarkEnd w:id="153"/>
      <w:r/>
      <w:bookmarkEnd w:id="154"/>
      <w:r/>
      <w:bookmarkEnd w:id="155"/>
      <w:r>
        <w:rPr>
          <w:rFonts w:hint="eastAsia" w:ascii="宋体" w:hAnsi="宋体" w:eastAsia="宋体" w:cs="宋体"/>
          <w:b/>
          <w:bCs/>
          <w:sz w:val="28"/>
          <w:szCs w:val="28"/>
        </w:rPr>
        <w:t xml:space="preserve">定标</w:t>
      </w:r>
      <w:bookmarkEnd w:id="156"/>
      <w:r/>
      <w:bookmarkEnd w:id="157"/>
      <w:r/>
      <w:bookmarkEnd w:id="158"/>
      <w:r/>
      <w:bookmarkEnd w:id="159"/>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60" w:name="_Toc513029238"/>
      <w:r/>
      <w:bookmarkStart w:id="161" w:name="_Toc20823310"/>
      <w:r/>
      <w:bookmarkStart w:id="162" w:name="_Toc16938554"/>
      <w:r>
        <w:rPr>
          <w:rFonts w:hint="eastAsia" w:ascii="宋体" w:hAnsi="宋体" w:eastAsia="宋体" w:cs="宋体"/>
          <w:b/>
          <w:bCs/>
          <w:sz w:val="28"/>
          <w:szCs w:val="28"/>
        </w:rPr>
        <w:t xml:space="preserve">28、</w:t>
      </w:r>
      <w:bookmarkEnd w:id="160"/>
      <w:r>
        <w:rPr>
          <w:rFonts w:hint="eastAsia" w:ascii="宋体" w:hAnsi="宋体" w:eastAsia="宋体" w:cs="宋体"/>
          <w:b/>
          <w:bCs/>
          <w:sz w:val="28"/>
          <w:szCs w:val="28"/>
        </w:rPr>
        <w:t xml:space="preserve">确定</w:t>
      </w:r>
      <w:bookmarkEnd w:id="161"/>
      <w:r/>
      <w:bookmarkEnd w:id="162"/>
      <w:r>
        <w:rPr>
          <w:rFonts w:hint="eastAsia" w:ascii="宋体" w:hAnsi="宋体" w:eastAsia="宋体" w:cs="宋体"/>
          <w:b/>
          <w:bCs/>
          <w:sz w:val="28"/>
          <w:szCs w:val="28"/>
        </w:rPr>
        <w:t xml:space="preserve">中标单位</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中标候选人的选取原则和数量见招标文件第五章规定。 </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28.2 </w:t>
      </w:r>
      <w:r>
        <w:rPr>
          <w:rFonts w:hint="eastAsia" w:ascii="宋体" w:hAnsi="宋体" w:eastAsia="宋体" w:cs="宋体"/>
          <w:color w:val="000000"/>
          <w:sz w:val="24"/>
          <w:szCs w:val="24"/>
          <w:highlight w:val="none"/>
        </w:rPr>
        <w:t xml:space="preserve">评委会根据排列情况将推荐每个</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rPr>
        <w:t xml:space="preserve">的中标候选人，并根据采购人委托直接确定每个</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rPr>
        <w:t xml:space="preserve">中标人</w:t>
      </w:r>
      <w:r>
        <w:rPr>
          <w:rFonts w:hint="eastAsia" w:ascii="宋体" w:hAnsi="宋体" w:eastAsia="宋体" w:cs="宋体"/>
          <w:color w:val="000000"/>
          <w:sz w:val="24"/>
          <w:szCs w:val="24"/>
          <w:highlight w:val="none"/>
        </w:rPr>
        <w:t xml:space="preserve">。中标候选人并列的，采取随机抽取的方式确定。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28.4.4与采购人或者其他</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恶意串通的。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w:t>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63" w:name="_Toc200451960"/>
      <w:r>
        <w:rPr>
          <w:rFonts w:hint="eastAsia" w:ascii="宋体" w:hAnsi="宋体" w:eastAsia="宋体" w:cs="宋体"/>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bookmarkEnd w:id="163"/>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29</w:t>
      </w:r>
      <w:r>
        <w:rPr>
          <w:rFonts w:hint="eastAsia" w:ascii="宋体" w:hAnsi="宋体" w:eastAsia="宋体" w:cs="宋体"/>
          <w:b/>
          <w:bCs/>
          <w:sz w:val="28"/>
          <w:szCs w:val="28"/>
        </w:rPr>
        <w:t xml:space="preserve">、中标通知书</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中标通知书将是合同的一个组成部分。对采购人和中标</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均具有法律效力。中标通知书发出后，采购人改变中标结果的，或者中标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放弃中标项目的，应当依法承担法律责任。</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64" w:name="_Toc16938552"/>
      <w:r/>
      <w:bookmarkStart w:id="165" w:name="_Toc22034"/>
      <w:r/>
      <w:bookmarkStart w:id="166" w:name="_Toc158042195"/>
      <w:r/>
      <w:bookmarkStart w:id="167" w:name="_Toc120614220"/>
      <w:r/>
      <w:bookmarkStart w:id="168" w:name="_Toc20823308"/>
      <w:r/>
      <w:bookmarkStart w:id="169" w:name="_Toc513029236"/>
      <w:r/>
      <w:bookmarkStart w:id="170" w:name="_Toc23104"/>
      <w:r>
        <w:rPr>
          <w:rFonts w:hint="eastAsia" w:ascii="宋体" w:hAnsi="宋体" w:eastAsia="宋体" w:cs="宋体"/>
          <w:b/>
          <w:bCs/>
          <w:sz w:val="28"/>
          <w:szCs w:val="28"/>
        </w:rPr>
        <w:t xml:space="preserve">七、授予合同</w:t>
      </w:r>
      <w:bookmarkEnd w:id="164"/>
      <w:r/>
      <w:bookmarkEnd w:id="165"/>
      <w:r/>
      <w:bookmarkEnd w:id="166"/>
      <w:r/>
      <w:bookmarkEnd w:id="167"/>
      <w:r/>
      <w:bookmarkEnd w:id="168"/>
      <w:r/>
      <w:bookmarkEnd w:id="169"/>
      <w:r/>
      <w:bookmarkEnd w:id="170"/>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71" w:name="_Toc16938553"/>
      <w:r/>
      <w:bookmarkStart w:id="172" w:name="_Toc20823309"/>
      <w:r/>
      <w:bookmarkStart w:id="173" w:name="_Toc513029237"/>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0</w:t>
      </w:r>
      <w:r>
        <w:rPr>
          <w:rFonts w:hint="eastAsia" w:ascii="宋体" w:hAnsi="宋体" w:eastAsia="宋体" w:cs="宋体"/>
          <w:b/>
          <w:bCs/>
          <w:sz w:val="28"/>
          <w:szCs w:val="28"/>
        </w:rPr>
        <w:t xml:space="preserve">、签订合同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.l</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71"/>
      <w:r/>
      <w:bookmarkEnd w:id="172"/>
      <w:r/>
      <w:bookmarkEnd w:id="173"/>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、政府采购信用融资政策</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可凭政府采购合同办理融资贷款，详情请见苏州市政府采购网“政府采购合同信用融资”专栏。</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871"/>
        <w:jc w:val="center"/>
        <w:keepLines w:val="0"/>
        <w:keepNext/>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74" w:name="_Toc11653"/>
      <w:r/>
      <w:bookmarkStart w:id="175" w:name="_Toc479757211"/>
      <w:r/>
      <w:bookmarkStart w:id="176" w:name="_Toc16938590"/>
      <w:r/>
      <w:bookmarkStart w:id="177" w:name="_Hlt16619350"/>
      <w:r/>
      <w:bookmarkStart w:id="178" w:name="_Toc120614244"/>
      <w:r/>
      <w:bookmarkStart w:id="179" w:name="_Toc20823346"/>
      <w:r/>
      <w:bookmarkStart w:id="180" w:name="_Toc462564139"/>
      <w:r/>
      <w:bookmarkStart w:id="181" w:name="_Hlt16619369"/>
      <w:r>
        <w:rPr>
          <w:rFonts w:hint="eastAsia" w:ascii="宋体" w:hAnsi="宋体" w:eastAsia="宋体" w:cs="宋体"/>
          <w:color w:val="000000"/>
          <w:sz w:val="44"/>
          <w:szCs w:val="44"/>
        </w:rPr>
        <w:t xml:space="preserve">第三章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合同文本</w:t>
      </w:r>
      <w:bookmarkEnd w:id="174"/>
      <w:r/>
      <w:r/>
    </w:p>
    <w:p>
      <w:pPr>
        <w:jc w:val="center"/>
        <w:spacing w:line="660" w:lineRule="exact"/>
        <w:rPr>
          <w:rFonts w:hint="eastAsia" w:ascii="宋体" w:hAnsi="宋体" w:eastAsia="宋体" w:cs="宋体"/>
          <w:b/>
          <w:bCs w:val="0"/>
          <w:color w:val="000000"/>
          <w:sz w:val="36"/>
          <w:szCs w:val="36"/>
        </w:rPr>
      </w:pPr>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编号：</w:t>
      </w:r>
      <w:r/>
    </w:p>
    <w:p>
      <w:pPr>
        <w:jc w:val="cente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lang w:val="en-US" w:eastAsia="zh-CN"/>
        </w:rPr>
        <w:t xml:space="preserve">   常熟市自然资源和规划局   </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p>
    <w:p>
      <w:pPr>
        <w:ind w:firstLine="240"/>
        <w:spacing w:after="0" w:line="44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如无可不填写</w:t>
      </w:r>
      <w:r>
        <w:rPr>
          <w:rFonts w:hint="eastAsia" w:ascii="宋体" w:hAnsi="宋体" w:eastAsia="宋体" w:cs="宋体"/>
          <w:bCs/>
          <w:color w:val="000000"/>
          <w:sz w:val="24"/>
          <w:szCs w:val="24"/>
          <w:lang w:eastAsia="zh-CN"/>
        </w:rPr>
        <w:t xml:space="preserve">）</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长江重要湿地（常熟）监测监控建设</w:t>
      </w:r>
      <w:r>
        <w:rPr>
          <w:rFonts w:hint="eastAsia" w:ascii="宋体" w:hAnsi="宋体" w:eastAsia="宋体" w:cs="宋体"/>
          <w:bCs/>
          <w:color w:val="000000"/>
          <w:sz w:val="24"/>
          <w:szCs w:val="24"/>
        </w:rPr>
        <w:t xml:space="preserve"> 项目（项目编号：</w:t>
      </w:r>
      <w:r>
        <w:rPr>
          <w:rFonts w:hint="eastAsia" w:ascii="宋体" w:hAnsi="宋体" w:eastAsia="宋体" w:cs="宋体"/>
          <w:bCs/>
          <w:color w:val="000000"/>
          <w:sz w:val="24"/>
          <w:szCs w:val="24"/>
          <w:u w:val="single"/>
          <w:lang w:eastAsia="zh-CN"/>
        </w:rPr>
        <w:t xml:space="preserve">JSZC-320581-CSXC-G2026-0015</w:t>
      </w:r>
      <w:r>
        <w:rPr>
          <w:rFonts w:hint="eastAsia" w:ascii="宋体" w:hAnsi="宋体" w:eastAsia="宋体" w:cs="宋体"/>
          <w:bCs/>
          <w:color w:val="000000"/>
          <w:sz w:val="24"/>
          <w:szCs w:val="24"/>
        </w:rPr>
        <w:t xml:space="preserve"> ）政府采购结果签订本合同。</w:t>
      </w:r>
      <w:r/>
    </w:p>
    <w:p>
      <w:pPr>
        <w:spacing w:after="0" w:line="440" w:lineRule="exact"/>
        <w:widowControl w:val="off"/>
        <w:rPr>
          <w:rFonts w:hint="eastAsia" w:ascii="宋体" w:hAnsi="宋体" w:eastAsia="宋体" w:cs="宋体"/>
          <w:b/>
          <w:bCs w:val="0"/>
          <w:color w:val="000000"/>
          <w:sz w:val="24"/>
          <w:szCs w:val="24"/>
        </w:rPr>
      </w:pPr>
      <w:r/>
      <w:bookmarkStart w:id="182" w:name="_Toc2918"/>
      <w:r/>
      <w:bookmarkStart w:id="183" w:name="_Toc22185"/>
      <w:r/>
      <w:bookmarkStart w:id="184" w:name="_Toc6311"/>
      <w:r/>
      <w:bookmarkStart w:id="185" w:name="_Toc6773"/>
      <w:r/>
      <w:bookmarkStart w:id="186" w:name="_Toc18585"/>
      <w:r>
        <w:rPr>
          <w:rFonts w:hint="eastAsia" w:ascii="宋体" w:hAnsi="宋体" w:eastAsia="宋体" w:cs="宋体"/>
          <w:b/>
          <w:bCs w:val="0"/>
          <w:color w:val="000000"/>
          <w:sz w:val="24"/>
          <w:szCs w:val="24"/>
        </w:rPr>
        <w:t xml:space="preserve">第一条 定义</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1.1合同：甲乙双方签署的，与本项目相关的合同书、附件、附录、其他文件以及政府采购程序中的全部文件。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1.2甲方：购买本合同项下服务的国家机关、事业单位、团体组织。</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1.3乙方：提供本合同项下服务的法人、其他组织或自然人。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1.4服务：提供本合同规定的乙方承担的</w:t>
      </w:r>
      <w:r>
        <w:rPr>
          <w:rFonts w:hint="eastAsia" w:ascii="宋体" w:hAnsi="宋体" w:eastAsia="宋体" w:cs="宋体"/>
          <w:bCs/>
          <w:color w:val="000000"/>
          <w:sz w:val="24"/>
          <w:szCs w:val="24"/>
          <w:u w:val="single"/>
          <w:lang w:eastAsia="zh-CN"/>
        </w:rPr>
        <w:t xml:space="preserve">长江重要湿地（常熟）监测监控建设</w:t>
      </w:r>
      <w:r>
        <w:rPr>
          <w:rFonts w:hint="eastAsia" w:ascii="宋体" w:hAnsi="宋体" w:eastAsia="宋体" w:cs="宋体"/>
          <w:bCs/>
          <w:color w:val="000000"/>
          <w:sz w:val="24"/>
          <w:szCs w:val="24"/>
        </w:rPr>
        <w:t xml:space="preserve">及相关工作。</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第二条 组成本合同的文件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2.1下列文件是组成本合同的不可分割的部分：</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①中标或成交通知书；</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②招标文件、竞争性谈判文件、询价文件、单一来源谈判记录、竞争性磋商文件等（以下统称“采购文件”）；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③乙方的投标文件或</w:t>
      </w:r>
      <w:r>
        <w:rPr>
          <w:rFonts w:hint="eastAsia" w:ascii="宋体" w:hAnsi="宋体" w:eastAsia="宋体" w:cs="宋体"/>
          <w:bCs/>
          <w:color w:val="000000"/>
          <w:sz w:val="24"/>
          <w:szCs w:val="24"/>
          <w:lang w:eastAsia="zh-CN"/>
        </w:rPr>
        <w:t xml:space="preserve">响应</w:t>
      </w:r>
      <w:r>
        <w:rPr>
          <w:rFonts w:hint="eastAsia" w:ascii="宋体" w:hAnsi="宋体" w:eastAsia="宋体" w:cs="宋体"/>
          <w:bCs/>
          <w:color w:val="000000"/>
          <w:sz w:val="24"/>
          <w:szCs w:val="24"/>
        </w:rPr>
        <w:t xml:space="preserve">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④乙方在报价过程中所作的其它承诺、声明、书面澄清等。</w:t>
      </w:r>
      <w:r/>
    </w:p>
    <w:p>
      <w:pPr>
        <w:ind w:firstLine="560"/>
        <w:spacing w:after="0" w:line="440" w:lineRule="exact"/>
        <w:widowControl w:val="off"/>
        <w:rPr>
          <w:rFonts w:hint="eastAsia" w:ascii="宋体" w:hAnsi="宋体" w:eastAsia="宋体" w:cs="宋体"/>
          <w:bCs/>
          <w:color w:val="000000"/>
          <w:sz w:val="24"/>
          <w:szCs w:val="24"/>
        </w:rPr>
      </w:pPr>
      <w:r/>
      <w:bookmarkStart w:id="187" w:name="_Hlk144021334"/>
      <w:r>
        <w:rPr>
          <w:rFonts w:hint="eastAsia" w:ascii="宋体" w:hAnsi="宋体" w:eastAsia="宋体" w:cs="宋体"/>
          <w:bCs/>
          <w:color w:val="000000"/>
          <w:sz w:val="24"/>
          <w:szCs w:val="24"/>
        </w:rPr>
        <w:t xml:space="preserve">2.2上述文件之间如果出现不一致的，以甲方文件确定的内容为准，但乙方文件的内容对甲方更有利的，适用乙方文件。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182"/>
      <w:r/>
      <w:bookmarkEnd w:id="183"/>
      <w:r/>
      <w:bookmarkEnd w:id="184"/>
      <w:r/>
      <w:bookmarkEnd w:id="185"/>
      <w:r/>
      <w:bookmarkEnd w:id="186"/>
      <w:r/>
      <w:bookmarkEnd w:id="187"/>
      <w:r/>
      <w:r/>
    </w:p>
    <w:p>
      <w:pPr>
        <w:spacing w:after="0" w:line="440" w:lineRule="exact"/>
        <w:widowControl w:val="off"/>
        <w:rPr>
          <w:rFonts w:hint="eastAsia" w:ascii="宋体" w:hAnsi="宋体" w:eastAsia="宋体" w:cs="宋体"/>
          <w:b/>
          <w:bCs w:val="0"/>
          <w:color w:val="000000"/>
          <w:sz w:val="24"/>
          <w:szCs w:val="24"/>
        </w:rPr>
      </w:pPr>
      <w:r/>
      <w:bookmarkStart w:id="188" w:name="_Toc5635"/>
      <w:r/>
      <w:bookmarkStart w:id="189" w:name="_Toc1386"/>
      <w:r/>
      <w:bookmarkStart w:id="190" w:name="_Toc13918"/>
      <w:r/>
      <w:bookmarkStart w:id="191" w:name="_Toc4929"/>
      <w:r/>
      <w:bookmarkStart w:id="192" w:name="_Toc21124"/>
      <w:r>
        <w:rPr>
          <w:rFonts w:hint="eastAsia" w:ascii="宋体" w:hAnsi="宋体" w:eastAsia="宋体" w:cs="宋体"/>
          <w:b/>
          <w:bCs w:val="0"/>
          <w:color w:val="000000"/>
          <w:sz w:val="24"/>
          <w:szCs w:val="24"/>
        </w:rPr>
        <w:t xml:space="preserve">第三条 合同内容</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3.1服务内容：常熟市自然资源和规划局所需的长江重要湿地（常熟）监测监控建设。</w:t>
      </w:r>
      <w:r/>
    </w:p>
    <w:p>
      <w:pPr>
        <w:ind w:firstLine="48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3.2服务期限：</w:t>
      </w:r>
      <w:r>
        <w:rPr>
          <w:rFonts w:hint="eastAsia" w:ascii="宋体" w:hAnsi="宋体" w:eastAsia="宋体" w:cs="宋体"/>
          <w:color w:val="000000"/>
          <w:sz w:val="24"/>
          <w:szCs w:val="24"/>
          <w:highlight w:val="none"/>
          <w:lang w:val="en-US" w:eastAsia="zh-CN"/>
        </w:rPr>
        <w:t xml:space="preserve">自合同签订之日起一年</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第四条 合同价款</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本合同项下</w:t>
      </w:r>
      <w:r>
        <w:rPr>
          <w:rFonts w:hint="eastAsia" w:ascii="宋体" w:hAnsi="宋体" w:eastAsia="宋体" w:cs="宋体"/>
          <w:bCs/>
          <w:color w:val="000000"/>
          <w:sz w:val="24"/>
          <w:szCs w:val="24"/>
          <w:lang w:eastAsia="zh-CN"/>
        </w:rPr>
        <w:t xml:space="preserve">长江重要湿地（常熟）监测监控建设，</w:t>
      </w:r>
      <w:r>
        <w:rPr>
          <w:rFonts w:hint="eastAsia" w:ascii="宋体" w:hAnsi="宋体" w:eastAsia="宋体" w:cs="宋体"/>
          <w:bCs/>
          <w:color w:val="000000"/>
          <w:sz w:val="24"/>
          <w:szCs w:val="24"/>
          <w:lang w:val="en-US" w:eastAsia="zh-CN"/>
        </w:rPr>
        <w:t xml:space="preserve">中标金额</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第五条 支付结算</w:t>
      </w:r>
      <w:r/>
    </w:p>
    <w:p>
      <w:pPr>
        <w:ind w:firstLine="240"/>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付款</w:t>
      </w:r>
      <w:r>
        <w:rPr>
          <w:rFonts w:hint="eastAsia" w:ascii="宋体" w:hAnsi="宋体" w:eastAsia="宋体" w:cs="宋体"/>
          <w:sz w:val="24"/>
          <w:szCs w:val="24"/>
          <w:highlight w:val="none"/>
        </w:rPr>
        <w:t xml:space="preserve">方式：</w:t>
      </w:r>
      <w:r/>
    </w:p>
    <w:p>
      <w:pPr>
        <w:ind w:firstLine="6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 合同签订</w:t>
      </w:r>
      <w:r>
        <w:rPr>
          <w:rFonts w:hint="eastAsia" w:ascii="宋体" w:hAnsi="宋体" w:eastAsia="宋体" w:cs="宋体"/>
          <w:sz w:val="24"/>
          <w:szCs w:val="24"/>
          <w:highlight w:val="none"/>
          <w:lang w:val="en-US" w:eastAsia="zh-CN"/>
        </w:rPr>
        <w:t xml:space="preserve">后一个月内，甲方向乙方支付合同金额的30%</w:t>
      </w:r>
      <w:r>
        <w:rPr>
          <w:rFonts w:hint="eastAsia" w:ascii="宋体" w:hAnsi="宋体" w:eastAsia="宋体" w:cs="宋体"/>
          <w:sz w:val="24"/>
          <w:szCs w:val="24"/>
          <w:highlight w:val="none"/>
        </w:rPr>
        <w:t xml:space="preserve">。</w:t>
      </w:r>
      <w:r/>
    </w:p>
    <w:p>
      <w:pPr>
        <w:ind w:firstLine="600"/>
        <w:spacing w:line="440" w:lineRule="exact"/>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项目交付并经验收完成后一个月内，甲方按照验收结果向乙方支付合同金额的65%。</w:t>
      </w:r>
      <w:r/>
    </w:p>
    <w:p>
      <w:pPr>
        <w:ind w:firstLine="60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项目验收一年后，甲方按照验收结果向乙方支付合同金额的5%。</w:t>
      </w:r>
      <w:r/>
    </w:p>
    <w:p>
      <w:pPr>
        <w:ind w:firstLine="60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验收结果按照验收细则要求，详见“采购需求”中“六、验收要求”。</w:t>
      </w:r>
      <w:r/>
    </w:p>
    <w:p>
      <w:pPr>
        <w:spacing w:after="0"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注：（1）以上每次付款前，乙方均应提供符合甲方要求的同等金额的合法有效发票。否则，甲方有权顺延付款时间，且不承担任何违约或赔偿责任。</w:t>
      </w:r>
      <w:r/>
    </w:p>
    <w:p>
      <w:pPr>
        <w:ind w:firstLine="482"/>
        <w:spacing w:after="0" w:line="440" w:lineRule="exact"/>
        <w:widowControl w:val="off"/>
        <w:rPr>
          <w:rFonts w:hint="eastAsia" w:ascii="宋体" w:hAnsi="宋体" w:eastAsia="宋体" w:cs="宋体"/>
          <w:b/>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sz w:val="24"/>
          <w:szCs w:val="24"/>
          <w:highlight w:val="none"/>
        </w:rPr>
        <w:t xml:space="preserve">本合同项目下所有款项允许通过数字人民币支付。</w:t>
      </w:r>
      <w:r/>
    </w:p>
    <w:p>
      <w:pPr>
        <w:ind w:firstLine="482"/>
        <w:spacing w:after="0"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（3）签订合同时，乙方明确表示无需预付款或者主动要求降低预付款比例的，可不适用上述第5.1条规定。</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color w:val="000000"/>
          <w:sz w:val="24"/>
          <w:szCs w:val="24"/>
          <w:highlight w:val="none"/>
        </w:rPr>
        <w:t xml:space="preserve">第六条 验收办法</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6.1甲方依法组织履约验收工作。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6.3对于实际使用人和甲方分离的项目，甲方邀请实际使用人参与验收。</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6.4如有必要，甲方邀请参加本项目的其他投标人或第三方专业机构及专家参与验收，相关意见将作为验收书的参考资料。</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 验收合格的项目,甲方根据采购合同的约定及时向乙方支付合同款项。验收不合格的项目，甲方依法及时处理。</w:t>
      </w:r>
      <w:bookmarkEnd w:id="188"/>
      <w:r/>
      <w:bookmarkEnd w:id="189"/>
      <w:r/>
      <w:bookmarkEnd w:id="190"/>
      <w:r/>
      <w:bookmarkEnd w:id="191"/>
      <w:r/>
      <w:bookmarkEnd w:id="192"/>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7.1甲方权利义务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7.1.2甲方义务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7.2乙方权利义务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7.2.2除其他有关条款的约定外，乙方义务还包括：</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1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 的，视为乙方丧失提供服务的能力。</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2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乙方应安排身体健康、品性良好的服务人员为甲方提供服务。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3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4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小时内派员到场。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5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6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7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8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质量保证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w:t>
      </w:r>
      <w:bookmarkStart w:id="193" w:name="_Toc8586"/>
      <w:r/>
      <w:bookmarkStart w:id="194" w:name="_Toc5698"/>
      <w:r/>
      <w:bookmarkStart w:id="195" w:name="_Toc2375"/>
      <w:r/>
      <w:bookmarkStart w:id="196" w:name="_Toc24662"/>
      <w:r/>
      <w:bookmarkStart w:id="197" w:name="_Toc3079"/>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违约责任</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 xml:space="preserve">0.5 ％</w:t>
      </w:r>
      <w:r>
        <w:rPr>
          <w:rFonts w:hint="eastAsia" w:ascii="宋体" w:hAnsi="宋体" w:eastAsia="宋体" w:cs="宋体"/>
          <w:bCs/>
          <w:color w:val="000000"/>
          <w:sz w:val="24"/>
          <w:szCs w:val="24"/>
          <w:lang w:val="en-US" w:eastAsia="zh-CN"/>
        </w:rPr>
        <w:t xml:space="preserve">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 xml:space="preserve">。</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 xml:space="preserve">的违约金：</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日内）恢复的；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 xml:space="preserve">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9.2.4乙方人员不能响应甲方紧急服务需求的；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9.2.6乙方及其服务人员虚报服务内容、服务时间等，骗取甲方服务费用的；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的违约金。</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出现下列情形之一的，甲方有权解除本合同：</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10.1乙方单位总体服务能力发生下降，专业技术人员减员或资质下降人数达到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10.2乙方人员无故未能按约到甲方提供服务，服务期限内达到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10.3乙方人员不能响应甲方紧急服务需求的，经甲方指出后未能改正的；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10.4因乙方服务人员原因在服务期间给甲方造成不良影响的，服务期限内达到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10.5乙方及其服务人员虚报服务内容、服务时间等，骗取甲方服务费用的；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10.6因乙方不当服务或服务人员违法，给甲方造成严重不良影响的；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10.7乙方一年内因生产安全事故受到行政处罚达到3次的，或者因为乙方发生生产安全事故、环境损害事故，给甲方造成重大不良影响的或导致甲方受到行政处罚的。</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不可抗力</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11.1不可抗力，是指不能预见、不能避免并不能克服的客观情况，如战争、动乱、洪水、地震、风暴等。</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11.3发生不可抗力事件，任何一方均不对因不可抗力无法履行或迟延履行本合同义务而使另一方蒙受的任何损失承担责任，法律另有规定的除外。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11.4合同各方应根据不可抗力对本合同履行的影响程度，协商确定是否终止或是继续履行本合同。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合同的变更、中止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合同的终止</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 本合同因下列原因而终止：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13.1.1 本合同正常履行完毕；</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13.1.2 因不可抗力导致本合同无法履行或履行不必要；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13.1.3 任何一方行使解除权解除本合同；</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13.2除上述情形外，甲乙双方不得擅自终止合同。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合同的转让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rPr>
        <w:t xml:space="preserve">。</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 xml:space="preserve">履约保证金</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第十六条 争议解决方式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16.1在执行本合同过程中所发生的或与本合同有关的一切争端，甲乙双方友好协商解决。如协商不能解决，则全部争端由甲方所在地人民法院管辖。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16.2如因乙方违约，导致甲方起诉的，甲方由此产生的诉讼费用、律师费用、差旅费用等，均由乙方承担。</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第十七条 通知与送达</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17.1甲乙双方因履行本合同需要向对方发送通知、文件、资料的，均以下列联系信息确定内容进行：</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17.1.1甲方联系信息：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17.1.2乙方联系信息：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17.2双方确认前述联系信息作为解决争议时接受人民法院诉讼文书的送达地址和联系方式。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17.3任何一方改变前述联系信息的，应在发生变更后的3天内告知对方并做好通知到达对方前可能存在的邮件的接收。如未通知的，视为没有变更。</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合同在双方加盖公章或双方法定代表人、授权代表签字后生效。</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 本合同一式五份，以简体中文书写，甲方两份、乙方两份、江苏协诚工程咨询有限公司一份。</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 本合同应按照中华人民共和国的现行法律进行解释。</w:t>
      </w:r>
      <w:r/>
    </w:p>
    <w:p>
      <w:pPr>
        <w:ind w:firstLine="620"/>
        <w:keepLines w:val="0"/>
        <w:keepNext w:val="0"/>
        <w:pageBreakBefore w:val="0"/>
        <w:spacing w:line="4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20"/>
        <w:keepLines w:val="0"/>
        <w:keepNext w:val="0"/>
        <w:pageBreakBefore w:val="0"/>
        <w:spacing w:line="4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r/>
    </w:p>
    <w:p>
      <w:pPr>
        <w:ind w:firstLine="620"/>
        <w:keepLines w:val="0"/>
        <w:keepNext w:val="0"/>
        <w:pageBreakBefore w:val="0"/>
        <w:spacing w:line="44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法定（授权）代表人（签字）：             法定（授权）代表人（签字）：</w:t>
      </w:r>
      <w:r/>
    </w:p>
    <w:p>
      <w:pPr>
        <w:ind w:firstLine="720"/>
        <w:keepLines w:val="0"/>
        <w:keepNext w:val="0"/>
        <w:pageBreakBefore w:val="0"/>
        <w:spacing w:line="4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bookmarkEnd w:id="193"/>
      <w:r/>
      <w:bookmarkEnd w:id="194"/>
      <w:r/>
      <w:bookmarkEnd w:id="195"/>
      <w:r/>
      <w:bookmarkEnd w:id="196"/>
      <w:r/>
      <w:bookmarkEnd w:id="197"/>
      <w:r/>
      <w:r/>
    </w:p>
    <w:p>
      <w:pPr>
        <w:ind w:firstLine="620"/>
        <w:jc w:val="left"/>
        <w:keepLines w:val="0"/>
        <w:keepNext w:val="0"/>
        <w:pageBreakBefore w:val="0"/>
        <w:spacing w:line="440" w:lineRule="exact"/>
        <w:widowControl/>
        <w:rPr>
          <w:rFonts w:hint="eastAsia" w:ascii="宋体" w:hAnsi="宋体" w:eastAsia="宋体" w:cs="宋体"/>
          <w:bCs/>
          <w:color w:val="000000"/>
          <w:sz w:val="24"/>
          <w:szCs w:val="24"/>
        </w:rPr>
        <w:sectPr>
          <w:footerReference w:type="default" r:id="rId11"/>
          <w:footerReference w:type="first" r:id="rId12"/>
          <w:footnotePr/>
          <w:endnotePr/>
          <w:type w:val="nextPage"/>
          <w:pgSz w:w="11907" w:h="16839" w:orient="portrait"/>
          <w:pgMar w:top="1440" w:right="1077" w:bottom="1440" w:left="1077" w:header="0" w:footer="0" w:gutter="0"/>
          <w:pgNumType w:start="1"/>
          <w:cols w:num="1" w:sep="0" w:space="720" w:equalWidth="1"/>
          <w:docGrid w:linePitch="360"/>
          <w:titlePg/>
        </w:sectPr>
      </w:pPr>
      <w:r>
        <w:rPr>
          <w:rFonts w:hint="eastAsia" w:ascii="宋体" w:hAnsi="宋体" w:eastAsia="宋体" w:cs="宋体"/>
          <w:bCs/>
          <w:color w:val="000000"/>
          <w:sz w:val="24"/>
          <w:szCs w:val="24"/>
        </w:rPr>
      </w:r>
      <w:r/>
    </w:p>
    <w:p>
      <w:pPr>
        <w:pStyle w:val="871"/>
        <w:jc w:val="center"/>
        <w:keepLines w:val="0"/>
        <w:keepNext w:val="0"/>
        <w:spacing w:before="120" w:beforeAutospacing="0" w:after="12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98" w:name="_Toc13005"/>
      <w:r>
        <w:rPr>
          <w:rFonts w:hint="eastAsia" w:ascii="宋体" w:hAnsi="宋体" w:eastAsia="宋体" w:cs="宋体"/>
          <w:color w:val="000000"/>
          <w:sz w:val="44"/>
          <w:szCs w:val="44"/>
        </w:rPr>
        <w:t xml:space="preserve">第</w:t>
      </w:r>
      <w:bookmarkEnd w:id="175"/>
      <w:r>
        <w:rPr>
          <w:rFonts w:hint="eastAsia" w:ascii="宋体" w:hAnsi="宋体" w:eastAsia="宋体" w:cs="宋体"/>
          <w:color w:val="000000"/>
          <w:sz w:val="44"/>
          <w:szCs w:val="44"/>
        </w:rPr>
        <w:t xml:space="preserve">四章</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 采购需求</w:t>
      </w:r>
      <w:bookmarkEnd w:id="176"/>
      <w:r/>
      <w:bookmarkEnd w:id="177"/>
      <w:r/>
      <w:bookmarkEnd w:id="178"/>
      <w:r/>
      <w:bookmarkEnd w:id="179"/>
      <w:r/>
      <w:bookmarkEnd w:id="180"/>
      <w:r/>
      <w:bookmarkEnd w:id="198"/>
      <w:r/>
      <w:r/>
    </w:p>
    <w:p>
      <w:pPr>
        <w:spacing w:line="460" w:lineRule="exact"/>
        <w:rPr>
          <w:rFonts w:hint="eastAsia" w:ascii="宋体" w:hAnsi="宋体" w:eastAsia="宋体" w:cs="宋体"/>
          <w:b/>
          <w:bCs/>
          <w:sz w:val="28"/>
          <w:szCs w:val="28"/>
          <w:lang w:eastAsia="zh-CN"/>
        </w:rPr>
      </w:pPr>
      <w:r/>
      <w:bookmarkStart w:id="199" w:name="_Hlk91086560"/>
      <w:r/>
      <w:bookmarkStart w:id="200" w:name="_Toc120614281"/>
      <w:r>
        <w:rPr>
          <w:rFonts w:hint="eastAsia" w:ascii="宋体" w:hAnsi="宋体" w:eastAsia="宋体" w:cs="宋体"/>
          <w:b/>
          <w:bCs/>
          <w:sz w:val="28"/>
          <w:szCs w:val="28"/>
        </w:rPr>
        <w:t xml:space="preserve">项目名称：</w:t>
      </w:r>
      <w:r>
        <w:rPr>
          <w:rFonts w:hint="eastAsia" w:ascii="宋体" w:hAnsi="宋体" w:eastAsia="宋体" w:cs="宋体"/>
          <w:b/>
          <w:bCs/>
          <w:sz w:val="28"/>
          <w:szCs w:val="28"/>
          <w:lang w:eastAsia="zh-CN"/>
        </w:rPr>
        <w:t xml:space="preserve">长江重要湿地（常熟）监测监控建设</w:t>
      </w:r>
      <w:r/>
    </w:p>
    <w:p>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项目编号：</w:t>
      </w:r>
      <w:r>
        <w:rPr>
          <w:rFonts w:hint="eastAsia" w:ascii="宋体" w:hAnsi="宋体" w:eastAsia="宋体" w:cs="宋体"/>
          <w:b/>
          <w:bCs/>
          <w:sz w:val="28"/>
          <w:szCs w:val="28"/>
          <w:lang w:eastAsia="zh-CN"/>
        </w:rPr>
        <w:t xml:space="preserve">JSZC-320581-CSXC-G2026-0015</w:t>
      </w:r>
      <w:r/>
    </w:p>
    <w:p>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采</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购</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人：</w:t>
      </w:r>
      <w:r>
        <w:rPr>
          <w:rFonts w:hint="eastAsia" w:ascii="宋体" w:hAnsi="宋体" w:eastAsia="宋体" w:cs="宋体"/>
          <w:b/>
          <w:bCs/>
          <w:sz w:val="28"/>
          <w:szCs w:val="28"/>
          <w:lang w:eastAsia="zh-CN"/>
        </w:rPr>
        <w:t xml:space="preserve">常熟市自然资源和规划局</w:t>
      </w:r>
      <w:r/>
    </w:p>
    <w:p>
      <w:pPr>
        <w:spacing w:line="440" w:lineRule="exact"/>
        <w:rPr>
          <w:rFonts w:hint="eastAsia" w:ascii="宋体" w:hAnsi="宋体" w:eastAsia="宋体" w:cs="宋体"/>
          <w:b/>
          <w:sz w:val="28"/>
          <w:szCs w:val="28"/>
          <w:lang w:val="zh-CN"/>
        </w:rPr>
        <w:outlineLvl w:val="9"/>
      </w:pPr>
      <w:r>
        <w:rPr>
          <w:rFonts w:hint="eastAsia" w:ascii="宋体" w:hAnsi="宋体" w:eastAsia="宋体" w:cs="宋体"/>
          <w:b/>
          <w:sz w:val="28"/>
          <w:szCs w:val="28"/>
          <w:lang w:val="zh-CN"/>
        </w:rPr>
        <w:t xml:space="preserve">一、</w:t>
      </w:r>
      <w:r>
        <w:rPr>
          <w:rFonts w:hint="eastAsia" w:ascii="宋体" w:hAnsi="宋体" w:eastAsia="宋体" w:cs="宋体"/>
          <w:b/>
          <w:bCs/>
          <w:sz w:val="28"/>
          <w:szCs w:val="28"/>
          <w:lang w:val="zh-CN"/>
        </w:rPr>
        <w:t xml:space="preserve">项目说明</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项目简介</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lang w:eastAsia="zh-CN"/>
        </w:rPr>
        <w:t xml:space="preserve">常熟市自然资源和规划局</w:t>
      </w:r>
      <w:r>
        <w:rPr>
          <w:rFonts w:hint="eastAsia" w:ascii="宋体" w:hAnsi="宋体" w:eastAsia="宋体" w:cs="宋体"/>
          <w:sz w:val="24"/>
          <w:szCs w:val="24"/>
        </w:rPr>
        <w:t xml:space="preserve">所需的</w:t>
      </w:r>
      <w:r>
        <w:rPr>
          <w:rFonts w:hint="eastAsia" w:ascii="宋体" w:hAnsi="宋体" w:eastAsia="宋体" w:cs="宋体"/>
          <w:sz w:val="24"/>
          <w:szCs w:val="24"/>
          <w:lang w:eastAsia="zh-CN"/>
        </w:rPr>
        <w:t xml:space="preserve">长江重要湿地（常熟）监测监控建设</w:t>
      </w:r>
      <w:r>
        <w:rPr>
          <w:rFonts w:hint="eastAsia" w:ascii="宋体" w:hAnsi="宋体" w:eastAsia="宋体" w:cs="宋体"/>
          <w:sz w:val="24"/>
          <w:szCs w:val="24"/>
          <w:highlight w:val="none"/>
          <w:lang w:val="en-US" w:eastAsia="zh-CN"/>
        </w:rPr>
        <w:t xml:space="preserve">。</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、项目地点：</w:t>
      </w:r>
      <w:r>
        <w:rPr>
          <w:rFonts w:hint="eastAsia" w:ascii="宋体" w:hAnsi="宋体" w:eastAsia="宋体" w:cs="宋体"/>
          <w:sz w:val="24"/>
          <w:szCs w:val="24"/>
          <w:highlight w:val="none"/>
          <w:lang w:val="en-US" w:eastAsia="zh-CN"/>
        </w:rPr>
        <w:t xml:space="preserve">长江重要湿地常熟段。</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服务期限</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自合同签订之日起一年。</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、投标人应对项目现场进行踏勘，但费用由投标人自行承担。现场踏勘联系人：丁齐，联系电话：</w:t>
      </w:r>
      <w:r>
        <w:rPr>
          <w:rFonts w:hint="eastAsia" w:ascii="宋体" w:hAnsi="宋体" w:eastAsia="宋体" w:cs="宋体"/>
          <w:color w:val="000000"/>
          <w:sz w:val="24"/>
          <w:szCs w:val="32"/>
          <w:highlight w:val="none"/>
        </w:rPr>
        <w:t xml:space="preserve">0512-52846</w:t>
      </w:r>
      <w:r>
        <w:rPr>
          <w:rFonts w:hint="eastAsia" w:ascii="宋体" w:hAnsi="宋体" w:eastAsia="宋体" w:cs="宋体"/>
          <w:color w:val="000000"/>
          <w:sz w:val="24"/>
          <w:szCs w:val="32"/>
          <w:highlight w:val="none"/>
          <w:lang w:val="en-US" w:eastAsia="zh-CN"/>
        </w:rPr>
        <w:t xml:space="preserve">059</w:t>
      </w:r>
      <w:r>
        <w:rPr>
          <w:rFonts w:hint="eastAsia" w:ascii="宋体" w:hAnsi="宋体" w:eastAsia="宋体" w:cs="宋体"/>
          <w:sz w:val="24"/>
          <w:szCs w:val="24"/>
          <w:highlight w:val="none"/>
        </w:rPr>
        <w:t xml:space="preserve">。投标人在投标时应充分考虑现场实际情况，采购人不负担因投标人对项目现场情况考虑不周而产生的其他任何费用。</w:t>
      </w:r>
      <w:r/>
    </w:p>
    <w:p>
      <w:pPr>
        <w:ind w:firstLine="240"/>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付款</w:t>
      </w:r>
      <w:r>
        <w:rPr>
          <w:rFonts w:hint="eastAsia" w:ascii="宋体" w:hAnsi="宋体" w:eastAsia="宋体" w:cs="宋体"/>
          <w:sz w:val="24"/>
          <w:szCs w:val="24"/>
          <w:highlight w:val="none"/>
        </w:rPr>
        <w:t xml:space="preserve">方式：</w:t>
      </w:r>
      <w:r/>
    </w:p>
    <w:p>
      <w:pPr>
        <w:ind w:firstLine="6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 合同签订</w:t>
      </w:r>
      <w:r>
        <w:rPr>
          <w:rFonts w:hint="eastAsia" w:ascii="宋体" w:hAnsi="宋体" w:eastAsia="宋体" w:cs="宋体"/>
          <w:sz w:val="24"/>
          <w:szCs w:val="24"/>
          <w:highlight w:val="none"/>
          <w:lang w:val="en-US" w:eastAsia="zh-CN"/>
        </w:rPr>
        <w:t xml:space="preserve">后一个月</w:t>
      </w:r>
      <w:bookmarkStart w:id="301" w:name="_GoBack"/>
      <w:r/>
      <w:bookmarkEnd w:id="301"/>
      <w:r>
        <w:rPr>
          <w:rFonts w:hint="eastAsia" w:ascii="宋体" w:hAnsi="宋体" w:eastAsia="宋体" w:cs="宋体"/>
          <w:sz w:val="24"/>
          <w:szCs w:val="24"/>
          <w:highlight w:val="none"/>
          <w:lang w:val="en-US" w:eastAsia="zh-CN"/>
        </w:rPr>
        <w:t xml:space="preserve">内，采购人向中标人支付合同金额的30%</w:t>
      </w:r>
      <w:r>
        <w:rPr>
          <w:rFonts w:hint="eastAsia" w:ascii="宋体" w:hAnsi="宋体" w:eastAsia="宋体" w:cs="宋体"/>
          <w:sz w:val="24"/>
          <w:szCs w:val="24"/>
          <w:highlight w:val="none"/>
        </w:rPr>
        <w:t xml:space="preserve">。</w:t>
      </w:r>
      <w:r/>
    </w:p>
    <w:p>
      <w:pPr>
        <w:ind w:firstLine="600"/>
        <w:spacing w:line="440" w:lineRule="exact"/>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项目交付并经验收完成后一个月内，采购人按照验收结果向中标人支付合同金额的65%。</w:t>
      </w:r>
      <w:r/>
    </w:p>
    <w:p>
      <w:pPr>
        <w:ind w:firstLine="60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项目验收一年后，采购人按照验收结果向中标人支付合同金额的5%。</w:t>
      </w:r>
      <w:r/>
    </w:p>
    <w:p>
      <w:pPr>
        <w:ind w:firstLine="600"/>
        <w:spacing w:line="44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验收结果按照验收细则要求，详见“采购需求”中“六、验收要求”。</w:t>
      </w:r>
      <w:r/>
    </w:p>
    <w:p>
      <w:pPr>
        <w:spacing w:after="0"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注：（1）以上每次付款前，中标人均应提供符合采购人要求的同等金额的合法有效发票。否则，采购人有权顺延付款时间，且不承担任何违约或赔偿责任。</w:t>
      </w:r>
      <w:r/>
    </w:p>
    <w:p>
      <w:pPr>
        <w:ind w:firstLine="482"/>
        <w:spacing w:after="0" w:line="440" w:lineRule="exact"/>
        <w:widowControl w:val="off"/>
        <w:rPr>
          <w:rFonts w:hint="eastAsia" w:ascii="宋体" w:hAnsi="宋体" w:eastAsia="宋体" w:cs="宋体"/>
          <w:b/>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sz w:val="24"/>
          <w:szCs w:val="24"/>
          <w:highlight w:val="none"/>
        </w:rPr>
        <w:t xml:space="preserve">本合同项目下所有款项允许通过数字人民币支付。</w:t>
      </w:r>
      <w:r/>
    </w:p>
    <w:p>
      <w:pPr>
        <w:ind w:firstLine="482"/>
        <w:spacing w:after="0"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（3）签订合同时，中标人明确表示无需预付款或者主动要求降低预付款比例的，可不适用上述第5.1条规定。</w:t>
      </w:r>
      <w:r/>
    </w:p>
    <w:p>
      <w:pPr>
        <w:ind w:firstLine="480"/>
        <w:spacing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、本项目采购预算为￥</w:t>
      </w:r>
      <w:r>
        <w:rPr>
          <w:rFonts w:hint="eastAsia" w:ascii="宋体" w:hAnsi="宋体" w:eastAsia="宋体" w:cs="宋体"/>
          <w:color w:val="000000"/>
          <w:sz w:val="24"/>
          <w:szCs w:val="24"/>
          <w:highlight w:val="none"/>
          <w:lang w:val="en-US" w:eastAsia="zh-CN"/>
        </w:rPr>
        <w:t xml:space="preserve">2000000</w:t>
      </w:r>
      <w:r>
        <w:rPr>
          <w:rFonts w:hint="eastAsia" w:ascii="宋体" w:hAnsi="宋体" w:eastAsia="宋体" w:cs="宋体"/>
          <w:color w:val="000000"/>
          <w:sz w:val="24"/>
          <w:szCs w:val="24"/>
          <w:highlight w:val="none"/>
        </w:rPr>
        <w:t xml:space="preserve">.00</w:t>
      </w:r>
      <w:r>
        <w:rPr>
          <w:rFonts w:hint="eastAsia" w:ascii="宋体" w:hAnsi="宋体" w:eastAsia="宋体" w:cs="宋体"/>
          <w:sz w:val="24"/>
          <w:szCs w:val="24"/>
          <w:highlight w:val="none"/>
        </w:rPr>
        <w:t xml:space="preserve">元（人民币</w:t>
      </w:r>
      <w:r>
        <w:rPr>
          <w:rFonts w:hint="eastAsia" w:ascii="宋体" w:hAnsi="宋体" w:eastAsia="宋体" w:cs="宋体"/>
          <w:sz w:val="24"/>
          <w:szCs w:val="24"/>
          <w:highlight w:val="none"/>
          <w:lang w:val="en-US" w:eastAsia="zh-CN"/>
        </w:rPr>
        <w:t xml:space="preserve">贰佰万元</w:t>
      </w:r>
      <w:r>
        <w:rPr>
          <w:rFonts w:hint="eastAsia" w:ascii="宋体" w:hAnsi="宋体" w:eastAsia="宋体" w:cs="宋体"/>
          <w:sz w:val="24"/>
          <w:szCs w:val="24"/>
          <w:highlight w:val="none"/>
        </w:rPr>
        <w:t xml:space="preserve">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投标</w:t>
      </w:r>
      <w:r>
        <w:rPr>
          <w:rFonts w:hint="eastAsia" w:ascii="宋体" w:hAnsi="宋体" w:eastAsia="宋体" w:cs="宋体"/>
          <w:b/>
          <w:bCs/>
          <w:sz w:val="24"/>
          <w:szCs w:val="24"/>
          <w:highlight w:val="none"/>
          <w:lang w:val="en-US" w:eastAsia="zh-CN"/>
        </w:rPr>
        <w:t xml:space="preserve">价格</w:t>
      </w:r>
      <w:r>
        <w:rPr>
          <w:rFonts w:hint="eastAsia" w:ascii="宋体" w:hAnsi="宋体" w:eastAsia="宋体" w:cs="宋体"/>
          <w:b/>
          <w:bCs/>
          <w:sz w:val="24"/>
          <w:szCs w:val="24"/>
          <w:highlight w:val="none"/>
        </w:rPr>
        <w:t xml:space="preserve">不得超过采购预算，否则其投标将作无效投标处理。</w:t>
      </w:r>
      <w:r/>
    </w:p>
    <w:p>
      <w:pPr>
        <w:ind w:firstLine="480"/>
        <w:spacing w:line="420" w:lineRule="exact"/>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、本项目不接受联合体参加投标</w:t>
      </w:r>
      <w:r>
        <w:rPr>
          <w:rFonts w:hint="eastAsia" w:ascii="宋体" w:hAnsi="宋体" w:eastAsia="宋体" w:cs="宋体"/>
          <w:color w:val="000000"/>
          <w:sz w:val="24"/>
          <w:szCs w:val="22"/>
          <w:highlight w:val="none"/>
        </w:rPr>
        <w:t xml:space="preserve">，不得以任何形式进行转包及分包。</w:t>
      </w:r>
      <w:r/>
    </w:p>
    <w:p>
      <w:pPr>
        <w:spacing w:line="440" w:lineRule="exact"/>
        <w:rPr>
          <w:rFonts w:hint="eastAsia" w:ascii="宋体" w:hAnsi="宋体" w:eastAsia="宋体" w:cs="宋体"/>
          <w:b/>
          <w:sz w:val="28"/>
          <w:szCs w:val="28"/>
          <w:lang w:val="zh-CN"/>
        </w:rPr>
        <w:outlineLvl w:val="9"/>
      </w:pPr>
      <w:r/>
      <w:bookmarkStart w:id="201" w:name="_Toc29868"/>
      <w:r/>
      <w:bookmarkStart w:id="202" w:name="_Toc30480"/>
      <w:r/>
      <w:bookmarkStart w:id="203" w:name="_Toc3228"/>
      <w:r/>
      <w:bookmarkStart w:id="204" w:name="_Toc26061"/>
      <w:r/>
      <w:bookmarkStart w:id="205" w:name="_Toc9887"/>
      <w:r/>
      <w:bookmarkStart w:id="206" w:name="_Toc18048"/>
      <w:r>
        <w:rPr>
          <w:rFonts w:hint="eastAsia" w:ascii="宋体" w:hAnsi="宋体" w:eastAsia="宋体" w:cs="宋体"/>
          <w:b/>
          <w:sz w:val="28"/>
          <w:szCs w:val="28"/>
          <w:lang w:val="zh-CN"/>
        </w:rPr>
        <w:t xml:space="preserve">二、</w:t>
      </w:r>
      <w:r>
        <w:rPr>
          <w:rFonts w:hint="eastAsia" w:ascii="宋体" w:hAnsi="宋体" w:eastAsia="宋体" w:cs="宋体"/>
          <w:b/>
          <w:sz w:val="28"/>
          <w:szCs w:val="28"/>
          <w:lang w:val="en-US" w:eastAsia="zh-CN"/>
        </w:rPr>
        <w:t xml:space="preserve">主要监测内容</w:t>
      </w:r>
      <w:r>
        <w:rPr>
          <w:rFonts w:hint="eastAsia" w:ascii="宋体" w:hAnsi="宋体" w:eastAsia="宋体" w:cs="宋体"/>
          <w:b/>
          <w:sz w:val="28"/>
          <w:szCs w:val="28"/>
          <w:lang w:val="zh-CN"/>
        </w:rPr>
        <w:t xml:space="preserve">：</w:t>
      </w:r>
      <w:bookmarkEnd w:id="201"/>
      <w:r/>
      <w:bookmarkEnd w:id="202"/>
      <w:r/>
      <w:r/>
    </w:p>
    <w:tbl>
      <w:tblPr>
        <w:tblStyle w:val="850"/>
        <w:tblW w:w="8221"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3"/>
        <w:gridCol w:w="1524"/>
        <w:gridCol w:w="2664"/>
      </w:tblGrid>
      <w:tr>
        <w:trPr>
          <w:trHeight w:val="567"/>
        </w:trPr>
        <w:tc>
          <w:tcPr>
            <w:tcBorders>
              <w:top w:val="single" w:color="auto" w:sz="4" w:space="0"/>
              <w:left w:val="single" w:color="auto" w:sz="4" w:space="0"/>
              <w:bottom w:val="single" w:color="auto" w:sz="4" w:space="0"/>
              <w:right w:val="single" w:color="auto" w:sz="4" w:space="0"/>
            </w:tcBorders>
            <w:tcW w:w="4033" w:type="dxa"/>
            <w:vAlign w:val="center"/>
            <w:textDirection w:val="lrTb"/>
            <w:noWrap w:val="false"/>
          </w:tcPr>
          <w:p>
            <w:pPr>
              <w:jc w:val="center"/>
              <w:rPr>
                <w:rFonts w:hint="eastAsia" w:ascii="宋体" w:hAnsi="宋体" w:eastAsia="宋体" w:cs="宋体"/>
                <w:b/>
                <w:sz w:val="24"/>
                <w:lang w:val="en-US" w:eastAsia="zh-CN"/>
              </w:rPr>
            </w:pPr>
            <w:r/>
            <w:bookmarkStart w:id="207" w:name="_Toc16703"/>
            <w:r/>
            <w:bookmarkStart w:id="208" w:name="_Toc23124"/>
            <w:r/>
            <w:bookmarkStart w:id="209" w:name="_Toc14702"/>
            <w:r/>
            <w:bookmarkStart w:id="210" w:name="_Toc30361"/>
            <w:r>
              <w:rPr>
                <w:rFonts w:hint="eastAsia" w:ascii="宋体" w:hAnsi="宋体" w:eastAsia="宋体" w:cs="宋体"/>
                <w:b/>
                <w:sz w:val="28"/>
                <w:szCs w:val="28"/>
                <w:lang w:val="en-US" w:eastAsia="zh-CN"/>
              </w:rPr>
              <w:t xml:space="preserve">监测内容</w:t>
            </w:r>
            <w:r/>
          </w:p>
        </w:tc>
        <w:tc>
          <w:tcPr>
            <w:tcBorders>
              <w:top w:val="single" w:color="auto" w:sz="4" w:space="0"/>
              <w:left w:val="single" w:color="auto" w:sz="4" w:space="0"/>
              <w:bottom w:val="single" w:color="auto" w:sz="4" w:space="0"/>
              <w:right w:val="single" w:color="auto" w:sz="4" w:space="0"/>
            </w:tcBorders>
            <w:tcW w:w="1524" w:type="dxa"/>
            <w:vAlign w:val="center"/>
            <w:textDirection w:val="lrTb"/>
            <w:noWrap w:val="false"/>
          </w:tcPr>
          <w:p>
            <w:pPr>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备注</w:t>
            </w:r>
            <w:r/>
          </w:p>
        </w:tc>
      </w:tr>
      <w:tr>
        <w:trPr>
          <w:trHeight w:val="548"/>
        </w:trPr>
        <w:tc>
          <w:tcPr>
            <w:tcBorders>
              <w:top w:val="single" w:color="auto" w:sz="4" w:space="0"/>
              <w:left w:val="single" w:color="auto" w:sz="4" w:space="0"/>
              <w:bottom w:val="single" w:color="auto" w:sz="4" w:space="0"/>
              <w:right w:val="single" w:color="auto" w:sz="4" w:space="0"/>
            </w:tcBorders>
            <w:tcW w:w="4033" w:type="dxa"/>
            <w:vAlign w:val="center"/>
            <w:textDirection w:val="lrTb"/>
            <w:noWrap w:val="false"/>
          </w:tcPr>
          <w:p>
            <w:pPr>
              <w:ind w:right="-107"/>
              <w:jc w:val="left"/>
              <w:rPr>
                <w:rFonts w:hint="eastAsia" w:ascii="宋体" w:hAnsi="宋体" w:eastAsia="宋体" w:cs="宋体"/>
                <w:sz w:val="24"/>
              </w:rPr>
            </w:pPr>
            <w:r>
              <w:rPr>
                <w:rFonts w:hint="eastAsia" w:ascii="宋体" w:hAnsi="宋体" w:eastAsia="宋体" w:cs="宋体"/>
                <w:sz w:val="24"/>
              </w:rPr>
              <w:t xml:space="preserve">湿地生态环境要素监测</w:t>
            </w:r>
            <w:r/>
          </w:p>
        </w:tc>
        <w:tc>
          <w:tcPr>
            <w:tcBorders>
              <w:top w:val="single" w:color="auto" w:sz="4" w:space="0"/>
              <w:left w:val="single" w:color="auto" w:sz="4" w:space="0"/>
              <w:bottom w:val="single" w:color="auto" w:sz="4" w:space="0"/>
              <w:right w:val="single" w:color="auto" w:sz="4" w:space="0"/>
            </w:tcBorders>
            <w:tcW w:w="1524"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项</w:t>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4033" w:type="dxa"/>
            <w:vAlign w:val="center"/>
            <w:textDirection w:val="lrTb"/>
            <w:noWrap w:val="false"/>
          </w:tcPr>
          <w:p>
            <w:pPr>
              <w:ind w:right="-107"/>
              <w:jc w:val="left"/>
              <w:rPr>
                <w:rFonts w:hint="eastAsia" w:ascii="宋体" w:hAnsi="宋体" w:eastAsia="宋体" w:cs="宋体"/>
                <w:sz w:val="24"/>
              </w:rPr>
            </w:pPr>
            <w:r>
              <w:rPr>
                <w:rFonts w:hint="eastAsia" w:ascii="宋体" w:hAnsi="宋体" w:eastAsia="宋体" w:cs="宋体"/>
                <w:sz w:val="24"/>
              </w:rPr>
              <w:t xml:space="preserve">湿地生物组成监测</w:t>
            </w:r>
            <w:r/>
          </w:p>
        </w:tc>
        <w:tc>
          <w:tcPr>
            <w:tcBorders>
              <w:top w:val="single" w:color="auto" w:sz="4" w:space="0"/>
              <w:left w:val="single" w:color="auto" w:sz="4" w:space="0"/>
              <w:bottom w:val="single" w:color="auto" w:sz="4" w:space="0"/>
              <w:right w:val="single" w:color="auto" w:sz="4" w:space="0"/>
            </w:tcBorders>
            <w:tcW w:w="1524"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项</w:t>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4033" w:type="dxa"/>
            <w:vAlign w:val="center"/>
            <w:textDirection w:val="lrTb"/>
            <w:noWrap w:val="false"/>
          </w:tcPr>
          <w:p>
            <w:pPr>
              <w:ind w:right="-107"/>
              <w:jc w:val="left"/>
              <w:rPr>
                <w:rFonts w:hint="eastAsia" w:ascii="宋体" w:hAnsi="宋体" w:eastAsia="宋体" w:cs="宋体"/>
                <w:sz w:val="24"/>
              </w:rPr>
            </w:pPr>
            <w:r>
              <w:rPr>
                <w:rFonts w:hint="eastAsia" w:ascii="宋体" w:hAnsi="宋体" w:eastAsia="宋体" w:cs="宋体"/>
                <w:sz w:val="24"/>
              </w:rPr>
              <w:t xml:space="preserve">人为活动影响因素监测</w:t>
            </w:r>
            <w:r/>
          </w:p>
        </w:tc>
        <w:tc>
          <w:tcPr>
            <w:tcBorders>
              <w:top w:val="single" w:color="auto" w:sz="4" w:space="0"/>
              <w:left w:val="single" w:color="auto" w:sz="4" w:space="0"/>
              <w:bottom w:val="single" w:color="auto" w:sz="4" w:space="0"/>
              <w:right w:val="single" w:color="auto" w:sz="4" w:space="0"/>
            </w:tcBorders>
            <w:tcW w:w="152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项</w:t>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4033" w:type="dxa"/>
            <w:vAlign w:val="center"/>
            <w:textDirection w:val="lrTb"/>
            <w:noWrap w:val="false"/>
          </w:tcPr>
          <w:p>
            <w:pPr>
              <w:ind w:right="-107"/>
              <w:jc w:val="left"/>
              <w:rPr>
                <w:rFonts w:hint="eastAsia" w:ascii="宋体" w:hAnsi="宋体" w:eastAsia="宋体" w:cs="宋体"/>
                <w:sz w:val="24"/>
              </w:rPr>
            </w:pPr>
            <w:r>
              <w:rPr>
                <w:rFonts w:hint="eastAsia" w:ascii="宋体" w:hAnsi="宋体" w:eastAsia="宋体" w:cs="宋体"/>
                <w:sz w:val="24"/>
              </w:rPr>
              <w:t xml:space="preserve">湿地关键生态过程（固定样地）监测</w:t>
            </w:r>
            <w:r/>
          </w:p>
        </w:tc>
        <w:tc>
          <w:tcPr>
            <w:tcBorders>
              <w:top w:val="single" w:color="auto" w:sz="4" w:space="0"/>
              <w:left w:val="single" w:color="auto" w:sz="4" w:space="0"/>
              <w:bottom w:val="single" w:color="auto" w:sz="4" w:space="0"/>
              <w:right w:val="single" w:color="auto" w:sz="4" w:space="0"/>
            </w:tcBorders>
            <w:tcW w:w="152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项</w:t>
            </w:r>
            <w:r/>
          </w:p>
        </w:tc>
        <w:tc>
          <w:tcPr>
            <w:tcBorders>
              <w:top w:val="single" w:color="auto" w:sz="4" w:space="0"/>
              <w:left w:val="single" w:color="auto" w:sz="4" w:space="0"/>
              <w:bottom w:val="single" w:color="auto" w:sz="4" w:space="0"/>
              <w:right w:val="single" w:color="auto" w:sz="4" w:space="0"/>
            </w:tcBorders>
            <w:tcW w:w="26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spacing w:line="440" w:lineRule="exact"/>
        <w:rPr>
          <w:rFonts w:hint="eastAsia" w:ascii="宋体" w:hAnsi="宋体" w:eastAsia="宋体" w:cs="宋体"/>
          <w:b/>
          <w:sz w:val="28"/>
          <w:szCs w:val="28"/>
          <w:lang w:val="zh-CN" w:eastAsia="zh-CN"/>
        </w:rPr>
        <w:outlineLvl w:val="9"/>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lang w:val="zh-CN"/>
        </w:rPr>
        <w:t xml:space="preserve">、项目服务要求：</w:t>
      </w:r>
      <w:bookmarkEnd w:id="203"/>
      <w:r/>
      <w:bookmarkEnd w:id="204"/>
      <w:r/>
      <w:bookmarkEnd w:id="205"/>
      <w:r/>
      <w:bookmarkEnd w:id="206"/>
      <w:r/>
      <w:bookmarkEnd w:id="207"/>
      <w:r/>
      <w:bookmarkEnd w:id="208"/>
      <w:r/>
      <w:bookmarkEnd w:id="209"/>
      <w:r/>
      <w:bookmarkEnd w:id="210"/>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211" w:name="_Toc16066"/>
      <w:r/>
      <w:bookmarkStart w:id="212" w:name="_Toc7545"/>
      <w:r/>
      <w:bookmarkStart w:id="213" w:name="_Toc19708"/>
      <w:r/>
      <w:bookmarkStart w:id="214" w:name="_Toc6374"/>
      <w:r/>
      <w:bookmarkStart w:id="215" w:name="_Toc12857"/>
      <w:r/>
      <w:bookmarkStart w:id="216" w:name="_Toc16975"/>
      <w:r/>
      <w:bookmarkStart w:id="217" w:name="_Toc24075"/>
      <w:r/>
      <w:bookmarkStart w:id="218" w:name="_Toc7955"/>
      <w:r/>
      <w:bookmarkStart w:id="219" w:name="_Toc1983"/>
      <w:r/>
      <w:bookmarkStart w:id="220" w:name="_Toc7798"/>
      <w:r/>
      <w:bookmarkStart w:id="221" w:name="_Toc9678"/>
      <w:r/>
      <w:bookmarkStart w:id="222" w:name="_Toc16513"/>
      <w:r/>
      <w:bookmarkStart w:id="223" w:name="_Toc13357"/>
      <w:r/>
      <w:bookmarkStart w:id="224" w:name="_Toc8214"/>
      <w:r/>
      <w:bookmarkStart w:id="225" w:name="_Toc23416"/>
      <w:r/>
      <w:bookmarkStart w:id="226" w:name="_Toc2856"/>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长江重要湿地（常熟铁黄沙）是常熟市沿江湿地重要组成部分，根据《江苏省湿地生态监测技术指南》、《江苏省重要湿地监测监控方案》要求，结合长江重要湿地（常熟铁黄沙）生态监控监测系统建设现状，本项目重点对湿地生态环境要素、湿地生物组成、人为活动影响因素、湿地关键生态过程等开展监测服务。</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（1）湿地生态环境要素监测</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湿地生态环境要素监测包括水文、水</w:t>
      </w:r>
      <w:r>
        <w:rPr>
          <w:rFonts w:hint="eastAsia" w:ascii="宋体" w:hAnsi="宋体" w:eastAsia="宋体" w:cs="宋体"/>
          <w:sz w:val="24"/>
          <w:szCs w:val="24"/>
          <w:highlight w:val="none"/>
        </w:rPr>
        <w:t xml:space="preserve">质、气象和沉积物指标的监测。水文监测采用高光谱水质在线监测；水质监测采用高光谱水质在线监测和现场采样实验室分析相结合的方式；气象监测通过从公开数据源获取气象数据的方式实现；沉积物监测采用实验室分析方式。水文水质现场采样实验室分析服务、沉积物现场采样实验室分析服务，应在每次采样监测分析完成后提供</w:t>
      </w:r>
      <w:r>
        <w:rPr>
          <w:rFonts w:hint="eastAsia" w:ascii="宋体" w:hAnsi="宋体" w:eastAsia="宋体" w:cs="宋体"/>
          <w:sz w:val="24"/>
          <w:szCs w:val="24"/>
          <w:highlight w:val="none"/>
          <w:lang w:val="en-US" w:eastAsia="zh-CN"/>
        </w:rPr>
        <w:t xml:space="preserve">专业</w:t>
      </w:r>
      <w:r>
        <w:rPr>
          <w:rFonts w:hint="eastAsia" w:ascii="宋体" w:hAnsi="宋体" w:eastAsia="宋体" w:cs="宋体"/>
          <w:sz w:val="24"/>
          <w:szCs w:val="24"/>
          <w:highlight w:val="none"/>
        </w:rPr>
        <w:t xml:space="preserve">检测报告。</w:t>
      </w:r>
      <w:r/>
    </w:p>
    <w:p>
      <w:pPr>
        <w:ind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湿地生态环境要素监测服务要求</w:t>
      </w:r>
      <w:r/>
    </w:p>
    <w:tbl>
      <w:tblPr>
        <w:tblStyle w:val="85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559"/>
        <w:gridCol w:w="2920"/>
        <w:gridCol w:w="2634"/>
        <w:gridCol w:w="1799"/>
      </w:tblGrid>
      <w:tr>
        <w:trPr/>
        <w:tc>
          <w:tcPr>
            <w:shd w:val="clear" w:color="auto" w:fill="d9d9d9"/>
            <w:tcW w:w="993"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类型</w:t>
            </w:r>
            <w:r/>
          </w:p>
        </w:tc>
        <w:tc>
          <w:tcPr>
            <w:shd w:val="clear" w:color="auto" w:fill="d9d9d9"/>
            <w:tcW w:w="1559"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监测方法</w:t>
            </w:r>
            <w:r/>
          </w:p>
        </w:tc>
        <w:tc>
          <w:tcPr>
            <w:shd w:val="clear" w:color="auto" w:fill="d9d9d9"/>
            <w:tcW w:w="2920"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监测因子</w:t>
            </w:r>
            <w:r/>
          </w:p>
        </w:tc>
        <w:tc>
          <w:tcPr>
            <w:shd w:val="clear" w:color="auto" w:fill="d9d9d9"/>
            <w:tcW w:w="2634"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监测频次</w:t>
            </w:r>
            <w:r/>
          </w:p>
        </w:tc>
        <w:tc>
          <w:tcPr>
            <w:shd w:val="clear" w:color="auto" w:fill="d9d9d9"/>
            <w:tcW w:w="1799"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监测区域</w:t>
            </w:r>
            <w:r/>
          </w:p>
        </w:tc>
      </w:tr>
      <w:tr>
        <w:trPr/>
        <w:tc>
          <w:tcPr>
            <w:tcW w:w="993" w:type="dxa"/>
            <w:vAlign w:val="center"/>
            <w:vMerge w:val="restart"/>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水文水质</w:t>
            </w:r>
            <w:r/>
          </w:p>
        </w:tc>
        <w:tc>
          <w:tcPr>
            <w:tcW w:w="155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高光谱在线监测</w:t>
            </w:r>
            <w:r/>
          </w:p>
        </w:tc>
        <w:tc>
          <w:tcPr>
            <w:tcW w:w="2920"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水文：水位、地表水深；</w:t>
            </w:r>
            <w:r/>
          </w:p>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水质：高锰酸盐指数、总氮、总磷、氨氮、叶绿素a、透明度、浊度</w:t>
            </w:r>
            <w:r/>
          </w:p>
        </w:tc>
        <w:tc>
          <w:tcPr>
            <w:tcW w:w="2634" w:type="dxa"/>
            <w:vAlign w:val="center"/>
            <w:vMerge w:val="restart"/>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实时在线监测，采样频率不低于1小时</w:t>
            </w:r>
            <w:r/>
          </w:p>
        </w:tc>
        <w:tc>
          <w:tcPr>
            <w:tcW w:w="1799" w:type="dxa"/>
            <w:vAlign w:val="center"/>
            <w:vMerge w:val="restart"/>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长江干流区，点位数量：1个。</w:t>
            </w:r>
            <w:r/>
          </w:p>
        </w:tc>
      </w:tr>
      <w:tr>
        <w:trPr/>
        <w:tc>
          <w:tcPr>
            <w:tcW w:w="993" w:type="dxa"/>
            <w:vAlign w:val="center"/>
            <w:vMerge w:val="continue"/>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沉入式传感器</w:t>
            </w:r>
            <w:r/>
          </w:p>
        </w:tc>
        <w:tc>
          <w:tcPr>
            <w:tcW w:w="2920"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水温、pH值、电导率、溶解氧、盐度</w:t>
            </w:r>
            <w:r/>
          </w:p>
        </w:tc>
        <w:tc>
          <w:tcPr>
            <w:tcW w:w="2634" w:type="dxa"/>
            <w:vAlign w:val="center"/>
            <w:vMerge w:val="continue"/>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799" w:type="dxa"/>
            <w:vAlign w:val="center"/>
            <w:vMerge w:val="continue"/>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93" w:type="dxa"/>
            <w:vAlign w:val="center"/>
            <w:vMerge w:val="continue"/>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现场采样实验室分析</w:t>
            </w:r>
            <w:r/>
          </w:p>
        </w:tc>
        <w:tc>
          <w:tcPr>
            <w:tcW w:w="2920"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高锰酸盐指数、总氮、总磷、氨氮、叶绿素a、透明度</w:t>
            </w:r>
            <w:r/>
          </w:p>
        </w:tc>
        <w:tc>
          <w:tcPr>
            <w:tcW w:w="2634"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每季度1次，共计4次。每次采样，每个样点采集3个重复样品。</w:t>
            </w:r>
            <w:r/>
          </w:p>
        </w:tc>
        <w:tc>
          <w:tcPr>
            <w:tcW w:w="1799" w:type="dxa"/>
            <w:vAlign w:val="center"/>
            <w:vMerge w:val="continue"/>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93"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气象</w:t>
            </w:r>
            <w:r/>
          </w:p>
        </w:tc>
        <w:tc>
          <w:tcPr>
            <w:tcW w:w="155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获取公开气象数据</w:t>
            </w:r>
            <w:r/>
          </w:p>
        </w:tc>
        <w:tc>
          <w:tcPr>
            <w:tcW w:w="2920"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空气温度、相对湿度、气压、风向、风速、降水量、云量、能见度、天气现象、PM2.5、AQI指数</w:t>
            </w:r>
            <w:r/>
          </w:p>
        </w:tc>
        <w:tc>
          <w:tcPr>
            <w:tcW w:w="2634"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自动监测，每小时1次</w:t>
            </w:r>
            <w:r/>
          </w:p>
        </w:tc>
        <w:tc>
          <w:tcPr>
            <w:tcW w:w="179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常熟铁黄沙中心坐标附近，点位数量：1个。</w:t>
            </w:r>
            <w:r/>
          </w:p>
        </w:tc>
      </w:tr>
      <w:tr>
        <w:trPr/>
        <w:tc>
          <w:tcPr>
            <w:tcW w:w="993"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沉积物</w:t>
            </w:r>
            <w:r/>
          </w:p>
        </w:tc>
        <w:tc>
          <w:tcPr>
            <w:tcW w:w="155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现场采样实验室分析</w:t>
            </w:r>
            <w:r/>
          </w:p>
        </w:tc>
        <w:tc>
          <w:tcPr>
            <w:tcW w:w="2920"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pH值、机械组成、含水率、有机质、全氮、全磷</w:t>
            </w:r>
            <w:r/>
          </w:p>
        </w:tc>
        <w:tc>
          <w:tcPr>
            <w:tcW w:w="2634"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每年1次，共计1次。每次采样，每个样点采集3个重复样品。</w:t>
            </w:r>
            <w:r/>
          </w:p>
        </w:tc>
        <w:tc>
          <w:tcPr>
            <w:tcW w:w="179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长江干流区，点位数量：1个。</w:t>
            </w:r>
            <w:r/>
          </w:p>
        </w:tc>
      </w:tr>
    </w:tbl>
    <w:p>
      <w:pPr>
        <w:ind w:firstLine="48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（2）湿地生物组成监测</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在长江重要湿地（常熟铁黄沙）区域开展鸟类智慧监测，通过在线监测设备，获取监测点周边的鸟类图像，实时识别鸟类资源。</w:t>
      </w:r>
      <w:r/>
    </w:p>
    <w:p>
      <w:pPr>
        <w:ind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湿地生物组成监测服务要求</w:t>
      </w:r>
      <w:r/>
    </w:p>
    <w:tbl>
      <w:tblPr>
        <w:tblStyle w:val="85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1559"/>
        <w:gridCol w:w="1843"/>
        <w:gridCol w:w="1559"/>
        <w:gridCol w:w="3368"/>
      </w:tblGrid>
      <w:tr>
        <w:trPr/>
        <w:tc>
          <w:tcPr>
            <w:shd w:val="clear" w:color="auto" w:fill="d9d9d9"/>
            <w:tcW w:w="1560"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类型</w:t>
            </w:r>
            <w:r/>
          </w:p>
        </w:tc>
        <w:tc>
          <w:tcPr>
            <w:shd w:val="clear" w:color="auto" w:fill="d9d9d9"/>
            <w:tcW w:w="1559"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监测方法</w:t>
            </w:r>
            <w:r/>
          </w:p>
        </w:tc>
        <w:tc>
          <w:tcPr>
            <w:shd w:val="clear" w:color="auto" w:fill="d9d9d9"/>
            <w:tcW w:w="1843"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监测因子</w:t>
            </w:r>
            <w:r/>
          </w:p>
        </w:tc>
        <w:tc>
          <w:tcPr>
            <w:shd w:val="clear" w:color="auto" w:fill="d9d9d9"/>
            <w:tcW w:w="1559"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监测频次</w:t>
            </w:r>
            <w:r/>
          </w:p>
        </w:tc>
        <w:tc>
          <w:tcPr>
            <w:shd w:val="clear" w:color="auto" w:fill="d9d9d9"/>
            <w:tcW w:w="3368"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监测区域</w:t>
            </w:r>
            <w:r/>
          </w:p>
        </w:tc>
      </w:tr>
      <w:tr>
        <w:trPr/>
        <w:tc>
          <w:tcPr>
            <w:tcW w:w="1560"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鸟类智慧监测</w:t>
            </w:r>
            <w:r/>
          </w:p>
        </w:tc>
        <w:tc>
          <w:tcPr>
            <w:tcW w:w="155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视频AI识别</w:t>
            </w:r>
            <w:r/>
          </w:p>
        </w:tc>
        <w:tc>
          <w:tcPr>
            <w:tcW w:w="1843"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鸟类的种类、数量和分布</w:t>
            </w:r>
            <w:r/>
          </w:p>
        </w:tc>
        <w:tc>
          <w:tcPr>
            <w:tcW w:w="155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实时在线监测</w:t>
            </w:r>
            <w:r/>
          </w:p>
        </w:tc>
        <w:tc>
          <w:tcPr>
            <w:tcW w:w="3368"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常熟铁黄沙鸟类集中分布区，点位数量：2个</w:t>
            </w:r>
            <w:r/>
          </w:p>
        </w:tc>
      </w:tr>
      <w:tr>
        <w:trPr/>
        <w:tc>
          <w:tcPr>
            <w:tcW w:w="1560"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鸟类视频监控升级</w:t>
            </w:r>
            <w:r/>
          </w:p>
        </w:tc>
        <w:tc>
          <w:tcPr>
            <w:tcW w:w="155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视频监控</w:t>
            </w:r>
            <w:r/>
          </w:p>
        </w:tc>
        <w:tc>
          <w:tcPr>
            <w:tcW w:w="1843"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1559"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实时在线监测</w:t>
            </w:r>
            <w:r/>
          </w:p>
        </w:tc>
        <w:tc>
          <w:tcPr>
            <w:tcW w:w="3368"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升级螺蛳湾北岸已建2处鸟类视频监控点</w:t>
            </w:r>
            <w:r/>
          </w:p>
        </w:tc>
      </w:tr>
    </w:tbl>
    <w:p>
      <w:pPr>
        <w:ind w:firstLine="48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（3）人为活动影响因素监测</w:t>
      </w:r>
      <w:r/>
    </w:p>
    <w:p>
      <w:pPr>
        <w:ind w:firstLine="48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在长江重要湿地（常熟铁黄沙）区域开展人为活动监测，对关键节点处人流量、车流量及大范围的禁止行为开展</w:t>
      </w:r>
      <w:r>
        <w:rPr>
          <w:rFonts w:hint="eastAsia" w:ascii="宋体" w:hAnsi="宋体" w:eastAsia="宋体" w:cs="宋体"/>
          <w:sz w:val="24"/>
          <w:szCs w:val="24"/>
          <w:lang w:val="en-US" w:eastAsia="zh-CN"/>
        </w:rPr>
        <w:t xml:space="preserve">实时</w:t>
      </w:r>
      <w:r>
        <w:rPr>
          <w:rFonts w:hint="eastAsia" w:ascii="宋体" w:hAnsi="宋体" w:eastAsia="宋体" w:cs="宋体"/>
          <w:sz w:val="24"/>
          <w:szCs w:val="24"/>
        </w:rPr>
        <w:t xml:space="preserve">在线监测。</w:t>
      </w:r>
      <w:r/>
    </w:p>
    <w:p>
      <w:pPr>
        <w:ind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人为活动影响因素监测服务要求</w:t>
      </w:r>
      <w:r/>
    </w:p>
    <w:tbl>
      <w:tblPr>
        <w:tblStyle w:val="85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1276"/>
        <w:gridCol w:w="2126"/>
        <w:gridCol w:w="1134"/>
        <w:gridCol w:w="4060"/>
      </w:tblGrid>
      <w:tr>
        <w:trPr/>
        <w:tc>
          <w:tcPr>
            <w:shd w:val="clear" w:color="auto" w:fill="d9d9d9"/>
            <w:tcW w:w="1276"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类型</w:t>
            </w:r>
            <w:r/>
          </w:p>
        </w:tc>
        <w:tc>
          <w:tcPr>
            <w:shd w:val="clear" w:color="auto" w:fill="d9d9d9"/>
            <w:tcW w:w="1276"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监测方法</w:t>
            </w:r>
            <w:r/>
          </w:p>
        </w:tc>
        <w:tc>
          <w:tcPr>
            <w:shd w:val="clear" w:color="auto" w:fill="d9d9d9"/>
            <w:tcW w:w="2126"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监测因子</w:t>
            </w:r>
            <w:r/>
          </w:p>
        </w:tc>
        <w:tc>
          <w:tcPr>
            <w:shd w:val="clear" w:color="auto" w:fill="d9d9d9"/>
            <w:tcW w:w="1134"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监测频次</w:t>
            </w:r>
            <w:r/>
          </w:p>
        </w:tc>
        <w:tc>
          <w:tcPr>
            <w:shd w:val="clear" w:color="auto" w:fill="d9d9d9"/>
            <w:tcW w:w="4060"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监测区域</w:t>
            </w:r>
            <w:r/>
          </w:p>
        </w:tc>
      </w:tr>
      <w:tr>
        <w:trPr/>
        <w:tc>
          <w:tcPr>
            <w:tcW w:w="1276"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人流车流</w:t>
            </w:r>
            <w:r/>
          </w:p>
        </w:tc>
        <w:tc>
          <w:tcPr>
            <w:tcW w:w="1276"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卡口相机</w:t>
            </w:r>
            <w:r/>
          </w:p>
        </w:tc>
        <w:tc>
          <w:tcPr>
            <w:tcW w:w="2126"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人流量、车流量</w:t>
            </w:r>
            <w:r/>
          </w:p>
        </w:tc>
        <w:tc>
          <w:tcPr>
            <w:tcW w:w="1134" w:type="dxa"/>
            <w:vAlign w:val="center"/>
            <w:vMerge w:val="restart"/>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实时在线监测</w:t>
            </w:r>
            <w:r/>
          </w:p>
        </w:tc>
        <w:tc>
          <w:tcPr>
            <w:tcW w:w="406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铁黄沙环岛大堤入口处，点位数量：1个</w:t>
            </w:r>
            <w:r/>
          </w:p>
        </w:tc>
      </w:tr>
      <w:tr>
        <w:trPr/>
        <w:tc>
          <w:tcPr>
            <w:tcW w:w="1276" w:type="dxa"/>
            <w:vAlign w:val="center"/>
            <w:vMerge w:val="restart"/>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禁止行为</w:t>
            </w:r>
            <w:r/>
          </w:p>
        </w:tc>
        <w:tc>
          <w:tcPr>
            <w:tcW w:w="1276"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高塔监控</w:t>
            </w:r>
            <w:r/>
          </w:p>
        </w:tc>
        <w:tc>
          <w:tcPr>
            <w:tcW w:w="2126" w:type="dxa"/>
            <w:vAlign w:val="center"/>
            <w:vMerge w:val="restart"/>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垂钓、捕猎、盗采、盗伐等禁止行为</w:t>
            </w:r>
            <w:r/>
          </w:p>
        </w:tc>
        <w:tc>
          <w:tcPr>
            <w:tcW w:w="1134" w:type="dxa"/>
            <w:vAlign w:val="center"/>
            <w:vMerge w:val="continue"/>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406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黄沙南侧通信铁塔，点位数量：1个</w:t>
            </w:r>
            <w:r/>
          </w:p>
        </w:tc>
      </w:tr>
      <w:tr>
        <w:trPr/>
        <w:tc>
          <w:tcPr>
            <w:tcW w:w="1276" w:type="dxa"/>
            <w:vAlign w:val="center"/>
            <w:vMerge w:val="continue"/>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无人机巡护</w:t>
            </w:r>
            <w:r/>
          </w:p>
        </w:tc>
        <w:tc>
          <w:tcPr>
            <w:tcW w:w="2126" w:type="dxa"/>
            <w:vAlign w:val="center"/>
            <w:vMerge w:val="continue"/>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每天不少于2次</w:t>
            </w:r>
            <w:r/>
          </w:p>
        </w:tc>
        <w:tc>
          <w:tcPr>
            <w:tcW w:w="406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铁黄沙沙洲中部指挥中心北侧，点位数量：1个</w:t>
            </w:r>
            <w:r/>
          </w:p>
        </w:tc>
      </w:tr>
    </w:tbl>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（4）湿地关键生态过程（固定样地）监测</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在盐铁塘河口东侧江滩芦苇植被区开展湿地关键生态过程（固定样地）监测，此处湿地植被带南北宽度约500 m，土壤基质均一、植被分布均匀、地形起伏较小，具有较高的均质性。</w:t>
      </w:r>
      <w:r/>
    </w:p>
    <w:p>
      <w:pPr>
        <w:ind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湿地关键生态过程（固定样地）监测服务要求</w:t>
      </w:r>
      <w:r/>
    </w:p>
    <w:tbl>
      <w:tblPr>
        <w:tblStyle w:val="85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1276"/>
        <w:gridCol w:w="3037"/>
        <w:gridCol w:w="1650"/>
        <w:gridCol w:w="2500"/>
      </w:tblGrid>
      <w:tr>
        <w:trPr/>
        <w:tc>
          <w:tcPr>
            <w:shd w:val="clear" w:color="auto" w:fill="d9d9d9"/>
            <w:tcW w:w="1276"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类型</w:t>
            </w:r>
            <w:r/>
          </w:p>
        </w:tc>
        <w:tc>
          <w:tcPr>
            <w:shd w:val="clear" w:color="auto" w:fill="d9d9d9"/>
            <w:tcW w:w="1276"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监测方法</w:t>
            </w:r>
            <w:r/>
          </w:p>
        </w:tc>
        <w:tc>
          <w:tcPr>
            <w:shd w:val="clear" w:color="auto" w:fill="d9d9d9"/>
            <w:tcW w:w="3037"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监测因子</w:t>
            </w:r>
            <w:r/>
          </w:p>
        </w:tc>
        <w:tc>
          <w:tcPr>
            <w:shd w:val="clear" w:color="auto" w:fill="d9d9d9"/>
            <w:tcW w:w="1650"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监测频次</w:t>
            </w:r>
            <w:r/>
          </w:p>
        </w:tc>
        <w:tc>
          <w:tcPr>
            <w:shd w:val="clear" w:color="auto" w:fill="d9d9d9"/>
            <w:tcW w:w="2500"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监测区域</w:t>
            </w:r>
            <w:r/>
          </w:p>
        </w:tc>
      </w:tr>
      <w:tr>
        <w:trPr/>
        <w:tc>
          <w:tcPr>
            <w:tcW w:w="1276"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样地植物观测</w:t>
            </w:r>
            <w:r/>
          </w:p>
        </w:tc>
        <w:tc>
          <w:tcPr>
            <w:tcW w:w="1276"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多光谱物候观测</w:t>
            </w:r>
            <w:r/>
          </w:p>
        </w:tc>
        <w:tc>
          <w:tcPr>
            <w:tcW w:w="3037"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植被群落NDVI、GNDVI、NDRE、OSAVI等植被指数</w:t>
            </w:r>
            <w:r/>
          </w:p>
        </w:tc>
        <w:tc>
          <w:tcPr>
            <w:tcW w:w="1650" w:type="dxa"/>
            <w:vAlign w:val="center"/>
            <w:textDirection w:val="lrTb"/>
            <w:noWrap w:val="false"/>
          </w:tcPr>
          <w:p>
            <w:pPr>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昼间监测，每日1次</w:t>
            </w:r>
            <w:r/>
          </w:p>
        </w:tc>
        <w:tc>
          <w:tcPr>
            <w:tcW w:w="25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固定样地中，点位数量：1个</w:t>
            </w:r>
            <w:r/>
          </w:p>
        </w:tc>
      </w:tr>
      <w:tr>
        <w:trPr/>
        <w:tc>
          <w:tcPr>
            <w:tcW w:w="1276"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碳通量观测</w:t>
            </w:r>
            <w:r/>
          </w:p>
        </w:tc>
        <w:tc>
          <w:tcPr>
            <w:tcW w:w="1276"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涡动通量观测</w:t>
            </w:r>
            <w:r/>
          </w:p>
        </w:tc>
        <w:tc>
          <w:tcPr>
            <w:tcW w:w="3037"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CO</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和H</w:t>
            </w:r>
            <w:r>
              <w:rPr>
                <w:rFonts w:hint="eastAsia" w:ascii="宋体" w:hAnsi="宋体" w:eastAsia="宋体" w:cs="宋体"/>
                <w:sz w:val="24"/>
                <w:szCs w:val="24"/>
                <w:vertAlign w:val="subscript"/>
              </w:rPr>
              <w:t xml:space="preserve">2</w:t>
            </w:r>
            <w:r>
              <w:rPr>
                <w:rFonts w:hint="eastAsia" w:ascii="宋体" w:hAnsi="宋体" w:eastAsia="宋体" w:cs="宋体"/>
                <w:sz w:val="24"/>
                <w:szCs w:val="24"/>
              </w:rPr>
              <w:t xml:space="preserve">O通量，空气温湿度、气压、地表温度、光合有效辐射、净辐射、降雨量和地表热通量</w:t>
            </w:r>
            <w:r/>
          </w:p>
        </w:tc>
        <w:tc>
          <w:tcPr>
            <w:tcW w:w="165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实时在线监测，采样频率不低于1小时</w:t>
            </w:r>
            <w:r/>
          </w:p>
        </w:tc>
        <w:tc>
          <w:tcPr>
            <w:tcW w:w="25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固定样地中，点位数量：1个</w:t>
            </w:r>
            <w:r/>
          </w:p>
        </w:tc>
      </w:tr>
    </w:tbl>
    <w:p>
      <w:pPr>
        <w:ind w:firstLine="482"/>
        <w:jc w:val="both"/>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（5）监测技术服务</w:t>
      </w:r>
      <w:r/>
    </w:p>
    <w:p>
      <w:pPr>
        <w:ind w:firstLine="482"/>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①重要湿地监测与管理平台数据接入：</w:t>
      </w:r>
      <w:r>
        <w:rPr>
          <w:rFonts w:hint="eastAsia" w:ascii="宋体" w:hAnsi="宋体" w:eastAsia="宋体" w:cs="宋体"/>
          <w:sz w:val="24"/>
          <w:szCs w:val="24"/>
          <w:highlight w:val="none"/>
        </w:rPr>
        <w:t xml:space="preserve">在江苏省林业局下发的重要湿地监测与管理系统端口基础上（平台数据与协议标准参照《江苏省重要湿地监测监控方案》相关规定），构建长江重要湿地（常熟铁黄沙）监测与管理平台，将长江重要湿地（常熟铁黄沙）基本信息、湿地生态环境要素监测、湿地生物组成监测、人为活动影响因素监测、湿地关键生态过程监测等监测数据上传至该平台，并与现有“常熟市湿地监测与管理平台”进行数据整合。</w:t>
      </w:r>
      <w:r/>
    </w:p>
    <w:p>
      <w:pPr>
        <w:ind w:firstLine="482"/>
        <w:jc w:val="both"/>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②监测报告：</w:t>
      </w:r>
      <w:r>
        <w:rPr>
          <w:rFonts w:hint="eastAsia" w:ascii="宋体" w:hAnsi="宋体" w:eastAsia="宋体" w:cs="宋体"/>
          <w:sz w:val="24"/>
          <w:szCs w:val="24"/>
          <w:highlight w:val="none"/>
        </w:rPr>
        <w:t xml:space="preserve">对本项目监测获取的原始数据进行统计及数据处理，分析湿地生态环境要素、湿地生物组成、人为活动影响、湿地关键生态过程等监测现状、变化趋势，识别影响因素，提出合理化建议，形成</w:t>
      </w:r>
      <w:r>
        <w:rPr>
          <w:rFonts w:hint="eastAsia" w:ascii="Times New Roman" w:hAnsi="Times New Roman" w:eastAsia="宋体" w:cs="Times New Roman"/>
          <w:sz w:val="24"/>
          <w:szCs w:val="24"/>
          <w:highlight w:val="none"/>
        </w:rPr>
        <w:t xml:space="preserve">年度监测成果</w:t>
      </w:r>
      <w:r>
        <w:rPr>
          <w:rFonts w:hint="eastAsia" w:ascii="Times New Roman" w:hAnsi="Times New Roman" w:eastAsia="宋体" w:cs="Times New Roman"/>
          <w:sz w:val="24"/>
          <w:szCs w:val="24"/>
          <w:highlight w:val="none"/>
          <w:lang w:eastAsia="zh-CN"/>
        </w:rPr>
        <w:t xml:space="preserve">，</w:t>
      </w:r>
      <w:r>
        <w:rPr>
          <w:rFonts w:hint="eastAsia" w:ascii="宋体" w:hAnsi="宋体" w:eastAsia="宋体" w:cs="宋体"/>
          <w:sz w:val="24"/>
          <w:szCs w:val="24"/>
          <w:highlight w:val="none"/>
        </w:rPr>
        <w:t xml:space="preserve">提交</w:t>
      </w:r>
      <w:r>
        <w:rPr>
          <w:rFonts w:hint="eastAsia" w:ascii="Times New Roman" w:hAnsi="Times New Roman" w:eastAsia="宋体" w:cs="Times New Roman"/>
          <w:sz w:val="24"/>
          <w:szCs w:val="24"/>
          <w:highlight w:val="none"/>
        </w:rPr>
        <w:t xml:space="preserve">年度监测成果</w:t>
      </w:r>
      <w:r>
        <w:rPr>
          <w:rFonts w:hint="eastAsia" w:ascii="宋体" w:hAnsi="宋体" w:eastAsia="宋体" w:cs="宋体"/>
          <w:sz w:val="24"/>
          <w:szCs w:val="24"/>
          <w:highlight w:val="none"/>
        </w:rPr>
        <w:t xml:space="preserve">电子版1份，纸质版6份。用于评估项目区生态环境状况，为湿地资源的科学管理、保护修复及相关政策制定提供数据支撑与决策依据。</w:t>
      </w:r>
      <w:r/>
    </w:p>
    <w:p>
      <w:pPr>
        <w:numPr>
          <w:ilvl w:val="0"/>
          <w:numId w:val="0"/>
        </w:numPr>
        <w:ind w:firstLine="0"/>
        <w:keepLines w:val="0"/>
        <w:keepNext w:val="0"/>
        <w:pageBreakBefore w:val="0"/>
        <w:spacing w:line="4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b w:val="0"/>
          <w:bCs w:val="0"/>
          <w:sz w:val="24"/>
          <w:szCs w:val="24"/>
          <w:lang w:val="en-US" w:eastAsia="zh-CN"/>
        </w:rPr>
        <w:t xml:space="preserve">人员要求：</w:t>
      </w:r>
      <w:r/>
    </w:p>
    <w:p>
      <w:pPr>
        <w:pStyle w:val="854"/>
        <w:numPr>
          <w:ilvl w:val="0"/>
          <w:numId w:val="0"/>
        </w:numPr>
        <w:ind w:firstLine="574"/>
        <w:keepLines w:val="0"/>
        <w:keepNext w:val="0"/>
        <w:pageBreakBefore w:val="0"/>
        <w:spacing w:line="440" w:lineRule="exact"/>
        <w:widowControl w:val="off"/>
        <w:rPr>
          <w:rFonts w:hint="eastAsia" w:ascii="宋体" w:hAnsi="宋体" w:eastAsia="宋体" w:cs="宋体"/>
          <w:lang w:val="en-US" w:eastAsia="zh-CN"/>
        </w:rPr>
      </w:pPr>
      <w:r>
        <w:rPr>
          <w:rFonts w:hint="eastAsia" w:ascii="宋体" w:hAnsi="宋体" w:eastAsia="宋体" w:cs="宋体"/>
          <w:color w:val="000000"/>
          <w:sz w:val="24"/>
          <w:highlight w:val="none"/>
        </w:rPr>
        <w:t xml:space="preserve">为本项目</w:t>
      </w:r>
      <w:r>
        <w:rPr>
          <w:rFonts w:hint="eastAsia" w:ascii="宋体" w:hAnsi="宋体" w:eastAsia="宋体" w:cs="宋体"/>
          <w:color w:val="000000"/>
          <w:sz w:val="24"/>
          <w:highlight w:val="none"/>
          <w:lang w:val="en-US" w:eastAsia="zh-CN"/>
        </w:rPr>
        <w:t xml:space="preserve">必须</w:t>
      </w:r>
      <w:r>
        <w:rPr>
          <w:rFonts w:hint="eastAsia" w:ascii="宋体" w:hAnsi="宋体" w:eastAsia="宋体" w:cs="宋体"/>
          <w:color w:val="000000"/>
          <w:sz w:val="24"/>
          <w:highlight w:val="none"/>
        </w:rPr>
        <w:t xml:space="preserve">配备</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名</w:t>
      </w:r>
      <w:r>
        <w:rPr>
          <w:rFonts w:hint="eastAsia" w:ascii="宋体" w:hAnsi="宋体" w:eastAsia="宋体" w:cs="宋体"/>
          <w:color w:val="000000"/>
          <w:sz w:val="24"/>
          <w:highlight w:val="none"/>
          <w:lang w:val="en-US" w:eastAsia="zh-CN"/>
        </w:rPr>
        <w:t xml:space="preserve">项目负责人及相关工作人员</w:t>
      </w:r>
      <w:r>
        <w:rPr>
          <w:rFonts w:hint="eastAsia" w:ascii="宋体" w:hAnsi="宋体" w:eastAsia="宋体" w:cs="宋体"/>
          <w:color w:val="000000"/>
          <w:sz w:val="24"/>
          <w:highlight w:val="none"/>
        </w:rPr>
        <w:t xml:space="preserve">。应具备相关专业知识</w:t>
      </w:r>
      <w:r>
        <w:rPr>
          <w:rFonts w:hint="eastAsia" w:ascii="宋体" w:hAnsi="宋体" w:eastAsia="宋体" w:cs="宋体"/>
          <w:color w:val="000000"/>
          <w:sz w:val="24"/>
          <w:highlight w:val="none"/>
          <w:lang w:val="en-US" w:eastAsia="zh-CN"/>
        </w:rPr>
        <w:t xml:space="preserve">及经验。</w:t>
      </w:r>
      <w:r/>
    </w:p>
    <w:p>
      <w:pPr>
        <w:ind w:firstLine="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监测主要技术要求</w:t>
      </w:r>
      <w:r/>
    </w:p>
    <w:p>
      <w:pPr>
        <w:ind w:firstLine="0"/>
        <w:jc w:val="center"/>
        <w:rPr>
          <w:rFonts w:hint="eastAsia" w:ascii="宋体" w:hAnsi="宋体" w:eastAsia="宋体" w:cs="宋体"/>
          <w:sz w:val="24"/>
          <w:szCs w:val="24"/>
        </w:rPr>
      </w:pPr>
      <w:r>
        <w:rPr>
          <w:rFonts w:hint="eastAsia" w:ascii="宋体" w:hAnsi="宋体" w:eastAsia="宋体" w:cs="宋体"/>
          <w:b/>
          <w:bCs/>
          <w:sz w:val="24"/>
          <w:szCs w:val="24"/>
        </w:rPr>
        <w:t xml:space="preserve">主要监测服务及设备要求</w:t>
      </w:r>
      <w:r/>
    </w:p>
    <w:tbl>
      <w:tblPr>
        <w:tblStyle w:val="850"/>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409"/>
        <w:gridCol w:w="1009"/>
        <w:gridCol w:w="993"/>
        <w:gridCol w:w="8069"/>
      </w:tblGrid>
      <w:tr>
        <w:trPr>
          <w:trHeight w:val="20"/>
        </w:trPr>
        <w:tc>
          <w:tcPr>
            <w:tcW w:w="409" w:type="dxa"/>
            <w:vAlign w:val="center"/>
            <w:textDirection w:val="lrTb"/>
            <w:noWrap/>
          </w:tcPr>
          <w:p>
            <w:pPr>
              <w:ind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编号</w:t>
            </w:r>
            <w:r/>
          </w:p>
        </w:tc>
        <w:tc>
          <w:tcPr>
            <w:tcW w:w="1009" w:type="dxa"/>
            <w:vAlign w:val="center"/>
            <w:textDirection w:val="lrTb"/>
            <w:noWrap/>
          </w:tcPr>
          <w:p>
            <w:pPr>
              <w:ind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类型</w:t>
            </w:r>
            <w:r/>
          </w:p>
        </w:tc>
        <w:tc>
          <w:tcPr>
            <w:tcW w:w="993" w:type="dxa"/>
            <w:vAlign w:val="center"/>
            <w:textDirection w:val="lrTb"/>
            <w:noWrap/>
          </w:tcPr>
          <w:p>
            <w:pPr>
              <w:ind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tc>
        <w:tc>
          <w:tcPr>
            <w:tcW w:w="8069" w:type="dxa"/>
            <w:vAlign w:val="center"/>
            <w:textDirection w:val="lrTb"/>
            <w:noWrap/>
          </w:tcPr>
          <w:p>
            <w:pPr>
              <w:ind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技术要求</w:t>
            </w:r>
            <w:r/>
          </w:p>
        </w:tc>
      </w:tr>
      <w:tr>
        <w:trPr>
          <w:trHeight w:val="20"/>
        </w:trPr>
        <w:tc>
          <w:tcPr>
            <w:shd w:val="clear" w:color="auto" w:fill="ffffff"/>
            <w:tcW w:w="4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10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湿地生态环境要素监测</w:t>
            </w:r>
            <w:r/>
          </w:p>
        </w:tc>
        <w:tc>
          <w:tcPr>
            <w:shd w:val="clear" w:color="auto" w:fill="ffffff"/>
            <w:tcW w:w="993"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水文水质监测</w:t>
            </w:r>
            <w:r/>
          </w:p>
        </w:tc>
        <w:tc>
          <w:tcPr>
            <w:shd w:val="clear" w:color="auto" w:fill="ffffff"/>
            <w:tcW w:w="8069" w:type="dxa"/>
            <w:vAlign w:val="center"/>
            <w:textDirection w:val="lrTb"/>
            <w:noWrap/>
          </w:tcPr>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对1处水体的关键指标开展连续在线监测，并确保监测数据的实时获取、远程控制与稳定回传</w:t>
            </w:r>
            <w:r>
              <w:rPr>
                <w:rFonts w:hint="eastAsia" w:ascii="宋体" w:hAnsi="宋体" w:eastAsia="宋体" w:cs="宋体"/>
                <w:sz w:val="24"/>
                <w:szCs w:val="24"/>
                <w:highlight w:val="none"/>
              </w:rPr>
              <w:t xml:space="preserve">，服务期1年。</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（1）监测方法与指标：采用</w:t>
            </w:r>
            <w:r>
              <w:rPr>
                <w:rFonts w:hint="eastAsia" w:ascii="宋体" w:hAnsi="宋体" w:eastAsia="宋体" w:cs="宋体"/>
                <w:sz w:val="24"/>
                <w:szCs w:val="24"/>
                <w:highlight w:val="none"/>
                <w:lang w:val="en-US" w:eastAsia="zh-CN"/>
              </w:rPr>
              <w:t xml:space="preserve">专业监测仪器</w:t>
            </w:r>
            <w:r>
              <w:rPr>
                <w:rFonts w:hint="eastAsia" w:ascii="宋体" w:hAnsi="宋体" w:eastAsia="宋体" w:cs="宋体"/>
                <w:sz w:val="24"/>
                <w:szCs w:val="24"/>
                <w:highlight w:val="none"/>
              </w:rPr>
              <w:t xml:space="preserve">持续开展高锰酸盐指数、总氮、总磷、氨氮、叶绿素a、透明度、浊度等水质参数的在线监测，要求光谱分辨率达到1 nm，监测波段覆盖400~1000 nm，且监测过程无需化学试剂。采用沉入式传感器法实时监测水体温度（要求测量范围-20～80℃，精度0.5℃）、pH（要求测量范围0～14，精度0.1）、电导率（要求测量范围0～5 mS/cm，精度0.7% F.S）、溶解氧（要求测量范围0～20 mg/L，精度0.1 mg/L）、盐度（要求测量范围0～50ppt，精度1ppt）。</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（2）现场视频监控：提供2560 × 1440@30 fps高清现场视频监控，要求具备4倍光学及16倍数字变焦能力，辅助现场环境状况评估。</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（3）监测频率：水质指标监测频率不低于1小时，视频监控为实时监控。</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）远程管理： 实现监测点电压状态的实时监控，具备远程及定时通断电功能。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）数据接入及存储：所有监测数据无缝接入长江重要湿地（常熟铁黄沙）监测与管理平台，实现数据的采集、存储、分析与可视化展示。环境数据存储时间不少于3年，视频数据本地留存时间不少于30天。</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）高光谱指标校准</w:t>
            </w:r>
            <w:r>
              <w:rPr>
                <w:rFonts w:hint="eastAsia" w:ascii="宋体" w:hAnsi="宋体" w:eastAsia="宋体" w:cs="宋体"/>
                <w:sz w:val="24"/>
                <w:szCs w:val="24"/>
              </w:rPr>
              <w:t xml:space="preserve">：提供1次高光谱指标校准服务，采样测定指标提供</w:t>
            </w:r>
            <w:r>
              <w:rPr>
                <w:rFonts w:hint="eastAsia" w:ascii="宋体" w:hAnsi="宋体" w:eastAsia="宋体" w:cs="宋体"/>
                <w:sz w:val="24"/>
                <w:szCs w:val="24"/>
                <w:lang w:val="en-US" w:eastAsia="zh-CN"/>
              </w:rPr>
              <w:t xml:space="preserve">专业</w:t>
            </w:r>
            <w:r>
              <w:rPr>
                <w:rFonts w:hint="eastAsia" w:ascii="宋体" w:hAnsi="宋体" w:eastAsia="宋体" w:cs="宋体"/>
                <w:sz w:val="24"/>
                <w:szCs w:val="24"/>
              </w:rPr>
              <w:t xml:space="preserve">检测报告，校准指标包括高锰酸盐指数、总氮、总磷、氨氮、叶绿素a、悬浮物浓度。</w:t>
            </w:r>
            <w:r/>
          </w:p>
        </w:tc>
      </w:tr>
      <w:tr>
        <w:trPr>
          <w:trHeight w:val="20"/>
        </w:trPr>
        <w:tc>
          <w:tcPr>
            <w:shd w:val="clear" w:color="auto" w:fill="ffffff"/>
            <w:tcW w:w="4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W w:w="10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湿地生物组成监测</w:t>
            </w:r>
            <w:r/>
          </w:p>
        </w:tc>
        <w:tc>
          <w:tcPr>
            <w:shd w:val="clear" w:color="auto" w:fill="ffffff"/>
            <w:tcW w:w="993"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鸟类智慧监测与升级</w:t>
            </w:r>
            <w:r/>
          </w:p>
        </w:tc>
        <w:tc>
          <w:tcPr>
            <w:tcW w:w="8069" w:type="dxa"/>
            <w:vAlign w:val="center"/>
            <w:textDirection w:val="lrTb"/>
            <w:noWrap/>
          </w:tcPr>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在4处鸟类集中分布区开展鸟类观测，利用高倍率光学技术和人工智能算法对目标区域鸟类活动进行实时监控、智能识别与数据分析。</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需提供从前端数据采集到后端智能分析与运维的全链条服务，服务期1年。</w:t>
            </w:r>
            <w:r>
              <w:rPr>
                <w:rFonts w:hint="eastAsia" w:ascii="宋体" w:hAnsi="宋体" w:eastAsia="宋体" w:cs="宋体"/>
                <w:sz w:val="24"/>
                <w:szCs w:val="24"/>
              </w:rPr>
              <w:br/>
            </w:r>
            <w:r>
              <w:rPr>
                <w:rFonts w:hint="eastAsia" w:ascii="宋体" w:hAnsi="宋体" w:eastAsia="宋体" w:cs="宋体"/>
                <w:sz w:val="24"/>
                <w:szCs w:val="24"/>
              </w:rPr>
              <w:t xml:space="preserve">（1）视频采集要求：视频采集像素均不低于2560×1440，镜头具备光学防抖功能；共计4处开展鸟类观测，其中2处不低于53倍光学变焦，另2处不低于73倍光学变焦。</w:t>
            </w:r>
            <w:r>
              <w:rPr>
                <w:rFonts w:hint="eastAsia" w:ascii="宋体" w:hAnsi="宋体" w:eastAsia="宋体" w:cs="宋体"/>
                <w:sz w:val="24"/>
                <w:szCs w:val="24"/>
              </w:rPr>
              <w:br/>
            </w:r>
            <w:r>
              <w:rPr>
                <w:rFonts w:hint="eastAsia" w:ascii="宋体" w:hAnsi="宋体" w:eastAsia="宋体" w:cs="宋体"/>
                <w:sz w:val="24"/>
                <w:szCs w:val="24"/>
              </w:rPr>
              <w:t xml:space="preserve">（2）观测高度：其中2处依托现有立杆观测，观测高度根据现有立杆高度而定（需替换现有摄像头）；另2处观测高度不少于12米。</w:t>
            </w:r>
            <w:r>
              <w:rPr>
                <w:rFonts w:hint="eastAsia" w:ascii="宋体" w:hAnsi="宋体" w:eastAsia="宋体" w:cs="宋体"/>
                <w:sz w:val="24"/>
                <w:szCs w:val="24"/>
              </w:rPr>
              <w:br/>
            </w:r>
            <w:r>
              <w:rPr>
                <w:rFonts w:hint="eastAsia" w:ascii="宋体" w:hAnsi="宋体" w:eastAsia="宋体" w:cs="宋体"/>
                <w:sz w:val="24"/>
                <w:szCs w:val="24"/>
              </w:rPr>
              <w:t xml:space="preserve">（3）远程管理： 实现监测点电压状态的实时监控，具备远程及定时通断电功能。</w:t>
            </w:r>
            <w:r>
              <w:rPr>
                <w:rFonts w:hint="eastAsia" w:ascii="宋体" w:hAnsi="宋体" w:eastAsia="宋体" w:cs="宋体"/>
                <w:sz w:val="24"/>
                <w:szCs w:val="24"/>
              </w:rPr>
              <w:br/>
            </w:r>
            <w:r>
              <w:rPr>
                <w:rFonts w:hint="eastAsia" w:ascii="宋体" w:hAnsi="宋体" w:eastAsia="宋体" w:cs="宋体"/>
                <w:sz w:val="24"/>
                <w:szCs w:val="24"/>
              </w:rPr>
              <w:t xml:space="preserve">（4）数据接入及存储：所有监测数据无缝接入</w:t>
            </w:r>
            <w:r>
              <w:rPr>
                <w:rFonts w:hint="eastAsia" w:ascii="宋体" w:hAnsi="宋体" w:eastAsia="宋体" w:cs="宋体"/>
                <w:sz w:val="24"/>
                <w:szCs w:val="24"/>
                <w:highlight w:val="none"/>
              </w:rPr>
              <w:t xml:space="preserve">长江重要湿地（常熟铁黄沙）监测与管理平台</w:t>
            </w:r>
            <w:r>
              <w:rPr>
                <w:rFonts w:hint="eastAsia" w:ascii="宋体" w:hAnsi="宋体" w:eastAsia="宋体" w:cs="宋体"/>
                <w:sz w:val="24"/>
                <w:szCs w:val="24"/>
              </w:rPr>
              <w:t xml:space="preserve">，实现数据的采集、存储、分析与可视化展示，要求其中2处集成人工智能识别软件，实现目标智能自动识别、统计与展示，并接入智能识别大数据平台。鸟类识别数据保存时间不少于180天，视频数据本地留存时间不少于30天。</w:t>
            </w:r>
            <w:r>
              <w:rPr>
                <w:rFonts w:hint="eastAsia" w:ascii="宋体" w:hAnsi="宋体" w:eastAsia="宋体" w:cs="宋体"/>
                <w:sz w:val="24"/>
                <w:szCs w:val="24"/>
              </w:rPr>
              <w:br/>
            </w:r>
            <w:r>
              <w:rPr>
                <w:rFonts w:hint="eastAsia" w:ascii="宋体" w:hAnsi="宋体" w:eastAsia="宋体" w:cs="宋体"/>
                <w:sz w:val="24"/>
                <w:szCs w:val="24"/>
              </w:rPr>
              <w:t xml:space="preserve">（5）</w:t>
            </w:r>
            <w:r>
              <w:rPr>
                <w:rFonts w:hint="eastAsia" w:ascii="宋体" w:hAnsi="宋体" w:eastAsia="宋体" w:cs="宋体"/>
                <w:sz w:val="24"/>
                <w:szCs w:val="24"/>
                <w:highlight w:val="none"/>
              </w:rPr>
              <w:t xml:space="preserve">观测与数据产出：对其中2处观测点定期组织开展鸟类观测活动</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进行物种鉴定，留存精选高清照片和视频，定期推送。</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（6）鸟类智能识别强化训练：对其中2处鸟类观测点智慧识别系统进行强化训练，识别监测点周围常见及重要鸟类。服务内容包括样本图片、视频采集、数据清</w:t>
            </w:r>
            <w:r>
              <w:rPr>
                <w:rFonts w:hint="eastAsia" w:ascii="宋体" w:hAnsi="宋体" w:eastAsia="宋体" w:cs="宋体"/>
                <w:sz w:val="24"/>
                <w:szCs w:val="24"/>
              </w:rPr>
              <w:t xml:space="preserve">洗、特征标注、数据转换、识别模型训练，扩充现有样本库，维护与升级识别模型。服务周期内每一处观测点有效素材总计不少于500张。</w:t>
            </w:r>
            <w:r/>
          </w:p>
        </w:tc>
      </w:tr>
      <w:tr>
        <w:trPr>
          <w:trHeight w:val="20"/>
        </w:trPr>
        <w:tc>
          <w:tcPr>
            <w:shd w:val="clear" w:color="auto" w:fill="ffffff"/>
            <w:tcW w:w="4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ffffff"/>
            <w:tcW w:w="1009" w:type="dxa"/>
            <w:vAlign w:val="center"/>
            <w:vMerge w:val="restart"/>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人为活动影响因素监测</w:t>
            </w:r>
            <w:r/>
          </w:p>
        </w:tc>
        <w:tc>
          <w:tcPr>
            <w:shd w:val="clear" w:color="auto" w:fill="ffffff"/>
            <w:tcW w:w="993"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卡口监测</w:t>
            </w:r>
            <w:r/>
          </w:p>
        </w:tc>
        <w:tc>
          <w:tcPr>
            <w:tcW w:w="8069" w:type="dxa"/>
            <w:vAlign w:val="center"/>
            <w:textDirection w:val="lrTb"/>
            <w:noWrap/>
          </w:tcPr>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为1处为特定卡口区域提供全天候、高效率的智能监控与识别能力，通过深度学习算法实现对车辆、人员等目标的精准抓拍、识别与报警，服务期1年。</w:t>
            </w:r>
            <w:r>
              <w:rPr>
                <w:rFonts w:hint="eastAsia" w:ascii="宋体" w:hAnsi="宋体" w:eastAsia="宋体" w:cs="宋体"/>
                <w:sz w:val="24"/>
                <w:szCs w:val="24"/>
              </w:rPr>
              <w:br/>
            </w:r>
            <w:r>
              <w:rPr>
                <w:rFonts w:hint="eastAsia" w:ascii="宋体" w:hAnsi="宋体" w:eastAsia="宋体" w:cs="宋体"/>
                <w:sz w:val="24"/>
                <w:szCs w:val="24"/>
              </w:rPr>
              <w:t xml:space="preserve">（1）视频采集要求：要求具备车牌检测、人脸抓拍、道路监控、移动侦测、越界报警等功能。每处沿路配备2个方向的视频采集摄像头，每个方向具备2个视频采集通道，其中一个通道为定焦视频，分辨率不低于3632 × 1632，水平视场角不少于180°；另一个通道为云台变焦，支持云台旋转，分辨率不低于3840 × 2160，支持透雾、电子防抖、补光。</w:t>
            </w:r>
            <w:r>
              <w:rPr>
                <w:rFonts w:hint="eastAsia" w:ascii="宋体" w:hAnsi="宋体" w:eastAsia="宋体" w:cs="宋体"/>
                <w:sz w:val="24"/>
                <w:szCs w:val="24"/>
              </w:rPr>
              <w:br/>
            </w:r>
            <w:r>
              <w:rPr>
                <w:rFonts w:hint="eastAsia" w:ascii="宋体" w:hAnsi="宋体" w:eastAsia="宋体" w:cs="宋体"/>
                <w:sz w:val="24"/>
                <w:szCs w:val="24"/>
              </w:rPr>
              <w:t xml:space="preserve">（2）监控高度：监控高度不低于5米。</w:t>
            </w:r>
            <w:r>
              <w:rPr>
                <w:rFonts w:hint="eastAsia" w:ascii="宋体" w:hAnsi="宋体" w:eastAsia="宋体" w:cs="宋体"/>
                <w:sz w:val="24"/>
                <w:szCs w:val="24"/>
              </w:rPr>
              <w:br/>
            </w:r>
            <w:r>
              <w:rPr>
                <w:rFonts w:hint="eastAsia" w:ascii="宋体" w:hAnsi="宋体" w:eastAsia="宋体" w:cs="宋体"/>
                <w:sz w:val="24"/>
                <w:szCs w:val="24"/>
              </w:rPr>
              <w:t xml:space="preserve">（3）远程管理： 实现监测点电压状态的实时监控，具备远程及定时通断电功能。</w:t>
            </w:r>
            <w:r>
              <w:rPr>
                <w:rFonts w:hint="eastAsia" w:ascii="宋体" w:hAnsi="宋体" w:eastAsia="宋体" w:cs="宋体"/>
                <w:sz w:val="24"/>
                <w:szCs w:val="24"/>
              </w:rPr>
              <w:br/>
            </w:r>
            <w:r>
              <w:rPr>
                <w:rFonts w:hint="eastAsia" w:ascii="宋体" w:hAnsi="宋体" w:eastAsia="宋体" w:cs="宋体"/>
                <w:sz w:val="24"/>
                <w:szCs w:val="24"/>
              </w:rPr>
              <w:t xml:space="preserve">（4）数据接入及存储：所有监测数据无缝接入</w:t>
            </w:r>
            <w:r>
              <w:rPr>
                <w:rFonts w:hint="eastAsia" w:ascii="宋体" w:hAnsi="宋体" w:eastAsia="宋体" w:cs="宋体"/>
                <w:sz w:val="24"/>
                <w:szCs w:val="24"/>
                <w:highlight w:val="none"/>
              </w:rPr>
              <w:t xml:space="preserve">长江重要湿地（常熟铁黄沙）监测与管理平台</w:t>
            </w:r>
            <w:r>
              <w:rPr>
                <w:rFonts w:hint="eastAsia" w:ascii="宋体" w:hAnsi="宋体" w:eastAsia="宋体" w:cs="宋体"/>
                <w:sz w:val="24"/>
                <w:szCs w:val="24"/>
              </w:rPr>
              <w:t xml:space="preserve">，实现数据的采集、存储、分析与可视化展示，人、车抓拍数据保存时间不少于180天，视频数据本地留存时间不少于30天。</w:t>
            </w:r>
            <w:r/>
          </w:p>
        </w:tc>
      </w:tr>
      <w:tr>
        <w:trPr>
          <w:trHeight w:val="20"/>
        </w:trPr>
        <w:tc>
          <w:tcPr>
            <w:shd w:val="clear" w:color="auto" w:fill="ffffff"/>
            <w:tcW w:w="4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09" w:type="dxa"/>
            <w:vAlign w:val="center"/>
            <w:vMerge w:val="continue"/>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93"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高塔监控</w:t>
            </w:r>
            <w:r/>
          </w:p>
        </w:tc>
        <w:tc>
          <w:tcPr>
            <w:shd w:val="clear" w:color="auto" w:fill="ffffff"/>
            <w:tcW w:w="8069" w:type="dxa"/>
            <w:vAlign w:val="center"/>
            <w:textDirection w:val="lrTb"/>
            <w:noWrap/>
          </w:tcPr>
          <w:p>
            <w:pPr>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rPr>
              <w:t xml:space="preserve">利用1处制高点部署的高倍率监控系统，实现对大范围区域的远距离、全天候智能监测，服务期1年。</w:t>
            </w:r>
            <w:r>
              <w:rPr>
                <w:rFonts w:hint="eastAsia" w:ascii="宋体" w:hAnsi="宋体" w:eastAsia="宋体" w:cs="宋体"/>
                <w:sz w:val="24"/>
                <w:szCs w:val="24"/>
              </w:rPr>
              <w:br/>
            </w:r>
            <w:r>
              <w:rPr>
                <w:rFonts w:hint="eastAsia" w:ascii="宋体" w:hAnsi="宋体" w:eastAsia="宋体" w:cs="宋体"/>
                <w:sz w:val="24"/>
                <w:szCs w:val="24"/>
              </w:rPr>
              <w:t xml:space="preserve">（1）视频采集要求：视频采集像素不低于2560×1440，镜头具备光学防抖功能，不低</w:t>
            </w:r>
            <w:r>
              <w:rPr>
                <w:rFonts w:hint="eastAsia" w:ascii="宋体" w:hAnsi="宋体" w:eastAsia="宋体" w:cs="宋体"/>
                <w:sz w:val="24"/>
                <w:szCs w:val="24"/>
                <w:highlight w:val="none"/>
              </w:rPr>
              <w:t xml:space="preserve">于53倍光学变焦。</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（2）观测高度：依托高塔制高点开展观测，观测高度不低于30米，高塔租赁费（1年）及电费包含在本项服务中。</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（3）高塔专业服务要求：</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rPr>
              <w:t xml:space="preserve">具备安全生产许可证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工作人员需配备特种作业操作证（电工作业）、特种作业操作证（高处作业）</w:t>
            </w:r>
            <w:r>
              <w:rPr>
                <w:rFonts w:hint="eastAsia" w:ascii="宋体" w:hAnsi="宋体" w:eastAsia="宋体" w:cs="宋体"/>
                <w:sz w:val="24"/>
                <w:szCs w:val="24"/>
                <w:highlight w:val="none"/>
              </w:rPr>
              <w:t xml:space="preserve">，开展观测服务前需提供专业设计院施工图纸。</w:t>
            </w:r>
            <w:r/>
          </w:p>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highlight w:val="none"/>
              </w:rPr>
              <w:t xml:space="preserve">（4）远程管理： 实现监测点电压状态的实时监控，具备远程及定时通断电功能。</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（5）数据接入及存储：所有监测数据无缝接入指定生态监测平台，实现数据的采集、存储、分析与可视化展示，要求集成人工智能识别软件，实现目标智能自动识别、统</w:t>
            </w:r>
            <w:r>
              <w:rPr>
                <w:rFonts w:hint="eastAsia" w:ascii="宋体" w:hAnsi="宋体" w:eastAsia="宋体" w:cs="宋体"/>
                <w:sz w:val="24"/>
                <w:szCs w:val="24"/>
              </w:rPr>
              <w:t xml:space="preserve">计与展示，并接入智能识别大数据平台。识别数据保存时间不少于180天，视频数据本地留存时间不少于30天。</w:t>
            </w:r>
            <w:r>
              <w:rPr>
                <w:rFonts w:hint="eastAsia" w:ascii="宋体" w:hAnsi="宋体" w:eastAsia="宋体" w:cs="宋体"/>
                <w:sz w:val="24"/>
                <w:szCs w:val="24"/>
              </w:rPr>
              <w:br/>
            </w:r>
            <w:r>
              <w:rPr>
                <w:rFonts w:hint="eastAsia" w:ascii="宋体" w:hAnsi="宋体" w:eastAsia="宋体" w:cs="宋体"/>
                <w:sz w:val="24"/>
                <w:szCs w:val="24"/>
              </w:rPr>
              <w:t xml:space="preserve">（6）高塔智能识别强化训练：对高塔识别系统进行强化训练，识别车辆、船只、人员、垂钓、烟火等目标。服务内容包括样本图片、视频采集、数据清洗、特征标注、数据转换、识别模型训练，扩充现有样本库，维护与升级识别模型。服务周期内每一处观测点有效素材总计不少于500张。</w:t>
            </w:r>
            <w:r/>
          </w:p>
        </w:tc>
      </w:tr>
      <w:tr>
        <w:trPr>
          <w:trHeight w:val="20"/>
        </w:trPr>
        <w:tc>
          <w:tcPr>
            <w:shd w:val="clear" w:color="auto" w:fill="ffffff"/>
            <w:tcW w:w="4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009" w:type="dxa"/>
            <w:vAlign w:val="center"/>
            <w:vMerge w:val="continue"/>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93"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无人机巡护</w:t>
            </w:r>
            <w:r/>
          </w:p>
        </w:tc>
        <w:tc>
          <w:tcPr>
            <w:shd w:val="clear" w:color="auto" w:fill="ffffff"/>
            <w:tcW w:w="8069" w:type="dxa"/>
            <w:vAlign w:val="center"/>
            <w:textDirection w:val="lrTb"/>
            <w:noWrap/>
          </w:tcPr>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提供1处全自动、无人值守的无人机巡护解决方案，部署一体化机场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实现对目标区域的常态化、智能化巡检与应急响应，服务期1年。</w:t>
            </w:r>
            <w:r>
              <w:rPr>
                <w:rFonts w:hint="eastAsia" w:ascii="宋体" w:hAnsi="宋体" w:eastAsia="宋体" w:cs="宋体"/>
                <w:sz w:val="24"/>
                <w:szCs w:val="24"/>
              </w:rPr>
              <w:br/>
            </w:r>
            <w:r>
              <w:rPr>
                <w:rFonts w:hint="eastAsia" w:ascii="宋体" w:hAnsi="宋体" w:eastAsia="宋体" w:cs="宋体"/>
                <w:sz w:val="24"/>
                <w:szCs w:val="24"/>
              </w:rPr>
              <w:t xml:space="preserve">（1）无人机性能要求：最大抗风速度11 m/s，作业半径10 km，最长飞行时间50分钟，搭载广角、长焦和红外相机，无人机应搭载喊话器，支持喊话任务。巡飞点配备风速、雨量、温湿度传感器。支持划定航线及任务自动执行巡航任务，也可以手动控制开展指定任务，最短作业间隔35min。</w:t>
            </w:r>
            <w:r>
              <w:rPr>
                <w:rFonts w:hint="eastAsia" w:ascii="宋体" w:hAnsi="宋体" w:eastAsia="宋体" w:cs="宋体"/>
                <w:sz w:val="24"/>
                <w:szCs w:val="24"/>
              </w:rPr>
              <w:br/>
            </w:r>
            <w:r>
              <w:rPr>
                <w:rFonts w:hint="eastAsia" w:ascii="宋体" w:hAnsi="宋体" w:eastAsia="宋体" w:cs="宋体"/>
                <w:sz w:val="24"/>
                <w:szCs w:val="24"/>
              </w:rPr>
              <w:t xml:space="preserve">（2）现场视频监控：提供2560 × 1440高清现场视频监控，要求具备23倍光学变焦能力，辅助现场状况评估。</w:t>
            </w:r>
            <w:r>
              <w:rPr>
                <w:rFonts w:hint="eastAsia" w:ascii="宋体" w:hAnsi="宋体" w:eastAsia="宋体" w:cs="宋体"/>
                <w:sz w:val="24"/>
                <w:szCs w:val="24"/>
              </w:rPr>
              <w:br/>
            </w:r>
            <w:r>
              <w:rPr>
                <w:rFonts w:hint="eastAsia" w:ascii="宋体" w:hAnsi="宋体" w:eastAsia="宋体" w:cs="宋体"/>
                <w:sz w:val="24"/>
                <w:szCs w:val="24"/>
              </w:rPr>
              <w:t xml:space="preserve">（3）远程管理： 实现监测点电压状态的实时监控，具备远程及定时通断电功能。</w:t>
            </w:r>
            <w:r>
              <w:rPr>
                <w:rFonts w:hint="eastAsia" w:ascii="宋体" w:hAnsi="宋体" w:eastAsia="宋体" w:cs="宋体"/>
                <w:sz w:val="24"/>
                <w:szCs w:val="24"/>
              </w:rPr>
              <w:br/>
            </w:r>
            <w:r>
              <w:rPr>
                <w:rFonts w:hint="eastAsia" w:ascii="宋体" w:hAnsi="宋体" w:eastAsia="宋体" w:cs="宋体"/>
                <w:sz w:val="24"/>
                <w:szCs w:val="24"/>
              </w:rPr>
              <w:t xml:space="preserve">（4）数据接入及存储： 所有监测数据无缝接入</w:t>
            </w:r>
            <w:r>
              <w:rPr>
                <w:rFonts w:hint="eastAsia" w:ascii="宋体" w:hAnsi="宋体" w:eastAsia="宋体" w:cs="宋体"/>
                <w:sz w:val="24"/>
                <w:szCs w:val="24"/>
                <w:highlight w:val="none"/>
              </w:rPr>
              <w:t xml:space="preserve">长江重要湿地（常熟铁黄沙）监测与管理平台</w:t>
            </w:r>
            <w:r>
              <w:rPr>
                <w:rFonts w:hint="eastAsia" w:ascii="宋体" w:hAnsi="宋体" w:eastAsia="宋体" w:cs="宋体"/>
                <w:sz w:val="24"/>
                <w:szCs w:val="24"/>
              </w:rPr>
              <w:t xml:space="preserve">，实现数据的采集、存储、分析与可视化展示，并支持无人机的远程飞行任务下发、航线绘制、打点飞行，视频数据本地留存时间不少于30天。</w:t>
            </w:r>
            <w:r>
              <w:rPr>
                <w:rFonts w:hint="eastAsia" w:ascii="宋体" w:hAnsi="宋体" w:eastAsia="宋体" w:cs="宋体"/>
                <w:sz w:val="24"/>
                <w:szCs w:val="24"/>
              </w:rPr>
              <w:br/>
            </w:r>
            <w:r>
              <w:rPr>
                <w:rFonts w:hint="eastAsia" w:ascii="宋体" w:hAnsi="宋体" w:eastAsia="宋体" w:cs="宋体"/>
                <w:sz w:val="24"/>
                <w:szCs w:val="24"/>
              </w:rPr>
              <w:t xml:space="preserve">（5）保险保障：执行任务的设备应当购买3年机损险及3年不少于100万额度的三责险。</w:t>
            </w:r>
            <w:r>
              <w:rPr>
                <w:rFonts w:hint="eastAsia" w:ascii="宋体" w:hAnsi="宋体" w:eastAsia="宋体" w:cs="宋体"/>
                <w:sz w:val="24"/>
                <w:szCs w:val="24"/>
              </w:rPr>
              <w:br/>
            </w:r>
            <w:r>
              <w:rPr>
                <w:rFonts w:hint="eastAsia" w:ascii="宋体" w:hAnsi="宋体" w:eastAsia="宋体" w:cs="宋体"/>
                <w:sz w:val="24"/>
                <w:szCs w:val="24"/>
              </w:rPr>
              <w:t xml:space="preserve">（6）无人机运行管理与技术支持：根据采购方要求，提供为期1年的航线规划、航线调整、任务更新、在线巡检、录像回看、重要录像保存处理、固件升级维护等专业运行服务。</w:t>
            </w:r>
            <w:r/>
          </w:p>
        </w:tc>
      </w:tr>
      <w:tr>
        <w:trPr>
          <w:trHeight w:val="20"/>
        </w:trPr>
        <w:tc>
          <w:tcPr>
            <w:shd w:val="clear" w:color="auto" w:fill="ffffff"/>
            <w:tcW w:w="4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ffffff"/>
            <w:tcW w:w="1009" w:type="dxa"/>
            <w:vAlign w:val="center"/>
            <w:vMerge w:val="restart"/>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湿地关键生态过程（固定样地）监测</w:t>
            </w:r>
            <w:r/>
          </w:p>
        </w:tc>
        <w:tc>
          <w:tcPr>
            <w:shd w:val="clear" w:color="auto" w:fill="ffffff"/>
            <w:tcW w:w="993"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样地标识</w:t>
            </w:r>
            <w:r/>
          </w:p>
        </w:tc>
        <w:tc>
          <w:tcPr>
            <w:shd w:val="clear" w:color="auto" w:fill="ffffff"/>
            <w:tcW w:w="8069" w:type="dxa"/>
            <w:vAlign w:val="center"/>
            <w:textDirection w:val="lrTb"/>
            <w:noWrap/>
          </w:tcPr>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划定样地范围，设立标识牌、界桩、样桩。样地设计为一体化的复合样地，由1个面积0.5 hm2的圆形样地（半径40 m）、3条40 m长的样线、3个4 m2观测小样方（2 m×2 m）和3个1 m2测产小样方（1 m×1 m）组成。</w:t>
            </w:r>
            <w:r>
              <w:rPr>
                <w:rFonts w:hint="eastAsia" w:ascii="宋体" w:hAnsi="宋体" w:eastAsia="宋体" w:cs="宋体"/>
                <w:sz w:val="24"/>
                <w:szCs w:val="24"/>
              </w:rPr>
              <w:br/>
            </w:r>
            <w:r>
              <w:rPr>
                <w:rFonts w:hint="eastAsia" w:ascii="宋体" w:hAnsi="宋体" w:eastAsia="宋体" w:cs="宋体"/>
                <w:sz w:val="24"/>
                <w:szCs w:val="24"/>
              </w:rPr>
              <w:t xml:space="preserve">样地标识牌：在固定样地附近区域设置1个样地标识牌，规格2m×3m，标注固定样地名称、重要湿地名称、地理位置、面积大小等信息。</w:t>
            </w:r>
            <w:r>
              <w:rPr>
                <w:rFonts w:hint="eastAsia" w:ascii="宋体" w:hAnsi="宋体" w:eastAsia="宋体" w:cs="宋体"/>
                <w:sz w:val="24"/>
                <w:szCs w:val="24"/>
              </w:rPr>
              <w:br/>
            </w:r>
            <w:r>
              <w:rPr>
                <w:rFonts w:hint="eastAsia" w:ascii="宋体" w:hAnsi="宋体" w:eastAsia="宋体" w:cs="宋体"/>
                <w:sz w:val="24"/>
                <w:szCs w:val="24"/>
              </w:rPr>
              <w:t xml:space="preserve">样线标识牌：在样线起点和终点设置，3条样线共计设置6个样线标识牌,规格20cm×30cm，标注样线名称、植被类型、样线编号、样线长度等信息。</w:t>
            </w:r>
            <w:r>
              <w:rPr>
                <w:rFonts w:hint="eastAsia" w:ascii="宋体" w:hAnsi="宋体" w:eastAsia="宋体" w:cs="宋体"/>
                <w:sz w:val="24"/>
                <w:szCs w:val="24"/>
              </w:rPr>
              <w:br/>
            </w:r>
            <w:r>
              <w:rPr>
                <w:rFonts w:hint="eastAsia" w:ascii="宋体" w:hAnsi="宋体" w:eastAsia="宋体" w:cs="宋体"/>
                <w:sz w:val="24"/>
                <w:szCs w:val="24"/>
              </w:rPr>
              <w:t xml:space="preserve">样方标识牌：在样方西南角设置，3个观测小样方和3个测产小样方共计6个样方标识牌，规格20cm×30cm，标注样方名称、植被类型、样方编号、样方面积等信息。</w:t>
            </w:r>
            <w:r>
              <w:rPr>
                <w:rFonts w:hint="eastAsia" w:ascii="宋体" w:hAnsi="宋体" w:eastAsia="宋体" w:cs="宋体"/>
                <w:sz w:val="24"/>
                <w:szCs w:val="24"/>
              </w:rPr>
              <w:br/>
            </w:r>
            <w:r>
              <w:rPr>
                <w:rFonts w:hint="eastAsia" w:ascii="宋体" w:hAnsi="宋体" w:eastAsia="宋体" w:cs="宋体"/>
                <w:sz w:val="24"/>
                <w:szCs w:val="24"/>
              </w:rPr>
              <w:t xml:space="preserve">界桩：沿固定样地四周设置，玻璃钢材质，总高1.5m，数量8个，界桩上标注样地名称。</w:t>
            </w:r>
            <w:r>
              <w:rPr>
                <w:rFonts w:hint="eastAsia" w:ascii="宋体" w:hAnsi="宋体" w:eastAsia="宋体" w:cs="宋体"/>
                <w:sz w:val="24"/>
                <w:szCs w:val="24"/>
              </w:rPr>
              <w:br/>
            </w:r>
            <w:r>
              <w:rPr>
                <w:rFonts w:hint="eastAsia" w:ascii="宋体" w:hAnsi="宋体" w:eastAsia="宋体" w:cs="宋体"/>
                <w:sz w:val="24"/>
                <w:szCs w:val="24"/>
              </w:rPr>
              <w:t xml:space="preserve">样桩：在样线顶点和中部、样方四个顶点处设置，材质为杉木桩，直径6cm，长度1m，数量35根。</w:t>
            </w:r>
            <w:r/>
          </w:p>
        </w:tc>
      </w:tr>
      <w:tr>
        <w:trPr>
          <w:trHeight w:val="20"/>
        </w:trPr>
        <w:tc>
          <w:tcPr>
            <w:shd w:val="clear" w:color="auto" w:fill="ffffff"/>
            <w:tcW w:w="4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1009" w:type="dxa"/>
            <w:vAlign w:val="center"/>
            <w:vMerge w:val="continue"/>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93"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多光谱物候观测</w:t>
            </w:r>
            <w:r/>
          </w:p>
        </w:tc>
        <w:tc>
          <w:tcPr>
            <w:shd w:val="clear" w:color="auto" w:fill="ffffff"/>
            <w:tcW w:w="8069" w:type="dxa"/>
            <w:vAlign w:val="center"/>
            <w:textDirection w:val="lrTb"/>
            <w:noWrap/>
          </w:tcPr>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在1处样地通过多光谱植被成像技术，持续监测植被生长状况、物候变化及生态系统健康状况，定期获取植被指数与反射率数据，服务期1年。</w:t>
            </w:r>
            <w:r>
              <w:rPr>
                <w:rFonts w:hint="eastAsia" w:ascii="宋体" w:hAnsi="宋体" w:eastAsia="宋体" w:cs="宋体"/>
                <w:sz w:val="24"/>
                <w:szCs w:val="24"/>
              </w:rPr>
              <w:br/>
            </w:r>
            <w:r>
              <w:rPr>
                <w:rFonts w:hint="eastAsia" w:ascii="宋体" w:hAnsi="宋体" w:eastAsia="宋体" w:cs="宋体"/>
                <w:sz w:val="24"/>
                <w:szCs w:val="24"/>
              </w:rPr>
              <w:t xml:space="preserve">（1）多光谱植被数据采集： 开展多光谱植被数据采集，要求提供400万像素可见光和多光谱6通道，可见光和多光谱6通道均要求支持30倍光学变焦，覆盖450nm、560nm、660nm、720nm、750nm、850nm等6个光谱波段，提供 NDVI\GNDVI\NDRE\OSAVI\LCI等植被指数数据。</w:t>
            </w:r>
            <w:r>
              <w:rPr>
                <w:rFonts w:hint="eastAsia" w:ascii="宋体" w:hAnsi="宋体" w:eastAsia="宋体" w:cs="宋体"/>
                <w:sz w:val="24"/>
                <w:szCs w:val="24"/>
              </w:rPr>
              <w:br/>
            </w:r>
            <w:r>
              <w:rPr>
                <w:rFonts w:hint="eastAsia" w:ascii="宋体" w:hAnsi="宋体" w:eastAsia="宋体" w:cs="宋体"/>
                <w:sz w:val="24"/>
                <w:szCs w:val="24"/>
              </w:rPr>
              <w:t xml:space="preserve">（2）观测高度：观测高度不低于5米</w:t>
            </w:r>
            <w:r>
              <w:rPr>
                <w:rFonts w:hint="eastAsia" w:ascii="宋体" w:hAnsi="宋体" w:eastAsia="宋体" w:cs="宋体"/>
                <w:sz w:val="24"/>
                <w:szCs w:val="24"/>
              </w:rPr>
              <w:br/>
            </w:r>
            <w:r>
              <w:rPr>
                <w:rFonts w:hint="eastAsia" w:ascii="宋体" w:hAnsi="宋体" w:eastAsia="宋体" w:cs="宋体"/>
                <w:sz w:val="24"/>
                <w:szCs w:val="24"/>
              </w:rPr>
              <w:t xml:space="preserve">（3）远程管理： 实现监测点电压状态的实时监控，具备远程及定时通断电功能。</w:t>
            </w:r>
            <w:r>
              <w:rPr>
                <w:rFonts w:hint="eastAsia" w:ascii="宋体" w:hAnsi="宋体" w:eastAsia="宋体" w:cs="宋体"/>
                <w:sz w:val="24"/>
                <w:szCs w:val="24"/>
              </w:rPr>
              <w:br/>
            </w:r>
            <w:r>
              <w:rPr>
                <w:rFonts w:hint="eastAsia" w:ascii="宋体" w:hAnsi="宋体" w:eastAsia="宋体" w:cs="宋体"/>
                <w:sz w:val="24"/>
                <w:szCs w:val="24"/>
              </w:rPr>
              <w:t xml:space="preserve">（4）数据接入及存储：所有监测数据无缝接入</w:t>
            </w:r>
            <w:r>
              <w:rPr>
                <w:rFonts w:hint="eastAsia" w:ascii="宋体" w:hAnsi="宋体" w:eastAsia="宋体" w:cs="宋体"/>
                <w:sz w:val="24"/>
                <w:szCs w:val="24"/>
                <w:highlight w:val="none"/>
              </w:rPr>
              <w:t xml:space="preserve">长江重要湿地（常熟铁黄沙）监测与管理平台</w:t>
            </w:r>
            <w:r>
              <w:rPr>
                <w:rFonts w:hint="eastAsia" w:ascii="宋体" w:hAnsi="宋体" w:eastAsia="宋体" w:cs="宋体"/>
                <w:sz w:val="24"/>
                <w:szCs w:val="24"/>
              </w:rPr>
              <w:t xml:space="preserve">，实现数据的采集、存储、分析与可视化展示，植被多光谱照片数据保存时间不少于180天，视频数据本地留存时间不少于30天。</w:t>
            </w:r>
            <w:r/>
          </w:p>
        </w:tc>
      </w:tr>
      <w:tr>
        <w:trPr>
          <w:trHeight w:val="20"/>
        </w:trPr>
        <w:tc>
          <w:tcPr>
            <w:shd w:val="clear" w:color="auto" w:fill="ffffff"/>
            <w:tcW w:w="4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1009" w:type="dxa"/>
            <w:vAlign w:val="center"/>
            <w:vMerge w:val="continue"/>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93"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涡动通量观测</w:t>
            </w:r>
            <w:r/>
          </w:p>
        </w:tc>
        <w:tc>
          <w:tcPr>
            <w:shd w:val="clear" w:color="auto" w:fill="ffffff"/>
            <w:tcW w:w="8069" w:type="dxa"/>
            <w:vAlign w:val="center"/>
            <w:textDirection w:val="lrTb"/>
            <w:noWrap/>
          </w:tcPr>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在1处样地利用开路涡流协方差系统开展涡流协方差及常规气象观测，实现大气与生态系统之间二氧化碳、水汽、热量和动量交换的长期、连续、高精度监测，并提供实时通量计算与数据质量标记，服务期1年。</w:t>
            </w:r>
            <w:r>
              <w:rPr>
                <w:rFonts w:hint="eastAsia" w:ascii="宋体" w:hAnsi="宋体" w:eastAsia="宋体" w:cs="宋体"/>
                <w:sz w:val="24"/>
                <w:szCs w:val="24"/>
              </w:rPr>
              <w:br/>
            </w:r>
            <w:r>
              <w:rPr>
                <w:rFonts w:hint="eastAsia" w:ascii="宋体" w:hAnsi="宋体" w:eastAsia="宋体" w:cs="宋体"/>
                <w:sz w:val="24"/>
                <w:szCs w:val="24"/>
              </w:rPr>
              <w:t xml:space="preserve">（1）涡流协方差数据采集要求：监测指标包括XYZ轴上3个分量的平均超声风速、超声温度、CO2浓度、H2O浓度、通量数据质量等级、潜热通量、蒸散量、显热通量、动量通量、行星边界层高度。其中，CO2浓度精度不大于1%，H2O浓度精度不大于2%，三维超声风速偏离误差不大于0.08m/s。</w:t>
            </w:r>
            <w:r>
              <w:rPr>
                <w:rFonts w:hint="eastAsia" w:ascii="宋体" w:hAnsi="宋体" w:eastAsia="宋体" w:cs="宋体"/>
                <w:sz w:val="24"/>
                <w:szCs w:val="24"/>
              </w:rPr>
              <w:br/>
            </w:r>
            <w:r>
              <w:rPr>
                <w:rFonts w:hint="eastAsia" w:ascii="宋体" w:hAnsi="宋体" w:eastAsia="宋体" w:cs="宋体"/>
                <w:sz w:val="24"/>
                <w:szCs w:val="24"/>
              </w:rPr>
              <w:t xml:space="preserve">（2）常规气象观测数据采集要求：需要采集的指标为：空气温湿度、大气压力、地表温度、光合有效辐射、四分量辐射、降雨量、土壤温度（3处）、地表热通量（3处）。其中，空气温度精度不大于0.5℃；空</w:t>
            </w:r>
            <w:r>
              <w:rPr>
                <w:rFonts w:hint="eastAsia" w:ascii="宋体" w:hAnsi="宋体" w:eastAsia="宋体" w:cs="宋体"/>
                <w:sz w:val="24"/>
                <w:szCs w:val="24"/>
              </w:rPr>
              <w:t xml:space="preserve">气湿度精度不大于2%；大气压力精度不大于±1 hPa；地表温度采用红外辐射计方法测量以获取观测范围内的平均地表温度，其温度精度不低于0.5℃；光合有效辐射光谱范围：400～700nm，灵敏度5～50μV/μmol·s1；四分量辐射测量范围： 0~2000W/m2，短波光谱范围： 305~2800nm， 长波光谱范围： 4500~50000nm；降雨量精度不低于0.2mm；土壤温度精度不低于0.5℃；地表热通量测量范围 ：-2000 to 2000 W/m2 ，灵敏度：60 x 10-6 V/(W/m2 )。</w:t>
            </w:r>
            <w:r>
              <w:rPr>
                <w:rFonts w:hint="eastAsia" w:ascii="宋体" w:hAnsi="宋体" w:eastAsia="宋体" w:cs="宋体"/>
                <w:sz w:val="24"/>
                <w:szCs w:val="24"/>
              </w:rPr>
              <w:br/>
            </w:r>
            <w:r>
              <w:rPr>
                <w:rFonts w:hint="eastAsia" w:ascii="宋体" w:hAnsi="宋体" w:eastAsia="宋体" w:cs="宋体"/>
                <w:sz w:val="24"/>
                <w:szCs w:val="24"/>
              </w:rPr>
              <w:t xml:space="preserve">（3）观测高度：涡流协方差观测高度不低于8m，常规气象观测数据采集观测高度按相关气象标准执行。</w:t>
            </w:r>
            <w:r>
              <w:rPr>
                <w:rFonts w:hint="eastAsia" w:ascii="宋体" w:hAnsi="宋体" w:eastAsia="宋体" w:cs="宋体"/>
                <w:sz w:val="24"/>
                <w:szCs w:val="24"/>
              </w:rPr>
              <w:br/>
            </w:r>
            <w:r>
              <w:rPr>
                <w:rFonts w:hint="eastAsia" w:ascii="宋体" w:hAnsi="宋体" w:eastAsia="宋体" w:cs="宋体"/>
                <w:sz w:val="24"/>
                <w:szCs w:val="24"/>
              </w:rPr>
              <w:t xml:space="preserve">（4）数据接入及存储：所有监测数据无缝接入</w:t>
            </w:r>
            <w:r>
              <w:rPr>
                <w:rFonts w:hint="eastAsia" w:ascii="宋体" w:hAnsi="宋体" w:eastAsia="宋体" w:cs="宋体"/>
                <w:sz w:val="24"/>
                <w:szCs w:val="24"/>
                <w:highlight w:val="none"/>
              </w:rPr>
              <w:t xml:space="preserve">长江重要湿地（常熟铁黄沙）监测与管理平台</w:t>
            </w:r>
            <w:r>
              <w:rPr>
                <w:rFonts w:hint="eastAsia" w:ascii="宋体" w:hAnsi="宋体" w:eastAsia="宋体" w:cs="宋体"/>
                <w:sz w:val="24"/>
                <w:szCs w:val="24"/>
              </w:rPr>
              <w:t xml:space="preserve">，实现数据的采集、存储、分析与可视化展示。应编写涡动通量计算程序导入到数据采集仪中，支持通量系统中所有传感器的数据采集，将其实时计算为碳通量数据并标记数据质量，计算每半小时的平均数据后上传至平台，包括二氧化碳通量、水汽通量、潜热通量、显热通量、动量通量、上风向通量贡献量最大区域的距离等；程序应编排互联网数据报文，以满足将数据上传至监测平台的协议要求。平台数据存储时间不少于3年。</w:t>
            </w:r>
            <w:r/>
          </w:p>
        </w:tc>
      </w:tr>
      <w:tr>
        <w:trPr>
          <w:trHeight w:val="20"/>
        </w:trPr>
        <w:tc>
          <w:tcPr>
            <w:shd w:val="clear" w:color="auto" w:fill="ffffff"/>
            <w:tcW w:w="4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ffffff"/>
            <w:tcW w:w="1009"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监测监控中心</w:t>
            </w:r>
            <w:r/>
          </w:p>
        </w:tc>
        <w:tc>
          <w:tcPr>
            <w:shd w:val="clear" w:color="auto" w:fill="ffffff"/>
            <w:tcW w:w="993" w:type="dxa"/>
            <w:vAlign w:val="center"/>
            <w:textDirection w:val="lrTb"/>
            <w:noWrap/>
          </w:tcPr>
          <w:p>
            <w:pPr>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监测数据汇聚与分析展示服务</w:t>
            </w:r>
            <w:r/>
          </w:p>
        </w:tc>
        <w:tc>
          <w:tcPr>
            <w:shd w:val="clear" w:color="auto" w:fill="ffffff"/>
            <w:tcW w:w="8069" w:type="dxa"/>
            <w:vAlign w:val="center"/>
            <w:textDirection w:val="lrTb"/>
            <w:noWrap/>
          </w:tcPr>
          <w:p>
            <w:pPr>
              <w:ind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提供集流媒体处理、边缘智能计算、数据存储、网络传输与可视化展示于一体的综合服务，服务期1年。</w:t>
            </w:r>
            <w:r>
              <w:rPr>
                <w:rFonts w:hint="eastAsia" w:ascii="宋体" w:hAnsi="宋体" w:eastAsia="宋体" w:cs="宋体"/>
                <w:sz w:val="24"/>
                <w:szCs w:val="24"/>
              </w:rPr>
              <w:br/>
            </w:r>
            <w:r>
              <w:rPr>
                <w:rFonts w:hint="eastAsia" w:ascii="宋体" w:hAnsi="宋体" w:eastAsia="宋体" w:cs="宋体"/>
                <w:sz w:val="24"/>
                <w:szCs w:val="24"/>
              </w:rPr>
              <w:t xml:space="preserve">（1）流媒体云计算服务：多路视频识别流媒体云端服务，用于从前端获取视频流，将视频流进行解码、切片、抽帧等预处理，并负责推送处理后的数据进行进一步识别和存储。提供不低于3路1080p视频流识别流媒体服务，计算资源不少于10核心处理器，32GB内存，2TB硬盘。</w:t>
            </w:r>
            <w:r>
              <w:rPr>
                <w:rFonts w:hint="eastAsia" w:ascii="宋体" w:hAnsi="宋体" w:eastAsia="宋体" w:cs="宋体"/>
                <w:sz w:val="24"/>
                <w:szCs w:val="24"/>
              </w:rPr>
              <w:br/>
            </w:r>
            <w:r>
              <w:rPr>
                <w:rFonts w:hint="eastAsia" w:ascii="宋体" w:hAnsi="宋体" w:eastAsia="宋体" w:cs="宋体"/>
                <w:sz w:val="24"/>
                <w:szCs w:val="24"/>
              </w:rPr>
              <w:t xml:space="preserve">（2）智慧识别云计算服务：提供基于图像识别的AI识别云计算服务，云端提供识别模型部署、识别算力服务，识别模型，支持大型、复杂的深度神经网络，可实现物体识别、目标检测等识别功能；具有支持不低于3路1080p高清视频24帧实时识别服务能力，NPU总算力不低于21TOPS。</w:t>
            </w:r>
            <w:r>
              <w:rPr>
                <w:rFonts w:hint="eastAsia" w:ascii="宋体" w:hAnsi="宋体" w:eastAsia="宋体" w:cs="宋体"/>
                <w:sz w:val="24"/>
                <w:szCs w:val="24"/>
              </w:rPr>
              <w:br/>
            </w:r>
            <w:r>
              <w:rPr>
                <w:rFonts w:hint="eastAsia" w:ascii="宋体" w:hAnsi="宋体" w:eastAsia="宋体" w:cs="宋体"/>
                <w:sz w:val="24"/>
                <w:szCs w:val="24"/>
              </w:rPr>
              <w:t xml:space="preserve">（3）提供智慧识别平台识别中心云服务，搭载识别软件WebUI交互平台，提供Web端交互服务，支持识别任务管理、模型训练、识别数据管理、识别展示等功能模块。</w:t>
            </w:r>
            <w:r>
              <w:rPr>
                <w:rFonts w:hint="eastAsia" w:ascii="宋体" w:hAnsi="宋体" w:eastAsia="宋体" w:cs="宋体"/>
                <w:sz w:val="24"/>
                <w:szCs w:val="24"/>
              </w:rPr>
              <w:br/>
            </w:r>
            <w:r>
              <w:rPr>
                <w:rFonts w:hint="eastAsia" w:ascii="宋体" w:hAnsi="宋体" w:eastAsia="宋体" w:cs="宋体"/>
                <w:sz w:val="24"/>
                <w:szCs w:val="24"/>
              </w:rPr>
              <w:t xml:space="preserve">（4）网络服务：不少于50M专线宽带接入以提供足够的访问带宽。</w:t>
            </w:r>
            <w:r>
              <w:rPr>
                <w:rFonts w:hint="eastAsia" w:ascii="宋体" w:hAnsi="宋体" w:eastAsia="宋体" w:cs="宋体"/>
                <w:sz w:val="24"/>
                <w:szCs w:val="24"/>
              </w:rPr>
              <w:br/>
            </w:r>
            <w:r>
              <w:rPr>
                <w:rFonts w:hint="eastAsia" w:ascii="宋体" w:hAnsi="宋体" w:eastAsia="宋体" w:cs="宋体"/>
                <w:sz w:val="24"/>
                <w:szCs w:val="24"/>
              </w:rPr>
              <w:t xml:space="preserve">（5）可视化展示服务：提供不少于100寸展示页面综合展示服务，接入大数据平台，实现各项监测成果的直观、高效展示。</w:t>
            </w:r>
            <w:r/>
          </w:p>
        </w:tc>
      </w:tr>
    </w:tbl>
    <w:p>
      <w:pPr>
        <w:spacing w:line="440" w:lineRule="exact"/>
        <w:rPr>
          <w:rFonts w:hint="eastAsia" w:ascii="宋体" w:hAnsi="宋体" w:eastAsia="宋体" w:cs="宋体"/>
          <w:b/>
          <w:sz w:val="28"/>
          <w:szCs w:val="28"/>
          <w:lang w:val="zh-CN"/>
        </w:rPr>
        <w:outlineLvl w:val="9"/>
      </w:pP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lang w:val="zh-CN"/>
        </w:rPr>
        <w:t xml:space="preserve">、投标报价要求：</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480"/>
        <w:spacing w:line="450" w:lineRule="exact"/>
        <w:rPr>
          <w:rFonts w:hint="eastAsia" w:ascii="宋体" w:hAnsi="宋体" w:eastAsia="宋体" w:cs="宋体"/>
          <w:color w:val="000000"/>
          <w:sz w:val="24"/>
        </w:rPr>
      </w:pPr>
      <w:r>
        <w:rPr>
          <w:rFonts w:hint="eastAsia" w:ascii="宋体" w:hAnsi="宋体" w:eastAsia="宋体" w:cs="宋体"/>
          <w:color w:val="000000"/>
          <w:sz w:val="24"/>
        </w:rPr>
        <w:t xml:space="preserve">1、投标人须对本项目中的所有服务</w:t>
      </w:r>
      <w:r>
        <w:rPr>
          <w:rFonts w:hint="eastAsia" w:ascii="宋体" w:hAnsi="宋体" w:eastAsia="宋体" w:cs="宋体"/>
          <w:color w:val="000000"/>
          <w:sz w:val="24"/>
          <w:lang w:val="en-US" w:eastAsia="zh-CN"/>
        </w:rPr>
        <w:t xml:space="preserve">内容</w:t>
      </w:r>
      <w:r>
        <w:rPr>
          <w:rFonts w:hint="eastAsia" w:ascii="宋体" w:hAnsi="宋体" w:eastAsia="宋体" w:cs="宋体"/>
          <w:color w:val="000000"/>
          <w:sz w:val="24"/>
        </w:rPr>
        <w:t xml:space="preserve">进行报价，不得拆开投报或只对其中的部分内容进行投报，否则作无效投标处理。</w:t>
      </w:r>
      <w:r/>
    </w:p>
    <w:p>
      <w:pPr>
        <w:ind w:firstLine="480"/>
        <w:spacing w:line="45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、投标人应以人民币报价，投标总价包括服务期限内完成该项目工作所需的所有费用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包括</w:t>
      </w:r>
      <w:r>
        <w:rPr>
          <w:rFonts w:hint="eastAsia" w:ascii="宋体" w:hAnsi="宋体" w:eastAsia="宋体" w:cs="宋体"/>
          <w:color w:val="000000"/>
          <w:sz w:val="24"/>
          <w:lang w:eastAsia="zh-CN"/>
        </w:rPr>
        <w:t xml:space="preserve">但不</w:t>
      </w:r>
      <w:r>
        <w:rPr>
          <w:rFonts w:hint="eastAsia" w:ascii="宋体" w:hAnsi="宋体" w:eastAsia="宋体" w:cs="宋体"/>
          <w:color w:val="000000"/>
          <w:sz w:val="24"/>
          <w:highlight w:val="none"/>
          <w:lang w:eastAsia="zh-CN"/>
        </w:rPr>
        <w:t xml:space="preserve">限于</w:t>
      </w:r>
      <w:r>
        <w:rPr>
          <w:rFonts w:hint="eastAsia" w:ascii="宋体" w:hAnsi="宋体" w:eastAsia="宋体" w:cs="宋体"/>
          <w:color w:val="000000"/>
          <w:sz w:val="24"/>
          <w:highlight w:val="none"/>
        </w:rPr>
        <w:t xml:space="preserve">人工费（包括人员工资、社会保险费用、福利费</w:t>
      </w:r>
      <w:r>
        <w:rPr>
          <w:rFonts w:hint="eastAsia" w:ascii="宋体" w:hAnsi="宋体" w:eastAsia="宋体" w:cs="宋体"/>
          <w:color w:val="auto"/>
          <w:sz w:val="24"/>
          <w:szCs w:val="24"/>
          <w:highlight w:val="none"/>
        </w:rPr>
        <w:t xml:space="preserve">、人身意外伤害险</w:t>
      </w:r>
      <w:r>
        <w:rPr>
          <w:rFonts w:hint="eastAsia" w:ascii="宋体" w:hAnsi="宋体" w:eastAsia="宋体" w:cs="宋体"/>
          <w:color w:val="000000"/>
          <w:sz w:val="24"/>
          <w:highlight w:val="none"/>
        </w:rPr>
        <w:t xml:space="preserve">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作业服装费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设备工具费、</w:t>
      </w:r>
      <w:r>
        <w:rPr>
          <w:rFonts w:hint="eastAsia" w:ascii="宋体" w:hAnsi="宋体" w:eastAsia="宋体" w:cs="宋体"/>
          <w:color w:val="000000"/>
          <w:sz w:val="24"/>
          <w:highlight w:val="none"/>
        </w:rPr>
        <w:t xml:space="preserve">项目利润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税费及政策</w:t>
      </w:r>
      <w:r>
        <w:rPr>
          <w:rFonts w:hint="eastAsia" w:ascii="宋体" w:hAnsi="宋体" w:eastAsia="宋体" w:cs="宋体"/>
          <w:color w:val="000000"/>
          <w:sz w:val="24"/>
        </w:rPr>
        <w:t xml:space="preserve">性文件规定和合同所包含的所有风险、责任等各项应有费用（采购人承担的项目及费用除外）。</w:t>
      </w:r>
      <w:r/>
    </w:p>
    <w:p>
      <w:pPr>
        <w:ind w:firstLine="480"/>
        <w:spacing w:line="45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、投标人在投标报价时应考虑各种风险因素，相关风险因素费用包含在投标总价中。风险因素包括不可抗力、遇重大活动、检查、突发情况、最低工资调整、社保调整、公积金调整、物价调整、税费调整等。</w:t>
      </w:r>
      <w:bookmarkStart w:id="227" w:name="_Toc17925"/>
      <w:r/>
      <w:bookmarkEnd w:id="227"/>
      <w:r/>
      <w:bookmarkStart w:id="228" w:name="_Toc28262"/>
      <w:r/>
      <w:bookmarkEnd w:id="228"/>
      <w:r/>
      <w:bookmarkStart w:id="229" w:name="_Toc26207"/>
      <w:r/>
      <w:bookmarkEnd w:id="229"/>
      <w:r/>
      <w:bookmarkStart w:id="230" w:name="_Toc4289"/>
      <w:r/>
      <w:bookmarkEnd w:id="230"/>
      <w:r/>
      <w:bookmarkStart w:id="231" w:name="_Toc2639"/>
      <w:r/>
      <w:bookmarkEnd w:id="231"/>
      <w:r/>
      <w:bookmarkStart w:id="232" w:name="_Toc27950"/>
      <w:r/>
      <w:bookmarkEnd w:id="232"/>
      <w:r/>
      <w:bookmarkStart w:id="233" w:name="_Toc25163"/>
      <w:r/>
      <w:bookmarkEnd w:id="233"/>
      <w:r/>
      <w:r/>
    </w:p>
    <w:p>
      <w:pPr>
        <w:jc w:val="left"/>
        <w:spacing w:after="0" w:line="44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五、其他：</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1、投标人在投标文件中应对以下内容作详细说明：</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sz w:val="24"/>
          <w:szCs w:val="22"/>
          <w:highlight w:val="none"/>
          <w:lang w:val="en-US" w:eastAsia="zh-CN"/>
        </w:rPr>
        <w:t xml:space="preserve">建设</w:t>
      </w:r>
      <w:r>
        <w:rPr>
          <w:rFonts w:hint="eastAsia" w:ascii="宋体" w:hAnsi="宋体" w:eastAsia="宋体" w:cs="宋体"/>
          <w:sz w:val="24"/>
          <w:szCs w:val="22"/>
          <w:highlight w:val="none"/>
        </w:rPr>
        <w:t xml:space="preserve">方案</w:t>
      </w:r>
      <w:r>
        <w:rPr>
          <w:rFonts w:hint="eastAsia" w:ascii="宋体" w:hAnsi="宋体" w:eastAsia="宋体" w:cs="宋体"/>
          <w:color w:val="000000"/>
          <w:sz w:val="24"/>
          <w:highlight w:val="none"/>
        </w:rPr>
        <w:t xml:space="preserve">（包括</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4"/>
          <w:highlight w:val="none"/>
        </w:rPr>
        <w:t xml:space="preserve">①</w:t>
      </w:r>
      <w:r>
        <w:rPr>
          <w:rFonts w:hint="eastAsia" w:ascii="宋体" w:hAnsi="宋体" w:eastAsia="宋体" w:cs="宋体"/>
          <w:sz w:val="24"/>
          <w:szCs w:val="24"/>
          <w:highlight w:val="none"/>
        </w:rPr>
        <w:t xml:space="preserve">项目理解</w:t>
      </w:r>
      <w:r>
        <w:rPr>
          <w:rFonts w:hint="eastAsia" w:ascii="宋体" w:hAnsi="宋体" w:eastAsia="宋体" w:cs="宋体"/>
          <w:color w:val="000000"/>
          <w:sz w:val="24"/>
          <w:szCs w:val="24"/>
          <w:highlight w:val="none"/>
        </w:rPr>
        <w:t xml:space="preserve">、②</w:t>
      </w:r>
      <w:r>
        <w:rPr>
          <w:rFonts w:hint="eastAsia" w:ascii="宋体" w:hAnsi="宋体" w:eastAsia="宋体" w:cs="宋体"/>
          <w:sz w:val="24"/>
          <w:szCs w:val="24"/>
          <w:highlight w:val="none"/>
        </w:rPr>
        <w:t xml:space="preserve">需求分析</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③监测站点布局及建设方案</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④鸟类智慧监测站点建设方案</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⑤无人智能巡护站点建设方案</w:t>
      </w:r>
      <w:r>
        <w:rPr>
          <w:rFonts w:hint="eastAsia" w:ascii="宋体" w:hAnsi="宋体" w:eastAsia="宋体" w:cs="宋体"/>
          <w:color w:val="000000"/>
          <w:sz w:val="24"/>
          <w:highlight w:val="none"/>
        </w:rPr>
        <w:t xml:space="preserve">）。</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sz w:val="24"/>
          <w:szCs w:val="22"/>
          <w:highlight w:val="none"/>
          <w:lang w:val="en-US" w:eastAsia="zh-CN"/>
        </w:rPr>
        <w:t xml:space="preserve">监测方案</w:t>
      </w:r>
      <w:r>
        <w:rPr>
          <w:rFonts w:hint="eastAsia" w:ascii="宋体" w:hAnsi="宋体" w:eastAsia="宋体" w:cs="宋体"/>
          <w:color w:val="000000"/>
          <w:sz w:val="24"/>
          <w:highlight w:val="none"/>
        </w:rPr>
        <w:t xml:space="preserve">（包括</w:t>
      </w:r>
      <w:r>
        <w:rPr>
          <w:rFonts w:hint="eastAsia" w:ascii="宋体" w:hAnsi="宋体" w:eastAsia="宋体" w:cs="宋体"/>
          <w:color w:val="000000"/>
          <w:sz w:val="24"/>
          <w:szCs w:val="22"/>
          <w:highlight w:val="none"/>
        </w:rPr>
        <w:t xml:space="preserve">①湿地生态环境要素监测、②</w:t>
      </w:r>
      <w:r>
        <w:rPr>
          <w:rFonts w:hint="eastAsia" w:ascii="宋体" w:hAnsi="宋体" w:eastAsia="宋体" w:cs="宋体"/>
          <w:sz w:val="24"/>
          <w:szCs w:val="24"/>
          <w:highlight w:val="none"/>
        </w:rPr>
        <w:t xml:space="preserve">湿地生物组成监测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④人为活动影响因素监测</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⑤湿地关键生态过程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固定样地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监测</w:t>
      </w:r>
      <w:r>
        <w:rPr>
          <w:rFonts w:hint="eastAsia" w:ascii="宋体" w:hAnsi="宋体" w:eastAsia="宋体" w:cs="宋体"/>
          <w:color w:val="000000"/>
          <w:sz w:val="24"/>
          <w:highlight w:val="none"/>
        </w:rPr>
        <w:t xml:space="preserve">）。</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sz w:val="24"/>
          <w:szCs w:val="24"/>
          <w:highlight w:val="none"/>
        </w:rPr>
        <w:t xml:space="preserve">高塔监控布置图</w:t>
      </w:r>
      <w:r>
        <w:rPr>
          <w:rFonts w:hint="eastAsia" w:ascii="宋体" w:hAnsi="宋体" w:eastAsia="宋体" w:cs="宋体"/>
          <w:color w:val="000000"/>
          <w:sz w:val="24"/>
          <w:highlight w:val="none"/>
        </w:rPr>
        <w:t xml:space="preserve">。</w:t>
      </w:r>
      <w:r/>
    </w:p>
    <w:p>
      <w:pPr>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项目重难点分析</w:t>
      </w:r>
      <w:r>
        <w:rPr>
          <w:rFonts w:hint="eastAsia" w:ascii="宋体" w:hAnsi="宋体" w:eastAsia="宋体" w:cs="宋体"/>
          <w:color w:val="000000"/>
          <w:sz w:val="24"/>
          <w:highlight w:val="none"/>
        </w:rPr>
        <w:t xml:space="preserve">。</w:t>
      </w:r>
      <w:r/>
    </w:p>
    <w:p>
      <w:pPr>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数据处理和分析</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2"/>
        <w:spacing w:line="45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、本项目“项目需求”中标“★”的相关要求，为本招标文件实质性要求，必须满足，否则将无效投标处理。</w:t>
      </w:r>
      <w:r/>
    </w:p>
    <w:p>
      <w:pPr>
        <w:ind w:firstLine="482"/>
        <w:spacing w:line="45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3、中标人在投标文件中拟投入人员即实际提供履约服务的人员，非经采购人允许，不得随意更换。如确需更换的，需保证服务人员的职称、证书、资历等要求不低于投标文件中拟投入人员。</w:t>
      </w:r>
      <w:r/>
    </w:p>
    <w:p>
      <w:pPr>
        <w:spacing w:line="440" w:lineRule="exact"/>
        <w:rPr>
          <w:rFonts w:hint="eastAsia" w:ascii="宋体" w:hAnsi="宋体" w:eastAsia="宋体" w:cs="宋体"/>
          <w:b/>
          <w:sz w:val="28"/>
          <w:szCs w:val="28"/>
          <w:highlight w:val="none"/>
          <w:lang w:val="en-US" w:eastAsia="zh-CN"/>
        </w:rPr>
        <w:outlineLvl w:val="9"/>
      </w:pPr>
      <w:r>
        <w:rPr>
          <w:rFonts w:hint="eastAsia" w:ascii="宋体" w:hAnsi="宋体" w:eastAsia="宋体" w:cs="宋体"/>
          <w:b/>
          <w:sz w:val="28"/>
          <w:szCs w:val="28"/>
          <w:highlight w:val="none"/>
          <w:lang w:val="en-US" w:eastAsia="zh-CN"/>
        </w:rPr>
        <w:t xml:space="preserve">六、验收要求：</w:t>
      </w:r>
      <w:r/>
    </w:p>
    <w:p>
      <w:pPr>
        <w:pStyle w:val="854"/>
        <w:ind w:firstLine="720"/>
        <w:spacing w:line="440" w:lineRule="exact"/>
        <w:rPr>
          <w:rFonts w:hint="eastAsia" w:ascii="宋体" w:hAnsi="宋体" w:eastAsia="宋体" w:cs="宋体"/>
          <w:b w:val="0"/>
          <w:bCs w:val="0"/>
          <w:sz w:val="24"/>
          <w:szCs w:val="24"/>
          <w:lang w:eastAsia="zh-CN"/>
        </w:rPr>
      </w:pP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、采购人应该成立</w:t>
      </w:r>
      <w:r>
        <w:rPr>
          <w:rFonts w:hint="eastAsia" w:ascii="宋体" w:hAnsi="宋体" w:eastAsia="宋体" w:cs="宋体"/>
          <w:b w:val="0"/>
          <w:bCs w:val="0"/>
          <w:sz w:val="24"/>
          <w:szCs w:val="24"/>
          <w:highlight w:val="none"/>
        </w:rPr>
        <w:t xml:space="preserve">验收小组</w:t>
      </w:r>
      <w:r>
        <w:rPr>
          <w:rFonts w:hint="eastAsia" w:ascii="宋体" w:hAnsi="宋体" w:eastAsia="宋体" w:cs="宋体"/>
          <w:b w:val="0"/>
          <w:bCs w:val="0"/>
          <w:sz w:val="24"/>
          <w:szCs w:val="24"/>
          <w:highlight w:val="none"/>
          <w:lang w:val="en-US" w:eastAsia="zh-CN"/>
        </w:rPr>
        <w:t xml:space="preserve">对</w:t>
      </w:r>
      <w:r>
        <w:rPr>
          <w:rFonts w:hint="eastAsia" w:ascii="宋体" w:hAnsi="宋体" w:eastAsia="宋体" w:cs="宋体"/>
          <w:b w:val="0"/>
          <w:bCs w:val="0"/>
          <w:sz w:val="24"/>
          <w:szCs w:val="24"/>
          <w:highlight w:val="none"/>
          <w:lang w:val="en-US" w:eastAsia="zh-CN"/>
        </w:rPr>
        <w:t xml:space="preserve">本项目</w:t>
      </w:r>
      <w:r>
        <w:rPr>
          <w:rFonts w:hint="eastAsia" w:ascii="宋体" w:hAnsi="宋体" w:eastAsia="宋体" w:cs="宋体"/>
          <w:b w:val="0"/>
          <w:bCs w:val="0"/>
          <w:sz w:val="24"/>
          <w:szCs w:val="24"/>
          <w:highlight w:val="none"/>
          <w:lang w:val="en-US" w:eastAsia="zh-CN"/>
        </w:rPr>
        <w:t xml:space="preserve">进行验收。</w:t>
      </w:r>
      <w:r>
        <w:rPr>
          <w:rFonts w:hint="eastAsia" w:ascii="宋体" w:hAnsi="宋体" w:eastAsia="宋体" w:cs="宋体"/>
          <w:b w:val="0"/>
          <w:bCs w:val="0"/>
          <w:sz w:val="24"/>
          <w:szCs w:val="24"/>
          <w:highlight w:val="none"/>
        </w:rPr>
        <w:t xml:space="preserve">验收小组由3人及以上单数的熟悉项目需求与标的的</w:t>
      </w:r>
      <w:r>
        <w:rPr>
          <w:rFonts w:hint="eastAsia" w:ascii="宋体" w:hAnsi="宋体" w:eastAsia="宋体" w:cs="宋体"/>
          <w:b w:val="0"/>
          <w:bCs w:val="0"/>
          <w:sz w:val="24"/>
          <w:szCs w:val="24"/>
        </w:rPr>
        <w:t xml:space="preserve">专业技术人员组成，以确保验收的专业性和公正性。验收小组根据</w:t>
      </w:r>
      <w:r>
        <w:rPr>
          <w:rFonts w:hint="eastAsia" w:ascii="宋体" w:hAnsi="宋体" w:eastAsia="宋体" w:cs="宋体"/>
          <w:b w:val="0"/>
          <w:bCs w:val="0"/>
          <w:sz w:val="24"/>
          <w:szCs w:val="24"/>
          <w:lang w:val="en-US" w:eastAsia="zh-CN"/>
        </w:rPr>
        <w:t xml:space="preserve">招标</w:t>
      </w:r>
      <w:r>
        <w:rPr>
          <w:rFonts w:hint="eastAsia" w:ascii="宋体" w:hAnsi="宋体" w:eastAsia="宋体" w:cs="宋体"/>
          <w:b w:val="0"/>
          <w:bCs w:val="0"/>
          <w:sz w:val="24"/>
          <w:szCs w:val="24"/>
        </w:rPr>
        <w:t xml:space="preserve">文件</w:t>
      </w:r>
      <w:r>
        <w:rPr>
          <w:rFonts w:hint="eastAsia" w:ascii="宋体" w:hAnsi="宋体" w:eastAsia="宋体" w:cs="宋体"/>
          <w:b w:val="0"/>
          <w:bCs w:val="0"/>
          <w:sz w:val="24"/>
          <w:szCs w:val="24"/>
          <w:lang w:val="en-US" w:eastAsia="zh-CN"/>
        </w:rPr>
        <w:t xml:space="preserve">的验收标准</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投标</w:t>
      </w:r>
      <w:r>
        <w:rPr>
          <w:rFonts w:hint="eastAsia" w:ascii="宋体" w:hAnsi="宋体" w:eastAsia="宋体" w:cs="宋体"/>
          <w:b w:val="0"/>
          <w:bCs w:val="0"/>
          <w:sz w:val="24"/>
          <w:szCs w:val="24"/>
        </w:rPr>
        <w:t xml:space="preserve">文件、政府采购合同等对服务人员进行</w:t>
      </w:r>
      <w:r>
        <w:rPr>
          <w:rFonts w:hint="eastAsia" w:ascii="宋体" w:hAnsi="宋体" w:eastAsia="宋体" w:cs="宋体"/>
          <w:b w:val="0"/>
          <w:bCs w:val="0"/>
          <w:sz w:val="24"/>
          <w:szCs w:val="24"/>
          <w:lang w:val="en-US" w:eastAsia="zh-CN"/>
        </w:rPr>
        <w:t xml:space="preserve">验收</w:t>
      </w:r>
      <w:r>
        <w:rPr>
          <w:rFonts w:hint="eastAsia" w:ascii="宋体" w:hAnsi="宋体" w:eastAsia="宋体" w:cs="宋体"/>
          <w:b w:val="0"/>
          <w:bCs w:val="0"/>
          <w:sz w:val="24"/>
          <w:szCs w:val="24"/>
        </w:rPr>
        <w:t xml:space="preserve">，并做好验收记录</w:t>
      </w:r>
      <w:r>
        <w:rPr>
          <w:rFonts w:hint="eastAsia" w:ascii="宋体" w:hAnsi="宋体" w:eastAsia="宋体" w:cs="宋体"/>
          <w:b w:val="0"/>
          <w:bCs w:val="0"/>
          <w:sz w:val="24"/>
          <w:szCs w:val="24"/>
          <w:lang w:eastAsia="zh-CN"/>
        </w:rPr>
        <w:t xml:space="preserve">。</w:t>
      </w:r>
      <w:r/>
    </w:p>
    <w:p>
      <w:pPr>
        <w:numPr>
          <w:ilvl w:val="0"/>
          <w:numId w:val="0"/>
        </w:numPr>
        <w:ind w:firstLine="72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2、验收细则</w:t>
      </w:r>
      <w:r/>
    </w:p>
    <w:tbl>
      <w:tblPr>
        <w:tblStyle w:val="850"/>
        <w:tblW w:w="5054" w:type="pct"/>
        <w:tblInd w:w="0" w:type="dxa"/>
        <w:tblLayout w:type="autofit"/>
        <w:tblCellMar>
          <w:left w:w="108" w:type="dxa"/>
          <w:top w:w="0" w:type="dxa"/>
          <w:right w:w="108" w:type="dxa"/>
          <w:bottom w:w="0" w:type="dxa"/>
        </w:tblCellMar>
        <w:tblLook w:val="04A0" w:firstRow="1" w:lastRow="0" w:firstColumn="1" w:lastColumn="0" w:noHBand="0" w:noVBand="1"/>
      </w:tblPr>
      <w:tblGrid>
        <w:gridCol w:w="1207"/>
        <w:gridCol w:w="1161"/>
        <w:gridCol w:w="2473"/>
        <w:gridCol w:w="784"/>
        <w:gridCol w:w="4451"/>
      </w:tblGrid>
      <w:tr>
        <w:trPr/>
        <w:tc>
          <w:tcPr>
            <w:tcBorders>
              <w:top w:val="single" w:color="222222" w:sz="6" w:space="0"/>
              <w:left w:val="single" w:color="222222" w:sz="6" w:space="0"/>
              <w:bottom w:val="single" w:color="222222" w:sz="6" w:space="0"/>
              <w:right w:val="single" w:color="222222" w:sz="6" w:space="0"/>
            </w:tcBorders>
            <w:tcW w:w="599" w:type="pct"/>
            <w:vAlign w:val="center"/>
            <w:textDirection w:val="lrTb"/>
            <w:noWrap w:val="false"/>
          </w:tcPr>
          <w:p>
            <w:pPr>
              <w:jc w:val="center"/>
              <w:spacing w:line="288" w:lineRule="auto"/>
              <w:rPr>
                <w:rFonts w:hint="eastAsia" w:ascii="宋体" w:hAnsi="宋体" w:eastAsia="宋体" w:cs="宋体"/>
                <w:b w:val="0"/>
                <w:bCs/>
                <w:sz w:val="24"/>
                <w:szCs w:val="24"/>
                <w:lang w:eastAsia="zh-CN"/>
              </w:rPr>
            </w:pPr>
            <w:r>
              <w:rPr>
                <w:rFonts w:hint="eastAsia" w:ascii="宋体" w:hAnsi="宋体" w:eastAsia="宋体" w:cs="宋体"/>
                <w:b w:val="0"/>
                <w:bCs/>
                <w:color w:val="000000"/>
                <w:sz w:val="24"/>
                <w:szCs w:val="24"/>
                <w:lang w:eastAsia="zh-CN"/>
              </w:rPr>
              <w:t xml:space="preserve">验收大类</w:t>
            </w:r>
            <w:r/>
          </w:p>
        </w:tc>
        <w:tc>
          <w:tcPr>
            <w:tcBorders>
              <w:top w:val="single" w:color="222222" w:sz="6" w:space="0"/>
              <w:left w:val="single" w:color="222222" w:sz="6" w:space="0"/>
              <w:bottom w:val="single" w:color="222222" w:sz="6" w:space="0"/>
              <w:right w:val="single" w:color="222222" w:sz="6" w:space="0"/>
            </w:tcBorders>
            <w:tcW w:w="576" w:type="pct"/>
            <w:vAlign w:val="center"/>
            <w:textDirection w:val="lrTb"/>
            <w:noWrap w:val="false"/>
          </w:tcPr>
          <w:p>
            <w:pPr>
              <w:jc w:val="center"/>
              <w:spacing w:line="288" w:lineRule="auto"/>
              <w:rPr>
                <w:rFonts w:hint="eastAsia" w:ascii="宋体" w:hAnsi="宋体" w:eastAsia="宋体" w:cs="宋体"/>
                <w:b w:val="0"/>
                <w:bCs/>
                <w:sz w:val="24"/>
                <w:szCs w:val="24"/>
              </w:rPr>
            </w:pPr>
            <w:r>
              <w:rPr>
                <w:rFonts w:hint="eastAsia" w:ascii="宋体" w:hAnsi="宋体" w:eastAsia="宋体" w:cs="宋体"/>
                <w:b w:val="0"/>
                <w:bCs/>
                <w:color w:val="000000"/>
                <w:sz w:val="24"/>
                <w:szCs w:val="24"/>
                <w:lang w:eastAsia="zh-CN"/>
              </w:rPr>
              <w:t xml:space="preserve">验收</w:t>
            </w:r>
            <w:r>
              <w:rPr>
                <w:rFonts w:hint="eastAsia" w:ascii="宋体" w:hAnsi="宋体" w:eastAsia="宋体" w:cs="宋体"/>
                <w:b w:val="0"/>
                <w:bCs/>
                <w:color w:val="000000"/>
                <w:sz w:val="24"/>
                <w:szCs w:val="24"/>
              </w:rPr>
              <w:t xml:space="preserve">细项</w:t>
            </w:r>
            <w:r/>
          </w:p>
        </w:tc>
        <w:tc>
          <w:tcPr>
            <w:tcBorders>
              <w:top w:val="single" w:color="222222" w:sz="6" w:space="0"/>
              <w:left w:val="single" w:color="222222" w:sz="6" w:space="0"/>
              <w:bottom w:val="single" w:color="222222" w:sz="6" w:space="0"/>
              <w:right w:val="single" w:color="222222" w:sz="6" w:space="0"/>
            </w:tcBorders>
            <w:tcW w:w="1226" w:type="pct"/>
            <w:vAlign w:val="center"/>
            <w:textDirection w:val="lrTb"/>
            <w:noWrap w:val="false"/>
          </w:tcPr>
          <w:p>
            <w:pPr>
              <w:jc w:val="center"/>
              <w:spacing w:line="288" w:lineRule="auto"/>
              <w:rPr>
                <w:rFonts w:hint="eastAsia" w:ascii="宋体" w:hAnsi="宋体" w:eastAsia="宋体" w:cs="宋体"/>
                <w:b w:val="0"/>
                <w:bCs/>
                <w:sz w:val="24"/>
                <w:szCs w:val="24"/>
              </w:rPr>
            </w:pPr>
            <w:r>
              <w:rPr>
                <w:rFonts w:hint="eastAsia" w:ascii="宋体" w:hAnsi="宋体" w:eastAsia="宋体" w:cs="宋体"/>
                <w:b w:val="0"/>
                <w:bCs/>
                <w:color w:val="000000"/>
                <w:sz w:val="24"/>
                <w:szCs w:val="24"/>
                <w:lang w:eastAsia="zh-CN"/>
              </w:rPr>
              <w:t xml:space="preserve">验收</w:t>
            </w:r>
            <w:r>
              <w:rPr>
                <w:rFonts w:hint="eastAsia" w:ascii="宋体" w:hAnsi="宋体" w:eastAsia="宋体" w:cs="宋体"/>
                <w:b w:val="0"/>
                <w:bCs/>
                <w:color w:val="000000"/>
                <w:sz w:val="24"/>
                <w:szCs w:val="24"/>
              </w:rPr>
              <w:t xml:space="preserve">要点</w:t>
            </w:r>
            <w:r/>
          </w:p>
        </w:tc>
        <w:tc>
          <w:tcPr>
            <w:tcBorders>
              <w:top w:val="single" w:color="222222" w:sz="6" w:space="0"/>
              <w:left w:val="single" w:color="222222" w:sz="6" w:space="0"/>
              <w:bottom w:val="single" w:color="222222" w:sz="6" w:space="0"/>
              <w:right w:val="single" w:color="222222" w:sz="6" w:space="0"/>
            </w:tcBorders>
            <w:tcW w:w="389" w:type="pct"/>
            <w:vAlign w:val="center"/>
            <w:textDirection w:val="lrTb"/>
            <w:noWrap w:val="false"/>
          </w:tcPr>
          <w:p>
            <w:pPr>
              <w:jc w:val="center"/>
              <w:spacing w:line="288" w:lineRule="auto"/>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分值</w:t>
            </w:r>
            <w:r/>
          </w:p>
        </w:tc>
        <w:tc>
          <w:tcPr>
            <w:tcBorders>
              <w:top w:val="single" w:color="222222" w:sz="6" w:space="0"/>
              <w:left w:val="single" w:color="222222" w:sz="6" w:space="0"/>
              <w:bottom w:val="single" w:color="222222" w:sz="6" w:space="0"/>
              <w:right w:val="single" w:color="222222" w:sz="6" w:space="0"/>
            </w:tcBorders>
            <w:tcW w:w="2208" w:type="pct"/>
            <w:vAlign w:val="center"/>
            <w:textDirection w:val="lrTb"/>
            <w:noWrap w:val="false"/>
          </w:tcPr>
          <w:p>
            <w:pPr>
              <w:jc w:val="center"/>
              <w:spacing w:line="288" w:lineRule="auto"/>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评分标准</w:t>
            </w:r>
            <w:r/>
          </w:p>
        </w:tc>
      </w:tr>
      <w:tr>
        <w:trPr/>
        <w:tc>
          <w:tcPr>
            <w:tcBorders>
              <w:top w:val="single" w:color="222222" w:sz="6" w:space="0"/>
              <w:left w:val="single" w:color="222222" w:sz="6" w:space="0"/>
              <w:right w:val="single" w:color="222222" w:sz="6" w:space="0"/>
            </w:tcBorders>
            <w:tcW w:w="599" w:type="pct"/>
            <w:vMerge w:val="restart"/>
            <w:textDirection w:val="lrTb"/>
            <w:noWrap w:val="false"/>
          </w:tcPr>
          <w:p>
            <w:pPr>
              <w:jc w:val="left"/>
              <w:spacing w:line="288"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一、监测系统建设与运行 (25分)</w:t>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 站点建设完备性</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全部监测站点按方案完成建设并接入指定平台。</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全部站点按期建成、设备安装到位、通电通网、运行正常。每缺失或未完成一项，扣2分，扣完为止。</w:t>
            </w:r>
            <w:r/>
          </w:p>
        </w:tc>
      </w:tr>
      <w:tr>
        <w:trPr/>
        <w:tc>
          <w:tcPr>
            <w:tcBorders>
              <w:left w:val="single" w:color="222222" w:sz="6" w:space="0"/>
              <w:right w:val="single" w:color="222222" w:sz="6" w:space="0"/>
            </w:tcBorders>
            <w:tcW w:w="599" w:type="pct"/>
            <w:vMerge w:val="continue"/>
            <w:textDirection w:val="lrTb"/>
            <w:noWrap w:val="false"/>
          </w:tcPr>
          <w:p>
            <w:pPr>
              <w:jc w:val="left"/>
              <w:spacing w:line="288"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2. 系统平台集成度</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“长江重要湿地（常熟）监测与管理平台”构建完成，并与省级平台、常熟现有平台实现数据整合展示。</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5分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平台具备所有站点数据实时接收、显示、存储、查询功能。与指定平台无缝对接、稳定运行。功能缺失或对接不稳定酌情扣1-5分。</w:t>
            </w:r>
            <w:r/>
          </w:p>
        </w:tc>
      </w:tr>
      <w:tr>
        <w:trPr/>
        <w:tc>
          <w:tcPr>
            <w:tcBorders>
              <w:left w:val="single" w:color="222222" w:sz="6" w:space="0"/>
              <w:bottom w:val="single" w:color="222222" w:sz="6" w:space="0"/>
              <w:right w:val="single" w:color="222222" w:sz="6" w:space="0"/>
            </w:tcBorders>
            <w:tcW w:w="599" w:type="pct"/>
            <w:vMerge w:val="continue"/>
            <w:textDirection w:val="lrTb"/>
            <w:noWrap w:val="false"/>
          </w:tcPr>
          <w:p>
            <w:pPr>
              <w:jc w:val="left"/>
              <w:spacing w:line="288"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3. 设备运行稳定性</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各监测设备全年在线率。</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10分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核心在线监测设备年在线率≥</w:t>
            </w:r>
            <w:r>
              <w:rPr>
                <w:rFonts w:hint="eastAsia" w:ascii="宋体" w:hAnsi="宋体" w:eastAsia="宋体" w:cs="宋体"/>
                <w:color w:val="000000"/>
                <w:sz w:val="24"/>
                <w:szCs w:val="24"/>
                <w:lang w:val="en-US" w:eastAsia="zh-CN"/>
              </w:rPr>
              <w:t xml:space="preserve">90</w:t>
            </w:r>
            <w:r>
              <w:rPr>
                <w:rFonts w:hint="eastAsia" w:ascii="宋体" w:hAnsi="宋体" w:eastAsia="宋体" w:cs="宋体"/>
                <w:color w:val="000000"/>
                <w:sz w:val="24"/>
                <w:szCs w:val="24"/>
              </w:rPr>
              <w:t xml:space="preserve">%，得10分；≥</w:t>
            </w:r>
            <w:r>
              <w:rPr>
                <w:rFonts w:hint="eastAsia" w:ascii="宋体" w:hAnsi="宋体" w:eastAsia="宋体" w:cs="宋体"/>
                <w:color w:val="000000"/>
                <w:sz w:val="24"/>
                <w:szCs w:val="24"/>
                <w:lang w:val="en-US" w:eastAsia="zh-CN"/>
              </w:rPr>
              <w:t xml:space="preserve">80</w:t>
            </w:r>
            <w:r>
              <w:rPr>
                <w:rFonts w:hint="eastAsia" w:ascii="宋体" w:hAnsi="宋体" w:eastAsia="宋体" w:cs="宋体"/>
                <w:color w:val="000000"/>
                <w:sz w:val="24"/>
                <w:szCs w:val="24"/>
              </w:rPr>
              <w:t xml:space="preserve">%但＜</w:t>
            </w:r>
            <w:r>
              <w:rPr>
                <w:rFonts w:hint="eastAsia" w:ascii="宋体" w:hAnsi="宋体" w:eastAsia="宋体" w:cs="宋体"/>
                <w:color w:val="000000"/>
                <w:sz w:val="24"/>
                <w:szCs w:val="24"/>
                <w:lang w:val="en-US" w:eastAsia="zh-CN"/>
              </w:rPr>
              <w:t xml:space="preserve">90</w:t>
            </w:r>
            <w:r>
              <w:rPr>
                <w:rFonts w:hint="eastAsia" w:ascii="宋体" w:hAnsi="宋体" w:eastAsia="宋体" w:cs="宋体"/>
                <w:color w:val="000000"/>
                <w:sz w:val="24"/>
                <w:szCs w:val="24"/>
              </w:rPr>
              <w:t xml:space="preserve">%，得5分；＜</w:t>
            </w:r>
            <w:r>
              <w:rPr>
                <w:rFonts w:hint="eastAsia" w:ascii="宋体" w:hAnsi="宋体" w:eastAsia="宋体" w:cs="宋体"/>
                <w:color w:val="000000"/>
                <w:sz w:val="24"/>
                <w:szCs w:val="24"/>
                <w:lang w:val="en-US" w:eastAsia="zh-CN"/>
              </w:rPr>
              <w:t xml:space="preserve">80</w:t>
            </w:r>
            <w:r>
              <w:rPr>
                <w:rFonts w:hint="eastAsia" w:ascii="宋体" w:hAnsi="宋体" w:eastAsia="宋体" w:cs="宋体"/>
                <w:color w:val="000000"/>
                <w:sz w:val="24"/>
                <w:szCs w:val="24"/>
              </w:rPr>
              <w:t xml:space="preserve">%，不得分。</w:t>
            </w:r>
            <w:r/>
          </w:p>
        </w:tc>
      </w:tr>
      <w:tr>
        <w:trPr/>
        <w:tc>
          <w:tcPr>
            <w:tcBorders>
              <w:top w:val="single" w:color="222222" w:sz="6" w:space="0"/>
              <w:left w:val="single" w:color="222222" w:sz="6" w:space="0"/>
              <w:right w:val="single" w:color="222222" w:sz="6" w:space="0"/>
            </w:tcBorders>
            <w:tcW w:w="599" w:type="pct"/>
            <w:vMerge w:val="restart"/>
            <w:textDirection w:val="lrTb"/>
            <w:noWrap w:val="false"/>
          </w:tcPr>
          <w:p>
            <w:pPr>
              <w:jc w:val="left"/>
              <w:spacing w:line="288"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二、监测服务履约质量 (</w:t>
            </w:r>
            <w:r>
              <w:rPr>
                <w:rFonts w:hint="eastAsia" w:ascii="宋体" w:hAnsi="宋体" w:eastAsia="宋体" w:cs="宋体"/>
                <w:b/>
                <w:bCs/>
                <w:color w:val="000000"/>
                <w:sz w:val="24"/>
                <w:szCs w:val="24"/>
                <w:lang w:val="en-US" w:eastAsia="zh-CN"/>
              </w:rPr>
              <w:t xml:space="preserve">40</w:t>
            </w:r>
            <w:r>
              <w:rPr>
                <w:rFonts w:hint="eastAsia" w:ascii="宋体" w:hAnsi="宋体" w:eastAsia="宋体" w:cs="宋体"/>
                <w:b/>
                <w:bCs/>
                <w:color w:val="000000"/>
                <w:sz w:val="24"/>
                <w:szCs w:val="24"/>
              </w:rPr>
              <w:t xml:space="preserve">分)</w:t>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 湿地生态要素监测 (</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水文、水质、气象、沉积物指标监测频次、方法、数据质量符合要求。</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10分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每项不达标按比例扣分。</w:t>
            </w:r>
            <w:r/>
          </w:p>
        </w:tc>
      </w:tr>
      <w:tr>
        <w:trPr/>
        <w:tc>
          <w:tcPr>
            <w:tcBorders>
              <w:left w:val="single" w:color="222222" w:sz="6" w:space="0"/>
              <w:right w:val="single" w:color="222222" w:sz="6" w:space="0"/>
            </w:tcBorders>
            <w:tcW w:w="599" w:type="pct"/>
            <w:vMerge w:val="continue"/>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2. 生物组成监测 (10分)</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鸟类智慧监测运行正常，具备AI识别与统计功能。</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10分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4处鸟类监控点运行正常，AI识别功能稳定运行，</w:t>
            </w:r>
            <w:r>
              <w:rPr>
                <w:rFonts w:hint="eastAsia" w:ascii="宋体" w:hAnsi="宋体" w:eastAsia="宋体" w:cs="宋体"/>
                <w:color w:val="000000"/>
                <w:sz w:val="24"/>
                <w:szCs w:val="24"/>
                <w:lang w:eastAsia="zh-CN"/>
              </w:rPr>
              <w:t xml:space="preserve">以及</w:t>
            </w:r>
            <w:r>
              <w:rPr>
                <w:rFonts w:hint="eastAsia" w:ascii="宋体" w:hAnsi="宋体" w:eastAsia="宋体" w:cs="宋体"/>
                <w:color w:val="000000"/>
                <w:sz w:val="24"/>
                <w:szCs w:val="24"/>
              </w:rPr>
              <w:t xml:space="preserve">高清资料</w:t>
            </w:r>
            <w:r>
              <w:rPr>
                <w:rFonts w:hint="eastAsia" w:ascii="宋体" w:hAnsi="宋体" w:eastAsia="宋体" w:cs="宋体"/>
                <w:color w:val="000000"/>
                <w:sz w:val="24"/>
                <w:szCs w:val="24"/>
                <w:lang w:eastAsia="zh-CN"/>
              </w:rPr>
              <w:t xml:space="preserve">留存完备情况。</w:t>
            </w:r>
            <w:r>
              <w:rPr>
                <w:rFonts w:hint="eastAsia" w:ascii="宋体" w:hAnsi="宋体" w:eastAsia="宋体" w:cs="宋体"/>
                <w:color w:val="000000"/>
                <w:sz w:val="24"/>
                <w:szCs w:val="24"/>
              </w:rPr>
              <w:t xml:space="preserve">每项不达标酌情扣分。</w:t>
            </w:r>
            <w:r/>
          </w:p>
        </w:tc>
      </w:tr>
      <w:tr>
        <w:trPr/>
        <w:tc>
          <w:tcPr>
            <w:tcBorders>
              <w:left w:val="single" w:color="222222" w:sz="6" w:space="0"/>
              <w:right w:val="single" w:color="222222" w:sz="6" w:space="0"/>
            </w:tcBorders>
            <w:tcW w:w="599" w:type="pct"/>
            <w:vMerge w:val="continue"/>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3. 人为活动监测 (10分)</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卡口人流车流监测、高塔禁止行为识别、无人机自动巡护按要求运行，数据准确。</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10分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卡口、高塔、无人机机场设备运行正常，巡飞频次达标，实时报警功能有效，得满分。任意一项功能缺失或频次不达标扣2分。</w:t>
            </w:r>
            <w:r/>
          </w:p>
        </w:tc>
      </w:tr>
      <w:tr>
        <w:trPr/>
        <w:tc>
          <w:tcPr>
            <w:tcBorders>
              <w:left w:val="single" w:color="222222" w:sz="6" w:space="0"/>
              <w:bottom w:val="single" w:color="222222" w:sz="6" w:space="0"/>
              <w:right w:val="single" w:color="222222" w:sz="6" w:space="0"/>
            </w:tcBorders>
            <w:tcW w:w="599" w:type="pct"/>
            <w:vMerge w:val="continue"/>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4. 关键生态过程监测 (10分)</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固定样地标识设立规范，多光谱物候、涡动通量观测设备运行稳定，数据连续准确。</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10分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样地标识、界桩、样桩设立齐全规范，得3分；多光谱、涡动通量设备在线率≥9</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%，数据采集与上传稳定，程序计算无误，得7分。每项不达标按比例扣分。</w:t>
            </w:r>
            <w:r/>
          </w:p>
        </w:tc>
      </w:tr>
      <w:tr>
        <w:trPr/>
        <w:tc>
          <w:tcPr>
            <w:tcBorders>
              <w:top w:val="single" w:color="222222" w:sz="6" w:space="0"/>
              <w:left w:val="single" w:color="222222" w:sz="6" w:space="0"/>
              <w:bottom w:val="single" w:color="222222" w:sz="6" w:space="0"/>
              <w:right w:val="single" w:color="222222" w:sz="6" w:space="0"/>
            </w:tcBorders>
            <w:tcW w:w="599" w:type="pct"/>
            <w:textDirection w:val="lrTb"/>
            <w:noWrap w:val="false"/>
          </w:tcPr>
          <w:p>
            <w:pPr>
              <w:jc w:val="left"/>
              <w:spacing w:line="288" w:lineRule="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、监测技术服务 (</w:t>
            </w: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分)</w:t>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 监测技术服务 (10分)</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提供年度监测报告，内容涵盖数据统计、趋势分析、问题诊断、对策建议。</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10分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按时提交1份年度监测报告（电子版1份，纸质版6份）。未按时提交或内容严重失实，本项不得分。</w:t>
            </w:r>
            <w:r/>
          </w:p>
        </w:tc>
      </w:tr>
      <w:tr>
        <w:trPr/>
        <w:tc>
          <w:tcPr>
            <w:tcBorders>
              <w:top w:val="single" w:color="222222" w:sz="6" w:space="0"/>
              <w:left w:val="single" w:color="222222" w:sz="6" w:space="0"/>
              <w:right w:val="single" w:color="222222" w:sz="6" w:space="0"/>
            </w:tcBorders>
            <w:tcW w:w="599" w:type="pct"/>
            <w:vMerge w:val="restart"/>
            <w:textDirection w:val="lrTb"/>
            <w:noWrap w:val="false"/>
          </w:tcPr>
          <w:p>
            <w:pPr>
              <w:jc w:val="left"/>
              <w:spacing w:line="288" w:lineRule="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、人员与履约管理 (1</w:t>
            </w:r>
            <w:r>
              <w:rPr>
                <w:rFonts w:hint="eastAsia" w:ascii="宋体" w:hAnsi="宋体" w:eastAsia="宋体" w:cs="宋体"/>
                <w:b/>
                <w:bCs/>
                <w:color w:val="000000"/>
                <w:sz w:val="24"/>
                <w:szCs w:val="24"/>
                <w:lang w:val="en-US" w:eastAsia="zh-CN"/>
              </w:rPr>
              <w:t xml:space="preserve">0</w:t>
            </w:r>
            <w:r>
              <w:rPr>
                <w:rFonts w:hint="eastAsia" w:ascii="宋体" w:hAnsi="宋体" w:eastAsia="宋体" w:cs="宋体"/>
                <w:b/>
                <w:bCs/>
                <w:color w:val="000000"/>
                <w:sz w:val="24"/>
                <w:szCs w:val="24"/>
              </w:rPr>
              <w:t xml:space="preserve">分)</w:t>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 项目团队稳定性</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项目负责人与核心技术人员与投标承诺一致</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5分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团队人员完全一致且履约良好，得5分；人员变动未按规定报批，或核心人员（项目负责人）擅自变更，本项不得分。</w:t>
            </w:r>
            <w:r/>
          </w:p>
        </w:tc>
      </w:tr>
      <w:tr>
        <w:trPr/>
        <w:tc>
          <w:tcPr>
            <w:tcBorders>
              <w:left w:val="single" w:color="222222" w:sz="6" w:space="0"/>
              <w:bottom w:val="single" w:color="auto" w:sz="4" w:space="0"/>
              <w:right w:val="single" w:color="222222" w:sz="6" w:space="0"/>
            </w:tcBorders>
            <w:tcW w:w="599" w:type="pct"/>
            <w:vMerge w:val="continue"/>
            <w:textDirection w:val="lrTb"/>
            <w:noWrap w:val="false"/>
          </w:tcPr>
          <w:p>
            <w:pPr>
              <w:jc w:val="left"/>
              <w:spacing w:line="288"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222222" w:sz="6" w:space="0"/>
              <w:left w:val="single" w:color="222222" w:sz="6"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运维与培训</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日常运维管理规范，定期组织培训提升技能。</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5分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运维日志齐全，定期开展内部技术培训且有记录，得5分；记录不全或未开展培训酌情扣2-4分。</w:t>
            </w:r>
            <w:r/>
          </w:p>
        </w:tc>
      </w:tr>
      <w:tr>
        <w:trPr/>
        <w:tc>
          <w:tcPr>
            <w:tcBorders>
              <w:top w:val="single" w:color="auto" w:sz="4" w:space="0"/>
              <w:left w:val="single" w:color="auto" w:sz="4" w:space="0"/>
              <w:right w:val="single" w:color="auto" w:sz="4" w:space="0"/>
            </w:tcBorders>
            <w:tcW w:w="599" w:type="pct"/>
            <w:vMerge w:val="restart"/>
            <w:textDirection w:val="lrTb"/>
            <w:noWrap w:val="false"/>
          </w:tcPr>
          <w:p>
            <w:pPr>
              <w:jc w:val="left"/>
              <w:spacing w:line="288" w:lineRule="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、规范履约</w:t>
            </w:r>
            <w:r>
              <w:rPr>
                <w:rFonts w:hint="eastAsia" w:ascii="宋体" w:hAnsi="宋体" w:eastAsia="宋体" w:cs="宋体"/>
                <w:b/>
                <w:bCs/>
                <w:color w:val="000000"/>
                <w:sz w:val="24"/>
                <w:szCs w:val="24"/>
                <w:lang w:eastAsia="zh-CN"/>
              </w:rPr>
              <w:t xml:space="preserve">与档案资料汇交</w:t>
            </w: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分)</w:t>
            </w:r>
            <w:r/>
          </w:p>
        </w:tc>
        <w:tc>
          <w:tcPr>
            <w:tcBorders>
              <w:top w:val="single" w:color="222222" w:sz="6" w:space="0"/>
              <w:left w:val="single" w:color="auto" w:sz="4"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1. 合同条款履行</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完全履行合同文本及技术要求的各项承诺，无违约行为。</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5分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未发生任何违约事项（如转包分包、质量下降、延迟交付、费用虚报等），得5分；发生任何一项违约且造成影响，酌情扣2-5分，情节严重可导致总体不合格。</w:t>
            </w:r>
            <w:r/>
          </w:p>
        </w:tc>
      </w:tr>
      <w:tr>
        <w:trPr/>
        <w:tc>
          <w:tcPr>
            <w:tcBorders>
              <w:left w:val="single" w:color="auto" w:sz="4" w:space="0"/>
              <w:bottom w:val="single" w:color="auto" w:sz="4" w:space="0"/>
              <w:right w:val="single" w:color="auto" w:sz="4" w:space="0"/>
            </w:tcBorders>
            <w:tcW w:w="599" w:type="pct"/>
            <w:vMerge w:val="continue"/>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222222" w:sz="6" w:space="0"/>
              <w:left w:val="single" w:color="auto" w:sz="4" w:space="0"/>
              <w:bottom w:val="single" w:color="222222" w:sz="6" w:space="0"/>
              <w:right w:val="single" w:color="222222" w:sz="6" w:space="0"/>
            </w:tcBorders>
            <w:tcW w:w="57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2. 档案资料完整性</w:t>
            </w:r>
            <w:r/>
          </w:p>
        </w:tc>
        <w:tc>
          <w:tcPr>
            <w:tcBorders>
              <w:top w:val="single" w:color="222222" w:sz="6" w:space="0"/>
              <w:left w:val="single" w:color="222222" w:sz="6" w:space="0"/>
              <w:bottom w:val="single" w:color="222222" w:sz="6" w:space="0"/>
              <w:right w:val="single" w:color="222222" w:sz="6" w:space="0"/>
            </w:tcBorders>
            <w:tcW w:w="1226"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项目全过程档案资料（技术方案、施工记录、验收文件等）完整规范。</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sz w:val="24"/>
                <w:szCs w:val="24"/>
              </w:rPr>
            </w:pPr>
            <w:r>
              <w:rPr>
                <w:rFonts w:hint="eastAsia" w:ascii="宋体" w:hAnsi="宋体" w:eastAsia="宋体" w:cs="宋体"/>
                <w:color w:val="000000"/>
                <w:sz w:val="24"/>
                <w:szCs w:val="24"/>
              </w:rPr>
              <w:t xml:space="preserve">所有档案资料按时提交、分类清晰、内容详实，得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分；有缺失或混乱，酌情扣分。</w:t>
            </w:r>
            <w:r/>
          </w:p>
        </w:tc>
      </w:tr>
      <w:tr>
        <w:trPr/>
        <w:tc>
          <w:tcPr>
            <w:gridSpan w:val="3"/>
            <w:tcBorders>
              <w:top w:val="single" w:color="auto" w:sz="4" w:space="0"/>
              <w:left w:val="single" w:color="auto" w:sz="4" w:space="0"/>
              <w:bottom w:val="single" w:color="auto" w:sz="4" w:space="0"/>
              <w:right w:val="single" w:color="222222" w:sz="6" w:space="0"/>
            </w:tcBorders>
            <w:tcW w:w="2402" w:type="pct"/>
            <w:textDirection w:val="lrTb"/>
            <w:noWrap w:val="false"/>
          </w:tcPr>
          <w:p>
            <w:pPr>
              <w:jc w:val="left"/>
              <w:spacing w:line="288" w:lineRule="auto"/>
              <w:rPr>
                <w:rFonts w:hint="default" w:ascii="宋体" w:hAnsi="宋体" w:eastAsia="宋体" w:cs="宋体"/>
                <w:color w:val="000000"/>
                <w:sz w:val="24"/>
                <w:szCs w:val="24"/>
                <w:lang w:val="en-US" w:eastAsia="zh-CN"/>
              </w:rPr>
            </w:pPr>
            <w:r>
              <w:rPr>
                <w:rFonts w:hint="eastAsia" w:ascii="宋体" w:hAnsi="宋体" w:eastAsia="宋体" w:cs="宋体"/>
                <w:b/>
                <w:bCs/>
                <w:i w:val="0"/>
                <w:iCs w:val="0"/>
                <w:color w:val="000000"/>
                <w:sz w:val="24"/>
                <w:szCs w:val="24"/>
                <w:u w:val="none"/>
                <w:lang w:val="en-US" w:eastAsia="zh-CN" w:bidi="ar"/>
              </w:rPr>
              <w:t xml:space="preserve">最终得分</w:t>
            </w:r>
            <w:r/>
          </w:p>
        </w:tc>
        <w:tc>
          <w:tcPr>
            <w:tcBorders>
              <w:top w:val="single" w:color="222222" w:sz="6" w:space="0"/>
              <w:left w:val="single" w:color="222222" w:sz="6" w:space="0"/>
              <w:bottom w:val="single" w:color="222222" w:sz="6" w:space="0"/>
              <w:right w:val="single" w:color="222222" w:sz="6" w:space="0"/>
            </w:tcBorders>
            <w:tcW w:w="389" w:type="pct"/>
            <w:textDirection w:val="lrTb"/>
            <w:noWrap w:val="false"/>
          </w:tcPr>
          <w:p>
            <w:pPr>
              <w:jc w:val="left"/>
              <w:spacing w:line="288"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222222" w:sz="6" w:space="0"/>
              <w:left w:val="single" w:color="222222" w:sz="6" w:space="0"/>
              <w:bottom w:val="single" w:color="222222" w:sz="6" w:space="0"/>
              <w:right w:val="single" w:color="222222" w:sz="6" w:space="0"/>
            </w:tcBorders>
            <w:tcW w:w="2208" w:type="pct"/>
            <w:textDirection w:val="lrTb"/>
            <w:noWrap w:val="false"/>
          </w:tcPr>
          <w:p>
            <w:pPr>
              <w:jc w:val="left"/>
              <w:spacing w:line="288"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jc w:val="left"/>
        <w:keepLines w:val="0"/>
        <w:keepNext w:val="0"/>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eastAsia="zh-CN"/>
        </w:rPr>
        <w:t xml:space="preserve">验收</w:t>
      </w:r>
      <w:r>
        <w:rPr>
          <w:rFonts w:hint="eastAsia" w:ascii="宋体" w:hAnsi="宋体" w:eastAsia="宋体" w:cs="宋体"/>
          <w:b w:val="0"/>
          <w:bCs w:val="0"/>
          <w:color w:val="000000"/>
          <w:sz w:val="24"/>
          <w:szCs w:val="24"/>
        </w:rPr>
        <w:t xml:space="preserve">与结果运用</w:t>
      </w:r>
      <w:r/>
    </w:p>
    <w:p>
      <w:pPr>
        <w:numPr>
          <w:ilvl w:val="0"/>
          <w:numId w:val="0"/>
        </w:num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验收</w:t>
      </w:r>
      <w:r>
        <w:rPr>
          <w:rFonts w:hint="eastAsia" w:ascii="宋体" w:hAnsi="宋体" w:eastAsia="宋体" w:cs="宋体"/>
          <w:color w:val="000000"/>
          <w:sz w:val="24"/>
          <w:szCs w:val="24"/>
        </w:rPr>
        <w:t xml:space="preserve">流程：合同约定的关键节点（如完成建设、年度结束）前，依据本办法现场查验、审核材料、综合打分。</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需配合验收，提供所有必要的原始记录、报告及证明材料。</w:t>
      </w:r>
      <w:r/>
    </w:p>
    <w:p>
      <w:pPr>
        <w:numPr>
          <w:ilvl w:val="0"/>
          <w:numId w:val="0"/>
        </w:num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2.验收</w:t>
      </w:r>
      <w:r>
        <w:rPr>
          <w:rFonts w:hint="eastAsia" w:ascii="宋体" w:hAnsi="宋体" w:eastAsia="宋体" w:cs="宋体"/>
          <w:color w:val="000000"/>
          <w:sz w:val="24"/>
          <w:szCs w:val="24"/>
        </w:rPr>
        <w:t xml:space="preserve">结果判定与运用：</w:t>
      </w:r>
      <w:r/>
    </w:p>
    <w:p>
      <w:pPr>
        <w:numPr>
          <w:ilvl w:val="0"/>
          <w:numId w:val="0"/>
        </w:num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总分≥85分：验收合格。采购人按合同约定支付相应款项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不进行扣款</w:t>
      </w:r>
      <w:r>
        <w:rPr>
          <w:rFonts w:hint="eastAsia" w:ascii="宋体" w:hAnsi="宋体" w:eastAsia="宋体" w:cs="宋体"/>
          <w:color w:val="000000"/>
          <w:sz w:val="24"/>
          <w:szCs w:val="24"/>
        </w:rPr>
        <w:t xml:space="preserve">。</w:t>
      </w:r>
      <w:r/>
    </w:p>
    <w:p>
      <w:pPr>
        <w:numPr>
          <w:ilvl w:val="0"/>
          <w:numId w:val="0"/>
        </w:num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总分70-84分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含84分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：限期整改</w:t>
      </w:r>
      <w:r>
        <w:rPr>
          <w:rFonts w:hint="eastAsia" w:ascii="宋体" w:hAnsi="宋体" w:eastAsia="宋体" w:cs="宋体"/>
          <w:color w:val="000000"/>
          <w:sz w:val="24"/>
          <w:szCs w:val="24"/>
          <w:lang w:val="en-US" w:eastAsia="zh-CN"/>
        </w:rPr>
        <w:t xml:space="preserve">并扣除服务费的5%</w:t>
      </w:r>
      <w:r>
        <w:rPr>
          <w:rFonts w:hint="eastAsia" w:ascii="宋体" w:hAnsi="宋体" w:eastAsia="宋体" w:cs="宋体"/>
          <w:color w:val="000000"/>
          <w:sz w:val="24"/>
          <w:szCs w:val="24"/>
        </w:rPr>
        <w:t xml:space="preserve">。采购人书面通知</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限期（一般不超过</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个工作日）整改。整改后复验得分≥85分方为合格。</w:t>
      </w:r>
      <w:r/>
    </w:p>
    <w:p>
      <w:pPr>
        <w:numPr>
          <w:ilvl w:val="0"/>
          <w:numId w:val="0"/>
        </w:num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总分≤70分，或某项关键指标严重不达标：验收不合格。采购人有权不予支付当期款项，并要求</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无偿返工直至达标，或根据合同追究违约责任，情节严重的可终止合同。</w:t>
      </w:r>
      <w:r/>
    </w:p>
    <w:p>
      <w:pPr>
        <w:numPr>
          <w:ilvl w:val="0"/>
          <w:numId w:val="0"/>
        </w:num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若验收不合格且未在规定期限内完成有效整改，视为</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实质性违约。验收考核期间，若发现</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有提供虚假材料、监测数据造假、重大安全责任事故等行为，实行一票否决，直接判定为验收不合格。</w:t>
      </w:r>
      <w:r/>
    </w:p>
    <w:p>
      <w:pPr>
        <w:pStyle w:val="854"/>
        <w:ind w:left="0" w:firstLine="0"/>
        <w:rPr>
          <w:rFonts w:hint="eastAsia" w:ascii="宋体" w:hAnsi="宋体" w:eastAsia="宋体" w:cs="宋体"/>
          <w:lang w:val="en-US" w:eastAsia="zh-CN"/>
        </w:rPr>
      </w:pPr>
      <w:r>
        <w:rPr>
          <w:rFonts w:hint="eastAsia" w:ascii="宋体" w:hAnsi="宋体" w:eastAsia="宋体" w:cs="宋体"/>
          <w:lang w:val="en-US" w:eastAsia="zh-CN"/>
        </w:rPr>
      </w:r>
      <w:r/>
    </w:p>
    <w:p>
      <w:pPr>
        <w:ind w:firstLine="420"/>
        <w:spacing w:line="450" w:lineRule="exact"/>
        <w:rPr>
          <w:rFonts w:hint="eastAsia" w:ascii="宋体" w:hAnsi="宋体" w:eastAsia="宋体" w:cs="宋体"/>
          <w:sz w:val="28"/>
        </w:rPr>
      </w:pPr>
      <w:r>
        <w:rPr>
          <w:rFonts w:hint="eastAsia" w:ascii="宋体" w:hAnsi="宋体" w:eastAsia="宋体" w:cs="宋体"/>
        </w:rPr>
        <w:br w:type="page" w:clear="all"/>
      </w:r>
      <w:bookmarkEnd w:id="199"/>
      <w:r/>
      <w:r/>
    </w:p>
    <w:p>
      <w:pPr>
        <w:jc w:val="center"/>
        <w:rPr>
          <w:rFonts w:hint="eastAsia" w:ascii="宋体" w:hAnsi="宋体" w:eastAsia="宋体" w:cs="宋体"/>
          <w:b/>
          <w:sz w:val="36"/>
        </w:rPr>
        <w:outlineLvl w:val="0"/>
      </w:pPr>
      <w:r/>
      <w:bookmarkStart w:id="234" w:name="_Toc15424"/>
      <w:r/>
      <w:bookmarkStart w:id="235" w:name="_Toc129075866"/>
      <w:r>
        <w:rPr>
          <w:rFonts w:hint="eastAsia" w:ascii="宋体" w:hAnsi="宋体" w:eastAsia="宋体" w:cs="宋体"/>
          <w:b/>
          <w:sz w:val="36"/>
        </w:rPr>
        <w:t xml:space="preserve">第五章  评审因素和评分标准</w:t>
      </w:r>
      <w:bookmarkEnd w:id="234"/>
      <w:r/>
      <w:bookmarkEnd w:id="235"/>
      <w:r/>
      <w:r/>
    </w:p>
    <w:p>
      <w:pPr>
        <w:spacing w:line="460" w:lineRule="exact"/>
        <w:rPr>
          <w:rFonts w:hint="eastAsia" w:ascii="宋体" w:hAnsi="宋体" w:eastAsia="宋体" w:cs="宋体"/>
          <w:b/>
          <w:bCs/>
          <w:sz w:val="28"/>
          <w:szCs w:val="22"/>
        </w:rPr>
        <w:outlineLvl w:val="9"/>
      </w:pPr>
      <w:r>
        <w:rPr>
          <w:rFonts w:hint="eastAsia" w:ascii="宋体" w:hAnsi="宋体" w:eastAsia="宋体" w:cs="宋体"/>
          <w:b/>
          <w:bCs/>
          <w:sz w:val="28"/>
          <w:szCs w:val="22"/>
        </w:rPr>
        <w:t xml:space="preserve">一、评标方法</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1、评标办法采用</w:t>
      </w:r>
      <w:r>
        <w:rPr>
          <w:rFonts w:hint="eastAsia" w:ascii="宋体" w:hAnsi="宋体" w:eastAsia="宋体" w:cs="宋体"/>
          <w:b/>
          <w:color w:val="000000"/>
          <w:sz w:val="24"/>
          <w:szCs w:val="24"/>
        </w:rPr>
        <w:t xml:space="preserve">综合评分法</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rFonts w:hint="eastAsia" w:ascii="宋体" w:hAnsi="宋体" w:eastAsia="宋体" w:cs="宋体"/>
          <w:b/>
          <w:bCs/>
          <w:sz w:val="28"/>
          <w:szCs w:val="22"/>
        </w:rPr>
        <w:outlineLvl w:val="9"/>
      </w:pPr>
      <w:r>
        <w:rPr>
          <w:rFonts w:hint="eastAsia" w:ascii="宋体" w:hAnsi="宋体" w:eastAsia="宋体" w:cs="宋体"/>
          <w:b/>
          <w:bCs/>
          <w:sz w:val="28"/>
          <w:szCs w:val="22"/>
        </w:rPr>
        <w:t xml:space="preserve">二、评审因素、分值及评分标准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注：每部分的得分保留小数点后两位，合计得分保留小数点后两位。</w:t>
      </w:r>
      <w:r/>
    </w:p>
    <w:p>
      <w:pPr>
        <w:ind w:firstLine="482"/>
        <w:spacing w:line="460" w:lineRule="exact"/>
        <w:rPr>
          <w:rFonts w:hint="eastAsia" w:ascii="宋体" w:hAnsi="宋体" w:eastAsia="宋体" w:cs="宋体"/>
          <w:b/>
          <w:bCs/>
          <w:sz w:val="24"/>
          <w:szCs w:val="22"/>
          <w:highlight w:val="none"/>
        </w:rPr>
      </w:pPr>
      <w:r/>
      <w:bookmarkStart w:id="236" w:name="_Hlk100141372"/>
      <w:r>
        <w:rPr>
          <w:rFonts w:hint="eastAsia" w:ascii="宋体" w:hAnsi="宋体" w:eastAsia="宋体" w:cs="宋体"/>
          <w:b/>
          <w:bCs/>
          <w:sz w:val="24"/>
          <w:szCs w:val="22"/>
          <w:highlight w:val="none"/>
        </w:rPr>
        <w:t xml:space="preserve">1、投标报价</w:t>
      </w:r>
      <w:r>
        <w:rPr>
          <w:rFonts w:hint="eastAsia" w:ascii="宋体" w:hAnsi="宋体" w:eastAsia="宋体" w:cs="宋体"/>
          <w:b/>
          <w:bCs/>
          <w:sz w:val="24"/>
          <w:szCs w:val="22"/>
          <w:highlight w:val="none"/>
          <w:lang w:val="en-US" w:eastAsia="zh-CN"/>
        </w:rPr>
        <w:t xml:space="preserve">25</w:t>
      </w:r>
      <w:r>
        <w:rPr>
          <w:rFonts w:hint="eastAsia" w:ascii="宋体" w:hAnsi="宋体" w:eastAsia="宋体" w:cs="宋体"/>
          <w:b/>
          <w:bCs/>
          <w:sz w:val="24"/>
          <w:szCs w:val="22"/>
          <w:highlight w:val="none"/>
        </w:rPr>
        <w:t xml:space="preserve">分</w:t>
      </w:r>
      <w:r/>
    </w:p>
    <w:p>
      <w:pPr>
        <w:ind w:firstLine="480"/>
        <w:spacing w:line="46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满足招标文件要求且投标价格最低的投标报价为评标基准价，其价格分为</w:t>
      </w:r>
      <w:r>
        <w:rPr>
          <w:rFonts w:hint="eastAsia" w:ascii="宋体" w:hAnsi="宋体" w:eastAsia="宋体" w:cs="宋体"/>
          <w:sz w:val="24"/>
          <w:szCs w:val="22"/>
          <w:highlight w:val="none"/>
          <w:lang w:val="en-US" w:eastAsia="zh-CN"/>
        </w:rPr>
        <w:t xml:space="preserve">25</w:t>
      </w:r>
      <w:r>
        <w:rPr>
          <w:rFonts w:hint="eastAsia" w:ascii="宋体" w:hAnsi="宋体" w:eastAsia="宋体" w:cs="宋体"/>
          <w:sz w:val="24"/>
          <w:szCs w:val="22"/>
          <w:highlight w:val="none"/>
        </w:rPr>
        <w:t xml:space="preserve">分；其他投标人的价格分按下列公式计算：投标报价得分＝（评标基准价／投标报价）×</w:t>
      </w:r>
      <w:r>
        <w:rPr>
          <w:rFonts w:hint="eastAsia" w:ascii="宋体" w:hAnsi="宋体" w:eastAsia="宋体" w:cs="宋体"/>
          <w:sz w:val="24"/>
          <w:szCs w:val="22"/>
          <w:highlight w:val="none"/>
          <w:lang w:val="en-US" w:eastAsia="zh-CN"/>
        </w:rPr>
        <w:t xml:space="preserve">25</w:t>
      </w:r>
      <w:r>
        <w:rPr>
          <w:rFonts w:hint="eastAsia" w:ascii="宋体" w:hAnsi="宋体" w:eastAsia="宋体" w:cs="宋体"/>
          <w:sz w:val="24"/>
          <w:szCs w:val="22"/>
          <w:highlight w:val="none"/>
        </w:rPr>
        <w:t xml:space="preserve">分。</w:t>
      </w:r>
      <w:r/>
    </w:p>
    <w:p>
      <w:pPr>
        <w:ind w:firstLine="24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评审过程中出现下列情形之一的，评审委员会应当启动异常低价投标（响应）审查程序：</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1.投标（响应）报价低于全部通过符合性审查供应商投标（响应）报价平均值50%的，即投标（响应）报价&lt;全部通过符合性审查供应商投标（响应）报价平均值×50%；</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2.投标（响应）报价低于通过符合性审查的次低报价供应商投标（响应）报价50%的，即投标（响应）报价&lt;通过符合性审查的次低报价供应商投标（响应）报价×50%；</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3.投标（响应）报价低于采购项目最高限价45%的，即投标（响应）报价&lt;采购项目最高限价×45%；</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4.评审委员会基于专业判断，认为供应商报价过低，有可能影响产品质量或者不能诚信履约的其他情形。</w:t>
      </w:r>
      <w:r/>
    </w:p>
    <w:p>
      <w:pPr>
        <w:ind w:firstLine="240"/>
        <w:spacing w:line="440" w:lineRule="exact"/>
        <w:rPr>
          <w:rFonts w:hint="eastAsia" w:ascii="宋体" w:hAnsi="宋体" w:eastAsia="宋体" w:cs="宋体"/>
        </w:rPr>
      </w:pPr>
      <w:r>
        <w:rPr>
          <w:rFonts w:hint="eastAsia" w:ascii="宋体" w:hAnsi="宋体" w:eastAsia="宋体" w:cs="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30分钟内</w:t>
      </w:r>
      <w:r>
        <w:rPr>
          <w:rFonts w:hint="eastAsia" w:ascii="宋体" w:hAnsi="宋体" w:eastAsia="宋体" w:cs="宋体"/>
          <w:sz w:val="24"/>
          <w:lang w:eastAsia="zh-CN"/>
        </w:rPr>
        <w:t xml:space="preserve">）</w:t>
      </w:r>
      <w:r>
        <w:rPr>
          <w:rFonts w:hint="eastAsia" w:ascii="宋体" w:hAnsi="宋体" w:eastAsia="宋体" w:cs="宋体"/>
          <w:sz w:val="24"/>
        </w:rPr>
        <w:t xml:space="preserve">。</w:t>
      </w:r>
      <w:r>
        <w:rPr>
          <w:rFonts w:hint="eastAsia" w:ascii="宋体" w:hAnsi="宋体" w:eastAsia="宋体" w:cs="宋体"/>
          <w:b/>
          <w:bCs/>
          <w:sz w:val="24"/>
        </w:rPr>
        <w:t xml:space="preserve">其中，属于第3项情形，供应商已随投标（响应）文件一并提交相关书面说明及必要的证明材料的，在评审现场可不再重复提交</w:t>
      </w: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hint="eastAsia" w:ascii="宋体" w:hAnsi="宋体" w:eastAsia="宋体" w:cs="宋体"/>
          <w:b/>
          <w:bCs/>
          <w:sz w:val="24"/>
          <w:szCs w:val="22"/>
        </w:rPr>
      </w:pPr>
      <w:r>
        <w:rPr>
          <w:rFonts w:hint="eastAsia" w:ascii="宋体" w:hAnsi="宋体" w:eastAsia="宋体" w:cs="宋体"/>
          <w:b/>
          <w:bCs/>
          <w:sz w:val="24"/>
          <w:szCs w:val="22"/>
        </w:rPr>
        <w:t xml:space="preserve">2、管理服务</w:t>
      </w:r>
      <w:r>
        <w:rPr>
          <w:rFonts w:hint="eastAsia" w:ascii="宋体" w:hAnsi="宋体" w:eastAsia="宋体" w:cs="宋体"/>
          <w:b/>
          <w:bCs/>
          <w:sz w:val="24"/>
          <w:szCs w:val="22"/>
          <w:lang w:val="en-US" w:eastAsia="zh-CN"/>
        </w:rPr>
        <w:t xml:space="preserve">46</w:t>
      </w:r>
      <w:r>
        <w:rPr>
          <w:rFonts w:hint="eastAsia" w:ascii="宋体" w:hAnsi="宋体" w:eastAsia="宋体" w:cs="宋体"/>
          <w:b/>
          <w:bCs/>
          <w:sz w:val="24"/>
          <w:szCs w:val="22"/>
        </w:rPr>
        <w:t xml:space="preserve">分</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209"/>
        <w:gridCol w:w="850"/>
        <w:gridCol w:w="6682"/>
      </w:tblGrid>
      <w:tr>
        <w:trPr>
          <w:jc w:val="center"/>
          <w:trHeight w:val="403"/>
        </w:trPr>
        <w:tc>
          <w:tcPr>
            <w:shd w:val="clear" w:color="auto" w:fill="f2f2f2"/>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评审因素</w:t>
            </w:r>
            <w:r/>
          </w:p>
        </w:tc>
        <w:tc>
          <w:tcPr>
            <w:shd w:val="clear" w:color="auto"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权值</w:t>
            </w:r>
            <w:r/>
          </w:p>
        </w:tc>
        <w:tc>
          <w:tcPr>
            <w:shd w:val="clear" w:color="auto" w:fill="f2f2f2"/>
            <w:tcBorders>
              <w:top w:val="single" w:color="auto" w:sz="4" w:space="0"/>
              <w:left w:val="single" w:color="auto" w:sz="4" w:space="0"/>
              <w:bottom w:val="single" w:color="auto" w:sz="4" w:space="0"/>
              <w:right w:val="single" w:color="auto" w:sz="4" w:space="0"/>
            </w:tcBorders>
            <w:tcW w:w="6682"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after="0" w:line="240" w:lineRule="auto"/>
              <w:widowControl w:val="off"/>
              <w:rPr>
                <w:rFonts w:hint="eastAsia" w:ascii="宋体" w:hAnsi="宋体" w:eastAsia="宋体" w:cs="宋体"/>
                <w:bCs w:val="0"/>
                <w:sz w:val="24"/>
                <w:szCs w:val="24"/>
                <w:lang w:eastAsia="zh-CN"/>
              </w:rPr>
            </w:pPr>
            <w:r>
              <w:rPr>
                <w:rFonts w:hint="eastAsia" w:ascii="宋体" w:hAnsi="宋体" w:eastAsia="宋体" w:cs="宋体"/>
                <w:bCs w:val="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lang w:val="en-US" w:eastAsia="zh-CN"/>
              </w:rPr>
              <w:t xml:space="preserve">16</w:t>
            </w:r>
            <w:r>
              <w:rPr>
                <w:rFonts w:hint="eastAsia" w:ascii="宋体" w:hAnsi="宋体" w:eastAsia="宋体" w:cs="宋体"/>
                <w:bCs w:val="0"/>
                <w:sz w:val="24"/>
                <w:szCs w:val="24"/>
              </w:rPr>
              <w:t xml:space="preserve">分</w:t>
            </w:r>
            <w:r/>
          </w:p>
        </w:tc>
        <w:tc>
          <w:tcPr>
            <w:tcBorders>
              <w:top w:val="single" w:color="auto" w:sz="4" w:space="0"/>
              <w:left w:val="single" w:color="auto" w:sz="4" w:space="0"/>
              <w:bottom w:val="single" w:color="auto" w:sz="4" w:space="0"/>
              <w:right w:val="single" w:color="auto" w:sz="4" w:space="0"/>
            </w:tcBorders>
            <w:tcW w:w="6682" w:type="dxa"/>
            <w:vAlign w:val="center"/>
            <w:textDirection w:val="lrTb"/>
            <w:noWrap w:val="false"/>
          </w:tcPr>
          <w:p>
            <w:pP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投标人承诺提供的服务全部满足招标文件要求的得基本分</w:t>
            </w:r>
            <w:r>
              <w:rPr>
                <w:rFonts w:hint="eastAsia" w:ascii="宋体" w:hAnsi="宋体" w:eastAsia="宋体" w:cs="宋体"/>
                <w:bCs w:val="0"/>
                <w:sz w:val="24"/>
                <w:szCs w:val="24"/>
                <w:lang w:val="en-US" w:eastAsia="zh-CN"/>
              </w:rPr>
              <w:t xml:space="preserve">16</w:t>
            </w:r>
            <w:r>
              <w:rPr>
                <w:rFonts w:hint="eastAsia" w:ascii="宋体" w:hAnsi="宋体" w:eastAsia="宋体" w:cs="宋体"/>
                <w:bCs w:val="0"/>
                <w:sz w:val="24"/>
                <w:szCs w:val="24"/>
              </w:rPr>
              <w:t xml:space="preserve">分；有</w:t>
            </w:r>
            <w:r>
              <w:rPr>
                <w:rFonts w:hint="eastAsia" w:ascii="宋体" w:hAnsi="宋体" w:eastAsia="宋体" w:cs="宋体"/>
                <w:bCs w:val="0"/>
                <w:sz w:val="24"/>
                <w:szCs w:val="24"/>
                <w:lang w:val="en-US" w:eastAsia="zh-CN"/>
              </w:rPr>
              <w:t xml:space="preserve">负</w:t>
            </w:r>
            <w:r>
              <w:rPr>
                <w:rFonts w:hint="eastAsia" w:ascii="宋体" w:hAnsi="宋体" w:eastAsia="宋体" w:cs="宋体"/>
                <w:bCs w:val="0"/>
                <w:sz w:val="24"/>
                <w:szCs w:val="24"/>
              </w:rPr>
              <w:t xml:space="preserve">偏离</w:t>
            </w:r>
            <w:r>
              <w:rPr>
                <w:rFonts w:hint="eastAsia" w:ascii="宋体" w:hAnsi="宋体" w:eastAsia="宋体" w:cs="宋体"/>
                <w:bCs w:val="0"/>
                <w:sz w:val="24"/>
                <w:szCs w:val="24"/>
                <w:lang w:val="en-US" w:eastAsia="zh-CN"/>
              </w:rPr>
              <w:t xml:space="preserve">条款的</w:t>
            </w:r>
            <w:r>
              <w:rPr>
                <w:rFonts w:hint="eastAsia" w:ascii="宋体" w:hAnsi="宋体" w:eastAsia="宋体" w:cs="宋体"/>
                <w:bCs w:val="0"/>
                <w:sz w:val="24"/>
                <w:szCs w:val="24"/>
              </w:rPr>
              <w:t xml:space="preserve">，每条扣</w:t>
            </w:r>
            <w:r>
              <w:rPr>
                <w:rFonts w:hint="eastAsia" w:ascii="宋体" w:hAnsi="宋体" w:eastAsia="宋体" w:cs="宋体"/>
                <w:bCs w:val="0"/>
                <w:sz w:val="24"/>
                <w:szCs w:val="24"/>
                <w:lang w:val="en-US" w:eastAsia="zh-CN"/>
              </w:rPr>
              <w:t xml:space="preserve">0.5</w:t>
            </w:r>
            <w:r>
              <w:rPr>
                <w:rFonts w:hint="eastAsia" w:ascii="宋体" w:hAnsi="宋体" w:eastAsia="宋体" w:cs="宋体"/>
                <w:bCs w:val="0"/>
                <w:sz w:val="24"/>
                <w:szCs w:val="24"/>
              </w:rPr>
              <w:t xml:space="preserve">分。</w:t>
            </w:r>
            <w:r/>
          </w:p>
        </w:tc>
      </w:tr>
      <w:tr>
        <w:trPr>
          <w:jc w:val="center"/>
          <w:trHeight w:val="90"/>
        </w:trPr>
        <w:tc>
          <w:tcPr>
            <w:tcW w:w="825" w:type="dxa"/>
            <w:vAlign w:val="center"/>
            <w:textDirection w:val="lrTb"/>
            <w:noWrap w:val="false"/>
          </w:tcPr>
          <w:p>
            <w:pPr>
              <w:jc w:val="center"/>
              <w:rPr>
                <w:rFonts w:hint="eastAsia" w:ascii="宋体" w:hAnsi="宋体" w:eastAsia="宋体" w:cs="宋体"/>
                <w:sz w:val="24"/>
                <w:szCs w:val="22"/>
                <w:lang w:eastAsia="zh-CN"/>
              </w:rPr>
            </w:pPr>
            <w:r>
              <w:rPr>
                <w:rFonts w:hint="eastAsia" w:ascii="宋体" w:hAnsi="宋体" w:eastAsia="宋体" w:cs="宋体"/>
                <w:sz w:val="24"/>
                <w:szCs w:val="22"/>
                <w:lang w:val="en-US" w:eastAsia="zh-CN"/>
              </w:rPr>
              <w:t xml:space="preserve">2</w:t>
            </w:r>
            <w:r/>
          </w:p>
        </w:tc>
        <w:tc>
          <w:tcPr>
            <w:tcW w:w="1209"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lang w:val="en-US" w:eastAsia="zh-CN"/>
              </w:rPr>
              <w:t xml:space="preserve">建设</w:t>
            </w:r>
            <w:r>
              <w:rPr>
                <w:rFonts w:hint="eastAsia" w:ascii="宋体" w:hAnsi="宋体" w:eastAsia="宋体" w:cs="宋体"/>
                <w:sz w:val="24"/>
                <w:szCs w:val="22"/>
              </w:rPr>
              <w:t xml:space="preserve">方案</w:t>
            </w:r>
            <w:r/>
          </w:p>
        </w:tc>
        <w:tc>
          <w:tcPr>
            <w:tcW w:w="850"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lang w:val="en-US" w:eastAsia="zh-CN"/>
              </w:rPr>
              <w:t xml:space="preserve">15</w:t>
            </w:r>
            <w:r>
              <w:rPr>
                <w:rFonts w:hint="eastAsia" w:ascii="宋体" w:hAnsi="宋体" w:eastAsia="宋体" w:cs="宋体"/>
                <w:sz w:val="24"/>
                <w:szCs w:val="22"/>
              </w:rPr>
              <w:t xml:space="preserve">分</w:t>
            </w:r>
            <w:r/>
          </w:p>
        </w:tc>
        <w:tc>
          <w:tcPr>
            <w:tcW w:w="668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2"/>
              </w:rPr>
              <w:t xml:space="preserve">根据投标人提供的服务方案（涉及评审要点（共</w:t>
            </w:r>
            <w:r>
              <w:rPr>
                <w:rFonts w:hint="eastAsia" w:ascii="宋体" w:hAnsi="宋体" w:eastAsia="宋体" w:cs="宋体"/>
                <w:color w:val="000000"/>
                <w:sz w:val="24"/>
                <w:szCs w:val="22"/>
                <w:lang w:val="en-US" w:eastAsia="zh-CN"/>
              </w:rPr>
              <w:t xml:space="preserve">5</w:t>
            </w:r>
            <w:r>
              <w:rPr>
                <w:rFonts w:hint="eastAsia" w:ascii="宋体" w:hAnsi="宋体" w:eastAsia="宋体" w:cs="宋体"/>
                <w:color w:val="000000"/>
                <w:sz w:val="24"/>
                <w:szCs w:val="22"/>
              </w:rPr>
              <w:t xml:space="preserve">项）：</w:t>
            </w:r>
            <w:r>
              <w:rPr>
                <w:rFonts w:hint="eastAsia" w:ascii="宋体" w:hAnsi="宋体" w:eastAsia="宋体" w:cs="宋体"/>
                <w:color w:val="000000"/>
                <w:sz w:val="24"/>
                <w:szCs w:val="24"/>
              </w:rPr>
              <w:t xml:space="preserve">①</w:t>
            </w:r>
            <w:r>
              <w:rPr>
                <w:rFonts w:hint="eastAsia" w:ascii="宋体" w:hAnsi="宋体" w:eastAsia="宋体" w:cs="宋体"/>
                <w:sz w:val="24"/>
                <w:szCs w:val="24"/>
              </w:rPr>
              <w:t xml:space="preserve">项目理解</w:t>
            </w:r>
            <w:r>
              <w:rPr>
                <w:rFonts w:hint="eastAsia" w:ascii="宋体" w:hAnsi="宋体" w:eastAsia="宋体" w:cs="宋体"/>
                <w:color w:val="000000"/>
                <w:sz w:val="24"/>
                <w:szCs w:val="24"/>
              </w:rPr>
              <w:t xml:space="preserve">、②</w:t>
            </w:r>
            <w:r>
              <w:rPr>
                <w:rFonts w:hint="eastAsia" w:ascii="宋体" w:hAnsi="宋体" w:eastAsia="宋体" w:cs="宋体"/>
                <w:sz w:val="24"/>
                <w:szCs w:val="24"/>
              </w:rPr>
              <w:t xml:space="preserve">需求分析</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③监测站点布局及建设方案</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④鸟类智慧监测站点建设方案</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⑤无人智能巡护站点建设方案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2"/>
              </w:rPr>
              <w:t xml:space="preserve">进行评定，本项最高得</w:t>
            </w:r>
            <w:r>
              <w:rPr>
                <w:rFonts w:hint="eastAsia" w:ascii="宋体" w:hAnsi="宋体" w:eastAsia="宋体" w:cs="宋体"/>
                <w:color w:val="000000"/>
                <w:sz w:val="24"/>
                <w:szCs w:val="22"/>
                <w:lang w:val="en-US" w:eastAsia="zh-CN"/>
              </w:rPr>
              <w:t xml:space="preserve">15</w:t>
            </w:r>
            <w:r>
              <w:rPr>
                <w:rFonts w:hint="eastAsia" w:ascii="宋体" w:hAnsi="宋体" w:eastAsia="宋体" w:cs="宋体"/>
                <w:color w:val="000000"/>
                <w:sz w:val="24"/>
                <w:szCs w:val="22"/>
              </w:rPr>
              <w:t xml:space="preserve">分。体现上述评审要点且内容贴合需求的，每有一项得</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rPr>
              <w:t xml:space="preserve">分；体现上述评审要点但内容无法完全贴合需求的，每有一项得</w:t>
            </w:r>
            <w:r>
              <w:rPr>
                <w:rFonts w:hint="eastAsia" w:ascii="宋体" w:hAnsi="宋体" w:eastAsia="宋体" w:cs="宋体"/>
                <w:color w:val="000000"/>
                <w:sz w:val="24"/>
                <w:szCs w:val="22"/>
                <w:lang w:val="en-US" w:eastAsia="zh-CN"/>
              </w:rPr>
              <w:t xml:space="preserve">1.5</w:t>
            </w:r>
            <w:r>
              <w:rPr>
                <w:rFonts w:hint="eastAsia" w:ascii="宋体" w:hAnsi="宋体" w:eastAsia="宋体" w:cs="宋体"/>
                <w:color w:val="000000"/>
                <w:sz w:val="24"/>
                <w:szCs w:val="22"/>
              </w:rPr>
              <w:t xml:space="preserve">分；未能体现评审要点（或无实质性内容的），对应项得0分。</w:t>
            </w:r>
            <w:r/>
          </w:p>
        </w:tc>
      </w:tr>
      <w:tr>
        <w:trPr>
          <w:jc w:val="center"/>
          <w:trHeight w:val="585"/>
        </w:trPr>
        <w:tc>
          <w:tcPr>
            <w:tcW w:w="825" w:type="dxa"/>
            <w:vAlign w:val="center"/>
            <w:textDirection w:val="lrTb"/>
            <w:noWrap w:val="false"/>
          </w:tcPr>
          <w:p>
            <w:pPr>
              <w:jc w:val="center"/>
              <w:rPr>
                <w:rFonts w:hint="eastAsia" w:ascii="宋体" w:hAnsi="宋体" w:eastAsia="宋体" w:cs="宋体"/>
                <w:sz w:val="24"/>
                <w:szCs w:val="22"/>
                <w:lang w:eastAsia="zh-CN"/>
              </w:rPr>
            </w:pPr>
            <w:r>
              <w:rPr>
                <w:rFonts w:hint="eastAsia" w:ascii="宋体" w:hAnsi="宋体" w:eastAsia="宋体" w:cs="宋体"/>
                <w:sz w:val="24"/>
                <w:szCs w:val="22"/>
                <w:lang w:val="en-US" w:eastAsia="zh-CN"/>
              </w:rPr>
              <w:t xml:space="preserve">3</w:t>
            </w:r>
            <w:r/>
          </w:p>
        </w:tc>
        <w:tc>
          <w:tcPr>
            <w:tcW w:w="1209" w:type="dxa"/>
            <w:vAlign w:val="center"/>
            <w:textDirection w:val="lrTb"/>
            <w:noWrap w:val="false"/>
          </w:tcPr>
          <w:p>
            <w:pPr>
              <w:jc w:val="center"/>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监测方案</w:t>
            </w:r>
            <w:r/>
          </w:p>
        </w:tc>
        <w:tc>
          <w:tcPr>
            <w:tcW w:w="850"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lang w:val="en-US" w:eastAsia="zh-CN"/>
              </w:rPr>
              <w:t xml:space="preserve">8</w:t>
            </w:r>
            <w:r>
              <w:rPr>
                <w:rFonts w:hint="eastAsia" w:ascii="宋体" w:hAnsi="宋体" w:eastAsia="宋体" w:cs="宋体"/>
                <w:sz w:val="24"/>
                <w:szCs w:val="22"/>
              </w:rPr>
              <w:t xml:space="preserve">分</w:t>
            </w:r>
            <w:r/>
          </w:p>
        </w:tc>
        <w:tc>
          <w:tcPr>
            <w:tcW w:w="6682" w:type="dxa"/>
            <w:vAlign w:val="center"/>
            <w:textDirection w:val="lrTb"/>
            <w:noWrap w:val="false"/>
          </w:tcPr>
          <w:p>
            <w:pPr>
              <w:rPr>
                <w:rFonts w:hint="eastAsia" w:ascii="宋体" w:hAnsi="宋体" w:eastAsia="宋体" w:cs="宋体"/>
                <w:sz w:val="24"/>
                <w:szCs w:val="22"/>
              </w:rPr>
            </w:pPr>
            <w:r>
              <w:rPr>
                <w:rFonts w:hint="eastAsia" w:ascii="宋体" w:hAnsi="宋体" w:eastAsia="宋体" w:cs="宋体"/>
                <w:color w:val="000000"/>
                <w:sz w:val="24"/>
                <w:szCs w:val="22"/>
              </w:rPr>
              <w:t xml:space="preserve">根据投标人提供的</w:t>
            </w:r>
            <w:r>
              <w:rPr>
                <w:rFonts w:hint="eastAsia" w:ascii="宋体" w:hAnsi="宋体" w:eastAsia="宋体" w:cs="宋体"/>
                <w:sz w:val="24"/>
                <w:szCs w:val="22"/>
                <w:lang w:val="en-US" w:eastAsia="zh-CN"/>
              </w:rPr>
              <w:t xml:space="preserve">监测方案</w:t>
            </w:r>
            <w:r>
              <w:rPr>
                <w:rFonts w:hint="eastAsia" w:ascii="宋体" w:hAnsi="宋体" w:eastAsia="宋体" w:cs="宋体"/>
                <w:color w:val="000000"/>
                <w:sz w:val="24"/>
                <w:szCs w:val="22"/>
              </w:rPr>
              <w:t xml:space="preserve">（涉及评审要点（共</w:t>
            </w:r>
            <w:r>
              <w:rPr>
                <w:rFonts w:hint="eastAsia" w:ascii="宋体" w:hAnsi="宋体" w:eastAsia="宋体" w:cs="宋体"/>
                <w:color w:val="000000"/>
                <w:sz w:val="24"/>
                <w:szCs w:val="22"/>
                <w:lang w:val="en-US" w:eastAsia="zh-CN"/>
              </w:rPr>
              <w:t xml:space="preserve">4</w:t>
            </w:r>
            <w:r>
              <w:rPr>
                <w:rFonts w:hint="eastAsia" w:ascii="宋体" w:hAnsi="宋体" w:eastAsia="宋体" w:cs="宋体"/>
                <w:color w:val="000000"/>
                <w:sz w:val="24"/>
                <w:szCs w:val="22"/>
              </w:rPr>
              <w:t xml:space="preserve">项）：①湿地生态环境要素监测、②</w:t>
            </w:r>
            <w:r>
              <w:rPr>
                <w:rFonts w:hint="eastAsia" w:ascii="宋体" w:hAnsi="宋体" w:eastAsia="宋体" w:cs="宋体"/>
                <w:sz w:val="24"/>
                <w:szCs w:val="24"/>
              </w:rPr>
              <w:t xml:space="preserve">湿地生物组成监测</w:t>
            </w: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人为活动影响因素监测</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④湿地关键生态过程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固定样地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监测</w:t>
            </w:r>
            <w:r>
              <w:rPr>
                <w:rFonts w:hint="eastAsia" w:ascii="宋体" w:hAnsi="宋体" w:eastAsia="宋体" w:cs="宋体"/>
                <w:color w:val="000000"/>
                <w:sz w:val="24"/>
                <w:szCs w:val="22"/>
              </w:rPr>
              <w:t xml:space="preserve">进行评定，本项最高得</w:t>
            </w:r>
            <w:r>
              <w:rPr>
                <w:rFonts w:hint="eastAsia" w:ascii="宋体" w:hAnsi="宋体" w:eastAsia="宋体" w:cs="宋体"/>
                <w:color w:val="000000"/>
                <w:sz w:val="24"/>
                <w:szCs w:val="22"/>
                <w:lang w:val="en-US" w:eastAsia="zh-CN"/>
              </w:rPr>
              <w:t xml:space="preserve">8</w:t>
            </w:r>
            <w:r>
              <w:rPr>
                <w:rFonts w:hint="eastAsia" w:ascii="宋体" w:hAnsi="宋体" w:eastAsia="宋体" w:cs="宋体"/>
                <w:color w:val="000000"/>
                <w:sz w:val="24"/>
                <w:szCs w:val="22"/>
              </w:rPr>
              <w:t xml:space="preserve">分。体现上述评审要点且内容贴合需求的，每有一项得</w:t>
            </w:r>
            <w:r>
              <w:rPr>
                <w:rFonts w:hint="eastAsia" w:ascii="宋体" w:hAnsi="宋体" w:eastAsia="宋体" w:cs="宋体"/>
                <w:color w:val="000000"/>
                <w:sz w:val="24"/>
                <w:szCs w:val="22"/>
                <w:lang w:val="en-US" w:eastAsia="zh-CN"/>
              </w:rPr>
              <w:t xml:space="preserve">2</w:t>
            </w:r>
            <w:r>
              <w:rPr>
                <w:rFonts w:hint="eastAsia" w:ascii="宋体" w:hAnsi="宋体" w:eastAsia="宋体" w:cs="宋体"/>
                <w:color w:val="000000"/>
                <w:sz w:val="24"/>
                <w:szCs w:val="22"/>
              </w:rPr>
              <w:t xml:space="preserve">分；体现上述评审要点但内容无法完全贴合需求的，每有一项得</w:t>
            </w: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rPr>
              <w:t xml:space="preserve">分；未能体现评审要点（或无实质性内容的），对应项得0分。</w:t>
            </w:r>
            <w:r/>
          </w:p>
        </w:tc>
      </w:tr>
      <w:tr>
        <w:trPr>
          <w:jc w:val="center"/>
          <w:trHeight w:val="585"/>
        </w:trPr>
        <w:tc>
          <w:tcPr>
            <w:tcW w:w="825" w:type="dxa"/>
            <w:vAlign w:val="center"/>
            <w:textDirection w:val="lrTb"/>
            <w:noWrap w:val="false"/>
          </w:tcPr>
          <w:p>
            <w:pPr>
              <w:jc w:val="center"/>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4</w:t>
            </w:r>
            <w:r/>
          </w:p>
        </w:tc>
        <w:tc>
          <w:tcPr>
            <w:tcW w:w="1209" w:type="dxa"/>
            <w:vAlign w:val="center"/>
            <w:textDirection w:val="lrTb"/>
            <w:noWrap w:val="false"/>
          </w:tcPr>
          <w:p>
            <w:pPr>
              <w:jc w:val="center"/>
              <w:rPr>
                <w:rFonts w:hint="eastAsia" w:ascii="宋体" w:hAnsi="宋体" w:eastAsia="宋体" w:cs="宋体"/>
                <w:sz w:val="24"/>
                <w:szCs w:val="22"/>
                <w:highlight w:val="none"/>
              </w:rPr>
            </w:pPr>
            <w:r>
              <w:rPr>
                <w:rFonts w:hint="eastAsia" w:ascii="宋体" w:hAnsi="宋体" w:eastAsia="宋体" w:cs="宋体"/>
                <w:sz w:val="24"/>
                <w:szCs w:val="24"/>
                <w:highlight w:val="none"/>
              </w:rPr>
              <w:t xml:space="preserve">高塔监控布置图</w:t>
            </w:r>
            <w:r/>
          </w:p>
        </w:tc>
        <w:tc>
          <w:tcPr>
            <w:tcW w:w="850" w:type="dxa"/>
            <w:vAlign w:val="center"/>
            <w:textDirection w:val="lrTb"/>
            <w:noWrap w:val="false"/>
          </w:tcPr>
          <w:p>
            <w:pPr>
              <w:jc w:val="center"/>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分</w:t>
            </w:r>
            <w:r/>
          </w:p>
        </w:tc>
        <w:tc>
          <w:tcPr>
            <w:tcW w:w="6682" w:type="dxa"/>
            <w:vAlign w:val="center"/>
            <w:textDirection w:val="lrTb"/>
            <w:noWrap w:val="false"/>
          </w:tcPr>
          <w:p>
            <w:pPr>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2"/>
                <w:highlight w:val="none"/>
              </w:rPr>
              <w:t xml:space="preserve">根据投标人提供的</w:t>
            </w:r>
            <w:r>
              <w:rPr>
                <w:rFonts w:hint="eastAsia" w:ascii="宋体" w:hAnsi="宋体" w:eastAsia="宋体" w:cs="宋体"/>
                <w:sz w:val="24"/>
                <w:szCs w:val="24"/>
                <w:highlight w:val="none"/>
              </w:rPr>
              <w:t xml:space="preserve">高塔监控布置图</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通过现场环境调查，提供项目区附近高塔监测点位图，并对其中选择作为监控点的高塔进行标记的得3分；未进行现场环境调查，提供的监测点位布置图与项目基本需求相差较大的得1</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分。</w:t>
            </w:r>
            <w:r>
              <w:rPr>
                <w:rFonts w:hint="eastAsia" w:ascii="宋体" w:hAnsi="宋体" w:eastAsia="宋体" w:cs="宋体"/>
                <w:sz w:val="24"/>
                <w:szCs w:val="24"/>
              </w:rPr>
              <w:t xml:space="preserve">未能体现评审要点（或无实质性内容的），对应项得0分。</w:t>
            </w:r>
            <w:r/>
          </w:p>
        </w:tc>
      </w:tr>
      <w:tr>
        <w:trPr>
          <w:jc w:val="center"/>
          <w:trHeight w:val="585"/>
        </w:trPr>
        <w:tc>
          <w:tcPr>
            <w:shd w:val="clear" w:color="auto" w:fill="auto"/>
            <w:tcW w:w="825" w:type="dxa"/>
            <w:vAlign w:val="center"/>
            <w:textDirection w:val="lrTb"/>
            <w:noWrap w:val="false"/>
          </w:tcPr>
          <w:p>
            <w:pPr>
              <w:jc w:val="center"/>
              <w:rPr>
                <w:rFonts w:hint="eastAsia" w:ascii="宋体" w:hAnsi="宋体" w:eastAsia="宋体" w:cs="宋体"/>
                <w:color w:val="000000" w:themeColor="text1"/>
                <w:sz w:val="24"/>
                <w:szCs w:val="24"/>
                <w:highlight w:val="whit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p>
        </w:tc>
        <w:tc>
          <w:tcPr>
            <w:shd w:val="clear" w:color="auto" w:fill="auto"/>
            <w:tcW w:w="1209" w:type="dxa"/>
            <w:vAlign w:val="center"/>
            <w:textDirection w:val="lrTb"/>
            <w:noWrap w:val="false"/>
          </w:tcPr>
          <w:p>
            <w:pPr>
              <w:jc w:val="center"/>
              <w:rPr>
                <w:rFonts w:hint="eastAsia" w:ascii="宋体" w:hAnsi="宋体" w:eastAsia="宋体" w:cs="宋体"/>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项目重难点分析</w:t>
            </w:r>
            <w:r/>
          </w:p>
        </w:tc>
        <w:tc>
          <w:tcPr>
            <w:shd w:val="clear" w:color="auto" w:fill="auto"/>
            <w:tcW w:w="850" w:type="dxa"/>
            <w:vAlign w:val="center"/>
            <w:textDirection w:val="lrTb"/>
            <w:noWrap w:val="false"/>
          </w:tcPr>
          <w:p>
            <w:pPr>
              <w:jc w:val="center"/>
              <w:rPr>
                <w:rFonts w:hint="eastAsia" w:ascii="宋体" w:hAnsi="宋体" w:eastAsia="宋体" w:cs="宋体"/>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white"/>
                <w14:textFill>
                  <w14:solidFill>
                    <w14:schemeClr w14:val="tx1"/>
                  </w14:solidFill>
                </w14:textFill>
              </w:rPr>
              <w:t xml:space="preserve">分</w:t>
            </w:r>
            <w:r/>
          </w:p>
        </w:tc>
        <w:tc>
          <w:tcPr>
            <w:shd w:val="clear" w:color="auto" w:fill="auto"/>
            <w:tcW w:w="6682" w:type="dxa"/>
            <w:vAlign w:val="center"/>
            <w:textDirection w:val="lrTb"/>
            <w:noWrap w:val="false"/>
          </w:tcPr>
          <w:p>
            <w:pPr>
              <w:jc w:val="left"/>
              <w:rPr>
                <w:rFonts w:hint="eastAsia" w:ascii="宋体" w:hAnsi="宋体" w:eastAsia="宋体" w:cs="宋体"/>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white"/>
                <w:lang w:val="en-US" w:eastAsia="zh-CN"/>
                <w14:textFill>
                  <w14:solidFill>
                    <w14:schemeClr w14:val="tx1"/>
                  </w14:solidFill>
                </w14:textFill>
              </w:rPr>
              <w:t xml:space="preserve">根据投标人</w:t>
            </w:r>
            <w:r>
              <w:rPr>
                <w:rFonts w:hint="eastAsia" w:ascii="宋体" w:hAnsi="宋体" w:eastAsia="宋体" w:cs="宋体"/>
                <w:bCs/>
                <w:color w:val="000000" w:themeColor="text1"/>
                <w:sz w:val="24"/>
                <w:szCs w:val="24"/>
                <w:highlight w:val="white"/>
                <w14:textFill>
                  <w14:solidFill>
                    <w14:schemeClr w14:val="tx1"/>
                  </w14:solidFill>
                </w14:textFill>
              </w:rPr>
              <w:t xml:space="preserve">针对本项目提供的</w:t>
            </w:r>
            <w:r>
              <w:rPr>
                <w:rFonts w:hint="eastAsia" w:ascii="宋体" w:hAnsi="宋体" w:eastAsia="宋体" w:cs="宋体"/>
                <w:b w:val="0"/>
                <w:bCs/>
                <w:color w:val="000000" w:themeColor="text1"/>
                <w:sz w:val="24"/>
                <w:szCs w:val="24"/>
                <w:highlight w:val="white"/>
                <w14:textFill>
                  <w14:solidFill>
                    <w14:schemeClr w14:val="tx1"/>
                  </w14:solidFill>
                </w14:textFill>
              </w:rPr>
              <w:t xml:space="preserve">项目重难点分析进行综合评定，</w:t>
            </w:r>
            <w:r>
              <w:rPr>
                <w:rFonts w:hint="eastAsia" w:ascii="宋体" w:hAnsi="宋体" w:eastAsia="宋体" w:cs="宋体"/>
                <w:sz w:val="24"/>
                <w:szCs w:val="24"/>
              </w:rPr>
              <w:t xml:space="preserve">体现上述评审要点且内容贴合项目需求的得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分；体现上述评审要点但内容无法完全贴合项目需求的得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分；未能体现评审要点（或无实质性内容的），对应项得0分。</w:t>
            </w:r>
            <w:r/>
          </w:p>
        </w:tc>
      </w:tr>
      <w:tr>
        <w:trPr>
          <w:jc w:val="center"/>
          <w:trHeight w:val="585"/>
        </w:trPr>
        <w:tc>
          <w:tcPr>
            <w:shd w:val="clear" w:color="auto" w:fill="auto"/>
            <w:tcW w:w="82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W w:w="120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数据处理和分析</w:t>
            </w:r>
            <w:r/>
          </w:p>
        </w:tc>
        <w:tc>
          <w:tcPr>
            <w:shd w:val="clear" w:color="auto" w:fill="auto"/>
            <w:tcW w:w="850" w:type="dxa"/>
            <w:vAlign w:val="center"/>
            <w:textDirection w:val="lrTb"/>
            <w:noWrap w:val="false"/>
          </w:tcPr>
          <w:p>
            <w:pPr>
              <w:jc w:val="cente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shd w:val="clear" w:color="auto" w:fill="auto"/>
            <w:tcW w:w="6682" w:type="dxa"/>
            <w:vAlign w:val="center"/>
            <w:textDirection w:val="lrTb"/>
            <w:noWrap w:val="false"/>
          </w:tcPr>
          <w:p>
            <w:pPr>
              <w:jc w:val="lef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根据投标人提供的</w:t>
            </w:r>
            <w:r>
              <w:rPr>
                <w:rFonts w:hint="eastAsia" w:ascii="宋体" w:hAnsi="宋体" w:eastAsia="宋体" w:cs="宋体"/>
                <w:bCs/>
                <w:color w:val="000000" w:themeColor="text1"/>
                <w:sz w:val="24"/>
                <w:szCs w:val="24"/>
                <w:highlight w:val="none"/>
                <w14:textFill>
                  <w14:solidFill>
                    <w14:schemeClr w14:val="tx1"/>
                  </w14:solidFill>
                </w14:textFill>
              </w:rPr>
              <w:t xml:space="preserve">数据处理和分析</w:t>
            </w:r>
            <w:r>
              <w:rPr>
                <w:rFonts w:hint="eastAsia" w:ascii="宋体" w:hAnsi="宋体" w:eastAsia="宋体" w:cs="宋体"/>
                <w:b w:val="0"/>
                <w:bCs/>
                <w:color w:val="000000" w:themeColor="text1"/>
                <w:sz w:val="24"/>
                <w:szCs w:val="24"/>
                <w:highlight w:val="none"/>
                <w14:textFill>
                  <w14:solidFill>
                    <w14:schemeClr w14:val="tx1"/>
                  </w14:solidFill>
                </w14:textFill>
              </w:rPr>
              <w:t xml:space="preserve">进行综合评定，</w:t>
            </w:r>
            <w:r>
              <w:rPr>
                <w:rFonts w:hint="eastAsia" w:ascii="宋体" w:hAnsi="宋体" w:eastAsia="宋体" w:cs="宋体"/>
                <w:sz w:val="24"/>
                <w:szCs w:val="24"/>
                <w:highlight w:val="none"/>
              </w:rPr>
              <w:t xml:space="preserve">体现上述评审要点且内容贴合项目需求的得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分；体现上述评审要点但内容无法完全贴合项目需求的得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分；未能体现评审要点（或无实质性内容的），对应项得0分。</w:t>
            </w:r>
            <w:r/>
          </w:p>
        </w:tc>
      </w:tr>
    </w:tbl>
    <w:p>
      <w:pPr>
        <w:ind w:firstLine="361"/>
        <w:spacing w:after="0" w:line="5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人员要求11</w:t>
      </w:r>
      <w:r>
        <w:rPr>
          <w:rFonts w:hint="eastAsia" w:ascii="宋体" w:hAnsi="宋体" w:eastAsia="宋体" w:cs="宋体"/>
          <w:b/>
          <w:sz w:val="24"/>
          <w:szCs w:val="24"/>
        </w:rPr>
        <w:t xml:space="preserve">分</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457"/>
        </w:trPr>
        <w:tc>
          <w:tcPr>
            <w:shd w:val="clear" w:color="auto" w:fill="f2f2f2"/>
            <w:tcW w:w="794" w:type="dxa"/>
            <w:vAlign w:val="center"/>
            <w:textDirection w:val="lrTb"/>
            <w:noWrap w:val="false"/>
          </w:tcPr>
          <w:p>
            <w:pPr>
              <w:jc w:val="center"/>
              <w:spacing w:after="0"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shd w:val="clear" w:color="auto" w:fill="f2f2f2"/>
            <w:tcW w:w="1225" w:type="dxa"/>
            <w:vAlign w:val="center"/>
            <w:textDirection w:val="lrTb"/>
            <w:noWrap w:val="false"/>
          </w:tcPr>
          <w:p>
            <w:pPr>
              <w:jc w:val="center"/>
              <w:spacing w:after="0"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评审因素</w:t>
            </w:r>
            <w:r/>
          </w:p>
        </w:tc>
        <w:tc>
          <w:tcPr>
            <w:shd w:val="clear" w:color="auto" w:fill="f2f2f2"/>
            <w:tcW w:w="850" w:type="dxa"/>
            <w:vAlign w:val="center"/>
            <w:textDirection w:val="lrTb"/>
            <w:noWrap w:val="false"/>
          </w:tcPr>
          <w:p>
            <w:pPr>
              <w:jc w:val="center"/>
              <w:spacing w:after="0"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权值</w:t>
            </w:r>
            <w:r/>
          </w:p>
        </w:tc>
        <w:tc>
          <w:tcPr>
            <w:shd w:val="clear" w:color="auto" w:fill="f2f2f2"/>
            <w:tcW w:w="6667" w:type="dxa"/>
            <w:vAlign w:val="center"/>
            <w:textDirection w:val="lrTb"/>
            <w:noWrap w:val="false"/>
          </w:tcPr>
          <w:p>
            <w:pPr>
              <w:jc w:val="center"/>
              <w:spacing w:after="0"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评分标准</w:t>
            </w:r>
            <w:r/>
          </w:p>
        </w:tc>
      </w:tr>
      <w:tr>
        <w:trPr>
          <w:jc w:val="center"/>
          <w:trHeight w:val="194"/>
        </w:trPr>
        <w:tc>
          <w:tcPr>
            <w:tcW w:w="794"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lang w:eastAsia="zh-CN"/>
              </w:rPr>
            </w:pPr>
            <w:r>
              <w:rPr>
                <w:rFonts w:hint="eastAsia" w:ascii="宋体" w:hAnsi="宋体" w:eastAsia="宋体" w:cs="宋体"/>
                <w:bCs w:val="0"/>
                <w:color w:val="auto"/>
                <w:sz w:val="24"/>
                <w:szCs w:val="24"/>
                <w:lang w:val="en-US" w:eastAsia="zh-CN"/>
              </w:rPr>
              <w:t xml:space="preserve">1</w:t>
            </w:r>
            <w:r/>
          </w:p>
        </w:tc>
        <w:tc>
          <w:tcPr>
            <w:tcW w:w="1225"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 xml:space="preserve">项目负责人</w:t>
            </w:r>
            <w:r/>
          </w:p>
        </w:tc>
        <w:tc>
          <w:tcPr>
            <w:tcW w:w="850"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lang w:val="en-US" w:eastAsia="zh-CN"/>
              </w:rPr>
              <w:t xml:space="preserve">3</w:t>
            </w:r>
            <w:r>
              <w:rPr>
                <w:rFonts w:hint="eastAsia" w:ascii="宋体" w:hAnsi="宋体" w:eastAsia="宋体" w:cs="宋体"/>
                <w:bCs w:val="0"/>
                <w:color w:val="auto"/>
                <w:sz w:val="24"/>
                <w:szCs w:val="24"/>
              </w:rPr>
              <w:t xml:space="preserve">分</w:t>
            </w:r>
            <w:r/>
          </w:p>
        </w:tc>
        <w:tc>
          <w:tcPr>
            <w:tcW w:w="6667" w:type="dxa"/>
            <w:vAlign w:val="center"/>
            <w:textDirection w:val="lrTb"/>
            <w:noWrap w:val="false"/>
          </w:tcPr>
          <w:p>
            <w:pPr>
              <w:spacing w:after="0" w:line="240" w:lineRule="auto"/>
              <w:widowControl w:val="off"/>
              <w:rPr>
                <w:rFonts w:hint="eastAsia" w:ascii="宋体" w:hAnsi="宋体" w:eastAsia="宋体" w:cs="宋体"/>
                <w:bCs w:val="0"/>
                <w:color w:val="auto"/>
                <w:sz w:val="24"/>
                <w:szCs w:val="24"/>
                <w:lang w:val="en-US" w:eastAsia="zh-CN"/>
              </w:rPr>
            </w:pPr>
            <w:r>
              <w:rPr>
                <w:rFonts w:hint="eastAsia" w:ascii="宋体" w:hAnsi="宋体" w:eastAsia="宋体" w:cs="宋体"/>
                <w:sz w:val="24"/>
                <w:szCs w:val="24"/>
              </w:rPr>
              <w:t xml:space="preserve">项目负责人</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生态学</w:t>
            </w:r>
            <w:r>
              <w:rPr>
                <w:rFonts w:hint="eastAsia" w:ascii="宋体" w:hAnsi="宋体" w:eastAsia="宋体" w:cs="宋体"/>
                <w:sz w:val="24"/>
                <w:szCs w:val="24"/>
                <w:highlight w:val="none"/>
                <w:lang w:val="en-US" w:eastAsia="zh-CN"/>
              </w:rPr>
              <w:t xml:space="preserve">相关专业硕士研究生学历</w:t>
            </w:r>
            <w:r>
              <w:rPr>
                <w:rFonts w:hint="eastAsia" w:ascii="宋体" w:hAnsi="宋体" w:eastAsia="宋体" w:cs="宋体"/>
                <w:sz w:val="24"/>
                <w:szCs w:val="24"/>
                <w:highlight w:val="none"/>
              </w:rPr>
              <w:t xml:space="preserve">及高级职称证书</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val="en-US" w:eastAsia="zh-CN"/>
              </w:rPr>
              <w:t xml:space="preserve">注：需提供相关证书及</w:t>
            </w:r>
            <w:r>
              <w:rPr>
                <w:rFonts w:hint="eastAsia" w:ascii="宋体" w:hAnsi="宋体" w:eastAsia="宋体" w:cs="宋体"/>
                <w:b/>
                <w:bCs/>
                <w:sz w:val="24"/>
                <w:szCs w:val="24"/>
              </w:rPr>
              <w:t xml:space="preserve">投标人为</w:t>
            </w:r>
            <w:r>
              <w:rPr>
                <w:rFonts w:hint="eastAsia" w:ascii="宋体" w:hAnsi="宋体" w:eastAsia="宋体" w:cs="宋体"/>
                <w:b/>
                <w:bCs/>
                <w:sz w:val="24"/>
                <w:szCs w:val="24"/>
                <w:lang w:val="en-US" w:eastAsia="zh-CN"/>
              </w:rPr>
              <w:t xml:space="preserve">其</w:t>
            </w:r>
            <w:r>
              <w:rPr>
                <w:rFonts w:hint="eastAsia" w:ascii="宋体" w:hAnsi="宋体" w:eastAsia="宋体" w:cs="宋体"/>
                <w:b/>
                <w:bCs/>
                <w:sz w:val="24"/>
                <w:szCs w:val="24"/>
              </w:rPr>
              <w:t xml:space="preserve">缴纳近三个月内任意一个月的社保缴费证明。</w:t>
            </w:r>
            <w:r/>
          </w:p>
        </w:tc>
      </w:tr>
      <w:tr>
        <w:trPr>
          <w:jc w:val="center"/>
          <w:trHeight w:val="1215"/>
        </w:trPr>
        <w:tc>
          <w:tcPr>
            <w:tcW w:w="794"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2</w:t>
            </w:r>
            <w:r/>
          </w:p>
        </w:tc>
        <w:tc>
          <w:tcPr>
            <w:tcW w:w="1225" w:type="dxa"/>
            <w:vAlign w:val="center"/>
            <w:textDirection w:val="lrTb"/>
            <w:noWrap w:val="false"/>
          </w:tcPr>
          <w:p>
            <w:pPr>
              <w:jc w:val="center"/>
              <w:spacing w:after="120" w:line="240" w:lineRule="auto"/>
              <w:widowControl w:val="off"/>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项目组人员</w:t>
            </w:r>
            <w:r/>
          </w:p>
        </w:tc>
        <w:tc>
          <w:tcPr>
            <w:tcW w:w="850"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8</w:t>
            </w:r>
            <w:r>
              <w:rPr>
                <w:rFonts w:hint="eastAsia" w:ascii="宋体" w:hAnsi="宋体" w:eastAsia="宋体" w:cs="宋体"/>
                <w:bCs w:val="0"/>
                <w:color w:val="auto"/>
                <w:sz w:val="24"/>
                <w:szCs w:val="24"/>
                <w:highlight w:val="none"/>
              </w:rPr>
              <w:t xml:space="preserve">分</w:t>
            </w:r>
            <w:r/>
          </w:p>
        </w:tc>
        <w:tc>
          <w:tcPr>
            <w:tcW w:w="6667" w:type="dxa"/>
            <w:vAlign w:val="center"/>
            <w:textDirection w:val="lrTb"/>
            <w:noWrap w:val="false"/>
          </w:tcPr>
          <w:p>
            <w:pPr>
              <w:spacing w:after="0"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项目组人员（不含</w:t>
            </w:r>
            <w:r>
              <w:rPr>
                <w:rFonts w:hint="eastAsia" w:ascii="宋体" w:hAnsi="宋体" w:eastAsia="宋体" w:cs="宋体"/>
                <w:sz w:val="24"/>
                <w:szCs w:val="24"/>
                <w:highlight w:val="none"/>
              </w:rPr>
              <w:t xml:space="preserve">项目负责人</w:t>
            </w:r>
            <w:r>
              <w:rPr>
                <w:rFonts w:hint="eastAsia" w:ascii="宋体" w:hAnsi="宋体" w:eastAsia="宋体" w:cs="宋体"/>
                <w:bCs w:val="0"/>
                <w:color w:val="auto"/>
                <w:sz w:val="24"/>
                <w:szCs w:val="24"/>
                <w:highlight w:val="none"/>
                <w:lang w:val="en-US" w:eastAsia="zh-CN"/>
              </w:rPr>
              <w:t xml:space="preserve">）</w:t>
            </w:r>
            <w:r>
              <w:rPr>
                <w:rFonts w:hint="eastAsia" w:ascii="宋体" w:hAnsi="宋体" w:eastAsia="宋体" w:cs="宋体"/>
                <w:sz w:val="24"/>
                <w:szCs w:val="24"/>
                <w:highlight w:val="none"/>
              </w:rPr>
              <w:t xml:space="preserve">具有生态学、环境科学、植物学、环境工程</w:t>
            </w:r>
            <w:r>
              <w:rPr>
                <w:rFonts w:hint="eastAsia" w:ascii="宋体" w:hAnsi="宋体" w:eastAsia="宋体" w:cs="宋体"/>
                <w:sz w:val="24"/>
                <w:szCs w:val="24"/>
                <w:highlight w:val="none"/>
                <w:lang w:val="en-US" w:eastAsia="zh-CN"/>
              </w:rPr>
              <w:t xml:space="preserve">学以上</w:t>
            </w:r>
            <w:r>
              <w:rPr>
                <w:rFonts w:hint="eastAsia" w:ascii="宋体" w:hAnsi="宋体" w:eastAsia="宋体" w:cs="宋体"/>
                <w:sz w:val="24"/>
                <w:szCs w:val="24"/>
                <w:highlight w:val="none"/>
              </w:rPr>
              <w:t xml:space="preserve">领域</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专业学位并取得中级</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以上职称，每满足一个领域得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注：需提供相关证书及</w:t>
            </w:r>
            <w:r>
              <w:rPr>
                <w:rFonts w:hint="eastAsia" w:ascii="宋体" w:hAnsi="宋体" w:eastAsia="宋体" w:cs="宋体"/>
                <w:b/>
                <w:bCs/>
                <w:sz w:val="24"/>
                <w:szCs w:val="24"/>
                <w:highlight w:val="none"/>
              </w:rPr>
              <w:t xml:space="preserve">投标人为</w:t>
            </w:r>
            <w:r>
              <w:rPr>
                <w:rFonts w:hint="eastAsia" w:ascii="宋体" w:hAnsi="宋体" w:eastAsia="宋体" w:cs="宋体"/>
                <w:b/>
                <w:bCs/>
                <w:sz w:val="24"/>
                <w:szCs w:val="24"/>
                <w:highlight w:val="none"/>
                <w:lang w:val="en-US" w:eastAsia="zh-CN"/>
              </w:rPr>
              <w:t xml:space="preserve">其</w:t>
            </w:r>
            <w:r>
              <w:rPr>
                <w:rFonts w:hint="eastAsia" w:ascii="宋体" w:hAnsi="宋体" w:eastAsia="宋体" w:cs="宋体"/>
                <w:b/>
                <w:bCs/>
                <w:sz w:val="24"/>
                <w:szCs w:val="24"/>
                <w:highlight w:val="none"/>
              </w:rPr>
              <w:t xml:space="preserve">缴纳近三个月内任意一个月的社保缴费证明。</w:t>
            </w:r>
            <w:r>
              <w:rPr>
                <w:rFonts w:hint="eastAsia" w:ascii="宋体" w:hAnsi="宋体" w:eastAsia="宋体" w:cs="宋体"/>
                <w:b/>
                <w:bCs/>
                <w:sz w:val="24"/>
                <w:szCs w:val="24"/>
                <w:highlight w:val="none"/>
                <w:lang w:val="en-US" w:eastAsia="zh-CN"/>
              </w:rPr>
              <w:t xml:space="preserve">每个领域不可重复，同一领域只记一次。</w:t>
            </w:r>
            <w:r/>
          </w:p>
        </w:tc>
      </w:tr>
    </w:tbl>
    <w:p>
      <w:pPr>
        <w:ind w:firstLine="241"/>
        <w:spacing w:after="0" w:line="52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、综合能力</w:t>
      </w:r>
      <w:r>
        <w:rPr>
          <w:rFonts w:hint="eastAsia" w:ascii="宋体" w:hAnsi="宋体" w:eastAsia="宋体" w:cs="宋体"/>
          <w:b/>
          <w:sz w:val="24"/>
          <w:szCs w:val="24"/>
          <w:lang w:val="en-US" w:eastAsia="zh-CN"/>
        </w:rPr>
        <w:t xml:space="preserve">18</w:t>
      </w:r>
      <w:r>
        <w:rPr>
          <w:rFonts w:hint="eastAsia" w:ascii="宋体" w:hAnsi="宋体" w:eastAsia="宋体" w:cs="宋体"/>
          <w:b/>
          <w:sz w:val="24"/>
          <w:szCs w:val="24"/>
        </w:rPr>
        <w:t xml:space="preserve">分</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457"/>
        </w:trPr>
        <w:tc>
          <w:tcPr>
            <w:shd w:val="clear" w:color="auto" w:fill="f2f2f2"/>
            <w:tcW w:w="794" w:type="dxa"/>
            <w:vAlign w:val="center"/>
            <w:textDirection w:val="lrTb"/>
            <w:noWrap w:val="false"/>
          </w:tcPr>
          <w:p>
            <w:pPr>
              <w:jc w:val="center"/>
              <w:spacing w:after="0"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shd w:val="clear" w:color="auto" w:fill="f2f2f2"/>
            <w:tcW w:w="1225" w:type="dxa"/>
            <w:vAlign w:val="center"/>
            <w:textDirection w:val="lrTb"/>
            <w:noWrap w:val="false"/>
          </w:tcPr>
          <w:p>
            <w:pPr>
              <w:jc w:val="center"/>
              <w:spacing w:after="0"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评审因素</w:t>
            </w:r>
            <w:r/>
          </w:p>
        </w:tc>
        <w:tc>
          <w:tcPr>
            <w:shd w:val="clear" w:color="auto" w:fill="f2f2f2"/>
            <w:tcW w:w="850" w:type="dxa"/>
            <w:vAlign w:val="center"/>
            <w:textDirection w:val="lrTb"/>
            <w:noWrap w:val="false"/>
          </w:tcPr>
          <w:p>
            <w:pPr>
              <w:jc w:val="center"/>
              <w:spacing w:after="0"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权值</w:t>
            </w:r>
            <w:r/>
          </w:p>
        </w:tc>
        <w:tc>
          <w:tcPr>
            <w:shd w:val="clear" w:color="auto" w:fill="f2f2f2"/>
            <w:tcW w:w="6667" w:type="dxa"/>
            <w:vAlign w:val="center"/>
            <w:textDirection w:val="lrTb"/>
            <w:noWrap w:val="false"/>
          </w:tcPr>
          <w:p>
            <w:pPr>
              <w:jc w:val="center"/>
              <w:spacing w:after="0"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评分标准</w:t>
            </w:r>
            <w:r/>
          </w:p>
        </w:tc>
      </w:tr>
      <w:tr>
        <w:trPr>
          <w:jc w:val="center"/>
          <w:trHeight w:val="194"/>
        </w:trPr>
        <w:tc>
          <w:tcPr>
            <w:tcW w:w="794"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lang w:eastAsia="zh-CN"/>
              </w:rPr>
            </w:pPr>
            <w:r>
              <w:rPr>
                <w:rFonts w:hint="eastAsia" w:ascii="宋体" w:hAnsi="宋体" w:eastAsia="宋体" w:cs="宋体"/>
                <w:bCs w:val="0"/>
                <w:color w:val="auto"/>
                <w:sz w:val="24"/>
                <w:szCs w:val="24"/>
                <w:lang w:val="en-US" w:eastAsia="zh-CN"/>
              </w:rPr>
              <w:t xml:space="preserve">1</w:t>
            </w:r>
            <w:r/>
          </w:p>
        </w:tc>
        <w:tc>
          <w:tcPr>
            <w:tcW w:w="1225"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商务条件响应性</w:t>
            </w:r>
            <w:r/>
          </w:p>
        </w:tc>
        <w:tc>
          <w:tcPr>
            <w:tcW w:w="850"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lang w:val="en-US" w:eastAsia="zh-CN"/>
              </w:rPr>
              <w:t xml:space="preserve">4</w:t>
            </w:r>
            <w:r>
              <w:rPr>
                <w:rFonts w:hint="eastAsia" w:ascii="宋体" w:hAnsi="宋体" w:eastAsia="宋体" w:cs="宋体"/>
                <w:bCs w:val="0"/>
                <w:color w:val="auto"/>
                <w:sz w:val="24"/>
                <w:szCs w:val="24"/>
              </w:rPr>
              <w:t xml:space="preserve">分</w:t>
            </w:r>
            <w:r/>
          </w:p>
        </w:tc>
        <w:tc>
          <w:tcPr>
            <w:tcW w:w="6667" w:type="dxa"/>
            <w:vAlign w:val="center"/>
            <w:textDirection w:val="lrTb"/>
            <w:noWrap w:val="false"/>
          </w:tcPr>
          <w:p>
            <w:pPr>
              <w:spacing w:after="0" w:line="240" w:lineRule="auto"/>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投标人对招标文件中合同条款等商务条件完全响应的得</w:t>
            </w:r>
            <w:r>
              <w:rPr>
                <w:rFonts w:hint="eastAsia" w:ascii="宋体" w:hAnsi="宋体" w:eastAsia="宋体" w:cs="宋体"/>
                <w:bCs w:val="0"/>
                <w:color w:val="auto"/>
                <w:sz w:val="24"/>
                <w:szCs w:val="24"/>
                <w:lang w:val="en-US" w:eastAsia="zh-CN"/>
              </w:rPr>
              <w:t xml:space="preserve">4</w:t>
            </w:r>
            <w:r>
              <w:rPr>
                <w:rFonts w:hint="eastAsia" w:ascii="宋体" w:hAnsi="宋体" w:eastAsia="宋体" w:cs="宋体"/>
                <w:bCs w:val="0"/>
                <w:color w:val="auto"/>
                <w:sz w:val="24"/>
                <w:szCs w:val="24"/>
              </w:rPr>
              <w:t xml:space="preserve">分；有</w:t>
            </w:r>
            <w:r>
              <w:rPr>
                <w:rFonts w:hint="eastAsia" w:ascii="宋体" w:hAnsi="宋体" w:eastAsia="宋体" w:cs="宋体"/>
                <w:bCs w:val="0"/>
                <w:color w:val="auto"/>
                <w:sz w:val="24"/>
                <w:szCs w:val="24"/>
                <w:lang w:val="en-US" w:eastAsia="zh-CN"/>
              </w:rPr>
              <w:t xml:space="preserve">负</w:t>
            </w:r>
            <w:r>
              <w:rPr>
                <w:rFonts w:hint="eastAsia" w:ascii="宋体" w:hAnsi="宋体" w:eastAsia="宋体" w:cs="宋体"/>
                <w:bCs w:val="0"/>
                <w:color w:val="auto"/>
                <w:sz w:val="24"/>
                <w:szCs w:val="24"/>
              </w:rPr>
              <w:t xml:space="preserve">偏离条款</w:t>
            </w:r>
            <w:r>
              <w:rPr>
                <w:rFonts w:hint="eastAsia" w:ascii="宋体" w:hAnsi="宋体" w:eastAsia="宋体" w:cs="宋体"/>
                <w:bCs w:val="0"/>
                <w:color w:val="auto"/>
                <w:sz w:val="24"/>
                <w:szCs w:val="24"/>
                <w:lang w:val="en-US" w:eastAsia="zh-CN"/>
              </w:rPr>
              <w:t xml:space="preserve">的</w:t>
            </w:r>
            <w:r>
              <w:rPr>
                <w:rFonts w:hint="eastAsia" w:ascii="宋体" w:hAnsi="宋体" w:eastAsia="宋体" w:cs="宋体"/>
                <w:bCs w:val="0"/>
                <w:color w:val="auto"/>
                <w:sz w:val="24"/>
                <w:szCs w:val="24"/>
              </w:rPr>
              <w:t xml:space="preserve">，每条扣</w:t>
            </w:r>
            <w:r>
              <w:rPr>
                <w:rFonts w:hint="eastAsia" w:ascii="宋体" w:hAnsi="宋体" w:eastAsia="宋体" w:cs="宋体"/>
                <w:bCs w:val="0"/>
                <w:color w:val="auto"/>
                <w:sz w:val="24"/>
                <w:szCs w:val="24"/>
                <w:lang w:val="en-US" w:eastAsia="zh-CN"/>
              </w:rPr>
              <w:t xml:space="preserve">0.25</w:t>
            </w:r>
            <w:r>
              <w:rPr>
                <w:rFonts w:hint="eastAsia" w:ascii="宋体" w:hAnsi="宋体" w:eastAsia="宋体" w:cs="宋体"/>
                <w:bCs w:val="0"/>
                <w:color w:val="auto"/>
                <w:sz w:val="24"/>
                <w:szCs w:val="24"/>
              </w:rPr>
              <w:t xml:space="preserve">分。</w:t>
            </w:r>
            <w:r/>
          </w:p>
        </w:tc>
      </w:tr>
      <w:tr>
        <w:trPr>
          <w:jc w:val="center"/>
          <w:trHeight w:val="1215"/>
        </w:trPr>
        <w:tc>
          <w:tcPr>
            <w:tcW w:w="794"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2</w:t>
            </w:r>
            <w:r/>
          </w:p>
        </w:tc>
        <w:tc>
          <w:tcPr>
            <w:tcW w:w="1225" w:type="dxa"/>
            <w:vAlign w:val="center"/>
            <w:textDirection w:val="lrTb"/>
            <w:noWrap w:val="false"/>
          </w:tcPr>
          <w:p>
            <w:pPr>
              <w:jc w:val="center"/>
              <w:spacing w:after="120" w:line="24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业绩情况</w:t>
            </w:r>
            <w:r/>
          </w:p>
        </w:tc>
        <w:tc>
          <w:tcPr>
            <w:tcW w:w="850" w:type="dxa"/>
            <w:vAlign w:val="center"/>
            <w:textDirection w:val="lrTb"/>
            <w:noWrap w:val="false"/>
          </w:tcPr>
          <w:p>
            <w:pPr>
              <w:jc w:val="center"/>
              <w:spacing w:after="0" w:line="24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8</w:t>
            </w:r>
            <w:r>
              <w:rPr>
                <w:rFonts w:hint="eastAsia" w:ascii="宋体" w:hAnsi="宋体" w:eastAsia="宋体" w:cs="宋体"/>
                <w:bCs w:val="0"/>
                <w:color w:val="auto"/>
                <w:sz w:val="24"/>
                <w:szCs w:val="24"/>
                <w:highlight w:val="none"/>
              </w:rPr>
              <w:t xml:space="preserve">分</w:t>
            </w:r>
            <w:r/>
          </w:p>
        </w:tc>
        <w:tc>
          <w:tcPr>
            <w:tcW w:w="6667" w:type="dxa"/>
            <w:vAlign w:val="center"/>
            <w:textDirection w:val="lrTb"/>
            <w:noWrap w:val="false"/>
          </w:tcPr>
          <w:p>
            <w:pPr>
              <w:spacing w:after="0" w:line="24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根据投标人</w:t>
            </w:r>
            <w:r>
              <w:rPr>
                <w:rFonts w:hint="eastAsia" w:ascii="宋体" w:hAnsi="宋体" w:eastAsia="宋体" w:cs="宋体"/>
                <w:bCs w:val="0"/>
                <w:color w:val="auto"/>
                <w:sz w:val="24"/>
                <w:szCs w:val="24"/>
                <w:highlight w:val="none"/>
                <w:lang w:val="en-US" w:eastAsia="zh-CN"/>
              </w:rPr>
              <w:t xml:space="preserve">2023</w:t>
            </w:r>
            <w:r>
              <w:rPr>
                <w:rFonts w:hint="eastAsia" w:ascii="宋体" w:hAnsi="宋体" w:eastAsia="宋体" w:cs="宋体"/>
                <w:bCs w:val="0"/>
                <w:color w:val="auto"/>
                <w:sz w:val="24"/>
                <w:szCs w:val="24"/>
                <w:highlight w:val="none"/>
              </w:rPr>
              <w:t xml:space="preserve">年1月1日（以合同</w:t>
            </w:r>
            <w:r>
              <w:rPr>
                <w:rFonts w:hint="eastAsia" w:ascii="宋体" w:hAnsi="宋体" w:eastAsia="宋体" w:cs="宋体"/>
                <w:bCs w:val="0"/>
                <w:color w:val="auto"/>
                <w:sz w:val="24"/>
                <w:szCs w:val="24"/>
                <w:highlight w:val="none"/>
                <w:lang w:val="en-US" w:eastAsia="zh-CN"/>
              </w:rPr>
              <w:t xml:space="preserve">签订</w:t>
            </w:r>
            <w:r>
              <w:rPr>
                <w:rFonts w:hint="eastAsia" w:ascii="宋体" w:hAnsi="宋体" w:eastAsia="宋体" w:cs="宋体"/>
                <w:bCs w:val="0"/>
                <w:color w:val="auto"/>
                <w:sz w:val="24"/>
                <w:szCs w:val="24"/>
                <w:highlight w:val="none"/>
              </w:rPr>
              <w:t xml:space="preserve">时间为准）至今实施的</w:t>
            </w:r>
            <w:r>
              <w:rPr>
                <w:rFonts w:hint="eastAsia" w:ascii="宋体" w:hAnsi="宋体" w:eastAsia="宋体" w:cs="宋体"/>
                <w:bCs w:val="0"/>
                <w:color w:val="auto"/>
                <w:sz w:val="24"/>
                <w:szCs w:val="24"/>
                <w:highlight w:val="none"/>
                <w:lang w:val="en-US" w:eastAsia="zh-CN"/>
              </w:rPr>
              <w:t xml:space="preserve">生态监测或生态监测数据分析或生态监测系统接入或生态监测</w:t>
            </w:r>
            <w:r>
              <w:rPr>
                <w:rFonts w:hint="eastAsia" w:ascii="宋体" w:hAnsi="宋体" w:eastAsia="宋体" w:cs="宋体"/>
                <w:i w:val="0"/>
                <w:iCs w:val="0"/>
                <w:caps w:val="0"/>
                <w:color w:val="333333"/>
                <w:spacing w:val="0"/>
                <w:sz w:val="24"/>
                <w:szCs w:val="24"/>
                <w:highlight w:val="none"/>
                <w:shd w:val="clear" w:color="auto" w:fill="ffffff"/>
                <w:lang w:eastAsia="zh-CN"/>
              </w:rPr>
              <w:t xml:space="preserve">监控建设</w:t>
            </w:r>
            <w:r>
              <w:rPr>
                <w:rFonts w:hint="eastAsia" w:ascii="宋体" w:hAnsi="宋体" w:eastAsia="宋体" w:cs="宋体"/>
                <w:bCs w:val="0"/>
                <w:color w:val="auto"/>
                <w:sz w:val="24"/>
                <w:szCs w:val="24"/>
                <w:highlight w:val="none"/>
              </w:rPr>
              <w:t xml:space="preserve">项目业绩情况进行评定：有一个得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rFonts w:hint="eastAsia" w:ascii="宋体" w:hAnsi="宋体" w:eastAsia="宋体" w:cs="宋体"/>
                <w:b/>
                <w:bCs w:val="0"/>
                <w:color w:val="auto"/>
                <w:sz w:val="24"/>
                <w:szCs w:val="24"/>
                <w:highlight w:val="none"/>
              </w:rPr>
              <w:t xml:space="preserve">最高</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分</w:t>
            </w:r>
            <w:r>
              <w:rPr>
                <w:rFonts w:hint="eastAsia" w:ascii="宋体" w:hAnsi="宋体" w:eastAsia="宋体" w:cs="宋体"/>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注：投标文件中须提供业绩相关合同（包括合同首页、合同具体内容页、标的金额所在页、签字盖章页）扫描件，未提供的不得分。</w:t>
            </w:r>
            <w:r/>
          </w:p>
        </w:tc>
      </w:tr>
      <w:tr>
        <w:trPr>
          <w:jc w:val="center"/>
          <w:trHeight w:val="1215"/>
        </w:trPr>
        <w:tc>
          <w:tcPr>
            <w:tcW w:w="794" w:type="dxa"/>
            <w:vAlign w:val="center"/>
            <w:textDirection w:val="lrTb"/>
            <w:noWrap w:val="false"/>
          </w:tcPr>
          <w:p>
            <w:pPr>
              <w:jc w:val="center"/>
              <w:spacing w:line="440" w:lineRule="exact"/>
              <w:rPr>
                <w:rFonts w:hint="eastAsia" w:ascii="宋体" w:hAnsi="宋体" w:eastAsia="宋体" w:cs="宋体"/>
                <w:bCs w:val="0"/>
                <w:color w:val="auto"/>
                <w:sz w:val="24"/>
                <w:szCs w:val="24"/>
                <w:highlight w:val="none"/>
                <w:lang w:val="en-US" w:eastAsia="zh-CN"/>
              </w:rPr>
            </w:pPr>
            <w:r>
              <w:rPr>
                <w:rFonts w:hint="eastAsia" w:ascii="宋体" w:hAnsi="宋体" w:eastAsia="宋体" w:cs="宋体"/>
                <w:sz w:val="24"/>
                <w:szCs w:val="24"/>
                <w:highlight w:val="none"/>
              </w:rPr>
              <w:t xml:space="preserve">3</w:t>
            </w:r>
            <w:r/>
          </w:p>
        </w:tc>
        <w:tc>
          <w:tcPr>
            <w:tcW w:w="1225" w:type="dxa"/>
            <w:vAlign w:val="center"/>
            <w:textDirection w:val="lrTb"/>
            <w:noWrap w:val="false"/>
          </w:tcPr>
          <w:p>
            <w:pPr>
              <w:jc w:val="center"/>
              <w:rPr>
                <w:rFonts w:hint="eastAsia" w:ascii="宋体" w:hAnsi="宋体" w:eastAsia="宋体" w:cs="宋体"/>
                <w:bCs w:val="0"/>
                <w:color w:val="auto"/>
                <w:sz w:val="24"/>
                <w:szCs w:val="24"/>
                <w:highlight w:val="none"/>
              </w:rPr>
            </w:pPr>
            <w:r>
              <w:rPr>
                <w:rFonts w:hint="eastAsia" w:ascii="宋体" w:hAnsi="宋体" w:eastAsia="宋体" w:cs="宋体"/>
                <w:sz w:val="24"/>
                <w:szCs w:val="24"/>
                <w:highlight w:val="none"/>
              </w:rPr>
              <w:t xml:space="preserve">设备</w:t>
            </w:r>
            <w:r/>
          </w:p>
        </w:tc>
        <w:tc>
          <w:tcPr>
            <w:tcW w:w="850" w:type="dxa"/>
            <w:vAlign w:val="center"/>
            <w:textDirection w:val="lrTb"/>
            <w:noWrap w:val="false"/>
          </w:tcPr>
          <w:p>
            <w:pPr>
              <w:jc w:val="center"/>
              <w:spacing w:line="440" w:lineRule="exact"/>
              <w:rPr>
                <w:rFonts w:hint="eastAsia" w:ascii="宋体" w:hAnsi="宋体" w:eastAsia="宋体" w:cs="宋体"/>
                <w:bCs w:val="0"/>
                <w:color w:val="auto"/>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W w:w="666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（1）具有高光谱水质监测设备的，得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（2）具备无人机自动巡护机场设备的，得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854"/>
              <w:ind w:left="0" w:firstLine="0"/>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）具备开路涡动碳通量在线观测设备的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rPr>
                <w:rFonts w:hint="eastAsia" w:ascii="宋体" w:hAnsi="宋体" w:eastAsia="宋体" w:cs="宋体"/>
                <w:bCs w:val="0"/>
                <w:color w:val="auto"/>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文件中需提供上述设备清单明细表及购置发票的证明材料扫描件</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未提供或资料提供不全的不得分。</w:t>
            </w:r>
            <w:r/>
          </w:p>
        </w:tc>
      </w:tr>
    </w:tbl>
    <w:p>
      <w:pPr>
        <w:spacing w:line="420" w:lineRule="exact"/>
        <w:rPr>
          <w:rFonts w:hint="eastAsia" w:ascii="宋体" w:hAnsi="宋体" w:eastAsia="宋体" w:cs="宋体"/>
          <w:b/>
          <w:bCs/>
          <w:sz w:val="28"/>
          <w:szCs w:val="22"/>
        </w:rPr>
        <w:outlineLvl w:val="9"/>
      </w:pPr>
      <w:r>
        <w:rPr>
          <w:rFonts w:hint="eastAsia" w:ascii="宋体" w:hAnsi="宋体" w:eastAsia="宋体" w:cs="宋体"/>
          <w:b/>
          <w:bCs/>
          <w:sz w:val="28"/>
          <w:szCs w:val="22"/>
        </w:rPr>
        <w:t xml:space="preserve">三、政府采购政策</w:t>
      </w:r>
      <w:bookmarkEnd w:id="236"/>
      <w:r/>
      <w:r/>
    </w:p>
    <w:p>
      <w:pPr>
        <w:ind w:firstLine="240"/>
        <w:spacing w:line="420" w:lineRule="exact"/>
        <w:rPr>
          <w:rFonts w:hint="eastAsia" w:ascii="宋体" w:hAnsi="宋体" w:eastAsia="宋体" w:cs="宋体"/>
          <w:sz w:val="24"/>
          <w:szCs w:val="24"/>
        </w:rPr>
      </w:pPr>
      <w:r>
        <w:rPr>
          <w:rFonts w:hint="eastAsia" w:ascii="宋体" w:hAnsi="宋体" w:eastAsia="宋体" w:cs="宋体"/>
          <w:sz w:val="24"/>
          <w:szCs w:val="24"/>
        </w:rPr>
        <w:t xml:space="preserve">1、落实政府采购政策需满足的资格要求：</w:t>
      </w:r>
      <w:r/>
    </w:p>
    <w:p>
      <w:pPr>
        <w:ind w:firstLine="36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（1）本项目专门面向中小企业采购，所属行业为</w:t>
      </w:r>
      <w:r>
        <w:rPr>
          <w:rFonts w:hint="eastAsia" w:ascii="宋体" w:hAnsi="宋体" w:eastAsia="宋体" w:cs="宋体"/>
          <w:b/>
          <w:bCs/>
          <w:sz w:val="24"/>
          <w:szCs w:val="24"/>
          <w:lang w:eastAsia="zh-CN"/>
        </w:rPr>
        <w:t xml:space="preserve">其他未列明行业</w:t>
      </w:r>
      <w:r>
        <w:rPr>
          <w:rFonts w:hint="eastAsia" w:ascii="宋体" w:hAnsi="宋体" w:eastAsia="宋体" w:cs="宋体"/>
          <w:b/>
          <w:bCs/>
          <w:sz w:val="24"/>
          <w:szCs w:val="24"/>
        </w:rPr>
        <w:t xml:space="preserve">。</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（2）在投标文件中须提供《中小企业声明函》。（填报严格按工信部联企业〔2011〕300号通知中的《中小企业划型标准规定》进行）</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本项目专门面向中小企业采购应符合下列情形：供应商提供的货物由中小企业制造，即货物由中小企业生产且使用该中小企业商号或者注册商标。如既有中小企业制造货物，也有大型企业制造货物的则不予认定。</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（5）享受政府采购支持政策的残疾人福利性单位应当同时满足以下条件：</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871"/>
        <w:jc w:val="center"/>
        <w:keepLines w:val="0"/>
        <w:keepNext/>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37" w:name="_Toc24434"/>
      <w:r>
        <w:rPr>
          <w:rFonts w:hint="eastAsia" w:ascii="宋体" w:hAnsi="宋体" w:eastAsia="宋体" w:cs="宋体"/>
          <w:color w:val="000000"/>
          <w:sz w:val="44"/>
          <w:szCs w:val="44"/>
        </w:rPr>
        <w:t xml:space="preserve">第六章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投标文件格式</w:t>
      </w:r>
      <w:bookmarkEnd w:id="237"/>
      <w:r/>
      <w:r/>
    </w:p>
    <w:p>
      <w:pPr>
        <w:pStyle w:val="871"/>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38" w:name="_Hlt26955039"/>
      <w:r/>
      <w:bookmarkEnd w:id="238"/>
      <w:r/>
      <w:bookmarkStart w:id="239" w:name="_Hlt26671244"/>
      <w:r/>
      <w:bookmarkEnd w:id="239"/>
      <w:r/>
      <w:bookmarkStart w:id="240" w:name="_Toc26554094"/>
      <w:r/>
      <w:bookmarkEnd w:id="240"/>
      <w:r/>
      <w:bookmarkStart w:id="241" w:name="_Toc49090576"/>
      <w:r/>
      <w:bookmarkStart w:id="242" w:name="_Toc120614282"/>
      <w:r/>
      <w:r/>
    </w:p>
    <w:p>
      <w:pPr>
        <w:pStyle w:val="871"/>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71"/>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71"/>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87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7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7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7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71"/>
        <w:ind w:left="0" w:firstLine="1084"/>
        <w:jc w:val="both"/>
        <w:keepLines w:val="0"/>
        <w:keepNext w:val="0"/>
        <w:spacing w:before="0" w:beforeAutospacing="0" w:after="0" w:afterAutospacing="0"/>
        <w:widowControl w:val="off"/>
        <w:rPr>
          <w:rFonts w:hint="eastAsia" w:ascii="宋体" w:hAnsi="宋体" w:eastAsia="宋体" w:cs="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none"/>
          <w:lang w:eastAsia="zh-CN"/>
        </w:rPr>
        <w:t xml:space="preserve">长江重要湿地（常熟）监测监控建设</w:t>
      </w:r>
      <w:r/>
    </w:p>
    <w:p>
      <w:pPr>
        <w:pStyle w:val="871"/>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JSZC-320581-CSXC-G2026-0015</w:t>
      </w:r>
      <w:r/>
    </w:p>
    <w:p>
      <w:pPr>
        <w:pStyle w:val="871"/>
        <w:ind w:firstLine="1084"/>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871"/>
        <w:ind w:firstLine="1084"/>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w:t>
      </w:r>
      <w:r>
        <w:rPr>
          <w:rFonts w:hint="eastAsia" w:ascii="宋体" w:hAnsi="宋体" w:eastAsia="宋体" w:cs="宋体"/>
          <w:b/>
          <w:bCs/>
          <w:color w:val="000000"/>
          <w:sz w:val="36"/>
          <w:szCs w:val="36"/>
          <w:lang w:val="en-US" w:eastAsia="zh-CN"/>
        </w:rPr>
        <w:t xml:space="preserve">2026</w:t>
      </w:r>
      <w:r>
        <w:rPr>
          <w:rFonts w:hint="eastAsia" w:ascii="宋体" w:hAnsi="宋体" w:eastAsia="宋体" w:cs="宋体"/>
          <w:b/>
          <w:bCs/>
          <w:color w:val="000000"/>
          <w:sz w:val="36"/>
          <w:szCs w:val="36"/>
        </w:rPr>
        <w:t xml:space="preserve">年   月   日</w:t>
      </w:r>
      <w:r/>
    </w:p>
    <w:p>
      <w:pPr>
        <w:pStyle w:val="871"/>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p>
      <w:pPr>
        <w:pStyle w:val="871"/>
        <w:ind w:left="0" w:firstLine="1084"/>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871"/>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spacing w:line="400" w:lineRule="exact"/>
        <w:rPr>
          <w:rFonts w:hint="eastAsia" w:ascii="宋体" w:hAnsi="宋体" w:eastAsia="宋体" w:cs="宋体"/>
          <w:b/>
          <w:sz w:val="24"/>
        </w:rPr>
      </w:pPr>
      <w:r>
        <w:rPr>
          <w:rFonts w:hint="eastAsia" w:ascii="宋体" w:hAnsi="宋体" w:eastAsia="宋体" w:cs="宋体"/>
          <w:b/>
          <w:sz w:val="24"/>
        </w:rPr>
        <w:t xml:space="preserve">一、基本目录</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封面</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、开标一览表（格式见附件1）</w:t>
      </w:r>
      <w:r/>
    </w:p>
    <w:p>
      <w:pPr>
        <w:spacing w:line="400" w:lineRule="exact"/>
        <w:rPr>
          <w:rFonts w:hint="eastAsia" w:ascii="宋体" w:hAnsi="宋体" w:eastAsia="宋体" w:cs="宋体"/>
          <w:b/>
          <w:sz w:val="24"/>
        </w:rPr>
      </w:pPr>
      <w:r>
        <w:rPr>
          <w:rFonts w:hint="eastAsia" w:ascii="宋体" w:hAnsi="宋体" w:eastAsia="宋体" w:cs="宋体"/>
          <w:b/>
          <w:sz w:val="24"/>
        </w:rPr>
        <w:t xml:space="preserve">二、资格审查内容</w:t>
      </w:r>
      <w:r/>
    </w:p>
    <w:p>
      <w:pPr>
        <w:ind w:firstLine="420"/>
        <w:spacing w:line="400" w:lineRule="exact"/>
        <w:rPr>
          <w:rFonts w:hint="eastAsia" w:ascii="宋体" w:hAnsi="宋体" w:eastAsia="宋体" w:cs="宋体"/>
          <w:sz w:val="24"/>
        </w:rPr>
      </w:pPr>
      <w:r>
        <w:rPr>
          <w:rFonts w:hint="eastAsia" w:ascii="宋体" w:hAnsi="宋体" w:eastAsia="宋体" w:cs="宋体"/>
          <w:color w:val="000000"/>
          <w:sz w:val="24"/>
          <w:szCs w:val="24"/>
        </w:rPr>
        <w:t xml:space="preserve">*</w:t>
      </w:r>
      <w:r>
        <w:rPr>
          <w:rFonts w:hint="eastAsia" w:ascii="宋体" w:hAnsi="宋体" w:eastAsia="宋体" w:cs="宋体"/>
          <w:sz w:val="24"/>
        </w:rPr>
        <w:t xml:space="preserve">1、</w:t>
      </w:r>
      <w:r>
        <w:rPr>
          <w:rFonts w:hint="eastAsia" w:ascii="宋体" w:hAnsi="宋体" w:eastAsia="宋体" w:cs="宋体"/>
          <w:sz w:val="24"/>
          <w:szCs w:val="24"/>
        </w:rPr>
        <w:t xml:space="preserve">满足《中华人民共和国政府采购法》第二十二条规定，并提供下列材料：</w:t>
      </w:r>
      <w:r/>
    </w:p>
    <w:p>
      <w:pPr>
        <w:ind w:firstLine="787"/>
        <w:spacing w:line="400" w:lineRule="exact"/>
        <w:rPr>
          <w:rFonts w:hint="eastAsia" w:ascii="宋体" w:hAnsi="宋体" w:eastAsia="宋体" w:cs="宋体"/>
          <w:b/>
          <w:bCs/>
          <w:sz w:val="24"/>
        </w:rPr>
      </w:pPr>
      <w:r>
        <w:rPr>
          <w:rFonts w:hint="eastAsia" w:ascii="宋体" w:hAnsi="宋体" w:eastAsia="宋体" w:cs="宋体"/>
          <w:b/>
          <w:bCs/>
          <w:sz w:val="24"/>
        </w:rPr>
        <w:t xml:space="preserve">1.1 法人或者其他组织的营业执照等证明文件；</w:t>
      </w:r>
      <w:r>
        <w:rPr>
          <w:b/>
          <w:bCs/>
        </w:rPr>
      </w:r>
      <w:r/>
    </w:p>
    <w:p>
      <w:pPr>
        <w:ind w:firstLine="1024"/>
        <w:spacing w:line="400" w:lineRule="exact"/>
        <w:rPr>
          <w:rFonts w:hint="eastAsia" w:ascii="宋体" w:hAnsi="宋体" w:eastAsia="宋体" w:cs="宋体"/>
          <w:b/>
          <w:bCs/>
          <w:sz w:val="24"/>
        </w:rPr>
      </w:pPr>
      <w:r>
        <w:rPr>
          <w:rFonts w:hint="eastAsia" w:ascii="宋体" w:hAnsi="宋体" w:eastAsia="宋体" w:cs="宋体"/>
          <w:b/>
          <w:bCs/>
          <w:sz w:val="24"/>
          <w:lang w:val="en-US" w:eastAsia="zh-CN"/>
        </w:rPr>
        <w:t xml:space="preserve">1.1.1法人或者其他组织的营业执照</w:t>
      </w:r>
      <w:r>
        <w:rPr>
          <w:b/>
          <w:bCs/>
        </w:rPr>
      </w:r>
      <w:r/>
    </w:p>
    <w:p>
      <w:pPr>
        <w:ind w:firstLine="1024"/>
        <w:spacing w:line="400" w:lineRule="exact"/>
        <w:rPr>
          <w:rFonts w:hint="eastAsia" w:ascii="宋体" w:hAnsi="宋体" w:eastAsia="宋体" w:cs="宋体"/>
          <w:b/>
          <w:bCs/>
          <w:sz w:val="24"/>
        </w:rPr>
      </w:pPr>
      <w:r>
        <w:rPr>
          <w:rFonts w:hint="eastAsia" w:ascii="宋体" w:hAnsi="宋体" w:eastAsia="宋体" w:cs="宋体"/>
          <w:b/>
          <w:bCs/>
          <w:sz w:val="24"/>
          <w:lang w:val="en-US" w:eastAsia="zh-CN"/>
        </w:rPr>
        <w:t xml:space="preserve">1.1.2法定代表人居民身份证</w:t>
      </w:r>
      <w:r>
        <w:rPr>
          <w:b/>
          <w:bCs/>
        </w:rPr>
      </w:r>
      <w:r/>
    </w:p>
    <w:p>
      <w:pPr>
        <w:ind w:firstLine="1024"/>
        <w:spacing w:line="400" w:lineRule="exact"/>
        <w:rPr>
          <w:rFonts w:hint="eastAsia" w:ascii="宋体" w:hAnsi="宋体" w:eastAsia="宋体" w:cs="宋体"/>
          <w:b/>
          <w:bCs/>
          <w:sz w:val="24"/>
        </w:rPr>
      </w:pPr>
      <w:r>
        <w:rPr>
          <w:rFonts w:hint="eastAsia" w:ascii="宋体" w:hAnsi="宋体" w:eastAsia="宋体" w:cs="宋体"/>
          <w:b/>
          <w:bCs/>
          <w:sz w:val="24"/>
          <w:lang w:val="en-US" w:eastAsia="zh-CN"/>
        </w:rPr>
        <w:t xml:space="preserve">1.1.3授权代表居民身份证</w:t>
      </w:r>
      <w:r>
        <w:rPr>
          <w:b/>
          <w:bCs/>
        </w:rPr>
      </w:r>
      <w:r/>
    </w:p>
    <w:p>
      <w:pPr>
        <w:ind w:firstLine="1024"/>
        <w:spacing w:line="400" w:lineRule="exact"/>
        <w:rPr>
          <w:rFonts w:hint="eastAsia" w:ascii="宋体" w:hAnsi="宋体" w:eastAsia="宋体" w:cs="宋体"/>
          <w:b/>
          <w:bCs/>
          <w:sz w:val="24"/>
        </w:rPr>
      </w:pPr>
      <w:r>
        <w:rPr>
          <w:rFonts w:hint="eastAsia" w:ascii="宋体" w:hAnsi="宋体" w:eastAsia="宋体" w:cs="宋体"/>
          <w:b/>
          <w:bCs/>
          <w:sz w:val="24"/>
          <w:lang w:val="en-US" w:eastAsia="zh-CN"/>
        </w:rPr>
        <w:t xml:space="preserve">1.1.4</w:t>
      </w:r>
      <w:r>
        <w:rPr>
          <w:rFonts w:hint="eastAsia" w:ascii="宋体" w:hAnsi="宋体" w:eastAsia="宋体" w:cs="宋体"/>
          <w:b/>
          <w:bCs/>
          <w:sz w:val="24"/>
        </w:rPr>
        <w:t xml:space="preserve">法人授权书（格式见附件</w:t>
      </w: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w:t>
      </w:r>
      <w:r>
        <w:rPr>
          <w:b/>
          <w:bCs/>
        </w:rPr>
      </w:r>
      <w:r/>
    </w:p>
    <w:p>
      <w:pPr>
        <w:ind w:firstLine="482"/>
        <w:spacing w:line="400" w:lineRule="exact"/>
        <w:rPr>
          <w:rFonts w:hint="eastAsia" w:ascii="宋体" w:hAnsi="宋体" w:eastAsia="宋体" w:cs="宋体"/>
          <w:sz w:val="24"/>
          <w:lang w:val="en-US" w:eastAsia="zh-CN"/>
        </w:rPr>
      </w:pPr>
      <w:r>
        <w:rPr>
          <w:rFonts w:hint="eastAsia" w:ascii="宋体" w:hAnsi="宋体" w:eastAsia="宋体" w:cs="宋体"/>
          <w:b/>
          <w:bCs/>
          <w:sz w:val="24"/>
          <w:lang w:val="en-US" w:eastAsia="zh-CN"/>
        </w:rPr>
        <w:t xml:space="preserve">注：</w:t>
      </w:r>
      <w:r>
        <w:rPr>
          <w:rFonts w:hint="eastAsia" w:ascii="宋体" w:hAnsi="宋体" w:eastAsia="宋体" w:cs="宋体"/>
          <w:b/>
          <w:bCs/>
          <w:sz w:val="24"/>
          <w:lang w:eastAsia="zh-CN"/>
        </w:rPr>
        <w:t xml:space="preserve">法定代表人签署投标文件并参加投标的无需提供授权书</w:t>
      </w:r>
      <w:r>
        <w:rPr>
          <w:rFonts w:hint="eastAsia" w:ascii="宋体" w:hAnsi="宋体" w:eastAsia="宋体" w:cs="宋体"/>
          <w:b/>
          <w:bCs/>
          <w:sz w:val="24"/>
          <w:lang w:val="en-US" w:eastAsia="zh-CN"/>
        </w:rPr>
        <w:t xml:space="preserve">及授权代表居民身份证</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1.2 提供最近一期经会计事务所审计的财务报告（成立不满一年需提供资产负债表和利润表）或银行（金融机构）出具的资信证明</w:t>
      </w:r>
      <w:r>
        <w:rPr>
          <w:rFonts w:hint="eastAsia" w:ascii="宋体" w:hAnsi="宋体" w:eastAsia="宋体" w:cs="宋体"/>
          <w:b/>
          <w:bCs/>
          <w:sz w:val="24"/>
        </w:rPr>
        <w:t xml:space="preserve">（距开标时间六个月内开具的资信证明）</w:t>
      </w:r>
      <w:r>
        <w:rPr>
          <w:rFonts w:hint="eastAsia" w:ascii="宋体" w:hAnsi="宋体" w:eastAsia="宋体" w:cs="宋体"/>
          <w:sz w:val="24"/>
          <w:szCs w:val="24"/>
        </w:rPr>
        <w:t xml:space="preserve">；</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1.3 依法缴纳税收和社会保障资金的相关材料（提供投标截止时间前一年内至少一个月依法缴纳税收及缴纳社会保障资金的证明材料</w:t>
      </w:r>
      <w:r>
        <w:rPr>
          <w:rFonts w:hint="eastAsia" w:ascii="宋体" w:hAnsi="宋体" w:eastAsia="宋体" w:cs="宋体"/>
          <w:sz w:val="24"/>
          <w:szCs w:val="24"/>
        </w:rPr>
        <w:t xml:space="preserve">，如投标人缴纳税收的凭据、缴纳社会保险的专用收据或社会保险缴纳清单</w:t>
      </w:r>
      <w:r>
        <w:rPr>
          <w:rFonts w:hint="eastAsia" w:ascii="宋体" w:hAnsi="宋体" w:eastAsia="宋体" w:cs="宋体"/>
          <w:sz w:val="24"/>
        </w:rPr>
        <w:t xml:space="preserve">。投标人依法享受免缴税收、社会保障资金的提供证明材料。）</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1.4 具备履行合同所必需的</w:t>
      </w:r>
      <w:r>
        <w:rPr>
          <w:rFonts w:hint="eastAsia" w:ascii="宋体" w:hAnsi="宋体" w:eastAsia="宋体" w:cs="宋体"/>
          <w:sz w:val="24"/>
          <w:lang w:val="en-US" w:eastAsia="zh-CN"/>
        </w:rPr>
        <w:t xml:space="preserve">设备</w:t>
      </w:r>
      <w:r>
        <w:rPr>
          <w:rFonts w:hint="eastAsia" w:ascii="宋体" w:hAnsi="宋体" w:eastAsia="宋体" w:cs="宋体"/>
          <w:sz w:val="24"/>
        </w:rPr>
        <w:t xml:space="preserve">和专业技术能力的书面声明（格式见附件</w:t>
      </w:r>
      <w:r>
        <w:rPr>
          <w:rFonts w:hint="eastAsia" w:ascii="宋体" w:hAnsi="宋体" w:eastAsia="宋体" w:cs="宋体"/>
          <w:sz w:val="24"/>
          <w:lang w:val="en-US" w:eastAsia="zh-CN"/>
        </w:rPr>
        <w:t xml:space="preserve">5</w:t>
      </w:r>
      <w:r>
        <w:rPr>
          <w:rFonts w:hint="eastAsia" w:ascii="宋体" w:hAnsi="宋体" w:eastAsia="宋体" w:cs="宋体"/>
          <w:sz w:val="24"/>
        </w:rPr>
        <w:t xml:space="preserve">）</w:t>
      </w:r>
      <w:r/>
    </w:p>
    <w:p>
      <w:pPr>
        <w:ind w:firstLine="787"/>
        <w:spacing w:line="400" w:lineRule="exact"/>
        <w:rPr>
          <w:rFonts w:hint="eastAsia" w:ascii="宋体" w:hAnsi="宋体" w:eastAsia="宋体" w:cs="宋体"/>
          <w:sz w:val="24"/>
          <w:szCs w:val="24"/>
        </w:rPr>
      </w:pPr>
      <w:r>
        <w:rPr>
          <w:rFonts w:hint="eastAsia" w:ascii="宋体" w:hAnsi="宋体" w:eastAsia="宋体" w:cs="宋体"/>
          <w:sz w:val="24"/>
        </w:rPr>
        <w:t xml:space="preserve">1.5 参加政府采购活动前3年内在经营活动中没有重大违法记录的书面声明（格式见</w:t>
      </w: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、中小企业声明函（格式见附件</w:t>
      </w: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）或残疾人福利性单位声明函（格式见附件</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）或省级以上监狱管理局、戒毒管理局（含新疆生产建设兵团）出具的属于监狱企业的证明文件。</w:t>
      </w:r>
      <w:r/>
    </w:p>
    <w:p>
      <w:pPr>
        <w:spacing w:line="400" w:lineRule="exact"/>
        <w:rPr>
          <w:rFonts w:hint="eastAsia" w:ascii="宋体" w:hAnsi="宋体" w:eastAsia="宋体" w:cs="宋体"/>
          <w:b/>
          <w:sz w:val="24"/>
        </w:rPr>
      </w:pPr>
      <w:r>
        <w:rPr>
          <w:rFonts w:hint="eastAsia" w:ascii="宋体" w:hAnsi="宋体" w:eastAsia="宋体" w:cs="宋体"/>
          <w:b/>
          <w:sz w:val="24"/>
        </w:rPr>
        <w:t xml:space="preserve">三、符合性审查内容</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、开标一览表（格式见附件1）</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、投入</w:t>
      </w:r>
      <w:r>
        <w:rPr>
          <w:rFonts w:hint="eastAsia" w:ascii="宋体" w:hAnsi="宋体" w:eastAsia="宋体" w:cs="宋体"/>
          <w:color w:val="000000"/>
          <w:sz w:val="24"/>
          <w:szCs w:val="24"/>
          <w:lang w:val="en-US" w:eastAsia="zh-CN"/>
        </w:rPr>
        <w:t xml:space="preserve">费用</w:t>
      </w:r>
      <w:r>
        <w:rPr>
          <w:rFonts w:hint="eastAsia" w:ascii="宋体" w:hAnsi="宋体" w:eastAsia="宋体" w:cs="宋体"/>
          <w:color w:val="000000"/>
          <w:sz w:val="24"/>
          <w:szCs w:val="24"/>
        </w:rPr>
        <w:t xml:space="preserve">明细表（格式见附件2）</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szCs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投标函（格式见附件</w:t>
      </w:r>
      <w:r>
        <w:rPr>
          <w:rFonts w:hint="eastAsia" w:ascii="宋体" w:hAnsi="宋体" w:eastAsia="宋体" w:cs="宋体"/>
          <w:sz w:val="24"/>
          <w:lang w:val="en-US" w:eastAsia="zh-CN"/>
        </w:rPr>
        <w:t xml:space="preserve">8</w:t>
      </w:r>
      <w:r>
        <w:rPr>
          <w:rFonts w:hint="eastAsia" w:ascii="宋体" w:hAnsi="宋体" w:eastAsia="宋体" w:cs="宋体"/>
          <w:sz w:val="24"/>
        </w:rPr>
        <w:t xml:space="preserve">）</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szCs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实质性要求响应及偏离表（格式见附件</w:t>
      </w:r>
      <w:r>
        <w:rPr>
          <w:rFonts w:hint="eastAsia" w:ascii="宋体" w:hAnsi="宋体" w:eastAsia="宋体" w:cs="宋体"/>
          <w:sz w:val="24"/>
          <w:lang w:val="en-US" w:eastAsia="zh-CN"/>
        </w:rPr>
        <w:t xml:space="preserve">11</w:t>
      </w:r>
      <w:r>
        <w:rPr>
          <w:rFonts w:hint="eastAsia" w:ascii="宋体" w:hAnsi="宋体" w:eastAsia="宋体" w:cs="宋体"/>
          <w:sz w:val="24"/>
        </w:rPr>
        <w:t xml:space="preserve">）</w:t>
      </w:r>
      <w:r/>
    </w:p>
    <w:p>
      <w:pPr>
        <w:rPr>
          <w:rFonts w:hint="eastAsia" w:ascii="宋体" w:hAnsi="宋体" w:eastAsia="宋体" w:cs="宋体"/>
          <w:b/>
          <w:sz w:val="24"/>
        </w:rPr>
      </w:pPr>
      <w:r>
        <w:rPr>
          <w:rFonts w:hint="eastAsia" w:ascii="宋体" w:hAnsi="宋体" w:eastAsia="宋体" w:cs="宋体"/>
          <w:b/>
          <w:sz w:val="24"/>
        </w:rPr>
        <w:t xml:space="preserve">四、综合评审文件</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1、服务要求响应及偏离表（格式见附件3）</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2、商务要求响应及偏离表（格式见附件4）</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3、项目服务方案（格式见附12）</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4、项目组人员一览表（格式见附件13）</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5、业绩一览表（格式见附件14）</w:t>
      </w:r>
      <w:r/>
    </w:p>
    <w:p>
      <w:pPr>
        <w:ind w:firstLine="48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备注：其中加“*”项目若有缺失或无效，将导致其失去投标资格且不允许在投标文件开启时间后补正。</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40" w:lineRule="exact"/>
        <w:rPr>
          <w:rFonts w:hint="eastAsia" w:ascii="宋体" w:hAnsi="宋体" w:eastAsia="宋体" w:cs="宋体"/>
          <w:b/>
          <w:bCs/>
          <w:sz w:val="28"/>
          <w:szCs w:val="28"/>
        </w:rPr>
        <w:outlineLvl w:val="1"/>
      </w:pPr>
      <w:r/>
      <w:bookmarkStart w:id="243" w:name="_Toc158042206"/>
      <w:r/>
      <w:bookmarkStart w:id="244" w:name="_Toc21737"/>
      <w:r/>
      <w:bookmarkStart w:id="245" w:name="_Toc28315"/>
      <w:r>
        <w:rPr>
          <w:rFonts w:hint="eastAsia" w:ascii="宋体" w:hAnsi="宋体" w:eastAsia="宋体" w:cs="宋体"/>
          <w:b/>
          <w:bCs/>
          <w:sz w:val="28"/>
          <w:szCs w:val="28"/>
        </w:rPr>
        <w:t xml:space="preserve">附件1 开标一览表</w:t>
      </w:r>
      <w:bookmarkEnd w:id="243"/>
      <w:r/>
      <w:bookmarkEnd w:id="244"/>
      <w:r/>
      <w:bookmarkEnd w:id="245"/>
      <w:r/>
      <w:r/>
    </w:p>
    <w:p>
      <w:pPr>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p>
    <w:p>
      <w:pPr>
        <w:ind w:firstLine="482"/>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长江重要湿地（常熟）监测监控建设</w:t>
      </w:r>
      <w:r/>
    </w:p>
    <w:p>
      <w:pPr>
        <w:ind w:firstLine="482"/>
        <w:spacing w:line="40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color w:val="000000"/>
          <w:sz w:val="24"/>
          <w:szCs w:val="24"/>
          <w:lang w:eastAsia="zh-CN"/>
        </w:rPr>
        <w:t xml:space="preserve">JSZC-320581-CSXC-G2026-0015</w:t>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eastAsia="宋体" w:cs="宋体"/>
                <w:sz w:val="24"/>
                <w:lang w:val="en-US" w:eastAsia="zh-CN"/>
              </w:rPr>
            </w:pPr>
            <w:r>
              <w:rPr>
                <w:rFonts w:hint="eastAsia" w:ascii="宋体" w:hAnsi="宋体" w:eastAsia="宋体" w:cs="宋体"/>
                <w:sz w:val="24"/>
                <w:szCs w:val="24"/>
              </w:rPr>
              <w:t xml:space="preserve">小写：                    （人民币：        元）</w:t>
            </w:r>
            <w:r/>
          </w:p>
        </w:tc>
      </w:tr>
    </w:tbl>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注：“投标总报价”以元为单位，保留小数点后两位。</w:t>
      </w:r>
      <w:r/>
    </w:p>
    <w:p>
      <w:pPr>
        <w:pStyle w:val="871"/>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u w:val="none"/>
          <w:lang w:val="en-US" w:eastAsia="zh-CN"/>
        </w:rPr>
      </w:r>
      <w:r/>
    </w:p>
    <w:p>
      <w:pPr>
        <w:pStyle w:val="871"/>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u w:val="single"/>
        </w:rPr>
      </w:r>
      <w:r/>
    </w:p>
    <w:p>
      <w:pPr>
        <w:pStyle w:val="871"/>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3"/>
          <w:footnotePr/>
          <w:endnotePr/>
          <w:type w:val="nextPage"/>
          <w:pgSz w:w="11906" w:h="16838" w:orient="portrait"/>
          <w:pgMar w:top="1440" w:right="1077" w:bottom="1440" w:left="1077" w:header="851" w:footer="992" w:gutter="0"/>
          <w:cols w:num="1" w:sep="0" w:space="425" w:equalWidth="1"/>
          <w:docGrid w:linePitch="360"/>
        </w:sectPr>
        <w:suppressLineNumbers w:val="0"/>
      </w:pPr>
      <w:r>
        <w:rPr>
          <w:rFonts w:hint="eastAsia" w:ascii="宋体" w:hAnsi="宋体" w:eastAsia="宋体" w:cs="宋体"/>
          <w:i w:val="0"/>
          <w:iCs w:val="0"/>
          <w:color w:val="000000"/>
          <w:sz w:val="24"/>
          <w:szCs w:val="24"/>
          <w:u w:val="single"/>
        </w:rPr>
      </w:r>
      <w:r/>
    </w:p>
    <w:p>
      <w:pPr>
        <w:jc w:val="center"/>
        <w:keepNext/>
        <w:spacing w:line="440" w:lineRule="exact"/>
        <w:widowControl w:val="off"/>
        <w:rPr>
          <w:rFonts w:hint="eastAsia" w:ascii="宋体" w:hAnsi="宋体" w:eastAsia="宋体" w:cs="宋体"/>
          <w:b/>
          <w:bCs/>
          <w:sz w:val="28"/>
          <w:szCs w:val="28"/>
          <w:lang w:val="en-US" w:eastAsia="zh-CN" w:bidi="ar-SA"/>
        </w:rPr>
        <w:outlineLvl w:val="1"/>
      </w:pPr>
      <w:r/>
      <w:bookmarkStart w:id="246" w:name="_Toc22917"/>
      <w:r/>
      <w:bookmarkStart w:id="247" w:name="_Toc12668"/>
      <w:r/>
      <w:bookmarkStart w:id="248" w:name="_Toc15949"/>
      <w:r/>
      <w:bookmarkStart w:id="249" w:name="_Toc26196"/>
      <w:r/>
      <w:bookmarkStart w:id="250" w:name="_Toc25339"/>
      <w:r/>
      <w:bookmarkStart w:id="251" w:name="_Toc158042208"/>
      <w:r>
        <w:rPr>
          <w:rFonts w:hint="eastAsia" w:ascii="宋体" w:hAnsi="宋体" w:eastAsia="宋体" w:cs="宋体"/>
          <w:b/>
          <w:bCs/>
          <w:sz w:val="24"/>
          <w:szCs w:val="24"/>
          <w:lang w:val="en-US" w:eastAsia="zh-CN" w:bidi="ar-SA"/>
        </w:rPr>
        <w:t xml:space="preserve">附件2 投入费用明细表</w:t>
      </w:r>
      <w:bookmarkEnd w:id="246"/>
      <w:r/>
      <w:bookmarkEnd w:id="247"/>
      <w:r/>
      <w:bookmarkEnd w:id="248"/>
      <w:r/>
      <w:bookmarkEnd w:id="249"/>
      <w:r/>
      <w:r/>
    </w:p>
    <w:tbl>
      <w:tblPr>
        <w:tblStyle w:val="850"/>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951"/>
        <w:gridCol w:w="950"/>
        <w:gridCol w:w="2610"/>
        <w:gridCol w:w="1063"/>
      </w:tblGrid>
      <w:tr>
        <w:trPr>
          <w:cantSplit/>
          <w:trHeight w:val="819"/>
        </w:trPr>
        <w:tc>
          <w:tcPr>
            <w:tcW w:w="876"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951"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费用名称</w:t>
            </w:r>
            <w:r/>
          </w:p>
        </w:tc>
        <w:tc>
          <w:tcPr>
            <w:tcW w:w="95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2610"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价格（元）</w:t>
            </w:r>
            <w:r/>
          </w:p>
        </w:tc>
        <w:tc>
          <w:tcPr>
            <w:tcW w:w="1063"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819"/>
        </w:trPr>
        <w:tc>
          <w:tcPr>
            <w:tcW w:w="876"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3951" w:type="dxa"/>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10"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63"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76"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3951" w:type="dxa"/>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10"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63"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76"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3951" w:type="dxa"/>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610"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63"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76"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3951"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10"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63"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76"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951"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950"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10"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63"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35"/>
        </w:trPr>
        <w:tc>
          <w:tcPr>
            <w:gridSpan w:val="3"/>
            <w:tcW w:w="577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合计总价（元）</w:t>
            </w:r>
            <w:r/>
          </w:p>
        </w:tc>
        <w:tc>
          <w:tcPr>
            <w:tcW w:w="2610"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63"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40" w:lineRule="exact"/>
        <w:rPr>
          <w:rFonts w:hint="eastAsia" w:ascii="宋体" w:hAnsi="宋体" w:eastAsia="宋体" w:cs="宋体"/>
          <w:bCs/>
          <w:sz w:val="24"/>
          <w:szCs w:val="20"/>
        </w:rPr>
      </w:pPr>
      <w:r>
        <w:rPr>
          <w:rFonts w:hint="eastAsia" w:ascii="宋体" w:hAnsi="宋体" w:eastAsia="宋体" w:cs="宋体"/>
          <w:sz w:val="24"/>
          <w:szCs w:val="24"/>
        </w:rPr>
        <w:t xml:space="preserve">注：1、</w:t>
      </w:r>
      <w:r>
        <w:rPr>
          <w:rFonts w:hint="eastAsia" w:ascii="宋体" w:hAnsi="宋体" w:eastAsia="宋体" w:cs="宋体"/>
          <w:bCs/>
          <w:sz w:val="24"/>
          <w:szCs w:val="20"/>
          <w:lang w:val="en-US" w:eastAsia="zh-CN"/>
        </w:rPr>
        <w:t xml:space="preserve">投标人</w:t>
      </w:r>
      <w:r>
        <w:rPr>
          <w:rFonts w:hint="eastAsia" w:ascii="宋体" w:hAnsi="宋体" w:eastAsia="宋体" w:cs="宋体"/>
          <w:bCs/>
          <w:sz w:val="24"/>
          <w:szCs w:val="20"/>
        </w:rPr>
        <w:t xml:space="preserve">应将对应项目所投入的有关费用分类别依次填报在上述表格中。</w:t>
      </w:r>
      <w:r/>
    </w:p>
    <w:p>
      <w:pPr>
        <w:ind w:firstLine="72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2、所有价格用人民币表示，请保留小数点后两位。</w:t>
      </w:r>
      <w:r/>
    </w:p>
    <w:p>
      <w:pPr>
        <w:ind w:firstLine="72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3、表中“合计总价”应与“开标一览表”中“投标总报价”相一致。</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、如有需要说明的事项，请在备注中列明。</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252" w:name="_Toc12277"/>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 服务要求响应及偏离表</w:t>
      </w:r>
      <w:bookmarkEnd w:id="250"/>
      <w:r/>
      <w:bookmarkEnd w:id="251"/>
      <w:r/>
      <w:bookmarkEnd w:id="252"/>
      <w:r/>
      <w:r/>
    </w:p>
    <w:p>
      <w:pPr>
        <w:ind w:firstLine="24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1、对项目服务要求响应说明。请按要求填写以下表格：</w:t>
      </w:r>
      <w:r/>
    </w:p>
    <w:tbl>
      <w:tblPr>
        <w:tblStyle w:val="850"/>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注：（1）投标人应根据“采购需求”中的“</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、项目服务要求”对照所能提供的服务承诺进行逐项评议。</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（2）若完全响应，在“是否响应”栏中填写“是”；若有偏离在“是否响应”栏中填写“否”并在“偏离内容及原因”栏中作出说明；因未标明或表述含糊导致的评审风险将由投标人承担。</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color w:val="000000"/>
          <w:sz w:val="24"/>
          <w:szCs w:val="24"/>
        </w:rPr>
        <w:t xml:space="preserve">（3）表格不够可另接。</w:t>
      </w:r>
      <w:r/>
    </w:p>
    <w:p>
      <w:pPr>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br w:type="page" w:clear="all"/>
      </w:r>
      <w:r/>
    </w:p>
    <w:p>
      <w:pPr>
        <w:jc w:val="center"/>
        <w:spacing w:line="440" w:lineRule="exact"/>
        <w:rPr>
          <w:rFonts w:hint="eastAsia" w:ascii="宋体" w:hAnsi="宋体" w:eastAsia="宋体" w:cs="宋体"/>
          <w:b/>
          <w:bCs/>
          <w:sz w:val="28"/>
          <w:szCs w:val="28"/>
        </w:rPr>
        <w:outlineLvl w:val="1"/>
      </w:pPr>
      <w:r/>
      <w:bookmarkStart w:id="253" w:name="_Toc158042209"/>
      <w:r/>
      <w:bookmarkStart w:id="254" w:name="_Toc28655"/>
      <w:r/>
      <w:bookmarkStart w:id="255" w:name="_Toc3052"/>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4</w:t>
      </w:r>
      <w:r>
        <w:rPr>
          <w:rFonts w:hint="eastAsia" w:ascii="宋体" w:hAnsi="宋体" w:eastAsia="宋体" w:cs="宋体"/>
          <w:b/>
          <w:bCs/>
          <w:sz w:val="28"/>
          <w:szCs w:val="28"/>
        </w:rPr>
        <w:t xml:space="preserve"> 商务要求响应及偏离表</w:t>
      </w:r>
      <w:bookmarkEnd w:id="253"/>
      <w:r/>
      <w:bookmarkEnd w:id="254"/>
      <w:r/>
      <w:bookmarkEnd w:id="255"/>
      <w:r/>
      <w:r/>
    </w:p>
    <w:tbl>
      <w:tblPr>
        <w:tblStyle w:val="850"/>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5362"/>
        <w:gridCol w:w="1755"/>
        <w:gridCol w:w="157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文件要求</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rPr>
              <w:t xml:space="preserve">偏离内容及原因</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第一条 定义</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第二条 </w:t>
            </w:r>
            <w:r>
              <w:rPr>
                <w:rFonts w:hint="eastAsia" w:ascii="宋体" w:hAnsi="宋体" w:eastAsia="宋体" w:cs="宋体"/>
                <w:b w:val="0"/>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44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440" w:lineRule="exact"/>
              <w:widowControl w:val="off"/>
              <w:rPr>
                <w:rFonts w:hint="eastAsia" w:ascii="宋体" w:hAnsi="宋体" w:eastAsia="宋体" w:cs="宋体"/>
                <w:sz w:val="24"/>
                <w:szCs w:val="24"/>
              </w:rPr>
            </w:pPr>
            <w:r>
              <w:rPr>
                <w:rFonts w:hint="eastAsia" w:ascii="宋体" w:hAnsi="宋体" w:eastAsia="宋体" w:cs="宋体"/>
                <w:b w:val="0"/>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44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u w:val="none"/>
              </w:rPr>
              <w:t xml:space="preserve">第六条 验收办法</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注：1、投标人应据实、详细填写上述表格，因表述含糊导致的评标风险将由投标人承担。</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2、若无偏离，在“有无偏离”栏中填写“无”；若有偏离在“有无偏离”栏中填写“有”并在“偏离内容及原因”栏中作出说明。</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440" w:lineRule="exact"/>
        <w:rPr>
          <w:rFonts w:hint="eastAsia" w:ascii="宋体" w:hAnsi="宋体" w:eastAsia="宋体" w:cs="宋体"/>
          <w:b/>
          <w:bCs/>
          <w:sz w:val="28"/>
          <w:szCs w:val="28"/>
        </w:rPr>
        <w:outlineLvl w:val="1"/>
      </w:pPr>
      <w:r/>
      <w:bookmarkStart w:id="256" w:name="_Toc158042210"/>
      <w:r/>
      <w:bookmarkStart w:id="257" w:name="_Toc5476"/>
      <w:r/>
      <w:bookmarkStart w:id="258" w:name="_Toc21981"/>
      <w:r/>
      <w:bookmarkStart w:id="259" w:name="_Hlt26671380"/>
      <w:r/>
      <w:bookmarkStart w:id="260" w:name="_Hlt26955070"/>
      <w:r/>
      <w:bookmarkStart w:id="261" w:name="_格式3__银行出具的资信证明"/>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 具备履行合同所必需的</w:t>
      </w:r>
      <w:r>
        <w:rPr>
          <w:rFonts w:hint="eastAsia" w:ascii="宋体" w:hAnsi="宋体" w:eastAsia="宋体" w:cs="宋体"/>
          <w:b/>
          <w:bCs/>
          <w:sz w:val="28"/>
          <w:szCs w:val="28"/>
          <w:lang w:val="en-US" w:eastAsia="zh-CN"/>
        </w:rPr>
        <w:t xml:space="preserve">设备</w:t>
      </w:r>
      <w:r>
        <w:rPr>
          <w:rFonts w:hint="eastAsia" w:ascii="宋体" w:hAnsi="宋体" w:eastAsia="宋体" w:cs="宋体"/>
          <w:b/>
          <w:bCs/>
          <w:sz w:val="28"/>
          <w:szCs w:val="28"/>
        </w:rPr>
        <w:t xml:space="preserve">和专业技术能力的书面声明</w:t>
      </w:r>
      <w:bookmarkEnd w:id="256"/>
      <w:r/>
      <w:bookmarkEnd w:id="257"/>
      <w:r/>
      <w:bookmarkEnd w:id="258"/>
      <w:r/>
      <w:r/>
    </w:p>
    <w:p>
      <w:pPr>
        <w:ind w:firstLine="493"/>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我单位郑重声明：我单位具备履行本项采购合同所必需的</w:t>
      </w:r>
      <w:r>
        <w:rPr>
          <w:rFonts w:hint="eastAsia" w:ascii="宋体" w:hAnsi="宋体" w:eastAsia="宋体" w:cs="宋体"/>
          <w:bCs/>
          <w:sz w:val="24"/>
          <w:lang w:val="en-US" w:eastAsia="zh-CN"/>
        </w:rPr>
        <w:t xml:space="preserve">设备</w:t>
      </w:r>
      <w:r>
        <w:rPr>
          <w:rFonts w:hint="eastAsia" w:ascii="宋体" w:hAnsi="宋体" w:eastAsia="宋体" w:cs="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主要人员有：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ind w:firstLine="493"/>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jc w:val="center"/>
        <w:spacing w:line="440" w:lineRule="exact"/>
        <w:rPr>
          <w:rFonts w:hint="eastAsia" w:ascii="宋体" w:hAnsi="宋体" w:eastAsia="宋体" w:cs="宋体"/>
          <w:b/>
          <w:bCs/>
          <w:sz w:val="28"/>
          <w:szCs w:val="28"/>
        </w:rPr>
        <w:outlineLvl w:val="1"/>
      </w:pPr>
      <w:r>
        <w:rPr>
          <w:rFonts w:hint="eastAsia" w:ascii="宋体" w:hAnsi="宋体" w:eastAsia="宋体" w:cs="宋体"/>
          <w:b/>
          <w:bCs/>
          <w:color w:val="000000"/>
          <w:sz w:val="24"/>
          <w:szCs w:val="24"/>
        </w:rPr>
        <w:br w:type="page" w:clear="all"/>
      </w:r>
      <w:bookmarkStart w:id="262" w:name="_Toc17520"/>
      <w:r/>
      <w:bookmarkStart w:id="263" w:name="_Toc13194"/>
      <w:r/>
      <w:bookmarkStart w:id="264" w:name="_Toc158042211"/>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 参加政府采购活动前 3 年内在经营活动中没有重大违法记录的书面声明</w:t>
      </w:r>
      <w:bookmarkEnd w:id="262"/>
      <w:r/>
      <w:bookmarkEnd w:id="263"/>
      <w:r/>
      <w:bookmarkEnd w:id="264"/>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t xml:space="preserve">声  明</w:t>
      </w:r>
      <w:r/>
    </w:p>
    <w:p>
      <w:pPr>
        <w:ind w:firstLine="482"/>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br w:type="page" w:clear="all"/>
      </w:r>
      <w:r/>
    </w:p>
    <w:p>
      <w:pPr>
        <w:jc w:val="center"/>
        <w:spacing w:line="440" w:lineRule="exact"/>
        <w:rPr>
          <w:rFonts w:hint="eastAsia" w:ascii="宋体" w:hAnsi="宋体" w:eastAsia="宋体" w:cs="宋体"/>
          <w:b/>
          <w:bCs/>
          <w:sz w:val="28"/>
          <w:szCs w:val="28"/>
        </w:rPr>
        <w:outlineLvl w:val="1"/>
      </w:pPr>
      <w:r/>
      <w:bookmarkStart w:id="265" w:name="_Toc4891"/>
      <w:r/>
      <w:bookmarkStart w:id="266" w:name="_Toc158042212"/>
      <w:r/>
      <w:bookmarkStart w:id="267" w:name="_Toc8657"/>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 法人授权书</w:t>
      </w:r>
      <w:bookmarkEnd w:id="265"/>
      <w:r/>
      <w:bookmarkEnd w:id="266"/>
      <w:r/>
      <w:bookmarkEnd w:id="267"/>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w:t>
      </w:r>
      <w:r>
        <w:rPr>
          <w:rFonts w:hint="eastAsia" w:ascii="宋体" w:hAnsi="宋体" w:eastAsia="宋体" w:cs="宋体"/>
          <w:color w:val="000000"/>
          <w:sz w:val="24"/>
          <w:szCs w:val="24"/>
          <w:lang w:eastAsia="zh-CN"/>
        </w:rPr>
        <w:t xml:space="preserve">JSZC-320581-CSXC-G2026-0015</w:t>
      </w:r>
      <w:r>
        <w:rPr>
          <w:rFonts w:hint="eastAsia" w:ascii="宋体" w:hAnsi="宋体" w:eastAsia="宋体" w:cs="宋体"/>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lang w:val="en-US" w:eastAsia="zh-CN"/>
        </w:rPr>
        <w:t xml:space="preserve">2026</w:t>
      </w:r>
      <w:r>
        <w:rPr>
          <w:rFonts w:hint="eastAsia" w:ascii="宋体" w:hAnsi="宋体" w:eastAsia="宋体" w:cs="宋体"/>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ind w:firstLine="36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60"/>
        <w:keepLines w:val="0"/>
        <w:keepNext w:val="0"/>
        <w:pageBreakBefore w:val="0"/>
        <w:spacing w:line="440" w:lineRule="exact"/>
        <w:widowControl w:val="off"/>
        <w:rPr>
          <w:rFonts w:hint="eastAsia" w:ascii="宋体" w:hAnsi="宋体" w:eastAsia="宋体" w:cs="宋体"/>
          <w:i/>
          <w:color w:val="000000"/>
          <w:sz w:val="24"/>
          <w:szCs w:val="24"/>
          <w:u w:val="single"/>
          <w:lang w:val="en-US" w:eastAsia="en-US"/>
        </w:rPr>
      </w:pPr>
      <w:r>
        <w:rPr>
          <w:rFonts w:hint="eastAsia" w:ascii="宋体" w:hAnsi="宋体" w:eastAsia="宋体" w:cs="宋体"/>
          <w:sz w:val="24"/>
          <w:szCs w:val="24"/>
        </w:rPr>
        <w:t xml:space="preserve">注：如法定代表人参加投标，“附件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法人授权书”可不提供。</w:t>
      </w:r>
      <w:r/>
    </w:p>
    <w:p>
      <w:pPr>
        <w:jc w:val="center"/>
        <w:spacing w:line="440" w:lineRule="exact"/>
        <w:rPr>
          <w:rFonts w:hint="eastAsia" w:ascii="宋体" w:hAnsi="宋体" w:eastAsia="宋体" w:cs="宋体"/>
          <w:color w:val="000000"/>
          <w:sz w:val="24"/>
          <w:szCs w:val="21"/>
        </w:rPr>
        <w:outlineLvl w:val="1"/>
      </w:pPr>
      <w:r>
        <w:rPr>
          <w:rFonts w:hint="eastAsia" w:ascii="宋体" w:hAnsi="宋体" w:eastAsia="宋体" w:cs="宋体"/>
          <w:b/>
          <w:color w:val="000000"/>
          <w:sz w:val="24"/>
          <w:szCs w:val="44"/>
        </w:rPr>
        <w:br w:type="page" w:clear="all"/>
      </w:r>
      <w:bookmarkStart w:id="268" w:name="_Toc12241"/>
      <w:r/>
      <w:bookmarkStart w:id="269" w:name="_Toc155086574"/>
      <w:r/>
      <w:bookmarkStart w:id="270" w:name="_Toc18764"/>
      <w:r/>
      <w:bookmarkStart w:id="271" w:name="_Toc17235"/>
      <w:r/>
      <w:bookmarkStart w:id="272" w:name="_Toc158042213"/>
      <w:r/>
      <w:bookmarkStart w:id="273" w:name="_Toc155086474"/>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8</w:t>
      </w:r>
      <w:r>
        <w:rPr>
          <w:rFonts w:hint="eastAsia" w:ascii="宋体" w:hAnsi="宋体" w:eastAsia="宋体" w:cs="宋体"/>
          <w:b/>
          <w:bCs/>
          <w:sz w:val="28"/>
          <w:szCs w:val="28"/>
        </w:rPr>
        <w:t xml:space="preserve"> 投标函</w:t>
      </w:r>
      <w:bookmarkEnd w:id="268"/>
      <w:r/>
      <w:bookmarkEnd w:id="269"/>
      <w:r/>
      <w:bookmarkEnd w:id="270"/>
      <w:r/>
      <w:bookmarkEnd w:id="271"/>
      <w:r/>
      <w:bookmarkEnd w:id="272"/>
      <w:r/>
      <w:bookmarkEnd w:id="273"/>
      <w:r/>
      <w:r/>
    </w:p>
    <w:p>
      <w:pPr>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致：江苏协诚工程咨询有限公司</w:t>
      </w:r>
      <w:r/>
    </w:p>
    <w:p>
      <w:pPr>
        <w:pStyle w:val="1035"/>
        <w:spacing w:before="0" w:after="0" w:line="420" w:lineRule="exact"/>
        <w:rPr>
          <w:rFonts w:hint="eastAsia" w:ascii="宋体" w:hAnsi="宋体" w:eastAsia="宋体" w:cs="宋体"/>
          <w:szCs w:val="21"/>
        </w:rPr>
      </w:pPr>
      <w:r>
        <w:rPr>
          <w:rFonts w:hint="eastAsia" w:ascii="宋体" w:hAnsi="宋体" w:eastAsia="宋体" w:cs="宋体"/>
          <w:szCs w:val="21"/>
        </w:rPr>
        <w:t xml:space="preserve">根据贵方的</w:t>
      </w:r>
      <w:r>
        <w:rPr>
          <w:rFonts w:hint="eastAsia" w:ascii="宋体" w:hAnsi="宋体" w:eastAsia="宋体" w:cs="宋体"/>
          <w:szCs w:val="21"/>
          <w:lang w:eastAsia="zh-CN"/>
        </w:rPr>
        <w:t xml:space="preserve">JSZC-320581-CSXC-G2026-0015</w:t>
      </w:r>
      <w:r>
        <w:rPr>
          <w:rFonts w:hint="eastAsia" w:ascii="宋体" w:hAnsi="宋体" w:eastAsia="宋体" w:cs="宋体"/>
          <w:szCs w:val="21"/>
        </w:rPr>
        <w:t xml:space="preserve">号招标文件，正式授权下述签字人______(姓名)代表我方______________（投标人的名称），全权处理本次项目投标的有关事宜。</w:t>
      </w:r>
      <w:r/>
    </w:p>
    <w:p>
      <w:pPr>
        <w:pStyle w:val="1035"/>
        <w:spacing w:before="0" w:after="0" w:line="420" w:lineRule="exact"/>
        <w:rPr>
          <w:rFonts w:hint="eastAsia" w:ascii="宋体" w:hAnsi="宋体" w:eastAsia="宋体" w:cs="宋体"/>
          <w:szCs w:val="21"/>
        </w:rPr>
      </w:pPr>
      <w:r>
        <w:rPr>
          <w:rFonts w:hint="eastAsia" w:ascii="宋体" w:hAnsi="宋体" w:eastAsia="宋体" w:cs="宋体"/>
          <w:szCs w:val="21"/>
        </w:rPr>
        <w:t xml:space="preserve">据此函，__________签字人兹宣布同意如下：</w:t>
      </w:r>
      <w:r/>
    </w:p>
    <w:p>
      <w:pPr>
        <w:pStyle w:val="1035"/>
        <w:spacing w:before="0" w:after="0" w:line="420" w:lineRule="exact"/>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p>
    <w:p>
      <w:pPr>
        <w:pStyle w:val="1035"/>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1035"/>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1035"/>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1035"/>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1035"/>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1035"/>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pStyle w:val="103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地        址：</w:t>
      </w:r>
      <w:r/>
    </w:p>
    <w:p>
      <w:pPr>
        <w:pStyle w:val="103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邮        编：</w:t>
      </w:r>
      <w:r/>
    </w:p>
    <w:p>
      <w:pPr>
        <w:pStyle w:val="103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电        话：</w:t>
      </w:r>
      <w:r/>
    </w:p>
    <w:p>
      <w:pPr>
        <w:pStyle w:val="103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传        真：</w:t>
      </w:r>
      <w:r/>
    </w:p>
    <w:p>
      <w:pPr>
        <w:pStyle w:val="103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投标人开户行：</w:t>
      </w:r>
      <w:r/>
    </w:p>
    <w:p>
      <w:pPr>
        <w:pStyle w:val="103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账        号：</w:t>
      </w:r>
      <w:r/>
    </w:p>
    <w:p>
      <w:pPr>
        <w:pStyle w:val="103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日        期：________年____月____日</w:t>
      </w:r>
      <w:r/>
    </w:p>
    <w:p>
      <w:pPr>
        <w:pStyle w:val="871"/>
        <w:ind w:left="420" w:firstLine="480"/>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p>
      <w:pPr>
        <w:rPr>
          <w:rFonts w:hint="eastAsia" w:ascii="宋体" w:hAnsi="宋体" w:eastAsia="宋体" w:cs="宋体"/>
          <w:b/>
          <w:bCs/>
          <w:sz w:val="28"/>
          <w:szCs w:val="28"/>
        </w:rPr>
      </w:pPr>
      <w:r/>
      <w:bookmarkStart w:id="274" w:name="_Toc158042214"/>
      <w:r/>
      <w:bookmarkStart w:id="275" w:name="_Toc24380"/>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276" w:name="_Toc28439"/>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 中小企业声明函</w:t>
      </w:r>
      <w:bookmarkEnd w:id="274"/>
      <w:r/>
      <w:bookmarkEnd w:id="275"/>
      <w:r/>
      <w:bookmarkEnd w:id="276"/>
      <w:r/>
      <w:r/>
    </w:p>
    <w:p>
      <w:pPr>
        <w:ind w:firstLine="480"/>
        <w:spacing w:after="0" w:line="58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ascii="宋体" w:hAnsi="宋体" w:eastAsia="宋体" w:cs="宋体"/>
          <w:sz w:val="24"/>
          <w:szCs w:val="24"/>
          <w:u w:val="single"/>
          <w:lang w:eastAsia="zh-CN"/>
        </w:rPr>
        <w:t xml:space="preserve">常熟市自然资源和规划局</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长江重要湿地（常熟）监测监控建设</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JSZC-320581-CSXC-G2026-0015</w:t>
      </w:r>
      <w:r>
        <w:rPr>
          <w:rFonts w:hint="eastAsia" w:ascii="宋体" w:hAnsi="宋体" w:eastAsia="宋体" w:cs="宋体"/>
          <w:color w:val="000000"/>
          <w:sz w:val="24"/>
          <w:szCs w:val="24"/>
        </w:rPr>
        <w:t xml:space="preserve">的采购活动，服务</w:t>
      </w:r>
      <w:r>
        <w:rPr>
          <w:rFonts w:hint="eastAsia" w:ascii="宋体" w:hAnsi="宋体" w:eastAsia="宋体" w:cs="宋体"/>
          <w:sz w:val="24"/>
          <w:szCs w:val="24"/>
        </w:rPr>
        <w:t xml:space="preserve">全部由符合政策要求的中小企业承接。</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en-US" w:eastAsia="zh-CN"/>
        </w:rPr>
        <w:t xml:space="preserve">长江重要湿地（常熟）监测监控建设</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其他未列明行业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hint="eastAsia" w:ascii="宋体" w:hAnsi="宋体" w:eastAsia="宋体" w:cs="宋体"/>
          <w:sz w:val="24"/>
          <w:szCs w:val="21"/>
        </w:rPr>
      </w:pPr>
      <w:r>
        <w:rPr>
          <w:rFonts w:hint="eastAsia" w:ascii="宋体" w:hAnsi="宋体" w:eastAsia="宋体" w:cs="宋体"/>
          <w:sz w:val="24"/>
          <w:szCs w:val="21"/>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szCs w:val="21"/>
        </w:rPr>
        <w:t xml:space="preserve">：</w:t>
      </w:r>
      <w:r/>
    </w:p>
    <w:p>
      <w:pPr>
        <w:ind w:right="2640" w:firstLine="360"/>
        <w:jc w:val="right"/>
        <w:keepLines w:val="0"/>
        <w:keepNext w:val="0"/>
        <w:pageBreakBefore w:val="0"/>
        <w:spacing w:line="580" w:lineRule="exact"/>
        <w:rPr>
          <w:rFonts w:hint="eastAsia" w:ascii="宋体" w:hAnsi="宋体" w:eastAsia="宋体" w:cs="宋体"/>
          <w:sz w:val="24"/>
          <w:szCs w:val="21"/>
        </w:rPr>
      </w:pPr>
      <w:r>
        <w:rPr>
          <w:rFonts w:hint="eastAsia" w:ascii="宋体" w:hAnsi="宋体" w:eastAsia="宋体" w:cs="宋体"/>
          <w:sz w:val="24"/>
          <w:szCs w:val="21"/>
        </w:rPr>
        <w:t xml:space="preserve">日</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  期：</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（2）本项目所属行业为：</w:t>
      </w:r>
      <w:r>
        <w:rPr>
          <w:rFonts w:hint="eastAsia" w:ascii="宋体" w:hAnsi="宋体" w:eastAsia="宋体" w:cs="宋体"/>
          <w:b/>
          <w:bCs/>
          <w:sz w:val="24"/>
          <w:szCs w:val="24"/>
          <w:lang w:val="en-US" w:eastAsia="zh-CN"/>
        </w:rPr>
        <w:t xml:space="preserve">其他未列明行业</w:t>
      </w:r>
      <w:r>
        <w:rPr>
          <w:rFonts w:hint="eastAsia" w:ascii="宋体" w:hAnsi="宋体" w:eastAsia="宋体" w:cs="宋体"/>
          <w:b/>
          <w:bCs/>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（3）上述“中小企业声明函”格式原则上不得改动，因擅自改动引起的评审风险由投标人自行承担。</w:t>
      </w:r>
      <w:r/>
    </w:p>
    <w:p>
      <w:pPr>
        <w:ind w:firstLine="482"/>
        <w:keepLines w:val="0"/>
        <w:keepNext w:val="0"/>
        <w:pageBreakBefore w:val="0"/>
        <w:spacing w:line="440" w:lineRule="exact"/>
        <w:widowControl w:val="off"/>
        <w:rPr>
          <w:rFonts w:hint="eastAsia" w:ascii="宋体" w:hAnsi="宋体" w:eastAsia="宋体" w:cs="宋体"/>
          <w:b/>
          <w:bCs/>
          <w:sz w:val="24"/>
          <w:szCs w:val="24"/>
        </w:rPr>
      </w:pPr>
      <w:r/>
      <w:bookmarkStart w:id="277" w:name="_Hlk100143292"/>
      <w:r>
        <w:rPr>
          <w:rFonts w:hint="eastAsia" w:ascii="宋体" w:hAnsi="宋体" w:eastAsia="宋体" w:cs="宋体"/>
          <w:b/>
          <w:bCs/>
          <w:sz w:val="24"/>
          <w:szCs w:val="24"/>
        </w:rPr>
        <w:t xml:space="preserve">（4）如未对上述声明函内（中型企业、小型企业、微型企业）进行勾选或明确，引起的评审风险由投标人自行承担。</w:t>
      </w:r>
      <w:bookmarkEnd w:id="277"/>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center"/>
        <w:spacing w:line="440" w:lineRule="exact"/>
        <w:rPr>
          <w:rFonts w:hint="eastAsia" w:ascii="宋体" w:hAnsi="宋体" w:eastAsia="宋体" w:cs="宋体"/>
          <w:b/>
          <w:bCs/>
          <w:sz w:val="28"/>
          <w:szCs w:val="28"/>
        </w:rPr>
        <w:outlineLvl w:val="1"/>
      </w:pPr>
      <w:r/>
      <w:bookmarkStart w:id="278" w:name="_Toc3664"/>
      <w:r/>
      <w:bookmarkStart w:id="279" w:name="_Toc158042215"/>
      <w:r/>
      <w:bookmarkStart w:id="280" w:name="_Toc8803"/>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 残疾人福利性单位声明函</w:t>
      </w:r>
      <w:bookmarkEnd w:id="278"/>
      <w:r/>
      <w:bookmarkEnd w:id="279"/>
      <w:r/>
      <w:bookmarkEnd w:id="280"/>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（备注：1、</w:t>
      </w:r>
      <w:r>
        <w:rPr>
          <w:rFonts w:hint="eastAsia" w:ascii="宋体" w:hAnsi="宋体" w:eastAsia="宋体" w:cs="宋体"/>
          <w:color w:val="000000"/>
          <w:sz w:val="24"/>
          <w:szCs w:val="21"/>
          <w:lang w:eastAsia="zh-CN"/>
        </w:rPr>
        <w:t xml:space="preserve">投标人</w:t>
      </w:r>
      <w:r>
        <w:rPr>
          <w:rFonts w:hint="eastAsia" w:ascii="宋体" w:hAnsi="宋体" w:eastAsia="宋体" w:cs="宋体"/>
          <w:color w:val="000000"/>
          <w:sz w:val="24"/>
          <w:szCs w:val="21"/>
        </w:rPr>
        <w:t xml:space="preserve">如不提供此声明函，价格将不做相应扣除。2、中标</w:t>
      </w:r>
      <w:r>
        <w:rPr>
          <w:rFonts w:hint="eastAsia" w:ascii="宋体" w:hAnsi="宋体" w:eastAsia="宋体" w:cs="宋体"/>
          <w:color w:val="000000"/>
          <w:sz w:val="24"/>
          <w:szCs w:val="21"/>
          <w:lang w:eastAsia="zh-CN"/>
        </w:rPr>
        <w:t xml:space="preserve">人</w:t>
      </w:r>
      <w:r>
        <w:rPr>
          <w:rFonts w:hint="eastAsia" w:ascii="宋体" w:hAnsi="宋体" w:eastAsia="宋体" w:cs="宋体"/>
          <w:color w:val="000000"/>
          <w:sz w:val="24"/>
          <w:szCs w:val="21"/>
        </w:rPr>
        <w:t xml:space="preserve">为残疾人福利单位的，此声明函将随中标结果同时公告，接受社会监督）</w:t>
      </w:r>
      <w:r/>
    </w:p>
    <w:p>
      <w:pPr>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right="1560" w:firstLine="624"/>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w:t>
      </w:r>
      <w:r>
        <w:rPr>
          <w:rFonts w:hint="eastAsia" w:ascii="宋体" w:hAnsi="宋体" w:eastAsia="宋体" w:cs="宋体"/>
          <w:color w:val="000000"/>
          <w:sz w:val="24"/>
          <w:szCs w:val="21"/>
          <w:lang w:eastAsia="zh-CN"/>
        </w:rPr>
        <w:t xml:space="preserve">投标人</w:t>
      </w:r>
      <w:r>
        <w:rPr>
          <w:rFonts w:hint="eastAsia" w:ascii="宋体" w:hAnsi="宋体" w:eastAsia="宋体" w:cs="宋体"/>
          <w:color w:val="000000"/>
          <w:sz w:val="24"/>
          <w:szCs w:val="21"/>
        </w:rPr>
        <w:t xml:space="preserve">全称（加盖CA电子公章）：</w:t>
      </w:r>
      <w:r/>
    </w:p>
    <w:p>
      <w:pPr>
        <w:ind w:right="1560" w:firstLine="480"/>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181"/>
      <w:r/>
      <w:bookmarkEnd w:id="200"/>
      <w:r/>
      <w:bookmarkEnd w:id="241"/>
      <w:r/>
      <w:bookmarkEnd w:id="242"/>
      <w:r/>
      <w:bookmarkEnd w:id="259"/>
      <w:r/>
      <w:bookmarkEnd w:id="260"/>
      <w:r/>
      <w:bookmarkEnd w:id="261"/>
      <w:r/>
      <w:r/>
    </w:p>
    <w:p>
      <w:pPr>
        <w:rPr>
          <w:rFonts w:hint="eastAsia" w:ascii="宋体" w:hAnsi="宋体" w:eastAsia="宋体" w:cs="宋体"/>
        </w:rPr>
      </w:pPr>
      <w:r>
        <w:rPr>
          <w:rFonts w:hint="eastAsia" w:ascii="宋体" w:hAnsi="宋体" w:eastAsia="宋体" w:cs="宋体"/>
        </w:rPr>
        <w:br w:type="page" w:clear="all"/>
      </w:r>
      <w:r/>
    </w:p>
    <w:p>
      <w:pPr>
        <w:jc w:val="center"/>
        <w:spacing w:line="440" w:lineRule="exact"/>
        <w:rPr>
          <w:rFonts w:hint="eastAsia" w:ascii="宋体" w:hAnsi="宋体" w:eastAsia="宋体" w:cs="宋体"/>
          <w:b/>
          <w:bCs/>
          <w:sz w:val="28"/>
          <w:szCs w:val="28"/>
        </w:rPr>
        <w:outlineLvl w:val="1"/>
      </w:pPr>
      <w:r/>
      <w:bookmarkStart w:id="281" w:name="_Toc7959"/>
      <w:r/>
      <w:bookmarkStart w:id="282" w:name="_Toc158042216"/>
      <w:r/>
      <w:bookmarkStart w:id="283" w:name="_Toc28250"/>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11</w:t>
      </w:r>
      <w:r>
        <w:rPr>
          <w:rFonts w:hint="eastAsia" w:ascii="宋体" w:hAnsi="宋体" w:eastAsia="宋体" w:cs="宋体"/>
          <w:b/>
          <w:bCs/>
          <w:sz w:val="28"/>
          <w:szCs w:val="28"/>
        </w:rPr>
        <w:t xml:space="preserve"> 实质性要求响应及偏离表</w:t>
      </w:r>
      <w:bookmarkEnd w:id="281"/>
      <w:r/>
      <w:bookmarkEnd w:id="282"/>
      <w:r/>
      <w:bookmarkEnd w:id="283"/>
      <w:r/>
      <w:r/>
    </w:p>
    <w:tbl>
      <w:tblPr>
        <w:tblStyle w:val="8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912"/>
        <w:gridCol w:w="2880"/>
        <w:gridCol w:w="1485"/>
      </w:tblGrid>
      <w:tr>
        <w:trPr>
          <w:cantSplit/>
        </w:trPr>
        <w:tc>
          <w:tcPr>
            <w:tcW w:w="54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91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技术要求和商务要求中的实质性要求</w:t>
            </w:r>
            <w:r/>
          </w:p>
        </w:tc>
        <w:tc>
          <w:tcPr>
            <w:tcW w:w="288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48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trHeight w:val="640"/>
        </w:trPr>
        <w:tc>
          <w:tcPr>
            <w:tcW w:w="54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912" w:type="dxa"/>
            <w:vAlign w:val="top"/>
            <w:textDirection w:val="lrTb"/>
            <w:noWrap w:val="false"/>
          </w:tcPr>
          <w:p>
            <w:pPr>
              <w:ind w:firstLine="240"/>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付款</w:t>
            </w:r>
            <w:r>
              <w:rPr>
                <w:rFonts w:hint="eastAsia" w:ascii="宋体" w:hAnsi="宋体" w:eastAsia="宋体" w:cs="宋体"/>
                <w:sz w:val="24"/>
                <w:szCs w:val="24"/>
                <w:highlight w:val="none"/>
              </w:rPr>
              <w:t xml:space="preserve">方式：</w:t>
            </w:r>
            <w:r/>
          </w:p>
          <w:p>
            <w:pPr>
              <w:ind w:firstLine="6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 合同签订</w:t>
            </w:r>
            <w:r>
              <w:rPr>
                <w:rFonts w:hint="eastAsia" w:ascii="宋体" w:hAnsi="宋体" w:eastAsia="宋体" w:cs="宋体"/>
                <w:sz w:val="24"/>
                <w:szCs w:val="24"/>
                <w:highlight w:val="none"/>
                <w:lang w:val="en-US" w:eastAsia="zh-CN"/>
              </w:rPr>
              <w:t xml:space="preserve">后一个月内，采购人向中标人支付合同金额的30%</w:t>
            </w:r>
            <w:r>
              <w:rPr>
                <w:rFonts w:hint="eastAsia" w:ascii="宋体" w:hAnsi="宋体" w:eastAsia="宋体" w:cs="宋体"/>
                <w:sz w:val="24"/>
                <w:szCs w:val="24"/>
                <w:highlight w:val="none"/>
              </w:rPr>
              <w:t xml:space="preserve">。</w:t>
            </w:r>
            <w:r/>
          </w:p>
          <w:p>
            <w:pPr>
              <w:ind w:firstLine="600"/>
              <w:spacing w:line="440" w:lineRule="exact"/>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项目交付并经验收完成后一个月内，采购人按照验收结果向中标人支付合同金额的65%。</w:t>
            </w:r>
            <w:r/>
          </w:p>
          <w:p>
            <w:pPr>
              <w:ind w:firstLine="60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项目验收一年后，采购人按照验收结果向中标人支付合同金额的5%。</w:t>
            </w:r>
            <w:r/>
          </w:p>
          <w:p>
            <w:pPr>
              <w:ind w:firstLine="600"/>
              <w:spacing w:line="44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验收结果按照验收细则要求，详见“采购需求”中“六、验收要求”。</w:t>
            </w:r>
            <w:r/>
          </w:p>
          <w:p>
            <w:pPr>
              <w:spacing w:after="0"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注：（1）以上每次付款前，中标人均应提供符合采购人要求的同等金额的合法有效发票。否则，采购人有权顺延付款时间，且不承担任何违约或赔偿责任。</w:t>
            </w:r>
            <w:r/>
          </w:p>
          <w:p>
            <w:pPr>
              <w:ind w:firstLine="482"/>
              <w:spacing w:after="0" w:line="440" w:lineRule="exact"/>
              <w:widowControl w:val="off"/>
              <w:rPr>
                <w:rFonts w:hint="eastAsia" w:ascii="宋体" w:hAnsi="宋体" w:eastAsia="宋体" w:cs="宋体"/>
                <w:b/>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sz w:val="24"/>
                <w:szCs w:val="24"/>
                <w:highlight w:val="none"/>
              </w:rPr>
              <w:t xml:space="preserve">本合同项目下所有款项允许通过数字人民币支付。</w:t>
            </w:r>
            <w:r/>
          </w:p>
          <w:p>
            <w:pPr>
              <w:ind w:firstLine="482"/>
              <w:spacing w:after="0" w:line="440" w:lineRule="exact"/>
              <w:widowControl w:val="off"/>
              <w:rPr>
                <w:rFonts w:hint="eastAsia" w:ascii="宋体" w:hAnsi="宋体" w:eastAsia="宋体" w:cs="宋体"/>
              </w:rPr>
            </w:pPr>
            <w:r>
              <w:rPr>
                <w:rFonts w:hint="eastAsia" w:ascii="宋体" w:hAnsi="宋体" w:eastAsia="宋体" w:cs="宋体"/>
                <w:b/>
                <w:bCs w:val="0"/>
                <w:color w:val="000000"/>
                <w:sz w:val="24"/>
                <w:szCs w:val="24"/>
                <w:highlight w:val="none"/>
                <w:lang w:val="en-US" w:eastAsia="zh-CN"/>
              </w:rPr>
              <w:t xml:space="preserve">（3）签订合同时，中标人明确表示无需预付款或者主动要求降低预付款比例的，可不适用上述第5.1条规定。</w:t>
            </w:r>
            <w:r/>
          </w:p>
        </w:tc>
        <w:tc>
          <w:tcPr>
            <w:tcW w:w="2880"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5"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1.投标人必须对技术要求和商务要求中的实质性要求逐条做出明确响应，</w:t>
      </w:r>
      <w:r>
        <w:rPr>
          <w:rFonts w:hint="eastAsia" w:ascii="宋体" w:hAnsi="宋体" w:eastAsia="宋体" w:cs="宋体"/>
          <w:sz w:val="24"/>
        </w:rPr>
        <w:t xml:space="preserve">否则作无效投标处理。</w:t>
      </w:r>
      <w:r/>
    </w:p>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2.投标人未对实质性要求逐条作出明确响应的，或未按招标文件要求提供证明材料（如有）的，该项目作无效投标处理。</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440" w:lineRule="exact"/>
        <w:rPr>
          <w:rFonts w:hint="eastAsia" w:ascii="宋体" w:hAnsi="宋体" w:eastAsia="宋体" w:cs="宋体"/>
          <w:b/>
          <w:bCs/>
          <w:sz w:val="28"/>
          <w:szCs w:val="28"/>
        </w:rPr>
        <w:outlineLvl w:val="1"/>
      </w:pPr>
      <w:r/>
      <w:bookmarkStart w:id="284" w:name="_Toc27988"/>
      <w:r/>
      <w:bookmarkStart w:id="285" w:name="_Toc158042218"/>
      <w:r/>
      <w:bookmarkStart w:id="286" w:name="_Toc5741"/>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12</w:t>
      </w:r>
      <w:r>
        <w:rPr>
          <w:rFonts w:hint="eastAsia" w:ascii="宋体" w:hAnsi="宋体" w:eastAsia="宋体" w:cs="宋体"/>
          <w:b/>
          <w:bCs/>
          <w:sz w:val="28"/>
          <w:szCs w:val="28"/>
        </w:rPr>
        <w:t xml:space="preserve"> 项目服务方案</w:t>
      </w:r>
      <w:bookmarkEnd w:id="284"/>
      <w:r/>
      <w:bookmarkEnd w:id="285"/>
      <w:r/>
      <w:bookmarkEnd w:id="286"/>
      <w:r/>
      <w:r/>
    </w:p>
    <w:p>
      <w:pPr>
        <w:spacing w:line="500" w:lineRule="exact"/>
        <w:rPr>
          <w:rFonts w:hint="eastAsia" w:ascii="宋体" w:hAnsi="宋体" w:eastAsia="宋体" w:cs="宋体"/>
          <w:sz w:val="24"/>
        </w:rPr>
      </w:pPr>
      <w:r>
        <w:rPr>
          <w:rFonts w:hint="eastAsia" w:ascii="宋体" w:hAnsi="宋体" w:eastAsia="宋体" w:cs="宋体"/>
          <w:sz w:val="24"/>
        </w:rPr>
        <w:t xml:space="preserve">主要内容应包括但不限于以下方面：</w:t>
      </w:r>
      <w:r/>
    </w:p>
    <w:p>
      <w:pPr>
        <w:rPr>
          <w:rFonts w:hint="eastAsia" w:ascii="宋体" w:hAnsi="宋体" w:eastAsia="宋体" w:cs="宋体"/>
          <w:sz w:val="24"/>
          <w:szCs w:val="24"/>
        </w:rPr>
      </w:pPr>
      <w:r>
        <w:rPr>
          <w:rFonts w:hint="eastAsia" w:ascii="宋体" w:hAnsi="宋体" w:eastAsia="宋体" w:cs="宋体"/>
          <w:bCs/>
          <w:sz w:val="24"/>
          <w:szCs w:val="24"/>
        </w:rPr>
        <w:t xml:space="preserve">投标人</w:t>
      </w:r>
      <w:r>
        <w:rPr>
          <w:rFonts w:hint="eastAsia" w:ascii="宋体" w:hAnsi="宋体" w:eastAsia="宋体" w:cs="宋体"/>
          <w:bCs/>
          <w:sz w:val="24"/>
          <w:szCs w:val="24"/>
          <w:highlight w:val="none"/>
        </w:rPr>
        <w:t xml:space="preserve">根据“第五章  </w:t>
      </w:r>
      <w:r>
        <w:rPr>
          <w:rFonts w:hint="eastAsia" w:ascii="宋体" w:hAnsi="宋体" w:eastAsia="宋体" w:cs="宋体"/>
          <w:bCs/>
          <w:sz w:val="24"/>
          <w:szCs w:val="24"/>
          <w:highlight w:val="none"/>
          <w:lang w:val="en-US" w:eastAsia="zh-CN"/>
        </w:rPr>
        <w:t xml:space="preserve">评审因素和评分标准</w:t>
      </w:r>
      <w:r>
        <w:rPr>
          <w:rFonts w:hint="eastAsia" w:ascii="宋体" w:hAnsi="宋体" w:eastAsia="宋体" w:cs="宋体"/>
          <w:bCs/>
          <w:sz w:val="24"/>
          <w:szCs w:val="24"/>
          <w:highlight w:val="none"/>
        </w:rPr>
        <w:t xml:space="preserve">”要求提供相关</w:t>
      </w:r>
      <w:r>
        <w:rPr>
          <w:rFonts w:hint="eastAsia" w:ascii="宋体" w:hAnsi="宋体" w:eastAsia="宋体" w:cs="宋体"/>
          <w:bCs/>
          <w:sz w:val="24"/>
          <w:szCs w:val="24"/>
          <w:highlight w:val="none"/>
          <w:lang w:val="en-US" w:eastAsia="zh-CN"/>
        </w:rPr>
        <w:t xml:space="preserve">方案。</w:t>
      </w:r>
      <w:r>
        <w:rPr>
          <w:rFonts w:hint="eastAsia" w:ascii="宋体" w:hAnsi="宋体" w:eastAsia="宋体" w:cs="宋体"/>
          <w:sz w:val="24"/>
          <w:szCs w:val="24"/>
        </w:rPr>
        <w:br w:type="page" w:clear="all"/>
      </w:r>
      <w:r/>
    </w:p>
    <w:p>
      <w:pPr>
        <w:pStyle w:val="841"/>
        <w:spacing w:line="440" w:lineRule="exact"/>
        <w:rPr>
          <w:rFonts w:hint="eastAsia" w:ascii="宋体" w:hAnsi="宋体" w:eastAsia="宋体" w:cs="宋体"/>
          <w:sz w:val="24"/>
          <w:szCs w:val="24"/>
        </w:rPr>
      </w:pPr>
      <w:r/>
      <w:bookmarkStart w:id="287" w:name="_Toc19059"/>
      <w:r/>
      <w:bookmarkStart w:id="288" w:name="_Toc159312671"/>
      <w:r/>
      <w:bookmarkStart w:id="289" w:name="_Toc29197"/>
      <w:r/>
      <w:bookmarkStart w:id="290" w:name="_Toc103080659"/>
      <w:r/>
      <w:bookmarkStart w:id="291" w:name="_Toc31949"/>
      <w:r/>
      <w:bookmarkStart w:id="292" w:name="_Toc7448"/>
      <w:r/>
      <w:bookmarkStart w:id="293" w:name="_Toc26802"/>
      <w:r/>
      <w:bookmarkStart w:id="294" w:name="_Toc21964"/>
      <w:r/>
      <w:bookmarkStart w:id="295" w:name="_Toc103080661"/>
      <w:r/>
      <w:bookmarkStart w:id="296" w:name="_Toc414881347"/>
      <w:r/>
      <w:bookmarkStart w:id="297" w:name="_Toc341427249"/>
      <w:r/>
      <w:bookmarkStart w:id="298" w:name="_Toc447796831"/>
      <w:r/>
      <w:bookmarkStart w:id="299" w:name="_Toc345248158"/>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 项目组人员一览表</w:t>
      </w:r>
      <w:bookmarkEnd w:id="287"/>
      <w:r/>
      <w:bookmarkEnd w:id="288"/>
      <w:r/>
      <w:bookmarkEnd w:id="289"/>
      <w:r/>
      <w:bookmarkEnd w:id="290"/>
      <w:r/>
      <w:r/>
    </w:p>
    <w:tbl>
      <w:tblPr>
        <w:tblStyle w:val="850"/>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3"/>
        <w:gridCol w:w="662"/>
        <w:gridCol w:w="1155"/>
        <w:gridCol w:w="1900"/>
        <w:gridCol w:w="3228"/>
      </w:tblGrid>
      <w:tr>
        <w:trPr/>
        <w:tc>
          <w:tcPr>
            <w:tcW w:w="709" w:type="dxa"/>
            <w:vAlign w:val="center"/>
            <w:textDirection w:val="lrTb"/>
            <w:noWrap w:val="false"/>
          </w:tcPr>
          <w:p>
            <w:pPr>
              <w:jc w:val="center"/>
              <w:spacing w:before="4"/>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843" w:type="dxa"/>
            <w:vAlign w:val="center"/>
            <w:textDirection w:val="lrTb"/>
            <w:noWrap w:val="false"/>
          </w:tcPr>
          <w:p>
            <w:pPr>
              <w:jc w:val="center"/>
              <w:spacing w:before="4"/>
              <w:rPr>
                <w:rFonts w:hint="eastAsia" w:ascii="宋体" w:hAnsi="宋体" w:eastAsia="宋体" w:cs="宋体"/>
                <w:b/>
                <w:bCs/>
                <w:sz w:val="24"/>
                <w:szCs w:val="24"/>
              </w:rPr>
            </w:pPr>
            <w:r>
              <w:rPr>
                <w:rFonts w:hint="eastAsia" w:ascii="宋体" w:hAnsi="宋体" w:eastAsia="宋体" w:cs="宋体"/>
                <w:b/>
                <w:bCs/>
                <w:sz w:val="24"/>
                <w:szCs w:val="24"/>
              </w:rPr>
              <w:t xml:space="preserve">在本项目中担任的职务</w:t>
            </w:r>
            <w:r/>
          </w:p>
        </w:tc>
        <w:tc>
          <w:tcPr>
            <w:tcW w:w="662" w:type="dxa"/>
            <w:vAlign w:val="center"/>
            <w:textDirection w:val="lrTb"/>
            <w:noWrap w:val="false"/>
          </w:tcPr>
          <w:p>
            <w:pPr>
              <w:jc w:val="center"/>
              <w:spacing w:before="4"/>
              <w:rPr>
                <w:rFonts w:hint="eastAsia" w:ascii="宋体" w:hAnsi="宋体" w:eastAsia="宋体" w:cs="宋体"/>
                <w:b/>
                <w:bCs/>
                <w:sz w:val="24"/>
                <w:szCs w:val="24"/>
              </w:rPr>
            </w:pPr>
            <w:r>
              <w:rPr>
                <w:rFonts w:hint="eastAsia" w:ascii="宋体" w:hAnsi="宋体" w:eastAsia="宋体" w:cs="宋体"/>
                <w:b/>
                <w:bCs/>
                <w:sz w:val="24"/>
                <w:szCs w:val="24"/>
              </w:rPr>
              <w:t xml:space="preserve">姓名</w:t>
            </w:r>
            <w:r/>
          </w:p>
        </w:tc>
        <w:tc>
          <w:tcPr>
            <w:tcW w:w="1155" w:type="dxa"/>
            <w:vAlign w:val="center"/>
            <w:textDirection w:val="lrTb"/>
            <w:noWrap w:val="false"/>
          </w:tcPr>
          <w:p>
            <w:pPr>
              <w:jc w:val="center"/>
              <w:spacing w:before="4"/>
              <w:rPr>
                <w:rFonts w:hint="eastAsia" w:ascii="宋体" w:hAnsi="宋体" w:eastAsia="宋体" w:cs="宋体"/>
                <w:b/>
                <w:bCs/>
                <w:sz w:val="24"/>
                <w:szCs w:val="24"/>
              </w:rPr>
            </w:pPr>
            <w:r>
              <w:rPr>
                <w:rFonts w:hint="eastAsia" w:ascii="宋体" w:hAnsi="宋体" w:eastAsia="宋体" w:cs="宋体"/>
                <w:b/>
                <w:bCs/>
                <w:sz w:val="24"/>
                <w:szCs w:val="24"/>
              </w:rPr>
              <w:t xml:space="preserve">职称/资格认证</w:t>
            </w:r>
            <w:r/>
          </w:p>
        </w:tc>
        <w:tc>
          <w:tcPr>
            <w:tcW w:w="1900" w:type="dxa"/>
            <w:vAlign w:val="center"/>
            <w:textDirection w:val="lrTb"/>
            <w:noWrap w:val="false"/>
          </w:tcPr>
          <w:p>
            <w:pPr>
              <w:jc w:val="center"/>
              <w:spacing w:before="4"/>
              <w:rPr>
                <w:rFonts w:hint="eastAsia" w:ascii="宋体" w:hAnsi="宋体" w:eastAsia="宋体" w:cs="宋体"/>
                <w:b/>
                <w:bCs/>
                <w:sz w:val="24"/>
                <w:szCs w:val="24"/>
              </w:rPr>
            </w:pPr>
            <w:r>
              <w:rPr>
                <w:rFonts w:hint="eastAsia" w:ascii="宋体" w:hAnsi="宋体" w:eastAsia="宋体" w:cs="宋体"/>
                <w:b/>
                <w:bCs/>
                <w:sz w:val="24"/>
                <w:szCs w:val="24"/>
              </w:rPr>
              <w:t xml:space="preserve">身份证号码</w:t>
            </w:r>
            <w:r/>
          </w:p>
        </w:tc>
        <w:tc>
          <w:tcPr>
            <w:tcW w:w="3228" w:type="dxa"/>
            <w:vAlign w:val="center"/>
            <w:textDirection w:val="lrTb"/>
            <w:noWrap w:val="false"/>
          </w:tcPr>
          <w:p>
            <w:pPr>
              <w:jc w:val="center"/>
              <w:spacing w:before="4"/>
              <w:rPr>
                <w:rFonts w:hint="eastAsia" w:ascii="宋体" w:hAnsi="宋体" w:eastAsia="宋体" w:cs="宋体"/>
                <w:b/>
                <w:bCs/>
                <w:sz w:val="24"/>
                <w:szCs w:val="24"/>
              </w:rPr>
            </w:pPr>
            <w:r>
              <w:rPr>
                <w:rFonts w:hint="eastAsia" w:ascii="宋体" w:hAnsi="宋体" w:eastAsia="宋体" w:cs="宋体"/>
                <w:b/>
                <w:bCs/>
                <w:sz w:val="24"/>
                <w:szCs w:val="24"/>
              </w:rPr>
              <w:t xml:space="preserve">主要资历、经验</w:t>
            </w:r>
            <w:r/>
          </w:p>
          <w:p>
            <w:pPr>
              <w:jc w:val="center"/>
              <w:spacing w:before="4"/>
              <w:rPr>
                <w:rFonts w:hint="eastAsia" w:ascii="宋体" w:hAnsi="宋体" w:eastAsia="宋体" w:cs="宋体"/>
                <w:b/>
                <w:bCs/>
                <w:sz w:val="24"/>
                <w:szCs w:val="24"/>
              </w:rPr>
            </w:pPr>
            <w:r>
              <w:rPr>
                <w:rFonts w:hint="eastAsia" w:ascii="宋体" w:hAnsi="宋体" w:eastAsia="宋体" w:cs="宋体"/>
                <w:b/>
                <w:bCs/>
                <w:sz w:val="24"/>
                <w:szCs w:val="24"/>
              </w:rPr>
              <w:t xml:space="preserve">及承担过的项目</w:t>
            </w:r>
            <w:r/>
          </w:p>
        </w:tc>
      </w:tr>
      <w:tr>
        <w:trPr>
          <w:cantSplit/>
          <w:trHeight w:val="637"/>
        </w:trPr>
        <w:tc>
          <w:tcPr>
            <w:tcW w:w="709"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t xml:space="preserve">1</w:t>
            </w:r>
            <w:r/>
          </w:p>
        </w:tc>
        <w:tc>
          <w:tcPr>
            <w:tcW w:w="1843"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tcW w:w="662"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1900"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3228"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r>
      <w:tr>
        <w:trPr>
          <w:cantSplit/>
          <w:trHeight w:val="560"/>
        </w:trPr>
        <w:tc>
          <w:tcPr>
            <w:tcW w:w="709" w:type="dxa"/>
            <w:vAlign w:val="center"/>
            <w:vMerge w:val="restart"/>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t xml:space="preserve">2</w:t>
            </w:r>
            <w:r/>
          </w:p>
        </w:tc>
        <w:tc>
          <w:tcPr>
            <w:tcW w:w="1843" w:type="dxa"/>
            <w:vAlign w:val="center"/>
            <w:vMerge w:val="restart"/>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t xml:space="preserve">……</w:t>
            </w:r>
            <w:r/>
          </w:p>
        </w:tc>
        <w:tc>
          <w:tcPr>
            <w:tcW w:w="662"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1900"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3228"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r>
      <w:tr>
        <w:trPr>
          <w:cantSplit/>
          <w:trHeight w:val="554"/>
        </w:trPr>
        <w:tc>
          <w:tcPr>
            <w:tcW w:w="709" w:type="dxa"/>
            <w:vAlign w:val="center"/>
            <w:vMerge w:val="continue"/>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662"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1900"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3228"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r>
      <w:tr>
        <w:trPr>
          <w:cantSplit/>
          <w:trHeight w:val="561"/>
        </w:trPr>
        <w:tc>
          <w:tcPr>
            <w:tcW w:w="709" w:type="dxa"/>
            <w:vAlign w:val="center"/>
            <w:vMerge w:val="restart"/>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t xml:space="preserve">3</w:t>
            </w:r>
            <w:r/>
          </w:p>
        </w:tc>
        <w:tc>
          <w:tcPr>
            <w:tcW w:w="1843" w:type="dxa"/>
            <w:vAlign w:val="center"/>
            <w:vMerge w:val="restart"/>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t xml:space="preserve">……</w:t>
            </w:r>
            <w:r/>
          </w:p>
        </w:tc>
        <w:tc>
          <w:tcPr>
            <w:tcW w:w="662"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1900"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c>
          <w:tcPr>
            <w:tcW w:w="3228" w:type="dxa"/>
            <w:vAlign w:val="center"/>
            <w:textDirection w:val="lrTb"/>
            <w:noWrap w:val="false"/>
          </w:tcPr>
          <w:p>
            <w:pPr>
              <w:jc w:val="center"/>
              <w:spacing w:before="4"/>
              <w:rPr>
                <w:rFonts w:hint="eastAsia" w:ascii="宋体" w:hAnsi="宋体" w:eastAsia="宋体" w:cs="宋体"/>
                <w:sz w:val="24"/>
                <w:szCs w:val="24"/>
              </w:rPr>
            </w:pPr>
            <w:r>
              <w:rPr>
                <w:rFonts w:hint="eastAsia" w:ascii="宋体" w:hAnsi="宋体" w:eastAsia="宋体" w:cs="宋体"/>
                <w:sz w:val="24"/>
                <w:szCs w:val="24"/>
              </w:rPr>
            </w:r>
            <w:r/>
          </w:p>
        </w:tc>
      </w:tr>
      <w:tr>
        <w:trPr>
          <w:cantSplit/>
          <w:trHeight w:val="555"/>
        </w:trPr>
        <w:tc>
          <w:tcPr>
            <w:tcW w:w="709" w:type="dxa"/>
            <w:vAlign w:val="center"/>
            <w:vMerge w:val="continue"/>
            <w:textDirection w:val="lrTb"/>
            <w:noWrap w:val="false"/>
          </w:tcPr>
          <w:p>
            <w:pPr>
              <w:jc w:val="center"/>
              <w:spacing w:before="4"/>
              <w:rPr>
                <w:rFonts w:hint="eastAsia" w:ascii="宋体" w:hAnsi="宋体" w:eastAsia="宋体" w:cs="宋体"/>
              </w:rPr>
            </w:pPr>
            <w:r>
              <w:rPr>
                <w:rFonts w:hint="eastAsia" w:ascii="宋体" w:hAnsi="宋体" w:eastAsia="宋体" w:cs="宋体"/>
              </w:rPr>
            </w:r>
            <w:r/>
          </w:p>
        </w:tc>
        <w:tc>
          <w:tcPr>
            <w:tcW w:w="1843" w:type="dxa"/>
            <w:vAlign w:val="center"/>
            <w:vMerge w:val="continue"/>
            <w:textDirection w:val="lrTb"/>
            <w:noWrap w:val="false"/>
          </w:tcPr>
          <w:p>
            <w:pPr>
              <w:jc w:val="center"/>
              <w:spacing w:before="4"/>
              <w:rPr>
                <w:rFonts w:hint="eastAsia" w:ascii="宋体" w:hAnsi="宋体" w:eastAsia="宋体" w:cs="宋体"/>
              </w:rPr>
            </w:pPr>
            <w:r>
              <w:rPr>
                <w:rFonts w:hint="eastAsia" w:ascii="宋体" w:hAnsi="宋体" w:eastAsia="宋体" w:cs="宋体"/>
              </w:rPr>
            </w:r>
            <w:r/>
          </w:p>
        </w:tc>
        <w:tc>
          <w:tcPr>
            <w:tcW w:w="662" w:type="dxa"/>
            <w:vAlign w:val="center"/>
            <w:textDirection w:val="lrTb"/>
            <w:noWrap w:val="false"/>
          </w:tcPr>
          <w:p>
            <w:pPr>
              <w:jc w:val="center"/>
              <w:spacing w:before="4"/>
              <w:rPr>
                <w:rFonts w:hint="eastAsia" w:ascii="宋体" w:hAnsi="宋体" w:eastAsia="宋体" w:cs="宋体"/>
              </w:rPr>
            </w:pPr>
            <w:r>
              <w:rPr>
                <w:rFonts w:hint="eastAsia" w:ascii="宋体" w:hAnsi="宋体" w:eastAsia="宋体" w:cs="宋体"/>
              </w:rPr>
            </w:r>
            <w:r/>
          </w:p>
        </w:tc>
        <w:tc>
          <w:tcPr>
            <w:tcW w:w="1155" w:type="dxa"/>
            <w:vAlign w:val="center"/>
            <w:textDirection w:val="lrTb"/>
            <w:noWrap w:val="false"/>
          </w:tcPr>
          <w:p>
            <w:pPr>
              <w:jc w:val="center"/>
              <w:spacing w:before="4"/>
              <w:rPr>
                <w:rFonts w:hint="eastAsia" w:ascii="宋体" w:hAnsi="宋体" w:eastAsia="宋体" w:cs="宋体"/>
              </w:rPr>
            </w:pPr>
            <w:r>
              <w:rPr>
                <w:rFonts w:hint="eastAsia" w:ascii="宋体" w:hAnsi="宋体" w:eastAsia="宋体" w:cs="宋体"/>
              </w:rPr>
            </w:r>
            <w:r/>
          </w:p>
        </w:tc>
        <w:tc>
          <w:tcPr>
            <w:tcW w:w="1900" w:type="dxa"/>
            <w:vAlign w:val="center"/>
            <w:textDirection w:val="lrTb"/>
            <w:noWrap w:val="false"/>
          </w:tcPr>
          <w:p>
            <w:pPr>
              <w:jc w:val="center"/>
              <w:spacing w:before="4"/>
              <w:rPr>
                <w:rFonts w:hint="eastAsia" w:ascii="宋体" w:hAnsi="宋体" w:eastAsia="宋体" w:cs="宋体"/>
              </w:rPr>
            </w:pPr>
            <w:r>
              <w:rPr>
                <w:rFonts w:hint="eastAsia" w:ascii="宋体" w:hAnsi="宋体" w:eastAsia="宋体" w:cs="宋体"/>
              </w:rPr>
            </w:r>
            <w:r/>
          </w:p>
        </w:tc>
        <w:tc>
          <w:tcPr>
            <w:tcW w:w="3228" w:type="dxa"/>
            <w:vAlign w:val="center"/>
            <w:textDirection w:val="lrTb"/>
            <w:noWrap w:val="false"/>
          </w:tcPr>
          <w:p>
            <w:pPr>
              <w:jc w:val="center"/>
              <w:spacing w:before="4"/>
              <w:rPr>
                <w:rFonts w:hint="eastAsia" w:ascii="宋体" w:hAnsi="宋体" w:eastAsia="宋体" w:cs="宋体"/>
              </w:rPr>
            </w:pPr>
            <w:r>
              <w:rPr>
                <w:rFonts w:hint="eastAsia" w:ascii="宋体" w:hAnsi="宋体" w:eastAsia="宋体" w:cs="宋体"/>
              </w:rPr>
            </w:r>
            <w:r/>
          </w:p>
        </w:tc>
      </w:tr>
    </w:tbl>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注：1、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应将承担所投入的有关人员配备情况依次填报在上述表格中。</w:t>
      </w:r>
      <w:r/>
    </w:p>
    <w:p>
      <w:pPr>
        <w:ind w:firstLine="480"/>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eastAsia" w:ascii="宋体" w:hAnsi="宋体" w:eastAsia="宋体" w:cs="宋体"/>
          <w:b w:val="0"/>
          <w:bCs w:val="0"/>
          <w:color w:val="000000"/>
          <w:sz w:val="24"/>
          <w:szCs w:val="24"/>
          <w:lang w:val="en-US" w:eastAsia="zh-CN" w:bidi="ar"/>
        </w:rPr>
        <w:t xml:space="preserve">投标</w:t>
      </w:r>
      <w:r>
        <w:rPr>
          <w:rFonts w:hint="eastAsia" w:ascii="宋体" w:hAnsi="宋体" w:eastAsia="宋体" w:cs="宋体"/>
          <w:b w:val="0"/>
          <w:bCs w:val="0"/>
          <w:color w:val="000000"/>
          <w:sz w:val="24"/>
          <w:szCs w:val="24"/>
          <w:lang w:bidi="ar"/>
        </w:rPr>
        <w:t xml:space="preserve">文件中须按照“第五章</w:t>
      </w:r>
      <w:r>
        <w:rPr>
          <w:rFonts w:hint="eastAsia" w:ascii="宋体" w:hAnsi="宋体" w:eastAsia="宋体" w:cs="宋体"/>
          <w:b w:val="0"/>
          <w:bCs w:val="0"/>
          <w:color w:val="000000"/>
          <w:sz w:val="24"/>
          <w:szCs w:val="24"/>
          <w:lang w:val="en-US" w:eastAsia="zh-CN" w:bidi="ar"/>
        </w:rPr>
        <w:t xml:space="preserve"> 评审因素和评分标准</w:t>
      </w:r>
      <w:r>
        <w:rPr>
          <w:rFonts w:hint="eastAsia" w:ascii="宋体" w:hAnsi="宋体" w:eastAsia="宋体" w:cs="宋体"/>
          <w:b w:val="0"/>
          <w:bCs w:val="0"/>
          <w:color w:val="000000"/>
          <w:sz w:val="24"/>
          <w:szCs w:val="24"/>
          <w:lang w:bidi="ar"/>
        </w:rPr>
        <w:t xml:space="preserve">”中要求提供相关证明材料</w:t>
      </w:r>
      <w:r>
        <w:rPr>
          <w:rFonts w:hint="eastAsia" w:ascii="宋体" w:hAnsi="宋体" w:eastAsia="宋体" w:cs="宋体"/>
          <w:b w:val="0"/>
          <w:bCs w:val="0"/>
          <w:sz w:val="24"/>
          <w:szCs w:val="24"/>
        </w:rPr>
        <w:t xml:space="preserve">。</w:t>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因表述含糊导致的评标风险将由</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自行</w:t>
      </w:r>
      <w:r>
        <w:rPr>
          <w:rFonts w:hint="eastAsia" w:ascii="宋体" w:hAnsi="宋体" w:eastAsia="宋体" w:cs="宋体"/>
          <w:bCs/>
          <w:sz w:val="24"/>
          <w:szCs w:val="24"/>
        </w:rPr>
        <w:t xml:space="preserve">承担。</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4、如有需要说明的事项，请在备注中列明。</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jc w:val="center"/>
        <w:spacing w:line="440" w:lineRule="exact"/>
        <w:rPr>
          <w:rFonts w:hint="eastAsia" w:ascii="宋体" w:hAnsi="宋体" w:eastAsia="宋体" w:cs="宋体"/>
          <w:b/>
          <w:bCs/>
          <w:sz w:val="28"/>
          <w:szCs w:val="28"/>
        </w:rPr>
        <w:outlineLvl w:val="1"/>
      </w:pPr>
      <w:r/>
      <w:bookmarkStart w:id="300" w:name="_Toc23776"/>
      <w:r>
        <w:rPr>
          <w:rFonts w:hint="eastAsia" w:ascii="宋体" w:hAnsi="宋体" w:eastAsia="宋体" w:cs="宋体"/>
          <w:b/>
          <w:bCs/>
          <w:sz w:val="28"/>
          <w:szCs w:val="28"/>
          <w:lang w:val="en-US" w:eastAsia="zh-CN"/>
        </w:rPr>
        <w:t xml:space="preserve">附件14 </w:t>
      </w:r>
      <w:r>
        <w:rPr>
          <w:rFonts w:hint="eastAsia" w:ascii="宋体" w:hAnsi="宋体" w:eastAsia="宋体" w:cs="宋体"/>
          <w:b/>
          <w:bCs/>
          <w:sz w:val="28"/>
          <w:szCs w:val="28"/>
        </w:rPr>
        <w:t xml:space="preserve">业绩一览表</w:t>
      </w:r>
      <w:bookmarkEnd w:id="291"/>
      <w:r/>
      <w:bookmarkEnd w:id="292"/>
      <w:r/>
      <w:bookmarkEnd w:id="293"/>
      <w:r/>
      <w:bookmarkEnd w:id="294"/>
      <w:r/>
      <w:bookmarkEnd w:id="295"/>
      <w:r/>
      <w:bookmarkEnd w:id="300"/>
      <w:r/>
      <w:r/>
    </w:p>
    <w:tbl>
      <w:tblPr>
        <w:tblStyle w:val="850"/>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序号</w:t>
            </w:r>
            <w:r/>
          </w:p>
        </w:tc>
        <w:tc>
          <w:tcPr>
            <w:tcW w:w="2086"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项目名称</w:t>
            </w:r>
            <w:r/>
          </w:p>
        </w:tc>
        <w:tc>
          <w:tcPr>
            <w:tcW w:w="1814" w:type="dxa"/>
            <w:vAlign w:val="center"/>
            <w:textDirection w:val="lrTb"/>
            <w:noWrap w:val="false"/>
          </w:tcPr>
          <w:p>
            <w:pPr>
              <w:pStyle w:val="853"/>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业主单位</w:t>
            </w:r>
            <w:r/>
          </w:p>
        </w:tc>
        <w:tc>
          <w:tcPr>
            <w:tcW w:w="1798" w:type="dxa"/>
            <w:vAlign w:val="center"/>
            <w:textDirection w:val="lrTb"/>
            <w:noWrap w:val="false"/>
          </w:tcPr>
          <w:p>
            <w:pPr>
              <w:pStyle w:val="853"/>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合同内容</w:t>
            </w:r>
            <w:r/>
          </w:p>
        </w:tc>
        <w:tc>
          <w:tcPr>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合同签订时间</w:t>
            </w:r>
            <w:r/>
          </w:p>
        </w:tc>
        <w:tc>
          <w:tcPr>
            <w:tcW w:w="1735"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业主联系人及联系电话</w:t>
            </w:r>
            <w:r/>
          </w:p>
        </w:tc>
        <w:tc>
          <w:tcPr>
            <w:tcW w:w="812"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567"/>
        </w:trPr>
        <w:tc>
          <w:tcPr>
            <w:tcW w:w="630"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1</w:t>
            </w:r>
            <w:r/>
          </w:p>
        </w:tc>
        <w:tc>
          <w:tcPr>
            <w:tcW w:w="2086"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2</w:t>
            </w:r>
            <w:r/>
          </w:p>
        </w:tc>
        <w:tc>
          <w:tcPr>
            <w:tcW w:w="2086"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3</w:t>
            </w:r>
            <w:r/>
          </w:p>
        </w:tc>
        <w:tc>
          <w:tcPr>
            <w:tcW w:w="2086"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4</w:t>
            </w:r>
            <w:r/>
          </w:p>
        </w:tc>
        <w:tc>
          <w:tcPr>
            <w:tcW w:w="2086"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2086"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814"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98"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35"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812" w:type="dxa"/>
            <w:vAlign w:val="center"/>
            <w:textDirection w:val="lrTb"/>
            <w:noWrap w:val="false"/>
          </w:tcPr>
          <w:p>
            <w:pPr>
              <w:pStyle w:val="853"/>
              <w:jc w:val="center"/>
              <w:rPr>
                <w:rFonts w:hint="eastAsia" w:ascii="宋体" w:hAnsi="宋体" w:eastAsia="宋体" w:cs="宋体"/>
                <w:sz w:val="24"/>
              </w:rPr>
            </w:pPr>
            <w:r>
              <w:rPr>
                <w:rFonts w:hint="eastAsia" w:ascii="宋体" w:hAnsi="宋体" w:eastAsia="宋体" w:cs="宋体"/>
                <w:sz w:val="24"/>
              </w:rPr>
            </w:r>
            <w:r/>
          </w:p>
        </w:tc>
      </w:tr>
    </w:tbl>
    <w:p>
      <w:pPr>
        <w:spacing w:after="0" w:line="440" w:lineRule="exact"/>
        <w:rPr>
          <w:rFonts w:hint="eastAsia" w:ascii="宋体" w:hAnsi="宋体" w:eastAsia="宋体" w:cs="宋体"/>
          <w:sz w:val="24"/>
          <w:szCs w:val="22"/>
          <w:lang w:val="en-US" w:eastAsia="zh-CN"/>
        </w:rPr>
      </w:pPr>
      <w:r>
        <w:rPr>
          <w:rFonts w:hint="eastAsia" w:ascii="宋体" w:hAnsi="宋体" w:eastAsia="宋体" w:cs="宋体"/>
          <w:sz w:val="24"/>
          <w:szCs w:val="22"/>
        </w:rPr>
        <w:t xml:space="preserve">注：</w:t>
      </w:r>
      <w:r>
        <w:rPr>
          <w:rFonts w:hint="eastAsia" w:ascii="宋体" w:hAnsi="宋体" w:eastAsia="宋体" w:cs="宋体"/>
          <w:sz w:val="24"/>
          <w:szCs w:val="22"/>
          <w:lang w:val="en-US" w:eastAsia="zh-CN"/>
        </w:rPr>
        <w:t xml:space="preserve">1、</w:t>
      </w:r>
      <w:r>
        <w:rPr>
          <w:rFonts w:hint="eastAsia" w:ascii="宋体" w:hAnsi="宋体" w:eastAsia="宋体" w:cs="宋体"/>
          <w:bCs/>
          <w:sz w:val="24"/>
          <w:szCs w:val="24"/>
        </w:rPr>
        <w:t xml:space="preserve">投标人</w:t>
      </w:r>
      <w:r>
        <w:rPr>
          <w:rFonts w:hint="eastAsia" w:ascii="宋体" w:hAnsi="宋体" w:eastAsia="宋体" w:cs="宋体"/>
          <w:bCs/>
          <w:sz w:val="24"/>
          <w:szCs w:val="24"/>
          <w:highlight w:val="none"/>
        </w:rPr>
        <w:t xml:space="preserve">根据“第五章  评审因素和评分标准”要求提供相关证明材料</w:t>
      </w:r>
      <w:r>
        <w:rPr>
          <w:rFonts w:hint="eastAsia" w:ascii="宋体" w:hAnsi="宋体" w:eastAsia="宋体" w:cs="宋体"/>
          <w:sz w:val="24"/>
          <w:szCs w:val="24"/>
        </w:rPr>
        <w:t xml:space="preserve">。</w:t>
      </w:r>
      <w:r/>
    </w:p>
    <w:p>
      <w:pPr>
        <w:ind w:firstLine="480"/>
        <w:spacing w:after="0" w:line="440" w:lineRule="exact"/>
        <w:widowControl w:val="off"/>
        <w:rPr>
          <w:rFonts w:hint="eastAsia" w:ascii="宋体" w:hAnsi="宋体" w:eastAsia="宋体" w:cs="宋体"/>
          <w:sz w:val="24"/>
          <w:szCs w:val="22"/>
        </w:rPr>
      </w:pPr>
      <w:r>
        <w:rPr>
          <w:rFonts w:hint="eastAsia" w:ascii="宋体" w:hAnsi="宋体" w:eastAsia="宋体" w:cs="宋体"/>
          <w:sz w:val="24"/>
          <w:szCs w:val="22"/>
          <w:lang w:val="en-US" w:eastAsia="zh-CN"/>
        </w:rPr>
        <w:t xml:space="preserve">2</w:t>
      </w:r>
      <w:r>
        <w:rPr>
          <w:rFonts w:hint="eastAsia" w:ascii="宋体" w:hAnsi="宋体" w:eastAsia="宋体" w:cs="宋体"/>
          <w:sz w:val="24"/>
          <w:szCs w:val="22"/>
        </w:rPr>
        <w:t xml:space="preserve">、如有需要说明的事项，请在备注中列明。</w:t>
      </w:r>
      <w:r/>
    </w:p>
    <w:p>
      <w:pPr>
        <w:ind w:firstLine="480"/>
        <w:spacing w:after="0" w:line="440" w:lineRule="exact"/>
        <w:widowControl w:val="off"/>
        <w:rPr>
          <w:rFonts w:hint="eastAsia" w:ascii="宋体" w:hAnsi="宋体" w:eastAsia="宋体" w:cs="宋体"/>
          <w:sz w:val="24"/>
          <w:szCs w:val="24"/>
        </w:rPr>
      </w:pPr>
      <w:r>
        <w:rPr>
          <w:rFonts w:hint="eastAsia" w:ascii="宋体" w:hAnsi="宋体" w:eastAsia="宋体" w:cs="宋体"/>
          <w:sz w:val="24"/>
          <w:szCs w:val="22"/>
          <w:lang w:val="en-US" w:eastAsia="zh-CN"/>
        </w:rPr>
        <w:t xml:space="preserve">3</w:t>
      </w:r>
      <w:r>
        <w:rPr>
          <w:rFonts w:hint="eastAsia" w:ascii="宋体" w:hAnsi="宋体" w:eastAsia="宋体" w:cs="宋体"/>
          <w:sz w:val="24"/>
          <w:szCs w:val="22"/>
        </w:rPr>
        <w:t xml:space="preserve">、我方在此声明，我方所提供的以上资料均真实和准确；我方保证上述信息的真实和准确，并愿意承担因我方就此弄虚作假所引起的一切法律后果。</w:t>
      </w:r>
      <w:bookmarkEnd w:id="296"/>
      <w:r/>
      <w:bookmarkEnd w:id="297"/>
      <w:r/>
      <w:bookmarkEnd w:id="298"/>
      <w:r/>
      <w:bookmarkEnd w:id="299"/>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50</w:t>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50</w:t>
                    </w:r>
                    <w:r>
                      <w:t xml:space="preserve"> 页</w:t>
                    </w:r>
                    <w:r/>
                  </w:p>
                </w:txbxContent>
              </v:textbox>
            </v:shape>
          </w:pict>
        </mc:Fallback>
      </mc:AlternateContent>
    </w:r>
    <w:r/>
  </w:p>
  <w:p>
    <w:pPr>
      <w:pStyle w:val="8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eastAsia="宋体"/>
                              <w:lang w:val="en-US" w:eastAsia="zh-CN"/>
                            </w:rPr>
                            <w:t xml:space="preserve">48</w:t>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eastAsia="宋体"/>
                        <w:lang w:val="en-US" w:eastAsia="zh-CN"/>
                      </w:rPr>
                      <w:t xml:space="preserve">48</w:t>
                    </w:r>
                    <w:r>
                      <w:t xml:space="preserve"> 页</w:t>
                    </w:r>
                    <w:r/>
                  </w:p>
                </w:txbxContent>
              </v:textbox>
            </v:shape>
          </w:pict>
        </mc:Fallback>
      </mc:AlternateContent>
    </w:r>
    <w:r/>
  </w:p>
  <w:p>
    <w:pPr>
      <w:pStyle w:val="8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eastAsia="宋体"/>
                              <w:lang w:val="en-US" w:eastAsia="zh-CN"/>
                            </w:rPr>
                            <w:t xml:space="preserve">48</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eastAsia="宋体"/>
                        <w:lang w:val="en-US" w:eastAsia="zh-CN"/>
                      </w:rPr>
                      <w:t xml:space="preserve">48</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t xml:space="preserve">第 </w:t>
                          </w:r>
                          <w:r>
                            <w:fldChar w:fldCharType="begin"/>
                          </w:r>
                          <w:r>
                            <w:instrText xml:space="preserve"> PAGE  \* MERGEFORMAT </w:instrText>
                          </w:r>
                          <w:r>
                            <w:fldChar w:fldCharType="separate"/>
                          </w:r>
                          <w:r>
                            <w:t xml:space="preserve">20</w:t>
                          </w:r>
                          <w:r>
                            <w:fldChar w:fldCharType="end"/>
                          </w:r>
                          <w:r>
                            <w:t xml:space="preserve"> 页 共 </w:t>
                          </w:r>
                          <w:r>
                            <w:rPr>
                              <w:rFonts w:hint="eastAsia" w:eastAsia="宋体"/>
                              <w:lang w:val="en-US" w:eastAsia="zh-CN"/>
                            </w:rPr>
                            <w:t xml:space="preserve">50</w:t>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t xml:space="preserve">第 </w:t>
                    </w:r>
                    <w:r>
                      <w:fldChar w:fldCharType="begin"/>
                    </w:r>
                    <w:r>
                      <w:instrText xml:space="preserve"> PAGE  \* MERGEFORMAT </w:instrText>
                    </w:r>
                    <w:r>
                      <w:fldChar w:fldCharType="separate"/>
                    </w:r>
                    <w:r>
                      <w:t xml:space="preserve">20</w:t>
                    </w:r>
                    <w:r>
                      <w:fldChar w:fldCharType="end"/>
                    </w:r>
                    <w:r>
                      <w:t xml:space="preserve"> 页 共 </w:t>
                    </w:r>
                    <w:r>
                      <w:rPr>
                        <w:rFonts w:hint="eastAsia" w:eastAsia="宋体"/>
                        <w:lang w:val="en-US" w:eastAsia="zh-CN"/>
                      </w:rPr>
                      <w:t xml:space="preserve">50</w:t>
                    </w:r>
                    <w:r>
                      <w:t xml:space="preserve"> 页</w:t>
                    </w:r>
                    <w:r/>
                  </w:p>
                </w:txbxContent>
              </v:textbox>
            </v:shape>
          </w:pict>
        </mc:Fallback>
      </mc:AlternateContent>
    </w:r>
    <w:r/>
  </w:p>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both"/>
      <w:rPr>
        <w:rFonts w:hint="eastAsia"/>
        <w:sz w:val="21"/>
        <w:szCs w:val="22"/>
        <w:lang w:val="en-US" w:eastAsia="zh-CN"/>
      </w:rPr>
    </w:pPr>
    <w:r>
      <w:rPr>
        <w:rFonts w:hint="eastAsia"/>
        <w:sz w:val="21"/>
        <w:szCs w:val="22"/>
        <w:lang w:val="en-US" w:eastAsia="zh-CN"/>
      </w:rPr>
    </w:r>
    <w:r/>
  </w:p>
  <w:p>
    <w:pPr>
      <w:pStyle w:val="862"/>
      <w:jc w:val="both"/>
      <w:rPr>
        <w:rFonts w:hint="eastAsia"/>
        <w:b/>
        <w:bCs/>
        <w:spacing w:val="6"/>
        <w:sz w:val="21"/>
      </w:rPr>
    </w:pPr>
    <w:r>
      <w:rPr>
        <w:rFonts w:hint="eastAsia"/>
        <w:b/>
        <w:bCs/>
        <w:spacing w:val="6"/>
        <w:sz w:val="21"/>
      </w:rPr>
    </w:r>
    <w:r/>
  </w:p>
  <w:p>
    <w:pPr>
      <w:pStyle w:val="862"/>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both"/>
      <w:rPr>
        <w:rFonts w:hint="eastAsia"/>
        <w:sz w:val="21"/>
        <w:szCs w:val="22"/>
        <w:lang w:val="en-US" w:eastAsia="zh-CN"/>
      </w:rPr>
    </w:pPr>
    <w:r>
      <w:rPr>
        <w:rFonts w:hint="eastAsia"/>
        <w:sz w:val="21"/>
        <w:szCs w:val="22"/>
        <w:lang w:val="en-US" w:eastAsia="zh-CN"/>
      </w:rPr>
    </w:r>
    <w:r/>
  </w:p>
  <w:p>
    <w:pPr>
      <w:pStyle w:val="862"/>
      <w:jc w:val="both"/>
      <w:rPr>
        <w:rFonts w:hint="eastAsia"/>
        <w:b/>
        <w:bCs/>
        <w:spacing w:val="6"/>
        <w:sz w:val="21"/>
      </w:rPr>
    </w:pPr>
    <w:r>
      <w:rPr>
        <w:rFonts w:hint="eastAsia"/>
        <w:b/>
        <w:bCs/>
        <w:spacing w:val="6"/>
        <w:sz w:val="21"/>
      </w:rPr>
    </w:r>
    <w:r/>
  </w:p>
  <w:p>
    <w:pPr>
      <w:pStyle w:val="862"/>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link w:val="1038"/>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40">
    <w:name w:val="Heading 1"/>
    <w:basedOn w:val="839"/>
    <w:next w:val="839"/>
    <w:link w:val="881"/>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uiPriority w:val="0"/>
    <w:qFormat/>
    <w:pPr>
      <w:jc w:val="center"/>
      <w:keepNext/>
      <w:outlineLvl w:val="1"/>
    </w:pPr>
    <w:rPr>
      <w:b/>
      <w:bCs/>
      <w:sz w:val="28"/>
      <w:szCs w:val="28"/>
    </w:rPr>
  </w:style>
  <w:style w:type="paragraph" w:styleId="842">
    <w:name w:val="Heading 3"/>
    <w:basedOn w:val="839"/>
    <w:next w:val="839"/>
    <w:link w:val="883"/>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84"/>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85"/>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86"/>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88"/>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89"/>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0"/>
    <w:semiHidden/>
    <w:qFormat/>
  </w:style>
  <w:style w:type="table" w:styleId="850" w:default="1">
    <w:name w:val="Normal Table"/>
    <w:uiPriority w:val="0"/>
    <w:semiHidden/>
    <w:qFormat/>
    <w:tblPr>
      <w:tblCellMar>
        <w:left w:w="108" w:type="dxa"/>
        <w:top w:w="0" w:type="dxa"/>
        <w:right w:w="108" w:type="dxa"/>
        <w:bottom w:w="0" w:type="dxa"/>
      </w:tblCellMar>
    </w:tblPr>
  </w:style>
  <w:style w:type="paragraph" w:styleId="851">
    <w:name w:val="toc 7"/>
    <w:basedOn w:val="839"/>
    <w:next w:val="839"/>
    <w:uiPriority w:val="39"/>
    <w:unhideWhenUsed/>
    <w:qFormat/>
    <w:pPr>
      <w:ind w:left="1701" w:right="0" w:firstLine="0"/>
      <w:spacing w:after="57"/>
    </w:pPr>
  </w:style>
  <w:style w:type="paragraph" w:styleId="852">
    <w:name w:val="Caption"/>
    <w:basedOn w:val="839"/>
    <w:next w:val="83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3">
    <w:name w:val="Body Text"/>
    <w:basedOn w:val="839"/>
    <w:next w:val="839"/>
    <w:uiPriority w:val="0"/>
    <w:qFormat/>
    <w:rPr>
      <w:rFonts w:ascii="楷体_GB2312" w:hAnsi="Arial" w:eastAsia="楷体_GB2312"/>
      <w:sz w:val="28"/>
    </w:rPr>
  </w:style>
  <w:style w:type="paragraph" w:styleId="854">
    <w:name w:val="Body Text Indent"/>
    <w:basedOn w:val="839"/>
    <w:next w:val="855"/>
    <w:uiPriority w:val="0"/>
    <w:qFormat/>
    <w:pPr>
      <w:ind w:firstLine="574"/>
      <w:spacing w:line="312" w:lineRule="atLeast"/>
    </w:pPr>
    <w:rPr>
      <w:rFonts w:ascii="宋体"/>
      <w:sz w:val="28"/>
    </w:rPr>
  </w:style>
  <w:style w:type="paragraph" w:styleId="855">
    <w:name w:val="envelope return"/>
    <w:basedOn w:val="839"/>
    <w:uiPriority w:val="0"/>
    <w:qFormat/>
    <w:rPr>
      <w:rFonts w:ascii="Arial" w:hAnsi="Arial"/>
    </w:rPr>
  </w:style>
  <w:style w:type="paragraph" w:styleId="856">
    <w:name w:val="index 4"/>
    <w:basedOn w:val="839"/>
    <w:next w:val="839"/>
    <w:uiPriority w:val="99"/>
    <w:unhideWhenUsed/>
    <w:qFormat/>
    <w:pPr>
      <w:ind w:left="600"/>
    </w:pPr>
  </w:style>
  <w:style w:type="paragraph" w:styleId="857">
    <w:name w:val="toc 5"/>
    <w:basedOn w:val="839"/>
    <w:next w:val="839"/>
    <w:uiPriority w:val="39"/>
    <w:unhideWhenUsed/>
    <w:qFormat/>
    <w:pPr>
      <w:ind w:left="1134" w:right="0" w:firstLine="0"/>
      <w:spacing w:after="57"/>
    </w:pPr>
  </w:style>
  <w:style w:type="paragraph" w:styleId="858">
    <w:name w:val="toc 3"/>
    <w:basedOn w:val="839"/>
    <w:next w:val="839"/>
    <w:uiPriority w:val="39"/>
    <w:unhideWhenUsed/>
    <w:qFormat/>
    <w:pPr>
      <w:ind w:left="567" w:right="0" w:firstLine="0"/>
      <w:spacing w:after="57"/>
    </w:pPr>
  </w:style>
  <w:style w:type="paragraph" w:styleId="859">
    <w:name w:val="toc 8"/>
    <w:basedOn w:val="839"/>
    <w:next w:val="839"/>
    <w:uiPriority w:val="39"/>
    <w:unhideWhenUsed/>
    <w:qFormat/>
    <w:pPr>
      <w:ind w:left="1984" w:right="0" w:firstLine="0"/>
      <w:spacing w:after="57"/>
    </w:pPr>
  </w:style>
  <w:style w:type="paragraph" w:styleId="860">
    <w:name w:val="endnote text"/>
    <w:basedOn w:val="839"/>
    <w:link w:val="1027"/>
    <w:uiPriority w:val="99"/>
    <w:semiHidden/>
    <w:unhideWhenUsed/>
    <w:qFormat/>
    <w:pPr>
      <w:spacing w:after="0" w:line="240" w:lineRule="auto"/>
    </w:pPr>
    <w:rPr>
      <w:sz w:val="20"/>
    </w:rPr>
  </w:style>
  <w:style w:type="paragraph" w:styleId="861">
    <w:name w:val="Footer"/>
    <w:basedOn w:val="839"/>
    <w:uiPriority w:val="99"/>
    <w:qFormat/>
    <w:pPr>
      <w:jc w:val="left"/>
      <w:tabs>
        <w:tab w:val="center" w:pos="4153" w:leader="none"/>
        <w:tab w:val="right" w:pos="8306" w:leader="none"/>
      </w:tabs>
    </w:pPr>
    <w:rPr>
      <w:sz w:val="18"/>
    </w:rPr>
  </w:style>
  <w:style w:type="paragraph" w:styleId="862">
    <w:name w:val="Header"/>
    <w:basedOn w:val="839"/>
    <w:uiPriority w:val="99"/>
    <w:qFormat/>
    <w:pPr>
      <w:jc w:val="center"/>
      <w:tabs>
        <w:tab w:val="center" w:pos="4153" w:leader="none"/>
        <w:tab w:val="right" w:pos="8306" w:leader="none"/>
      </w:tabs>
      <w:pBdr>
        <w:bottom w:val="single" w:color="auto" w:sz="6" w:space="1"/>
      </w:pBdr>
    </w:pPr>
    <w:rPr>
      <w:sz w:val="18"/>
    </w:rPr>
  </w:style>
  <w:style w:type="paragraph" w:styleId="863">
    <w:name w:val="toc 1"/>
    <w:basedOn w:val="839"/>
    <w:next w:val="839"/>
    <w:uiPriority w:val="0"/>
    <w:qFormat/>
  </w:style>
  <w:style w:type="paragraph" w:styleId="864">
    <w:name w:val="toc 4"/>
    <w:basedOn w:val="839"/>
    <w:next w:val="839"/>
    <w:uiPriority w:val="39"/>
    <w:unhideWhenUsed/>
    <w:qFormat/>
    <w:pPr>
      <w:ind w:left="850" w:right="0" w:firstLine="0"/>
      <w:spacing w:after="57"/>
    </w:pPr>
  </w:style>
  <w:style w:type="paragraph" w:styleId="865">
    <w:name w:val="Subtitle"/>
    <w:basedOn w:val="839"/>
    <w:next w:val="839"/>
    <w:link w:val="893"/>
    <w:uiPriority w:val="11"/>
    <w:qFormat/>
    <w:pPr>
      <w:spacing w:before="200" w:after="200"/>
    </w:pPr>
    <w:rPr>
      <w:sz w:val="24"/>
      <w:szCs w:val="24"/>
    </w:rPr>
  </w:style>
  <w:style w:type="paragraph" w:styleId="866">
    <w:name w:val="footnote text"/>
    <w:basedOn w:val="839"/>
    <w:link w:val="1026"/>
    <w:uiPriority w:val="99"/>
    <w:semiHidden/>
    <w:unhideWhenUsed/>
    <w:qFormat/>
    <w:pPr>
      <w:spacing w:after="40" w:line="240" w:lineRule="auto"/>
    </w:pPr>
    <w:rPr>
      <w:sz w:val="18"/>
    </w:rPr>
  </w:style>
  <w:style w:type="paragraph" w:styleId="867">
    <w:name w:val="toc 6"/>
    <w:basedOn w:val="839"/>
    <w:next w:val="839"/>
    <w:uiPriority w:val="39"/>
    <w:unhideWhenUsed/>
    <w:qFormat/>
    <w:pPr>
      <w:ind w:left="1417" w:right="0" w:firstLine="0"/>
      <w:spacing w:after="57"/>
    </w:pPr>
  </w:style>
  <w:style w:type="paragraph" w:styleId="868">
    <w:name w:val="table of figures"/>
    <w:basedOn w:val="839"/>
    <w:next w:val="839"/>
    <w:uiPriority w:val="99"/>
    <w:unhideWhenUsed/>
    <w:qFormat/>
    <w:pPr>
      <w:spacing w:after="0" w:afterAutospacing="0"/>
    </w:pPr>
  </w:style>
  <w:style w:type="paragraph" w:styleId="869">
    <w:name w:val="toc 2"/>
    <w:basedOn w:val="839"/>
    <w:next w:val="839"/>
    <w:uiPriority w:val="0"/>
    <w:qFormat/>
    <w:pPr>
      <w:ind w:left="420"/>
    </w:pPr>
  </w:style>
  <w:style w:type="paragraph" w:styleId="870">
    <w:name w:val="toc 9"/>
    <w:basedOn w:val="839"/>
    <w:next w:val="839"/>
    <w:uiPriority w:val="39"/>
    <w:unhideWhenUsed/>
    <w:qFormat/>
    <w:pPr>
      <w:ind w:left="2268" w:right="0" w:firstLine="0"/>
      <w:spacing w:after="57"/>
    </w:pPr>
  </w:style>
  <w:style w:type="paragraph" w:styleId="871">
    <w:name w:val="Normal (Web)"/>
    <w:basedOn w:val="839"/>
    <w:uiPriority w:val="0"/>
    <w:qFormat/>
    <w:pPr>
      <w:ind w:left="0" w:right="0"/>
      <w:jc w:val="left"/>
      <w:spacing w:before="0" w:beforeAutospacing="1" w:after="0" w:afterAutospacing="1"/>
    </w:pPr>
    <w:rPr>
      <w:sz w:val="24"/>
      <w:lang w:val="en-US" w:eastAsia="zh-CN" w:bidi="ar"/>
    </w:rPr>
  </w:style>
  <w:style w:type="paragraph" w:styleId="872">
    <w:name w:val="Title"/>
    <w:basedOn w:val="839"/>
    <w:next w:val="839"/>
    <w:link w:val="892"/>
    <w:uiPriority w:val="10"/>
    <w:qFormat/>
    <w:pPr>
      <w:contextualSpacing/>
      <w:spacing w:before="300" w:after="200"/>
    </w:pPr>
    <w:rPr>
      <w:sz w:val="48"/>
      <w:szCs w:val="48"/>
    </w:rPr>
  </w:style>
  <w:style w:type="paragraph" w:styleId="873">
    <w:name w:val="Body Text First Indent 2"/>
    <w:basedOn w:val="854"/>
    <w:uiPriority w:val="0"/>
    <w:qFormat/>
  </w:style>
  <w:style w:type="table" w:styleId="874">
    <w:name w:val="Table Grid"/>
    <w:basedOn w:val="85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uiPriority w:val="0"/>
    <w:qFormat/>
    <w:rPr>
      <w:b/>
      <w:bCs/>
    </w:rPr>
  </w:style>
  <w:style w:type="character" w:styleId="876">
    <w:name w:val="endnote reference"/>
    <w:basedOn w:val="849"/>
    <w:uiPriority w:val="99"/>
    <w:semiHidden/>
    <w:unhideWhenUsed/>
    <w:qFormat/>
    <w:rPr>
      <w:vertAlign w:val="superscript"/>
    </w:rPr>
  </w:style>
  <w:style w:type="character" w:styleId="877">
    <w:name w:val="Hyperlink"/>
    <w:uiPriority w:val="99"/>
    <w:unhideWhenUsed/>
    <w:qFormat/>
    <w:rPr>
      <w:color w:val="0026e5" w:themeColor="hyperlink"/>
      <w:u w:val="single"/>
      <w14:textFill>
        <w14:solidFill>
          <w14:schemeClr w14:val="hlink"/>
        </w14:solidFill>
      </w14:textFill>
    </w:rPr>
  </w:style>
  <w:style w:type="character" w:styleId="878">
    <w:name w:val="footnote reference"/>
    <w:basedOn w:val="849"/>
    <w:uiPriority w:val="99"/>
    <w:unhideWhenUsed/>
    <w:qFormat/>
    <w:rPr>
      <w:vertAlign w:val="superscript"/>
    </w:rPr>
  </w:style>
  <w:style w:type="paragraph" w:styleId="879" w:customStyle="1">
    <w:name w:val="正文文本缩进11"/>
    <w:basedOn w:val="839"/>
    <w:next w:val="880"/>
    <w:uiPriority w:val="0"/>
    <w:qFormat/>
    <w:pPr>
      <w:ind w:firstLine="574"/>
      <w:spacing w:line="312" w:lineRule="atLeast"/>
    </w:pPr>
    <w:rPr>
      <w:rFonts w:ascii="宋体"/>
      <w:sz w:val="28"/>
    </w:rPr>
  </w:style>
  <w:style w:type="paragraph" w:styleId="880" w:customStyle="1">
    <w:name w:val="寄信人地址11"/>
    <w:basedOn w:val="839"/>
    <w:uiPriority w:val="0"/>
    <w:qFormat/>
    <w:rPr>
      <w:rFonts w:ascii="Arial" w:hAnsi="Arial"/>
    </w:rPr>
  </w:style>
  <w:style w:type="character" w:styleId="881" w:customStyle="1">
    <w:name w:val="Heading 1 Char"/>
    <w:basedOn w:val="849"/>
    <w:link w:val="840"/>
    <w:uiPriority w:val="9"/>
    <w:qFormat/>
    <w:rPr>
      <w:rFonts w:ascii="Arial" w:hAnsi="Arial" w:eastAsia="Arial" w:cs="Arial"/>
      <w:sz w:val="40"/>
      <w:szCs w:val="40"/>
    </w:rPr>
  </w:style>
  <w:style w:type="character" w:styleId="882" w:customStyle="1">
    <w:name w:val="Heading 2 Char"/>
    <w:basedOn w:val="849"/>
    <w:uiPriority w:val="9"/>
    <w:qFormat/>
    <w:rPr>
      <w:rFonts w:ascii="Arial" w:hAnsi="Arial" w:eastAsia="Arial" w:cs="Arial"/>
      <w:sz w:val="34"/>
    </w:rPr>
  </w:style>
  <w:style w:type="character" w:styleId="883" w:customStyle="1">
    <w:name w:val="Heading 3 Char"/>
    <w:basedOn w:val="849"/>
    <w:link w:val="842"/>
    <w:uiPriority w:val="9"/>
    <w:qFormat/>
    <w:rPr>
      <w:rFonts w:ascii="Arial" w:hAnsi="Arial" w:eastAsia="Arial" w:cs="Arial"/>
      <w:sz w:val="30"/>
      <w:szCs w:val="30"/>
    </w:rPr>
  </w:style>
  <w:style w:type="character" w:styleId="884" w:customStyle="1">
    <w:name w:val="Heading 4 Char"/>
    <w:basedOn w:val="849"/>
    <w:link w:val="843"/>
    <w:uiPriority w:val="9"/>
    <w:qFormat/>
    <w:rPr>
      <w:rFonts w:ascii="Arial" w:hAnsi="Arial" w:eastAsia="Arial" w:cs="Arial"/>
      <w:b/>
      <w:bCs/>
      <w:sz w:val="26"/>
      <w:szCs w:val="26"/>
    </w:rPr>
  </w:style>
  <w:style w:type="character" w:styleId="885" w:customStyle="1">
    <w:name w:val="Heading 5 Char"/>
    <w:basedOn w:val="849"/>
    <w:link w:val="844"/>
    <w:uiPriority w:val="9"/>
    <w:qFormat/>
    <w:rPr>
      <w:rFonts w:ascii="Arial" w:hAnsi="Arial" w:eastAsia="Arial" w:cs="Arial"/>
      <w:b/>
      <w:bCs/>
      <w:sz w:val="24"/>
      <w:szCs w:val="24"/>
    </w:rPr>
  </w:style>
  <w:style w:type="character" w:styleId="886" w:customStyle="1">
    <w:name w:val="Heading 6 Char"/>
    <w:basedOn w:val="849"/>
    <w:link w:val="845"/>
    <w:uiPriority w:val="9"/>
    <w:qFormat/>
    <w:rPr>
      <w:rFonts w:ascii="Arial" w:hAnsi="Arial" w:eastAsia="Arial" w:cs="Arial"/>
      <w:b/>
      <w:bCs/>
      <w:sz w:val="22"/>
      <w:szCs w:val="22"/>
    </w:rPr>
  </w:style>
  <w:style w:type="character" w:styleId="887" w:customStyle="1">
    <w:name w:val="Heading 7 Char"/>
    <w:basedOn w:val="849"/>
    <w:link w:val="846"/>
    <w:uiPriority w:val="9"/>
    <w:qFormat/>
    <w:rPr>
      <w:rFonts w:ascii="Arial" w:hAnsi="Arial" w:eastAsia="Arial" w:cs="Arial"/>
      <w:b/>
      <w:bCs/>
      <w:i/>
      <w:iCs/>
      <w:sz w:val="22"/>
      <w:szCs w:val="22"/>
    </w:rPr>
  </w:style>
  <w:style w:type="character" w:styleId="888" w:customStyle="1">
    <w:name w:val="Heading 8 Char"/>
    <w:basedOn w:val="849"/>
    <w:link w:val="847"/>
    <w:uiPriority w:val="9"/>
    <w:qFormat/>
    <w:rPr>
      <w:rFonts w:ascii="Arial" w:hAnsi="Arial" w:eastAsia="Arial" w:cs="Arial"/>
      <w:i/>
      <w:iCs/>
      <w:sz w:val="22"/>
      <w:szCs w:val="22"/>
    </w:rPr>
  </w:style>
  <w:style w:type="character" w:styleId="889" w:customStyle="1">
    <w:name w:val="Heading 9 Char"/>
    <w:basedOn w:val="849"/>
    <w:link w:val="848"/>
    <w:uiPriority w:val="9"/>
    <w:qFormat/>
    <w:rPr>
      <w:rFonts w:ascii="Arial" w:hAnsi="Arial" w:eastAsia="Arial" w:cs="Arial"/>
      <w:i/>
      <w:iCs/>
      <w:sz w:val="21"/>
      <w:szCs w:val="21"/>
    </w:rPr>
  </w:style>
  <w:style w:type="paragraph" w:styleId="890">
    <w:name w:val="List Paragraph"/>
    <w:basedOn w:val="839"/>
    <w:uiPriority w:val="34"/>
    <w:qFormat/>
    <w:pPr>
      <w:contextualSpacing/>
      <w:ind w:left="720"/>
    </w:pPr>
  </w:style>
  <w:style w:type="paragraph" w:styleId="891">
    <w:name w:val="No Spacing"/>
    <w:uiPriority w:val="1"/>
    <w:qFormat/>
    <w:pPr>
      <w:spacing w:before="0" w:after="0" w:line="240" w:lineRule="auto"/>
    </w:pPr>
    <w:rPr>
      <w:rFonts w:hint="default" w:ascii="Times New Roman" w:hAnsi="Times New Roman" w:eastAsia="宋体" w:cs="Times New Roman"/>
    </w:rPr>
  </w:style>
  <w:style w:type="character" w:styleId="892" w:customStyle="1">
    <w:name w:val="Title Char"/>
    <w:basedOn w:val="849"/>
    <w:link w:val="872"/>
    <w:uiPriority w:val="10"/>
    <w:qFormat/>
    <w:rPr>
      <w:sz w:val="48"/>
      <w:szCs w:val="48"/>
    </w:rPr>
  </w:style>
  <w:style w:type="character" w:styleId="893" w:customStyle="1">
    <w:name w:val="Subtitle Char"/>
    <w:basedOn w:val="849"/>
    <w:link w:val="865"/>
    <w:uiPriority w:val="11"/>
    <w:qFormat/>
    <w:rPr>
      <w:sz w:val="24"/>
      <w:szCs w:val="24"/>
    </w:rPr>
  </w:style>
  <w:style w:type="paragraph" w:styleId="894">
    <w:name w:val="Quote"/>
    <w:basedOn w:val="839"/>
    <w:next w:val="839"/>
    <w:link w:val="895"/>
    <w:uiPriority w:val="29"/>
    <w:qFormat/>
    <w:pPr>
      <w:ind w:left="720" w:right="720"/>
    </w:pPr>
    <w:rPr>
      <w:i/>
    </w:rPr>
  </w:style>
  <w:style w:type="character" w:styleId="895" w:customStyle="1">
    <w:name w:val="Quote Char"/>
    <w:link w:val="894"/>
    <w:uiPriority w:val="29"/>
    <w:qFormat/>
    <w:rPr>
      <w:i/>
    </w:rPr>
  </w:style>
  <w:style w:type="paragraph" w:styleId="896">
    <w:name w:val="Intense Quote"/>
    <w:basedOn w:val="839"/>
    <w:next w:val="839"/>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Intense Quote Char"/>
    <w:link w:val="896"/>
    <w:uiPriority w:val="30"/>
    <w:qFormat/>
    <w:rPr>
      <w:i/>
    </w:rPr>
  </w:style>
  <w:style w:type="character" w:styleId="898" w:customStyle="1">
    <w:name w:val="Header Char"/>
    <w:basedOn w:val="849"/>
    <w:uiPriority w:val="99"/>
    <w:qFormat/>
  </w:style>
  <w:style w:type="character" w:styleId="899" w:customStyle="1">
    <w:name w:val="Footer Char"/>
    <w:basedOn w:val="849"/>
    <w:uiPriority w:val="99"/>
    <w:qFormat/>
  </w:style>
  <w:style w:type="character" w:styleId="900" w:customStyle="1">
    <w:name w:val="Caption Char"/>
    <w:uiPriority w:val="99"/>
    <w:qFormat/>
  </w:style>
  <w:style w:type="table" w:styleId="901" w:customStyle="1">
    <w:name w:val="Table Grid Light"/>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0" w:customStyle="1">
    <w:name w:val="Grid Table 2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1"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basedOn w:val="85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0" w:customStyle="1">
    <w:name w:val="Grid Table 4 - Accent 2"/>
    <w:basedOn w:val="85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1" w:customStyle="1">
    <w:name w:val="Grid Table 4 - Accent 3"/>
    <w:basedOn w:val="85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2" w:customStyle="1">
    <w:name w:val="Grid Table 4 - Accent 4"/>
    <w:basedOn w:val="85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3" w:customStyle="1">
    <w:name w:val="Grid Table 4 - Accent 5"/>
    <w:basedOn w:val="85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4" w:customStyle="1">
    <w:name w:val="Grid Table 4 - Accent 6"/>
    <w:basedOn w:val="85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5"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7" w:customStyle="1">
    <w:name w:val="Grid Table 5 Dark - Accent 2"/>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8" w:customStyle="1">
    <w:name w:val="Grid Table 5 Dark - Accent 3"/>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9" w:customStyle="1">
    <w:name w:val="Grid Table 5 Dark- Accent 4"/>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0" w:customStyle="1">
    <w:name w:val="Grid Table 5 Dark - Accent 5"/>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1" w:customStyle="1">
    <w:name w:val="Grid Table 5 Dark - Accent 6"/>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2"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basedOn w:val="85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4" w:customStyle="1">
    <w:name w:val="Grid Table 6 Colorful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5" w:customStyle="1">
    <w:name w:val="Grid Table 6 Colorful - Accent 3"/>
    <w:basedOn w:val="85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6" w:customStyle="1">
    <w:name w:val="Grid Table 6 Colorful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7" w:customStyle="1">
    <w:name w:val="Grid Table 6 Colorful - Accent 5"/>
    <w:basedOn w:val="85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8" w:customStyle="1">
    <w:name w:val="Grid Table 6 Colorful - Accent 6"/>
    <w:basedOn w:val="85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9"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basedOn w:val="85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basedOn w:val="85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basedOn w:val="85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basedOn w:val="85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basedOn w:val="85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basedOn w:val="85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basedOn w:val="85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8" w:customStyle="1">
    <w:name w:val="List Table 1 Light - Accent 2"/>
    <w:basedOn w:val="85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9" w:customStyle="1">
    <w:name w:val="List Table 1 Light - Accent 3"/>
    <w:basedOn w:val="85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0" w:customStyle="1">
    <w:name w:val="List Table 1 Light - Accent 4"/>
    <w:basedOn w:val="85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basedOn w:val="85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2" w:customStyle="1">
    <w:name w:val="List Table 1 Light - Accent 6"/>
    <w:basedOn w:val="85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3"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basedOn w:val="85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5" w:customStyle="1">
    <w:name w:val="List Table 2 - Accent 2"/>
    <w:basedOn w:val="85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6" w:customStyle="1">
    <w:name w:val="List Table 2 - Accent 3"/>
    <w:basedOn w:val="85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7" w:customStyle="1">
    <w:name w:val="List Table 2 - Accent 4"/>
    <w:basedOn w:val="85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8" w:customStyle="1">
    <w:name w:val="List Table 2 - Accent 5"/>
    <w:basedOn w:val="85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9" w:customStyle="1">
    <w:name w:val="List Table 2 - Accent 6"/>
    <w:basedOn w:val="85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0"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basedOn w:val="85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2" w:customStyle="1">
    <w:name w:val="List Table 3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85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85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85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7"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basedOn w:val="85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9" w:customStyle="1">
    <w:name w:val="List Table 4 - Accent 2"/>
    <w:basedOn w:val="85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0" w:customStyle="1">
    <w:name w:val="List Table 4 - Accent 3"/>
    <w:basedOn w:val="85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1" w:customStyle="1">
    <w:name w:val="List Table 4 - Accent 4"/>
    <w:basedOn w:val="85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2" w:customStyle="1">
    <w:name w:val="List Table 4 - Accent 5"/>
    <w:basedOn w:val="85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3" w:customStyle="1">
    <w:name w:val="List Table 4 - Accent 6"/>
    <w:basedOn w:val="85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4"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basedOn w:val="85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basedOn w:val="85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basedOn w:val="85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basedOn w:val="85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basedOn w:val="85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basedOn w:val="85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basedOn w:val="85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3" w:customStyle="1">
    <w:name w:val="List Table 6 Colorful - Accent 2"/>
    <w:basedOn w:val="85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4" w:customStyle="1">
    <w:name w:val="List Table 6 Colorful - Accent 3"/>
    <w:basedOn w:val="85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5" w:customStyle="1">
    <w:name w:val="List Table 6 Colorful - Accent 4"/>
    <w:basedOn w:val="85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6" w:customStyle="1">
    <w:name w:val="List Table 6 Colorful - Accent 5"/>
    <w:basedOn w:val="85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7" w:customStyle="1">
    <w:name w:val="List Table 6 Colorful - Accent 6"/>
    <w:basedOn w:val="85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8"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basedOn w:val="85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basedOn w:val="85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basedOn w:val="85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basedOn w:val="85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basedOn w:val="85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basedOn w:val="85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5" w:customStyle="1">
    <w:name w:val="Lined - Accent"/>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7" w:customStyle="1">
    <w:name w:val="Lined - Accent 2"/>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8" w:customStyle="1">
    <w:name w:val="Lined - Accent 3"/>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9" w:customStyle="1">
    <w:name w:val="Lined - Accent 4"/>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0" w:customStyle="1">
    <w:name w:val="Lined - Accent 5"/>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1" w:customStyle="1">
    <w:name w:val="Lined - Accent 6"/>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2" w:customStyle="1">
    <w:name w:val="Bordered &amp; Lined - Accent"/>
    <w:basedOn w:val="8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basedOn w:val="85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4" w:customStyle="1">
    <w:name w:val="Bordered &amp; Lined - Accent 2"/>
    <w:basedOn w:val="85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5" w:customStyle="1">
    <w:name w:val="Bordered &amp; Lined - Accent 3"/>
    <w:basedOn w:val="85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6" w:customStyle="1">
    <w:name w:val="Bordered &amp; Lined - Accent 4"/>
    <w:basedOn w:val="85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7" w:customStyle="1">
    <w:name w:val="Bordered &amp; Lined - Accent 5"/>
    <w:basedOn w:val="85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8" w:customStyle="1">
    <w:name w:val="Bordered &amp; Lined - Accent 6"/>
    <w:basedOn w:val="85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9" w:customStyle="1">
    <w:name w:val="Bordered"/>
    <w:basedOn w:val="8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1" w:customStyle="1">
    <w:name w:val="Bordered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2" w:customStyle="1">
    <w:name w:val="Bordered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3" w:customStyle="1">
    <w:name w:val="Bordered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4" w:customStyle="1">
    <w:name w:val="Bordered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5" w:customStyle="1">
    <w:name w:val="Bordered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6" w:customStyle="1">
    <w:name w:val="Footnote Text Char"/>
    <w:link w:val="866"/>
    <w:uiPriority w:val="99"/>
    <w:qFormat/>
    <w:rPr>
      <w:sz w:val="18"/>
    </w:rPr>
  </w:style>
  <w:style w:type="character" w:styleId="1027" w:customStyle="1">
    <w:name w:val="Endnote Text Char"/>
    <w:link w:val="860"/>
    <w:uiPriority w:val="99"/>
    <w:qFormat/>
    <w:rPr>
      <w:sz w:val="20"/>
    </w:rPr>
  </w:style>
  <w:style w:type="paragraph" w:styleId="1028" w:customStyle="1">
    <w:name w:val="TOC Heading"/>
    <w:uiPriority w:val="39"/>
    <w:unhideWhenUsed/>
    <w:qFormat/>
    <w:rPr>
      <w:rFonts w:hint="default" w:ascii="Times New Roman" w:hAnsi="Times New Roman" w:eastAsia="宋体" w:cs="Times New Roman"/>
    </w:rPr>
  </w:style>
  <w:style w:type="paragraph" w:styleId="1029" w:customStyle="1">
    <w:name w:val="正文文本1"/>
    <w:basedOn w:val="839"/>
    <w:next w:val="1030"/>
    <w:uiPriority w:val="0"/>
    <w:qFormat/>
    <w:rPr>
      <w:rFonts w:ascii="楷体_GB2312" w:hAnsi="Arial" w:eastAsia="楷体_GB2312"/>
      <w:sz w:val="28"/>
    </w:rPr>
  </w:style>
  <w:style w:type="paragraph" w:styleId="1030" w:customStyle="1">
    <w:name w:val="正文首行缩进1"/>
    <w:basedOn w:val="1029"/>
    <w:next w:val="1031"/>
    <w:uiPriority w:val="99"/>
    <w:unhideWhenUsed/>
    <w:qFormat/>
    <w:pPr>
      <w:ind w:firstLine="420"/>
    </w:pPr>
  </w:style>
  <w:style w:type="paragraph" w:styleId="1031" w:customStyle="1">
    <w:name w:val="正文首行缩进 21"/>
    <w:basedOn w:val="1032"/>
    <w:next w:val="1030"/>
    <w:uiPriority w:val="0"/>
    <w:qFormat/>
    <w:pPr>
      <w:ind w:firstLine="420"/>
    </w:pPr>
  </w:style>
  <w:style w:type="paragraph" w:styleId="1032" w:customStyle="1">
    <w:name w:val="正文文本缩进1"/>
    <w:basedOn w:val="839"/>
    <w:next w:val="1033"/>
    <w:uiPriority w:val="0"/>
    <w:qFormat/>
    <w:pPr>
      <w:ind w:firstLine="574"/>
      <w:spacing w:line="312" w:lineRule="atLeast"/>
    </w:pPr>
    <w:rPr>
      <w:rFonts w:ascii="宋体"/>
      <w:sz w:val="28"/>
    </w:rPr>
  </w:style>
  <w:style w:type="paragraph" w:styleId="1033" w:customStyle="1">
    <w:name w:val="寄信人地址1"/>
    <w:basedOn w:val="839"/>
    <w:uiPriority w:val="0"/>
    <w:qFormat/>
    <w:rPr>
      <w:rFonts w:ascii="Arial" w:hAnsi="Arial"/>
    </w:rPr>
  </w:style>
  <w:style w:type="paragraph" w:styleId="1034" w:customStyle="1">
    <w:name w:val="段"/>
    <w:next w:val="839"/>
    <w:uiPriority w:val="0"/>
    <w:qFormat/>
    <w:pPr>
      <w:ind w:firstLine="200"/>
      <w:jc w:val="both"/>
    </w:pPr>
    <w:rPr>
      <w:rFonts w:hint="default" w:ascii="宋体" w:hAnsi="Times New Roman" w:eastAsia="Times New Roman" w:cs="Times New Roman"/>
      <w:sz w:val="21"/>
      <w:lang w:val="en-US" w:eastAsia="zh-CN" w:bidi="ar-SA"/>
    </w:rPr>
  </w:style>
  <w:style w:type="paragraph" w:styleId="1035" w:customStyle="1">
    <w:name w:val="普通正文"/>
    <w:basedOn w:val="839"/>
    <w:uiPriority w:val="0"/>
    <w:qFormat/>
    <w:pPr>
      <w:ind w:firstLine="480"/>
      <w:jc w:val="left"/>
      <w:spacing w:before="120" w:after="120" w:line="360" w:lineRule="auto"/>
    </w:pPr>
    <w:rPr>
      <w:rFonts w:ascii="Arial" w:hAnsi="Arial" w:eastAsia="宋体" w:cs="Times New Roman"/>
      <w:sz w:val="24"/>
      <w:szCs w:val="24"/>
    </w:rPr>
  </w:style>
  <w:style w:type="paragraph" w:styleId="1036" w:customStyle="1">
    <w:name w:val="页眉1"/>
    <w:basedOn w:val="83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37" w:customStyle="1">
    <w:name w:val="页脚1"/>
    <w:basedOn w:val="83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38" w:customStyle="1">
    <w:name w:val="页码1"/>
    <w:link w:val="839"/>
    <w:uiPriority w:val="0"/>
    <w:qFormat/>
    <w:rPr>
      <w:rFonts w:asciiTheme="minorHAnsi" w:hAnsiTheme="minorHAnsi" w:eastAsiaTheme="minorEastAsia" w:cstheme="minorBidi"/>
      <w:sz w:val="21"/>
      <w:szCs w:val="24"/>
      <w:lang w:val="en-US" w:eastAsia="zh-CN" w:bidi="ar-SA"/>
    </w:rPr>
  </w:style>
  <w:style w:type="paragraph" w:styleId="1039" w:customStyle="1">
    <w:name w:val="段落"/>
    <w:basedOn w:val="839"/>
    <w:uiPriority w:val="0"/>
    <w:qFormat/>
    <w:rPr>
      <w:rFonts w:cs="Times New Roman"/>
      <w:szCs w:val="24"/>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10</cp:revision>
  <dcterms:created xsi:type="dcterms:W3CDTF">2024-02-20T01:52:00Z</dcterms:created>
  <dcterms:modified xsi:type="dcterms:W3CDTF">2026-03-25T08:57:35Z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60ACCF052CC749E19557A6BD8327F536_13</vt:lpwstr>
  </property>
  <property fmtid="{D5CDD505-2E9C-101B-9397-08002B2CF9AE}" pid="4" name="KSOTemplateDocerSaveRecord">
    <vt:lpwstr>eyJoZGlkIjoiMzM4OGVkNDJmYjA2NjkxYjRjNjEzZmE3N2Y5YTIxYzMiLCJ1c2VySWQiOiIxMjAyODkwMzI4In0=</vt:lpwstr>
  </property>
</Properties>
</file>