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01F20B">
      <w:pPr>
        <w:widowControl w:val="0"/>
        <w:spacing w:before="120" w:beforeAutospacing="0" w:after="12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0B1BBF3D">
      <w:pPr>
        <w:widowControl w:val="0"/>
        <w:spacing w:before="120" w:beforeAutospacing="0" w:after="120" w:afterAutospacing="0" w:line="360" w:lineRule="auto"/>
        <w:jc w:val="center"/>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b/>
          <w:color w:val="auto"/>
          <w:kern w:val="0"/>
          <w:sz w:val="84"/>
          <w:szCs w:val="84"/>
          <w:highlight w:val="none"/>
          <w:lang w:val="en-US" w:eastAsia="zh-CN" w:bidi="ar-SA"/>
        </w:rPr>
        <w:t>招 标 文 件</w:t>
      </w:r>
    </w:p>
    <w:p w14:paraId="236D250C">
      <w:pPr>
        <w:widowControl w:val="0"/>
        <w:spacing w:before="120" w:beforeAutospacing="0" w:after="120" w:afterAutospacing="0" w:line="360" w:lineRule="auto"/>
        <w:jc w:val="left"/>
        <w:rPr>
          <w:rFonts w:hint="default" w:ascii="Times New Roman" w:hAnsi="Times New Roman" w:cs="Times New Roman" w:eastAsiaTheme="minorEastAsia"/>
          <w:b/>
          <w:color w:val="auto"/>
          <w:kern w:val="0"/>
          <w:sz w:val="32"/>
          <w:szCs w:val="32"/>
          <w:highlight w:val="none"/>
          <w:lang w:val="en-US" w:eastAsia="zh-CN" w:bidi="ar-SA"/>
        </w:rPr>
      </w:pPr>
    </w:p>
    <w:p w14:paraId="4DE66F96">
      <w:pPr>
        <w:widowControl w:val="0"/>
        <w:spacing w:before="120" w:beforeAutospacing="0" w:after="120" w:afterAutospacing="0" w:line="360" w:lineRule="auto"/>
        <w:jc w:val="left"/>
        <w:rPr>
          <w:rFonts w:hint="default" w:ascii="Times New Roman" w:hAnsi="Times New Roman" w:cs="Times New Roman" w:eastAsiaTheme="minorEastAsia"/>
          <w:b/>
          <w:color w:val="auto"/>
          <w:kern w:val="0"/>
          <w:sz w:val="32"/>
          <w:szCs w:val="32"/>
          <w:highlight w:val="none"/>
          <w:lang w:val="en-US" w:eastAsia="zh-CN" w:bidi="ar-SA"/>
        </w:rPr>
      </w:pPr>
    </w:p>
    <w:p w14:paraId="6D56124E">
      <w:pPr>
        <w:widowControl w:val="0"/>
        <w:spacing w:before="120" w:beforeAutospacing="0" w:after="120" w:afterAutospacing="0" w:line="360" w:lineRule="auto"/>
        <w:jc w:val="both"/>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b/>
          <w:color w:val="auto"/>
          <w:kern w:val="0"/>
          <w:sz w:val="32"/>
          <w:szCs w:val="32"/>
          <w:highlight w:val="none"/>
          <w:lang w:val="en-US" w:eastAsia="zh-CN" w:bidi="ar-SA"/>
        </w:rPr>
        <w:t>项目名称：</w:t>
      </w:r>
      <w:bookmarkStart w:id="241" w:name="_GoBack"/>
      <w:r>
        <w:rPr>
          <w:rFonts w:hint="default" w:ascii="Times New Roman" w:hAnsi="Times New Roman" w:cs="Times New Roman" w:eastAsiaTheme="minorEastAsia"/>
          <w:b w:val="0"/>
          <w:bCs/>
          <w:color w:val="auto"/>
          <w:kern w:val="0"/>
          <w:sz w:val="32"/>
          <w:szCs w:val="32"/>
          <w:highlight w:val="none"/>
          <w:lang w:val="en-US" w:eastAsia="zh-CN" w:bidi="ar-SA"/>
        </w:rPr>
        <w:t>2026</w:t>
      </w:r>
      <w:r>
        <w:rPr>
          <w:rFonts w:hint="default" w:ascii="Times New Roman" w:hAnsi="Times New Roman" w:cs="Times New Roman" w:eastAsiaTheme="minorEastAsia"/>
          <w:b/>
          <w:color w:val="auto"/>
          <w:kern w:val="0"/>
          <w:sz w:val="32"/>
          <w:szCs w:val="32"/>
          <w:highlight w:val="none"/>
          <w:lang w:val="en-US" w:eastAsia="zh-CN" w:bidi="ar-SA"/>
        </w:rPr>
        <w:t>年盐城市盐都区大气监测溯源服务项目</w:t>
      </w:r>
      <w:bookmarkEnd w:id="241"/>
    </w:p>
    <w:p w14:paraId="42CCDC3F">
      <w:pPr>
        <w:widowControl w:val="0"/>
        <w:spacing w:beforeAutospacing="0" w:afterAutospacing="0"/>
        <w:jc w:val="both"/>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b/>
          <w:color w:val="auto"/>
          <w:kern w:val="0"/>
          <w:sz w:val="32"/>
          <w:szCs w:val="32"/>
          <w:highlight w:val="none"/>
          <w:lang w:val="en-US" w:eastAsia="zh-CN" w:bidi="ar-SA"/>
        </w:rPr>
        <w:t>项目编号：</w:t>
      </w:r>
      <w:r>
        <w:rPr>
          <w:rFonts w:hint="eastAsia" w:ascii="Times New Roman" w:hAnsi="Times New Roman" w:cs="Times New Roman"/>
          <w:b w:val="0"/>
          <w:bCs/>
          <w:color w:val="auto"/>
          <w:kern w:val="0"/>
          <w:sz w:val="32"/>
          <w:szCs w:val="32"/>
          <w:highlight w:val="none"/>
          <w:lang w:val="en-US" w:eastAsia="zh-CN" w:bidi="ar-SA"/>
        </w:rPr>
        <w:t>JSZC-320903-JSRJ-G2026-0003</w:t>
      </w:r>
      <w:r>
        <w:rPr>
          <w:rFonts w:hint="default" w:ascii="Times New Roman" w:hAnsi="Times New Roman" w:cs="Times New Roman" w:eastAsiaTheme="minorEastAsia"/>
          <w:b/>
          <w:color w:val="auto"/>
          <w:kern w:val="0"/>
          <w:sz w:val="32"/>
          <w:szCs w:val="32"/>
          <w:highlight w:val="none"/>
          <w:lang w:val="en-US" w:eastAsia="zh-CN" w:bidi="ar-SA"/>
        </w:rPr>
        <w:t xml:space="preserve">                </w:t>
      </w:r>
    </w:p>
    <w:p w14:paraId="2A9C023F">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5F821CF6">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04D37AC7">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46823A34">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19A9AE46">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146680F3">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6E928096">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2F88F3BC">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49BED174">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01A26219">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6A0454AF">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47D4CD76">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6FA49D73">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0E9C5286">
      <w:pPr>
        <w:widowControl w:val="0"/>
        <w:spacing w:beforeAutospacing="0" w:afterAutospacing="0" w:line="360" w:lineRule="auto"/>
        <w:jc w:val="left"/>
        <w:rPr>
          <w:rFonts w:hint="default" w:ascii="Times New Roman" w:hAnsi="Times New Roman" w:cs="Times New Roman" w:eastAsiaTheme="minorEastAsia"/>
          <w:color w:val="auto"/>
          <w:kern w:val="0"/>
          <w:sz w:val="24"/>
          <w:szCs w:val="24"/>
          <w:highlight w:val="none"/>
          <w:lang w:val="en-US" w:eastAsia="zh-CN" w:bidi="ar-SA"/>
        </w:rPr>
      </w:pPr>
    </w:p>
    <w:p w14:paraId="6273F743">
      <w:pPr>
        <w:widowControl w:val="0"/>
        <w:spacing w:before="120" w:beforeAutospacing="0" w:after="120" w:afterAutospacing="0" w:line="360" w:lineRule="auto"/>
        <w:jc w:val="center"/>
        <w:rPr>
          <w:rFonts w:hint="default" w:ascii="Times New Roman" w:hAnsi="Times New Roman" w:cs="Times New Roman" w:eastAsiaTheme="minorEastAsia"/>
          <w:b/>
          <w:bCs w:val="0"/>
          <w:color w:val="auto"/>
          <w:kern w:val="0"/>
          <w:sz w:val="32"/>
          <w:szCs w:val="32"/>
          <w:highlight w:val="none"/>
          <w:lang w:val="en-US" w:eastAsia="zh-CN" w:bidi="ar-SA"/>
        </w:rPr>
      </w:pPr>
      <w:r>
        <w:rPr>
          <w:rFonts w:hint="default" w:ascii="Times New Roman" w:hAnsi="Times New Roman" w:cs="Times New Roman" w:eastAsiaTheme="minorEastAsia"/>
          <w:b/>
          <w:bCs w:val="0"/>
          <w:color w:val="auto"/>
          <w:kern w:val="0"/>
          <w:sz w:val="32"/>
          <w:szCs w:val="32"/>
          <w:highlight w:val="none"/>
          <w:lang w:val="en-US" w:eastAsia="zh-CN" w:bidi="ar-SA"/>
        </w:rPr>
        <w:t>盐城市盐都生态环境局</w:t>
      </w:r>
    </w:p>
    <w:p w14:paraId="5AC82960">
      <w:pPr>
        <w:widowControl w:val="0"/>
        <w:spacing w:before="120" w:beforeAutospacing="0" w:after="120" w:afterAutospacing="0" w:line="360" w:lineRule="auto"/>
        <w:jc w:val="center"/>
        <w:rPr>
          <w:rFonts w:hint="default" w:ascii="Times New Roman" w:hAnsi="Times New Roman" w:cs="Times New Roman" w:eastAsiaTheme="minorEastAsia"/>
          <w:b/>
          <w:bCs w:val="0"/>
          <w:color w:val="auto"/>
          <w:kern w:val="0"/>
          <w:sz w:val="24"/>
          <w:szCs w:val="24"/>
          <w:highlight w:val="none"/>
          <w:lang w:val="en-US" w:eastAsia="zh-CN" w:bidi="ar-SA"/>
        </w:rPr>
      </w:pPr>
      <w:r>
        <w:rPr>
          <w:rFonts w:hint="default" w:ascii="Times New Roman" w:hAnsi="Times New Roman" w:cs="Times New Roman" w:eastAsiaTheme="minorEastAsia"/>
          <w:b/>
          <w:bCs w:val="0"/>
          <w:color w:val="auto"/>
          <w:kern w:val="0"/>
          <w:sz w:val="32"/>
          <w:szCs w:val="32"/>
          <w:highlight w:val="none"/>
          <w:lang w:val="en-US" w:eastAsia="zh-CN" w:bidi="ar-SA"/>
        </w:rPr>
        <w:t>2026年3月</w:t>
      </w:r>
    </w:p>
    <w:p w14:paraId="4617D305">
      <w:pPr>
        <w:widowControl w:val="0"/>
        <w:spacing w:before="120" w:beforeAutospacing="0" w:after="120" w:afterAutospacing="0" w:line="360" w:lineRule="auto"/>
        <w:jc w:val="center"/>
        <w:rPr>
          <w:rFonts w:hint="default" w:ascii="Times New Roman" w:hAnsi="Times New Roman" w:cs="Times New Roman" w:eastAsiaTheme="minorEastAsia"/>
          <w:color w:val="auto"/>
          <w:kern w:val="0"/>
          <w:sz w:val="24"/>
          <w:szCs w:val="24"/>
          <w:highlight w:val="none"/>
          <w:lang w:val="en-US" w:eastAsia="zh-CN" w:bidi="ar-SA"/>
        </w:rPr>
      </w:pPr>
    </w:p>
    <w:p w14:paraId="1D8B623B">
      <w:pPr>
        <w:widowControl w:val="0"/>
        <w:spacing w:beforeAutospacing="0" w:afterAutospacing="0" w:line="480" w:lineRule="auto"/>
        <w:jc w:val="center"/>
        <w:rPr>
          <w:rFonts w:hint="default" w:ascii="Times New Roman" w:hAnsi="Times New Roman" w:cs="Times New Roman" w:eastAsiaTheme="minorEastAsia"/>
          <w:color w:val="auto"/>
          <w:kern w:val="0"/>
          <w:sz w:val="21"/>
          <w:szCs w:val="21"/>
          <w:highlight w:val="none"/>
          <w:lang w:val="en-US" w:eastAsia="zh-CN" w:bidi="ar-SA"/>
        </w:rPr>
        <w:sectPr>
          <w:pgSz w:w="11906" w:h="16838"/>
          <w:pgMar w:top="1440" w:right="1800" w:bottom="1440" w:left="1800" w:header="851" w:footer="992" w:gutter="0"/>
          <w:cols w:space="425" w:num="1"/>
          <w:docGrid w:type="lines" w:linePitch="312" w:charSpace="0"/>
        </w:sectPr>
      </w:pPr>
    </w:p>
    <w:p w14:paraId="2F7AAB98">
      <w:pPr>
        <w:pStyle w:val="49"/>
        <w:numPr>
          <w:ilvl w:val="0"/>
          <w:numId w:val="1"/>
        </w:numPr>
        <w:tabs>
          <w:tab w:val="left" w:pos="1602"/>
          <w:tab w:val="clear" w:pos="210"/>
        </w:tabs>
        <w:ind w:left="0" w:leftChars="0" w:firstLine="640" w:firstLineChars="200"/>
        <w:outlineLvl w:val="0"/>
        <w:rPr>
          <w:rFonts w:hint="default" w:ascii="Times New Roman" w:hAnsi="Times New Roman" w:cs="Times New Roman"/>
          <w:highlight w:val="none"/>
        </w:rPr>
      </w:pPr>
      <w:bookmarkStart w:id="0" w:name="_Toc28359009"/>
      <w:r>
        <w:rPr>
          <w:rFonts w:hint="default" w:ascii="Times New Roman" w:hAnsi="Times New Roman" w:cs="Times New Roman"/>
          <w:highlight w:val="none"/>
        </w:rPr>
        <w:t>招标公告</w:t>
      </w:r>
    </w:p>
    <w:p w14:paraId="5D5715B0">
      <w:pPr>
        <w:pStyle w:val="12"/>
        <w:pBdr>
          <w:top w:val="single" w:color="000000" w:sz="4" w:space="0"/>
          <w:left w:val="single" w:color="000000" w:sz="4" w:space="0"/>
          <w:bottom w:val="single" w:color="000000" w:sz="4" w:space="0"/>
          <w:right w:val="single" w:color="000000" w:sz="4" w:space="0"/>
        </w:pBdr>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项目概况</w:t>
      </w:r>
    </w:p>
    <w:p w14:paraId="5B5AAC91">
      <w:pPr>
        <w:pStyle w:val="12"/>
        <w:pBdr>
          <w:top w:val="single" w:color="000000" w:sz="4" w:space="0"/>
          <w:left w:val="single" w:color="000000" w:sz="4" w:space="0"/>
          <w:bottom w:val="single" w:color="000000" w:sz="4" w:space="0"/>
          <w:right w:val="single" w:color="000000" w:sz="4" w:space="0"/>
        </w:pBdr>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u w:val="single"/>
        </w:rPr>
        <w:t>2026年盐城市盐都区大气监测溯源服务项目</w:t>
      </w:r>
      <w:r>
        <w:rPr>
          <w:rFonts w:hint="default" w:ascii="Times New Roman" w:hAnsi="Times New Roman" w:cs="Times New Roman"/>
          <w:color w:val="auto"/>
          <w:highlight w:val="none"/>
        </w:rPr>
        <w:t>招标项目的潜在投标人可在“苏采云”系统内免费下载（投标人必须在苏采云系统中获取采购文件，方能参与政府采购项目），并于</w:t>
      </w:r>
      <w:r>
        <w:rPr>
          <w:rFonts w:hint="default" w:ascii="Times New Roman" w:hAnsi="Times New Roman" w:cs="Times New Roman"/>
          <w:color w:val="auto"/>
          <w:highlight w:val="none"/>
          <w:u w:val="single"/>
        </w:rPr>
        <w:t>2026年</w:t>
      </w:r>
      <w:r>
        <w:rPr>
          <w:rFonts w:hint="eastAsia" w:cs="Times New Roman"/>
          <w:color w:val="auto"/>
          <w:highlight w:val="none"/>
          <w:u w:val="single"/>
          <w:lang w:val="en-US" w:eastAsia="zh-CN"/>
        </w:rPr>
        <w:t>4</w:t>
      </w:r>
      <w:r>
        <w:rPr>
          <w:rFonts w:hint="default" w:ascii="Times New Roman" w:hAnsi="Times New Roman" w:cs="Times New Roman"/>
          <w:color w:val="auto"/>
          <w:highlight w:val="none"/>
          <w:u w:val="single"/>
        </w:rPr>
        <w:t>月</w:t>
      </w:r>
      <w:r>
        <w:rPr>
          <w:rFonts w:hint="eastAsia" w:cs="Times New Roman"/>
          <w:color w:val="auto"/>
          <w:highlight w:val="none"/>
          <w:u w:val="single"/>
          <w:lang w:val="en-US" w:eastAsia="zh-CN"/>
        </w:rPr>
        <w:t>13</w:t>
      </w:r>
      <w:r>
        <w:rPr>
          <w:rFonts w:hint="default" w:ascii="Times New Roman" w:hAnsi="Times New Roman" w:cs="Times New Roman"/>
          <w:color w:val="auto"/>
          <w:highlight w:val="none"/>
          <w:u w:val="single"/>
        </w:rPr>
        <w:t>日</w:t>
      </w:r>
      <w:r>
        <w:rPr>
          <w:rFonts w:hint="eastAsia" w:cs="Times New Roman"/>
          <w:color w:val="auto"/>
          <w:highlight w:val="none"/>
          <w:u w:val="single"/>
          <w:lang w:val="en-US" w:eastAsia="zh-CN"/>
        </w:rPr>
        <w:t>15</w:t>
      </w:r>
      <w:r>
        <w:rPr>
          <w:rFonts w:hint="default" w:ascii="Times New Roman" w:hAnsi="Times New Roman" w:cs="Times New Roman"/>
          <w:color w:val="auto"/>
          <w:highlight w:val="none"/>
          <w:u w:val="single"/>
        </w:rPr>
        <w:t>点00分（</w:t>
      </w:r>
      <w:r>
        <w:rPr>
          <w:rFonts w:hint="default" w:ascii="Times New Roman" w:hAnsi="Times New Roman" w:cs="Times New Roman"/>
          <w:color w:val="auto"/>
          <w:highlight w:val="none"/>
        </w:rPr>
        <w:t>北京时间）前递交投标文件。</w:t>
      </w:r>
    </w:p>
    <w:p w14:paraId="20ABE647">
      <w:pPr>
        <w:pStyle w:val="2"/>
        <w:keepNext w:val="0"/>
        <w:keepLines w:val="0"/>
        <w:pageBreakBefore w:val="0"/>
        <w:numPr>
          <w:ilvl w:val="0"/>
          <w:numId w:val="2"/>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bookmarkStart w:id="1" w:name="_Toc28359079"/>
      <w:bookmarkStart w:id="2" w:name="_Toc28359002"/>
      <w:bookmarkStart w:id="3" w:name="_Toc35393790"/>
      <w:bookmarkStart w:id="4" w:name="_Toc38985263"/>
      <w:bookmarkStart w:id="5" w:name="_Toc35393621"/>
      <w:bookmarkStart w:id="6" w:name="_Hlk24379207"/>
      <w:r>
        <w:rPr>
          <w:rFonts w:hint="default" w:ascii="Times New Roman" w:hAnsi="Times New Roman" w:cs="Times New Roman"/>
          <w:highlight w:val="none"/>
        </w:rPr>
        <w:t>项目基本情况</w:t>
      </w:r>
      <w:bookmarkEnd w:id="1"/>
      <w:bookmarkEnd w:id="2"/>
      <w:bookmarkEnd w:id="3"/>
      <w:bookmarkEnd w:id="4"/>
      <w:bookmarkEnd w:id="5"/>
      <w:bookmarkEnd w:id="6"/>
    </w:p>
    <w:p w14:paraId="0E81ECE5">
      <w:pPr>
        <w:pStyle w:val="12"/>
        <w:keepNext w:val="0"/>
        <w:keepLines w:val="0"/>
        <w:pageBreakBefore w:val="0"/>
        <w:numPr>
          <w:ilvl w:val="0"/>
          <w:numId w:val="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项目编号：</w:t>
      </w:r>
      <w:r>
        <w:rPr>
          <w:rFonts w:hint="eastAsia" w:cs="Times New Roman"/>
          <w:color w:val="auto"/>
          <w:highlight w:val="none"/>
          <w:lang w:eastAsia="zh-CN"/>
        </w:rPr>
        <w:t>JSZC-320903-JSRJ-G2026-0003</w:t>
      </w:r>
      <w:r>
        <w:rPr>
          <w:rFonts w:hint="default" w:ascii="Times New Roman" w:hAnsi="Times New Roman" w:cs="Times New Roman"/>
          <w:color w:val="auto"/>
          <w:highlight w:val="none"/>
        </w:rPr>
        <w:t xml:space="preserve">                    </w:t>
      </w:r>
    </w:p>
    <w:p w14:paraId="43B1C5E3">
      <w:pPr>
        <w:pStyle w:val="12"/>
        <w:keepNext w:val="0"/>
        <w:keepLines w:val="0"/>
        <w:pageBreakBefore w:val="0"/>
        <w:numPr>
          <w:ilvl w:val="0"/>
          <w:numId w:val="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项目名称：2026年盐城市盐都区大气监测溯源服务项目</w:t>
      </w:r>
    </w:p>
    <w:p w14:paraId="59DED730">
      <w:pPr>
        <w:pStyle w:val="12"/>
        <w:keepNext w:val="0"/>
        <w:keepLines w:val="0"/>
        <w:pageBreakBefore w:val="0"/>
        <w:numPr>
          <w:ilvl w:val="0"/>
          <w:numId w:val="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采购方式：公开招标</w:t>
      </w:r>
    </w:p>
    <w:p w14:paraId="73BFD18A">
      <w:pPr>
        <w:pStyle w:val="12"/>
        <w:keepNext w:val="0"/>
        <w:keepLines w:val="0"/>
        <w:pageBreakBefore w:val="0"/>
        <w:numPr>
          <w:ilvl w:val="0"/>
          <w:numId w:val="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预算金额：180万元</w:t>
      </w:r>
    </w:p>
    <w:p w14:paraId="6A433D27">
      <w:pPr>
        <w:pStyle w:val="12"/>
        <w:keepNext w:val="0"/>
        <w:keepLines w:val="0"/>
        <w:pageBreakBefore w:val="0"/>
        <w:numPr>
          <w:ilvl w:val="0"/>
          <w:numId w:val="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最高限价：180万元，投标报价超过最高限价的投标无效。</w:t>
      </w:r>
    </w:p>
    <w:p w14:paraId="78B69DDA">
      <w:pPr>
        <w:pStyle w:val="12"/>
        <w:keepNext w:val="0"/>
        <w:keepLines w:val="0"/>
        <w:pageBreakBefore w:val="0"/>
        <w:numPr>
          <w:ilvl w:val="0"/>
          <w:numId w:val="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采购需求：2026年盐城市盐都区大气监测溯源服务项目，详细内容见本招标文件第四章采购需求。</w:t>
      </w:r>
    </w:p>
    <w:p w14:paraId="64FE5693">
      <w:pPr>
        <w:pStyle w:val="12"/>
        <w:keepNext w:val="0"/>
        <w:keepLines w:val="0"/>
        <w:pageBreakBefore w:val="0"/>
        <w:numPr>
          <w:ilvl w:val="0"/>
          <w:numId w:val="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合同履行期限：一年（具体履行期限详见采购需求），以合同签订日期为准。</w:t>
      </w:r>
    </w:p>
    <w:p w14:paraId="0C46CA46">
      <w:pPr>
        <w:pStyle w:val="12"/>
        <w:keepNext w:val="0"/>
        <w:keepLines w:val="0"/>
        <w:pageBreakBefore w:val="0"/>
        <w:numPr>
          <w:ilvl w:val="0"/>
          <w:numId w:val="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bookmarkStart w:id="7" w:name="_Toc35393791"/>
      <w:bookmarkStart w:id="8" w:name="_Toc28359080"/>
      <w:bookmarkStart w:id="9" w:name="_Toc35393622"/>
      <w:bookmarkStart w:id="10" w:name="_Toc28359003"/>
      <w:bookmarkStart w:id="11" w:name="_Toc38985264"/>
      <w:r>
        <w:rPr>
          <w:rFonts w:hint="eastAsia" w:ascii="Times New Roman" w:hAnsi="Times New Roman" w:cs="Times New Roman"/>
          <w:color w:val="auto"/>
          <w:highlight w:val="none"/>
          <w:lang w:val="en-US" w:eastAsia="zh-CN"/>
        </w:rPr>
        <w:t>本项目以</w:t>
      </w:r>
      <w:r>
        <w:rPr>
          <w:rFonts w:hint="default" w:ascii="Times New Roman" w:hAnsi="Times New Roman" w:cs="Times New Roman"/>
          <w:color w:val="auto"/>
          <w:highlight w:val="none"/>
          <w:lang w:val="en-US" w:eastAsia="zh-CN"/>
        </w:rPr>
        <w:t>联合体参与招标</w:t>
      </w:r>
      <w:r>
        <w:rPr>
          <w:rFonts w:hint="eastAsia" w:ascii="Times New Roman" w:hAnsi="Times New Roman" w:cs="Times New Roman"/>
          <w:color w:val="auto"/>
          <w:highlight w:val="none"/>
          <w:lang w:val="en-US" w:eastAsia="zh-CN"/>
        </w:rPr>
        <w:t>的</w:t>
      </w:r>
      <w:r>
        <w:rPr>
          <w:rFonts w:hint="default" w:ascii="Times New Roman" w:hAnsi="Times New Roman" w:cs="Times New Roman"/>
          <w:color w:val="auto"/>
          <w:highlight w:val="none"/>
          <w:lang w:val="en-US" w:eastAsia="zh-CN"/>
        </w:rPr>
        <w:t>,联合体中所有成员数量不得超过2名。</w:t>
      </w:r>
    </w:p>
    <w:p w14:paraId="52E7AE2E">
      <w:pPr>
        <w:pStyle w:val="12"/>
        <w:keepNext w:val="0"/>
        <w:keepLines w:val="0"/>
        <w:pageBreakBefore w:val="0"/>
        <w:numPr>
          <w:ilvl w:val="0"/>
          <w:numId w:val="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申请人的资格要求：</w:t>
      </w:r>
      <w:bookmarkEnd w:id="7"/>
      <w:bookmarkEnd w:id="8"/>
      <w:bookmarkEnd w:id="9"/>
      <w:bookmarkEnd w:id="10"/>
      <w:bookmarkEnd w:id="11"/>
    </w:p>
    <w:p w14:paraId="4FB8F964">
      <w:pPr>
        <w:pStyle w:val="12"/>
        <w:keepNext w:val="0"/>
        <w:keepLines w:val="0"/>
        <w:pageBreakBefore w:val="0"/>
        <w:numPr>
          <w:ilvl w:val="0"/>
          <w:numId w:val="4"/>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满足《中华人民共和国政府采购法》第二十二条规定，并提供下列材料：</w:t>
      </w:r>
    </w:p>
    <w:p w14:paraId="76826CFA">
      <w:pPr>
        <w:pStyle w:val="12"/>
        <w:keepNext w:val="0"/>
        <w:keepLines w:val="0"/>
        <w:pageBreakBefore w:val="0"/>
        <w:numPr>
          <w:ilvl w:val="0"/>
          <w:numId w:val="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法人或者其他组织的营业执照等证明文件，自然人的身份证明；</w:t>
      </w:r>
    </w:p>
    <w:p w14:paraId="75085039">
      <w:pPr>
        <w:pStyle w:val="12"/>
        <w:keepNext w:val="0"/>
        <w:keepLines w:val="0"/>
        <w:pageBreakBefore w:val="0"/>
        <w:numPr>
          <w:ilvl w:val="0"/>
          <w:numId w:val="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上一年度的财务状况报告（成立不满一年无需提供）；</w:t>
      </w:r>
    </w:p>
    <w:p w14:paraId="0E347954">
      <w:pPr>
        <w:pStyle w:val="12"/>
        <w:keepNext w:val="0"/>
        <w:keepLines w:val="0"/>
        <w:pageBreakBefore w:val="0"/>
        <w:numPr>
          <w:ilvl w:val="0"/>
          <w:numId w:val="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具备履行合同所必需的设备和专业技术能力的书面声明；</w:t>
      </w:r>
    </w:p>
    <w:p w14:paraId="49A2B7C7">
      <w:pPr>
        <w:pStyle w:val="12"/>
        <w:keepNext w:val="0"/>
        <w:keepLines w:val="0"/>
        <w:pageBreakBefore w:val="0"/>
        <w:numPr>
          <w:ilvl w:val="0"/>
          <w:numId w:val="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依法缴纳税收和社会保障资金的相关材料（提供提交投标文件截止时间前一年内至少一个月依法缴纳税收及缴纳社会保障资金的证明材料。供应商依法享受缓缴、免缴税收、社会保障资金的提供证明材料。）；</w:t>
      </w:r>
    </w:p>
    <w:p w14:paraId="0069EFBF">
      <w:pPr>
        <w:pStyle w:val="12"/>
        <w:keepNext w:val="0"/>
        <w:keepLines w:val="0"/>
        <w:pageBreakBefore w:val="0"/>
        <w:numPr>
          <w:ilvl w:val="0"/>
          <w:numId w:val="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参加政府采购活动前3年内在经营活动中没有重大违法记录的书面声明。</w:t>
      </w:r>
    </w:p>
    <w:p w14:paraId="3D822F72">
      <w:pPr>
        <w:pStyle w:val="12"/>
        <w:keepNext w:val="0"/>
        <w:keepLines w:val="0"/>
        <w:pageBreakBefore w:val="0"/>
        <w:numPr>
          <w:ilvl w:val="0"/>
          <w:numId w:val="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法律、行政法规规定的其他条件。</w:t>
      </w:r>
    </w:p>
    <w:p w14:paraId="515CEBA2">
      <w:pPr>
        <w:pStyle w:val="12"/>
        <w:keepNext w:val="0"/>
        <w:keepLines w:val="0"/>
        <w:pageBreakBefore w:val="0"/>
        <w:numPr>
          <w:ilvl w:val="0"/>
          <w:numId w:val="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24A0E8EC">
      <w:pPr>
        <w:pStyle w:val="12"/>
        <w:keepNext w:val="0"/>
        <w:keepLines w:val="0"/>
        <w:pageBreakBefore w:val="0"/>
        <w:numPr>
          <w:ilvl w:val="0"/>
          <w:numId w:val="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单位负责人为同一人或者存在直接控股、管理关系的不同供应商，不得参加同一合同项下的政府采购活动。</w:t>
      </w:r>
    </w:p>
    <w:p w14:paraId="16A9A257">
      <w:pPr>
        <w:pStyle w:val="12"/>
        <w:keepNext w:val="0"/>
        <w:keepLines w:val="0"/>
        <w:pageBreakBefore w:val="0"/>
        <w:numPr>
          <w:ilvl w:val="0"/>
          <w:numId w:val="4"/>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落实政府采购政策需满足的资格要求：无。</w:t>
      </w:r>
    </w:p>
    <w:p w14:paraId="19D6257E">
      <w:pPr>
        <w:pStyle w:val="12"/>
        <w:keepNext w:val="0"/>
        <w:keepLines w:val="0"/>
        <w:pageBreakBefore w:val="0"/>
        <w:numPr>
          <w:ilvl w:val="0"/>
          <w:numId w:val="4"/>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本项目的特定资格要求：无。</w:t>
      </w:r>
    </w:p>
    <w:p w14:paraId="1D1BFFE3">
      <w:pPr>
        <w:pStyle w:val="2"/>
        <w:keepNext w:val="0"/>
        <w:keepLines w:val="0"/>
        <w:pageBreakBefore w:val="0"/>
        <w:numPr>
          <w:ilvl w:val="0"/>
          <w:numId w:val="2"/>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获取招标文件</w:t>
      </w:r>
    </w:p>
    <w:p w14:paraId="65427E54">
      <w:pPr>
        <w:pStyle w:val="12"/>
        <w:keepNext w:val="0"/>
        <w:keepLines w:val="0"/>
        <w:pageBreakBefore w:val="0"/>
        <w:widowControl/>
        <w:numPr>
          <w:ilvl w:val="0"/>
          <w:numId w:val="6"/>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bookmarkStart w:id="12" w:name="_Toc35393793"/>
      <w:bookmarkStart w:id="13" w:name="_Toc38985266"/>
      <w:bookmarkStart w:id="14" w:name="_Toc35393624"/>
      <w:bookmarkStart w:id="15" w:name="_Toc28359005"/>
      <w:bookmarkStart w:id="16" w:name="_Toc28359082"/>
      <w:r>
        <w:rPr>
          <w:rFonts w:hint="default" w:ascii="Times New Roman" w:hAnsi="Times New Roman" w:cs="Times New Roman"/>
          <w:color w:val="auto"/>
          <w:highlight w:val="none"/>
        </w:rPr>
        <w:t>时间：</w:t>
      </w:r>
      <w:bookmarkEnd w:id="12"/>
      <w:bookmarkEnd w:id="13"/>
      <w:bookmarkEnd w:id="14"/>
      <w:bookmarkEnd w:id="15"/>
      <w:bookmarkEnd w:id="16"/>
      <w:r>
        <w:rPr>
          <w:rFonts w:hint="default" w:ascii="Times New Roman" w:hAnsi="Times New Roman" w:cs="Times New Roman"/>
          <w:color w:val="auto"/>
          <w:highlight w:val="none"/>
        </w:rPr>
        <w:t>自招标文件公告发布之日起5个工作日</w:t>
      </w:r>
      <w:r>
        <w:rPr>
          <w:rFonts w:hint="default" w:ascii="Times New Roman" w:hAnsi="Times New Roman" w:cs="Times New Roman"/>
          <w:color w:val="auto"/>
          <w:highlight w:val="none"/>
        </w:rPr>
        <w:tab/>
      </w:r>
    </w:p>
    <w:p w14:paraId="516A3324">
      <w:pPr>
        <w:pStyle w:val="12"/>
        <w:keepNext w:val="0"/>
        <w:keepLines w:val="0"/>
        <w:pageBreakBefore w:val="0"/>
        <w:widowControl/>
        <w:numPr>
          <w:ilvl w:val="0"/>
          <w:numId w:val="6"/>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地点：“苏采云”系统内免费下载（投标人必须在苏采云系统中获取采购文件，方能参与政府采购项目）</w:t>
      </w:r>
    </w:p>
    <w:p w14:paraId="7282C23E">
      <w:pPr>
        <w:pStyle w:val="12"/>
        <w:keepNext w:val="0"/>
        <w:keepLines w:val="0"/>
        <w:pageBreakBefore w:val="0"/>
        <w:numPr>
          <w:ilvl w:val="0"/>
          <w:numId w:val="6"/>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方式：本项目采用网上注册登记方式</w:t>
      </w:r>
    </w:p>
    <w:p w14:paraId="1F44CE81">
      <w:pPr>
        <w:pStyle w:val="12"/>
        <w:keepNext w:val="0"/>
        <w:keepLines w:val="0"/>
        <w:pageBreakBefore w:val="0"/>
        <w:widowControl/>
        <w:numPr>
          <w:ilvl w:val="0"/>
          <w:numId w:val="6"/>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售价：0元</w:t>
      </w:r>
    </w:p>
    <w:p w14:paraId="3D6CB799">
      <w:pPr>
        <w:pStyle w:val="2"/>
        <w:keepNext w:val="0"/>
        <w:keepLines w:val="0"/>
        <w:pageBreakBefore w:val="0"/>
        <w:numPr>
          <w:ilvl w:val="0"/>
          <w:numId w:val="2"/>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提交投标文件截止时间、开标时间和地点</w:t>
      </w:r>
    </w:p>
    <w:p w14:paraId="63A0EA7C">
      <w:pPr>
        <w:pStyle w:val="12"/>
        <w:keepNext w:val="0"/>
        <w:keepLines w:val="0"/>
        <w:pageBreakBefore w:val="0"/>
        <w:widowControl/>
        <w:numPr>
          <w:ilvl w:val="0"/>
          <w:numId w:val="7"/>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时间：</w:t>
      </w:r>
      <w:r>
        <w:rPr>
          <w:rFonts w:hint="default" w:ascii="Times New Roman" w:hAnsi="Times New Roman" w:cs="Times New Roman"/>
          <w:color w:val="auto"/>
          <w:highlight w:val="none"/>
          <w:u w:val="single"/>
        </w:rPr>
        <w:t>2026年</w:t>
      </w:r>
      <w:r>
        <w:rPr>
          <w:rFonts w:hint="eastAsia" w:cs="Times New Roman"/>
          <w:color w:val="auto"/>
          <w:highlight w:val="none"/>
          <w:u w:val="single"/>
          <w:lang w:val="en-US" w:eastAsia="zh-CN"/>
        </w:rPr>
        <w:t>4</w:t>
      </w:r>
      <w:r>
        <w:rPr>
          <w:rFonts w:hint="default" w:ascii="Times New Roman" w:hAnsi="Times New Roman" w:cs="Times New Roman"/>
          <w:color w:val="auto"/>
          <w:highlight w:val="none"/>
          <w:u w:val="single"/>
        </w:rPr>
        <w:t>月</w:t>
      </w:r>
      <w:r>
        <w:rPr>
          <w:rFonts w:hint="eastAsia" w:cs="Times New Roman"/>
          <w:color w:val="auto"/>
          <w:highlight w:val="none"/>
          <w:u w:val="single"/>
          <w:lang w:val="en-US" w:eastAsia="zh-CN"/>
        </w:rPr>
        <w:t>13</w:t>
      </w:r>
      <w:r>
        <w:rPr>
          <w:rFonts w:hint="default" w:ascii="Times New Roman" w:hAnsi="Times New Roman" w:cs="Times New Roman"/>
          <w:color w:val="auto"/>
          <w:highlight w:val="none"/>
          <w:u w:val="single"/>
        </w:rPr>
        <w:t>日</w:t>
      </w:r>
      <w:r>
        <w:rPr>
          <w:rFonts w:hint="eastAsia" w:cs="Times New Roman"/>
          <w:color w:val="auto"/>
          <w:highlight w:val="none"/>
          <w:u w:val="single"/>
          <w:lang w:val="en-US" w:eastAsia="zh-CN"/>
        </w:rPr>
        <w:t>15</w:t>
      </w:r>
      <w:r>
        <w:rPr>
          <w:rFonts w:hint="default" w:ascii="Times New Roman" w:hAnsi="Times New Roman" w:cs="Times New Roman"/>
          <w:color w:val="auto"/>
          <w:highlight w:val="none"/>
          <w:u w:val="single"/>
        </w:rPr>
        <w:t>：00</w:t>
      </w:r>
      <w:r>
        <w:rPr>
          <w:rFonts w:hint="default" w:ascii="Times New Roman" w:hAnsi="Times New Roman" w:cs="Times New Roman"/>
          <w:color w:val="auto"/>
          <w:highlight w:val="none"/>
        </w:rPr>
        <w:t>（北京时间）。</w:t>
      </w:r>
    </w:p>
    <w:p w14:paraId="2669CFC9">
      <w:pPr>
        <w:pStyle w:val="12"/>
        <w:keepNext w:val="0"/>
        <w:keepLines w:val="0"/>
        <w:pageBreakBefore w:val="0"/>
        <w:numPr>
          <w:ilvl w:val="0"/>
          <w:numId w:val="7"/>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地点：苏采云“不见面”开标大厅。</w:t>
      </w:r>
    </w:p>
    <w:p w14:paraId="19AE73F0">
      <w:pPr>
        <w:pStyle w:val="2"/>
        <w:keepNext w:val="0"/>
        <w:keepLines w:val="0"/>
        <w:pageBreakBefore w:val="0"/>
        <w:numPr>
          <w:ilvl w:val="0"/>
          <w:numId w:val="2"/>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bookmarkStart w:id="17" w:name="_Toc38985267"/>
      <w:bookmarkStart w:id="18" w:name="_Toc28359084"/>
      <w:bookmarkStart w:id="19" w:name="_Toc35393794"/>
      <w:bookmarkStart w:id="20" w:name="_Toc28359007"/>
      <w:bookmarkStart w:id="21" w:name="_Toc35393625"/>
      <w:r>
        <w:rPr>
          <w:rFonts w:hint="default" w:ascii="Times New Roman" w:hAnsi="Times New Roman" w:cs="Times New Roman"/>
          <w:highlight w:val="none"/>
        </w:rPr>
        <w:t>公告期限</w:t>
      </w:r>
      <w:bookmarkEnd w:id="17"/>
      <w:bookmarkEnd w:id="18"/>
      <w:bookmarkEnd w:id="19"/>
      <w:bookmarkEnd w:id="20"/>
      <w:bookmarkEnd w:id="21"/>
    </w:p>
    <w:p w14:paraId="74B0E512">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bookmarkStart w:id="22" w:name="_Toc35393795"/>
      <w:bookmarkStart w:id="23" w:name="_Toc35393626"/>
      <w:bookmarkStart w:id="24" w:name="_Toc38985268"/>
      <w:r>
        <w:rPr>
          <w:rFonts w:hint="default" w:ascii="Times New Roman" w:hAnsi="Times New Roman" w:cs="Times New Roman"/>
          <w:color w:val="auto"/>
          <w:highlight w:val="none"/>
        </w:rPr>
        <w:t>自本公告发布之日起5个工作日。</w:t>
      </w:r>
      <w:bookmarkEnd w:id="22"/>
      <w:bookmarkEnd w:id="23"/>
      <w:bookmarkEnd w:id="24"/>
    </w:p>
    <w:p w14:paraId="3A96D6E7">
      <w:pPr>
        <w:pStyle w:val="2"/>
        <w:keepNext w:val="0"/>
        <w:keepLines w:val="0"/>
        <w:pageBreakBefore w:val="0"/>
        <w:numPr>
          <w:ilvl w:val="0"/>
          <w:numId w:val="2"/>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其他补充事宜</w:t>
      </w:r>
    </w:p>
    <w:p w14:paraId="2A0228E5">
      <w:pPr>
        <w:pStyle w:val="12"/>
        <w:keepNext w:val="0"/>
        <w:keepLines w:val="0"/>
        <w:pageBreakBefore w:val="0"/>
        <w:widowControl/>
        <w:numPr>
          <w:ilvl w:val="0"/>
          <w:numId w:val="8"/>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bookmarkStart w:id="25" w:name="_Toc28359018"/>
      <w:r>
        <w:rPr>
          <w:rFonts w:hint="default" w:ascii="Times New Roman" w:hAnsi="Times New Roman" w:cs="Times New Roman"/>
          <w:color w:val="auto"/>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7AC79F59">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63AE087B">
      <w:pPr>
        <w:pStyle w:val="12"/>
        <w:keepNext w:val="0"/>
        <w:keepLines w:val="0"/>
        <w:pageBreakBefore w:val="0"/>
        <w:widowControl/>
        <w:numPr>
          <w:ilvl w:val="0"/>
          <w:numId w:val="8"/>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 xml:space="preserve">潜在供应商访问电子招标响应交易平台的网络地址和方法： </w:t>
      </w:r>
    </w:p>
    <w:p w14:paraId="1F72AEBE">
      <w:pPr>
        <w:pStyle w:val="12"/>
        <w:keepNext w:val="0"/>
        <w:keepLines w:val="0"/>
        <w:pageBreakBefore w:val="0"/>
        <w:widowControl/>
        <w:numPr>
          <w:ilvl w:val="0"/>
          <w:numId w:val="9"/>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82FDDB1">
      <w:pPr>
        <w:pStyle w:val="12"/>
        <w:keepNext w:val="0"/>
        <w:keepLines w:val="0"/>
        <w:pageBreakBefore w:val="0"/>
        <w:widowControl/>
        <w:numPr>
          <w:ilvl w:val="0"/>
          <w:numId w:val="9"/>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 xml:space="preserve">潜在投标人访问“苏采云”系统方法：江苏政府采购网首页-“苏采云”链接。 </w:t>
      </w:r>
    </w:p>
    <w:p w14:paraId="187E1D99">
      <w:pPr>
        <w:pStyle w:val="12"/>
        <w:keepNext w:val="0"/>
        <w:keepLines w:val="0"/>
        <w:pageBreakBefore w:val="0"/>
        <w:widowControl/>
        <w:numPr>
          <w:ilvl w:val="0"/>
          <w:numId w:val="9"/>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 xml:space="preserve">采购文件（后缀名为“.kedt”）、供应商操作手册及政府采购客户端 工具可通过“苏采云”系统相应链接进行下载。 </w:t>
      </w:r>
    </w:p>
    <w:p w14:paraId="5BFFF7FA">
      <w:pPr>
        <w:pStyle w:val="12"/>
        <w:keepNext w:val="0"/>
        <w:keepLines w:val="0"/>
        <w:pageBreakBefore w:val="0"/>
        <w:widowControl/>
        <w:numPr>
          <w:ilvl w:val="0"/>
          <w:numId w:val="9"/>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 xml:space="preserve">采购代理机构将数据电文形式的采购文件加载至“苏采云”系统，供潜在供应商下载或者查阅。 </w:t>
      </w:r>
    </w:p>
    <w:p w14:paraId="499811E8">
      <w:pPr>
        <w:pStyle w:val="12"/>
        <w:keepNext w:val="0"/>
        <w:keepLines w:val="0"/>
        <w:pageBreakBefore w:val="0"/>
        <w:widowControl/>
        <w:numPr>
          <w:ilvl w:val="0"/>
          <w:numId w:val="9"/>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 xml:space="preserve">请潜在投标单位提前安装相应的控件（详见《“苏采云”系统供应商操作手册》）并使用谷歌浏览器登录“苏采云”系统参与不见面开评标。 </w:t>
      </w:r>
    </w:p>
    <w:p w14:paraId="15E142FD">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如潜在投标人未按上述要求操作，将自行承担所产生的风险。</w:t>
      </w:r>
    </w:p>
    <w:p w14:paraId="5A0DE2FC">
      <w:pPr>
        <w:pStyle w:val="12"/>
        <w:keepNext w:val="0"/>
        <w:keepLines w:val="0"/>
        <w:pageBreakBefore w:val="0"/>
        <w:widowControl/>
        <w:numPr>
          <w:ilvl w:val="0"/>
          <w:numId w:val="8"/>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有关本次招标的事项若存在变动或修改，敬请及时关注在“中国政府采购网”、“江苏政府采购网”、“盐城市政府采购网”发布的更正公告。</w:t>
      </w:r>
    </w:p>
    <w:p w14:paraId="6089D3DD">
      <w:pPr>
        <w:pStyle w:val="12"/>
        <w:keepNext w:val="0"/>
        <w:keepLines w:val="0"/>
        <w:pageBreakBefore w:val="0"/>
        <w:widowControl/>
        <w:numPr>
          <w:ilvl w:val="0"/>
          <w:numId w:val="8"/>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本次招标不收取投标保证金，不收取质量保证金。</w:t>
      </w:r>
    </w:p>
    <w:p w14:paraId="43638987">
      <w:pPr>
        <w:pStyle w:val="2"/>
        <w:keepNext w:val="0"/>
        <w:keepLines w:val="0"/>
        <w:pageBreakBefore w:val="0"/>
        <w:widowControl/>
        <w:numPr>
          <w:ilvl w:val="0"/>
          <w:numId w:val="2"/>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对本次招标提出询问，请按以下方式联系。</w:t>
      </w:r>
      <w:bookmarkEnd w:id="25"/>
    </w:p>
    <w:p w14:paraId="418BFAC0">
      <w:pPr>
        <w:pStyle w:val="3"/>
        <w:keepNext w:val="0"/>
        <w:keepLines w:val="0"/>
        <w:pageBreakBefore w:val="0"/>
        <w:widowControl/>
        <w:numPr>
          <w:ilvl w:val="0"/>
          <w:numId w:val="10"/>
        </w:numPr>
        <w:tabs>
          <w:tab w:val="left" w:pos="9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采购人信息</w:t>
      </w:r>
    </w:p>
    <w:p w14:paraId="630A6034">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bookmarkStart w:id="26" w:name="_Toc28359097"/>
      <w:bookmarkStart w:id="27" w:name="_Toc35393807"/>
      <w:bookmarkStart w:id="28" w:name="_Toc35393638"/>
      <w:bookmarkStart w:id="29" w:name="_Toc28359020"/>
      <w:r>
        <w:rPr>
          <w:rFonts w:hint="default" w:ascii="Times New Roman" w:hAnsi="Times New Roman" w:cs="Times New Roman"/>
          <w:color w:val="auto"/>
          <w:highlight w:val="none"/>
        </w:rPr>
        <w:t>名    称：盐城市盐都生态环境局</w:t>
      </w:r>
    </w:p>
    <w:p w14:paraId="2129D6D0">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地    址：盐城市东进路兆泉商务中心   </w:t>
      </w:r>
    </w:p>
    <w:p w14:paraId="59BC30A3">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联 系 人：王先生                             </w:t>
      </w:r>
    </w:p>
    <w:p w14:paraId="555DDCD3">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联系电话：18921827069</w:t>
      </w:r>
    </w:p>
    <w:p w14:paraId="09B6E052">
      <w:pPr>
        <w:pStyle w:val="3"/>
        <w:keepNext w:val="0"/>
        <w:keepLines w:val="0"/>
        <w:pageBreakBefore w:val="0"/>
        <w:widowControl/>
        <w:numPr>
          <w:ilvl w:val="0"/>
          <w:numId w:val="10"/>
        </w:numPr>
        <w:tabs>
          <w:tab w:val="left" w:pos="9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采购代理机构信息</w:t>
      </w:r>
      <w:bookmarkEnd w:id="26"/>
      <w:bookmarkEnd w:id="27"/>
      <w:bookmarkEnd w:id="28"/>
      <w:bookmarkEnd w:id="29"/>
    </w:p>
    <w:p w14:paraId="4DCBA276">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bookmarkStart w:id="30" w:name="_Toc35393808"/>
      <w:bookmarkStart w:id="31" w:name="_Toc28359098"/>
      <w:bookmarkStart w:id="32" w:name="_Toc35393639"/>
      <w:r>
        <w:rPr>
          <w:rFonts w:hint="default" w:ascii="Times New Roman" w:hAnsi="Times New Roman" w:cs="Times New Roman"/>
          <w:color w:val="auto"/>
          <w:highlight w:val="none"/>
        </w:rPr>
        <w:t>名    称：江苏瑞杰项目管理顾问有限公司</w:t>
      </w:r>
    </w:p>
    <w:p w14:paraId="11E28201">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地　　址：盐城市盐都区鹿鸣路金航财富大厦3A楼402室</w:t>
      </w:r>
    </w:p>
    <w:p w14:paraId="36ADB9CB">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联 系 人：万先生              </w:t>
      </w:r>
    </w:p>
    <w:p w14:paraId="1854F422">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联系电话：17751564941</w:t>
      </w:r>
    </w:p>
    <w:p w14:paraId="4C7EAB75">
      <w:pPr>
        <w:pStyle w:val="3"/>
        <w:keepNext w:val="0"/>
        <w:keepLines w:val="0"/>
        <w:pageBreakBefore w:val="0"/>
        <w:widowControl/>
        <w:numPr>
          <w:ilvl w:val="0"/>
          <w:numId w:val="10"/>
        </w:numPr>
        <w:tabs>
          <w:tab w:val="left" w:pos="9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项目联系方式</w:t>
      </w:r>
      <w:bookmarkEnd w:id="30"/>
      <w:bookmarkEnd w:id="31"/>
      <w:bookmarkEnd w:id="32"/>
    </w:p>
    <w:p w14:paraId="04721DEB">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联 系 人：万先生              </w:t>
      </w:r>
    </w:p>
    <w:p w14:paraId="5C52274C">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联系电话：17751564941 　　　　　　　　　　  </w:t>
      </w:r>
    </w:p>
    <w:p w14:paraId="7B2C3C2F">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黑体" w:cs="Times New Roman"/>
          <w:b/>
          <w:color w:val="auto"/>
          <w:sz w:val="44"/>
          <w:szCs w:val="44"/>
          <w:highlight w:val="none"/>
        </w:rPr>
      </w:pPr>
      <w:bookmarkStart w:id="33" w:name="_Toc120614211"/>
      <w:r>
        <w:rPr>
          <w:rFonts w:hint="default" w:ascii="Times New Roman" w:hAnsi="Times New Roman" w:eastAsia="黑体" w:cs="Times New Roman"/>
          <w:b/>
          <w:color w:val="auto"/>
          <w:sz w:val="44"/>
          <w:szCs w:val="44"/>
          <w:highlight w:val="none"/>
        </w:rPr>
        <w:br w:type="page"/>
      </w:r>
    </w:p>
    <w:bookmarkEnd w:id="33"/>
    <w:p w14:paraId="7344024E">
      <w:pPr>
        <w:pStyle w:val="49"/>
        <w:keepNext w:val="0"/>
        <w:keepLines w:val="0"/>
        <w:pageBreakBefore w:val="0"/>
        <w:numPr>
          <w:ilvl w:val="0"/>
          <w:numId w:val="1"/>
        </w:numPr>
        <w:tabs>
          <w:tab w:val="left" w:pos="1602"/>
          <w:tab w:val="clear" w:pos="210"/>
        </w:tabs>
        <w:kinsoku/>
        <w:wordWrap/>
        <w:overflowPunct/>
        <w:topLinePunct w:val="0"/>
        <w:autoSpaceDE/>
        <w:autoSpaceDN/>
        <w:bidi w:val="0"/>
        <w:adjustRightInd/>
        <w:snapToGrid/>
        <w:spacing w:before="0" w:beforeLines="0" w:after="0" w:line="360" w:lineRule="exact"/>
        <w:ind w:left="0" w:leftChars="0" w:firstLine="640" w:firstLineChars="200"/>
        <w:textAlignment w:val="auto"/>
        <w:outlineLvl w:val="0"/>
        <w:rPr>
          <w:rFonts w:hint="default" w:ascii="Times New Roman" w:hAnsi="Times New Roman" w:cs="Times New Roman"/>
          <w:highlight w:val="none"/>
        </w:rPr>
      </w:pPr>
      <w:bookmarkStart w:id="34" w:name="_Toc120614213"/>
      <w:bookmarkStart w:id="35" w:name="_Toc20823274"/>
      <w:bookmarkStart w:id="36" w:name="_Toc513029202"/>
      <w:bookmarkStart w:id="37" w:name="_Toc16938518"/>
      <w:r>
        <w:rPr>
          <w:rFonts w:hint="default" w:ascii="Times New Roman" w:hAnsi="Times New Roman" w:cs="Times New Roman"/>
          <w:highlight w:val="none"/>
        </w:rPr>
        <w:t>投标人须知</w:t>
      </w:r>
      <w:bookmarkEnd w:id="34"/>
      <w:bookmarkEnd w:id="35"/>
      <w:bookmarkEnd w:id="36"/>
      <w:bookmarkEnd w:id="37"/>
    </w:p>
    <w:p w14:paraId="33BDE369">
      <w:pPr>
        <w:pStyle w:val="2"/>
        <w:keepNext w:val="0"/>
        <w:keepLines w:val="0"/>
        <w:pageBreakBefore w:val="0"/>
        <w:numPr>
          <w:ilvl w:val="0"/>
          <w:numId w:val="1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bookmarkStart w:id="38" w:name="_Toc513029203"/>
      <w:bookmarkStart w:id="39" w:name="_Toc120614214"/>
      <w:bookmarkStart w:id="40" w:name="_Toc20823275"/>
      <w:bookmarkStart w:id="41" w:name="_Toc16938519"/>
      <w:r>
        <w:rPr>
          <w:rFonts w:hint="default" w:ascii="Times New Roman" w:hAnsi="Times New Roman" w:cs="Times New Roman"/>
          <w:highlight w:val="none"/>
        </w:rPr>
        <w:t>总则</w:t>
      </w:r>
      <w:bookmarkEnd w:id="38"/>
      <w:bookmarkEnd w:id="39"/>
      <w:bookmarkEnd w:id="40"/>
      <w:bookmarkEnd w:id="41"/>
    </w:p>
    <w:p w14:paraId="3C4D5C37">
      <w:pPr>
        <w:pStyle w:val="3"/>
        <w:keepNext w:val="0"/>
        <w:keepLines w:val="0"/>
        <w:pageBreakBefore w:val="0"/>
        <w:numPr>
          <w:ilvl w:val="0"/>
          <w:numId w:val="12"/>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42" w:name="_Toc20823276"/>
      <w:bookmarkStart w:id="43" w:name="_Toc458694821"/>
      <w:bookmarkStart w:id="44" w:name="_Toc513029204"/>
      <w:bookmarkStart w:id="45" w:name="_Hlt16619475"/>
      <w:r>
        <w:rPr>
          <w:rFonts w:hint="default" w:ascii="Times New Roman" w:hAnsi="Times New Roman" w:cs="Times New Roman"/>
          <w:highlight w:val="none"/>
        </w:rPr>
        <w:t>招标方式</w:t>
      </w:r>
      <w:bookmarkEnd w:id="42"/>
      <w:bookmarkEnd w:id="43"/>
      <w:bookmarkEnd w:id="44"/>
    </w:p>
    <w:p w14:paraId="3F82A092">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1.1本次招标采取公开招标方式，本招标文件仅适用于招标公告中所述项目。</w:t>
      </w:r>
    </w:p>
    <w:p w14:paraId="55830F2D">
      <w:pPr>
        <w:pStyle w:val="3"/>
        <w:keepNext w:val="0"/>
        <w:keepLines w:val="0"/>
        <w:pageBreakBefore w:val="0"/>
        <w:numPr>
          <w:ilvl w:val="0"/>
          <w:numId w:val="12"/>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46" w:name="_Toc513029205"/>
      <w:bookmarkStart w:id="47" w:name="_Toc16938521"/>
      <w:bookmarkStart w:id="48" w:name="_Toc20823277"/>
      <w:r>
        <w:rPr>
          <w:rFonts w:hint="default" w:ascii="Times New Roman" w:hAnsi="Times New Roman" w:cs="Times New Roman"/>
          <w:highlight w:val="none"/>
        </w:rPr>
        <w:t>合格的投标人</w:t>
      </w:r>
      <w:bookmarkEnd w:id="46"/>
      <w:bookmarkEnd w:id="47"/>
      <w:bookmarkEnd w:id="48"/>
    </w:p>
    <w:p w14:paraId="07966610">
      <w:pPr>
        <w:pStyle w:val="12"/>
        <w:keepNext w:val="0"/>
        <w:keepLines w:val="0"/>
        <w:pageBreakBefore w:val="0"/>
        <w:numPr>
          <w:ilvl w:val="0"/>
          <w:numId w:val="13"/>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满足招标公告中供应商的资格要求的规定。</w:t>
      </w:r>
    </w:p>
    <w:p w14:paraId="281BA281">
      <w:pPr>
        <w:pStyle w:val="12"/>
        <w:keepNext w:val="0"/>
        <w:keepLines w:val="0"/>
        <w:pageBreakBefore w:val="0"/>
        <w:numPr>
          <w:ilvl w:val="0"/>
          <w:numId w:val="13"/>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满足本文件实质性要求和条件的规定。</w:t>
      </w:r>
    </w:p>
    <w:p w14:paraId="363F291D">
      <w:pPr>
        <w:pStyle w:val="3"/>
        <w:keepNext w:val="0"/>
        <w:keepLines w:val="0"/>
        <w:pageBreakBefore w:val="0"/>
        <w:numPr>
          <w:ilvl w:val="0"/>
          <w:numId w:val="12"/>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49" w:name="_Toc513029206"/>
      <w:bookmarkStart w:id="50" w:name="_Toc16938522"/>
      <w:bookmarkStart w:id="51" w:name="_Toc20823278"/>
      <w:r>
        <w:rPr>
          <w:rFonts w:hint="default" w:ascii="Times New Roman" w:hAnsi="Times New Roman" w:cs="Times New Roman"/>
          <w:highlight w:val="none"/>
        </w:rPr>
        <w:t>适用法律</w:t>
      </w:r>
      <w:bookmarkEnd w:id="49"/>
      <w:bookmarkEnd w:id="50"/>
      <w:bookmarkEnd w:id="51"/>
      <w:r>
        <w:rPr>
          <w:rFonts w:hint="default" w:ascii="Times New Roman" w:hAnsi="Times New Roman" w:cs="Times New Roman"/>
          <w:highlight w:val="none"/>
        </w:rPr>
        <w:t>和标准</w:t>
      </w:r>
    </w:p>
    <w:p w14:paraId="446443C2">
      <w:pPr>
        <w:pStyle w:val="12"/>
        <w:keepNext w:val="0"/>
        <w:keepLines w:val="0"/>
        <w:pageBreakBefore w:val="0"/>
        <w:numPr>
          <w:ilvl w:val="0"/>
          <w:numId w:val="14"/>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本次招标及由此产生的合同受中华人民共和国有关的法律法规制约和保护。</w:t>
      </w:r>
    </w:p>
    <w:p w14:paraId="5548786A">
      <w:pPr>
        <w:pStyle w:val="12"/>
        <w:keepNext w:val="0"/>
        <w:keepLines w:val="0"/>
        <w:pageBreakBefore w:val="0"/>
        <w:numPr>
          <w:ilvl w:val="0"/>
          <w:numId w:val="14"/>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在本项目政府采购活动过程中，如果所执行的标准有更新的，按照最新标准执行。</w:t>
      </w:r>
    </w:p>
    <w:p w14:paraId="54260756">
      <w:pPr>
        <w:pStyle w:val="3"/>
        <w:keepNext w:val="0"/>
        <w:keepLines w:val="0"/>
        <w:pageBreakBefore w:val="0"/>
        <w:numPr>
          <w:ilvl w:val="0"/>
          <w:numId w:val="12"/>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52" w:name="_Toc513029207"/>
      <w:bookmarkStart w:id="53" w:name="_Toc20823279"/>
      <w:bookmarkStart w:id="54" w:name="_Toc462564067"/>
      <w:bookmarkStart w:id="55" w:name="_Toc16938523"/>
      <w:r>
        <w:rPr>
          <w:rFonts w:hint="default" w:ascii="Times New Roman" w:hAnsi="Times New Roman" w:cs="Times New Roman"/>
          <w:highlight w:val="none"/>
        </w:rPr>
        <w:t>投标费用</w:t>
      </w:r>
      <w:bookmarkEnd w:id="52"/>
      <w:bookmarkEnd w:id="53"/>
      <w:bookmarkEnd w:id="54"/>
      <w:bookmarkEnd w:id="55"/>
    </w:p>
    <w:p w14:paraId="357A6E5F">
      <w:pPr>
        <w:pStyle w:val="12"/>
        <w:keepNext w:val="0"/>
        <w:keepLines w:val="0"/>
        <w:pageBreakBefore w:val="0"/>
        <w:numPr>
          <w:ilvl w:val="0"/>
          <w:numId w:val="1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投标人应自行承担所有与参加投标有关的费用，无论投标过程中的做法和结果如何，采购人及采购代理机构在任何情况下均无义务和责任承担这些费用。</w:t>
      </w:r>
    </w:p>
    <w:p w14:paraId="7B637573">
      <w:pPr>
        <w:pStyle w:val="12"/>
        <w:keepNext w:val="0"/>
        <w:keepLines w:val="0"/>
        <w:pageBreakBefore w:val="0"/>
        <w:numPr>
          <w:ilvl w:val="0"/>
          <w:numId w:val="15"/>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项目中标单位在领取中标通知书前，须向采购代理机构江苏瑞杰项目管理顾问有限公司支付招标代理服务费，招标代理服务费按苏招协[2022]002文收费标准收取，上述费用由各投标人在投标时自行综合考虑分摊在投标报价中，且不得单列，采购人不再承担上述费用。</w:t>
      </w:r>
    </w:p>
    <w:p w14:paraId="7A81214C">
      <w:pPr>
        <w:pStyle w:val="3"/>
        <w:keepNext w:val="0"/>
        <w:keepLines w:val="0"/>
        <w:pageBreakBefore w:val="0"/>
        <w:numPr>
          <w:ilvl w:val="0"/>
          <w:numId w:val="12"/>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招标文件的约束力</w:t>
      </w:r>
    </w:p>
    <w:p w14:paraId="316F2B5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5.1投标人一旦参加本项目采购活动，即被认为接受了本招标文件的规定和约束。</w:t>
      </w:r>
    </w:p>
    <w:p w14:paraId="7B7A7C5D">
      <w:pPr>
        <w:pStyle w:val="2"/>
        <w:keepNext w:val="0"/>
        <w:keepLines w:val="0"/>
        <w:pageBreakBefore w:val="0"/>
        <w:numPr>
          <w:ilvl w:val="0"/>
          <w:numId w:val="1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bookmarkStart w:id="56" w:name="_Toc16938525"/>
      <w:bookmarkStart w:id="57" w:name="_Toc120614215"/>
      <w:bookmarkStart w:id="58" w:name="_Toc513029209"/>
      <w:bookmarkStart w:id="59" w:name="_Toc20823281"/>
      <w:r>
        <w:rPr>
          <w:rFonts w:hint="default" w:ascii="Times New Roman" w:hAnsi="Times New Roman" w:cs="Times New Roman"/>
          <w:highlight w:val="none"/>
        </w:rPr>
        <w:t>招标文件</w:t>
      </w:r>
      <w:bookmarkEnd w:id="56"/>
      <w:bookmarkEnd w:id="57"/>
      <w:bookmarkEnd w:id="58"/>
      <w:bookmarkEnd w:id="59"/>
    </w:p>
    <w:p w14:paraId="04AFF02B">
      <w:pPr>
        <w:pStyle w:val="3"/>
        <w:keepNext w:val="0"/>
        <w:keepLines w:val="0"/>
        <w:pageBreakBefore w:val="0"/>
        <w:numPr>
          <w:ilvl w:val="0"/>
          <w:numId w:val="16"/>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60" w:name="_Toc20823282"/>
      <w:bookmarkStart w:id="61" w:name="_Toc16938526"/>
      <w:bookmarkStart w:id="62" w:name="_Toc513029210"/>
      <w:r>
        <w:rPr>
          <w:rFonts w:hint="default" w:ascii="Times New Roman" w:hAnsi="Times New Roman" w:cs="Times New Roman"/>
          <w:highlight w:val="none"/>
        </w:rPr>
        <w:t>招标文件构成</w:t>
      </w:r>
      <w:bookmarkEnd w:id="60"/>
      <w:bookmarkEnd w:id="61"/>
      <w:bookmarkEnd w:id="62"/>
    </w:p>
    <w:p w14:paraId="1C88388A">
      <w:pPr>
        <w:pStyle w:val="12"/>
        <w:keepNext w:val="0"/>
        <w:keepLines w:val="0"/>
        <w:pageBreakBefore w:val="0"/>
        <w:numPr>
          <w:ilvl w:val="0"/>
          <w:numId w:val="17"/>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招标文件由以下部分组成：</w:t>
      </w:r>
    </w:p>
    <w:p w14:paraId="0518EC9E">
      <w:pPr>
        <w:pStyle w:val="12"/>
        <w:keepNext w:val="0"/>
        <w:keepLines w:val="0"/>
        <w:pageBreakBefore w:val="0"/>
        <w:numPr>
          <w:ilvl w:val="0"/>
          <w:numId w:val="1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招标公告</w:t>
      </w:r>
    </w:p>
    <w:p w14:paraId="21D9AB23">
      <w:pPr>
        <w:pStyle w:val="12"/>
        <w:keepNext w:val="0"/>
        <w:keepLines w:val="0"/>
        <w:pageBreakBefore w:val="0"/>
        <w:numPr>
          <w:ilvl w:val="0"/>
          <w:numId w:val="1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投标人须知</w:t>
      </w:r>
    </w:p>
    <w:p w14:paraId="3A737100">
      <w:pPr>
        <w:pStyle w:val="12"/>
        <w:keepNext w:val="0"/>
        <w:keepLines w:val="0"/>
        <w:pageBreakBefore w:val="0"/>
        <w:numPr>
          <w:ilvl w:val="0"/>
          <w:numId w:val="1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合同文本</w:t>
      </w:r>
    </w:p>
    <w:p w14:paraId="44CFD630">
      <w:pPr>
        <w:pStyle w:val="12"/>
        <w:keepNext w:val="0"/>
        <w:keepLines w:val="0"/>
        <w:pageBreakBefore w:val="0"/>
        <w:numPr>
          <w:ilvl w:val="0"/>
          <w:numId w:val="1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采购需求</w:t>
      </w:r>
    </w:p>
    <w:p w14:paraId="0A28BEB5">
      <w:pPr>
        <w:pStyle w:val="12"/>
        <w:keepNext w:val="0"/>
        <w:keepLines w:val="0"/>
        <w:pageBreakBefore w:val="0"/>
        <w:numPr>
          <w:ilvl w:val="0"/>
          <w:numId w:val="1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评标方法与评标标准</w:t>
      </w:r>
    </w:p>
    <w:p w14:paraId="5D212B63">
      <w:pPr>
        <w:pStyle w:val="12"/>
        <w:keepNext w:val="0"/>
        <w:keepLines w:val="0"/>
        <w:pageBreakBefore w:val="0"/>
        <w:numPr>
          <w:ilvl w:val="0"/>
          <w:numId w:val="1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投标文件格式</w:t>
      </w:r>
    </w:p>
    <w:p w14:paraId="0B02F5E3">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请仔细检查招标文件是否齐全，如有缺漏请立即与采购人联系解决。</w:t>
      </w:r>
    </w:p>
    <w:p w14:paraId="0CC06D21">
      <w:pPr>
        <w:pStyle w:val="12"/>
        <w:keepNext w:val="0"/>
        <w:keepLines w:val="0"/>
        <w:pageBreakBefore w:val="0"/>
        <w:numPr>
          <w:ilvl w:val="0"/>
          <w:numId w:val="17"/>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DABF19F">
      <w:pPr>
        <w:pStyle w:val="3"/>
        <w:keepNext w:val="0"/>
        <w:keepLines w:val="0"/>
        <w:pageBreakBefore w:val="0"/>
        <w:numPr>
          <w:ilvl w:val="0"/>
          <w:numId w:val="16"/>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63" w:name="_Toc462564070"/>
      <w:bookmarkStart w:id="64" w:name="_Toc513029211"/>
      <w:bookmarkStart w:id="65" w:name="_Toc20823283"/>
      <w:bookmarkStart w:id="66" w:name="_Toc16938527"/>
      <w:r>
        <w:rPr>
          <w:rFonts w:hint="default" w:ascii="Times New Roman" w:hAnsi="Times New Roman" w:cs="Times New Roman"/>
          <w:highlight w:val="none"/>
        </w:rPr>
        <w:t>招标文件的澄清</w:t>
      </w:r>
      <w:bookmarkEnd w:id="63"/>
      <w:bookmarkEnd w:id="64"/>
      <w:bookmarkEnd w:id="65"/>
      <w:bookmarkEnd w:id="66"/>
    </w:p>
    <w:p w14:paraId="081D060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7.1任何要求对招标文件进行澄清的投标人，应在投标截止期十日前按招标公告中的通讯地址，以书面形式通知采购人。</w:t>
      </w:r>
    </w:p>
    <w:p w14:paraId="3081BAF2">
      <w:pPr>
        <w:pStyle w:val="3"/>
        <w:keepNext w:val="0"/>
        <w:keepLines w:val="0"/>
        <w:pageBreakBefore w:val="0"/>
        <w:numPr>
          <w:ilvl w:val="0"/>
          <w:numId w:val="16"/>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67" w:name="_Toc462564071"/>
      <w:bookmarkStart w:id="68" w:name="_Toc20823284"/>
      <w:bookmarkStart w:id="69" w:name="_Toc16938528"/>
      <w:bookmarkStart w:id="70" w:name="_Toc513029212"/>
      <w:r>
        <w:rPr>
          <w:rFonts w:hint="default" w:ascii="Times New Roman" w:hAnsi="Times New Roman" w:cs="Times New Roman"/>
          <w:highlight w:val="none"/>
        </w:rPr>
        <w:t>招标文件的修改</w:t>
      </w:r>
      <w:bookmarkEnd w:id="67"/>
      <w:bookmarkEnd w:id="68"/>
      <w:bookmarkEnd w:id="69"/>
      <w:bookmarkEnd w:id="70"/>
    </w:p>
    <w:p w14:paraId="716506D7">
      <w:pPr>
        <w:pStyle w:val="12"/>
        <w:keepNext w:val="0"/>
        <w:keepLines w:val="0"/>
        <w:pageBreakBefore w:val="0"/>
        <w:numPr>
          <w:ilvl w:val="0"/>
          <w:numId w:val="19"/>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在投标截止时间前，采购人可以对招标文件进行修改。</w:t>
      </w:r>
    </w:p>
    <w:p w14:paraId="4EEC039D">
      <w:pPr>
        <w:pStyle w:val="12"/>
        <w:keepNext w:val="0"/>
        <w:keepLines w:val="0"/>
        <w:pageBreakBefore w:val="0"/>
        <w:numPr>
          <w:ilvl w:val="0"/>
          <w:numId w:val="19"/>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采购人和采购人有权按照法定的要求推迟投标截止日期和开标日期。</w:t>
      </w:r>
    </w:p>
    <w:p w14:paraId="1C15B86F">
      <w:pPr>
        <w:pStyle w:val="12"/>
        <w:keepNext w:val="0"/>
        <w:keepLines w:val="0"/>
        <w:pageBreakBefore w:val="0"/>
        <w:numPr>
          <w:ilvl w:val="0"/>
          <w:numId w:val="19"/>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招标文件的修改将在“中国政府采购网”、“江苏政府采购网”、“盐城市政府采购网”公布，补充文件将作为招标文件的组成部分，并对投标人具有约束力。</w:t>
      </w:r>
    </w:p>
    <w:p w14:paraId="020C4D57">
      <w:pPr>
        <w:pStyle w:val="2"/>
        <w:keepNext w:val="0"/>
        <w:keepLines w:val="0"/>
        <w:pageBreakBefore w:val="0"/>
        <w:numPr>
          <w:ilvl w:val="0"/>
          <w:numId w:val="1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bookmarkStart w:id="71" w:name="_Toc120614216"/>
      <w:bookmarkStart w:id="72" w:name="_Toc16938529"/>
      <w:bookmarkStart w:id="73" w:name="_Toc20823285"/>
      <w:bookmarkStart w:id="74" w:name="_Toc513029213"/>
      <w:bookmarkStart w:id="75" w:name="_Toc462564072"/>
      <w:r>
        <w:rPr>
          <w:rFonts w:hint="default" w:ascii="Times New Roman" w:hAnsi="Times New Roman" w:cs="Times New Roman"/>
          <w:highlight w:val="none"/>
        </w:rPr>
        <w:t>投标文件的编制</w:t>
      </w:r>
      <w:bookmarkEnd w:id="71"/>
      <w:bookmarkEnd w:id="72"/>
      <w:bookmarkEnd w:id="73"/>
      <w:bookmarkEnd w:id="74"/>
      <w:bookmarkEnd w:id="75"/>
    </w:p>
    <w:p w14:paraId="69819E50">
      <w:pPr>
        <w:pStyle w:val="3"/>
        <w:keepNext w:val="0"/>
        <w:keepLines w:val="0"/>
        <w:pageBreakBefore w:val="0"/>
        <w:numPr>
          <w:ilvl w:val="0"/>
          <w:numId w:val="2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76" w:name="_Toc20823286"/>
      <w:bookmarkStart w:id="77" w:name="_Toc513029214"/>
      <w:bookmarkStart w:id="78" w:name="_Toc462564073"/>
      <w:bookmarkStart w:id="79" w:name="_Toc16938530"/>
      <w:r>
        <w:rPr>
          <w:rFonts w:hint="default" w:ascii="Times New Roman" w:hAnsi="Times New Roman" w:cs="Times New Roman"/>
          <w:highlight w:val="none"/>
        </w:rPr>
        <w:t>投标文件的语言及度量衡单位</w:t>
      </w:r>
      <w:bookmarkEnd w:id="76"/>
      <w:bookmarkEnd w:id="77"/>
      <w:bookmarkEnd w:id="78"/>
      <w:bookmarkEnd w:id="79"/>
    </w:p>
    <w:p w14:paraId="679E6CC3">
      <w:pPr>
        <w:pStyle w:val="12"/>
        <w:keepNext w:val="0"/>
        <w:keepLines w:val="0"/>
        <w:pageBreakBefore w:val="0"/>
        <w:numPr>
          <w:ilvl w:val="0"/>
          <w:numId w:val="21"/>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投标人提交的投标文件以及投标人与采购人就有关投标的所有来往通知、函件和文件均应使用</w:t>
      </w:r>
      <w:r>
        <w:rPr>
          <w:rFonts w:hint="default" w:ascii="Times New Roman" w:hAnsi="Times New Roman" w:cs="Times New Roman"/>
          <w:b/>
          <w:color w:val="auto"/>
          <w:highlight w:val="none"/>
        </w:rPr>
        <w:t>简体中文</w:t>
      </w:r>
      <w:r>
        <w:rPr>
          <w:rFonts w:hint="default" w:ascii="Times New Roman" w:hAnsi="Times New Roman" w:cs="Times New Roman"/>
          <w:color w:val="auto"/>
          <w:highlight w:val="none"/>
        </w:rPr>
        <w:t>。</w:t>
      </w:r>
    </w:p>
    <w:p w14:paraId="50575ECF">
      <w:pPr>
        <w:pStyle w:val="12"/>
        <w:keepNext w:val="0"/>
        <w:keepLines w:val="0"/>
        <w:pageBreakBefore w:val="0"/>
        <w:numPr>
          <w:ilvl w:val="0"/>
          <w:numId w:val="21"/>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除技术性能另有规定外，投标文件所使用的度量衡单位，均须采用国家法定计量单位。</w:t>
      </w:r>
    </w:p>
    <w:p w14:paraId="288B8252">
      <w:pPr>
        <w:pStyle w:val="3"/>
        <w:keepNext w:val="0"/>
        <w:keepLines w:val="0"/>
        <w:pageBreakBefore w:val="0"/>
        <w:numPr>
          <w:ilvl w:val="0"/>
          <w:numId w:val="2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80" w:name="_Toc462564074"/>
      <w:bookmarkStart w:id="81" w:name="_Toc20823287"/>
      <w:bookmarkStart w:id="82" w:name="_Toc513029215"/>
      <w:bookmarkStart w:id="83" w:name="_Toc16938531"/>
      <w:r>
        <w:rPr>
          <w:rFonts w:hint="default" w:ascii="Times New Roman" w:hAnsi="Times New Roman" w:cs="Times New Roman"/>
          <w:highlight w:val="none"/>
        </w:rPr>
        <w:t>投标文件构成</w:t>
      </w:r>
      <w:bookmarkEnd w:id="80"/>
      <w:bookmarkEnd w:id="81"/>
      <w:bookmarkEnd w:id="82"/>
      <w:bookmarkEnd w:id="83"/>
    </w:p>
    <w:p w14:paraId="0E59CE41">
      <w:pPr>
        <w:pStyle w:val="12"/>
        <w:keepNext w:val="0"/>
        <w:keepLines w:val="0"/>
        <w:pageBreakBefore w:val="0"/>
        <w:numPr>
          <w:ilvl w:val="0"/>
          <w:numId w:val="22"/>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投标人编写的投标文件应包括资格证明文件、符合性证明文件、投标分项报价表、技术要求响应及偏离表、商务要求响应及偏离表、其他证明文件、投标函、开标一览表等部分。</w:t>
      </w:r>
    </w:p>
    <w:p w14:paraId="24A77A08">
      <w:pPr>
        <w:pStyle w:val="12"/>
        <w:keepNext w:val="0"/>
        <w:keepLines w:val="0"/>
        <w:pageBreakBefore w:val="0"/>
        <w:numPr>
          <w:ilvl w:val="0"/>
          <w:numId w:val="22"/>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如标书制作工具中格式和内容与“中国政府采购网”、“江苏政府采购网”、“盐城市政府采购网”发布的招标文件不一致，请以“中国政府采购网”、“江苏政府采购网”、“盐城市政府采购网”发布的招标文件为准。</w:t>
      </w:r>
    </w:p>
    <w:p w14:paraId="07EE72A7">
      <w:pPr>
        <w:pStyle w:val="3"/>
        <w:keepNext w:val="0"/>
        <w:keepLines w:val="0"/>
        <w:pageBreakBefore w:val="0"/>
        <w:numPr>
          <w:ilvl w:val="0"/>
          <w:numId w:val="2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84" w:name="_Toc513029216"/>
      <w:bookmarkStart w:id="85" w:name="_Toc513029219"/>
      <w:bookmarkStart w:id="86" w:name="_Toc14577357"/>
      <w:bookmarkStart w:id="87" w:name="_Toc14577354"/>
      <w:bookmarkStart w:id="88" w:name="_Toc49090509"/>
      <w:bookmarkStart w:id="89" w:name="_Toc49090507"/>
      <w:bookmarkStart w:id="90" w:name="_Hlt26668975"/>
      <w:bookmarkStart w:id="91" w:name="_Hlt26670360"/>
      <w:bookmarkStart w:id="92" w:name="_Hlt26954838"/>
      <w:r>
        <w:rPr>
          <w:rFonts w:hint="default" w:ascii="Times New Roman" w:hAnsi="Times New Roman" w:cs="Times New Roman"/>
          <w:highlight w:val="none"/>
        </w:rPr>
        <w:t>证明投标人及投标标的符合招标文件规定的文件</w:t>
      </w:r>
      <w:bookmarkEnd w:id="84"/>
      <w:bookmarkEnd w:id="85"/>
      <w:bookmarkEnd w:id="86"/>
      <w:bookmarkEnd w:id="87"/>
      <w:bookmarkEnd w:id="88"/>
      <w:bookmarkEnd w:id="89"/>
      <w:bookmarkStart w:id="93" w:name="_Toc14577355"/>
      <w:bookmarkStart w:id="94" w:name="_Toc49090508"/>
    </w:p>
    <w:p w14:paraId="03E87E6D">
      <w:pPr>
        <w:pStyle w:val="12"/>
        <w:keepNext w:val="0"/>
        <w:keepLines w:val="0"/>
        <w:pageBreakBefore w:val="0"/>
        <w:numPr>
          <w:ilvl w:val="0"/>
          <w:numId w:val="23"/>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投标人应按照法律、法规、规章和规范性文件以及招标文件要求提交证明文件，证明其及投标标的符合招标文件规定。</w:t>
      </w:r>
      <w:bookmarkEnd w:id="93"/>
      <w:bookmarkEnd w:id="94"/>
    </w:p>
    <w:p w14:paraId="75601E3F">
      <w:pPr>
        <w:pStyle w:val="12"/>
        <w:keepNext w:val="0"/>
        <w:keepLines w:val="0"/>
        <w:pageBreakBefore w:val="0"/>
        <w:numPr>
          <w:ilvl w:val="0"/>
          <w:numId w:val="23"/>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招标文件对证明文件无明确形式要求的，证明文件可以以文字资料、图纸和数据等形式提交。</w:t>
      </w:r>
    </w:p>
    <w:p w14:paraId="3F41F5BC">
      <w:pPr>
        <w:pStyle w:val="3"/>
        <w:keepNext w:val="0"/>
        <w:keepLines w:val="0"/>
        <w:pageBreakBefore w:val="0"/>
        <w:numPr>
          <w:ilvl w:val="0"/>
          <w:numId w:val="2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95" w:name="_Hlt26954731"/>
      <w:bookmarkStart w:id="96" w:name="_Hlt26670399"/>
      <w:bookmarkStart w:id="97" w:name="_Hlt26954840"/>
      <w:bookmarkStart w:id="98" w:name="_Hlt26954842"/>
      <w:bookmarkStart w:id="99" w:name="_Hlt26670373"/>
      <w:bookmarkStart w:id="100" w:name="_Hlt26668983"/>
      <w:bookmarkStart w:id="101" w:name="_Hlt26670425"/>
      <w:bookmarkStart w:id="102" w:name="_Hlt26670486"/>
      <w:bookmarkStart w:id="103" w:name="_Hlt26954844"/>
      <w:bookmarkStart w:id="104" w:name="_Hlt26954848"/>
      <w:bookmarkStart w:id="105" w:name="_Hlt26954846"/>
      <w:bookmarkStart w:id="106" w:name="_Hlt26670403"/>
      <w:bookmarkStart w:id="107" w:name="_Hlt26670482"/>
      <w:r>
        <w:rPr>
          <w:rFonts w:hint="default" w:ascii="Times New Roman" w:hAnsi="Times New Roman" w:cs="Times New Roman"/>
          <w:highlight w:val="none"/>
        </w:rPr>
        <w:t>投标分项报价表</w:t>
      </w:r>
    </w:p>
    <w:p w14:paraId="336B28D1">
      <w:pPr>
        <w:pStyle w:val="12"/>
        <w:keepNext w:val="0"/>
        <w:keepLines w:val="0"/>
        <w:pageBreakBefore w:val="0"/>
        <w:numPr>
          <w:ilvl w:val="0"/>
          <w:numId w:val="24"/>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投标人应按照招标文件规定格式填报投标分项报价表。</w:t>
      </w:r>
    </w:p>
    <w:p w14:paraId="571E01AD">
      <w:pPr>
        <w:pStyle w:val="12"/>
        <w:keepNext w:val="0"/>
        <w:keepLines w:val="0"/>
        <w:pageBreakBefore w:val="0"/>
        <w:numPr>
          <w:ilvl w:val="0"/>
          <w:numId w:val="24"/>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投标货币。投标文件中的单价和总价无特殊规定的采用人民币报价，以元为单位标注。招标文件中另有规定的按规定执行。</w:t>
      </w:r>
    </w:p>
    <w:p w14:paraId="5D7CD127">
      <w:pPr>
        <w:pStyle w:val="3"/>
        <w:keepNext w:val="0"/>
        <w:keepLines w:val="0"/>
        <w:pageBreakBefore w:val="0"/>
        <w:numPr>
          <w:ilvl w:val="0"/>
          <w:numId w:val="2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技术要求响应及偏离表、商务要求响应及偏离表</w:t>
      </w:r>
    </w:p>
    <w:p w14:paraId="5E8C995B">
      <w:pPr>
        <w:pStyle w:val="12"/>
        <w:keepNext w:val="0"/>
        <w:keepLines w:val="0"/>
        <w:pageBreakBefore w:val="0"/>
        <w:numPr>
          <w:ilvl w:val="0"/>
          <w:numId w:val="25"/>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投标人需对招标文件中的技术要求与商务要求逐项作出响应或偏离，并说明原因。</w:t>
      </w:r>
    </w:p>
    <w:p w14:paraId="07915A82">
      <w:pPr>
        <w:pStyle w:val="12"/>
        <w:keepNext w:val="0"/>
        <w:keepLines w:val="0"/>
        <w:pageBreakBefore w:val="0"/>
        <w:numPr>
          <w:ilvl w:val="0"/>
          <w:numId w:val="25"/>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投标人可在投标文件中提供认为需要的其他技术文件或说明。</w:t>
      </w:r>
    </w:p>
    <w:p w14:paraId="73CC70F0">
      <w:pPr>
        <w:pStyle w:val="3"/>
        <w:keepNext w:val="0"/>
        <w:keepLines w:val="0"/>
        <w:pageBreakBefore w:val="0"/>
        <w:numPr>
          <w:ilvl w:val="0"/>
          <w:numId w:val="2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108" w:name="_Toc49090510"/>
      <w:bookmarkStart w:id="109" w:name="_Toc14577359"/>
      <w:r>
        <w:rPr>
          <w:rFonts w:hint="default" w:ascii="Times New Roman" w:hAnsi="Times New Roman" w:cs="Times New Roman"/>
          <w:highlight w:val="none"/>
        </w:rPr>
        <w:t>投标函和开标一览表</w:t>
      </w:r>
      <w:bookmarkEnd w:id="108"/>
      <w:bookmarkEnd w:id="109"/>
    </w:p>
    <w:p w14:paraId="68D74A2A">
      <w:pPr>
        <w:pStyle w:val="12"/>
        <w:keepNext w:val="0"/>
        <w:keepLines w:val="0"/>
        <w:pageBreakBefore w:val="0"/>
        <w:numPr>
          <w:ilvl w:val="0"/>
          <w:numId w:val="2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投标人应按照招标文件中提供的格式完整、正确填写投标函、开标一览表。</w:t>
      </w:r>
    </w:p>
    <w:p w14:paraId="1F8279A8">
      <w:pPr>
        <w:pStyle w:val="12"/>
        <w:keepNext w:val="0"/>
        <w:keepLines w:val="0"/>
        <w:pageBreakBefore w:val="0"/>
        <w:numPr>
          <w:ilvl w:val="0"/>
          <w:numId w:val="2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对于采用货币报价的项目，开标一览表中的投标总报价应与投标分项报价表中的投标总报价一致，如不一致，不作为无效投标处理，但评标时按开标一览表中价格为准</w:t>
      </w:r>
      <w:r>
        <w:rPr>
          <w:rFonts w:hint="default" w:ascii="Times New Roman" w:hAnsi="Times New Roman" w:cs="Times New Roman"/>
          <w:b/>
          <w:color w:val="auto"/>
          <w:highlight w:val="none"/>
        </w:rPr>
        <w:t>。</w:t>
      </w:r>
    </w:p>
    <w:p w14:paraId="30206AB2">
      <w:pPr>
        <w:pStyle w:val="12"/>
        <w:keepNext w:val="0"/>
        <w:keepLines w:val="0"/>
        <w:pageBreakBefore w:val="0"/>
        <w:numPr>
          <w:ilvl w:val="0"/>
          <w:numId w:val="2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投标文件的大写金额和小写金额不一致的，以大写金额为准；对不同文字文本投标的解释发生异议的，以中文文本为准。</w:t>
      </w:r>
    </w:p>
    <w:p w14:paraId="1943CDD2">
      <w:pPr>
        <w:pStyle w:val="3"/>
        <w:keepNext w:val="0"/>
        <w:keepLines w:val="0"/>
        <w:pageBreakBefore w:val="0"/>
        <w:numPr>
          <w:ilvl w:val="0"/>
          <w:numId w:val="2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110" w:name="_Toc14577360"/>
      <w:bookmarkStart w:id="111" w:name="_Toc49090511"/>
      <w:bookmarkStart w:id="112" w:name="_Hlt26954734"/>
      <w:bookmarkStart w:id="113" w:name="_Hlt26954850"/>
      <w:bookmarkStart w:id="114" w:name="_Hlt26670489"/>
      <w:r>
        <w:rPr>
          <w:rFonts w:hint="default" w:ascii="Times New Roman" w:hAnsi="Times New Roman" w:cs="Times New Roman"/>
          <w:highlight w:val="none"/>
        </w:rPr>
        <w:t>投标有效期</w:t>
      </w:r>
      <w:bookmarkEnd w:id="110"/>
      <w:bookmarkEnd w:id="111"/>
    </w:p>
    <w:p w14:paraId="010ABC60">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15.1投标有效期为采购人规定的开标之日后</w:t>
      </w:r>
      <w:r>
        <w:rPr>
          <w:rFonts w:hint="default" w:ascii="Times New Roman" w:hAnsi="Times New Roman" w:cs="Times New Roman"/>
          <w:b/>
          <w:color w:val="auto"/>
          <w:highlight w:val="none"/>
          <w:u w:val="single"/>
        </w:rPr>
        <w:t>九十（90）天</w:t>
      </w:r>
      <w:r>
        <w:rPr>
          <w:rFonts w:hint="default" w:ascii="Times New Roman" w:hAnsi="Times New Roman" w:cs="Times New Roman"/>
          <w:color w:val="auto"/>
          <w:highlight w:val="none"/>
        </w:rPr>
        <w:t>。投标有效期比规定短的将被视为未实质性响应招标文件而予以拒绝。</w:t>
      </w:r>
    </w:p>
    <w:p w14:paraId="718CB72E">
      <w:pPr>
        <w:pStyle w:val="3"/>
        <w:keepNext w:val="0"/>
        <w:keepLines w:val="0"/>
        <w:pageBreakBefore w:val="0"/>
        <w:numPr>
          <w:ilvl w:val="0"/>
          <w:numId w:val="20"/>
        </w:numPr>
        <w:tabs>
          <w:tab w:val="left" w:pos="96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投标有效期的延长</w:t>
      </w:r>
    </w:p>
    <w:p w14:paraId="61234781">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1C4BEF23">
      <w:pPr>
        <w:pStyle w:val="2"/>
        <w:keepNext w:val="0"/>
        <w:keepLines w:val="0"/>
        <w:pageBreakBefore w:val="0"/>
        <w:numPr>
          <w:ilvl w:val="0"/>
          <w:numId w:val="1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bookmarkStart w:id="115" w:name="_Toc120614217"/>
      <w:bookmarkStart w:id="116" w:name="_Toc20823296"/>
      <w:bookmarkStart w:id="117" w:name="_Toc16938540"/>
      <w:bookmarkStart w:id="118" w:name="_Toc513029224"/>
      <w:bookmarkStart w:id="119" w:name="_Hlt26954739"/>
      <w:bookmarkStart w:id="120" w:name="_Hlt26954852"/>
      <w:r>
        <w:rPr>
          <w:rFonts w:hint="default" w:ascii="Times New Roman" w:hAnsi="Times New Roman" w:cs="Times New Roman"/>
          <w:highlight w:val="none"/>
        </w:rPr>
        <w:t>投标文件的递交</w:t>
      </w:r>
      <w:bookmarkEnd w:id="115"/>
      <w:bookmarkEnd w:id="116"/>
      <w:bookmarkEnd w:id="117"/>
      <w:bookmarkEnd w:id="118"/>
    </w:p>
    <w:p w14:paraId="67568B85">
      <w:pPr>
        <w:pStyle w:val="3"/>
        <w:keepNext w:val="0"/>
        <w:keepLines w:val="0"/>
        <w:pageBreakBefore w:val="0"/>
        <w:numPr>
          <w:ilvl w:val="0"/>
          <w:numId w:val="27"/>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121" w:name="_Toc20823297"/>
      <w:bookmarkStart w:id="122" w:name="_Toc16938541"/>
      <w:bookmarkStart w:id="123" w:name="_Toc462564084"/>
      <w:bookmarkStart w:id="124" w:name="_Toc513029225"/>
      <w:r>
        <w:rPr>
          <w:rFonts w:hint="default" w:ascii="Times New Roman" w:hAnsi="Times New Roman" w:cs="Times New Roman"/>
          <w:highlight w:val="none"/>
        </w:rPr>
        <w:t>投标文件</w:t>
      </w:r>
      <w:bookmarkEnd w:id="121"/>
      <w:bookmarkEnd w:id="122"/>
      <w:bookmarkEnd w:id="123"/>
      <w:bookmarkEnd w:id="124"/>
      <w:r>
        <w:rPr>
          <w:rFonts w:hint="default" w:ascii="Times New Roman" w:hAnsi="Times New Roman" w:cs="Times New Roman"/>
          <w:highlight w:val="none"/>
        </w:rPr>
        <w:t>的递交</w:t>
      </w:r>
    </w:p>
    <w:p w14:paraId="7915DE92">
      <w:pPr>
        <w:pStyle w:val="4"/>
        <w:keepNext w:val="0"/>
        <w:keepLines w:val="0"/>
        <w:pageBreakBefore w:val="0"/>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17.1 电子投标文件的递交</w:t>
      </w:r>
    </w:p>
    <w:p w14:paraId="023902F9">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投标人应当按照《操作手册》规定，在投标截止时间前制作并上传电子投标文件。</w:t>
      </w:r>
      <w:bookmarkStart w:id="125" w:name="_Toc20823298"/>
      <w:bookmarkEnd w:id="125"/>
      <w:bookmarkStart w:id="126" w:name="_Toc16938542"/>
      <w:bookmarkEnd w:id="126"/>
      <w:bookmarkStart w:id="127" w:name="_Toc513029226"/>
    </w:p>
    <w:p w14:paraId="648AD2A4">
      <w:pPr>
        <w:pStyle w:val="3"/>
        <w:keepNext w:val="0"/>
        <w:keepLines w:val="0"/>
        <w:pageBreakBefore w:val="0"/>
        <w:numPr>
          <w:ilvl w:val="0"/>
          <w:numId w:val="27"/>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投标截止时间</w:t>
      </w:r>
    </w:p>
    <w:p w14:paraId="7605FA52">
      <w:pPr>
        <w:pStyle w:val="12"/>
        <w:keepNext w:val="0"/>
        <w:keepLines w:val="0"/>
        <w:pageBreakBefore w:val="0"/>
        <w:numPr>
          <w:ilvl w:val="0"/>
          <w:numId w:val="28"/>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i/>
          <w:color w:val="auto"/>
          <w:highlight w:val="none"/>
          <w:u w:val="single"/>
        </w:rPr>
        <w:t>投标人上传电子投标文件的时间不得迟于招标公告中规定的投标截止时间。</w:t>
      </w:r>
    </w:p>
    <w:p w14:paraId="6C89E2A0">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投标人应充分考虑到网络环境、网络带宽等风险因素，如因投标人自身原因造成的电子投标文件上传不成功的按照本招标文件第二章第26.1.2条 规定做无效投标处理。</w:t>
      </w:r>
    </w:p>
    <w:p w14:paraId="6378A69C">
      <w:pPr>
        <w:pStyle w:val="12"/>
        <w:keepNext w:val="0"/>
        <w:keepLines w:val="0"/>
        <w:pageBreakBefore w:val="0"/>
        <w:numPr>
          <w:ilvl w:val="0"/>
          <w:numId w:val="28"/>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采购人可以按照规定，通过修改招标文件酌情延长投标截止时间，在此情况下，投标人的所有权利和义务以及投标人受制的截止时间均应以延长后新的截止时间为准。</w:t>
      </w:r>
    </w:p>
    <w:p w14:paraId="086AD317">
      <w:pPr>
        <w:pStyle w:val="3"/>
        <w:keepNext w:val="0"/>
        <w:keepLines w:val="0"/>
        <w:pageBreakBefore w:val="0"/>
        <w:numPr>
          <w:ilvl w:val="0"/>
          <w:numId w:val="27"/>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128" w:name="_Toc16938543"/>
      <w:bookmarkStart w:id="129" w:name="_Toc20823299"/>
      <w:bookmarkStart w:id="130" w:name="_Toc513029227"/>
      <w:r>
        <w:rPr>
          <w:rFonts w:hint="default" w:ascii="Times New Roman" w:hAnsi="Times New Roman" w:cs="Times New Roman"/>
          <w:highlight w:val="none"/>
        </w:rPr>
        <w:t>投标文件</w:t>
      </w:r>
      <w:bookmarkEnd w:id="128"/>
      <w:bookmarkEnd w:id="129"/>
      <w:bookmarkEnd w:id="130"/>
      <w:r>
        <w:rPr>
          <w:rFonts w:hint="default" w:ascii="Times New Roman" w:hAnsi="Times New Roman" w:cs="Times New Roman"/>
          <w:highlight w:val="none"/>
        </w:rPr>
        <w:t>的拒收</w:t>
      </w:r>
    </w:p>
    <w:p w14:paraId="12CC26C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19.1采购人拒绝接收在其规定的投标截止时间后上传的任何投标文件。</w:t>
      </w:r>
    </w:p>
    <w:p w14:paraId="3A0A32B5">
      <w:pPr>
        <w:pStyle w:val="3"/>
        <w:keepNext w:val="0"/>
        <w:keepLines w:val="0"/>
        <w:pageBreakBefore w:val="0"/>
        <w:numPr>
          <w:ilvl w:val="0"/>
          <w:numId w:val="27"/>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131" w:name="_Toc513029228"/>
      <w:bookmarkStart w:id="132" w:name="_Toc20823300"/>
      <w:bookmarkStart w:id="133" w:name="_Toc16938544"/>
      <w:r>
        <w:rPr>
          <w:rFonts w:hint="default" w:ascii="Times New Roman" w:hAnsi="Times New Roman" w:cs="Times New Roman"/>
          <w:highlight w:val="none"/>
        </w:rPr>
        <w:t>投标文件的撤回和修改</w:t>
      </w:r>
      <w:bookmarkEnd w:id="131"/>
      <w:bookmarkEnd w:id="132"/>
      <w:bookmarkEnd w:id="133"/>
    </w:p>
    <w:p w14:paraId="37A21091">
      <w:pPr>
        <w:pStyle w:val="4"/>
        <w:keepNext w:val="0"/>
        <w:keepLines w:val="0"/>
        <w:pageBreakBefore w:val="0"/>
        <w:numPr>
          <w:ilvl w:val="0"/>
          <w:numId w:val="29"/>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投标文件的撤回</w:t>
      </w:r>
    </w:p>
    <w:p w14:paraId="046A27C5">
      <w:pPr>
        <w:pStyle w:val="5"/>
        <w:keepNext w:val="0"/>
        <w:keepLines w:val="0"/>
        <w:pageBreakBefore w:val="0"/>
        <w:numPr>
          <w:ilvl w:val="0"/>
          <w:numId w:val="30"/>
        </w:numPr>
        <w:tabs>
          <w:tab w:val="left" w:pos="12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电子投标文件的撤回</w:t>
      </w:r>
    </w:p>
    <w:p w14:paraId="1AD00AE5">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投标人可在投标截止时间前，撤回其电子投标文件，具体操作方法见《操作手册》。</w:t>
      </w:r>
    </w:p>
    <w:p w14:paraId="5136BA0E">
      <w:pPr>
        <w:pStyle w:val="5"/>
        <w:keepNext w:val="0"/>
        <w:keepLines w:val="0"/>
        <w:pageBreakBefore w:val="0"/>
        <w:numPr>
          <w:ilvl w:val="0"/>
          <w:numId w:val="30"/>
        </w:numPr>
        <w:tabs>
          <w:tab w:val="left" w:pos="12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投标人撤回电子投标文件，则认为其不再参与本项目投标活动。</w:t>
      </w:r>
    </w:p>
    <w:p w14:paraId="6CE6F6E9">
      <w:pPr>
        <w:pStyle w:val="4"/>
        <w:keepNext w:val="0"/>
        <w:keepLines w:val="0"/>
        <w:pageBreakBefore w:val="0"/>
        <w:numPr>
          <w:ilvl w:val="0"/>
          <w:numId w:val="29"/>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投标文件的修改</w:t>
      </w:r>
    </w:p>
    <w:p w14:paraId="069523E1">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投标人可在投标截止时间前，对其电子投标文件进行修改，具体操作方法见《操作手册》。</w:t>
      </w:r>
    </w:p>
    <w:p w14:paraId="0F87E2D5">
      <w:pPr>
        <w:pStyle w:val="12"/>
        <w:keepNext w:val="0"/>
        <w:keepLines w:val="0"/>
        <w:pageBreakBefore w:val="0"/>
        <w:numPr>
          <w:ilvl w:val="0"/>
          <w:numId w:val="3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在投标截止时间之后，投标人不得对其电子投标文件作任何修改。</w:t>
      </w:r>
    </w:p>
    <w:p w14:paraId="00707CC7">
      <w:pPr>
        <w:pStyle w:val="4"/>
        <w:keepNext w:val="0"/>
        <w:keepLines w:val="0"/>
        <w:pageBreakBefore w:val="0"/>
        <w:numPr>
          <w:ilvl w:val="0"/>
          <w:numId w:val="29"/>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在投标截止时间至招标文件中规定的投标有效期满之间的这段时间内，投标人不得撤回其投标。</w:t>
      </w:r>
    </w:p>
    <w:p w14:paraId="4871AB86">
      <w:pPr>
        <w:pStyle w:val="2"/>
        <w:keepNext w:val="0"/>
        <w:keepLines w:val="0"/>
        <w:pageBreakBefore w:val="0"/>
        <w:numPr>
          <w:ilvl w:val="0"/>
          <w:numId w:val="1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bookmarkStart w:id="134" w:name="_Toc120614218"/>
      <w:bookmarkStart w:id="135" w:name="_Toc513029229"/>
      <w:bookmarkStart w:id="136" w:name="_Toc16938545"/>
      <w:bookmarkStart w:id="137" w:name="_Toc20823301"/>
      <w:r>
        <w:rPr>
          <w:rFonts w:hint="default" w:ascii="Times New Roman" w:hAnsi="Times New Roman" w:cs="Times New Roman"/>
          <w:highlight w:val="none"/>
        </w:rPr>
        <w:t>开标与评标</w:t>
      </w:r>
      <w:bookmarkEnd w:id="134"/>
      <w:bookmarkEnd w:id="135"/>
      <w:bookmarkEnd w:id="136"/>
      <w:bookmarkEnd w:id="137"/>
    </w:p>
    <w:p w14:paraId="3B0D84FD">
      <w:pPr>
        <w:pStyle w:val="3"/>
        <w:keepNext w:val="0"/>
        <w:keepLines w:val="0"/>
        <w:pageBreakBefore w:val="0"/>
        <w:numPr>
          <w:ilvl w:val="0"/>
          <w:numId w:val="32"/>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138" w:name="_Toc16938546"/>
      <w:bookmarkStart w:id="139" w:name="_Toc513029230"/>
      <w:bookmarkStart w:id="140" w:name="_Toc20823302"/>
      <w:r>
        <w:rPr>
          <w:rFonts w:hint="default" w:ascii="Times New Roman" w:hAnsi="Times New Roman" w:cs="Times New Roman"/>
          <w:highlight w:val="none"/>
        </w:rPr>
        <w:t>开标</w:t>
      </w:r>
      <w:bookmarkEnd w:id="138"/>
      <w:bookmarkEnd w:id="139"/>
      <w:bookmarkEnd w:id="140"/>
    </w:p>
    <w:p w14:paraId="751C61E6">
      <w:pPr>
        <w:pStyle w:val="12"/>
        <w:keepNext w:val="0"/>
        <w:keepLines w:val="0"/>
        <w:pageBreakBefore w:val="0"/>
        <w:numPr>
          <w:ilvl w:val="0"/>
          <w:numId w:val="33"/>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采购人将在招标公告中规定的时间和地点组织公开开标。投标人应当按照《操作手册》规定，参加开标活动和在苏采云系统规定的时间内对投标文件进行解密。</w:t>
      </w:r>
    </w:p>
    <w:p w14:paraId="3ACAAC0F">
      <w:pPr>
        <w:pStyle w:val="12"/>
        <w:keepNext w:val="0"/>
        <w:keepLines w:val="0"/>
        <w:pageBreakBefore w:val="0"/>
        <w:numPr>
          <w:ilvl w:val="0"/>
          <w:numId w:val="33"/>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开标仪式由采购人组织。苏采云系统将自动对项目进行开标，并宣布各投标人名称和投标价格。</w:t>
      </w:r>
    </w:p>
    <w:p w14:paraId="06CDE465">
      <w:pPr>
        <w:pStyle w:val="12"/>
        <w:keepNext w:val="0"/>
        <w:keepLines w:val="0"/>
        <w:pageBreakBefore w:val="0"/>
        <w:numPr>
          <w:ilvl w:val="0"/>
          <w:numId w:val="33"/>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投标人在开标过程中涉及到的投标文件解密、开标结果确认等工作，应按照《操作手册》规定执行。</w:t>
      </w:r>
    </w:p>
    <w:p w14:paraId="3904EE24">
      <w:pPr>
        <w:pStyle w:val="12"/>
        <w:keepNext w:val="0"/>
        <w:keepLines w:val="0"/>
        <w:pageBreakBefore w:val="0"/>
        <w:numPr>
          <w:ilvl w:val="0"/>
          <w:numId w:val="33"/>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投标人如果对开标过程和开标记录有疑义，应当根据《操作手册》规定提出，如苏采云系统中《开标记录表》宣布后5分钟内未提出的，视同认可开标结果。</w:t>
      </w:r>
    </w:p>
    <w:p w14:paraId="04E7A4E6">
      <w:pPr>
        <w:pStyle w:val="3"/>
        <w:keepNext w:val="0"/>
        <w:keepLines w:val="0"/>
        <w:pageBreakBefore w:val="0"/>
        <w:numPr>
          <w:ilvl w:val="0"/>
          <w:numId w:val="32"/>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141" w:name="_Toc513029231"/>
      <w:bookmarkStart w:id="142" w:name="_Toc16938547"/>
      <w:bookmarkStart w:id="143" w:name="_Toc20823303"/>
      <w:r>
        <w:rPr>
          <w:rFonts w:hint="default" w:ascii="Times New Roman" w:hAnsi="Times New Roman" w:cs="Times New Roman"/>
          <w:highlight w:val="none"/>
        </w:rPr>
        <w:t>评标委员会</w:t>
      </w:r>
      <w:bookmarkEnd w:id="141"/>
      <w:bookmarkEnd w:id="142"/>
      <w:bookmarkEnd w:id="143"/>
    </w:p>
    <w:p w14:paraId="0E4E74F3">
      <w:pPr>
        <w:pStyle w:val="12"/>
        <w:keepNext w:val="0"/>
        <w:keepLines w:val="0"/>
        <w:pageBreakBefore w:val="0"/>
        <w:numPr>
          <w:ilvl w:val="0"/>
          <w:numId w:val="34"/>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开标后，采购人将立即组织评标委员会（以下简称评委会）进行评标。</w:t>
      </w:r>
    </w:p>
    <w:p w14:paraId="7CB92A1E">
      <w:pPr>
        <w:pStyle w:val="12"/>
        <w:keepNext w:val="0"/>
        <w:keepLines w:val="0"/>
        <w:pageBreakBefore w:val="0"/>
        <w:numPr>
          <w:ilvl w:val="0"/>
          <w:numId w:val="34"/>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评委会由采购人代表和有关技术、经济等方面的专家组成，且人员构成符合政府采购有关规定。</w:t>
      </w:r>
    </w:p>
    <w:p w14:paraId="783FD103">
      <w:pPr>
        <w:pStyle w:val="12"/>
        <w:keepNext w:val="0"/>
        <w:keepLines w:val="0"/>
        <w:pageBreakBefore w:val="0"/>
        <w:numPr>
          <w:ilvl w:val="0"/>
          <w:numId w:val="34"/>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评委会独立工作，负责评审所有投标文件并确定中标候选人。</w:t>
      </w:r>
    </w:p>
    <w:p w14:paraId="76875FDB">
      <w:pPr>
        <w:pStyle w:val="3"/>
        <w:keepNext w:val="0"/>
        <w:keepLines w:val="0"/>
        <w:pageBreakBefore w:val="0"/>
        <w:numPr>
          <w:ilvl w:val="0"/>
          <w:numId w:val="32"/>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评标过程的保密与公正</w:t>
      </w:r>
    </w:p>
    <w:p w14:paraId="2FD27581">
      <w:pPr>
        <w:pStyle w:val="12"/>
        <w:keepNext w:val="0"/>
        <w:keepLines w:val="0"/>
        <w:pageBreakBefore w:val="0"/>
        <w:numPr>
          <w:ilvl w:val="0"/>
          <w:numId w:val="35"/>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凡是与审查、澄清、评价和比较投标的有关资料以及授标建议等，采购人、评委、采购人均不得向投标人或与评标无关的其他人员透露。</w:t>
      </w:r>
    </w:p>
    <w:p w14:paraId="07050776">
      <w:pPr>
        <w:pStyle w:val="12"/>
        <w:keepNext w:val="0"/>
        <w:keepLines w:val="0"/>
        <w:pageBreakBefore w:val="0"/>
        <w:numPr>
          <w:ilvl w:val="0"/>
          <w:numId w:val="35"/>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在评标过程中，投标人不得以任何行为影响评标过程，否则其投标文件将被作为无效投标文件。</w:t>
      </w:r>
    </w:p>
    <w:p w14:paraId="13B2E980">
      <w:pPr>
        <w:pStyle w:val="12"/>
        <w:keepNext w:val="0"/>
        <w:keepLines w:val="0"/>
        <w:pageBreakBefore w:val="0"/>
        <w:numPr>
          <w:ilvl w:val="0"/>
          <w:numId w:val="35"/>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采购人和评标委员会不向未中标的投标人解释未中标原因，也不公布评标过程中的相关细节。</w:t>
      </w:r>
    </w:p>
    <w:p w14:paraId="42A2E257">
      <w:pPr>
        <w:pStyle w:val="12"/>
        <w:keepNext w:val="0"/>
        <w:keepLines w:val="0"/>
        <w:pageBreakBefore w:val="0"/>
        <w:numPr>
          <w:ilvl w:val="0"/>
          <w:numId w:val="35"/>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采用综合评分法的项目，未中标的投标人可于中标结果公告期限届满之日起通过苏采云系统查看自己的评审得分及排序情况。</w:t>
      </w:r>
    </w:p>
    <w:p w14:paraId="70EDAD8F">
      <w:pPr>
        <w:pStyle w:val="3"/>
        <w:keepNext w:val="0"/>
        <w:keepLines w:val="0"/>
        <w:pageBreakBefore w:val="0"/>
        <w:numPr>
          <w:ilvl w:val="0"/>
          <w:numId w:val="32"/>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144" w:name="_Toc16938548"/>
      <w:bookmarkStart w:id="145" w:name="_Toc20823304"/>
      <w:bookmarkStart w:id="146" w:name="_Toc513029232"/>
      <w:r>
        <w:rPr>
          <w:rFonts w:hint="default" w:ascii="Times New Roman" w:hAnsi="Times New Roman" w:cs="Times New Roman"/>
          <w:highlight w:val="none"/>
        </w:rPr>
        <w:t>投标文件的澄清</w:t>
      </w:r>
      <w:bookmarkEnd w:id="144"/>
      <w:bookmarkEnd w:id="145"/>
      <w:bookmarkEnd w:id="146"/>
    </w:p>
    <w:p w14:paraId="3A6FB9E4">
      <w:pPr>
        <w:pStyle w:val="12"/>
        <w:keepNext w:val="0"/>
        <w:keepLines w:val="0"/>
        <w:pageBreakBefore w:val="0"/>
        <w:numPr>
          <w:ilvl w:val="0"/>
          <w:numId w:val="3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评标期间，评委会对投标文件中含义不明确、同类问题表述不一致或者有明显文字和计算错误的内容 ，有权要求投标人作出必要的澄清、说明或者补正。</w:t>
      </w:r>
    </w:p>
    <w:p w14:paraId="1F1F50F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投标人的澄清、说明或者补正不得超出投标文件的范围或者改变投标文件的实质性内容。</w:t>
      </w:r>
    </w:p>
    <w:p w14:paraId="69B0E23F">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评标委员会并非对每个投标人都做澄清要求。</w:t>
      </w:r>
    </w:p>
    <w:p w14:paraId="0DD754C9">
      <w:pPr>
        <w:pStyle w:val="12"/>
        <w:keepNext w:val="0"/>
        <w:keepLines w:val="0"/>
        <w:pageBreakBefore w:val="0"/>
        <w:numPr>
          <w:ilvl w:val="0"/>
          <w:numId w:val="3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E2659EA">
      <w:pPr>
        <w:pStyle w:val="12"/>
        <w:keepNext w:val="0"/>
        <w:keepLines w:val="0"/>
        <w:pageBreakBefore w:val="0"/>
        <w:numPr>
          <w:ilvl w:val="0"/>
          <w:numId w:val="3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接到评委会澄清、说明和补正要求的投标人如未按规定做出澄清、说明和补正，其风险由投标人自行承担。</w:t>
      </w:r>
    </w:p>
    <w:p w14:paraId="06D061FF">
      <w:pPr>
        <w:pStyle w:val="3"/>
        <w:keepNext w:val="0"/>
        <w:keepLines w:val="0"/>
        <w:pageBreakBefore w:val="0"/>
        <w:numPr>
          <w:ilvl w:val="0"/>
          <w:numId w:val="32"/>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147" w:name="_Toc20823305"/>
      <w:bookmarkStart w:id="148" w:name="_Toc16938549"/>
      <w:bookmarkStart w:id="149" w:name="_Toc513029233"/>
      <w:r>
        <w:rPr>
          <w:rFonts w:hint="default" w:ascii="Times New Roman" w:hAnsi="Times New Roman" w:cs="Times New Roman"/>
          <w:highlight w:val="none"/>
        </w:rPr>
        <w:t>对投标文件的初审</w:t>
      </w:r>
      <w:bookmarkEnd w:id="147"/>
      <w:bookmarkEnd w:id="148"/>
      <w:bookmarkEnd w:id="149"/>
    </w:p>
    <w:p w14:paraId="3D1D4D7F">
      <w:pPr>
        <w:pStyle w:val="12"/>
        <w:keepNext w:val="0"/>
        <w:keepLines w:val="0"/>
        <w:pageBreakBefore w:val="0"/>
        <w:numPr>
          <w:ilvl w:val="0"/>
          <w:numId w:val="3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投标文件初审分为资格审查和符合性审查。</w:t>
      </w:r>
    </w:p>
    <w:p w14:paraId="4285F95E">
      <w:pPr>
        <w:pStyle w:val="12"/>
        <w:keepNext w:val="0"/>
        <w:keepLines w:val="0"/>
        <w:pageBreakBefore w:val="0"/>
        <w:numPr>
          <w:ilvl w:val="0"/>
          <w:numId w:val="3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资格审查：依据法律法规和招标文件的规定，由采购人对投标文件中的资格证明文件进行审查。资格审查的结论，采购人以书面形式向评委会进行反馈。</w:t>
      </w:r>
    </w:p>
    <w:p w14:paraId="27A7F73B">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采购人在进行资格性审查的同时，将在“信用中国”网站（www.creditchina.gov.cn）查询投标人的信用记录，以确定投标人是否具备投标资格,查询结果留存并归档。</w:t>
      </w:r>
    </w:p>
    <w:p w14:paraId="55F5404B">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3BD4E4EE">
      <w:pPr>
        <w:pStyle w:val="12"/>
        <w:keepNext w:val="0"/>
        <w:keepLines w:val="0"/>
        <w:pageBreakBefore w:val="0"/>
        <w:numPr>
          <w:ilvl w:val="0"/>
          <w:numId w:val="3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符合性审查：依据招标文件的规定，由评委会从投标文件的有效性、完整性和对招标文件的响应程度进行审查，以确定是否对招标文件的实质性要求作出响应。</w:t>
      </w:r>
    </w:p>
    <w:p w14:paraId="32B0F935">
      <w:pPr>
        <w:pStyle w:val="12"/>
        <w:keepNext w:val="0"/>
        <w:keepLines w:val="0"/>
        <w:pageBreakBefore w:val="0"/>
        <w:numPr>
          <w:ilvl w:val="0"/>
          <w:numId w:val="3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未通过资格审查或符合性审查的投标人，采购人将在苏采云系统中告知未通过资格审查或符合性审查的原因，评标结束后，采购人将不再告知未通过资格审查和符合性审查的原因。</w:t>
      </w:r>
    </w:p>
    <w:p w14:paraId="523A452A">
      <w:pPr>
        <w:pStyle w:val="12"/>
        <w:keepNext w:val="0"/>
        <w:keepLines w:val="0"/>
        <w:pageBreakBefore w:val="0"/>
        <w:numPr>
          <w:ilvl w:val="0"/>
          <w:numId w:val="3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0E37438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21A0A5E">
      <w:pPr>
        <w:pStyle w:val="12"/>
        <w:keepNext w:val="0"/>
        <w:keepLines w:val="0"/>
        <w:pageBreakBefore w:val="0"/>
        <w:numPr>
          <w:ilvl w:val="0"/>
          <w:numId w:val="3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如果投标文件实质上没有响应招标文件的要求，评委会将予以拒绝，投标人不得通过修改或撤销不符合要求的偏离或保留而使其投标成为实质性响应的投标。</w:t>
      </w:r>
    </w:p>
    <w:p w14:paraId="493DE38B">
      <w:pPr>
        <w:pStyle w:val="12"/>
        <w:keepNext w:val="0"/>
        <w:keepLines w:val="0"/>
        <w:pageBreakBefore w:val="0"/>
        <w:numPr>
          <w:ilvl w:val="0"/>
          <w:numId w:val="3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评委会将对确定为实质性响应的投标进行进一步审核，确定其是否有计算上或累加上的算术错误，修正错误的原则如下：</w:t>
      </w:r>
    </w:p>
    <w:p w14:paraId="2AF816D2">
      <w:pPr>
        <w:pStyle w:val="12"/>
        <w:keepNext w:val="0"/>
        <w:keepLines w:val="0"/>
        <w:pageBreakBefore w:val="0"/>
        <w:numPr>
          <w:ilvl w:val="0"/>
          <w:numId w:val="3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投标文件中开标一览表内容与投标文件中相应内容不一致的，以开标一览表为准。</w:t>
      </w:r>
    </w:p>
    <w:p w14:paraId="4CCB12C0">
      <w:pPr>
        <w:pStyle w:val="12"/>
        <w:keepNext w:val="0"/>
        <w:keepLines w:val="0"/>
        <w:pageBreakBefore w:val="0"/>
        <w:numPr>
          <w:ilvl w:val="0"/>
          <w:numId w:val="3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大写金额和小写金额不一致的，以大写金额为准。</w:t>
      </w:r>
    </w:p>
    <w:p w14:paraId="738A51B5">
      <w:pPr>
        <w:pStyle w:val="12"/>
        <w:keepNext w:val="0"/>
        <w:keepLines w:val="0"/>
        <w:pageBreakBefore w:val="0"/>
        <w:numPr>
          <w:ilvl w:val="0"/>
          <w:numId w:val="3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单价金额小数点或者百分比有明显错位的，以开标一览表的总价为准，并修改单价。</w:t>
      </w:r>
    </w:p>
    <w:p w14:paraId="5B882257">
      <w:pPr>
        <w:pStyle w:val="12"/>
        <w:keepNext w:val="0"/>
        <w:keepLines w:val="0"/>
        <w:pageBreakBefore w:val="0"/>
        <w:numPr>
          <w:ilvl w:val="0"/>
          <w:numId w:val="3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总价金额与按单价汇总金额不一致的，以单价金额计算结果为准。</w:t>
      </w:r>
    </w:p>
    <w:p w14:paraId="0F61B7AC">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同时出现两种以上错误的，按照前款规定的顺序修正。</w:t>
      </w:r>
    </w:p>
    <w:p w14:paraId="4F760812">
      <w:pPr>
        <w:pStyle w:val="12"/>
        <w:keepNext w:val="0"/>
        <w:keepLines w:val="0"/>
        <w:pageBreakBefore w:val="0"/>
        <w:numPr>
          <w:ilvl w:val="0"/>
          <w:numId w:val="3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评委会将按上述修正错误的方法调整投标文件中的投标报价，并通过苏采云系统告知投标人，调整后的价格应对投标人具有约束力。如果投标人不接受修正后的价格，则其投标将被拒绝。</w:t>
      </w:r>
    </w:p>
    <w:p w14:paraId="11C8A626">
      <w:pPr>
        <w:pStyle w:val="12"/>
        <w:keepNext w:val="0"/>
        <w:keepLines w:val="0"/>
        <w:pageBreakBefore w:val="0"/>
        <w:numPr>
          <w:ilvl w:val="0"/>
          <w:numId w:val="3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bookmarkStart w:id="150" w:name="_Toc20823306"/>
      <w:bookmarkStart w:id="151" w:name="_Toc513029234"/>
      <w:bookmarkStart w:id="152" w:name="_Toc16938550"/>
      <w:r>
        <w:rPr>
          <w:rFonts w:hint="default" w:ascii="Times New Roman" w:hAnsi="Times New Roman" w:cs="Times New Roman"/>
          <w:color w:val="auto"/>
          <w:highlight w:val="none"/>
        </w:rPr>
        <w:t>投标人在开、评标全过程中应保持通信畅通，及时登录苏采云系统查阅、答复相关信息，并安排专人与采购人及评标委员会联系。</w:t>
      </w:r>
      <w:bookmarkEnd w:id="150"/>
      <w:bookmarkEnd w:id="151"/>
      <w:bookmarkEnd w:id="152"/>
    </w:p>
    <w:p w14:paraId="57C5B1DE">
      <w:pPr>
        <w:pStyle w:val="3"/>
        <w:keepNext w:val="0"/>
        <w:keepLines w:val="0"/>
        <w:pageBreakBefore w:val="0"/>
        <w:numPr>
          <w:ilvl w:val="0"/>
          <w:numId w:val="32"/>
        </w:numPr>
        <w:tabs>
          <w:tab w:val="left" w:pos="108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无效投标条款和废标条款</w:t>
      </w:r>
    </w:p>
    <w:p w14:paraId="4E0814FA">
      <w:pPr>
        <w:pStyle w:val="4"/>
        <w:keepNext w:val="0"/>
        <w:keepLines w:val="0"/>
        <w:pageBreakBefore w:val="0"/>
        <w:numPr>
          <w:ilvl w:val="0"/>
          <w:numId w:val="40"/>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153" w:name="_Toc513029235"/>
      <w:bookmarkStart w:id="154" w:name="_Toc20823307"/>
      <w:bookmarkStart w:id="155" w:name="_Toc16938551"/>
      <w:r>
        <w:rPr>
          <w:rFonts w:hint="default" w:ascii="Times New Roman" w:hAnsi="Times New Roman" w:cs="Times New Roman"/>
          <w:highlight w:val="none"/>
        </w:rPr>
        <w:t>无效投标条款</w:t>
      </w:r>
      <w:bookmarkEnd w:id="153"/>
      <w:bookmarkEnd w:id="154"/>
      <w:bookmarkEnd w:id="155"/>
    </w:p>
    <w:p w14:paraId="30EA6DAF">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投标人在苏采云系统规定的时间内未成功解密电子投标文件的。</w:t>
      </w:r>
    </w:p>
    <w:p w14:paraId="580499D7">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投标人未按照招标文件要求上传电子投标文件的。</w:t>
      </w:r>
    </w:p>
    <w:p w14:paraId="2618A67A">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同一投标人提交两个（含两个）以上不同的投标报价的。</w:t>
      </w:r>
    </w:p>
    <w:p w14:paraId="11A07B89">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投标人不具备招标文件中规定资格要求的。</w:t>
      </w:r>
    </w:p>
    <w:p w14:paraId="0769D0FD">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投标人的报价超过了采购预算或最高限价的。</w:t>
      </w:r>
    </w:p>
    <w:p w14:paraId="21DE11D7">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未通过符合性审查的。</w:t>
      </w:r>
    </w:p>
    <w:p w14:paraId="5ADD9613">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不符合招标文件中规定的实质性要求和条件的（</w:t>
      </w:r>
      <w:r>
        <w:rPr>
          <w:rFonts w:hint="default" w:ascii="Times New Roman" w:hAnsi="Times New Roman" w:cs="Times New Roman"/>
          <w:i/>
          <w:color w:val="auto"/>
          <w:highlight w:val="none"/>
          <w:u w:val="single"/>
        </w:rPr>
        <w:t>本招标文件中斜体且有下划线部分为实质性要求和条件）。</w:t>
      </w:r>
    </w:p>
    <w:p w14:paraId="0D5A146B">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88EE581">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投标文件含有采购人不能接受的附加条件的。</w:t>
      </w:r>
    </w:p>
    <w:p w14:paraId="0AF3D737">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投标人不能证明其报价合理性的，评标委员会应当将其作为无效投标处理。</w:t>
      </w:r>
    </w:p>
    <w:p w14:paraId="6401C28A">
      <w:pPr>
        <w:pStyle w:val="12"/>
        <w:keepNext w:val="0"/>
        <w:keepLines w:val="0"/>
        <w:pageBreakBefore w:val="0"/>
        <w:numPr>
          <w:ilvl w:val="0"/>
          <w:numId w:val="42"/>
        </w:numPr>
        <w:tabs>
          <w:tab w:val="left" w:pos="12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评审过程中出现下列情形之一的，评标委员会应当启动异常低价投标审查程序：</w:t>
      </w:r>
    </w:p>
    <w:p w14:paraId="544F7CDD">
      <w:pPr>
        <w:pStyle w:val="12"/>
        <w:keepNext w:val="0"/>
        <w:keepLines w:val="0"/>
        <w:pageBreakBefore w:val="0"/>
        <w:numPr>
          <w:ilvl w:val="0"/>
          <w:numId w:val="4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投标（响应）报价低于全部通过符合性审查供应商投标（响应）报价平均值50%的，即投标（响应）报价&lt;全部通过符合性审查供应商投标（响应）报价平均值×50%； </w:t>
      </w:r>
    </w:p>
    <w:p w14:paraId="36ED7F6E">
      <w:pPr>
        <w:pStyle w:val="12"/>
        <w:keepNext w:val="0"/>
        <w:keepLines w:val="0"/>
        <w:pageBreakBefore w:val="0"/>
        <w:numPr>
          <w:ilvl w:val="0"/>
          <w:numId w:val="4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投标（响应）报价低于通过符合性审查的次低报价供应商投标（响应）报价50%的，即投标（响应）报价&lt;通过符合性审查的次低报价供应商投标（响应）报价×50%； </w:t>
      </w:r>
    </w:p>
    <w:p w14:paraId="356BF5E4">
      <w:pPr>
        <w:pStyle w:val="12"/>
        <w:keepNext w:val="0"/>
        <w:keepLines w:val="0"/>
        <w:pageBreakBefore w:val="0"/>
        <w:numPr>
          <w:ilvl w:val="0"/>
          <w:numId w:val="4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投标（响应）报价低于采购项目最高限价45%的，即投标（响应）报价&lt;采购项目最高限价×45%； </w:t>
      </w:r>
    </w:p>
    <w:p w14:paraId="692FEB69">
      <w:pPr>
        <w:pStyle w:val="12"/>
        <w:keepNext w:val="0"/>
        <w:keepLines w:val="0"/>
        <w:pageBreakBefore w:val="0"/>
        <w:numPr>
          <w:ilvl w:val="0"/>
          <w:numId w:val="43"/>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评审委员会基于专业判断，认为供应商报价过低，有可能影响产品质量或者不能诚信履约的其他情形。 </w:t>
      </w:r>
    </w:p>
    <w:p w14:paraId="158114F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采购人可以结合具体项目实际情况，提高上述第1项至第3项中启动异常低价投标（响应）审查的数值标准，但是最高不得超过65%。 </w:t>
      </w:r>
    </w:p>
    <w:p w14:paraId="46C188B7">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相关法律法规对供应商报价有规定的，从其规定。 </w:t>
      </w:r>
    </w:p>
    <w:p w14:paraId="1A889A59">
      <w:pPr>
        <w:pStyle w:val="12"/>
        <w:keepNext w:val="0"/>
        <w:keepLines w:val="0"/>
        <w:pageBreakBefore w:val="0"/>
        <w:numPr>
          <w:ilvl w:val="0"/>
          <w:numId w:val="42"/>
        </w:numPr>
        <w:tabs>
          <w:tab w:val="left" w:pos="120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7E01909">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3E6B761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79E0AF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4DAEC083">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投标文件未按照招标文件要求加盖CA电子公章的。</w:t>
      </w:r>
    </w:p>
    <w:p w14:paraId="461E40EF">
      <w:pPr>
        <w:pStyle w:val="12"/>
        <w:keepNext w:val="0"/>
        <w:keepLines w:val="0"/>
        <w:pageBreakBefore w:val="0"/>
        <w:numPr>
          <w:ilvl w:val="0"/>
          <w:numId w:val="4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其他法律、法规及本招标文件规定的属无效投标的情形。</w:t>
      </w:r>
    </w:p>
    <w:p w14:paraId="0633C07A">
      <w:pPr>
        <w:pStyle w:val="4"/>
        <w:keepNext w:val="0"/>
        <w:keepLines w:val="0"/>
        <w:pageBreakBefore w:val="0"/>
        <w:numPr>
          <w:ilvl w:val="0"/>
          <w:numId w:val="40"/>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废标条款</w:t>
      </w:r>
    </w:p>
    <w:p w14:paraId="7B0377A9">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符合专业条件的供应商或者对招标文件作实质响应的供应商不足三家的。</w:t>
      </w:r>
    </w:p>
    <w:p w14:paraId="43F8EFD6">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出现影响采购公正的违法、违规行为的。</w:t>
      </w:r>
    </w:p>
    <w:p w14:paraId="71AD115F">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因重大变故，采购任务取消的。</w:t>
      </w:r>
    </w:p>
    <w:p w14:paraId="0FCC8095">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评标委员会认定招标文件存在歧义、重大缺陷导致评审工作无法进行。</w:t>
      </w:r>
    </w:p>
    <w:p w14:paraId="6BC3517A">
      <w:pPr>
        <w:pStyle w:val="12"/>
        <w:keepNext w:val="0"/>
        <w:keepLines w:val="0"/>
        <w:pageBreakBefore w:val="0"/>
        <w:numPr>
          <w:ilvl w:val="0"/>
          <w:numId w:val="4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因苏采云系统系统故障原因造成开标不成功的。</w:t>
      </w:r>
    </w:p>
    <w:p w14:paraId="6BA9BE05">
      <w:pPr>
        <w:pStyle w:val="4"/>
        <w:keepNext w:val="0"/>
        <w:keepLines w:val="0"/>
        <w:pageBreakBefore w:val="0"/>
        <w:numPr>
          <w:ilvl w:val="0"/>
          <w:numId w:val="40"/>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投标截止时间结束后参加投标的供应商不足三家的处理：</w:t>
      </w:r>
    </w:p>
    <w:p w14:paraId="169D49E7">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26.3.1如出现投标截止时间结束后参加投标的供应商或者在评标期间对招标文件做出实质响应的供应商不足三家情况，按政府采购相关规定执行。</w:t>
      </w:r>
    </w:p>
    <w:p w14:paraId="2F419015">
      <w:pPr>
        <w:pStyle w:val="2"/>
        <w:keepNext w:val="0"/>
        <w:keepLines w:val="0"/>
        <w:pageBreakBefore w:val="0"/>
        <w:numPr>
          <w:ilvl w:val="0"/>
          <w:numId w:val="1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bookmarkStart w:id="156" w:name="_Toc120614219"/>
      <w:r>
        <w:rPr>
          <w:rFonts w:hint="default" w:ascii="Times New Roman" w:hAnsi="Times New Roman" w:cs="Times New Roman"/>
          <w:highlight w:val="none"/>
        </w:rPr>
        <w:t>定标</w:t>
      </w:r>
      <w:bookmarkEnd w:id="156"/>
    </w:p>
    <w:p w14:paraId="0280C56A">
      <w:pPr>
        <w:pStyle w:val="12"/>
        <w:keepNext w:val="0"/>
        <w:keepLines w:val="0"/>
        <w:pageBreakBefore w:val="0"/>
        <w:numPr>
          <w:ilvl w:val="0"/>
          <w:numId w:val="45"/>
        </w:numPr>
        <w:tabs>
          <w:tab w:val="left" w:pos="96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highlight w:val="none"/>
        </w:rPr>
      </w:pPr>
      <w:bookmarkStart w:id="157" w:name="_Toc16938554"/>
      <w:bookmarkStart w:id="158" w:name="_Toc513029238"/>
      <w:r>
        <w:rPr>
          <w:rFonts w:hint="default" w:ascii="Times New Roman" w:hAnsi="Times New Roman" w:cs="Times New Roman"/>
          <w:highlight w:val="none"/>
        </w:rPr>
        <w:t>确定</w:t>
      </w:r>
      <w:bookmarkEnd w:id="157"/>
      <w:bookmarkEnd w:id="158"/>
      <w:r>
        <w:rPr>
          <w:rFonts w:hint="default" w:ascii="Times New Roman" w:hAnsi="Times New Roman" w:cs="Times New Roman"/>
          <w:highlight w:val="none"/>
        </w:rPr>
        <w:t>中标单位</w:t>
      </w:r>
    </w:p>
    <w:p w14:paraId="311ED4F2">
      <w:pPr>
        <w:pStyle w:val="12"/>
        <w:keepNext w:val="0"/>
        <w:keepLines w:val="0"/>
        <w:pageBreakBefore w:val="0"/>
        <w:numPr>
          <w:ilvl w:val="0"/>
          <w:numId w:val="4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 xml:space="preserve">中标候选人的选取原则和数量见招标文件第五章规定。 </w:t>
      </w:r>
    </w:p>
    <w:p w14:paraId="7E30E03C">
      <w:pPr>
        <w:pStyle w:val="12"/>
        <w:keepNext w:val="0"/>
        <w:keepLines w:val="0"/>
        <w:pageBreakBefore w:val="0"/>
        <w:numPr>
          <w:ilvl w:val="0"/>
          <w:numId w:val="4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采购人应根据评委会推荐的中标候选人确定中标人。</w:t>
      </w:r>
    </w:p>
    <w:p w14:paraId="1DE42A0F">
      <w:pPr>
        <w:pStyle w:val="12"/>
        <w:keepNext w:val="0"/>
        <w:keepLines w:val="0"/>
        <w:pageBreakBefore w:val="0"/>
        <w:numPr>
          <w:ilvl w:val="0"/>
          <w:numId w:val="4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采购人将在“中国政府采购网”、“江苏政府采购网”、“盐城市政府采购网”发布中标公告，公告期限为1个工作日。</w:t>
      </w:r>
    </w:p>
    <w:p w14:paraId="31BB989A">
      <w:pPr>
        <w:pStyle w:val="12"/>
        <w:keepNext w:val="0"/>
        <w:keepLines w:val="0"/>
        <w:pageBreakBefore w:val="0"/>
        <w:numPr>
          <w:ilvl w:val="0"/>
          <w:numId w:val="4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若有充分证据证明，中标人出现下列情况之一的，一经查实，将被取消中标资格：</w:t>
      </w:r>
    </w:p>
    <w:p w14:paraId="6785F7F2">
      <w:pPr>
        <w:pStyle w:val="12"/>
        <w:keepNext w:val="0"/>
        <w:keepLines w:val="0"/>
        <w:pageBreakBefore w:val="0"/>
        <w:numPr>
          <w:ilvl w:val="0"/>
          <w:numId w:val="4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提供虚假材料谋取中标的。</w:t>
      </w:r>
    </w:p>
    <w:p w14:paraId="7F2D0F9A">
      <w:pPr>
        <w:pStyle w:val="12"/>
        <w:keepNext w:val="0"/>
        <w:keepLines w:val="0"/>
        <w:pageBreakBefore w:val="0"/>
        <w:numPr>
          <w:ilvl w:val="0"/>
          <w:numId w:val="4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向采购人、采购人行贿或者提供其他不正当利益的。</w:t>
      </w:r>
    </w:p>
    <w:p w14:paraId="602DBA36">
      <w:pPr>
        <w:pStyle w:val="12"/>
        <w:keepNext w:val="0"/>
        <w:keepLines w:val="0"/>
        <w:pageBreakBefore w:val="0"/>
        <w:numPr>
          <w:ilvl w:val="0"/>
          <w:numId w:val="4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属于本文件规定的无效条件，但在评标过程中又未被评委会发现的。</w:t>
      </w:r>
    </w:p>
    <w:p w14:paraId="3AE45E2A">
      <w:pPr>
        <w:pStyle w:val="12"/>
        <w:keepNext w:val="0"/>
        <w:keepLines w:val="0"/>
        <w:pageBreakBefore w:val="0"/>
        <w:numPr>
          <w:ilvl w:val="0"/>
          <w:numId w:val="4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与采购人或者其他供应商恶意串通的。</w:t>
      </w:r>
    </w:p>
    <w:p w14:paraId="17176740">
      <w:pPr>
        <w:pStyle w:val="12"/>
        <w:keepNext w:val="0"/>
        <w:keepLines w:val="0"/>
        <w:pageBreakBefore w:val="0"/>
        <w:numPr>
          <w:ilvl w:val="0"/>
          <w:numId w:val="4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采取不正当手段诋毁、排挤其他供应商的。</w:t>
      </w:r>
    </w:p>
    <w:p w14:paraId="5BA82D3F">
      <w:pPr>
        <w:pStyle w:val="12"/>
        <w:keepNext w:val="0"/>
        <w:keepLines w:val="0"/>
        <w:pageBreakBefore w:val="0"/>
        <w:numPr>
          <w:ilvl w:val="0"/>
          <w:numId w:val="46"/>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bookmarkStart w:id="159" w:name="_Toc200451960"/>
      <w:r>
        <w:rPr>
          <w:rFonts w:hint="default" w:ascii="Times New Roman" w:hAnsi="Times New Roman" w:cs="Times New Roman"/>
          <w:color w:val="auto"/>
          <w:highlight w:val="none"/>
        </w:rPr>
        <w:t>有下列情形之一的，视为投标人串通投标，投标无效：</w:t>
      </w:r>
      <w:bookmarkEnd w:id="159"/>
    </w:p>
    <w:p w14:paraId="3933C327">
      <w:pPr>
        <w:pStyle w:val="12"/>
        <w:keepNext w:val="0"/>
        <w:keepLines w:val="0"/>
        <w:pageBreakBefore w:val="0"/>
        <w:numPr>
          <w:ilvl w:val="0"/>
          <w:numId w:val="4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不同投标人的投标文件由同一单位或者个人编制。</w:t>
      </w:r>
    </w:p>
    <w:p w14:paraId="1C9CEE2B">
      <w:pPr>
        <w:pStyle w:val="12"/>
        <w:keepNext w:val="0"/>
        <w:keepLines w:val="0"/>
        <w:pageBreakBefore w:val="0"/>
        <w:numPr>
          <w:ilvl w:val="0"/>
          <w:numId w:val="4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不同投标人委托同一单位或者个人办理投标事宜。</w:t>
      </w:r>
    </w:p>
    <w:p w14:paraId="7FBCC317">
      <w:pPr>
        <w:pStyle w:val="12"/>
        <w:keepNext w:val="0"/>
        <w:keepLines w:val="0"/>
        <w:pageBreakBefore w:val="0"/>
        <w:numPr>
          <w:ilvl w:val="0"/>
          <w:numId w:val="4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不同投标人的投标文件载明的项目管理成员或者联系人员为同一人。</w:t>
      </w:r>
    </w:p>
    <w:p w14:paraId="3010DED9">
      <w:pPr>
        <w:pStyle w:val="12"/>
        <w:keepNext w:val="0"/>
        <w:keepLines w:val="0"/>
        <w:pageBreakBefore w:val="0"/>
        <w:numPr>
          <w:ilvl w:val="0"/>
          <w:numId w:val="48"/>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不同投标人的投标文件异常一致或者投标报价呈规律性差异。</w:t>
      </w:r>
    </w:p>
    <w:p w14:paraId="59702850">
      <w:pPr>
        <w:pStyle w:val="12"/>
        <w:keepNext w:val="0"/>
        <w:keepLines w:val="0"/>
        <w:pageBreakBefore w:val="0"/>
        <w:numPr>
          <w:ilvl w:val="0"/>
          <w:numId w:val="45"/>
        </w:numPr>
        <w:tabs>
          <w:tab w:val="left" w:pos="96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highlight w:val="none"/>
        </w:rPr>
      </w:pPr>
      <w:r>
        <w:rPr>
          <w:rFonts w:hint="default" w:ascii="Times New Roman" w:hAnsi="Times New Roman" w:cs="Times New Roman"/>
          <w:highlight w:val="none"/>
        </w:rPr>
        <w:t>质疑处理</w:t>
      </w:r>
    </w:p>
    <w:p w14:paraId="31D2EE2F">
      <w:pPr>
        <w:pStyle w:val="12"/>
        <w:keepNext w:val="0"/>
        <w:keepLines w:val="0"/>
        <w:pageBreakBefore w:val="0"/>
        <w:numPr>
          <w:ilvl w:val="0"/>
          <w:numId w:val="4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提出质疑的供应商应当是参与所质疑项目采购活动的供应商。潜在供应商依法获取其可质疑的采购文件的，可以对采购文件提出质疑。</w:t>
      </w:r>
    </w:p>
    <w:p w14:paraId="3D9CB921">
      <w:pPr>
        <w:pStyle w:val="12"/>
        <w:keepNext w:val="0"/>
        <w:keepLines w:val="0"/>
        <w:pageBreakBefore w:val="0"/>
        <w:numPr>
          <w:ilvl w:val="0"/>
          <w:numId w:val="4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7118C265">
      <w:pPr>
        <w:pStyle w:val="12"/>
        <w:keepNext w:val="0"/>
        <w:keepLines w:val="0"/>
        <w:pageBreakBefore w:val="0"/>
        <w:numPr>
          <w:ilvl w:val="0"/>
          <w:numId w:val="50"/>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对可以质疑的采购文件提出质疑的，为收到采购文件之日或者采购文件公告期限届满之日；</w:t>
      </w:r>
    </w:p>
    <w:p w14:paraId="0312DF0D">
      <w:pPr>
        <w:pStyle w:val="12"/>
        <w:keepNext w:val="0"/>
        <w:keepLines w:val="0"/>
        <w:pageBreakBefore w:val="0"/>
        <w:numPr>
          <w:ilvl w:val="0"/>
          <w:numId w:val="50"/>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对采购过程提出质疑的，为各采购程序环节结束之日；</w:t>
      </w:r>
    </w:p>
    <w:p w14:paraId="3AED8EB4">
      <w:pPr>
        <w:pStyle w:val="12"/>
        <w:keepNext w:val="0"/>
        <w:keepLines w:val="0"/>
        <w:pageBreakBefore w:val="0"/>
        <w:numPr>
          <w:ilvl w:val="0"/>
          <w:numId w:val="50"/>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对中标或者成交结果提出质疑的，为中标或者成交结果公告期限届满之日。</w:t>
      </w:r>
    </w:p>
    <w:p w14:paraId="08FCA00C">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供应商应当在法定质疑期内一次性提出针对同一采购程序环节的质疑。供应商如在法定期限内对同一采购程序环节提出多次质疑的，采购人将只对供应商第一次质疑作出答复。</w:t>
      </w:r>
    </w:p>
    <w:p w14:paraId="6C673996">
      <w:pPr>
        <w:pStyle w:val="12"/>
        <w:keepNext w:val="0"/>
        <w:keepLines w:val="0"/>
        <w:pageBreakBefore w:val="0"/>
        <w:numPr>
          <w:ilvl w:val="0"/>
          <w:numId w:val="4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质疑函必须按照本招标文件中《质疑函范本》要求的格式和内容进行填写。供应商如组成联合体参加投标，则《质疑函范本》中要求签字、盖章、加盖公章之处，联合体各方均须按要求签字、盖章、加盖公章。</w:t>
      </w:r>
    </w:p>
    <w:p w14:paraId="7C4359C7">
      <w:pPr>
        <w:pStyle w:val="12"/>
        <w:keepNext w:val="0"/>
        <w:keepLines w:val="0"/>
        <w:pageBreakBefore w:val="0"/>
        <w:numPr>
          <w:ilvl w:val="0"/>
          <w:numId w:val="4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供应商（含潜在供应商）对与本项目有关的所有询问、质疑均请向采购人提出，由采购人负责答复。</w:t>
      </w:r>
    </w:p>
    <w:p w14:paraId="053BF531">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采购人只接收以纸质原件形式送达的质疑,采购人不接受未填写快递运单的快件。联系地址及联系方式同招标公告。</w:t>
      </w:r>
    </w:p>
    <w:p w14:paraId="630674D1">
      <w:pPr>
        <w:pStyle w:val="12"/>
        <w:keepNext w:val="0"/>
        <w:keepLines w:val="0"/>
        <w:pageBreakBefore w:val="0"/>
        <w:numPr>
          <w:ilvl w:val="0"/>
          <w:numId w:val="4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以下情形的质疑不予受理</w:t>
      </w:r>
    </w:p>
    <w:p w14:paraId="0F26E43B">
      <w:pPr>
        <w:pStyle w:val="12"/>
        <w:keepNext w:val="0"/>
        <w:keepLines w:val="0"/>
        <w:pageBreakBefore w:val="0"/>
        <w:numPr>
          <w:ilvl w:val="0"/>
          <w:numId w:val="5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内容不符合《政府采购质疑和投诉办法》第十二条规定的质疑。</w:t>
      </w:r>
    </w:p>
    <w:p w14:paraId="7B9E784C">
      <w:pPr>
        <w:pStyle w:val="12"/>
        <w:keepNext w:val="0"/>
        <w:keepLines w:val="0"/>
        <w:pageBreakBefore w:val="0"/>
        <w:numPr>
          <w:ilvl w:val="0"/>
          <w:numId w:val="5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超出政府采购法定期限的质疑。</w:t>
      </w:r>
    </w:p>
    <w:p w14:paraId="4F771FAB">
      <w:pPr>
        <w:pStyle w:val="12"/>
        <w:keepNext w:val="0"/>
        <w:keepLines w:val="0"/>
        <w:pageBreakBefore w:val="0"/>
        <w:numPr>
          <w:ilvl w:val="0"/>
          <w:numId w:val="5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以传真、电子邮件等方式递交的非原件形式的质疑。</w:t>
      </w:r>
    </w:p>
    <w:p w14:paraId="54A6AB53">
      <w:pPr>
        <w:pStyle w:val="12"/>
        <w:keepNext w:val="0"/>
        <w:keepLines w:val="0"/>
        <w:pageBreakBefore w:val="0"/>
        <w:numPr>
          <w:ilvl w:val="0"/>
          <w:numId w:val="5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未参加投标活动的供应商或在投标活动中自身权益未受到损害的供应商所提出的质疑。</w:t>
      </w:r>
    </w:p>
    <w:p w14:paraId="53B4E29E">
      <w:pPr>
        <w:pStyle w:val="12"/>
        <w:keepNext w:val="0"/>
        <w:keepLines w:val="0"/>
        <w:pageBreakBefore w:val="0"/>
        <w:numPr>
          <w:ilvl w:val="0"/>
          <w:numId w:val="51"/>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供应商组成联合体参加投标，联合体中任何一方或多方未按要求签字、盖章、加盖公章的质疑。</w:t>
      </w:r>
    </w:p>
    <w:p w14:paraId="25DB4F06">
      <w:pPr>
        <w:pStyle w:val="12"/>
        <w:keepNext w:val="0"/>
        <w:keepLines w:val="0"/>
        <w:pageBreakBefore w:val="0"/>
        <w:numPr>
          <w:ilvl w:val="0"/>
          <w:numId w:val="4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567AB68">
      <w:pPr>
        <w:pStyle w:val="12"/>
        <w:keepNext w:val="0"/>
        <w:keepLines w:val="0"/>
        <w:pageBreakBefore w:val="0"/>
        <w:numPr>
          <w:ilvl w:val="0"/>
          <w:numId w:val="45"/>
        </w:numPr>
        <w:tabs>
          <w:tab w:val="left" w:pos="96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highlight w:val="none"/>
        </w:rPr>
      </w:pPr>
      <w:r>
        <w:rPr>
          <w:rFonts w:hint="default" w:ascii="Times New Roman" w:hAnsi="Times New Roman" w:cs="Times New Roman"/>
          <w:highlight w:val="none"/>
        </w:rPr>
        <w:t>中标通知书</w:t>
      </w:r>
    </w:p>
    <w:p w14:paraId="70444F05">
      <w:pPr>
        <w:pStyle w:val="12"/>
        <w:keepNext w:val="0"/>
        <w:keepLines w:val="0"/>
        <w:pageBreakBefore w:val="0"/>
        <w:numPr>
          <w:ilvl w:val="0"/>
          <w:numId w:val="45"/>
        </w:numPr>
        <w:tabs>
          <w:tab w:val="left" w:pos="96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l中标结果确定后，采购代理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D891B86">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29.2中标通知书将是合同的一个组成部分。对采购人和中标人均具有法律效力。中标通知书发出后，采购人改变中标结果的，或者中标人放弃中标项目的，应当依法承担法律责任。</w:t>
      </w:r>
    </w:p>
    <w:p w14:paraId="5C1C1008">
      <w:pPr>
        <w:pStyle w:val="2"/>
        <w:keepNext w:val="0"/>
        <w:keepLines w:val="0"/>
        <w:pageBreakBefore w:val="0"/>
        <w:numPr>
          <w:ilvl w:val="0"/>
          <w:numId w:val="1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bookmarkStart w:id="160" w:name="_Toc513029236"/>
      <w:bookmarkStart w:id="161" w:name="_Toc120614220"/>
      <w:bookmarkStart w:id="162" w:name="_Toc16938552"/>
      <w:bookmarkStart w:id="163" w:name="_Toc20823308"/>
      <w:r>
        <w:rPr>
          <w:rFonts w:hint="default" w:ascii="Times New Roman" w:hAnsi="Times New Roman" w:cs="Times New Roman"/>
          <w:highlight w:val="none"/>
        </w:rPr>
        <w:t>授予合同</w:t>
      </w:r>
      <w:bookmarkEnd w:id="160"/>
      <w:bookmarkEnd w:id="161"/>
      <w:bookmarkEnd w:id="162"/>
      <w:bookmarkEnd w:id="163"/>
    </w:p>
    <w:p w14:paraId="46DCFD49">
      <w:pPr>
        <w:pStyle w:val="3"/>
        <w:keepNext w:val="0"/>
        <w:keepLines w:val="0"/>
        <w:pageBreakBefore w:val="0"/>
        <w:numPr>
          <w:ilvl w:val="0"/>
          <w:numId w:val="0"/>
        </w:numPr>
        <w:tabs>
          <w:tab w:val="left" w:pos="1021"/>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164" w:name="_Toc513029237"/>
      <w:bookmarkStart w:id="165" w:name="_Toc16938553"/>
      <w:bookmarkStart w:id="166" w:name="_Toc20823309"/>
      <w:r>
        <w:rPr>
          <w:rFonts w:hint="default" w:ascii="Times New Roman" w:hAnsi="Times New Roman" w:eastAsia="宋体" w:cs="Times New Roman"/>
          <w:b/>
          <w:sz w:val="24"/>
        </w:rPr>
        <w:t>30.</w:t>
      </w:r>
      <w:r>
        <w:rPr>
          <w:rFonts w:hint="default" w:ascii="Times New Roman" w:hAnsi="Times New Roman" w:cs="Times New Roman"/>
          <w:highlight w:val="none"/>
        </w:rPr>
        <w:t>签订合同</w:t>
      </w:r>
      <w:bookmarkEnd w:id="164"/>
      <w:bookmarkEnd w:id="165"/>
      <w:bookmarkEnd w:id="166"/>
    </w:p>
    <w:p w14:paraId="7B74E0E1">
      <w:pPr>
        <w:pStyle w:val="4"/>
        <w:keepNext w:val="0"/>
        <w:keepLines w:val="0"/>
        <w:pageBreakBefore w:val="0"/>
        <w:numPr>
          <w:ilvl w:val="0"/>
          <w:numId w:val="0"/>
        </w:numPr>
        <w:tabs>
          <w:tab w:val="left" w:pos="1021"/>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eastAsia="宋体" w:cs="Times New Roman"/>
          <w:b/>
          <w:sz w:val="24"/>
        </w:rPr>
        <w:t>31.</w:t>
      </w:r>
      <w:r>
        <w:rPr>
          <w:rFonts w:hint="default" w:ascii="Times New Roman" w:hAnsi="Times New Roman" w:cs="Times New Roman"/>
          <w:highlight w:val="none"/>
        </w:rPr>
        <w:t>l中标人应当在中标通知书发出之日起三十日内，按照招标文件确定的事项与采购人签订政府采购合同。</w:t>
      </w:r>
    </w:p>
    <w:p w14:paraId="465C1A39">
      <w:pPr>
        <w:pStyle w:val="12"/>
        <w:keepNext w:val="0"/>
        <w:keepLines w:val="0"/>
        <w:pageBreakBefore w:val="0"/>
        <w:numPr>
          <w:ilvl w:val="0"/>
          <w:numId w:val="52"/>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招标文件、中标人的投标文件及招标过程中有关澄清、承诺文件均应作为合同附件。</w:t>
      </w:r>
    </w:p>
    <w:p w14:paraId="20A76AAB">
      <w:pPr>
        <w:pStyle w:val="12"/>
        <w:keepNext w:val="0"/>
        <w:keepLines w:val="0"/>
        <w:pageBreakBefore w:val="0"/>
        <w:numPr>
          <w:ilvl w:val="0"/>
          <w:numId w:val="52"/>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签订合同后，</w:t>
      </w:r>
      <w:r>
        <w:rPr>
          <w:rFonts w:hint="default" w:ascii="Times New Roman" w:hAnsi="Times New Roman" w:cs="Times New Roman"/>
          <w:i/>
          <w:color w:val="auto"/>
          <w:highlight w:val="none"/>
          <w:u w:val="single"/>
        </w:rPr>
        <w:t>中标人不得将合同标的进行转包</w:t>
      </w:r>
      <w:r>
        <w:rPr>
          <w:rFonts w:hint="default" w:ascii="Times New Roman" w:hAnsi="Times New Roman" w:cs="Times New Roman"/>
          <w:color w:val="auto"/>
          <w:highlight w:val="none"/>
        </w:rPr>
        <w:t>。未经采购人同意，中标人也不得采用分包的形式履行合同，否则采购人有权终止合同。转包或分包造成采购人损失的，中标人应承担相应赔偿责任。</w:t>
      </w:r>
    </w:p>
    <w:p w14:paraId="649DA590">
      <w:pPr>
        <w:pStyle w:val="3"/>
        <w:keepNext w:val="0"/>
        <w:keepLines w:val="0"/>
        <w:pageBreakBefore w:val="0"/>
        <w:numPr>
          <w:ilvl w:val="0"/>
          <w:numId w:val="0"/>
        </w:numPr>
        <w:tabs>
          <w:tab w:val="left" w:pos="1021"/>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eastAsia="宋体" w:cs="Times New Roman"/>
          <w:b/>
          <w:sz w:val="24"/>
        </w:rPr>
        <w:t>32.</w:t>
      </w:r>
      <w:r>
        <w:rPr>
          <w:rFonts w:hint="default" w:ascii="Times New Roman" w:hAnsi="Times New Roman" w:cs="Times New Roman"/>
          <w:highlight w:val="none"/>
        </w:rPr>
        <w:t>服务（包含与服务相关的货物）的追加</w:t>
      </w:r>
    </w:p>
    <w:p w14:paraId="1E0DA2E9">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C21DF21">
      <w:pPr>
        <w:pStyle w:val="3"/>
        <w:keepNext w:val="0"/>
        <w:keepLines w:val="0"/>
        <w:pageBreakBefore w:val="0"/>
        <w:numPr>
          <w:ilvl w:val="0"/>
          <w:numId w:val="0"/>
        </w:numPr>
        <w:tabs>
          <w:tab w:val="left" w:pos="1021"/>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eastAsia="宋体" w:cs="Times New Roman"/>
          <w:b/>
          <w:sz w:val="24"/>
        </w:rPr>
        <w:t>33.</w:t>
      </w:r>
      <w:r>
        <w:rPr>
          <w:rFonts w:hint="default" w:ascii="Times New Roman" w:hAnsi="Times New Roman" w:cs="Times New Roman"/>
          <w:highlight w:val="none"/>
        </w:rPr>
        <w:t>政府采购政策功能落实</w:t>
      </w:r>
    </w:p>
    <w:p w14:paraId="4C544C03">
      <w:pPr>
        <w:pStyle w:val="4"/>
        <w:keepNext w:val="0"/>
        <w:keepLines w:val="0"/>
        <w:pageBreakBefore w:val="0"/>
        <w:numPr>
          <w:ilvl w:val="0"/>
          <w:numId w:val="5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政府采购线上合同信用融资政策</w:t>
      </w:r>
    </w:p>
    <w:p w14:paraId="0BAA4818">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79806ADB">
      <w:pPr>
        <w:pStyle w:val="4"/>
        <w:keepNext w:val="0"/>
        <w:keepLines w:val="0"/>
        <w:pageBreakBefore w:val="0"/>
        <w:numPr>
          <w:ilvl w:val="0"/>
          <w:numId w:val="5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进口产品</w:t>
      </w:r>
    </w:p>
    <w:p w14:paraId="23EE5F4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2B3FEFA">
      <w:pPr>
        <w:pStyle w:val="4"/>
        <w:keepNext w:val="0"/>
        <w:keepLines w:val="0"/>
        <w:pageBreakBefore w:val="0"/>
        <w:numPr>
          <w:ilvl w:val="0"/>
          <w:numId w:val="5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中小企业、监狱企业及残疾人福利性单位</w:t>
      </w:r>
    </w:p>
    <w:p w14:paraId="6E1DAD93">
      <w:pPr>
        <w:pStyle w:val="12"/>
        <w:keepNext w:val="0"/>
        <w:keepLines w:val="0"/>
        <w:pageBreakBefore w:val="0"/>
        <w:numPr>
          <w:ilvl w:val="0"/>
          <w:numId w:val="5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中小企业定义：</w:t>
      </w:r>
    </w:p>
    <w:p w14:paraId="22673A97">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FAFF290">
      <w:pPr>
        <w:pStyle w:val="12"/>
        <w:keepNext w:val="0"/>
        <w:keepLines w:val="0"/>
        <w:pageBreakBefore w:val="0"/>
        <w:numPr>
          <w:ilvl w:val="0"/>
          <w:numId w:val="5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供应商提供的货物、工程或者服务符合下列情形的，享受中小企业扶持政策：</w:t>
      </w:r>
    </w:p>
    <w:p w14:paraId="3F4FC375">
      <w:pPr>
        <w:pStyle w:val="12"/>
        <w:keepNext w:val="0"/>
        <w:keepLines w:val="0"/>
        <w:pageBreakBefore w:val="0"/>
        <w:numPr>
          <w:ilvl w:val="0"/>
          <w:numId w:val="55"/>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在货物采购项目中，货物由中小企业制造，即货物由中小企业生产且使用该中小企业商号或者注册商标；</w:t>
      </w:r>
    </w:p>
    <w:p w14:paraId="38E1BAEF">
      <w:pPr>
        <w:pStyle w:val="12"/>
        <w:keepNext w:val="0"/>
        <w:keepLines w:val="0"/>
        <w:pageBreakBefore w:val="0"/>
        <w:numPr>
          <w:ilvl w:val="0"/>
          <w:numId w:val="55"/>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在工程采购项目中，工程由中小企业承建，即工程施工单位为中小企业；</w:t>
      </w:r>
    </w:p>
    <w:p w14:paraId="679632A1">
      <w:pPr>
        <w:pStyle w:val="12"/>
        <w:keepNext w:val="0"/>
        <w:keepLines w:val="0"/>
        <w:pageBreakBefore w:val="0"/>
        <w:numPr>
          <w:ilvl w:val="0"/>
          <w:numId w:val="55"/>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在服务采购项目中，服务由中小企业承接，即提供服务的人员为中小企业依照《中华人民共和国劳动合同法》订立劳动合同的从业人员。</w:t>
      </w:r>
    </w:p>
    <w:p w14:paraId="21F12289">
      <w:pPr>
        <w:pStyle w:val="12"/>
        <w:keepNext w:val="0"/>
        <w:keepLines w:val="0"/>
        <w:pageBreakBefore w:val="0"/>
        <w:numPr>
          <w:ilvl w:val="0"/>
          <w:numId w:val="5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在货物采购项目中，供应商提供的货物既有中小企业制造货物，也有大型企业制造货物的，不享受中小企业扶持政策。</w:t>
      </w:r>
    </w:p>
    <w:p w14:paraId="2DE5FD8F">
      <w:pPr>
        <w:pStyle w:val="12"/>
        <w:keepNext w:val="0"/>
        <w:keepLines w:val="0"/>
        <w:pageBreakBefore w:val="0"/>
        <w:numPr>
          <w:ilvl w:val="0"/>
          <w:numId w:val="5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以联合体形式参加政府采购活动，联合体各方均为中小企业的，联合体视同中小企业。其中，联合体各方均为小微企业的，联合体视同小微企业。</w:t>
      </w:r>
    </w:p>
    <w:p w14:paraId="37537A5E">
      <w:pPr>
        <w:pStyle w:val="12"/>
        <w:keepNext w:val="0"/>
        <w:keepLines w:val="0"/>
        <w:pageBreakBefore w:val="0"/>
        <w:numPr>
          <w:ilvl w:val="0"/>
          <w:numId w:val="5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804FAB">
      <w:pPr>
        <w:pStyle w:val="12"/>
        <w:keepNext w:val="0"/>
        <w:keepLines w:val="0"/>
        <w:pageBreakBefore w:val="0"/>
        <w:numPr>
          <w:ilvl w:val="0"/>
          <w:numId w:val="5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残疾人福利单位定义：享受政府采购支持政策的残疾人福利性单位应当同时满足以下条件：</w:t>
      </w:r>
    </w:p>
    <w:p w14:paraId="79DEAD00">
      <w:pPr>
        <w:pStyle w:val="12"/>
        <w:keepNext w:val="0"/>
        <w:keepLines w:val="0"/>
        <w:pageBreakBefore w:val="0"/>
        <w:numPr>
          <w:ilvl w:val="0"/>
          <w:numId w:val="56"/>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安置的残疾人占本单位在职职工人数的比例不低于25%（含25%），并且安置的残疾人人数不少于10 人（含10 人）；</w:t>
      </w:r>
    </w:p>
    <w:p w14:paraId="2B3CD02D">
      <w:pPr>
        <w:pStyle w:val="12"/>
        <w:keepNext w:val="0"/>
        <w:keepLines w:val="0"/>
        <w:pageBreakBefore w:val="0"/>
        <w:numPr>
          <w:ilvl w:val="0"/>
          <w:numId w:val="56"/>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依法与安置的每位残疾人签订了一年以上（含一年）的劳动合同或服务协议；</w:t>
      </w:r>
    </w:p>
    <w:p w14:paraId="2DEF1A4D">
      <w:pPr>
        <w:pStyle w:val="12"/>
        <w:keepNext w:val="0"/>
        <w:keepLines w:val="0"/>
        <w:pageBreakBefore w:val="0"/>
        <w:numPr>
          <w:ilvl w:val="0"/>
          <w:numId w:val="56"/>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为安置的每位残疾人按月足额缴纳了基本养老保险、基本医疗保险、失业保险、工伤保险和生育保险等社会保险费；</w:t>
      </w:r>
    </w:p>
    <w:p w14:paraId="51E9A4DE">
      <w:pPr>
        <w:pStyle w:val="12"/>
        <w:keepNext w:val="0"/>
        <w:keepLines w:val="0"/>
        <w:pageBreakBefore w:val="0"/>
        <w:numPr>
          <w:ilvl w:val="0"/>
          <w:numId w:val="56"/>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通过银行等金融机构向安置的每位残疾人，按月支付了不低于单位所在区县适用的经省级人民政府批准的月最低工资标准的工资；</w:t>
      </w:r>
    </w:p>
    <w:p w14:paraId="46DBF52C">
      <w:pPr>
        <w:pStyle w:val="12"/>
        <w:keepNext w:val="0"/>
        <w:keepLines w:val="0"/>
        <w:pageBreakBefore w:val="0"/>
        <w:numPr>
          <w:ilvl w:val="0"/>
          <w:numId w:val="56"/>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提供本单位制造的货物、承担的工程或者服务（以下简称产品），或者提供其他残疾人福利性单位制造的货物（不包括使用非残疾人福利性单位注册商标的货物）；</w:t>
      </w:r>
    </w:p>
    <w:p w14:paraId="22F501E4">
      <w:pPr>
        <w:pStyle w:val="12"/>
        <w:keepNext w:val="0"/>
        <w:keepLines w:val="0"/>
        <w:pageBreakBefore w:val="0"/>
        <w:numPr>
          <w:ilvl w:val="0"/>
          <w:numId w:val="56"/>
        </w:numPr>
        <w:tabs>
          <w:tab w:val="left" w:pos="13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4A3344">
      <w:pPr>
        <w:pStyle w:val="12"/>
        <w:keepNext w:val="0"/>
        <w:keepLines w:val="0"/>
        <w:pageBreakBefore w:val="0"/>
        <w:numPr>
          <w:ilvl w:val="0"/>
          <w:numId w:val="5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本项目是否专门面向中小企业预留采购份额见第一章《招标公告》。</w:t>
      </w:r>
    </w:p>
    <w:p w14:paraId="6CABFC67">
      <w:pPr>
        <w:pStyle w:val="12"/>
        <w:keepNext w:val="0"/>
        <w:keepLines w:val="0"/>
        <w:pageBreakBefore w:val="0"/>
        <w:numPr>
          <w:ilvl w:val="0"/>
          <w:numId w:val="5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采购标的对应的中小企业划分标准所属行业见第四章《采购需求》。</w:t>
      </w:r>
    </w:p>
    <w:p w14:paraId="1372411C">
      <w:pPr>
        <w:pStyle w:val="12"/>
        <w:keepNext w:val="0"/>
        <w:keepLines w:val="0"/>
        <w:pageBreakBefore w:val="0"/>
        <w:numPr>
          <w:ilvl w:val="0"/>
          <w:numId w:val="54"/>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小微企业价格评审优惠的政策：见第五章《评标方法和评标标准》。</w:t>
      </w:r>
    </w:p>
    <w:p w14:paraId="52A6DFE4">
      <w:pPr>
        <w:pStyle w:val="4"/>
        <w:keepNext w:val="0"/>
        <w:keepLines w:val="0"/>
        <w:pageBreakBefore w:val="0"/>
        <w:numPr>
          <w:ilvl w:val="0"/>
          <w:numId w:val="5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政府采购节能产品、环境标志产品</w:t>
      </w:r>
    </w:p>
    <w:p w14:paraId="21198AAA">
      <w:pPr>
        <w:pStyle w:val="12"/>
        <w:keepNext w:val="0"/>
        <w:keepLines w:val="0"/>
        <w:pageBreakBefore w:val="0"/>
        <w:numPr>
          <w:ilvl w:val="0"/>
          <w:numId w:val="5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375775B">
      <w:pPr>
        <w:pStyle w:val="12"/>
        <w:keepNext w:val="0"/>
        <w:keepLines w:val="0"/>
        <w:pageBreakBefore w:val="0"/>
        <w:numPr>
          <w:ilvl w:val="0"/>
          <w:numId w:val="57"/>
        </w:numPr>
        <w:tabs>
          <w:tab w:val="left" w:pos="12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BC30A7C">
      <w:pPr>
        <w:pStyle w:val="4"/>
        <w:keepNext w:val="0"/>
        <w:keepLines w:val="0"/>
        <w:pageBreakBefore w:val="0"/>
        <w:numPr>
          <w:ilvl w:val="0"/>
          <w:numId w:val="5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绿色包装</w:t>
      </w:r>
    </w:p>
    <w:p w14:paraId="17430523">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052BF0B">
      <w:pPr>
        <w:pStyle w:val="4"/>
        <w:keepNext w:val="0"/>
        <w:keepLines w:val="0"/>
        <w:pageBreakBefore w:val="0"/>
        <w:numPr>
          <w:ilvl w:val="0"/>
          <w:numId w:val="5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政府采购创新产品</w:t>
      </w:r>
    </w:p>
    <w:p w14:paraId="12C50180">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采购人优先采购各级政府部门公开发布的有效期内的创新产品、创新服务、首台套、首购首用等《目录》的创新产品。</w:t>
      </w:r>
    </w:p>
    <w:p w14:paraId="71B47FBF">
      <w:pPr>
        <w:pStyle w:val="4"/>
        <w:keepNext w:val="0"/>
        <w:keepLines w:val="0"/>
        <w:pageBreakBefore w:val="0"/>
        <w:numPr>
          <w:ilvl w:val="0"/>
          <w:numId w:val="5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 xml:space="preserve">绿色数据中心政策 </w:t>
      </w:r>
    </w:p>
    <w:p w14:paraId="3C1C00A2">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Style w:val="4"/>
        <w:keepNext w:val="0"/>
        <w:keepLines w:val="0"/>
        <w:pageBreakBefore w:val="0"/>
        <w:numPr>
          <w:ilvl w:val="0"/>
          <w:numId w:val="5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实施本国产品标准及相关政策</w:t>
      </w:r>
    </w:p>
    <w:p w14:paraId="510E6799">
      <w:pPr>
        <w:pStyle w:val="12"/>
        <w:keepNext w:val="0"/>
        <w:keepLines w:val="0"/>
        <w:pageBreakBefore w:val="0"/>
        <w:numPr>
          <w:ilvl w:val="0"/>
          <w:numId w:val="58"/>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本项目对采购本国产品给予政策支持，具体内容见招标文件“第五章 评标方法与评标标准”。</w:t>
      </w:r>
    </w:p>
    <w:p w14:paraId="6E8BCEDC">
      <w:pPr>
        <w:pStyle w:val="12"/>
        <w:keepNext w:val="0"/>
        <w:keepLines w:val="0"/>
        <w:pageBreakBefore w:val="0"/>
        <w:numPr>
          <w:ilvl w:val="0"/>
          <w:numId w:val="58"/>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810D6F6">
      <w:pPr>
        <w:pStyle w:val="12"/>
        <w:keepNext w:val="0"/>
        <w:keepLines w:val="0"/>
        <w:pageBreakBefore w:val="0"/>
        <w:numPr>
          <w:ilvl w:val="0"/>
          <w:numId w:val="58"/>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4FA8254">
      <w:pPr>
        <w:pStyle w:val="12"/>
        <w:keepNext w:val="0"/>
        <w:keepLines w:val="0"/>
        <w:pageBreakBefore w:val="0"/>
        <w:numPr>
          <w:ilvl w:val="0"/>
          <w:numId w:val="58"/>
        </w:numPr>
        <w:tabs>
          <w:tab w:val="left" w:pos="7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684A45A6">
      <w:pPr>
        <w:pStyle w:val="4"/>
        <w:keepNext w:val="0"/>
        <w:keepLines w:val="0"/>
        <w:pageBreakBefore w:val="0"/>
        <w:numPr>
          <w:ilvl w:val="0"/>
          <w:numId w:val="53"/>
        </w:numPr>
        <w:tabs>
          <w:tab w:val="left" w:pos="110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履约保证金政策</w:t>
      </w:r>
    </w:p>
    <w:p w14:paraId="2AA60ED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确需收取履约保证金的，履约保证金的缴纳形式：</w:t>
      </w:r>
    </w:p>
    <w:p w14:paraId="391B6496">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D4471B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如以履约保函（保险）形式缴纳履约保证金，供应商可通过政府采购电子履约保函（保险）平台（www.jsdzbh.com）在线申请履约保函（保险）。</w:t>
      </w:r>
    </w:p>
    <w:p w14:paraId="191CA30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履约保证金金额为合同金额的10%，采购人对第三方信用服务机构依据标准规范评定为 AAA 级及以上的政府采购供应商（需提供信用管理部门备案的第三方信用报告）免收履约保证金、对AA评级的政府采购供应商（需提供信用管理部门备案的第三方信用报告）降低履约保证金缴纳比例（中标价的5%）。</w:t>
      </w:r>
    </w:p>
    <w:p w14:paraId="2441D637">
      <w:pPr>
        <w:pStyle w:val="3"/>
        <w:keepNext w:val="0"/>
        <w:keepLines w:val="0"/>
        <w:pageBreakBefore w:val="0"/>
        <w:numPr>
          <w:ilvl w:val="0"/>
          <w:numId w:val="0"/>
        </w:numPr>
        <w:tabs>
          <w:tab w:val="left" w:pos="1021"/>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eastAsia="宋体" w:cs="Times New Roman"/>
          <w:b/>
          <w:sz w:val="24"/>
        </w:rPr>
        <w:t>34.</w:t>
      </w:r>
      <w:r>
        <w:rPr>
          <w:rFonts w:hint="default" w:ascii="Times New Roman" w:hAnsi="Times New Roman" w:cs="Times New Roman"/>
          <w:highlight w:val="none"/>
        </w:rPr>
        <w:t>预付款制度</w:t>
      </w:r>
    </w:p>
    <w:p w14:paraId="1759AAC7">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本项目落实预付款制度，预付款比例为30%。在签订合同时，中标、成交供应商明确书面表示无需预付款或者主动要求降低预付款比例的，采购人可就预付款比例作相应调整。</w:t>
      </w:r>
    </w:p>
    <w:p w14:paraId="0A8FDB05">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br w:type="page"/>
      </w:r>
    </w:p>
    <w:p w14:paraId="3ECC0495">
      <w:pPr>
        <w:pStyle w:val="49"/>
        <w:keepNext w:val="0"/>
        <w:keepLines w:val="0"/>
        <w:pageBreakBefore w:val="0"/>
        <w:numPr>
          <w:ilvl w:val="0"/>
          <w:numId w:val="1"/>
        </w:numPr>
        <w:tabs>
          <w:tab w:val="left" w:pos="1602"/>
          <w:tab w:val="clear" w:pos="210"/>
        </w:tabs>
        <w:kinsoku/>
        <w:wordWrap/>
        <w:overflowPunct/>
        <w:topLinePunct w:val="0"/>
        <w:autoSpaceDE/>
        <w:autoSpaceDN/>
        <w:bidi w:val="0"/>
        <w:adjustRightInd/>
        <w:snapToGrid/>
        <w:spacing w:before="0" w:beforeLines="0" w:after="0" w:line="360" w:lineRule="exact"/>
        <w:ind w:left="0" w:leftChars="0" w:firstLine="640" w:firstLineChars="200"/>
        <w:textAlignment w:val="auto"/>
        <w:outlineLvl w:val="0"/>
        <w:rPr>
          <w:rFonts w:hint="default" w:ascii="Times New Roman" w:hAnsi="Times New Roman" w:cs="Times New Roman"/>
          <w:highlight w:val="none"/>
        </w:rPr>
      </w:pPr>
      <w:r>
        <w:rPr>
          <w:rFonts w:hint="default" w:ascii="Times New Roman" w:hAnsi="Times New Roman" w:cs="Times New Roman"/>
          <w:highlight w:val="none"/>
        </w:rPr>
        <w:t>合同文本</w:t>
      </w:r>
    </w:p>
    <w:p w14:paraId="00A8459C">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bookmarkStart w:id="167" w:name="_Toc513029243"/>
      <w:bookmarkStart w:id="168" w:name="_Toc16938559"/>
      <w:bookmarkStart w:id="169" w:name="_Toc20823315"/>
      <w:r>
        <w:rPr>
          <w:rFonts w:hint="default" w:ascii="Times New Roman" w:hAnsi="Times New Roman" w:cs="Times New Roman"/>
          <w:color w:val="auto"/>
          <w:highlight w:val="none"/>
        </w:rPr>
        <w:t>以下为中标后签订本项目合同的通用条款，中标人不得提出实质性的修改。</w:t>
      </w:r>
      <w:bookmarkEnd w:id="167"/>
      <w:bookmarkEnd w:id="168"/>
      <w:bookmarkEnd w:id="169"/>
    </w:p>
    <w:p w14:paraId="4A23371E">
      <w:pPr>
        <w:pStyle w:val="52"/>
        <w:keepNext w:val="0"/>
        <w:keepLines w:val="0"/>
        <w:pageBreakBefore w:val="0"/>
        <w:kinsoku/>
        <w:wordWrap/>
        <w:overflowPunct/>
        <w:topLinePunct w:val="0"/>
        <w:autoSpaceDE/>
        <w:autoSpaceDN/>
        <w:bidi w:val="0"/>
        <w:adjustRightInd/>
        <w:snapToGrid/>
        <w:spacing w:before="0" w:after="0" w:line="360" w:lineRule="exact"/>
        <w:ind w:left="0" w:leftChars="0" w:firstLine="0" w:firstLineChars="0"/>
        <w:textAlignment w:val="auto"/>
        <w:outlineLvl w:val="0"/>
        <w:rPr>
          <w:rFonts w:hint="default" w:ascii="Times New Roman" w:hAnsi="Times New Roman" w:cs="Times New Roman"/>
          <w:highlight w:val="none"/>
        </w:rPr>
      </w:pPr>
      <w:r>
        <w:rPr>
          <w:rFonts w:hint="default" w:ascii="Times New Roman" w:hAnsi="Times New Roman" w:cs="Times New Roman"/>
          <w:highlight w:val="none"/>
        </w:rPr>
        <w:t>盐城市政府采购合同（服务）（合同编号）</w:t>
      </w:r>
    </w:p>
    <w:p w14:paraId="5A3F43F4">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bookmarkStart w:id="170" w:name="_Toc479757211"/>
      <w:bookmarkStart w:id="171" w:name="_Toc16938590"/>
      <w:bookmarkStart w:id="172" w:name="_Hlt16619350"/>
      <w:bookmarkStart w:id="173" w:name="_Toc120614244"/>
      <w:bookmarkStart w:id="174" w:name="_Toc462564139"/>
      <w:bookmarkStart w:id="175" w:name="_Toc20823346"/>
      <w:bookmarkStart w:id="176" w:name="_Hlt16619369"/>
      <w:r>
        <w:rPr>
          <w:rFonts w:hint="default" w:ascii="Times New Roman" w:hAnsi="Times New Roman" w:cs="Times New Roman"/>
          <w:color w:val="auto"/>
          <w:highlight w:val="none"/>
        </w:rPr>
        <w:t xml:space="preserve">项目名称：2026年盐城市盐都区大气监测溯源服务项目   </w:t>
      </w:r>
    </w:p>
    <w:p w14:paraId="612B09B2">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项目编号：</w:t>
      </w:r>
      <w:r>
        <w:rPr>
          <w:rFonts w:hint="eastAsia" w:cs="Times New Roman"/>
          <w:color w:val="auto"/>
          <w:highlight w:val="none"/>
          <w:lang w:eastAsia="zh-CN"/>
        </w:rPr>
        <w:t>JSZC-320903-JSRJ-G2026-0003</w:t>
      </w:r>
      <w:r>
        <w:rPr>
          <w:rFonts w:hint="default" w:ascii="Times New Roman" w:hAnsi="Times New Roman" w:cs="Times New Roman"/>
          <w:color w:val="auto"/>
          <w:highlight w:val="none"/>
        </w:rPr>
        <w:t xml:space="preserve">            </w:t>
      </w:r>
    </w:p>
    <w:p w14:paraId="48B60B38">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甲方：（买方）</w:t>
      </w:r>
      <w:r>
        <w:rPr>
          <w:rFonts w:hint="default" w:ascii="Times New Roman" w:hAnsi="Times New Roman" w:cs="Times New Roman"/>
          <w:color w:val="auto"/>
          <w:highlight w:val="none"/>
          <w:u w:val="single"/>
        </w:rPr>
        <w:t>盐城市盐都生态环境局</w:t>
      </w:r>
    </w:p>
    <w:p w14:paraId="0BDF6C2F">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乙方：（卖方）_________________</w:t>
      </w:r>
    </w:p>
    <w:p w14:paraId="747623F0">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甲、乙双方根据</w:t>
      </w:r>
      <w:r>
        <w:rPr>
          <w:rFonts w:hint="default" w:ascii="Times New Roman" w:hAnsi="Times New Roman" w:cs="Times New Roman"/>
          <w:color w:val="auto"/>
          <w:highlight w:val="none"/>
          <w:u w:val="single"/>
        </w:rPr>
        <w:t>2026年盐城市盐都区大气监测溯源服务项目</w:t>
      </w:r>
      <w:r>
        <w:rPr>
          <w:rFonts w:hint="default" w:ascii="Times New Roman" w:hAnsi="Times New Roman" w:cs="Times New Roman"/>
          <w:color w:val="auto"/>
          <w:highlight w:val="none"/>
        </w:rPr>
        <w:t>公开招标的结果，签署本合同。</w:t>
      </w:r>
    </w:p>
    <w:p w14:paraId="3EC2693D">
      <w:pPr>
        <w:pStyle w:val="2"/>
        <w:keepNext w:val="0"/>
        <w:keepLines w:val="0"/>
        <w:pageBreakBefore w:val="0"/>
        <w:numPr>
          <w:ilvl w:val="0"/>
          <w:numId w:val="5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合同内容</w:t>
      </w:r>
    </w:p>
    <w:p w14:paraId="29A75734">
      <w:pPr>
        <w:pStyle w:val="12"/>
        <w:keepNext w:val="0"/>
        <w:keepLines w:val="0"/>
        <w:pageBreakBefore w:val="0"/>
        <w:numPr>
          <w:ilvl w:val="0"/>
          <w:numId w:val="60"/>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标的名称：2026年盐城市盐都区大气监测溯源服务项目</w:t>
      </w:r>
    </w:p>
    <w:p w14:paraId="55B5106E">
      <w:pPr>
        <w:pStyle w:val="12"/>
        <w:keepNext w:val="0"/>
        <w:keepLines w:val="0"/>
        <w:pageBreakBefore w:val="0"/>
        <w:numPr>
          <w:ilvl w:val="0"/>
          <w:numId w:val="60"/>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履行时间（期限）：1年，包括颗粒物激光雷达监测服务、臭氧激光雷达监测服务、测风激光雷达监测服务、PM2.5和O3协同走航监测服务、VOCs走航监测、驻场专项服务、污染预报模型服务、重点企业污染源谱分析、信息化平台。</w:t>
      </w:r>
    </w:p>
    <w:p w14:paraId="00B6916E">
      <w:pPr>
        <w:pStyle w:val="12"/>
        <w:keepNext w:val="0"/>
        <w:keepLines w:val="0"/>
        <w:pageBreakBefore w:val="0"/>
        <w:numPr>
          <w:ilvl w:val="0"/>
          <w:numId w:val="60"/>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履行方式：乙方必须完全按照国家法律法规、甲方招标文件的要求、乙方投标（响应）文件承诺等相关要求履行合同</w:t>
      </w:r>
    </w:p>
    <w:p w14:paraId="2EA87065">
      <w:pPr>
        <w:pStyle w:val="2"/>
        <w:keepNext w:val="0"/>
        <w:keepLines w:val="0"/>
        <w:pageBreakBefore w:val="0"/>
        <w:numPr>
          <w:ilvl w:val="0"/>
          <w:numId w:val="5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合同金额</w:t>
      </w:r>
    </w:p>
    <w:p w14:paraId="7798D9D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2.1本合同金额为（大写）：____________________________圆（_______________元）人民币，本合同价款包含所有乙方提供合同约定服务的报酬及乙方提供合同中服务所支出的必要费用，甲方在上述合同价款之外不再向乙方支付其他任何费用。</w:t>
      </w:r>
    </w:p>
    <w:p w14:paraId="19B6ADE3">
      <w:pPr>
        <w:pStyle w:val="2"/>
        <w:keepNext w:val="0"/>
        <w:keepLines w:val="0"/>
        <w:pageBreakBefore w:val="0"/>
        <w:numPr>
          <w:ilvl w:val="0"/>
          <w:numId w:val="5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技术资料</w:t>
      </w:r>
    </w:p>
    <w:p w14:paraId="2EB0CC6A">
      <w:pPr>
        <w:pStyle w:val="12"/>
        <w:keepNext w:val="0"/>
        <w:keepLines w:val="0"/>
        <w:pageBreakBefore w:val="0"/>
        <w:numPr>
          <w:ilvl w:val="0"/>
          <w:numId w:val="61"/>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乙方应按招标文件规定的时间向甲方提供服务（包含与服务相关的货物）的有关技术资料。</w:t>
      </w:r>
    </w:p>
    <w:p w14:paraId="3AFAAEDE">
      <w:pPr>
        <w:pStyle w:val="12"/>
        <w:keepNext w:val="0"/>
        <w:keepLines w:val="0"/>
        <w:pageBreakBefore w:val="0"/>
        <w:numPr>
          <w:ilvl w:val="0"/>
          <w:numId w:val="61"/>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B3B03C8">
      <w:pPr>
        <w:pStyle w:val="2"/>
        <w:keepNext w:val="0"/>
        <w:keepLines w:val="0"/>
        <w:pageBreakBefore w:val="0"/>
        <w:numPr>
          <w:ilvl w:val="0"/>
          <w:numId w:val="5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知识产权</w:t>
      </w:r>
    </w:p>
    <w:p w14:paraId="6BDE27DD">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4.1乙方应保证甲方在使用、接受本合同服务（包含与服务相关的货物）或其任何一部分时不受第三方提出侵犯其专利权、版权、商标权和工业设计权等知识产权的起诉。一旦出现侵权，由乙方负全部责任。</w:t>
      </w:r>
    </w:p>
    <w:p w14:paraId="7648A0DB">
      <w:pPr>
        <w:pStyle w:val="2"/>
        <w:keepNext w:val="0"/>
        <w:keepLines w:val="0"/>
        <w:pageBreakBefore w:val="0"/>
        <w:numPr>
          <w:ilvl w:val="0"/>
          <w:numId w:val="5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产权担保</w:t>
      </w:r>
    </w:p>
    <w:p w14:paraId="60B9986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5.1乙方保证所交付的服务（包含与服务相关的货物）的所有权完全属于乙方且无任何抵押、查封等产权瑕疵。</w:t>
      </w:r>
    </w:p>
    <w:p w14:paraId="0BCA6888">
      <w:pPr>
        <w:pStyle w:val="2"/>
        <w:keepNext w:val="0"/>
        <w:keepLines w:val="0"/>
        <w:pageBreakBefore w:val="0"/>
        <w:numPr>
          <w:ilvl w:val="0"/>
          <w:numId w:val="5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履约保证金</w:t>
      </w:r>
    </w:p>
    <w:p w14:paraId="17FBDE97">
      <w:pPr>
        <w:pStyle w:val="12"/>
        <w:keepNext w:val="0"/>
        <w:keepLines w:val="0"/>
        <w:pageBreakBefore w:val="0"/>
        <w:numPr>
          <w:ilvl w:val="0"/>
          <w:numId w:val="62"/>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乙方交纳人民币_________元作为本合同的履约保证金。</w:t>
      </w:r>
    </w:p>
    <w:p w14:paraId="6DE04BDB">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备注：不得超过合同金额的10%，采购人应当对AAA评级及以上政府采购供应商（需提供信用管理部门备案的第三方信用报告）免收履约保证金、对AA评级的政府采购供应商（需提供信用管理部门备案的第三方信用报告）降低履约保证金缴纳比例（中标价的5%））</w:t>
      </w:r>
    </w:p>
    <w:p w14:paraId="4C02FCEB">
      <w:pPr>
        <w:pStyle w:val="12"/>
        <w:keepNext w:val="0"/>
        <w:keepLines w:val="0"/>
        <w:pageBreakBefore w:val="0"/>
        <w:numPr>
          <w:ilvl w:val="0"/>
          <w:numId w:val="62"/>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确需收取履约保证金的，履约保证金的缴纳形式：</w:t>
      </w:r>
    </w:p>
    <w:p w14:paraId="2A060DED">
      <w:pPr>
        <w:pStyle w:val="12"/>
        <w:keepNext w:val="0"/>
        <w:keepLines w:val="0"/>
        <w:pageBreakBefore w:val="0"/>
        <w:numPr>
          <w:ilvl w:val="0"/>
          <w:numId w:val="63"/>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FFFD325">
      <w:pPr>
        <w:pStyle w:val="12"/>
        <w:keepNext w:val="0"/>
        <w:keepLines w:val="0"/>
        <w:pageBreakBefore w:val="0"/>
        <w:numPr>
          <w:ilvl w:val="0"/>
          <w:numId w:val="63"/>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如以履约保函（保险）形式缴纳履约保证金，供应商可通过政府采购电子履约保函（保险）平台（www.jsdzbh.com）在线申请履约保函（保险）。</w:t>
      </w:r>
    </w:p>
    <w:p w14:paraId="3561DD03">
      <w:pPr>
        <w:pStyle w:val="12"/>
        <w:keepNext w:val="0"/>
        <w:keepLines w:val="0"/>
        <w:pageBreakBefore w:val="0"/>
        <w:numPr>
          <w:ilvl w:val="0"/>
          <w:numId w:val="62"/>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合同履行结束后，甲方应及时退还交纳的履约保证金。</w:t>
      </w:r>
    </w:p>
    <w:p w14:paraId="7B8F2F44">
      <w:pPr>
        <w:pStyle w:val="12"/>
        <w:keepNext w:val="0"/>
        <w:keepLines w:val="0"/>
        <w:pageBreakBefore w:val="0"/>
        <w:numPr>
          <w:ilvl w:val="0"/>
          <w:numId w:val="62"/>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履约保证金的退还：</w:t>
      </w:r>
    </w:p>
    <w:p w14:paraId="758E90A8">
      <w:pPr>
        <w:pStyle w:val="12"/>
        <w:keepNext w:val="0"/>
        <w:keepLines w:val="0"/>
        <w:pageBreakBefore w:val="0"/>
        <w:numPr>
          <w:ilvl w:val="0"/>
          <w:numId w:val="64"/>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方式：无息退还至投标人缴纳履约保证金的账户。如为保函，在到期时自行失效。</w:t>
      </w:r>
    </w:p>
    <w:p w14:paraId="067DE2A9">
      <w:pPr>
        <w:pStyle w:val="12"/>
        <w:keepNext w:val="0"/>
        <w:keepLines w:val="0"/>
        <w:pageBreakBefore w:val="0"/>
        <w:numPr>
          <w:ilvl w:val="0"/>
          <w:numId w:val="64"/>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时间：验收合格且采购人收到发票后30日内。</w:t>
      </w:r>
    </w:p>
    <w:p w14:paraId="1D18E6FF">
      <w:pPr>
        <w:pStyle w:val="12"/>
        <w:keepNext w:val="0"/>
        <w:keepLines w:val="0"/>
        <w:pageBreakBefore w:val="0"/>
        <w:numPr>
          <w:ilvl w:val="0"/>
          <w:numId w:val="64"/>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条件：按合同要求全部履约完成并经采购人验收合格，且采购人收到中标人出具的发票。</w:t>
      </w:r>
    </w:p>
    <w:p w14:paraId="6BF0AE81">
      <w:pPr>
        <w:pStyle w:val="12"/>
        <w:keepNext w:val="0"/>
        <w:keepLines w:val="0"/>
        <w:pageBreakBefore w:val="0"/>
        <w:numPr>
          <w:ilvl w:val="0"/>
          <w:numId w:val="64"/>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不予退还情形：</w:t>
      </w:r>
    </w:p>
    <w:p w14:paraId="4EA1EC47">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除不可抗力情况外，投标人出现下列情形之一的，其履约保证金，招标人将视情节决定不予退还或部分不予退还。</w:t>
      </w:r>
    </w:p>
    <w:p w14:paraId="6E1B2118">
      <w:pPr>
        <w:pStyle w:val="12"/>
        <w:keepNext w:val="0"/>
        <w:keepLines w:val="0"/>
        <w:pageBreakBefore w:val="0"/>
        <w:numPr>
          <w:ilvl w:val="0"/>
          <w:numId w:val="65"/>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中标人无正当理由拒绝签订合同的，或者在签订合同时向采购人提出附加条件或者更改合同实质性内容要求的；</w:t>
      </w:r>
    </w:p>
    <w:p w14:paraId="62B33CD6">
      <w:pPr>
        <w:pStyle w:val="12"/>
        <w:keepNext w:val="0"/>
        <w:keepLines w:val="0"/>
        <w:pageBreakBefore w:val="0"/>
        <w:numPr>
          <w:ilvl w:val="0"/>
          <w:numId w:val="65"/>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中标人不履行与采购人订立的合同的；</w:t>
      </w:r>
    </w:p>
    <w:p w14:paraId="2CB02A14">
      <w:pPr>
        <w:pStyle w:val="12"/>
        <w:keepNext w:val="0"/>
        <w:keepLines w:val="0"/>
        <w:pageBreakBefore w:val="0"/>
        <w:numPr>
          <w:ilvl w:val="0"/>
          <w:numId w:val="65"/>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中标人所供货物或服务不符合招标文件规定要求的；</w:t>
      </w:r>
    </w:p>
    <w:p w14:paraId="41B0867A">
      <w:pPr>
        <w:pStyle w:val="12"/>
        <w:keepNext w:val="0"/>
        <w:keepLines w:val="0"/>
        <w:pageBreakBefore w:val="0"/>
        <w:numPr>
          <w:ilvl w:val="0"/>
          <w:numId w:val="65"/>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中标人采取欺骗、弄虚作假方式投标的或与其它投标人串通投标的；</w:t>
      </w:r>
    </w:p>
    <w:p w14:paraId="70F1EE10">
      <w:pPr>
        <w:pStyle w:val="12"/>
        <w:keepNext w:val="0"/>
        <w:keepLines w:val="0"/>
        <w:pageBreakBefore w:val="0"/>
        <w:numPr>
          <w:ilvl w:val="0"/>
          <w:numId w:val="65"/>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中标人将合同内容转包、违法分包的；</w:t>
      </w:r>
    </w:p>
    <w:p w14:paraId="0CFEA7BC">
      <w:pPr>
        <w:pStyle w:val="12"/>
        <w:keepNext w:val="0"/>
        <w:keepLines w:val="0"/>
        <w:pageBreakBefore w:val="0"/>
        <w:numPr>
          <w:ilvl w:val="0"/>
          <w:numId w:val="65"/>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中标人故意捏造事实或伪造证明材料，进行虚假恶意投诉或反映的。</w:t>
      </w:r>
    </w:p>
    <w:p w14:paraId="05C8C7E1">
      <w:pPr>
        <w:pStyle w:val="12"/>
        <w:keepNext w:val="0"/>
        <w:keepLines w:val="0"/>
        <w:pageBreakBefore w:val="0"/>
        <w:numPr>
          <w:ilvl w:val="0"/>
          <w:numId w:val="64"/>
        </w:numPr>
        <w:tabs>
          <w:tab w:val="left" w:pos="108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逾期退还的违约责任：采购人逾期无故未退还履约保证金的，按中国人民银行同期贷款基准利率上浮20%后的利率支付超期资金占用费，但因供应商自身原因导致无法及时退还的除外。</w:t>
      </w:r>
    </w:p>
    <w:p w14:paraId="4D9011C2">
      <w:pPr>
        <w:pStyle w:val="2"/>
        <w:keepNext w:val="0"/>
        <w:keepLines w:val="0"/>
        <w:pageBreakBefore w:val="0"/>
        <w:numPr>
          <w:ilvl w:val="0"/>
          <w:numId w:val="5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合同转包或分包</w:t>
      </w:r>
    </w:p>
    <w:p w14:paraId="36ACB20A">
      <w:pPr>
        <w:pStyle w:val="12"/>
        <w:keepNext w:val="0"/>
        <w:keepLines w:val="0"/>
        <w:pageBreakBefore w:val="0"/>
        <w:numPr>
          <w:ilvl w:val="0"/>
          <w:numId w:val="66"/>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乙方不得将合同标的转包给他人履行。</w:t>
      </w:r>
    </w:p>
    <w:p w14:paraId="64768C88">
      <w:pPr>
        <w:pStyle w:val="12"/>
        <w:keepNext w:val="0"/>
        <w:keepLines w:val="0"/>
        <w:pageBreakBefore w:val="0"/>
        <w:numPr>
          <w:ilvl w:val="0"/>
          <w:numId w:val="66"/>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乙方不得将合同标的分包给他人履行。</w:t>
      </w:r>
    </w:p>
    <w:p w14:paraId="4407E50F">
      <w:pPr>
        <w:pStyle w:val="12"/>
        <w:keepNext w:val="0"/>
        <w:keepLines w:val="0"/>
        <w:pageBreakBefore w:val="0"/>
        <w:numPr>
          <w:ilvl w:val="0"/>
          <w:numId w:val="66"/>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乙方如有转包或未经甲方同意的分包行为，甲方有权解除合同。</w:t>
      </w:r>
    </w:p>
    <w:p w14:paraId="54C10641">
      <w:pPr>
        <w:pStyle w:val="2"/>
        <w:keepNext w:val="0"/>
        <w:keepLines w:val="0"/>
        <w:pageBreakBefore w:val="0"/>
        <w:numPr>
          <w:ilvl w:val="0"/>
          <w:numId w:val="5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合同款项支付</w:t>
      </w:r>
    </w:p>
    <w:p w14:paraId="2F28E249">
      <w:pPr>
        <w:pStyle w:val="3"/>
        <w:keepNext w:val="0"/>
        <w:keepLines w:val="0"/>
        <w:pageBreakBefore w:val="0"/>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8.1合同款项的支付方式及进度安排</w:t>
      </w:r>
    </w:p>
    <w:p w14:paraId="585BE166">
      <w:pPr>
        <w:pStyle w:val="12"/>
        <w:keepNext w:val="0"/>
        <w:keepLines w:val="0"/>
        <w:pageBreakBefore w:val="0"/>
        <w:numPr>
          <w:ilvl w:val="0"/>
          <w:numId w:val="0"/>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eastAsia="宋体" w:cs="Times New Roman"/>
          <w:b w:val="0"/>
          <w:color w:val="auto"/>
          <w:sz w:val="24"/>
        </w:rPr>
        <w:t>8.1.1</w:t>
      </w:r>
      <w:r>
        <w:rPr>
          <w:rFonts w:hint="default" w:ascii="Times New Roman" w:hAnsi="Times New Roman" w:cs="Times New Roman"/>
          <w:color w:val="auto"/>
          <w:highlight w:val="none"/>
        </w:rPr>
        <w:t>预付款支付时间：合同签订后，采购人收到发票后10个工作日内支付合同金额的30%（在签订合同时，中标、成交供应商明确书面表示无需预付款或者主动要求降低预付款比例的，采购人可就预付款比例作相应调整）。</w:t>
      </w:r>
    </w:p>
    <w:p w14:paraId="71D1B9AA">
      <w:pPr>
        <w:pStyle w:val="12"/>
        <w:keepNext w:val="0"/>
        <w:keepLines w:val="0"/>
        <w:pageBreakBefore w:val="0"/>
        <w:widowControl w:val="0"/>
        <w:numPr>
          <w:ilvl w:val="0"/>
          <w:numId w:val="0"/>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eastAsia="宋体" w:cs="Times New Roman"/>
          <w:b w:val="0"/>
          <w:color w:val="auto"/>
          <w:sz w:val="24"/>
        </w:rPr>
        <w:t>8.1.2</w:t>
      </w:r>
      <w:r>
        <w:rPr>
          <w:rFonts w:hint="default" w:ascii="Times New Roman" w:hAnsi="Times New Roman" w:cs="Times New Roman"/>
          <w:color w:val="auto"/>
          <w:highlight w:val="none"/>
        </w:rPr>
        <w:t>后每三个月（90日）,采购人收到发票后</w:t>
      </w:r>
      <w:r>
        <w:rPr>
          <w:rFonts w:hint="eastAsia" w:cs="Times New Roman"/>
          <w:color w:val="auto"/>
          <w:highlight w:val="none"/>
          <w:lang w:val="en-US" w:eastAsia="zh-CN"/>
        </w:rPr>
        <w:t>10</w:t>
      </w:r>
      <w:r>
        <w:rPr>
          <w:rFonts w:hint="default" w:ascii="Times New Roman" w:hAnsi="Times New Roman" w:cs="Times New Roman"/>
          <w:color w:val="auto"/>
          <w:highlight w:val="none"/>
        </w:rPr>
        <w:t>个工作日内，甲方向乙方支付合同价款17%（考核扣款除外），最后一笔合同价款17%（考核扣款除外）在甲方对本项目验收完成后进行支付；合同余款2%作为区PM2.5指标202</w:t>
      </w:r>
      <w:r>
        <w:rPr>
          <w:rFonts w:hint="eastAsia" w:cs="Times New Roman"/>
          <w:color w:val="auto"/>
          <w:highlight w:val="none"/>
          <w:lang w:val="en-US" w:eastAsia="zh-CN"/>
        </w:rPr>
        <w:t>6</w:t>
      </w:r>
      <w:r>
        <w:rPr>
          <w:rFonts w:hint="default" w:ascii="Times New Roman" w:hAnsi="Times New Roman" w:cs="Times New Roman"/>
          <w:color w:val="auto"/>
          <w:highlight w:val="none"/>
        </w:rPr>
        <w:t>年年度排名</w:t>
      </w:r>
      <w:r>
        <w:rPr>
          <w:rFonts w:hint="default" w:ascii="Times New Roman" w:hAnsi="Times New Roman" w:cs="Times New Roman"/>
          <w:color w:val="auto"/>
          <w:highlight w:val="none"/>
          <w:shd w:val="clear"/>
        </w:rPr>
        <w:t>保</w:t>
      </w:r>
      <w:r>
        <w:rPr>
          <w:rFonts w:hint="eastAsia" w:cs="Times New Roman"/>
          <w:color w:val="auto"/>
          <w:highlight w:val="none"/>
          <w:shd w:val="clear"/>
          <w:lang w:eastAsia="zh-CN"/>
        </w:rPr>
        <w:t>三</w:t>
      </w:r>
      <w:r>
        <w:rPr>
          <w:rFonts w:hint="default" w:ascii="Times New Roman" w:hAnsi="Times New Roman" w:cs="Times New Roman"/>
          <w:color w:val="auto"/>
          <w:highlight w:val="none"/>
          <w:shd w:val="clear"/>
        </w:rPr>
        <w:t>争</w:t>
      </w:r>
      <w:r>
        <w:rPr>
          <w:rFonts w:hint="eastAsia" w:cs="Times New Roman"/>
          <w:color w:val="auto"/>
          <w:highlight w:val="none"/>
          <w:shd w:val="clear"/>
          <w:lang w:eastAsia="zh-CN"/>
        </w:rPr>
        <w:t>二</w:t>
      </w:r>
      <w:r>
        <w:rPr>
          <w:rFonts w:hint="default" w:ascii="Times New Roman" w:hAnsi="Times New Roman" w:cs="Times New Roman"/>
          <w:color w:val="auto"/>
          <w:highlight w:val="none"/>
        </w:rPr>
        <w:t>的考核资金，考核达标且甲方收到结算发票并经确认无误后15日内予以结算（无息）。当次实付金额（除预付款外）=合同总价*17%-绩效考核金额*（100-考核总分）/100。</w:t>
      </w:r>
    </w:p>
    <w:p w14:paraId="788E9CD6">
      <w:pPr>
        <w:pStyle w:val="12"/>
        <w:keepNext w:val="0"/>
        <w:keepLines w:val="0"/>
        <w:pageBreakBefore w:val="0"/>
        <w:widowControl w:val="0"/>
        <w:numPr>
          <w:ilvl w:val="0"/>
          <w:numId w:val="0"/>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eastAsia" w:ascii="Times New Roman" w:hAnsi="Times New Roman" w:eastAsia="宋体" w:cs="Times New Roman"/>
          <w:b w:val="0"/>
          <w:bCs/>
          <w:sz w:val="24"/>
          <w:highlight w:val="none"/>
          <w:u w:val="none"/>
          <w:lang w:val="en-US" w:eastAsia="zh-CN"/>
        </w:rPr>
      </w:pPr>
      <w:r>
        <w:rPr>
          <w:rFonts w:hint="eastAsia" w:ascii="Times New Roman" w:hAnsi="Times New Roman" w:eastAsia="宋体" w:cs="Times New Roman"/>
          <w:b w:val="0"/>
          <w:bCs/>
          <w:sz w:val="24"/>
          <w:highlight w:val="none"/>
          <w:u w:val="none"/>
          <w:lang w:val="en-US" w:eastAsia="zh-CN"/>
        </w:rPr>
        <w:t>8.2考核方式</w:t>
      </w:r>
    </w:p>
    <w:p w14:paraId="1F3DE3DD">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cs="宋体"/>
          <w:b w:val="0"/>
          <w:bCs/>
          <w:color w:val="auto"/>
          <w:sz w:val="24"/>
          <w:highlight w:val="none"/>
          <w:u w:val="none"/>
          <w:lang w:val="en-US" w:eastAsia="zh-CN"/>
        </w:rPr>
      </w:pPr>
      <w:r>
        <w:rPr>
          <w:rFonts w:hint="eastAsia" w:ascii="宋体" w:hAnsi="宋体" w:cs="宋体"/>
          <w:b w:val="0"/>
          <w:bCs/>
          <w:color w:val="auto"/>
          <w:sz w:val="24"/>
          <w:highlight w:val="none"/>
          <w:u w:val="none"/>
          <w:lang w:val="en-US" w:eastAsia="zh-CN"/>
        </w:rPr>
        <w:t>8.2.1预付款后，按每三月进行一次支付：以总合同金额的17%作为每次支付基数，支付时甲方根据对本周期服务内容完成情况和本区在盐城市各区县环境空气质量改善排名情况进行考核，根据考核结果在15个工作日内向乙方支付本周期服务费用。</w:t>
      </w:r>
    </w:p>
    <w:p w14:paraId="46AD5702">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lang w:val="en-US" w:eastAsia="zh-CN"/>
        </w:rPr>
        <w:t>8.2.2</w:t>
      </w:r>
      <w:r>
        <w:rPr>
          <w:rFonts w:hint="eastAsia" w:ascii="宋体" w:hAnsi="宋体" w:cs="宋体"/>
          <w:b w:val="0"/>
          <w:bCs/>
          <w:color w:val="auto"/>
          <w:sz w:val="24"/>
          <w:highlight w:val="none"/>
          <w:u w:val="none"/>
        </w:rPr>
        <w:t>考核规则：以每次支付基数的10%作为绩效考核金额，根据对本周期服务内容完成情况和本区在盐城市各区县环境空气质量改善排名情况进行评判，按照甲方对乙方工作评价占比50%（合计50分，详见服务内容考核方式）及本区在盐城市各区县环境空气质量改善排名情况占比50%（合计50分，详见排名情况考核方式）实施考核，考核扣款=绩效考核金额*（100-考核总分）/100。</w:t>
      </w:r>
    </w:p>
    <w:p w14:paraId="7A499322">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lang w:val="en-US" w:eastAsia="zh-CN"/>
        </w:rPr>
        <w:t>8.2.3</w:t>
      </w:r>
      <w:r>
        <w:rPr>
          <w:rFonts w:hint="eastAsia" w:ascii="宋体" w:hAnsi="宋体" w:cs="宋体"/>
          <w:b w:val="0"/>
          <w:bCs/>
          <w:color w:val="auto"/>
          <w:sz w:val="24"/>
          <w:highlight w:val="none"/>
          <w:u w:val="none"/>
        </w:rPr>
        <w:t>服务内容考核方式：</w:t>
      </w:r>
    </w:p>
    <w:p w14:paraId="634681D2">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rPr>
        <w:t>业主方根据服务单位综合服务情况进行打分：其内容主要包括日常报告（日报、周报、月报、应急分析报告）、污染源地图和清单更新、各类污染源专项排查分析报告、设备运行率、驻场团队工作配合情况。每项评价0-10分，服务内容主观评价考核总分50分。</w:t>
      </w:r>
    </w:p>
    <w:p w14:paraId="0DCD6004">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lang w:val="en-US" w:eastAsia="zh-CN"/>
        </w:rPr>
        <w:t>8.2.4</w:t>
      </w:r>
      <w:r>
        <w:rPr>
          <w:rFonts w:hint="eastAsia" w:ascii="宋体" w:hAnsi="宋体" w:cs="宋体"/>
          <w:b w:val="0"/>
          <w:bCs/>
          <w:color w:val="auto"/>
          <w:sz w:val="24"/>
          <w:highlight w:val="none"/>
          <w:u w:val="none"/>
        </w:rPr>
        <w:t>排名情况考核方式：</w:t>
      </w:r>
    </w:p>
    <w:p w14:paraId="07AC7180">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rPr>
        <w:t>总分50分，根据本区在盐城市各区县环境空气质量改善排名在本服务期间的情况作为考核指标，其中颗粒物PM2.5改善排名不低于排名中位数的得分25分，优良天数比率改善排名不低于排名中位数的得分25分，否则不得分。</w:t>
      </w:r>
    </w:p>
    <w:p w14:paraId="390FD33D">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lang w:val="en-US" w:eastAsia="zh-CN"/>
        </w:rPr>
        <w:t>8.2.5</w:t>
      </w:r>
      <w:r>
        <w:rPr>
          <w:rFonts w:hint="eastAsia" w:ascii="宋体" w:hAnsi="宋体" w:cs="宋体"/>
          <w:b w:val="0"/>
          <w:bCs/>
          <w:color w:val="auto"/>
          <w:sz w:val="24"/>
          <w:highlight w:val="none"/>
          <w:u w:val="none"/>
        </w:rPr>
        <w:t>服务期满后，对202</w:t>
      </w:r>
      <w:r>
        <w:rPr>
          <w:rFonts w:hint="eastAsia" w:ascii="宋体" w:hAnsi="宋体" w:cs="宋体"/>
          <w:b w:val="0"/>
          <w:bCs/>
          <w:color w:val="auto"/>
          <w:sz w:val="24"/>
          <w:highlight w:val="none"/>
          <w:u w:val="none"/>
          <w:lang w:val="en-US" w:eastAsia="zh-CN"/>
        </w:rPr>
        <w:t>6</w:t>
      </w:r>
      <w:r>
        <w:rPr>
          <w:rFonts w:hint="eastAsia" w:ascii="宋体" w:hAnsi="宋体" w:cs="宋体"/>
          <w:b w:val="0"/>
          <w:bCs/>
          <w:color w:val="auto"/>
          <w:sz w:val="24"/>
          <w:highlight w:val="none"/>
          <w:u w:val="none"/>
        </w:rPr>
        <w:t>年工作绩效进行评价，全年区PM2.5指标未完成区空气指标年度排名保</w:t>
      </w:r>
      <w:r>
        <w:rPr>
          <w:rFonts w:hint="eastAsia" w:ascii="宋体" w:hAnsi="宋体" w:cs="宋体"/>
          <w:b w:val="0"/>
          <w:bCs/>
          <w:color w:val="auto"/>
          <w:sz w:val="24"/>
          <w:highlight w:val="none"/>
          <w:u w:val="none"/>
          <w:lang w:eastAsia="zh-CN"/>
        </w:rPr>
        <w:t>三</w:t>
      </w:r>
      <w:r>
        <w:rPr>
          <w:rFonts w:hint="eastAsia" w:ascii="宋体" w:hAnsi="宋体" w:cs="宋体"/>
          <w:b w:val="0"/>
          <w:bCs/>
          <w:color w:val="auto"/>
          <w:sz w:val="24"/>
          <w:highlight w:val="none"/>
          <w:u w:val="none"/>
        </w:rPr>
        <w:t>争</w:t>
      </w:r>
      <w:r>
        <w:rPr>
          <w:rFonts w:hint="eastAsia" w:ascii="宋体" w:hAnsi="宋体" w:cs="宋体"/>
          <w:b w:val="0"/>
          <w:bCs/>
          <w:color w:val="auto"/>
          <w:sz w:val="24"/>
          <w:highlight w:val="none"/>
          <w:u w:val="none"/>
          <w:lang w:eastAsia="zh-CN"/>
        </w:rPr>
        <w:t>二</w:t>
      </w:r>
      <w:r>
        <w:rPr>
          <w:rFonts w:hint="eastAsia" w:ascii="宋体" w:hAnsi="宋体" w:cs="宋体"/>
          <w:b w:val="0"/>
          <w:bCs/>
          <w:color w:val="auto"/>
          <w:sz w:val="24"/>
          <w:highlight w:val="none"/>
          <w:u w:val="none"/>
        </w:rPr>
        <w:t>的目标，则合同价款2%的考核资金全额扣除；全年区排名达到全市第</w:t>
      </w:r>
      <w:r>
        <w:rPr>
          <w:rFonts w:hint="eastAsia" w:ascii="宋体" w:hAnsi="宋体" w:cs="宋体"/>
          <w:b w:val="0"/>
          <w:bCs/>
          <w:color w:val="auto"/>
          <w:sz w:val="24"/>
          <w:highlight w:val="none"/>
          <w:u w:val="none"/>
          <w:lang w:eastAsia="zh-CN"/>
        </w:rPr>
        <w:t>三</w:t>
      </w:r>
      <w:r>
        <w:rPr>
          <w:rFonts w:hint="eastAsia" w:ascii="宋体" w:hAnsi="宋体" w:cs="宋体"/>
          <w:b w:val="0"/>
          <w:bCs/>
          <w:color w:val="auto"/>
          <w:sz w:val="24"/>
          <w:highlight w:val="none"/>
          <w:u w:val="none"/>
        </w:rPr>
        <w:t>名，则合同价款2%的考核资金作为奖金向乙方支付全额款项；全年区排名达到全市前</w:t>
      </w:r>
      <w:r>
        <w:rPr>
          <w:rFonts w:hint="eastAsia" w:ascii="宋体" w:hAnsi="宋体" w:cs="宋体"/>
          <w:b w:val="0"/>
          <w:bCs/>
          <w:color w:val="auto"/>
          <w:sz w:val="24"/>
          <w:highlight w:val="none"/>
          <w:u w:val="none"/>
          <w:lang w:eastAsia="zh-CN"/>
        </w:rPr>
        <w:t>二</w:t>
      </w:r>
      <w:r>
        <w:rPr>
          <w:rFonts w:hint="eastAsia" w:ascii="宋体" w:hAnsi="宋体" w:cs="宋体"/>
          <w:b w:val="0"/>
          <w:bCs/>
          <w:color w:val="auto"/>
          <w:sz w:val="24"/>
          <w:highlight w:val="none"/>
          <w:u w:val="none"/>
        </w:rPr>
        <w:t>名，合同价款2%的考核资金作为奖金向乙方支付全额款项且所有考核期的扣除金额作为奖金全额返还乙方。</w:t>
      </w:r>
    </w:p>
    <w:p w14:paraId="5264C373">
      <w:pPr>
        <w:spacing w:line="480" w:lineRule="exact"/>
        <w:ind w:firstLine="480"/>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rPr>
        <w:t>附考核评价表：</w:t>
      </w:r>
    </w:p>
    <w:tbl>
      <w:tblPr>
        <w:tblStyle w:val="25"/>
        <w:tblW w:w="95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23"/>
        <w:gridCol w:w="5575"/>
        <w:gridCol w:w="1496"/>
      </w:tblGrid>
      <w:tr w14:paraId="69596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2523" w:type="dxa"/>
            <w:vAlign w:val="center"/>
          </w:tcPr>
          <w:p w14:paraId="56E04720">
            <w:pPr>
              <w:spacing w:line="480" w:lineRule="exact"/>
              <w:jc w:val="center"/>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rPr>
              <w:t>序号</w:t>
            </w:r>
          </w:p>
        </w:tc>
        <w:tc>
          <w:tcPr>
            <w:tcW w:w="5575" w:type="dxa"/>
            <w:vAlign w:val="center"/>
          </w:tcPr>
          <w:p w14:paraId="5A6E2804">
            <w:pPr>
              <w:spacing w:line="480" w:lineRule="exact"/>
              <w:jc w:val="center"/>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rPr>
              <w:t>打分内容</w:t>
            </w:r>
          </w:p>
        </w:tc>
        <w:tc>
          <w:tcPr>
            <w:tcW w:w="1496" w:type="dxa"/>
            <w:vAlign w:val="center"/>
          </w:tcPr>
          <w:p w14:paraId="0F1233E6">
            <w:pPr>
              <w:spacing w:line="480" w:lineRule="exact"/>
              <w:jc w:val="center"/>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rPr>
              <w:t>分值</w:t>
            </w:r>
          </w:p>
        </w:tc>
      </w:tr>
      <w:tr w14:paraId="69615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5" w:hRule="atLeast"/>
          <w:jc w:val="center"/>
        </w:trPr>
        <w:tc>
          <w:tcPr>
            <w:tcW w:w="2523" w:type="dxa"/>
            <w:vMerge w:val="restart"/>
            <w:vAlign w:val="center"/>
          </w:tcPr>
          <w:p w14:paraId="7582FCE3">
            <w:pPr>
              <w:spacing w:line="480" w:lineRule="exact"/>
              <w:jc w:val="both"/>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rPr>
              <w:t>服务内容考核（50%）</w:t>
            </w:r>
          </w:p>
        </w:tc>
        <w:tc>
          <w:tcPr>
            <w:tcW w:w="5575" w:type="dxa"/>
            <w:vAlign w:val="center"/>
          </w:tcPr>
          <w:p w14:paraId="279BD0D4">
            <w:pPr>
              <w:spacing w:line="480" w:lineRule="exact"/>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rPr>
              <w:t>日常报告（日报、月周报、月报、年报）（0-10分）</w:t>
            </w:r>
          </w:p>
        </w:tc>
        <w:tc>
          <w:tcPr>
            <w:tcW w:w="1496" w:type="dxa"/>
            <w:vAlign w:val="center"/>
          </w:tcPr>
          <w:p w14:paraId="750CCC56">
            <w:pPr>
              <w:spacing w:line="480" w:lineRule="exact"/>
              <w:ind w:firstLine="480"/>
              <w:rPr>
                <w:rFonts w:hint="eastAsia" w:ascii="宋体" w:hAnsi="宋体" w:cs="宋体"/>
                <w:b w:val="0"/>
                <w:bCs/>
                <w:color w:val="auto"/>
                <w:sz w:val="24"/>
                <w:highlight w:val="none"/>
                <w:u w:val="none"/>
              </w:rPr>
            </w:pPr>
          </w:p>
        </w:tc>
      </w:tr>
      <w:tr w14:paraId="0ACA0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2" w:hRule="atLeast"/>
          <w:jc w:val="center"/>
        </w:trPr>
        <w:tc>
          <w:tcPr>
            <w:tcW w:w="2523" w:type="dxa"/>
            <w:vMerge w:val="continue"/>
            <w:vAlign w:val="center"/>
          </w:tcPr>
          <w:p w14:paraId="62AD0E42">
            <w:pPr>
              <w:spacing w:line="480" w:lineRule="exact"/>
              <w:ind w:firstLine="480"/>
              <w:jc w:val="center"/>
              <w:rPr>
                <w:rFonts w:hint="eastAsia" w:ascii="宋体" w:hAnsi="宋体" w:cs="宋体"/>
                <w:b w:val="0"/>
                <w:bCs/>
                <w:color w:val="auto"/>
                <w:sz w:val="24"/>
                <w:highlight w:val="none"/>
                <w:u w:val="none"/>
              </w:rPr>
            </w:pPr>
          </w:p>
        </w:tc>
        <w:tc>
          <w:tcPr>
            <w:tcW w:w="5575" w:type="dxa"/>
            <w:vAlign w:val="center"/>
          </w:tcPr>
          <w:p w14:paraId="08A78170">
            <w:pPr>
              <w:spacing w:line="480" w:lineRule="exact"/>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rPr>
              <w:t>污染地图和清单更新（0-10分）</w:t>
            </w:r>
          </w:p>
        </w:tc>
        <w:tc>
          <w:tcPr>
            <w:tcW w:w="1496" w:type="dxa"/>
            <w:vAlign w:val="center"/>
          </w:tcPr>
          <w:p w14:paraId="4B3BC713">
            <w:pPr>
              <w:spacing w:line="480" w:lineRule="exact"/>
              <w:ind w:firstLine="480"/>
              <w:rPr>
                <w:rFonts w:hint="eastAsia" w:ascii="宋体" w:hAnsi="宋体" w:cs="宋体"/>
                <w:b w:val="0"/>
                <w:bCs/>
                <w:color w:val="auto"/>
                <w:sz w:val="24"/>
                <w:highlight w:val="none"/>
                <w:u w:val="none"/>
              </w:rPr>
            </w:pPr>
          </w:p>
        </w:tc>
      </w:tr>
      <w:tr w14:paraId="2879C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5" w:hRule="atLeast"/>
          <w:jc w:val="center"/>
        </w:trPr>
        <w:tc>
          <w:tcPr>
            <w:tcW w:w="2523" w:type="dxa"/>
            <w:vMerge w:val="continue"/>
            <w:vAlign w:val="center"/>
          </w:tcPr>
          <w:p w14:paraId="295680F1">
            <w:pPr>
              <w:spacing w:line="480" w:lineRule="exact"/>
              <w:ind w:firstLine="480"/>
              <w:jc w:val="center"/>
              <w:rPr>
                <w:rFonts w:hint="eastAsia" w:ascii="宋体" w:hAnsi="宋体" w:cs="宋体"/>
                <w:b w:val="0"/>
                <w:bCs/>
                <w:color w:val="auto"/>
                <w:sz w:val="24"/>
                <w:highlight w:val="none"/>
                <w:u w:val="none"/>
              </w:rPr>
            </w:pPr>
          </w:p>
        </w:tc>
        <w:tc>
          <w:tcPr>
            <w:tcW w:w="5575" w:type="dxa"/>
            <w:vAlign w:val="center"/>
          </w:tcPr>
          <w:p w14:paraId="01F13FF1">
            <w:pPr>
              <w:spacing w:line="480" w:lineRule="exact"/>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rPr>
              <w:t>各类污染源专项排查分析报告（0-10分）</w:t>
            </w:r>
          </w:p>
        </w:tc>
        <w:tc>
          <w:tcPr>
            <w:tcW w:w="1496" w:type="dxa"/>
            <w:vAlign w:val="center"/>
          </w:tcPr>
          <w:p w14:paraId="4A146796">
            <w:pPr>
              <w:spacing w:line="480" w:lineRule="exact"/>
              <w:ind w:firstLine="480"/>
              <w:rPr>
                <w:rFonts w:hint="eastAsia" w:ascii="宋体" w:hAnsi="宋体" w:cs="宋体"/>
                <w:b w:val="0"/>
                <w:bCs/>
                <w:color w:val="auto"/>
                <w:sz w:val="24"/>
                <w:highlight w:val="none"/>
                <w:u w:val="none"/>
              </w:rPr>
            </w:pPr>
          </w:p>
        </w:tc>
      </w:tr>
      <w:tr w14:paraId="0A7E4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3" w:hRule="atLeast"/>
          <w:jc w:val="center"/>
        </w:trPr>
        <w:tc>
          <w:tcPr>
            <w:tcW w:w="2523" w:type="dxa"/>
            <w:vMerge w:val="continue"/>
            <w:vAlign w:val="center"/>
          </w:tcPr>
          <w:p w14:paraId="0AB40F89">
            <w:pPr>
              <w:spacing w:line="480" w:lineRule="exact"/>
              <w:ind w:firstLine="480"/>
              <w:jc w:val="center"/>
              <w:rPr>
                <w:rFonts w:hint="eastAsia" w:ascii="宋体" w:hAnsi="宋体" w:cs="宋体"/>
                <w:b w:val="0"/>
                <w:bCs/>
                <w:color w:val="auto"/>
                <w:sz w:val="24"/>
                <w:highlight w:val="none"/>
                <w:u w:val="none"/>
              </w:rPr>
            </w:pPr>
          </w:p>
        </w:tc>
        <w:tc>
          <w:tcPr>
            <w:tcW w:w="5575" w:type="dxa"/>
            <w:vAlign w:val="center"/>
          </w:tcPr>
          <w:p w14:paraId="2F810090">
            <w:pPr>
              <w:spacing w:line="480" w:lineRule="exact"/>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rPr>
              <w:t>设备运行率（0-10分）</w:t>
            </w:r>
          </w:p>
        </w:tc>
        <w:tc>
          <w:tcPr>
            <w:tcW w:w="1496" w:type="dxa"/>
            <w:vAlign w:val="center"/>
          </w:tcPr>
          <w:p w14:paraId="76F91426">
            <w:pPr>
              <w:spacing w:line="480" w:lineRule="exact"/>
              <w:ind w:firstLine="480"/>
              <w:rPr>
                <w:rFonts w:hint="eastAsia" w:ascii="宋体" w:hAnsi="宋体" w:cs="宋体"/>
                <w:b w:val="0"/>
                <w:bCs/>
                <w:color w:val="auto"/>
                <w:sz w:val="24"/>
                <w:highlight w:val="none"/>
                <w:u w:val="none"/>
              </w:rPr>
            </w:pPr>
          </w:p>
        </w:tc>
      </w:tr>
      <w:tr w14:paraId="5D8B9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3" w:hRule="atLeast"/>
          <w:jc w:val="center"/>
        </w:trPr>
        <w:tc>
          <w:tcPr>
            <w:tcW w:w="2523" w:type="dxa"/>
            <w:vMerge w:val="continue"/>
            <w:vAlign w:val="center"/>
          </w:tcPr>
          <w:p w14:paraId="76A6A7D7">
            <w:pPr>
              <w:spacing w:line="480" w:lineRule="exact"/>
              <w:ind w:firstLine="480"/>
              <w:jc w:val="center"/>
              <w:rPr>
                <w:rFonts w:hint="eastAsia" w:ascii="宋体" w:hAnsi="宋体" w:cs="宋体"/>
                <w:b w:val="0"/>
                <w:bCs/>
                <w:color w:val="auto"/>
                <w:sz w:val="24"/>
                <w:highlight w:val="none"/>
                <w:u w:val="none"/>
              </w:rPr>
            </w:pPr>
          </w:p>
        </w:tc>
        <w:tc>
          <w:tcPr>
            <w:tcW w:w="5575" w:type="dxa"/>
            <w:vAlign w:val="center"/>
          </w:tcPr>
          <w:p w14:paraId="5F7F5F5D">
            <w:pPr>
              <w:spacing w:line="480" w:lineRule="exact"/>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rPr>
              <w:t>专家团队工作配合情况（0-10分）</w:t>
            </w:r>
          </w:p>
        </w:tc>
        <w:tc>
          <w:tcPr>
            <w:tcW w:w="1496" w:type="dxa"/>
            <w:vAlign w:val="center"/>
          </w:tcPr>
          <w:p w14:paraId="2B12E262">
            <w:pPr>
              <w:spacing w:line="480" w:lineRule="exact"/>
              <w:ind w:firstLine="480"/>
              <w:rPr>
                <w:rFonts w:hint="eastAsia" w:ascii="宋体" w:hAnsi="宋体" w:cs="宋体"/>
                <w:b w:val="0"/>
                <w:bCs/>
                <w:color w:val="auto"/>
                <w:sz w:val="24"/>
                <w:highlight w:val="none"/>
                <w:u w:val="none"/>
              </w:rPr>
            </w:pPr>
          </w:p>
        </w:tc>
      </w:tr>
      <w:tr w14:paraId="0DA85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5" w:hRule="atLeast"/>
          <w:jc w:val="center"/>
        </w:trPr>
        <w:tc>
          <w:tcPr>
            <w:tcW w:w="2523" w:type="dxa"/>
            <w:vMerge w:val="restart"/>
            <w:vAlign w:val="center"/>
          </w:tcPr>
          <w:p w14:paraId="12C78B7C">
            <w:pPr>
              <w:spacing w:line="480" w:lineRule="exact"/>
              <w:jc w:val="both"/>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rPr>
              <w:t>排名情况考核（50%）</w:t>
            </w:r>
          </w:p>
        </w:tc>
        <w:tc>
          <w:tcPr>
            <w:tcW w:w="5575" w:type="dxa"/>
            <w:vAlign w:val="center"/>
          </w:tcPr>
          <w:p w14:paraId="57BF8E5A">
            <w:pPr>
              <w:spacing w:line="480" w:lineRule="exact"/>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rPr>
              <w:t>优良率改善率排名（0-25分）</w:t>
            </w:r>
          </w:p>
        </w:tc>
        <w:tc>
          <w:tcPr>
            <w:tcW w:w="1496" w:type="dxa"/>
            <w:vAlign w:val="center"/>
          </w:tcPr>
          <w:p w14:paraId="5CD4F777">
            <w:pPr>
              <w:spacing w:line="480" w:lineRule="exact"/>
              <w:ind w:firstLine="480"/>
              <w:rPr>
                <w:rFonts w:hint="eastAsia" w:ascii="宋体" w:hAnsi="宋体" w:cs="宋体"/>
                <w:b w:val="0"/>
                <w:bCs/>
                <w:color w:val="auto"/>
                <w:sz w:val="24"/>
                <w:highlight w:val="none"/>
                <w:u w:val="none"/>
              </w:rPr>
            </w:pPr>
          </w:p>
        </w:tc>
      </w:tr>
      <w:tr w14:paraId="19EAA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3" w:hRule="atLeast"/>
          <w:jc w:val="center"/>
        </w:trPr>
        <w:tc>
          <w:tcPr>
            <w:tcW w:w="2523" w:type="dxa"/>
            <w:vMerge w:val="continue"/>
            <w:vAlign w:val="center"/>
          </w:tcPr>
          <w:p w14:paraId="230BA6D3">
            <w:pPr>
              <w:spacing w:line="480" w:lineRule="exact"/>
              <w:ind w:firstLine="480"/>
              <w:rPr>
                <w:rFonts w:hint="eastAsia" w:ascii="宋体" w:hAnsi="宋体" w:cs="宋体"/>
                <w:b w:val="0"/>
                <w:bCs/>
                <w:color w:val="auto"/>
                <w:sz w:val="24"/>
                <w:highlight w:val="none"/>
                <w:u w:val="none"/>
              </w:rPr>
            </w:pPr>
          </w:p>
        </w:tc>
        <w:tc>
          <w:tcPr>
            <w:tcW w:w="5575" w:type="dxa"/>
            <w:vAlign w:val="center"/>
          </w:tcPr>
          <w:p w14:paraId="2687B679">
            <w:pPr>
              <w:spacing w:line="480" w:lineRule="exact"/>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rPr>
              <w:t>PM2.5改善率排名（0-25分）</w:t>
            </w:r>
          </w:p>
        </w:tc>
        <w:tc>
          <w:tcPr>
            <w:tcW w:w="1496" w:type="dxa"/>
            <w:vAlign w:val="center"/>
          </w:tcPr>
          <w:p w14:paraId="610B7ED1">
            <w:pPr>
              <w:spacing w:line="480" w:lineRule="exact"/>
              <w:ind w:firstLine="480"/>
              <w:rPr>
                <w:rFonts w:hint="eastAsia" w:ascii="宋体" w:hAnsi="宋体" w:cs="宋体"/>
                <w:b w:val="0"/>
                <w:bCs/>
                <w:color w:val="auto"/>
                <w:sz w:val="24"/>
                <w:highlight w:val="none"/>
                <w:u w:val="none"/>
              </w:rPr>
            </w:pPr>
          </w:p>
        </w:tc>
      </w:tr>
      <w:tr w14:paraId="0CC38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8098" w:type="dxa"/>
            <w:gridSpan w:val="2"/>
            <w:vAlign w:val="center"/>
          </w:tcPr>
          <w:p w14:paraId="58DA7B0D">
            <w:pPr>
              <w:spacing w:line="480" w:lineRule="exact"/>
              <w:ind w:firstLine="480"/>
              <w:rPr>
                <w:rFonts w:hint="eastAsia" w:ascii="宋体" w:hAnsi="宋体" w:cs="宋体"/>
                <w:b w:val="0"/>
                <w:bCs/>
                <w:color w:val="auto"/>
                <w:sz w:val="24"/>
                <w:highlight w:val="none"/>
                <w:u w:val="none"/>
              </w:rPr>
            </w:pPr>
            <w:r>
              <w:rPr>
                <w:rFonts w:hint="eastAsia" w:ascii="宋体" w:hAnsi="宋体" w:cs="宋体"/>
                <w:b w:val="0"/>
                <w:bCs/>
                <w:color w:val="auto"/>
                <w:sz w:val="24"/>
                <w:highlight w:val="none"/>
                <w:u w:val="none"/>
              </w:rPr>
              <w:t>考核总分</w:t>
            </w:r>
          </w:p>
        </w:tc>
        <w:tc>
          <w:tcPr>
            <w:tcW w:w="1496" w:type="dxa"/>
            <w:vAlign w:val="center"/>
          </w:tcPr>
          <w:p w14:paraId="3C0F4A12">
            <w:pPr>
              <w:spacing w:line="480" w:lineRule="exact"/>
              <w:ind w:firstLine="480"/>
              <w:rPr>
                <w:rFonts w:hint="eastAsia" w:ascii="宋体" w:hAnsi="宋体" w:cs="宋体"/>
                <w:b w:val="0"/>
                <w:bCs/>
                <w:color w:val="auto"/>
                <w:sz w:val="24"/>
                <w:highlight w:val="none"/>
                <w:u w:val="none"/>
              </w:rPr>
            </w:pPr>
          </w:p>
        </w:tc>
      </w:tr>
    </w:tbl>
    <w:p w14:paraId="1B54DA68">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default"/>
          <w:b w:val="0"/>
          <w:bCs/>
          <w:u w:val="none"/>
        </w:rPr>
      </w:pPr>
      <w:r>
        <w:rPr>
          <w:rFonts w:hint="eastAsia" w:ascii="宋体" w:hAnsi="宋体" w:cs="宋体"/>
          <w:b w:val="0"/>
          <w:bCs/>
          <w:color w:val="auto"/>
          <w:sz w:val="24"/>
          <w:highlight w:val="none"/>
          <w:u w:val="none"/>
          <w:lang w:val="zh-CN"/>
        </w:rPr>
        <w:t>注：甲方支付款项前由乙方开具增值税专用发票以及相应付款资料，完成请款手续，甲方转账至乙方提供的账户。以上付款均无银行利息，一律通过银行结转，付款日期以甲方通知银行付款日期为准。如乙方提供的发票及其它资料存在瑕疵则由乙方重新补足提交审核，甲方的付款时间相应顺延并不负任何违约责任。</w:t>
      </w:r>
    </w:p>
    <w:p w14:paraId="0A45D2B3">
      <w:pPr>
        <w:pStyle w:val="2"/>
        <w:keepNext w:val="0"/>
        <w:keepLines w:val="0"/>
        <w:pageBreakBefore w:val="0"/>
        <w:widowControl w:val="0"/>
        <w:numPr>
          <w:ilvl w:val="0"/>
          <w:numId w:val="59"/>
        </w:numPr>
        <w:tabs>
          <w:tab w:val="left" w:pos="1081"/>
        </w:tabs>
        <w:kinsoku/>
        <w:wordWrap/>
        <w:overflowPunct/>
        <w:topLinePunct w:val="0"/>
        <w:autoSpaceDE/>
        <w:autoSpaceDN/>
        <w:bidi w:val="0"/>
        <w:adjustRightInd/>
        <w:snapToGrid/>
        <w:spacing w:before="0" w:beforeLines="0" w:after="0" w:line="360" w:lineRule="exact"/>
        <w:ind w:left="0" w:leftChars="0" w:firstLine="480" w:firstLineChars="200"/>
        <w:textAlignment w:val="auto"/>
        <w:rPr>
          <w:rFonts w:hint="default" w:ascii="Times New Roman" w:hAnsi="Times New Roman" w:cs="Times New Roman"/>
          <w:b w:val="0"/>
          <w:bCs/>
          <w:highlight w:val="none"/>
          <w:u w:val="none"/>
        </w:rPr>
      </w:pPr>
      <w:r>
        <w:rPr>
          <w:rFonts w:hint="default" w:ascii="Times New Roman" w:hAnsi="Times New Roman" w:cs="Times New Roman"/>
          <w:b w:val="0"/>
          <w:bCs/>
          <w:highlight w:val="none"/>
          <w:u w:val="none"/>
        </w:rPr>
        <w:t>税费</w:t>
      </w:r>
    </w:p>
    <w:p w14:paraId="2CB4DA13">
      <w:pPr>
        <w:pStyle w:val="12"/>
        <w:keepNext w:val="0"/>
        <w:keepLines w:val="0"/>
        <w:pageBreakBefore w:val="0"/>
        <w:widowControl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9.1本合同执行中相关的一切税费均由乙方负担。</w:t>
      </w:r>
    </w:p>
    <w:p w14:paraId="689A5B20">
      <w:pPr>
        <w:pStyle w:val="2"/>
        <w:keepNext w:val="0"/>
        <w:keepLines w:val="0"/>
        <w:pageBreakBefore w:val="0"/>
        <w:widowControl w:val="0"/>
        <w:numPr>
          <w:ilvl w:val="0"/>
          <w:numId w:val="5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项目验收</w:t>
      </w:r>
    </w:p>
    <w:p w14:paraId="149063A2">
      <w:pPr>
        <w:pStyle w:val="12"/>
        <w:keepNext w:val="0"/>
        <w:keepLines w:val="0"/>
        <w:pageBreakBefore w:val="0"/>
        <w:widowControl w:val="0"/>
        <w:numPr>
          <w:ilvl w:val="0"/>
          <w:numId w:val="6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甲方依法组织履约验收工作。</w:t>
      </w:r>
    </w:p>
    <w:p w14:paraId="47373A6E">
      <w:pPr>
        <w:pStyle w:val="12"/>
        <w:keepNext w:val="0"/>
        <w:keepLines w:val="0"/>
        <w:pageBreakBefore w:val="0"/>
        <w:widowControl w:val="0"/>
        <w:numPr>
          <w:ilvl w:val="0"/>
          <w:numId w:val="6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5560A25">
      <w:pPr>
        <w:pStyle w:val="12"/>
        <w:keepNext w:val="0"/>
        <w:keepLines w:val="0"/>
        <w:pageBreakBefore w:val="0"/>
        <w:numPr>
          <w:ilvl w:val="0"/>
          <w:numId w:val="6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对于实际使用人和甲方分离的项目，甲方邀请实际使用人参与验收。</w:t>
      </w:r>
    </w:p>
    <w:p w14:paraId="657A5185">
      <w:pPr>
        <w:pStyle w:val="12"/>
        <w:keepNext w:val="0"/>
        <w:keepLines w:val="0"/>
        <w:pageBreakBefore w:val="0"/>
        <w:numPr>
          <w:ilvl w:val="0"/>
          <w:numId w:val="6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如有必要，甲方邀请参加本项目的其他供应商或第三方专业机构及专家参与验收，相关意见将作为验收书的参考资料。</w:t>
      </w:r>
    </w:p>
    <w:p w14:paraId="1A6EF87E">
      <w:pPr>
        <w:pStyle w:val="12"/>
        <w:keepNext w:val="0"/>
        <w:keepLines w:val="0"/>
        <w:pageBreakBefore w:val="0"/>
        <w:numPr>
          <w:ilvl w:val="0"/>
          <w:numId w:val="6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2203406">
      <w:pPr>
        <w:pStyle w:val="12"/>
        <w:keepNext w:val="0"/>
        <w:keepLines w:val="0"/>
        <w:pageBreakBefore w:val="0"/>
        <w:numPr>
          <w:ilvl w:val="0"/>
          <w:numId w:val="67"/>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1F6EF59">
      <w:pPr>
        <w:pStyle w:val="2"/>
        <w:keepNext w:val="0"/>
        <w:keepLines w:val="0"/>
        <w:pageBreakBefore w:val="0"/>
        <w:numPr>
          <w:ilvl w:val="0"/>
          <w:numId w:val="5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违约责任</w:t>
      </w:r>
    </w:p>
    <w:p w14:paraId="71DBE1B6">
      <w:pPr>
        <w:pStyle w:val="12"/>
        <w:keepNext w:val="0"/>
        <w:keepLines w:val="0"/>
        <w:pageBreakBefore w:val="0"/>
        <w:numPr>
          <w:ilvl w:val="0"/>
          <w:numId w:val="68"/>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甲方无正当理由拒绝接受乙方提供服务的，甲方向乙方偿付拒绝接受服务合同价款总值</w:t>
      </w:r>
      <w:r>
        <w:rPr>
          <w:rFonts w:hint="default" w:ascii="Times New Roman" w:hAnsi="Times New Roman" w:cs="Times New Roman"/>
          <w:color w:val="auto"/>
          <w:highlight w:val="none"/>
          <w:u w:val="single"/>
        </w:rPr>
        <w:t>百分之五</w:t>
      </w:r>
      <w:r>
        <w:rPr>
          <w:rFonts w:hint="default" w:ascii="Times New Roman" w:hAnsi="Times New Roman" w:cs="Times New Roman"/>
          <w:color w:val="auto"/>
          <w:highlight w:val="none"/>
        </w:rPr>
        <w:t>的违约金。</w:t>
      </w:r>
    </w:p>
    <w:p w14:paraId="30E17E44">
      <w:pPr>
        <w:pStyle w:val="12"/>
        <w:keepNext w:val="0"/>
        <w:keepLines w:val="0"/>
        <w:pageBreakBefore w:val="0"/>
        <w:numPr>
          <w:ilvl w:val="0"/>
          <w:numId w:val="68"/>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甲方无故逾期验收和办理合同款项支付手续的,甲方应按逾期付款总额</w:t>
      </w:r>
      <w:r>
        <w:rPr>
          <w:rFonts w:hint="default" w:ascii="Times New Roman" w:hAnsi="Times New Roman" w:cs="Times New Roman"/>
          <w:color w:val="auto"/>
          <w:highlight w:val="none"/>
          <w:u w:val="single"/>
        </w:rPr>
        <w:t>万分之一</w:t>
      </w:r>
      <w:r>
        <w:rPr>
          <w:rFonts w:hint="default" w:ascii="Times New Roman" w:hAnsi="Times New Roman" w:cs="Times New Roman"/>
          <w:color w:val="auto"/>
          <w:highlight w:val="none"/>
        </w:rPr>
        <w:t>每日向乙方支付违约金。</w:t>
      </w:r>
    </w:p>
    <w:p w14:paraId="1A10F858">
      <w:pPr>
        <w:pStyle w:val="12"/>
        <w:keepNext w:val="0"/>
        <w:keepLines w:val="0"/>
        <w:pageBreakBefore w:val="0"/>
        <w:numPr>
          <w:ilvl w:val="0"/>
          <w:numId w:val="68"/>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乙方逾期提供服务的，乙方应按逾期提供服务合同总额每日</w:t>
      </w:r>
      <w:r>
        <w:rPr>
          <w:rFonts w:hint="default" w:ascii="Times New Roman" w:hAnsi="Times New Roman" w:cs="Times New Roman"/>
          <w:color w:val="auto"/>
          <w:highlight w:val="none"/>
          <w:u w:val="single"/>
        </w:rPr>
        <w:t>千分之六</w:t>
      </w:r>
      <w:r>
        <w:rPr>
          <w:rFonts w:hint="default" w:ascii="Times New Roman" w:hAnsi="Times New Roman" w:cs="Times New Roman"/>
          <w:color w:val="auto"/>
          <w:highlight w:val="none"/>
        </w:rPr>
        <w:t>向甲方支付违约金，由甲方从待付合同款项中扣除。逾期超过约定日期10个工作日不能提供服务的，甲方有权解除本合同。乙方因逾期提供服务或因其他违约行为导致甲方解除合同的，乙方应向甲方支付合同价款总额</w:t>
      </w:r>
      <w:r>
        <w:rPr>
          <w:rFonts w:hint="default" w:ascii="Times New Roman" w:hAnsi="Times New Roman" w:cs="Times New Roman"/>
          <w:color w:val="auto"/>
          <w:highlight w:val="none"/>
          <w:u w:val="single"/>
        </w:rPr>
        <w:t>百分之五</w:t>
      </w:r>
      <w:r>
        <w:rPr>
          <w:rFonts w:hint="default" w:ascii="Times New Roman" w:hAnsi="Times New Roman" w:cs="Times New Roman"/>
          <w:color w:val="auto"/>
          <w:highlight w:val="none"/>
        </w:rPr>
        <w:t xml:space="preserve">的违约金，如造成甲方损失超过违约金的，超出部分由乙方继续承担赔偿责任。 </w:t>
      </w:r>
    </w:p>
    <w:p w14:paraId="23E74878">
      <w:pPr>
        <w:pStyle w:val="12"/>
        <w:keepNext w:val="0"/>
        <w:keepLines w:val="0"/>
        <w:pageBreakBefore w:val="0"/>
        <w:numPr>
          <w:ilvl w:val="0"/>
          <w:numId w:val="68"/>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乙方所提供服务的标准不符合合同规定及招标文件规定标准的，甲方有权拒绝接受服务，并可单方面解除合同。</w:t>
      </w:r>
    </w:p>
    <w:p w14:paraId="007BC25A">
      <w:pPr>
        <w:pStyle w:val="2"/>
        <w:keepNext w:val="0"/>
        <w:keepLines w:val="0"/>
        <w:pageBreakBefore w:val="0"/>
        <w:numPr>
          <w:ilvl w:val="0"/>
          <w:numId w:val="5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不可抗力事件处理</w:t>
      </w:r>
    </w:p>
    <w:p w14:paraId="1D3724FC">
      <w:pPr>
        <w:pStyle w:val="12"/>
        <w:keepNext w:val="0"/>
        <w:keepLines w:val="0"/>
        <w:pageBreakBefore w:val="0"/>
        <w:numPr>
          <w:ilvl w:val="0"/>
          <w:numId w:val="6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在合同有效期内，任何一方因不可抗力事件导致不能履行合同，则合同履行期可延长，其延长期与不可抗力影响 期相同。</w:t>
      </w:r>
    </w:p>
    <w:p w14:paraId="32716C41">
      <w:pPr>
        <w:pStyle w:val="12"/>
        <w:keepNext w:val="0"/>
        <w:keepLines w:val="0"/>
        <w:pageBreakBefore w:val="0"/>
        <w:numPr>
          <w:ilvl w:val="0"/>
          <w:numId w:val="6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不可抗力事件发生后，应立即通知对方，并寄送有关权威机构出具的证明。</w:t>
      </w:r>
    </w:p>
    <w:p w14:paraId="6B03DA00">
      <w:pPr>
        <w:pStyle w:val="12"/>
        <w:keepNext w:val="0"/>
        <w:keepLines w:val="0"/>
        <w:pageBreakBefore w:val="0"/>
        <w:numPr>
          <w:ilvl w:val="0"/>
          <w:numId w:val="69"/>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不可抗力事件延续120天以上，双方应通过友好协商，确定是否继续履行合同。</w:t>
      </w:r>
    </w:p>
    <w:p w14:paraId="2EC1E2C8">
      <w:pPr>
        <w:pStyle w:val="2"/>
        <w:keepNext w:val="0"/>
        <w:keepLines w:val="0"/>
        <w:pageBreakBefore w:val="0"/>
        <w:numPr>
          <w:ilvl w:val="0"/>
          <w:numId w:val="5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解决争议的方法</w:t>
      </w:r>
    </w:p>
    <w:p w14:paraId="668998D4">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13.1双方在签订、履行合同中所发生的一切争议，应通过友好协商解决。如协商不成，由甲方住所地人民法院管辖。</w:t>
      </w:r>
    </w:p>
    <w:p w14:paraId="72DB5EF9">
      <w:pPr>
        <w:pStyle w:val="2"/>
        <w:keepNext w:val="0"/>
        <w:keepLines w:val="0"/>
        <w:pageBreakBefore w:val="0"/>
        <w:numPr>
          <w:ilvl w:val="0"/>
          <w:numId w:val="59"/>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合同生效及其它</w:t>
      </w:r>
    </w:p>
    <w:p w14:paraId="2D7CCD0E">
      <w:pPr>
        <w:pStyle w:val="12"/>
        <w:keepNext w:val="0"/>
        <w:keepLines w:val="0"/>
        <w:pageBreakBefore w:val="0"/>
        <w:numPr>
          <w:ilvl w:val="0"/>
          <w:numId w:val="70"/>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合同经双方法定代表人或授权委托代表人签字并加盖单位公章后生效。</w:t>
      </w:r>
    </w:p>
    <w:p w14:paraId="63D22968">
      <w:pPr>
        <w:pStyle w:val="12"/>
        <w:keepNext w:val="0"/>
        <w:keepLines w:val="0"/>
        <w:pageBreakBefore w:val="0"/>
        <w:numPr>
          <w:ilvl w:val="0"/>
          <w:numId w:val="70"/>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本合同未尽事宜，遵照《中华人民共和国民法典》、《中华人民共和国政府采购法》有关条文执行。</w:t>
      </w:r>
    </w:p>
    <w:p w14:paraId="0B869D5E">
      <w:pPr>
        <w:pStyle w:val="12"/>
        <w:keepNext w:val="0"/>
        <w:keepLines w:val="0"/>
        <w:pageBreakBefore w:val="0"/>
        <w:numPr>
          <w:ilvl w:val="0"/>
          <w:numId w:val="70"/>
        </w:numPr>
        <w:tabs>
          <w:tab w:val="left" w:pos="102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本合同正本一式捌份，具有同等法律效力，甲方、乙方各执肆份。</w:t>
      </w:r>
    </w:p>
    <w:p w14:paraId="5A19AA90">
      <w:pPr>
        <w:pStyle w:val="21"/>
        <w:keepNext w:val="0"/>
        <w:keepLines w:val="0"/>
        <w:pageBreakBefore w:val="0"/>
        <w:kinsoku/>
        <w:wordWrap/>
        <w:overflowPunct/>
        <w:topLinePunct w:val="0"/>
        <w:autoSpaceDE/>
        <w:autoSpaceDN/>
        <w:bidi w:val="0"/>
        <w:adjustRightInd/>
        <w:snapToGrid/>
        <w:spacing w:beforeAutospacing="0" w:afterAutospacing="0" w:line="360" w:lineRule="exact"/>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甲方：</w:t>
      </w:r>
      <w:r>
        <w:rPr>
          <w:rFonts w:hint="default"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乙方： </w:t>
      </w:r>
    </w:p>
    <w:p w14:paraId="4D343465">
      <w:pPr>
        <w:pStyle w:val="21"/>
        <w:keepNext w:val="0"/>
        <w:keepLines w:val="0"/>
        <w:pageBreakBefore w:val="0"/>
        <w:kinsoku/>
        <w:wordWrap/>
        <w:overflowPunct/>
        <w:topLinePunct w:val="0"/>
        <w:autoSpaceDE/>
        <w:autoSpaceDN/>
        <w:bidi w:val="0"/>
        <w:adjustRightInd/>
        <w:snapToGrid/>
        <w:spacing w:beforeAutospacing="0" w:afterAutospacing="0" w:line="360" w:lineRule="exact"/>
        <w:ind w:left="480" w:leftChars="0" w:firstLine="0" w:firstLineChars="0"/>
        <w:jc w:val="both"/>
        <w:textAlignment w:val="auto"/>
        <w:rPr>
          <w:rFonts w:hint="default" w:ascii="Times New Roman" w:hAnsi="Times New Roman" w:eastAsia="仿宋" w:cs="Times New Roman"/>
          <w:color w:val="auto"/>
          <w:sz w:val="28"/>
          <w:szCs w:val="28"/>
          <w:highlight w:val="none"/>
        </w:rPr>
      </w:pPr>
      <w:r>
        <w:rPr>
          <w:rFonts w:hint="default" w:ascii="Times New Roman" w:hAnsi="Times New Roman" w:eastAsia="宋体" w:cs="Times New Roman"/>
          <w:color w:val="auto"/>
          <w:sz w:val="24"/>
          <w:szCs w:val="24"/>
          <w:highlight w:val="none"/>
        </w:rPr>
        <w:t>地址：</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地址： </w:t>
      </w:r>
    </w:p>
    <w:p w14:paraId="7E812BB8">
      <w:pPr>
        <w:pStyle w:val="21"/>
        <w:keepNext w:val="0"/>
        <w:keepLines w:val="0"/>
        <w:pageBreakBefore w:val="0"/>
        <w:kinsoku/>
        <w:wordWrap/>
        <w:overflowPunct/>
        <w:topLinePunct w:val="0"/>
        <w:autoSpaceDE/>
        <w:autoSpaceDN/>
        <w:bidi w:val="0"/>
        <w:adjustRightInd/>
        <w:snapToGrid/>
        <w:spacing w:beforeAutospacing="0" w:afterAutospacing="0" w:line="360" w:lineRule="exact"/>
        <w:ind w:left="480" w:leftChars="0" w:firstLine="0" w:firstLineChars="0"/>
        <w:jc w:val="both"/>
        <w:textAlignment w:val="auto"/>
        <w:rPr>
          <w:rFonts w:hint="default" w:ascii="Times New Roman" w:hAnsi="Times New Roman" w:eastAsia="宋体" w:cs="Times New Roman"/>
          <w:color w:val="auto"/>
          <w:sz w:val="24"/>
          <w:szCs w:val="28"/>
          <w:highlight w:val="none"/>
        </w:rPr>
      </w:pPr>
      <w:r>
        <w:rPr>
          <w:rFonts w:hint="default" w:ascii="Times New Roman" w:hAnsi="Times New Roman" w:eastAsia="宋体" w:cs="Times New Roman"/>
          <w:color w:val="auto"/>
          <w:sz w:val="24"/>
          <w:szCs w:val="28"/>
          <w:highlight w:val="none"/>
        </w:rPr>
        <w:t>法定代表人或授权代表：</w:t>
      </w:r>
      <w:r>
        <w:rPr>
          <w:rFonts w:hint="eastAsia" w:ascii="Times New Roman" w:hAnsi="Times New Roman" w:eastAsia="宋体" w:cs="Times New Roman"/>
          <w:color w:val="auto"/>
          <w:sz w:val="24"/>
          <w:szCs w:val="28"/>
          <w:highlight w:val="none"/>
          <w:lang w:val="en-US" w:eastAsia="zh-CN"/>
        </w:rPr>
        <w:t xml:space="preserve">                   </w:t>
      </w:r>
      <w:r>
        <w:rPr>
          <w:rFonts w:hint="default" w:ascii="Times New Roman" w:hAnsi="Times New Roman" w:eastAsia="宋体" w:cs="Times New Roman"/>
          <w:color w:val="auto"/>
          <w:sz w:val="24"/>
          <w:szCs w:val="28"/>
          <w:highlight w:val="none"/>
        </w:rPr>
        <w:t>法定代表人或授权代表：</w:t>
      </w:r>
    </w:p>
    <w:p w14:paraId="2D180239">
      <w:pPr>
        <w:pStyle w:val="21"/>
        <w:keepNext w:val="0"/>
        <w:keepLines w:val="0"/>
        <w:pageBreakBefore w:val="0"/>
        <w:kinsoku/>
        <w:wordWrap/>
        <w:overflowPunct/>
        <w:topLinePunct w:val="0"/>
        <w:autoSpaceDE/>
        <w:autoSpaceDN/>
        <w:bidi w:val="0"/>
        <w:adjustRightInd/>
        <w:snapToGrid/>
        <w:spacing w:beforeAutospacing="0" w:afterAutospacing="0" w:line="360" w:lineRule="exact"/>
        <w:ind w:left="480" w:leftChars="0" w:firstLine="0" w:firstLineChars="0"/>
        <w:jc w:val="both"/>
        <w:textAlignment w:val="auto"/>
        <w:rPr>
          <w:rFonts w:hint="eastAsia" w:ascii="Times New Roman" w:hAnsi="Times New Roman" w:eastAsia="宋体" w:cs="Times New Roman"/>
          <w:color w:val="auto"/>
          <w:sz w:val="24"/>
          <w:szCs w:val="28"/>
          <w:highlight w:val="none"/>
          <w:lang w:val="en-US" w:eastAsia="zh-CN"/>
        </w:rPr>
      </w:pPr>
      <w:r>
        <w:rPr>
          <w:rFonts w:hint="default" w:ascii="Times New Roman" w:hAnsi="Times New Roman" w:eastAsia="宋体" w:cs="Times New Roman"/>
          <w:color w:val="auto"/>
          <w:sz w:val="24"/>
          <w:szCs w:val="28"/>
          <w:highlight w:val="none"/>
        </w:rPr>
        <w:t>联系电话：</w:t>
      </w:r>
      <w:r>
        <w:rPr>
          <w:rFonts w:hint="eastAsia" w:ascii="Times New Roman" w:hAnsi="Times New Roman" w:eastAsia="宋体" w:cs="Times New Roman"/>
          <w:color w:val="auto"/>
          <w:sz w:val="24"/>
          <w:szCs w:val="28"/>
          <w:highlight w:val="none"/>
          <w:lang w:val="en-US" w:eastAsia="zh-CN"/>
        </w:rPr>
        <w:t xml:space="preserve">                               </w:t>
      </w:r>
      <w:r>
        <w:rPr>
          <w:rFonts w:hint="default" w:ascii="Times New Roman" w:hAnsi="Times New Roman" w:eastAsia="宋体" w:cs="Times New Roman"/>
          <w:color w:val="auto"/>
          <w:sz w:val="24"/>
          <w:szCs w:val="28"/>
          <w:highlight w:val="none"/>
        </w:rPr>
        <w:t>联系电话：</w:t>
      </w:r>
      <w:r>
        <w:rPr>
          <w:rFonts w:hint="eastAsia" w:ascii="Times New Roman" w:hAnsi="Times New Roman" w:eastAsia="宋体" w:cs="Times New Roman"/>
          <w:color w:val="auto"/>
          <w:sz w:val="24"/>
          <w:szCs w:val="28"/>
          <w:highlight w:val="none"/>
          <w:lang w:val="en-US" w:eastAsia="zh-CN"/>
        </w:rPr>
        <w:t xml:space="preserve"> </w:t>
      </w:r>
    </w:p>
    <w:p w14:paraId="5A1EDE37">
      <w:pPr>
        <w:pStyle w:val="21"/>
        <w:keepNext w:val="0"/>
        <w:keepLines w:val="0"/>
        <w:pageBreakBefore w:val="0"/>
        <w:kinsoku/>
        <w:wordWrap/>
        <w:overflowPunct/>
        <w:topLinePunct w:val="0"/>
        <w:autoSpaceDE/>
        <w:autoSpaceDN/>
        <w:bidi w:val="0"/>
        <w:adjustRightInd/>
        <w:snapToGrid/>
        <w:spacing w:beforeAutospacing="0" w:afterAutospacing="0" w:line="360" w:lineRule="exact"/>
        <w:jc w:val="right"/>
        <w:textAlignment w:val="auto"/>
        <w:rPr>
          <w:rFonts w:hint="default" w:ascii="Times New Roman" w:hAnsi="Times New Roman" w:eastAsia="宋体" w:cs="Times New Roman"/>
          <w:color w:val="auto"/>
          <w:sz w:val="24"/>
          <w:szCs w:val="28"/>
          <w:highlight w:val="none"/>
        </w:rPr>
      </w:pPr>
    </w:p>
    <w:p w14:paraId="4DAD8595">
      <w:pPr>
        <w:pStyle w:val="21"/>
        <w:keepNext w:val="0"/>
        <w:keepLines w:val="0"/>
        <w:pageBreakBefore w:val="0"/>
        <w:kinsoku/>
        <w:wordWrap/>
        <w:overflowPunct/>
        <w:topLinePunct w:val="0"/>
        <w:autoSpaceDE/>
        <w:autoSpaceDN/>
        <w:bidi w:val="0"/>
        <w:adjustRightInd/>
        <w:snapToGrid/>
        <w:spacing w:beforeAutospacing="0" w:afterAutospacing="0" w:line="360" w:lineRule="exact"/>
        <w:jc w:val="right"/>
        <w:textAlignment w:val="auto"/>
        <w:rPr>
          <w:rFonts w:hint="default" w:ascii="Times New Roman" w:hAnsi="Times New Roman" w:eastAsia="宋体" w:cs="Times New Roman"/>
          <w:color w:val="auto"/>
          <w:sz w:val="24"/>
          <w:szCs w:val="28"/>
          <w:highlight w:val="none"/>
        </w:rPr>
      </w:pPr>
    </w:p>
    <w:p w14:paraId="63B26898">
      <w:pPr>
        <w:pStyle w:val="21"/>
        <w:keepNext w:val="0"/>
        <w:keepLines w:val="0"/>
        <w:pageBreakBefore w:val="0"/>
        <w:kinsoku/>
        <w:wordWrap/>
        <w:overflowPunct/>
        <w:topLinePunct w:val="0"/>
        <w:autoSpaceDE/>
        <w:autoSpaceDN/>
        <w:bidi w:val="0"/>
        <w:adjustRightInd/>
        <w:snapToGrid/>
        <w:spacing w:beforeAutospacing="0" w:afterAutospacing="0" w:line="360" w:lineRule="exact"/>
        <w:jc w:val="right"/>
        <w:textAlignment w:val="auto"/>
        <w:rPr>
          <w:rFonts w:hint="default" w:ascii="Times New Roman" w:hAnsi="Times New Roman" w:eastAsia="宋体" w:cs="Times New Roman"/>
          <w:color w:val="auto"/>
          <w:sz w:val="24"/>
          <w:szCs w:val="28"/>
          <w:highlight w:val="none"/>
        </w:rPr>
      </w:pPr>
      <w:r>
        <w:rPr>
          <w:rFonts w:hint="default" w:ascii="Times New Roman" w:hAnsi="Times New Roman" w:eastAsia="宋体" w:cs="Times New Roman"/>
          <w:color w:val="auto"/>
          <w:sz w:val="24"/>
          <w:szCs w:val="28"/>
          <w:highlight w:val="none"/>
        </w:rPr>
        <w:t>签订日期：</w:t>
      </w:r>
      <w:r>
        <w:rPr>
          <w:rFonts w:hint="eastAsia" w:ascii="Times New Roman" w:hAnsi="Times New Roman" w:eastAsia="宋体" w:cs="Times New Roman"/>
          <w:color w:val="auto"/>
          <w:sz w:val="24"/>
          <w:szCs w:val="28"/>
          <w:highlight w:val="none"/>
          <w:lang w:val="en-US" w:eastAsia="zh-CN"/>
        </w:rPr>
        <w:t xml:space="preserve">    </w:t>
      </w:r>
      <w:r>
        <w:rPr>
          <w:rFonts w:hint="default" w:ascii="Times New Roman" w:hAnsi="Times New Roman" w:eastAsia="宋体" w:cs="Times New Roman"/>
          <w:color w:val="auto"/>
          <w:sz w:val="24"/>
          <w:szCs w:val="28"/>
          <w:highlight w:val="none"/>
        </w:rPr>
        <w:t>年</w:t>
      </w:r>
      <w:r>
        <w:rPr>
          <w:rFonts w:hint="eastAsia" w:ascii="Times New Roman" w:hAnsi="Times New Roman" w:eastAsia="宋体" w:cs="Times New Roman"/>
          <w:color w:val="auto"/>
          <w:sz w:val="24"/>
          <w:szCs w:val="28"/>
          <w:highlight w:val="none"/>
          <w:lang w:val="en-US" w:eastAsia="zh-CN"/>
        </w:rPr>
        <w:t xml:space="preserve">  </w:t>
      </w:r>
      <w:r>
        <w:rPr>
          <w:rFonts w:hint="default" w:ascii="Times New Roman" w:hAnsi="Times New Roman" w:eastAsia="宋体" w:cs="Times New Roman"/>
          <w:color w:val="auto"/>
          <w:sz w:val="24"/>
          <w:szCs w:val="28"/>
          <w:highlight w:val="none"/>
        </w:rPr>
        <w:t>月</w:t>
      </w:r>
      <w:r>
        <w:rPr>
          <w:rFonts w:hint="eastAsia" w:ascii="Times New Roman" w:hAnsi="Times New Roman" w:eastAsia="宋体" w:cs="Times New Roman"/>
          <w:color w:val="auto"/>
          <w:sz w:val="24"/>
          <w:szCs w:val="28"/>
          <w:highlight w:val="none"/>
          <w:lang w:val="en-US" w:eastAsia="zh-CN"/>
        </w:rPr>
        <w:t xml:space="preserve">  </w:t>
      </w:r>
      <w:r>
        <w:rPr>
          <w:rFonts w:hint="default" w:ascii="Times New Roman" w:hAnsi="Times New Roman" w:eastAsia="宋体" w:cs="Times New Roman"/>
          <w:color w:val="auto"/>
          <w:sz w:val="24"/>
          <w:szCs w:val="28"/>
          <w:highlight w:val="none"/>
        </w:rPr>
        <w:t>日</w:t>
      </w:r>
    </w:p>
    <w:p w14:paraId="6B2C5B37">
      <w:pPr>
        <w:keepNext w:val="0"/>
        <w:keepLines w:val="0"/>
        <w:pageBreakBefore w:val="0"/>
        <w:kinsoku/>
        <w:wordWrap/>
        <w:overflowPunct/>
        <w:topLinePunct w:val="0"/>
        <w:autoSpaceDE/>
        <w:autoSpaceDN/>
        <w:bidi w:val="0"/>
        <w:adjustRightInd/>
        <w:snapToGrid/>
        <w:spacing w:line="360" w:lineRule="exact"/>
        <w:textAlignment w:val="auto"/>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br w:type="page"/>
      </w:r>
    </w:p>
    <w:bookmarkEnd w:id="170"/>
    <w:p w14:paraId="64399B55">
      <w:pPr>
        <w:pStyle w:val="49"/>
        <w:keepNext w:val="0"/>
        <w:keepLines w:val="0"/>
        <w:pageBreakBefore w:val="0"/>
        <w:numPr>
          <w:ilvl w:val="0"/>
          <w:numId w:val="1"/>
        </w:numPr>
        <w:tabs>
          <w:tab w:val="left" w:pos="1602"/>
          <w:tab w:val="clear" w:pos="210"/>
        </w:tabs>
        <w:kinsoku/>
        <w:wordWrap/>
        <w:overflowPunct/>
        <w:topLinePunct w:val="0"/>
        <w:autoSpaceDE/>
        <w:autoSpaceDN/>
        <w:bidi w:val="0"/>
        <w:adjustRightInd/>
        <w:snapToGrid/>
        <w:spacing w:before="0" w:beforeLines="0" w:after="0" w:line="360" w:lineRule="exact"/>
        <w:ind w:left="0" w:leftChars="0" w:firstLine="640" w:firstLineChars="200"/>
        <w:textAlignment w:val="auto"/>
        <w:outlineLvl w:val="0"/>
        <w:rPr>
          <w:rFonts w:hint="default" w:ascii="Times New Roman" w:hAnsi="Times New Roman" w:cs="Times New Roman"/>
          <w:highlight w:val="none"/>
        </w:rPr>
      </w:pPr>
      <w:r>
        <w:rPr>
          <w:rFonts w:hint="default" w:ascii="Times New Roman" w:hAnsi="Times New Roman" w:cs="Times New Roman"/>
          <w:highlight w:val="none"/>
        </w:rPr>
        <w:t>采购需求</w:t>
      </w:r>
      <w:bookmarkEnd w:id="171"/>
      <w:bookmarkEnd w:id="172"/>
      <w:bookmarkEnd w:id="173"/>
      <w:bookmarkEnd w:id="174"/>
      <w:bookmarkEnd w:id="175"/>
    </w:p>
    <w:p w14:paraId="501B4BF3">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bookmarkStart w:id="177" w:name="_Toc26554093"/>
      <w:bookmarkStart w:id="178" w:name="_Toc49090575"/>
      <w:bookmarkStart w:id="179" w:name="_Toc120614281"/>
      <w:r>
        <w:rPr>
          <w:rFonts w:hint="default" w:ascii="Times New Roman" w:hAnsi="Times New Roman" w:cs="Times New Roman"/>
          <w:color w:val="auto"/>
          <w:highlight w:val="none"/>
        </w:rPr>
        <w:t>项目属性:服务类项目。</w:t>
      </w:r>
      <w:bookmarkEnd w:id="177"/>
      <w:bookmarkEnd w:id="178"/>
    </w:p>
    <w:p w14:paraId="2A61F6CC">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本次采购包括2026年盐城市盐都区大气监测溯源服务。</w:t>
      </w:r>
    </w:p>
    <w:p w14:paraId="31FEA9E7">
      <w:pPr>
        <w:pStyle w:val="2"/>
        <w:keepNext w:val="0"/>
        <w:keepLines w:val="0"/>
        <w:pageBreakBefore w:val="0"/>
        <w:numPr>
          <w:ilvl w:val="0"/>
          <w:numId w:val="7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项目背景</w:t>
      </w:r>
    </w:p>
    <w:p w14:paraId="37529F1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十四五”时期，生态文明建设迎来以降碳为重点战略方向，推动减污降碳协同增效，促进经济社会发展全面绿色转型，实现生态环境质量改善由量变到质变的关键时期。至“十五五”期间，生态环境治理的目标不仅是扩大监测覆盖范围，更关键的是强调对监测数据的深度应用，以实现精准、科学、依法治污。政策明确要求将“注意力聚焦到人为活动造成的环境污染上来”，这直接为溯源服务创造了核心需求。</w:t>
      </w:r>
    </w:p>
    <w:p w14:paraId="77AF16CA">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从我国情况来看，在空气质量普遍改善、各项空气污染物浓度有所降低的情况下，但臭氧浓度不降反升，已逐渐成为仅次于PM</w:t>
      </w:r>
      <w:r>
        <w:rPr>
          <w:rFonts w:hint="default" w:ascii="Times New Roman" w:hAnsi="Times New Roman" w:cs="Times New Roman"/>
          <w:color w:val="auto"/>
          <w:highlight w:val="none"/>
          <w:vertAlign w:val="subscript"/>
        </w:rPr>
        <w:t>2.5</w:t>
      </w:r>
      <w:r>
        <w:rPr>
          <w:rFonts w:hint="default" w:ascii="Times New Roman" w:hAnsi="Times New Roman" w:cs="Times New Roman"/>
          <w:color w:val="auto"/>
          <w:highlight w:val="none"/>
        </w:rPr>
        <w:t>影响优良天数比率的重要因素。</w:t>
      </w:r>
    </w:p>
    <w:p w14:paraId="130A3BDF">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2021年4月28日，生态环境部制定的《细颗粒物和臭氧污染协同防控“一市一策”驻点跟踪研究工作方案》，其工作内容明确要“开展城市PM</w:t>
      </w:r>
      <w:r>
        <w:rPr>
          <w:rFonts w:hint="default" w:ascii="Times New Roman" w:hAnsi="Times New Roman" w:cs="Times New Roman"/>
          <w:color w:val="auto"/>
          <w:highlight w:val="none"/>
          <w:vertAlign w:val="subscript"/>
        </w:rPr>
        <w:t>2.5</w:t>
      </w:r>
      <w:r>
        <w:rPr>
          <w:rFonts w:hint="default" w:ascii="Times New Roman" w:hAnsi="Times New Roman" w:cs="Times New Roman"/>
          <w:color w:val="auto"/>
          <w:highlight w:val="none"/>
        </w:rPr>
        <w:t>和O</w:t>
      </w:r>
      <w:r>
        <w:rPr>
          <w:rFonts w:hint="default" w:ascii="Times New Roman" w:hAnsi="Times New Roman" w:cs="Times New Roman"/>
          <w:color w:val="auto"/>
          <w:highlight w:val="none"/>
          <w:vertAlign w:val="subscript"/>
        </w:rPr>
        <w:t>3</w:t>
      </w:r>
      <w:r>
        <w:rPr>
          <w:rFonts w:hint="default" w:ascii="Times New Roman" w:hAnsi="Times New Roman" w:cs="Times New Roman"/>
          <w:color w:val="auto"/>
          <w:highlight w:val="none"/>
        </w:rPr>
        <w:t>污染现状、趋势和时空分布特征研究，跟踪研判典型PM</w:t>
      </w:r>
      <w:r>
        <w:rPr>
          <w:rFonts w:hint="default" w:ascii="Times New Roman" w:hAnsi="Times New Roman" w:cs="Times New Roman"/>
          <w:color w:val="auto"/>
          <w:highlight w:val="none"/>
          <w:vertAlign w:val="subscript"/>
        </w:rPr>
        <w:t>2.5</w:t>
      </w:r>
      <w:r>
        <w:rPr>
          <w:rFonts w:hint="default" w:ascii="Times New Roman" w:hAnsi="Times New Roman" w:cs="Times New Roman"/>
          <w:color w:val="auto"/>
          <w:highlight w:val="none"/>
        </w:rPr>
        <w:t>和O</w:t>
      </w:r>
      <w:r>
        <w:rPr>
          <w:rFonts w:hint="default" w:ascii="Times New Roman" w:hAnsi="Times New Roman" w:cs="Times New Roman"/>
          <w:color w:val="auto"/>
          <w:highlight w:val="none"/>
          <w:vertAlign w:val="subscript"/>
        </w:rPr>
        <w:t>3</w:t>
      </w:r>
      <w:r>
        <w:rPr>
          <w:rFonts w:hint="default" w:ascii="Times New Roman" w:hAnsi="Times New Roman" w:cs="Times New Roman"/>
          <w:color w:val="auto"/>
          <w:highlight w:val="none"/>
        </w:rPr>
        <w:t>污染过程，分析PM</w:t>
      </w:r>
      <w:r>
        <w:rPr>
          <w:rFonts w:hint="default" w:ascii="Times New Roman" w:hAnsi="Times New Roman" w:cs="Times New Roman"/>
          <w:color w:val="auto"/>
          <w:highlight w:val="none"/>
          <w:vertAlign w:val="subscript"/>
        </w:rPr>
        <w:t>2.5</w:t>
      </w:r>
      <w:r>
        <w:rPr>
          <w:rFonts w:hint="default" w:ascii="Times New Roman" w:hAnsi="Times New Roman" w:cs="Times New Roman"/>
          <w:color w:val="auto"/>
          <w:highlight w:val="none"/>
        </w:rPr>
        <w:t>和O</w:t>
      </w:r>
      <w:r>
        <w:rPr>
          <w:rFonts w:hint="default" w:ascii="Times New Roman" w:hAnsi="Times New Roman" w:cs="Times New Roman"/>
          <w:color w:val="auto"/>
          <w:highlight w:val="none"/>
          <w:vertAlign w:val="subscript"/>
        </w:rPr>
        <w:t>3</w:t>
      </w:r>
      <w:r>
        <w:rPr>
          <w:rFonts w:hint="default" w:ascii="Times New Roman" w:hAnsi="Times New Roman" w:cs="Times New Roman"/>
          <w:color w:val="auto"/>
          <w:highlight w:val="none"/>
        </w:rPr>
        <w:t>污染成因”。</w:t>
      </w:r>
    </w:p>
    <w:p w14:paraId="0AA7907D">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2021年5月10日，生态环境部发布了《“十四五”全国细颗粒物与臭氧协同控制监测网络能力建设方案》，其中要求开展臭氧垂直分布、边界层高度和风廓线监测工作。</w:t>
      </w:r>
    </w:p>
    <w:p w14:paraId="595EC0E8">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2022年11月17日，生态环境部发布了《臭氧污染防治攻坚行动方案》和《重污染天气消除攻坚行动方案》，其中要求坚持突出重点、分区施策，强化臭氧污染防治，完善臭氧监测体系，加强臭氧生成机理和传输规律的研究，精准有效开展臭氧污染防治监督帮扶，加强重污染天气应对能力建设。</w:t>
      </w:r>
    </w:p>
    <w:p w14:paraId="231B78A6">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2023年发布的《中共中央 国务院关于全面推进美丽中国建设的意见》已明确提出，到2027年，全国细颗粒物平均浓度下降到28微克/立方米以下，各地级及以上城市力争达标；到2035年，全国细颗粒物浓度下降到25微克/立方米以下。</w:t>
      </w:r>
    </w:p>
    <w:p w14:paraId="6FF02F26">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十五五”期间的PM2.5与臭氧协同控制，为大气监测溯源服务带来了明确的升级要求，协同控制是刚性政策需求，通过监测、解析、数值模拟和跨领域数据融合服务等复合型技术能力，将监测数据转化为可直接支撑管理的“管控处方”，提供伴随式的专家决策服务。</w:t>
      </w:r>
    </w:p>
    <w:p w14:paraId="6C4DC382">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目前我区监测手段主要以国控站、省控站及市控站等点位设备监测为主，因此缺乏针对污染源快速监测及溯源手段，无法第一时间确定站点周边四大源（扬尘源、企业源、生活源、移动源）和两变量（烟花爆竹、秸秆焚烧）的污染形势，导致本地监测站点高值时段无法精准地说清污染的生成、传输和消散规律，给大气污染防治工作带来较大难度。另一方面由于区-街镇缺乏联动纽带和机制，导致大气污染防治的最后“一公里”工作无法打通。</w:t>
      </w:r>
    </w:p>
    <w:p w14:paraId="10E511A8">
      <w:pPr>
        <w:pStyle w:val="2"/>
        <w:keepNext w:val="0"/>
        <w:keepLines w:val="0"/>
        <w:pageBreakBefore w:val="0"/>
        <w:numPr>
          <w:ilvl w:val="0"/>
          <w:numId w:val="7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项目目标</w:t>
      </w:r>
    </w:p>
    <w:p w14:paraId="3EE32689">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围绕我区当前PM2.5和O3协同管控瓶颈，建设以颗粒物激光雷达、臭氧激光雷达、测风激光雷达、走航车为主的立体监测网络体系，全时扫描监测四大源以及两变量即时动态，依托驻场团队提供的一站式驻场工作服务，开展污染源专项行动，深度剖析我区站点周边四大源（扬尘源、企业源、生活源、移动源）和两变量（烟花爆竹、秸秆焚烧）的污染形势及管控策略，提出精准可落地的科学整治方案，为我区PM2.5和优良率管控提供科技科学支持，实现我区PM2.5和优良率的年度目标（区PM2.5</w:t>
      </w:r>
      <w:r>
        <w:rPr>
          <w:rFonts w:hint="eastAsia" w:cs="Times New Roman"/>
          <w:color w:val="auto"/>
          <w:highlight w:val="none"/>
          <w:lang w:eastAsia="zh-CN"/>
        </w:rPr>
        <w:t>浓度</w:t>
      </w:r>
      <w:r>
        <w:rPr>
          <w:rFonts w:hint="default" w:ascii="Times New Roman" w:hAnsi="Times New Roman" w:cs="Times New Roman"/>
          <w:color w:val="auto"/>
          <w:highlight w:val="none"/>
        </w:rPr>
        <w:t>28微克/立方米，其中月亮广场27微克/立方米，润都广场29微克/立方米；区优良率81%）。</w:t>
      </w:r>
    </w:p>
    <w:p w14:paraId="066FA968">
      <w:pPr>
        <w:pStyle w:val="2"/>
        <w:keepNext w:val="0"/>
        <w:keepLines w:val="0"/>
        <w:pageBreakBefore w:val="0"/>
        <w:numPr>
          <w:ilvl w:val="0"/>
          <w:numId w:val="7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服务内容</w:t>
      </w:r>
    </w:p>
    <w:p w14:paraId="04C2B17C">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项目为期1年，包括颗粒物激光雷达监测服务、臭氧激光雷达监测服务、测风激光雷达监测服务、PM2.5和O3协同走航监测服务、VOCs走航监测、驻场专项服务、污染预报模型服务、重点企业污染源谱分析、信息化平台。</w:t>
      </w:r>
    </w:p>
    <w:tbl>
      <w:tblPr>
        <w:tblStyle w:val="25"/>
        <w:tblW w:w="57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6"/>
        <w:gridCol w:w="5160"/>
        <w:gridCol w:w="2835"/>
      </w:tblGrid>
      <w:tr w14:paraId="0DA54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900" w:type="pct"/>
            <w:vAlign w:val="center"/>
          </w:tcPr>
          <w:p w14:paraId="3C1F8617">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b/>
                <w:bCs/>
                <w:color w:val="auto"/>
                <w:sz w:val="24"/>
                <w:highlight w:val="none"/>
                <w:lang w:bidi="ar"/>
                <w14:ligatures w14:val="standardContextual"/>
              </w:rPr>
            </w:pPr>
            <w:r>
              <w:rPr>
                <w:rFonts w:hint="default" w:ascii="Times New Roman" w:hAnsi="Times New Roman" w:cs="Times New Roman"/>
                <w:b/>
                <w:bCs/>
                <w:color w:val="auto"/>
                <w:sz w:val="24"/>
                <w:highlight w:val="none"/>
                <w:lang w:bidi="ar"/>
                <w14:ligatures w14:val="standardContextual"/>
              </w:rPr>
              <w:t>项目</w:t>
            </w:r>
          </w:p>
        </w:tc>
        <w:tc>
          <w:tcPr>
            <w:tcW w:w="2645" w:type="pct"/>
            <w:vAlign w:val="center"/>
          </w:tcPr>
          <w:p w14:paraId="2067E1FF">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b/>
                <w:bCs/>
                <w:color w:val="auto"/>
                <w:sz w:val="24"/>
                <w:highlight w:val="none"/>
                <w14:ligatures w14:val="standardContextual"/>
              </w:rPr>
            </w:pPr>
            <w:r>
              <w:rPr>
                <w:rFonts w:hint="default" w:ascii="Times New Roman" w:hAnsi="Times New Roman" w:cs="Times New Roman"/>
                <w:b/>
                <w:bCs/>
                <w:color w:val="auto"/>
                <w:sz w:val="24"/>
                <w:highlight w:val="none"/>
                <w14:ligatures w14:val="standardContextual"/>
              </w:rPr>
              <w:t>建设内容</w:t>
            </w:r>
          </w:p>
        </w:tc>
        <w:tc>
          <w:tcPr>
            <w:tcW w:w="1453" w:type="pct"/>
            <w:vAlign w:val="center"/>
          </w:tcPr>
          <w:p w14:paraId="4C55AB9C">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b/>
                <w:bCs/>
                <w:color w:val="auto"/>
                <w:sz w:val="24"/>
                <w:highlight w:val="none"/>
                <w14:ligatures w14:val="standardContextual"/>
              </w:rPr>
            </w:pPr>
            <w:r>
              <w:rPr>
                <w:rFonts w:hint="default" w:ascii="Times New Roman" w:hAnsi="Times New Roman" w:cs="Times New Roman"/>
                <w:b/>
                <w:bCs/>
                <w:color w:val="auto"/>
                <w:sz w:val="24"/>
                <w:highlight w:val="none"/>
                <w14:ligatures w14:val="standardContextual"/>
              </w:rPr>
              <w:t>费用组成</w:t>
            </w:r>
          </w:p>
        </w:tc>
      </w:tr>
      <w:tr w14:paraId="748D4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00" w:type="pct"/>
            <w:vAlign w:val="center"/>
          </w:tcPr>
          <w:p w14:paraId="50735756">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臭氧激光雷达监测服务</w:t>
            </w:r>
          </w:p>
        </w:tc>
        <w:tc>
          <w:tcPr>
            <w:tcW w:w="2645" w:type="pct"/>
            <w:vAlign w:val="center"/>
          </w:tcPr>
          <w:p w14:paraId="73EA5BE6">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臭氧季节（4月-9月），租用1台臭氧激光雷达，开展臭氧激光雷达扫描监测，辅助开展臭氧防治工作。</w:t>
            </w:r>
          </w:p>
        </w:tc>
        <w:tc>
          <w:tcPr>
            <w:tcW w:w="1453" w:type="pct"/>
            <w:vAlign w:val="center"/>
          </w:tcPr>
          <w:p w14:paraId="00D488B6">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费用包括：设备折旧费、运输费、运维费。</w:t>
            </w:r>
          </w:p>
        </w:tc>
      </w:tr>
      <w:tr w14:paraId="5A0EA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00" w:type="pct"/>
            <w:vAlign w:val="center"/>
          </w:tcPr>
          <w:p w14:paraId="1998FD16">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颗粒物激光雷达监测服务</w:t>
            </w:r>
          </w:p>
        </w:tc>
        <w:tc>
          <w:tcPr>
            <w:tcW w:w="2645" w:type="pct"/>
            <w:vAlign w:val="center"/>
          </w:tcPr>
          <w:p w14:paraId="1D31F356">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租用1台颗粒物激光雷达1年，开展颗粒物激光雷达水平扫描监测，辅助开展颗粒物防治工作。</w:t>
            </w:r>
          </w:p>
        </w:tc>
        <w:tc>
          <w:tcPr>
            <w:tcW w:w="1453" w:type="pct"/>
            <w:vAlign w:val="center"/>
          </w:tcPr>
          <w:p w14:paraId="2050E284">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费用包括：设备折旧费、运输费、运维费。</w:t>
            </w:r>
          </w:p>
        </w:tc>
      </w:tr>
      <w:tr w14:paraId="391AF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00" w:type="pct"/>
            <w:vAlign w:val="center"/>
          </w:tcPr>
          <w:p w14:paraId="1DA6391A">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测风激光雷达监测服务</w:t>
            </w:r>
          </w:p>
        </w:tc>
        <w:tc>
          <w:tcPr>
            <w:tcW w:w="2645" w:type="pct"/>
            <w:vAlign w:val="center"/>
          </w:tcPr>
          <w:p w14:paraId="0CE96095">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租用1台测风激光雷达1年，开展气象场监测，辅助开展气象分析工作，指导污染溯源分析。</w:t>
            </w:r>
          </w:p>
        </w:tc>
        <w:tc>
          <w:tcPr>
            <w:tcW w:w="1453" w:type="pct"/>
            <w:vAlign w:val="center"/>
          </w:tcPr>
          <w:p w14:paraId="702AE834">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费用包括：设备折旧费、运输费用、运维费。</w:t>
            </w:r>
          </w:p>
        </w:tc>
      </w:tr>
      <w:tr w14:paraId="474EE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 w:hRule="atLeast"/>
          <w:jc w:val="center"/>
        </w:trPr>
        <w:tc>
          <w:tcPr>
            <w:tcW w:w="900" w:type="pct"/>
            <w:vAlign w:val="center"/>
          </w:tcPr>
          <w:p w14:paraId="5A5A23D9">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PM</w:t>
            </w:r>
            <w:r>
              <w:rPr>
                <w:rFonts w:hint="default" w:ascii="Times New Roman" w:hAnsi="Times New Roman" w:cs="Times New Roman"/>
                <w:color w:val="auto"/>
                <w:sz w:val="24"/>
                <w:highlight w:val="none"/>
                <w:vertAlign w:val="subscript"/>
                <w14:ligatures w14:val="standardContextual"/>
              </w:rPr>
              <w:t>2.5</w:t>
            </w:r>
            <w:r>
              <w:rPr>
                <w:rFonts w:hint="default" w:ascii="Times New Roman" w:hAnsi="Times New Roman" w:cs="Times New Roman"/>
                <w:color w:val="auto"/>
                <w:sz w:val="24"/>
                <w:highlight w:val="none"/>
                <w14:ligatures w14:val="standardContextual"/>
              </w:rPr>
              <w:t>和O</w:t>
            </w:r>
            <w:r>
              <w:rPr>
                <w:rFonts w:hint="default" w:ascii="Times New Roman" w:hAnsi="Times New Roman" w:cs="Times New Roman"/>
                <w:color w:val="auto"/>
                <w:sz w:val="24"/>
                <w:highlight w:val="none"/>
                <w:vertAlign w:val="subscript"/>
                <w14:ligatures w14:val="standardContextual"/>
              </w:rPr>
              <w:t>3</w:t>
            </w:r>
            <w:r>
              <w:rPr>
                <w:rFonts w:hint="default" w:ascii="Times New Roman" w:hAnsi="Times New Roman" w:cs="Times New Roman"/>
                <w:color w:val="auto"/>
                <w:sz w:val="24"/>
                <w:highlight w:val="none"/>
                <w14:ligatures w14:val="standardContextual"/>
              </w:rPr>
              <w:t>协同走航监测服务</w:t>
            </w:r>
          </w:p>
        </w:tc>
        <w:tc>
          <w:tcPr>
            <w:tcW w:w="2645" w:type="pct"/>
            <w:vAlign w:val="center"/>
          </w:tcPr>
          <w:p w14:paraId="4F1E1AFE">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租用1台走航车、1套六参数走航仪、1套便携式PID监测仪、1台无人机1年，用于全域污染源走航监测，辅助开展大气污染防治。</w:t>
            </w:r>
          </w:p>
        </w:tc>
        <w:tc>
          <w:tcPr>
            <w:tcW w:w="1453" w:type="pct"/>
            <w:vAlign w:val="center"/>
          </w:tcPr>
          <w:p w14:paraId="50FE4FF9">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费用包括：设备折旧费、燃油费、过路费、运维费。</w:t>
            </w:r>
          </w:p>
        </w:tc>
      </w:tr>
      <w:tr w14:paraId="1DD94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 w:hRule="atLeast"/>
          <w:jc w:val="center"/>
        </w:trPr>
        <w:tc>
          <w:tcPr>
            <w:tcW w:w="900" w:type="pct"/>
            <w:vAlign w:val="center"/>
          </w:tcPr>
          <w:p w14:paraId="7035F16A">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szCs w:val="21"/>
                <w:highlight w:val="none"/>
                <w14:ligatures w14:val="standardContextual"/>
              </w:rPr>
              <w:t>VOCs组分走航监测</w:t>
            </w:r>
          </w:p>
        </w:tc>
        <w:tc>
          <w:tcPr>
            <w:tcW w:w="2645" w:type="pct"/>
            <w:vAlign w:val="center"/>
          </w:tcPr>
          <w:p w14:paraId="607B4FCA">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租用VOCs组分走航车监测，臭氧高发期开展重点工业园区和行业监测，提供专项整治数据支撑。</w:t>
            </w:r>
          </w:p>
        </w:tc>
        <w:tc>
          <w:tcPr>
            <w:tcW w:w="1453" w:type="pct"/>
            <w:vAlign w:val="center"/>
          </w:tcPr>
          <w:p w14:paraId="75B0E1F4">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费用包括：设备折旧费、燃油费、过路费、运维费。</w:t>
            </w:r>
          </w:p>
        </w:tc>
      </w:tr>
      <w:tr w14:paraId="36515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 w:hRule="atLeast"/>
          <w:jc w:val="center"/>
        </w:trPr>
        <w:tc>
          <w:tcPr>
            <w:tcW w:w="900" w:type="pct"/>
            <w:vAlign w:val="center"/>
          </w:tcPr>
          <w:p w14:paraId="6F446D73">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szCs w:val="21"/>
                <w:highlight w:val="none"/>
                <w14:ligatures w14:val="standardContextual"/>
              </w:rPr>
            </w:pPr>
            <w:r>
              <w:rPr>
                <w:rFonts w:hint="default" w:ascii="Times New Roman" w:hAnsi="Times New Roman" w:cs="Times New Roman"/>
                <w:color w:val="auto"/>
                <w:sz w:val="24"/>
                <w:szCs w:val="21"/>
                <w:highlight w:val="none"/>
                <w14:ligatures w14:val="standardContextual"/>
              </w:rPr>
              <w:t>颗粒物源解析监测服务</w:t>
            </w:r>
          </w:p>
        </w:tc>
        <w:tc>
          <w:tcPr>
            <w:tcW w:w="2645" w:type="pct"/>
            <w:vAlign w:val="center"/>
          </w:tcPr>
          <w:p w14:paraId="2F27CB17">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租用颗粒物源解析监测，监测时间不少于30天，主要分析盐都区的主要污染特征，提供机动车尾气源、工业源、扬尘源等各种污染源对大气细颗粒物的贡献。</w:t>
            </w:r>
          </w:p>
        </w:tc>
        <w:tc>
          <w:tcPr>
            <w:tcW w:w="1453" w:type="pct"/>
          </w:tcPr>
          <w:p w14:paraId="24A70401">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费用包括：设备折旧费、燃油费、过路费、运维费。</w:t>
            </w:r>
          </w:p>
        </w:tc>
      </w:tr>
      <w:tr w14:paraId="18A3A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 w:hRule="atLeast"/>
          <w:jc w:val="center"/>
        </w:trPr>
        <w:tc>
          <w:tcPr>
            <w:tcW w:w="900" w:type="pct"/>
            <w:vAlign w:val="center"/>
          </w:tcPr>
          <w:p w14:paraId="1FDCF347">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szCs w:val="21"/>
                <w:highlight w:val="none"/>
                <w14:ligatures w14:val="standardContextual"/>
              </w:rPr>
            </w:pPr>
            <w:r>
              <w:rPr>
                <w:rFonts w:hint="default" w:ascii="Times New Roman" w:hAnsi="Times New Roman" w:cs="Times New Roman"/>
                <w:color w:val="auto"/>
                <w:sz w:val="24"/>
                <w:szCs w:val="21"/>
                <w:highlight w:val="none"/>
                <w14:ligatures w14:val="standardContextual"/>
              </w:rPr>
              <w:t>道路尘负荷走航监测服务</w:t>
            </w:r>
          </w:p>
        </w:tc>
        <w:tc>
          <w:tcPr>
            <w:tcW w:w="2645" w:type="pct"/>
            <w:vAlign w:val="center"/>
          </w:tcPr>
          <w:p w14:paraId="7A6DB172">
            <w:pPr>
              <w:keepNext w:val="0"/>
              <w:keepLines w:val="0"/>
              <w:pageBreakBefore w:val="0"/>
              <w:widowControl w:val="0"/>
              <w:tabs>
                <w:tab w:val="left" w:pos="720"/>
              </w:tabs>
              <w:kinsoku/>
              <w:wordWrap/>
              <w:overflowPunct/>
              <w:topLinePunct w:val="0"/>
              <w:autoSpaceDE/>
              <w:autoSpaceDN/>
              <w:bidi w:val="0"/>
              <w:adjustRightInd/>
              <w:snapToGrid/>
              <w:spacing w:line="300" w:lineRule="exact"/>
              <w:jc w:val="left"/>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租用道路尘负荷走航车监测，监测时间不少于30天，开展全域道路积尘走航监测，辅助重点区域靶向治理。</w:t>
            </w:r>
          </w:p>
        </w:tc>
        <w:tc>
          <w:tcPr>
            <w:tcW w:w="1453" w:type="pct"/>
          </w:tcPr>
          <w:p w14:paraId="5D3D6DA1">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费用包括：设备折旧费、燃油费、过路费、运维费。</w:t>
            </w:r>
          </w:p>
        </w:tc>
      </w:tr>
      <w:tr w14:paraId="4C7C3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 w:hRule="atLeast"/>
          <w:jc w:val="center"/>
        </w:trPr>
        <w:tc>
          <w:tcPr>
            <w:tcW w:w="900" w:type="pct"/>
            <w:vAlign w:val="center"/>
          </w:tcPr>
          <w:p w14:paraId="39A0465B">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驻场专项服务</w:t>
            </w:r>
          </w:p>
        </w:tc>
        <w:tc>
          <w:tcPr>
            <w:tcW w:w="2645" w:type="pct"/>
            <w:vAlign w:val="center"/>
          </w:tcPr>
          <w:p w14:paraId="54B7EF51">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聘用5名项目专家，4名驻场、1名远程支撑，开展为期1年大气污染防治工作，具体工作包括编制达标规划路线、污染源精细化溯源、污染源台账和地图编制、日常数据分析、重点行业“一行一策”、污染源专项管控服务、科研成果研究申报、完善运行机制</w:t>
            </w:r>
          </w:p>
        </w:tc>
        <w:tc>
          <w:tcPr>
            <w:tcW w:w="1453" w:type="pct"/>
            <w:vAlign w:val="center"/>
          </w:tcPr>
          <w:p w14:paraId="2F64E399">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费用包括：人员工资、交通费、通讯费、日常补助、住宿费。</w:t>
            </w:r>
          </w:p>
        </w:tc>
      </w:tr>
      <w:tr w14:paraId="0FEA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 w:hRule="atLeast"/>
          <w:jc w:val="center"/>
        </w:trPr>
        <w:tc>
          <w:tcPr>
            <w:tcW w:w="900" w:type="pct"/>
            <w:vAlign w:val="center"/>
          </w:tcPr>
          <w:p w14:paraId="5370FE0E">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污染预报模型服务</w:t>
            </w:r>
          </w:p>
        </w:tc>
        <w:tc>
          <w:tcPr>
            <w:tcW w:w="2645" w:type="pct"/>
            <w:vAlign w:val="center"/>
          </w:tcPr>
          <w:p w14:paraId="30CF413E">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基于海量观测数据，建立预警模型，实现污染事件短临预报</w:t>
            </w:r>
          </w:p>
        </w:tc>
        <w:tc>
          <w:tcPr>
            <w:tcW w:w="1453" w:type="pct"/>
            <w:vAlign w:val="center"/>
          </w:tcPr>
          <w:p w14:paraId="1A06BF6B">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费用包括：数据采集、数据分析、专项报告。</w:t>
            </w:r>
          </w:p>
        </w:tc>
      </w:tr>
      <w:tr w14:paraId="1B707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 w:hRule="atLeast"/>
          <w:jc w:val="center"/>
        </w:trPr>
        <w:tc>
          <w:tcPr>
            <w:tcW w:w="900" w:type="pct"/>
            <w:vAlign w:val="center"/>
          </w:tcPr>
          <w:p w14:paraId="242046BD">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重点企业污染源谱分析</w:t>
            </w:r>
          </w:p>
        </w:tc>
        <w:tc>
          <w:tcPr>
            <w:tcW w:w="2645" w:type="pct"/>
            <w:vAlign w:val="center"/>
          </w:tcPr>
          <w:p w14:paraId="05468526">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围绕我区两个站点周边重点企业，开展企业污染源谱分析，提出改善方案</w:t>
            </w:r>
          </w:p>
        </w:tc>
        <w:tc>
          <w:tcPr>
            <w:tcW w:w="1453" w:type="pct"/>
            <w:vAlign w:val="center"/>
          </w:tcPr>
          <w:p w14:paraId="7D6EB707">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费用包含：工作开展所需人力、设备、耗材等相关费用。</w:t>
            </w:r>
          </w:p>
        </w:tc>
      </w:tr>
      <w:tr w14:paraId="4BA63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 w:hRule="atLeast"/>
          <w:jc w:val="center"/>
        </w:trPr>
        <w:tc>
          <w:tcPr>
            <w:tcW w:w="900" w:type="pct"/>
            <w:vAlign w:val="center"/>
          </w:tcPr>
          <w:p w14:paraId="44CCF650">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信息化平台</w:t>
            </w:r>
          </w:p>
        </w:tc>
        <w:tc>
          <w:tcPr>
            <w:tcW w:w="2645" w:type="pct"/>
            <w:vAlign w:val="center"/>
          </w:tcPr>
          <w:p w14:paraId="06122D0A">
            <w:pPr>
              <w:keepNext w:val="0"/>
              <w:keepLines w:val="0"/>
              <w:pageBreakBefore w:val="0"/>
              <w:widowControl w:val="0"/>
              <w:kinsoku/>
              <w:wordWrap/>
              <w:overflowPunct/>
              <w:topLinePunct w:val="0"/>
              <w:autoSpaceDE/>
              <w:autoSpaceDN/>
              <w:bidi w:val="0"/>
              <w:adjustRightInd/>
              <w:snapToGrid/>
              <w:spacing w:line="300" w:lineRule="exact"/>
              <w:jc w:val="left"/>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租赁信息化平台，展示雷达与国省站点联动数据，指导开展溯源交办，辅助进行污染防治工作</w:t>
            </w:r>
          </w:p>
        </w:tc>
        <w:tc>
          <w:tcPr>
            <w:tcW w:w="1453" w:type="pct"/>
            <w:vAlign w:val="center"/>
          </w:tcPr>
          <w:p w14:paraId="0256812C">
            <w:pPr>
              <w:keepNext w:val="0"/>
              <w:keepLines w:val="0"/>
              <w:pageBreakBefore w:val="0"/>
              <w:widowControl w:val="0"/>
              <w:kinsoku/>
              <w:wordWrap/>
              <w:overflowPunct/>
              <w:topLinePunct w:val="0"/>
              <w:autoSpaceDE/>
              <w:autoSpaceDN/>
              <w:bidi w:val="0"/>
              <w:adjustRightInd/>
              <w:snapToGrid/>
              <w:spacing w:line="300" w:lineRule="exact"/>
              <w:jc w:val="center"/>
              <w:textAlignment w:val="center"/>
              <w:rPr>
                <w:rFonts w:hint="default" w:ascii="Times New Roman" w:hAnsi="Times New Roman" w:cs="Times New Roman"/>
                <w:color w:val="auto"/>
                <w:sz w:val="24"/>
                <w:highlight w:val="none"/>
                <w14:ligatures w14:val="standardContextual"/>
              </w:rPr>
            </w:pPr>
            <w:r>
              <w:rPr>
                <w:rFonts w:hint="default" w:ascii="Times New Roman" w:hAnsi="Times New Roman" w:cs="Times New Roman"/>
                <w:color w:val="auto"/>
                <w:sz w:val="24"/>
                <w:highlight w:val="none"/>
                <w14:ligatures w14:val="standardContextual"/>
              </w:rPr>
              <w:t>费用包括：服务器租用费，平台维护费。</w:t>
            </w:r>
          </w:p>
        </w:tc>
      </w:tr>
    </w:tbl>
    <w:p w14:paraId="61870F05">
      <w:pPr>
        <w:pStyle w:val="2"/>
        <w:keepNext w:val="0"/>
        <w:keepLines w:val="0"/>
        <w:pageBreakBefore w:val="0"/>
        <w:numPr>
          <w:ilvl w:val="0"/>
          <w:numId w:val="7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bookmarkStart w:id="180" w:name="_Toc13363"/>
      <w:r>
        <w:rPr>
          <w:rFonts w:hint="default" w:ascii="Times New Roman" w:hAnsi="Times New Roman" w:cs="Times New Roman"/>
          <w:highlight w:val="none"/>
        </w:rPr>
        <w:t>服务</w:t>
      </w:r>
      <w:bookmarkEnd w:id="180"/>
      <w:r>
        <w:rPr>
          <w:rFonts w:hint="default" w:ascii="Times New Roman" w:hAnsi="Times New Roman" w:cs="Times New Roman"/>
          <w:highlight w:val="none"/>
        </w:rPr>
        <w:t>方案</w:t>
      </w:r>
    </w:p>
    <w:p w14:paraId="15580EAE">
      <w:pPr>
        <w:pStyle w:val="3"/>
        <w:keepNext w:val="0"/>
        <w:keepLines w:val="0"/>
        <w:pageBreakBefore w:val="0"/>
        <w:widowControl/>
        <w:numPr>
          <w:ilvl w:val="0"/>
          <w:numId w:val="72"/>
        </w:numPr>
        <w:tabs>
          <w:tab w:val="left" w:pos="102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臭氧溯源监测</w:t>
      </w:r>
    </w:p>
    <w:p w14:paraId="6E37F735">
      <w:pPr>
        <w:pStyle w:val="4"/>
        <w:keepNext w:val="0"/>
        <w:keepLines w:val="0"/>
        <w:pageBreakBefore w:val="0"/>
        <w:widowControl/>
        <w:numPr>
          <w:ilvl w:val="0"/>
          <w:numId w:val="73"/>
        </w:numPr>
        <w:tabs>
          <w:tab w:val="left" w:pos="116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181" w:name="_Toc7058"/>
      <w:bookmarkStart w:id="182" w:name="_Toc19760"/>
      <w:r>
        <w:rPr>
          <w:rFonts w:hint="default" w:ascii="Times New Roman" w:hAnsi="Times New Roman" w:cs="Times New Roman"/>
          <w:highlight w:val="none"/>
        </w:rPr>
        <w:t>臭氧激光雷达扫描监测</w:t>
      </w:r>
      <w:bookmarkEnd w:id="181"/>
      <w:bookmarkEnd w:id="182"/>
    </w:p>
    <w:p w14:paraId="7413AFD3">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臭氧高发季节，对站点进行臭氧雷达组网，臭氧激光雷达监测系统动态部署在臭氧高值站点于白天开展臭氧污染水平扫描溯源监测。一旦出现臭氧高值热点，驻点技术人员在区大气污染防治群里面发布热点信息，各街道环保专员针对热点位置开展巡查工作，同步将处理结果反馈到区大气污染防治工作群，驻点技术人员针对处理结果开展现场复查，一旦处置符合要求，此污染工作闭环完成，如果不符合要求，继续开展交办，直到处理达标，实现污染“快速溯源-快速交办-快速处置-快速评估”的闭环。</w:t>
      </w:r>
    </w:p>
    <w:p w14:paraId="324D305B">
      <w:pPr>
        <w:pStyle w:val="4"/>
        <w:keepNext w:val="0"/>
        <w:keepLines w:val="0"/>
        <w:pageBreakBefore w:val="0"/>
        <w:widowControl/>
        <w:numPr>
          <w:ilvl w:val="0"/>
          <w:numId w:val="73"/>
        </w:numPr>
        <w:tabs>
          <w:tab w:val="left" w:pos="116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183" w:name="_bookmark16"/>
      <w:bookmarkEnd w:id="183"/>
      <w:bookmarkStart w:id="184" w:name="（2）臭氧传输量化监测"/>
      <w:bookmarkEnd w:id="184"/>
      <w:bookmarkStart w:id="185" w:name="_Toc732"/>
      <w:bookmarkStart w:id="186" w:name="_Toc6192"/>
      <w:r>
        <w:rPr>
          <w:rFonts w:hint="default" w:ascii="Times New Roman" w:hAnsi="Times New Roman" w:cs="Times New Roman"/>
          <w:highlight w:val="none"/>
        </w:rPr>
        <w:t>臭氧激光雷达垂直监测</w:t>
      </w:r>
      <w:bookmarkEnd w:id="185"/>
      <w:bookmarkEnd w:id="186"/>
    </w:p>
    <w:p w14:paraId="5644F2E4">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夜间将臭氧激光雷达调成垂直观测，与测风雷达联用，研判臭氧传输路径以及残留层沉降，提供精准的臭氧预警预报工作。</w:t>
      </w:r>
    </w:p>
    <w:p w14:paraId="2E26FAE2">
      <w:pPr>
        <w:pStyle w:val="3"/>
        <w:keepNext w:val="0"/>
        <w:keepLines w:val="0"/>
        <w:pageBreakBefore w:val="0"/>
        <w:widowControl/>
        <w:numPr>
          <w:ilvl w:val="0"/>
          <w:numId w:val="72"/>
        </w:numPr>
        <w:tabs>
          <w:tab w:val="left" w:pos="102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颗粒物溯源监测</w:t>
      </w:r>
    </w:p>
    <w:p w14:paraId="287372B7">
      <w:pPr>
        <w:pStyle w:val="4"/>
        <w:keepNext w:val="0"/>
        <w:keepLines w:val="0"/>
        <w:pageBreakBefore w:val="0"/>
        <w:widowControl/>
        <w:numPr>
          <w:ilvl w:val="0"/>
          <w:numId w:val="74"/>
        </w:numPr>
        <w:tabs>
          <w:tab w:val="left" w:pos="116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颗粒物激光雷达扫描监测</w:t>
      </w:r>
    </w:p>
    <w:p w14:paraId="70049C50">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颗粒物激光雷达开展颗粒物扫描监测工作，一旦出现颗粒物高值热点，驻点技术人员在区大气污染防治群里面发布热点信息，各街道环保专员针对热点位置开展巡查工作，同步将处理结果反馈到区大气污染防治工作群，驻点技术人员针对处理结果开展现场复查，一旦处置符合要求，此污染工作闭环完成，如果不符合要求，继续开展交办，直到处理达标，实现污染“快速溯源-快速交办-快速处置-快速评估”的闭环。</w:t>
      </w:r>
    </w:p>
    <w:p w14:paraId="7BED8DFD">
      <w:pPr>
        <w:pStyle w:val="4"/>
        <w:keepNext w:val="0"/>
        <w:keepLines w:val="0"/>
        <w:pageBreakBefore w:val="0"/>
        <w:widowControl/>
        <w:numPr>
          <w:ilvl w:val="0"/>
          <w:numId w:val="74"/>
        </w:numPr>
        <w:tabs>
          <w:tab w:val="left" w:pos="116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颗粒物激光雷达垂直监测</w:t>
      </w:r>
    </w:p>
    <w:p w14:paraId="636D1686">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颗粒物传输天气，将颗粒物激光雷达调成垂直观测，与测风雷达联用，提供精准的颗粒物预警预报工作。</w:t>
      </w:r>
    </w:p>
    <w:p w14:paraId="6B05F702">
      <w:pPr>
        <w:pStyle w:val="3"/>
        <w:keepNext w:val="0"/>
        <w:keepLines w:val="0"/>
        <w:pageBreakBefore w:val="0"/>
        <w:widowControl/>
        <w:numPr>
          <w:ilvl w:val="0"/>
          <w:numId w:val="72"/>
        </w:numPr>
        <w:tabs>
          <w:tab w:val="left" w:pos="102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测风激光雷达监测</w:t>
      </w:r>
    </w:p>
    <w:p w14:paraId="5EE1E9E2">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实时监测站点高低空风速风向等气象数据，指导现场溯源方向，利用实时数据进行气象研判及预报，与颗粒物雷达和臭氧雷达联用，配合垂扫计算区域传输通量，估算站点本地源和外来源的影响，为区域污染短临预报提供支撑。</w:t>
      </w:r>
    </w:p>
    <w:p w14:paraId="1BD65B25">
      <w:pPr>
        <w:pStyle w:val="3"/>
        <w:keepNext w:val="0"/>
        <w:keepLines w:val="0"/>
        <w:pageBreakBefore w:val="0"/>
        <w:widowControl/>
        <w:numPr>
          <w:ilvl w:val="0"/>
          <w:numId w:val="72"/>
        </w:numPr>
        <w:tabs>
          <w:tab w:val="left" w:pos="102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PM2.5和O3协同走航监测服务</w:t>
      </w:r>
    </w:p>
    <w:p w14:paraId="09735E55">
      <w:pPr>
        <w:pStyle w:val="12"/>
        <w:keepNext w:val="0"/>
        <w:keepLines w:val="0"/>
        <w:pageBreakBefore w:val="0"/>
        <w:numPr>
          <w:ilvl w:val="0"/>
          <w:numId w:val="75"/>
        </w:numPr>
        <w:tabs>
          <w:tab w:val="left" w:pos="1083"/>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b/>
          <w:color w:val="auto"/>
          <w:highlight w:val="none"/>
        </w:rPr>
      </w:pPr>
      <w:bookmarkStart w:id="187" w:name="3、气象场监测"/>
      <w:bookmarkEnd w:id="187"/>
      <w:bookmarkStart w:id="188" w:name="_bookmark22"/>
      <w:bookmarkEnd w:id="188"/>
      <w:r>
        <w:rPr>
          <w:rFonts w:hint="default" w:ascii="Times New Roman" w:hAnsi="Times New Roman" w:cs="Times New Roman"/>
          <w:b/>
          <w:color w:val="auto"/>
          <w:highlight w:val="none"/>
        </w:rPr>
        <w:t>臭氧走航服务：</w:t>
      </w:r>
      <w:r>
        <w:rPr>
          <w:rFonts w:hint="default" w:ascii="Times New Roman" w:hAnsi="Times New Roman" w:cs="Times New Roman"/>
          <w:color w:val="auto"/>
          <w:highlight w:val="none"/>
        </w:rPr>
        <w:t>在臭氧超标时段，利用臭氧激光雷达和六参数走航仪对重点区域开展臭氧走航监测，实时获取臭氧变化规律，进行定性定量分析，掌握区域污染物分布情况，实时追溯污染物来源。提供臭氧走航分析报告。</w:t>
      </w:r>
    </w:p>
    <w:p w14:paraId="1FDADDA5">
      <w:pPr>
        <w:pStyle w:val="12"/>
        <w:keepNext w:val="0"/>
        <w:keepLines w:val="0"/>
        <w:pageBreakBefore w:val="0"/>
        <w:widowControl/>
        <w:numPr>
          <w:ilvl w:val="0"/>
          <w:numId w:val="75"/>
        </w:numPr>
        <w:tabs>
          <w:tab w:val="left" w:pos="1083"/>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b/>
          <w:color w:val="auto"/>
          <w:highlight w:val="none"/>
        </w:rPr>
      </w:pPr>
      <w:r>
        <w:rPr>
          <w:rFonts w:hint="default" w:ascii="Times New Roman" w:hAnsi="Times New Roman" w:cs="Times New Roman"/>
          <w:b/>
          <w:color w:val="auto"/>
          <w:highlight w:val="none"/>
        </w:rPr>
        <w:t>颗粒物走航服务：</w:t>
      </w:r>
      <w:r>
        <w:rPr>
          <w:rFonts w:hint="default" w:ascii="Times New Roman" w:hAnsi="Times New Roman" w:cs="Times New Roman"/>
          <w:color w:val="auto"/>
          <w:highlight w:val="none"/>
        </w:rPr>
        <w:t>在颗粒物超标期间，利用颗粒物激光雷达结合六参数走航仪，针对颗粒物开展专项走航工作，获取颗粒物的分布信息，辅助开展颗粒物溯源工作，并形成颗粒物走航报告。</w:t>
      </w:r>
    </w:p>
    <w:p w14:paraId="6D8BAB2D">
      <w:pPr>
        <w:pStyle w:val="3"/>
        <w:keepNext w:val="0"/>
        <w:keepLines w:val="0"/>
        <w:pageBreakBefore w:val="0"/>
        <w:widowControl/>
        <w:numPr>
          <w:ilvl w:val="0"/>
          <w:numId w:val="72"/>
        </w:numPr>
        <w:tabs>
          <w:tab w:val="left" w:pos="102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VOCs组分走航监测</w:t>
      </w:r>
    </w:p>
    <w:p w14:paraId="0ACCBAA5">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臭氧高发期，利用VOCs组分走航车监测，开展重点工业园区、汽修聚集区、加油站等重点行业走航监测溯源，收集高值区域，研判污染问题种类及原因，提供专项整治数据支撑，辅助臭氧污染降污减排工作。</w:t>
      </w:r>
    </w:p>
    <w:p w14:paraId="54A32E43">
      <w:pPr>
        <w:pStyle w:val="3"/>
        <w:keepNext w:val="0"/>
        <w:keepLines w:val="0"/>
        <w:pageBreakBefore w:val="0"/>
        <w:widowControl/>
        <w:numPr>
          <w:ilvl w:val="0"/>
          <w:numId w:val="72"/>
        </w:numPr>
        <w:tabs>
          <w:tab w:val="left" w:pos="102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颗粒物源解析监测</w:t>
      </w:r>
    </w:p>
    <w:p w14:paraId="1AEC5EDF">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围绕我区站点开展颗粒物源解析监测，监测时间不得少于30天，主要分析盐都区的主要污染特征，解析机动车尾气源、工业源、扬尘源等各种污染源对大气细颗粒物的贡献，针对性地实现精准削峰，科学管控治理。</w:t>
      </w:r>
    </w:p>
    <w:p w14:paraId="0D1226E9">
      <w:pPr>
        <w:pStyle w:val="3"/>
        <w:keepNext w:val="0"/>
        <w:keepLines w:val="0"/>
        <w:pageBreakBefore w:val="0"/>
        <w:widowControl/>
        <w:numPr>
          <w:ilvl w:val="0"/>
          <w:numId w:val="72"/>
        </w:numPr>
        <w:tabs>
          <w:tab w:val="left" w:pos="102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道路尘负荷走航监测</w:t>
      </w:r>
    </w:p>
    <w:p w14:paraId="518535ED">
      <w:pPr>
        <w:pStyle w:val="12"/>
        <w:keepNext w:val="0"/>
        <w:keepLines w:val="0"/>
        <w:pageBreakBefore w:val="0"/>
        <w:widowControl/>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通过道路尘负荷走航车围绕国省控站点开展全域道路积尘走航监测监，监测时间不得少于30天，找到敏感区域的主要污染源，为重点区域靶向治理提供数据支撑，推进道路扬尘管控精准化、科学化，以科技赋能道路扬尘监管。</w:t>
      </w:r>
    </w:p>
    <w:p w14:paraId="2946F599">
      <w:pPr>
        <w:pStyle w:val="3"/>
        <w:keepNext w:val="0"/>
        <w:keepLines w:val="0"/>
        <w:pageBreakBefore w:val="0"/>
        <w:widowControl/>
        <w:numPr>
          <w:ilvl w:val="0"/>
          <w:numId w:val="72"/>
        </w:numPr>
        <w:tabs>
          <w:tab w:val="left" w:pos="102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驻点专项服务</w:t>
      </w:r>
    </w:p>
    <w:p w14:paraId="2248B671">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聘用5名项目专家，4名驻场、1名远程支撑，开展大气污染防治工作，具体工作包括编制达标规划路线、污染源精细化溯源、污染源台账和地图编制、日常数据分析、重点行业“一行一策”、污染源专项管控服务、完善运行机制。</w:t>
      </w:r>
    </w:p>
    <w:p w14:paraId="5A8BC7F1">
      <w:pPr>
        <w:pStyle w:val="4"/>
        <w:keepNext w:val="0"/>
        <w:keepLines w:val="0"/>
        <w:pageBreakBefore w:val="0"/>
        <w:numPr>
          <w:ilvl w:val="0"/>
          <w:numId w:val="76"/>
        </w:numPr>
        <w:tabs>
          <w:tab w:val="left" w:pos="116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189" w:name="_Toc32022"/>
      <w:bookmarkStart w:id="190" w:name="_Toc32735"/>
      <w:bookmarkStart w:id="191" w:name="_Toc6902"/>
      <w:bookmarkStart w:id="192" w:name="_Toc13658"/>
      <w:r>
        <w:rPr>
          <w:rFonts w:hint="default" w:ascii="Times New Roman" w:hAnsi="Times New Roman" w:cs="Times New Roman"/>
          <w:highlight w:val="none"/>
        </w:rPr>
        <w:t>编制达标规划路线</w:t>
      </w:r>
      <w:bookmarkEnd w:id="189"/>
      <w:bookmarkEnd w:id="190"/>
      <w:bookmarkEnd w:id="191"/>
      <w:bookmarkEnd w:id="192"/>
    </w:p>
    <w:p w14:paraId="3F825FE9">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驻点技术人员根据国省控站点地方历史空气质量、气象数据，结合污染季节性变化特征，针对本地年度目标达标路径制定每月达标规划。</w:t>
      </w:r>
    </w:p>
    <w:p w14:paraId="07A6550D">
      <w:pPr>
        <w:pStyle w:val="4"/>
        <w:keepNext w:val="0"/>
        <w:keepLines w:val="0"/>
        <w:pageBreakBefore w:val="0"/>
        <w:numPr>
          <w:ilvl w:val="0"/>
          <w:numId w:val="76"/>
        </w:numPr>
        <w:tabs>
          <w:tab w:val="left" w:pos="116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193" w:name="_bookmark29"/>
      <w:bookmarkEnd w:id="193"/>
      <w:bookmarkStart w:id="194" w:name="（2）数据监控及分析服务"/>
      <w:bookmarkEnd w:id="194"/>
      <w:bookmarkStart w:id="195" w:name="_Toc3466"/>
      <w:bookmarkStart w:id="196" w:name="_Toc21877"/>
      <w:r>
        <w:rPr>
          <w:rFonts w:hint="default" w:ascii="Times New Roman" w:hAnsi="Times New Roman" w:cs="Times New Roman"/>
          <w:highlight w:val="none"/>
        </w:rPr>
        <w:t>污染源精细化溯源</w:t>
      </w:r>
    </w:p>
    <w:p w14:paraId="13197A50">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驻点技术人员利用走航巡查车，针对雷达监测点位的雷达扫描热点开展常态化巡查取证工作，及时将巡查到的污染源反馈到大气污染防治群内，驻点技术人员针对处理结果开展现场复查，一旦处置符合要求，此污染工作闭环完成，如果不符合要求，继续开展交办，直到处理达标，实现污染“快速溯源-快速交办-快速处置-快速评估”的闭环，同时针对污染源处置情况进行核实评估工作，</w:t>
      </w:r>
      <w:bookmarkStart w:id="197" w:name="_Toc10151"/>
      <w:bookmarkStart w:id="198" w:name="_Toc16272"/>
      <w:r>
        <w:rPr>
          <w:rFonts w:hint="default" w:ascii="Times New Roman" w:hAnsi="Times New Roman" w:cs="Times New Roman"/>
          <w:color w:val="auto"/>
          <w:highlight w:val="none"/>
        </w:rPr>
        <w:t>绘制本地精细化的污染源台账和地图。</w:t>
      </w:r>
      <w:bookmarkEnd w:id="197"/>
      <w:bookmarkEnd w:id="198"/>
    </w:p>
    <w:p w14:paraId="53761771">
      <w:pPr>
        <w:pStyle w:val="4"/>
        <w:keepNext w:val="0"/>
        <w:keepLines w:val="0"/>
        <w:pageBreakBefore w:val="0"/>
        <w:numPr>
          <w:ilvl w:val="0"/>
          <w:numId w:val="76"/>
        </w:numPr>
        <w:tabs>
          <w:tab w:val="left" w:pos="116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199" w:name="_Toc22791"/>
      <w:bookmarkStart w:id="200" w:name="_Toc25530"/>
      <w:r>
        <w:rPr>
          <w:rFonts w:hint="default" w:ascii="Times New Roman" w:hAnsi="Times New Roman" w:cs="Times New Roman"/>
          <w:highlight w:val="none"/>
        </w:rPr>
        <w:t>污染源台账和地图编制</w:t>
      </w:r>
      <w:bookmarkEnd w:id="199"/>
      <w:bookmarkEnd w:id="200"/>
    </w:p>
    <w:p w14:paraId="746E35B8">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驻点技术人员对雷达监测点位周边工地扬尘、道路扬尘、工业企业排放、机动车尾气、餐饮油烟等重点大气污染源开展日常巡查工作，汇总污染源台账和地图，及时交办相关问题，并跟进落实情况。</w:t>
      </w:r>
    </w:p>
    <w:bookmarkEnd w:id="195"/>
    <w:bookmarkEnd w:id="196"/>
    <w:p w14:paraId="430FD4B8">
      <w:pPr>
        <w:pStyle w:val="4"/>
        <w:keepNext w:val="0"/>
        <w:keepLines w:val="0"/>
        <w:pageBreakBefore w:val="0"/>
        <w:numPr>
          <w:ilvl w:val="0"/>
          <w:numId w:val="76"/>
        </w:numPr>
        <w:tabs>
          <w:tab w:val="left" w:pos="116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201" w:name="_Toc11715"/>
      <w:r>
        <w:rPr>
          <w:rFonts w:hint="default" w:ascii="Times New Roman" w:hAnsi="Times New Roman" w:cs="Times New Roman"/>
          <w:highlight w:val="none"/>
        </w:rPr>
        <w:t>日常数据分析</w:t>
      </w:r>
      <w:bookmarkEnd w:id="201"/>
    </w:p>
    <w:p w14:paraId="516080DE">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为了保证实现“时保日，日保月，月保年”的管控要求，工作时间对站点的空气质量小时数据进行实时监控，根据小时数据情况，实时提醒站点高值、实时分析污染原因、调度镇街进行周边污染源的排查和处理并采取相应管控措施。驻点技术人员负责推送雷达扫描热点，提供高值预警和每日预测分析，统计污染源信息，提供雷达监测的日报、周报、月报、年报、污染过程报告。</w:t>
      </w:r>
    </w:p>
    <w:p w14:paraId="7E3C9F4F">
      <w:pPr>
        <w:pStyle w:val="4"/>
        <w:keepNext w:val="0"/>
        <w:keepLines w:val="0"/>
        <w:pageBreakBefore w:val="0"/>
        <w:numPr>
          <w:ilvl w:val="0"/>
          <w:numId w:val="76"/>
        </w:numPr>
        <w:tabs>
          <w:tab w:val="left" w:pos="116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202" w:name="_Toc28488"/>
      <w:bookmarkStart w:id="203" w:name="_Toc88641152"/>
      <w:bookmarkStart w:id="204" w:name="_Toc87023302"/>
      <w:r>
        <w:rPr>
          <w:rFonts w:hint="default" w:ascii="Times New Roman" w:hAnsi="Times New Roman" w:cs="Times New Roman"/>
          <w:highlight w:val="none"/>
        </w:rPr>
        <w:t>重点行业“一行一策”</w:t>
      </w:r>
      <w:bookmarkEnd w:id="202"/>
      <w:bookmarkEnd w:id="203"/>
      <w:bookmarkEnd w:id="204"/>
    </w:p>
    <w:p w14:paraId="76B891A8">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为打造重点示范行业，开展一行一策工作，并形成管控方案，梳理重点行业污染源排放现状，锁定常规污染物重点排放来源，通过研究相关政府报告和政策文件，开展减排情景设计，量化行业及逐环节协同减排潜力。结合情景分析，基于本地特征提出重点行业政策和项目清单，并进行排序和优选，最终从升级改造及无组织排放深度整治等方面制定重点行业减排方案，实现有效减排与空气质量的持续改善。</w:t>
      </w:r>
    </w:p>
    <w:p w14:paraId="21B8D2E5">
      <w:pPr>
        <w:pStyle w:val="4"/>
        <w:keepNext w:val="0"/>
        <w:keepLines w:val="0"/>
        <w:pageBreakBefore w:val="0"/>
        <w:numPr>
          <w:ilvl w:val="0"/>
          <w:numId w:val="76"/>
        </w:numPr>
        <w:tabs>
          <w:tab w:val="left" w:pos="116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205" w:name="_Toc9359"/>
      <w:r>
        <w:rPr>
          <w:rFonts w:hint="default" w:ascii="Times New Roman" w:hAnsi="Times New Roman" w:cs="Times New Roman"/>
          <w:highlight w:val="none"/>
        </w:rPr>
        <w:t>污染源专项管控</w:t>
      </w:r>
      <w:bookmarkEnd w:id="205"/>
    </w:p>
    <w:p w14:paraId="4A7F4E38">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利用颗粒物雷达扫描、臭氧激光雷达扫描、走航车等设备，每个季度开展一次针对所有国省控点半径5KM范围内工业企业、工地、餐饮油烟、机动车尾气、加油站和汽修店的拉网式排查监测，编制和更新污染应急管控清单。</w:t>
      </w:r>
    </w:p>
    <w:p w14:paraId="10E88892">
      <w:pPr>
        <w:pStyle w:val="4"/>
        <w:keepNext w:val="0"/>
        <w:keepLines w:val="0"/>
        <w:pageBreakBefore w:val="0"/>
        <w:numPr>
          <w:ilvl w:val="0"/>
          <w:numId w:val="76"/>
        </w:numPr>
        <w:tabs>
          <w:tab w:val="left" w:pos="116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完善运行机制</w:t>
      </w:r>
    </w:p>
    <w:p w14:paraId="43CC14CB">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为更好开展空气质量管控治理工作，建立环境空气质量会商研判机制，编制会商报告，会商每个周举行一次，驻点团队梳理上个月问题点，指导开展下周工作，每月进行一次。</w:t>
      </w:r>
    </w:p>
    <w:p w14:paraId="35537599">
      <w:pPr>
        <w:pStyle w:val="3"/>
        <w:keepNext w:val="0"/>
        <w:keepLines w:val="0"/>
        <w:pageBreakBefore w:val="0"/>
        <w:widowControl/>
        <w:numPr>
          <w:ilvl w:val="0"/>
          <w:numId w:val="72"/>
        </w:numPr>
        <w:tabs>
          <w:tab w:val="left" w:pos="102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重点企业污染源谱分析</w:t>
      </w:r>
    </w:p>
    <w:p w14:paraId="7348F5C0">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围绕我区两个站点周边重点企业，开展企业污染源谱分析，提出改善方案。</w:t>
      </w:r>
    </w:p>
    <w:p w14:paraId="07467BBA">
      <w:pPr>
        <w:pStyle w:val="3"/>
        <w:keepNext w:val="0"/>
        <w:keepLines w:val="0"/>
        <w:pageBreakBefore w:val="0"/>
        <w:widowControl/>
        <w:numPr>
          <w:ilvl w:val="0"/>
          <w:numId w:val="72"/>
        </w:numPr>
        <w:tabs>
          <w:tab w:val="left" w:pos="102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污染预报模型服务</w:t>
      </w:r>
    </w:p>
    <w:p w14:paraId="36054917">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基于海量观测数据，建立预警模型，实现污染事件短临预报。</w:t>
      </w:r>
    </w:p>
    <w:p w14:paraId="03D1CBE1">
      <w:pPr>
        <w:pStyle w:val="3"/>
        <w:keepNext w:val="0"/>
        <w:keepLines w:val="0"/>
        <w:pageBreakBefore w:val="0"/>
        <w:widowControl/>
        <w:numPr>
          <w:ilvl w:val="0"/>
          <w:numId w:val="72"/>
        </w:numPr>
        <w:tabs>
          <w:tab w:val="left" w:pos="102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信息化平台</w:t>
      </w:r>
    </w:p>
    <w:p w14:paraId="22872605">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构建信息化平台，展示雷达与国省站点联动数据，指导开展溯源交办，辅助进行污染防治工作。</w:t>
      </w:r>
    </w:p>
    <w:p w14:paraId="35CA58E5">
      <w:pPr>
        <w:pStyle w:val="3"/>
        <w:keepNext w:val="0"/>
        <w:keepLines w:val="0"/>
        <w:pageBreakBefore w:val="0"/>
        <w:widowControl/>
        <w:numPr>
          <w:ilvl w:val="0"/>
          <w:numId w:val="72"/>
        </w:numPr>
        <w:tabs>
          <w:tab w:val="left" w:pos="102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bookmarkStart w:id="206" w:name="5、驻场服务工作"/>
      <w:bookmarkEnd w:id="206"/>
      <w:bookmarkStart w:id="207" w:name="（5）污染源专项评估服务"/>
      <w:bookmarkEnd w:id="207"/>
      <w:bookmarkStart w:id="208" w:name="_bookmark32"/>
      <w:bookmarkEnd w:id="208"/>
      <w:bookmarkStart w:id="209" w:name="（3）海陆传输臭氧监测"/>
      <w:bookmarkEnd w:id="209"/>
      <w:bookmarkStart w:id="210" w:name="_bookmark14"/>
      <w:bookmarkEnd w:id="210"/>
      <w:bookmarkStart w:id="211" w:name="1、臭氧溯源监测"/>
      <w:bookmarkEnd w:id="211"/>
      <w:bookmarkStart w:id="212" w:name="_bookmark18"/>
      <w:bookmarkEnd w:id="212"/>
      <w:bookmarkStart w:id="213" w:name="_bookmark27"/>
      <w:bookmarkEnd w:id="213"/>
      <w:bookmarkStart w:id="214" w:name="_bookmark17"/>
      <w:bookmarkEnd w:id="214"/>
      <w:bookmarkStart w:id="215" w:name="2、颗粒物溯源监测"/>
      <w:bookmarkEnd w:id="215"/>
      <w:r>
        <w:rPr>
          <w:rFonts w:hint="default" w:ascii="Times New Roman" w:hAnsi="Times New Roman" w:cs="Times New Roman"/>
          <w:highlight w:val="none"/>
        </w:rPr>
        <w:t>服务要求</w:t>
      </w:r>
    </w:p>
    <w:p w14:paraId="17C31052">
      <w:pPr>
        <w:pStyle w:val="4"/>
        <w:keepNext w:val="0"/>
        <w:keepLines w:val="0"/>
        <w:pageBreakBefore w:val="0"/>
        <w:numPr>
          <w:ilvl w:val="0"/>
          <w:numId w:val="77"/>
        </w:numPr>
        <w:tabs>
          <w:tab w:val="left" w:pos="128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项目组成员要求</w:t>
      </w:r>
    </w:p>
    <w:p w14:paraId="37E4BA7C">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为更好保障项目顺利执行，项目负责人应具备高级职称，项目组成员应具备环境风险评能力，项目组成员应具备中级或以上职称证书</w:t>
      </w:r>
      <w:bookmarkStart w:id="216" w:name="OLE_LINK5"/>
      <w:r>
        <w:rPr>
          <w:rFonts w:hint="default" w:ascii="Times New Roman" w:hAnsi="Times New Roman" w:cs="Times New Roman"/>
          <w:color w:val="auto"/>
          <w:highlight w:val="none"/>
        </w:rPr>
        <w:t>，项目组成员应是环境科学与工程、环境工程、资源与环境等相关的环境专业</w:t>
      </w:r>
      <w:bookmarkEnd w:id="216"/>
      <w:r>
        <w:rPr>
          <w:rFonts w:hint="default" w:ascii="Times New Roman" w:hAnsi="Times New Roman" w:cs="Times New Roman"/>
          <w:color w:val="auto"/>
          <w:highlight w:val="none"/>
        </w:rPr>
        <w:t>。</w:t>
      </w:r>
    </w:p>
    <w:p w14:paraId="2EC1232F">
      <w:pPr>
        <w:pStyle w:val="4"/>
        <w:keepNext w:val="0"/>
        <w:keepLines w:val="0"/>
        <w:pageBreakBefore w:val="0"/>
        <w:numPr>
          <w:ilvl w:val="0"/>
          <w:numId w:val="77"/>
        </w:numPr>
        <w:tabs>
          <w:tab w:val="left" w:pos="128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臭氧激光雷达技术要求</w:t>
      </w:r>
    </w:p>
    <w:p w14:paraId="426F7B52">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监测臭氧污染空间分布信息，实现污染溯源工作，有力支撑臭氧大气污染防治工作。</w:t>
      </w:r>
    </w:p>
    <w:p w14:paraId="49DAC9F0">
      <w:pPr>
        <w:pStyle w:val="12"/>
        <w:keepNext w:val="0"/>
        <w:keepLines w:val="0"/>
        <w:pageBreakBefore w:val="0"/>
        <w:numPr>
          <w:ilvl w:val="0"/>
          <w:numId w:val="7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cs="Times New Roman"/>
          <w:color w:val="auto"/>
          <w:highlight w:val="none"/>
          <w:lang w:eastAsia="zh-CN"/>
        </w:rPr>
        <w:t>▲</w:t>
      </w:r>
      <w:r>
        <w:rPr>
          <w:rFonts w:hint="default" w:ascii="Times New Roman" w:hAnsi="Times New Roman" w:cs="Times New Roman"/>
          <w:color w:val="auto"/>
          <w:highlight w:val="none"/>
        </w:rPr>
        <w:t>时间分辨率：1s及倍数可调。</w:t>
      </w:r>
    </w:p>
    <w:p w14:paraId="6981CB29">
      <w:pPr>
        <w:pStyle w:val="12"/>
        <w:keepNext w:val="0"/>
        <w:keepLines w:val="0"/>
        <w:pageBreakBefore w:val="0"/>
        <w:numPr>
          <w:ilvl w:val="0"/>
          <w:numId w:val="7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空间分辨率：3m及倍数可调。</w:t>
      </w:r>
    </w:p>
    <w:p w14:paraId="335BCEF8">
      <w:pPr>
        <w:pStyle w:val="12"/>
        <w:keepNext w:val="0"/>
        <w:keepLines w:val="0"/>
        <w:pageBreakBefore w:val="0"/>
        <w:numPr>
          <w:ilvl w:val="0"/>
          <w:numId w:val="7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最大探测距离：≥4km。</w:t>
      </w:r>
    </w:p>
    <w:p w14:paraId="641FC939">
      <w:pPr>
        <w:pStyle w:val="12"/>
        <w:keepNext w:val="0"/>
        <w:keepLines w:val="0"/>
        <w:pageBreakBefore w:val="0"/>
        <w:numPr>
          <w:ilvl w:val="0"/>
          <w:numId w:val="7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光源重复频率：≥7kHz可调。</w:t>
      </w:r>
    </w:p>
    <w:p w14:paraId="32777456">
      <w:pPr>
        <w:pStyle w:val="12"/>
        <w:keepNext w:val="0"/>
        <w:keepLines w:val="0"/>
        <w:pageBreakBefore w:val="0"/>
        <w:numPr>
          <w:ilvl w:val="0"/>
          <w:numId w:val="7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cs="Times New Roman"/>
          <w:color w:val="auto"/>
          <w:highlight w:val="none"/>
          <w:lang w:eastAsia="zh-CN"/>
        </w:rPr>
        <w:t>▲</w:t>
      </w:r>
      <w:r>
        <w:rPr>
          <w:rFonts w:hint="default" w:ascii="Times New Roman" w:hAnsi="Times New Roman" w:cs="Times New Roman"/>
          <w:color w:val="auto"/>
          <w:highlight w:val="none"/>
        </w:rPr>
        <w:t>扫描周期：臭氧雷达具备扫描功能，扫描一周在采集360条数据且每条数据不少于5000个脉冲的情况下，时间≤6min；扫描步长：≥0.1°，扫描角度精度：≥0.01°。</w:t>
      </w:r>
    </w:p>
    <w:p w14:paraId="2BB6DEE9">
      <w:pPr>
        <w:pStyle w:val="12"/>
        <w:keepNext w:val="0"/>
        <w:keepLines w:val="0"/>
        <w:pageBreakBefore w:val="0"/>
        <w:numPr>
          <w:ilvl w:val="0"/>
          <w:numId w:val="7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cs="Times New Roman"/>
          <w:color w:val="auto"/>
          <w:highlight w:val="none"/>
          <w:lang w:eastAsia="zh-CN"/>
        </w:rPr>
        <w:t>▲</w:t>
      </w:r>
      <w:r>
        <w:rPr>
          <w:rFonts w:hint="default" w:ascii="Times New Roman" w:hAnsi="Times New Roman" w:cs="Times New Roman"/>
          <w:color w:val="auto"/>
          <w:highlight w:val="none"/>
        </w:rPr>
        <w:t>摄像功能：雷达具备摄像功能，摄像功能系统与雷达主机一体化设计。</w:t>
      </w:r>
    </w:p>
    <w:p w14:paraId="2192580E">
      <w:pPr>
        <w:pStyle w:val="12"/>
        <w:keepNext w:val="0"/>
        <w:keepLines w:val="0"/>
        <w:pageBreakBefore w:val="0"/>
        <w:numPr>
          <w:ilvl w:val="0"/>
          <w:numId w:val="7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防护等级：为了适用多场景的观测，雷达具备IP55或以上防护等级。</w:t>
      </w:r>
    </w:p>
    <w:p w14:paraId="0648C889">
      <w:pPr>
        <w:pStyle w:val="12"/>
        <w:keepNext w:val="0"/>
        <w:keepLines w:val="0"/>
        <w:pageBreakBefore w:val="0"/>
        <w:numPr>
          <w:ilvl w:val="0"/>
          <w:numId w:val="7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cs="Times New Roman"/>
          <w:color w:val="auto"/>
          <w:highlight w:val="none"/>
          <w:lang w:eastAsia="zh-CN"/>
        </w:rPr>
        <w:t>▲</w:t>
      </w:r>
      <w:r>
        <w:rPr>
          <w:rFonts w:hint="default" w:ascii="Times New Roman" w:hAnsi="Times New Roman" w:cs="Times New Roman"/>
          <w:color w:val="auto"/>
          <w:highlight w:val="none"/>
        </w:rPr>
        <w:t>臭氧雷达具备走航监测功能，在0~120km/h的行驶过程中，可以边行边测，最多33米，即可以出一条监测数据。走航数据分别率：≥1秒；走航GPS空间误差：≤1米。</w:t>
      </w:r>
    </w:p>
    <w:p w14:paraId="3141F322">
      <w:pPr>
        <w:pStyle w:val="12"/>
        <w:keepNext w:val="0"/>
        <w:keepLines w:val="0"/>
        <w:pageBreakBefore w:val="0"/>
        <w:numPr>
          <w:ilvl w:val="0"/>
          <w:numId w:val="7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便携性：为了保障能够在多个站点监测，雷达质量≤35kg。</w:t>
      </w:r>
    </w:p>
    <w:p w14:paraId="4A191E24">
      <w:pPr>
        <w:pStyle w:val="12"/>
        <w:keepNext w:val="0"/>
        <w:keepLines w:val="0"/>
        <w:pageBreakBefore w:val="0"/>
        <w:numPr>
          <w:ilvl w:val="0"/>
          <w:numId w:val="7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cs="Times New Roman"/>
          <w:color w:val="auto"/>
          <w:highlight w:val="none"/>
          <w:lang w:eastAsia="zh-CN"/>
        </w:rPr>
        <w:t>▲</w:t>
      </w:r>
      <w:r>
        <w:rPr>
          <w:rFonts w:hint="default" w:ascii="Times New Roman" w:hAnsi="Times New Roman" w:cs="Times New Roman"/>
          <w:color w:val="auto"/>
          <w:highlight w:val="none"/>
        </w:rPr>
        <w:t>远程较准功能：雷达光路发射系统前端装有电动调整架，可实现远程调整激光雷达光束指向。</w:t>
      </w:r>
    </w:p>
    <w:p w14:paraId="40A62D29">
      <w:pPr>
        <w:pStyle w:val="12"/>
        <w:keepNext w:val="0"/>
        <w:keepLines w:val="0"/>
        <w:pageBreakBefore w:val="0"/>
        <w:numPr>
          <w:ilvl w:val="0"/>
          <w:numId w:val="7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软件支持来电自启动和24小时无人值守观测，可以进行相关设置，包括：模式切换、激光器关闭和启动、云台上下电、水平增益设置、垂直增益设置、开光、关光、LD电流设置、激光器错误复位、指令下发、数据上传启停。</w:t>
      </w:r>
    </w:p>
    <w:p w14:paraId="421F4ED1">
      <w:pPr>
        <w:pStyle w:val="12"/>
        <w:keepNext w:val="0"/>
        <w:keepLines w:val="0"/>
        <w:pageBreakBefore w:val="0"/>
        <w:numPr>
          <w:ilvl w:val="0"/>
          <w:numId w:val="7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软件支持臭氧浓度、消光、退偏、PM2.5、PM10、边界层、能见度、光学厚度、云信息等数据的展示。</w:t>
      </w:r>
    </w:p>
    <w:p w14:paraId="461F885C">
      <w:pPr>
        <w:pStyle w:val="12"/>
        <w:keepNext w:val="0"/>
        <w:keepLines w:val="0"/>
        <w:pageBreakBefore w:val="0"/>
        <w:numPr>
          <w:ilvl w:val="0"/>
          <w:numId w:val="7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cs="Times New Roman"/>
          <w:color w:val="auto"/>
          <w:highlight w:val="none"/>
          <w:lang w:eastAsia="zh-CN"/>
        </w:rPr>
        <w:t>▲</w:t>
      </w:r>
      <w:r>
        <w:rPr>
          <w:rFonts w:hint="default" w:ascii="Times New Roman" w:hAnsi="Times New Roman" w:cs="Times New Roman"/>
          <w:color w:val="auto"/>
          <w:highlight w:val="none"/>
        </w:rPr>
        <w:t>软件支撑地图数据图谱支持截图功能，点击完成图片保存。水平扫描数据地图可以显示地理位置信息，显示国控点、省控点、污染源信息，图谱能够叠加距离信息。</w:t>
      </w:r>
    </w:p>
    <w:p w14:paraId="42BF027F">
      <w:pPr>
        <w:pStyle w:val="12"/>
        <w:keepNext w:val="0"/>
        <w:keepLines w:val="0"/>
        <w:pageBreakBefore w:val="0"/>
        <w:numPr>
          <w:ilvl w:val="0"/>
          <w:numId w:val="78"/>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cs="Times New Roman"/>
          <w:color w:val="auto"/>
          <w:highlight w:val="none"/>
          <w:lang w:eastAsia="zh-CN"/>
        </w:rPr>
        <w:t>▲</w:t>
      </w:r>
      <w:r>
        <w:rPr>
          <w:rFonts w:hint="default" w:ascii="Times New Roman" w:hAnsi="Times New Roman" w:cs="Times New Roman"/>
          <w:color w:val="auto"/>
          <w:highlight w:val="none"/>
        </w:rPr>
        <w:t>软件支持系统地图可以设置比例尺、路网信息、标准地图和卫星地图切换、鹰眼，支持三维地图和数据热力图的同步缩放旋转以及平移功能。</w:t>
      </w:r>
    </w:p>
    <w:p w14:paraId="34CF8A25">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（备注：以上参数均须提供省级或以上具有CMA 或CNAS 资质认证的检测机构出具的检测报告复印件作为证明材料，否则视为不满足）。</w:t>
      </w:r>
    </w:p>
    <w:p w14:paraId="18F37646">
      <w:pPr>
        <w:pStyle w:val="4"/>
        <w:keepNext w:val="0"/>
        <w:keepLines w:val="0"/>
        <w:pageBreakBefore w:val="0"/>
        <w:numPr>
          <w:ilvl w:val="0"/>
          <w:numId w:val="77"/>
        </w:numPr>
        <w:tabs>
          <w:tab w:val="left" w:pos="128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颗粒物激光雷达技术要求</w:t>
      </w:r>
    </w:p>
    <w:p w14:paraId="4F0D242F">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监测颗粒物污染空间分布信息，实现污染溯源工作，有力支撑颗粒物大气污染防治工作。</w:t>
      </w:r>
    </w:p>
    <w:p w14:paraId="46320739">
      <w:pPr>
        <w:pStyle w:val="12"/>
        <w:keepNext w:val="0"/>
        <w:keepLines w:val="0"/>
        <w:pageBreakBefore w:val="0"/>
        <w:numPr>
          <w:ilvl w:val="0"/>
          <w:numId w:val="7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cs="Times New Roman"/>
          <w:color w:val="auto"/>
          <w:highlight w:val="none"/>
          <w:lang w:eastAsia="zh-CN"/>
        </w:rPr>
        <w:t>▲</w:t>
      </w:r>
      <w:r>
        <w:rPr>
          <w:rFonts w:hint="default" w:ascii="Times New Roman" w:hAnsi="Times New Roman" w:cs="Times New Roman"/>
          <w:color w:val="auto"/>
          <w:highlight w:val="none"/>
        </w:rPr>
        <w:t>时间分辨率：1s及倍数可调。</w:t>
      </w:r>
    </w:p>
    <w:p w14:paraId="084C01FB">
      <w:pPr>
        <w:pStyle w:val="12"/>
        <w:keepNext w:val="0"/>
        <w:keepLines w:val="0"/>
        <w:pageBreakBefore w:val="0"/>
        <w:numPr>
          <w:ilvl w:val="0"/>
          <w:numId w:val="7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空间分辨率：3m及倍数可调。</w:t>
      </w:r>
    </w:p>
    <w:p w14:paraId="66F4BFB7">
      <w:pPr>
        <w:pStyle w:val="12"/>
        <w:keepNext w:val="0"/>
        <w:keepLines w:val="0"/>
        <w:pageBreakBefore w:val="0"/>
        <w:numPr>
          <w:ilvl w:val="0"/>
          <w:numId w:val="7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最大探测距离：≥12km。</w:t>
      </w:r>
    </w:p>
    <w:p w14:paraId="566BBEE6">
      <w:pPr>
        <w:pStyle w:val="12"/>
        <w:keepNext w:val="0"/>
        <w:keepLines w:val="0"/>
        <w:pageBreakBefore w:val="0"/>
        <w:numPr>
          <w:ilvl w:val="0"/>
          <w:numId w:val="7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脉冲能量：≥500μJ。</w:t>
      </w:r>
    </w:p>
    <w:p w14:paraId="7E875B36">
      <w:pPr>
        <w:pStyle w:val="12"/>
        <w:keepNext w:val="0"/>
        <w:keepLines w:val="0"/>
        <w:pageBreakBefore w:val="0"/>
        <w:numPr>
          <w:ilvl w:val="0"/>
          <w:numId w:val="7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cs="Times New Roman"/>
          <w:color w:val="auto"/>
          <w:highlight w:val="none"/>
          <w:lang w:eastAsia="zh-CN"/>
        </w:rPr>
        <w:t>▲</w:t>
      </w:r>
      <w:r>
        <w:rPr>
          <w:rFonts w:hint="default" w:ascii="Times New Roman" w:hAnsi="Times New Roman" w:cs="Times New Roman"/>
          <w:color w:val="auto"/>
          <w:highlight w:val="none"/>
        </w:rPr>
        <w:t>扫描周期：臭氧雷达具备扫描功能，扫描一周在采集360条数据且每条数据不少于5000个脉冲的情况下，时间≤6min；扫描步长：≥0.1°，扫描角度精度：≥0.01°。</w:t>
      </w:r>
    </w:p>
    <w:p w14:paraId="29C328C5">
      <w:pPr>
        <w:pStyle w:val="12"/>
        <w:keepNext w:val="0"/>
        <w:keepLines w:val="0"/>
        <w:pageBreakBefore w:val="0"/>
        <w:numPr>
          <w:ilvl w:val="0"/>
          <w:numId w:val="7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cs="Times New Roman"/>
          <w:color w:val="auto"/>
          <w:highlight w:val="none"/>
          <w:lang w:eastAsia="zh-CN"/>
        </w:rPr>
        <w:t>▲</w:t>
      </w:r>
      <w:r>
        <w:rPr>
          <w:rFonts w:hint="default" w:ascii="Times New Roman" w:hAnsi="Times New Roman" w:cs="Times New Roman"/>
          <w:color w:val="auto"/>
          <w:highlight w:val="none"/>
        </w:rPr>
        <w:t>摄像功能：雷达具备摄像功能，摄像功能系统与雷达主机一体化设计。</w:t>
      </w:r>
    </w:p>
    <w:p w14:paraId="3EFFD4AC">
      <w:pPr>
        <w:pStyle w:val="12"/>
        <w:keepNext w:val="0"/>
        <w:keepLines w:val="0"/>
        <w:pageBreakBefore w:val="0"/>
        <w:numPr>
          <w:ilvl w:val="0"/>
          <w:numId w:val="7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防护等级：为了适用多场景的观测，雷达具备IP55或以上防护等级。</w:t>
      </w:r>
    </w:p>
    <w:p w14:paraId="778EB2C8">
      <w:pPr>
        <w:pStyle w:val="12"/>
        <w:keepNext w:val="0"/>
        <w:keepLines w:val="0"/>
        <w:pageBreakBefore w:val="0"/>
        <w:numPr>
          <w:ilvl w:val="0"/>
          <w:numId w:val="7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cs="Times New Roman"/>
          <w:color w:val="auto"/>
          <w:highlight w:val="none"/>
          <w:lang w:eastAsia="zh-CN"/>
        </w:rPr>
        <w:t>▲</w:t>
      </w:r>
      <w:r>
        <w:rPr>
          <w:rFonts w:hint="default" w:ascii="Times New Roman" w:hAnsi="Times New Roman" w:cs="Times New Roman"/>
          <w:color w:val="auto"/>
          <w:highlight w:val="none"/>
        </w:rPr>
        <w:t>颗粒物雷达具备走航监测功能，在0~120km/h的行驶过程中，可以边行边测，最多33米，即可以出一条监测数据。走航数据分别率：≥1秒；走航GPS空间误差：≤1米。</w:t>
      </w:r>
    </w:p>
    <w:p w14:paraId="386D9CDD">
      <w:pPr>
        <w:pStyle w:val="12"/>
        <w:keepNext w:val="0"/>
        <w:keepLines w:val="0"/>
        <w:pageBreakBefore w:val="0"/>
        <w:numPr>
          <w:ilvl w:val="0"/>
          <w:numId w:val="7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cs="Times New Roman"/>
          <w:color w:val="auto"/>
          <w:highlight w:val="none"/>
          <w:lang w:eastAsia="zh-CN"/>
        </w:rPr>
        <w:t>▲</w:t>
      </w:r>
      <w:r>
        <w:rPr>
          <w:rFonts w:hint="default" w:ascii="Times New Roman" w:hAnsi="Times New Roman" w:cs="Times New Roman"/>
          <w:color w:val="auto"/>
          <w:highlight w:val="none"/>
        </w:rPr>
        <w:t>远程较准功能：雷达光路发射系统前端装有电动调整架，可实现远程调整激光雷达光束指向。</w:t>
      </w:r>
    </w:p>
    <w:p w14:paraId="6027AE03">
      <w:pPr>
        <w:pStyle w:val="12"/>
        <w:keepNext w:val="0"/>
        <w:keepLines w:val="0"/>
        <w:pageBreakBefore w:val="0"/>
        <w:numPr>
          <w:ilvl w:val="0"/>
          <w:numId w:val="7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软件支持来电自启动和24小时无人值守观测，可以进行相关设置，包括：模式切换、激光器关闭和启动、云台上下电、水平增益设置、垂直增益设置、开光、关光、LD电流设置、激光器错误复位、指令下发、数据上传启停。</w:t>
      </w:r>
    </w:p>
    <w:p w14:paraId="6D4BA039">
      <w:pPr>
        <w:pStyle w:val="12"/>
        <w:keepNext w:val="0"/>
        <w:keepLines w:val="0"/>
        <w:pageBreakBefore w:val="0"/>
        <w:numPr>
          <w:ilvl w:val="0"/>
          <w:numId w:val="7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软件支持消光、退偏、PM2.5、PM10、边界层、能见度、光学厚度、云信息等数据的展示。</w:t>
      </w:r>
    </w:p>
    <w:p w14:paraId="094EA392">
      <w:pPr>
        <w:pStyle w:val="12"/>
        <w:keepNext w:val="0"/>
        <w:keepLines w:val="0"/>
        <w:pageBreakBefore w:val="0"/>
        <w:numPr>
          <w:ilvl w:val="0"/>
          <w:numId w:val="7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cs="Times New Roman"/>
          <w:color w:val="auto"/>
          <w:highlight w:val="none"/>
          <w:lang w:eastAsia="zh-CN"/>
        </w:rPr>
        <w:t>▲</w:t>
      </w:r>
      <w:r>
        <w:rPr>
          <w:rFonts w:hint="default" w:ascii="Times New Roman" w:hAnsi="Times New Roman" w:cs="Times New Roman"/>
          <w:color w:val="auto"/>
          <w:highlight w:val="none"/>
        </w:rPr>
        <w:t>软件支撑地图数据图谱支持截图功能，点击完成图片保存。水平扫描数据地图可以显示地理位置信息，显示国控点、省控点、污染源信息，图谱能够叠加距离信息。</w:t>
      </w:r>
    </w:p>
    <w:p w14:paraId="28E5CB11">
      <w:pPr>
        <w:pStyle w:val="12"/>
        <w:keepNext w:val="0"/>
        <w:keepLines w:val="0"/>
        <w:pageBreakBefore w:val="0"/>
        <w:numPr>
          <w:ilvl w:val="0"/>
          <w:numId w:val="79"/>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软件支持系统地图可以设置比例尺、路网信息、标准地图和卫星地图切换、鹰眼，支持三维地图和数据热力图的同步缩放旋转以及平移功能。</w:t>
      </w:r>
    </w:p>
    <w:p w14:paraId="6F57502B">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（备注：以上参数均须提供具有省级或以上CMA 或CNAS 资质认证的检测机构出具的检测报告复印件作为证明材料，否则视为不满足）。</w:t>
      </w:r>
    </w:p>
    <w:p w14:paraId="03AB73F7">
      <w:pPr>
        <w:pStyle w:val="4"/>
        <w:keepNext w:val="0"/>
        <w:keepLines w:val="0"/>
        <w:pageBreakBefore w:val="0"/>
        <w:numPr>
          <w:ilvl w:val="0"/>
          <w:numId w:val="77"/>
        </w:numPr>
        <w:tabs>
          <w:tab w:val="left" w:pos="1281"/>
          <w:tab w:val="clear" w:pos="210"/>
        </w:tabs>
        <w:kinsoku/>
        <w:wordWrap/>
        <w:overflowPunct/>
        <w:topLinePunct w:val="0"/>
        <w:autoSpaceDE/>
        <w:autoSpaceDN/>
        <w:bidi w:val="0"/>
        <w:adjustRightInd/>
        <w:snapToGrid/>
        <w:spacing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测风激光雷达技术要求</w:t>
      </w:r>
    </w:p>
    <w:p w14:paraId="638C8566">
      <w:pPr>
        <w:pStyle w:val="12"/>
        <w:keepNext w:val="0"/>
        <w:keepLines w:val="0"/>
        <w:pageBreakBefore w:val="0"/>
        <w:numPr>
          <w:ilvl w:val="0"/>
          <w:numId w:val="80"/>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最大探测距离：≥20km</w:t>
      </w:r>
    </w:p>
    <w:p w14:paraId="20E67C83">
      <w:pPr>
        <w:pStyle w:val="12"/>
        <w:keepNext w:val="0"/>
        <w:keepLines w:val="0"/>
        <w:pageBreakBefore w:val="0"/>
        <w:numPr>
          <w:ilvl w:val="0"/>
          <w:numId w:val="80"/>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径向风速测量范围：-60m/s-+60m/s</w:t>
      </w:r>
    </w:p>
    <w:p w14:paraId="45437AFE">
      <w:pPr>
        <w:pStyle w:val="12"/>
        <w:keepNext w:val="0"/>
        <w:keepLines w:val="0"/>
        <w:pageBreakBefore w:val="0"/>
        <w:numPr>
          <w:ilvl w:val="0"/>
          <w:numId w:val="80"/>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cs="Times New Roman"/>
          <w:color w:val="auto"/>
          <w:highlight w:val="none"/>
          <w:lang w:eastAsia="zh-CN"/>
        </w:rPr>
        <w:t>▲</w:t>
      </w:r>
      <w:r>
        <w:rPr>
          <w:rFonts w:hint="default" w:ascii="Times New Roman" w:hAnsi="Times New Roman" w:cs="Times New Roman"/>
          <w:color w:val="auto"/>
          <w:highlight w:val="none"/>
        </w:rPr>
        <w:t>径向风速测量误差：≤0.1m/s</w:t>
      </w:r>
    </w:p>
    <w:p w14:paraId="48D22E1A">
      <w:pPr>
        <w:pStyle w:val="12"/>
        <w:keepNext w:val="0"/>
        <w:keepLines w:val="0"/>
        <w:pageBreakBefore w:val="0"/>
        <w:numPr>
          <w:ilvl w:val="0"/>
          <w:numId w:val="80"/>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空间分辨率：≤30m</w:t>
      </w:r>
    </w:p>
    <w:p w14:paraId="423F6E64">
      <w:pPr>
        <w:pStyle w:val="12"/>
        <w:keepNext w:val="0"/>
        <w:keepLines w:val="0"/>
        <w:pageBreakBefore w:val="0"/>
        <w:numPr>
          <w:ilvl w:val="0"/>
          <w:numId w:val="80"/>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cs="Times New Roman"/>
          <w:color w:val="auto"/>
          <w:highlight w:val="none"/>
          <w:lang w:eastAsia="zh-CN"/>
        </w:rPr>
        <w:t>▲</w:t>
      </w:r>
      <w:r>
        <w:rPr>
          <w:rFonts w:hint="default" w:ascii="Times New Roman" w:hAnsi="Times New Roman" w:cs="Times New Roman"/>
          <w:color w:val="auto"/>
          <w:highlight w:val="none"/>
        </w:rPr>
        <w:t>垂直气流测量精度：≤0.1m/s</w:t>
      </w:r>
    </w:p>
    <w:p w14:paraId="167ACF18">
      <w:pPr>
        <w:pStyle w:val="12"/>
        <w:keepNext w:val="0"/>
        <w:keepLines w:val="0"/>
        <w:pageBreakBefore w:val="0"/>
        <w:numPr>
          <w:ilvl w:val="0"/>
          <w:numId w:val="80"/>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风向测量精度分辨率：≤1°</w:t>
      </w:r>
    </w:p>
    <w:p w14:paraId="00677A41">
      <w:pPr>
        <w:pStyle w:val="12"/>
        <w:keepNext w:val="0"/>
        <w:keepLines w:val="0"/>
        <w:pageBreakBefore w:val="0"/>
        <w:numPr>
          <w:ilvl w:val="0"/>
          <w:numId w:val="80"/>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eastAsia" w:cs="Times New Roman"/>
          <w:color w:val="auto"/>
          <w:highlight w:val="none"/>
          <w:lang w:eastAsia="zh-CN"/>
        </w:rPr>
        <w:t>▲</w:t>
      </w:r>
      <w:r>
        <w:rPr>
          <w:rFonts w:hint="default" w:ascii="Times New Roman" w:hAnsi="Times New Roman" w:cs="Times New Roman"/>
          <w:color w:val="auto"/>
          <w:highlight w:val="none"/>
        </w:rPr>
        <w:t>方位指向精度：＜0.05°</w:t>
      </w:r>
    </w:p>
    <w:p w14:paraId="14430373">
      <w:pPr>
        <w:pStyle w:val="12"/>
        <w:keepNext w:val="0"/>
        <w:keepLines w:val="0"/>
        <w:pageBreakBefore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（备注：以上参数均须提供具有CMA 或CNAS 资质认证的检测机构出具的检测报告复印件作为证明材料，否则视为不满足）。</w:t>
      </w:r>
    </w:p>
    <w:p w14:paraId="2BD1EFED">
      <w:pPr>
        <w:pStyle w:val="2"/>
        <w:keepNext w:val="0"/>
        <w:keepLines w:val="0"/>
        <w:pageBreakBefore w:val="0"/>
        <w:numPr>
          <w:ilvl w:val="0"/>
          <w:numId w:val="7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采购标的对应的中小企业划分标准所属行业一览表</w:t>
      </w:r>
    </w:p>
    <w:tbl>
      <w:tblPr>
        <w:tblStyle w:val="25"/>
        <w:tblW w:w="4998" w:type="pct"/>
        <w:tblCellSpacing w:w="0" w:type="dxa"/>
        <w:tblInd w:w="0" w:type="dxa"/>
        <w:tblLayout w:type="autofit"/>
        <w:tblCellMar>
          <w:top w:w="0" w:type="dxa"/>
          <w:left w:w="108" w:type="dxa"/>
          <w:bottom w:w="0" w:type="dxa"/>
          <w:right w:w="108" w:type="dxa"/>
        </w:tblCellMar>
      </w:tblPr>
      <w:tblGrid>
        <w:gridCol w:w="693"/>
        <w:gridCol w:w="3736"/>
        <w:gridCol w:w="4110"/>
      </w:tblGrid>
      <w:tr w14:paraId="1A1DD8BD">
        <w:tblPrEx>
          <w:tblCellMar>
            <w:top w:w="0" w:type="dxa"/>
            <w:left w:w="108" w:type="dxa"/>
            <w:bottom w:w="0" w:type="dxa"/>
            <w:right w:w="108" w:type="dxa"/>
          </w:tblCellMar>
        </w:tblPrEx>
        <w:trPr>
          <w:trHeight w:val="706" w:hRule="atLeast"/>
          <w:tblCellSpacing w:w="0" w:type="dxa"/>
        </w:trPr>
        <w:tc>
          <w:tcPr>
            <w:tcW w:w="406" w:type="pct"/>
            <w:tcBorders>
              <w:top w:val="single" w:color="000000" w:sz="4" w:space="0"/>
              <w:left w:val="single" w:color="000000" w:sz="4" w:space="0"/>
              <w:bottom w:val="single" w:color="000000" w:sz="4" w:space="0"/>
              <w:right w:val="single" w:color="000000" w:sz="4" w:space="0"/>
            </w:tcBorders>
            <w:noWrap w:val="0"/>
            <w:vAlign w:val="center"/>
          </w:tcPr>
          <w:p w14:paraId="76075916">
            <w:pPr>
              <w:jc w:val="center"/>
              <w:rPr>
                <w:rFonts w:hint="default" w:ascii="Times New Roman" w:hAnsi="Times New Roman" w:cs="Times New Roman"/>
                <w:b/>
                <w:bCs/>
                <w:color w:val="auto"/>
                <w:sz w:val="21"/>
                <w:szCs w:val="21"/>
                <w:highlight w:val="none"/>
                <w:shd w:val="clear" w:color="auto" w:fill="FFFFFF"/>
              </w:rPr>
            </w:pPr>
            <w:r>
              <w:rPr>
                <w:rFonts w:hint="default" w:ascii="Times New Roman" w:hAnsi="Times New Roman" w:cs="Times New Roman"/>
                <w:b/>
                <w:bCs/>
                <w:color w:val="auto"/>
                <w:sz w:val="21"/>
                <w:szCs w:val="21"/>
                <w:highlight w:val="none"/>
                <w:shd w:val="clear" w:color="auto" w:fill="FFFFFF"/>
              </w:rPr>
              <w:t>序号</w:t>
            </w:r>
          </w:p>
        </w:tc>
        <w:tc>
          <w:tcPr>
            <w:tcW w:w="2187" w:type="pct"/>
            <w:tcBorders>
              <w:top w:val="single" w:color="000000" w:sz="4" w:space="0"/>
              <w:left w:val="single" w:color="000000" w:sz="4" w:space="0"/>
              <w:bottom w:val="single" w:color="000000" w:sz="4" w:space="0"/>
              <w:right w:val="single" w:color="000000" w:sz="4" w:space="0"/>
            </w:tcBorders>
            <w:noWrap w:val="0"/>
            <w:vAlign w:val="center"/>
          </w:tcPr>
          <w:p w14:paraId="243CAD2C">
            <w:pPr>
              <w:jc w:val="center"/>
              <w:rPr>
                <w:rFonts w:hint="default" w:ascii="Times New Roman" w:hAnsi="Times New Roman" w:cs="Times New Roman"/>
                <w:b/>
                <w:bCs/>
                <w:color w:val="auto"/>
                <w:sz w:val="21"/>
                <w:szCs w:val="21"/>
                <w:highlight w:val="none"/>
                <w:shd w:val="clear" w:color="auto" w:fill="FFFFFF"/>
              </w:rPr>
            </w:pPr>
            <w:r>
              <w:rPr>
                <w:rFonts w:hint="default" w:ascii="Times New Roman" w:hAnsi="Times New Roman" w:cs="Times New Roman"/>
                <w:b/>
                <w:bCs/>
                <w:color w:val="auto"/>
                <w:sz w:val="21"/>
                <w:szCs w:val="21"/>
                <w:highlight w:val="none"/>
                <w:shd w:val="clear" w:color="auto" w:fill="FFFFFF"/>
              </w:rPr>
              <w:t>采购标的</w:t>
            </w:r>
          </w:p>
        </w:tc>
        <w:tc>
          <w:tcPr>
            <w:tcW w:w="2406" w:type="pct"/>
            <w:tcBorders>
              <w:top w:val="single" w:color="000000" w:sz="4" w:space="0"/>
              <w:left w:val="single" w:color="000000" w:sz="4" w:space="0"/>
              <w:bottom w:val="single" w:color="000000" w:sz="4" w:space="0"/>
              <w:right w:val="single" w:color="000000" w:sz="4" w:space="0"/>
            </w:tcBorders>
            <w:noWrap w:val="0"/>
            <w:vAlign w:val="center"/>
          </w:tcPr>
          <w:p w14:paraId="6849A63B">
            <w:pPr>
              <w:jc w:val="center"/>
              <w:rPr>
                <w:rFonts w:hint="default" w:ascii="Times New Roman" w:hAnsi="Times New Roman" w:cs="Times New Roman"/>
                <w:b/>
                <w:bCs/>
                <w:color w:val="auto"/>
                <w:sz w:val="21"/>
                <w:szCs w:val="21"/>
                <w:highlight w:val="none"/>
                <w:shd w:val="clear" w:color="auto" w:fill="FFFFFF"/>
              </w:rPr>
            </w:pPr>
            <w:r>
              <w:rPr>
                <w:rFonts w:hint="default" w:ascii="Times New Roman" w:hAnsi="Times New Roman" w:cs="Times New Roman"/>
                <w:b/>
                <w:bCs/>
                <w:color w:val="auto"/>
                <w:sz w:val="21"/>
                <w:szCs w:val="21"/>
                <w:highlight w:val="none"/>
                <w:shd w:val="clear" w:color="auto" w:fill="FFFFFF"/>
              </w:rPr>
              <w:t>对应中小企业划分标准所属行业</w:t>
            </w:r>
          </w:p>
        </w:tc>
      </w:tr>
      <w:tr w14:paraId="5392D4FF">
        <w:tblPrEx>
          <w:tblCellMar>
            <w:top w:w="0" w:type="dxa"/>
            <w:left w:w="108" w:type="dxa"/>
            <w:bottom w:w="0" w:type="dxa"/>
            <w:right w:w="108" w:type="dxa"/>
          </w:tblCellMar>
        </w:tblPrEx>
        <w:trPr>
          <w:trHeight w:val="646" w:hRule="atLeast"/>
          <w:tblCellSpacing w:w="0" w:type="dxa"/>
        </w:trPr>
        <w:tc>
          <w:tcPr>
            <w:tcW w:w="406" w:type="pct"/>
            <w:tcBorders>
              <w:top w:val="single" w:color="000000" w:sz="4" w:space="0"/>
              <w:left w:val="single" w:color="000000" w:sz="4" w:space="0"/>
              <w:bottom w:val="single" w:color="000000" w:sz="4" w:space="0"/>
              <w:right w:val="single" w:color="000000" w:sz="4" w:space="0"/>
            </w:tcBorders>
            <w:noWrap w:val="0"/>
            <w:vAlign w:val="center"/>
          </w:tcPr>
          <w:p w14:paraId="5A1FF272">
            <w:pPr>
              <w:jc w:val="center"/>
              <w:rPr>
                <w:rFonts w:hint="default" w:ascii="Times New Roman" w:hAnsi="Times New Roman" w:cs="Times New Roman"/>
                <w:b/>
                <w:bCs/>
                <w:color w:val="auto"/>
                <w:sz w:val="21"/>
                <w:szCs w:val="21"/>
                <w:highlight w:val="none"/>
                <w:shd w:val="clear" w:color="auto" w:fill="FFFFFF"/>
              </w:rPr>
            </w:pPr>
            <w:r>
              <w:rPr>
                <w:rFonts w:hint="default" w:ascii="Times New Roman" w:hAnsi="Times New Roman" w:cs="Times New Roman"/>
                <w:b/>
                <w:bCs/>
                <w:color w:val="auto"/>
                <w:sz w:val="21"/>
                <w:szCs w:val="21"/>
                <w:highlight w:val="none"/>
                <w:shd w:val="clear" w:color="auto" w:fill="FFFFFF"/>
              </w:rPr>
              <w:t>1</w:t>
            </w:r>
          </w:p>
        </w:tc>
        <w:tc>
          <w:tcPr>
            <w:tcW w:w="2187" w:type="pct"/>
            <w:tcBorders>
              <w:top w:val="single" w:color="000000" w:sz="4" w:space="0"/>
              <w:left w:val="single" w:color="000000" w:sz="4" w:space="0"/>
              <w:bottom w:val="single" w:color="000000" w:sz="4" w:space="0"/>
              <w:right w:val="single" w:color="000000" w:sz="4" w:space="0"/>
            </w:tcBorders>
            <w:noWrap w:val="0"/>
            <w:vAlign w:val="center"/>
          </w:tcPr>
          <w:p w14:paraId="67306185">
            <w:pPr>
              <w:jc w:val="center"/>
              <w:rPr>
                <w:rFonts w:hint="default" w:ascii="Times New Roman" w:hAnsi="Times New Roman" w:cs="Times New Roman"/>
                <w:b/>
                <w:bCs/>
                <w:color w:val="auto"/>
                <w:sz w:val="21"/>
                <w:szCs w:val="21"/>
                <w:highlight w:val="none"/>
                <w:shd w:val="clear" w:color="auto" w:fill="FFFFFF"/>
              </w:rPr>
            </w:pPr>
            <w:r>
              <w:rPr>
                <w:rFonts w:hint="default" w:ascii="Times New Roman" w:hAnsi="Times New Roman" w:cs="Times New Roman"/>
                <w:b/>
                <w:bCs/>
                <w:color w:val="auto"/>
                <w:sz w:val="21"/>
                <w:szCs w:val="21"/>
                <w:highlight w:val="none"/>
                <w:shd w:val="clear" w:color="auto" w:fill="FFFFFF"/>
              </w:rPr>
              <w:t>2026年盐城市盐都区大气监测溯源服务项目</w:t>
            </w:r>
          </w:p>
        </w:tc>
        <w:tc>
          <w:tcPr>
            <w:tcW w:w="2406" w:type="pct"/>
            <w:tcBorders>
              <w:top w:val="single" w:color="000000" w:sz="4" w:space="0"/>
              <w:left w:val="single" w:color="000000" w:sz="4" w:space="0"/>
              <w:bottom w:val="single" w:color="000000" w:sz="4" w:space="0"/>
              <w:right w:val="single" w:color="000000" w:sz="4" w:space="0"/>
            </w:tcBorders>
            <w:noWrap w:val="0"/>
            <w:vAlign w:val="center"/>
          </w:tcPr>
          <w:p w14:paraId="201A9FAA">
            <w:pPr>
              <w:jc w:val="center"/>
              <w:rPr>
                <w:rFonts w:hint="default" w:ascii="Times New Roman" w:hAnsi="Times New Roman" w:cs="Times New Roman"/>
                <w:b/>
                <w:bCs/>
                <w:color w:val="auto"/>
                <w:sz w:val="21"/>
                <w:szCs w:val="21"/>
                <w:highlight w:val="none"/>
                <w:shd w:val="clear" w:color="auto" w:fill="FFFFFF"/>
              </w:rPr>
            </w:pPr>
            <w:r>
              <w:rPr>
                <w:rFonts w:hint="default" w:ascii="Times New Roman" w:hAnsi="Times New Roman" w:eastAsia="宋体" w:cs="Times New Roman"/>
                <w:b/>
                <w:bCs/>
                <w:color w:val="auto"/>
                <w:sz w:val="24"/>
                <w:szCs w:val="24"/>
                <w:highlight w:val="none"/>
                <w:u w:val="none"/>
              </w:rPr>
              <w:t>其他未列明行业</w:t>
            </w:r>
          </w:p>
        </w:tc>
      </w:tr>
    </w:tbl>
    <w:p w14:paraId="384D2440">
      <w:pPr>
        <w:pStyle w:val="21"/>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lang w:val="en-US" w:eastAsia="zh-CN"/>
        </w:rPr>
        <w:br w:type="page"/>
      </w:r>
    </w:p>
    <w:p w14:paraId="5F7C6898">
      <w:pPr>
        <w:pStyle w:val="49"/>
        <w:keepNext w:val="0"/>
        <w:keepLines w:val="0"/>
        <w:pageBreakBefore w:val="0"/>
        <w:widowControl w:val="0"/>
        <w:numPr>
          <w:ilvl w:val="0"/>
          <w:numId w:val="1"/>
        </w:numPr>
        <w:tabs>
          <w:tab w:val="left" w:pos="1602"/>
          <w:tab w:val="clear" w:pos="210"/>
        </w:tabs>
        <w:kinsoku/>
        <w:wordWrap/>
        <w:overflowPunct/>
        <w:topLinePunct w:val="0"/>
        <w:autoSpaceDE/>
        <w:autoSpaceDN/>
        <w:bidi w:val="0"/>
        <w:adjustRightInd/>
        <w:snapToGrid/>
        <w:spacing w:before="0" w:beforeLines="0" w:after="0" w:line="360" w:lineRule="exact"/>
        <w:ind w:left="0" w:leftChars="0" w:firstLine="640" w:firstLineChars="200"/>
        <w:textAlignment w:val="auto"/>
        <w:outlineLvl w:val="0"/>
        <w:rPr>
          <w:rFonts w:hint="default" w:ascii="Times New Roman" w:hAnsi="Times New Roman" w:cs="Times New Roman"/>
          <w:highlight w:val="none"/>
        </w:rPr>
      </w:pPr>
      <w:r>
        <w:rPr>
          <w:rFonts w:hint="default" w:ascii="Times New Roman" w:hAnsi="Times New Roman" w:cs="Times New Roman"/>
          <w:highlight w:val="none"/>
        </w:rPr>
        <w:t>评标方法与评标标准</w:t>
      </w:r>
    </w:p>
    <w:p w14:paraId="2D648D58">
      <w:pPr>
        <w:pStyle w:val="21"/>
        <w:keepNext w:val="0"/>
        <w:keepLines w:val="0"/>
        <w:pageBreakBefore w:val="0"/>
        <w:widowControl w:val="0"/>
        <w:kinsoku/>
        <w:wordWrap/>
        <w:overflowPunct/>
        <w:topLinePunct w:val="0"/>
        <w:autoSpaceDE/>
        <w:autoSpaceDN/>
        <w:bidi w:val="0"/>
        <w:adjustRightInd/>
        <w:snapToGrid/>
        <w:spacing w:beforeAutospacing="0" w:afterAutospacing="0" w:line="360" w:lineRule="exact"/>
        <w:jc w:val="both"/>
        <w:textAlignment w:val="auto"/>
        <w:rPr>
          <w:rFonts w:hint="default" w:ascii="Times New Roman" w:hAnsi="Times New Roman" w:cs="Times New Roman"/>
          <w:color w:val="auto"/>
          <w:highlight w:val="none"/>
        </w:rPr>
      </w:pPr>
    </w:p>
    <w:p w14:paraId="7EAE876C">
      <w:pPr>
        <w:pStyle w:val="2"/>
        <w:keepNext w:val="0"/>
        <w:keepLines w:val="0"/>
        <w:pageBreakBefore w:val="0"/>
        <w:widowControl w:val="0"/>
        <w:numPr>
          <w:ilvl w:val="0"/>
          <w:numId w:val="8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定标原则</w:t>
      </w:r>
    </w:p>
    <w:p w14:paraId="5486D9BF">
      <w:pPr>
        <w:pStyle w:val="12"/>
        <w:keepNext w:val="0"/>
        <w:keepLines w:val="0"/>
        <w:pageBreakBefore w:val="0"/>
        <w:widowControl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本项目采用</w:t>
      </w:r>
      <w:r>
        <w:rPr>
          <w:rFonts w:hint="default" w:ascii="Times New Roman" w:hAnsi="Times New Roman" w:cs="Times New Roman"/>
          <w:color w:val="auto"/>
          <w:highlight w:val="none"/>
          <w:u w:val="single"/>
        </w:rPr>
        <w:t xml:space="preserve"> 综合评分 </w:t>
      </w:r>
      <w:r>
        <w:rPr>
          <w:rFonts w:hint="default" w:ascii="Times New Roman" w:hAnsi="Times New Roman" w:cs="Times New Roman"/>
          <w:color w:val="auto"/>
          <w:highlight w:val="none"/>
        </w:rPr>
        <w:t>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1AB78249">
      <w:pPr>
        <w:pStyle w:val="50"/>
        <w:keepNext w:val="0"/>
        <w:keepLines w:val="0"/>
        <w:pageBreakBefore w:val="0"/>
        <w:widowControl w:val="0"/>
        <w:kinsoku/>
        <w:wordWrap/>
        <w:overflowPunct/>
        <w:topLinePunct w:val="0"/>
        <w:autoSpaceDE/>
        <w:autoSpaceDN/>
        <w:bidi w:val="0"/>
        <w:adjustRightInd/>
        <w:snapToGrid/>
        <w:spacing w:before="0" w:after="0" w:line="360" w:lineRule="exact"/>
        <w:ind w:left="0" w:leftChars="0" w:firstLine="0" w:firstLineChars="0"/>
        <w:textAlignment w:val="auto"/>
        <w:outlineLvl w:val="9"/>
        <w:rPr>
          <w:rFonts w:hint="default" w:ascii="Times New Roman" w:hAnsi="Times New Roman" w:cs="Times New Roman"/>
          <w:highlight w:val="none"/>
        </w:rPr>
      </w:pPr>
      <w:r>
        <w:rPr>
          <w:rFonts w:hint="default" w:ascii="Times New Roman" w:hAnsi="Times New Roman" w:cs="Times New Roman"/>
          <w:highlight w:val="none"/>
        </w:rPr>
        <w:t>政府采购政策功能落实</w:t>
      </w:r>
    </w:p>
    <w:p w14:paraId="293BBD3F">
      <w:pPr>
        <w:pStyle w:val="12"/>
        <w:keepNext w:val="0"/>
        <w:keepLines w:val="0"/>
        <w:pageBreakBefore w:val="0"/>
        <w:widowControl w:val="0"/>
        <w:numPr>
          <w:ilvl w:val="0"/>
          <w:numId w:val="82"/>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小微型企业价格扣除</w:t>
      </w:r>
    </w:p>
    <w:p w14:paraId="6AF63062">
      <w:pPr>
        <w:pStyle w:val="12"/>
        <w:keepNext w:val="0"/>
        <w:keepLines w:val="0"/>
        <w:pageBreakBefore w:val="0"/>
        <w:widowControl w:val="0"/>
        <w:numPr>
          <w:ilvl w:val="0"/>
          <w:numId w:val="83"/>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本项目不专门面向中小企业采购，对符合规定的小型和微型企业报价给予20%的扣除价格，用扣除后的价格参与评审。</w:t>
      </w:r>
    </w:p>
    <w:p w14:paraId="0298928B">
      <w:pPr>
        <w:pStyle w:val="12"/>
        <w:keepNext w:val="0"/>
        <w:keepLines w:val="0"/>
        <w:pageBreakBefore w:val="0"/>
        <w:widowControl w:val="0"/>
        <w:numPr>
          <w:ilvl w:val="0"/>
          <w:numId w:val="83"/>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供应商需按照采购文件的要求提供相应的《中小企业声明函》。</w:t>
      </w:r>
    </w:p>
    <w:p w14:paraId="0F2F677D">
      <w:pPr>
        <w:pStyle w:val="12"/>
        <w:keepNext w:val="0"/>
        <w:keepLines w:val="0"/>
        <w:pageBreakBefore w:val="0"/>
        <w:widowControl w:val="0"/>
        <w:numPr>
          <w:ilvl w:val="0"/>
          <w:numId w:val="83"/>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企业标准请参照《关于印发中小企业划型标准规定的通知》（工信部联企业[2011]300号）文件规定自行填写。</w:t>
      </w:r>
    </w:p>
    <w:p w14:paraId="614A393A">
      <w:pPr>
        <w:pStyle w:val="12"/>
        <w:keepNext w:val="0"/>
        <w:keepLines w:val="0"/>
        <w:pageBreakBefore w:val="0"/>
        <w:widowControl w:val="0"/>
        <w:numPr>
          <w:ilvl w:val="0"/>
          <w:numId w:val="82"/>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残疾人福利单位价格扣除</w:t>
      </w:r>
    </w:p>
    <w:p w14:paraId="765C3F6E">
      <w:pPr>
        <w:pStyle w:val="12"/>
        <w:keepNext w:val="0"/>
        <w:keepLines w:val="0"/>
        <w:pageBreakBefore w:val="0"/>
        <w:widowControl w:val="0"/>
        <w:numPr>
          <w:ilvl w:val="0"/>
          <w:numId w:val="84"/>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本项目对残疾人福利性单位视同小型、微型企业，给予20%的价格扣除。</w:t>
      </w:r>
    </w:p>
    <w:p w14:paraId="7DB7C2DD">
      <w:pPr>
        <w:pStyle w:val="12"/>
        <w:keepNext w:val="0"/>
        <w:keepLines w:val="0"/>
        <w:pageBreakBefore w:val="0"/>
        <w:widowControl w:val="0"/>
        <w:numPr>
          <w:ilvl w:val="0"/>
          <w:numId w:val="84"/>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残疾人福利单位需按照采购文件的要求提供《残疾人福利性单位声明函》。</w:t>
      </w:r>
    </w:p>
    <w:p w14:paraId="20CAC0B2">
      <w:pPr>
        <w:pStyle w:val="12"/>
        <w:keepNext w:val="0"/>
        <w:keepLines w:val="0"/>
        <w:pageBreakBefore w:val="0"/>
        <w:widowControl w:val="0"/>
        <w:numPr>
          <w:ilvl w:val="0"/>
          <w:numId w:val="84"/>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残疾人福利单位标准请参照《关于促进残疾人就业政府采购政策的通知》（财库〔2017〕141号）。</w:t>
      </w:r>
    </w:p>
    <w:p w14:paraId="00D11C21">
      <w:pPr>
        <w:pStyle w:val="12"/>
        <w:keepNext w:val="0"/>
        <w:keepLines w:val="0"/>
        <w:pageBreakBefore w:val="0"/>
        <w:widowControl w:val="0"/>
        <w:numPr>
          <w:ilvl w:val="0"/>
          <w:numId w:val="82"/>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监狱和戒毒企业价格扣除</w:t>
      </w:r>
    </w:p>
    <w:p w14:paraId="4D84015D">
      <w:pPr>
        <w:pStyle w:val="12"/>
        <w:keepNext w:val="0"/>
        <w:keepLines w:val="0"/>
        <w:pageBreakBefore w:val="0"/>
        <w:widowControl w:val="0"/>
        <w:numPr>
          <w:ilvl w:val="0"/>
          <w:numId w:val="85"/>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本项目对监狱和戒毒企业（简称监狱企业）视同小型、微型企业，给予20%的价格扣除。</w:t>
      </w:r>
    </w:p>
    <w:p w14:paraId="7927D56F">
      <w:pPr>
        <w:pStyle w:val="12"/>
        <w:keepNext w:val="0"/>
        <w:keepLines w:val="0"/>
        <w:pageBreakBefore w:val="0"/>
        <w:widowControl w:val="0"/>
        <w:numPr>
          <w:ilvl w:val="0"/>
          <w:numId w:val="85"/>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监狱企业参加政府采购活动时，需提供由省级以上监狱管理局、戒毒管理局(含新疆生产建设兵团)出具的属于监狱企业的证明文件。供应商如不提供上述证明文件，价格将不做相应扣除。</w:t>
      </w:r>
    </w:p>
    <w:p w14:paraId="07B427B1">
      <w:pPr>
        <w:pStyle w:val="12"/>
        <w:keepNext w:val="0"/>
        <w:keepLines w:val="0"/>
        <w:pageBreakBefore w:val="0"/>
        <w:widowControl w:val="0"/>
        <w:numPr>
          <w:ilvl w:val="0"/>
          <w:numId w:val="85"/>
        </w:numPr>
        <w:tabs>
          <w:tab w:val="left" w:pos="108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监狱企业标准请参照《关于政府采购支持监狱企业发展有关问题的通知》（财库[2014]68号）。</w:t>
      </w:r>
    </w:p>
    <w:p w14:paraId="5198C5B9">
      <w:pPr>
        <w:pStyle w:val="12"/>
        <w:keepNext w:val="0"/>
        <w:keepLines w:val="0"/>
        <w:pageBreakBefore w:val="0"/>
        <w:widowControl w:val="0"/>
        <w:numPr>
          <w:ilvl w:val="0"/>
          <w:numId w:val="82"/>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残疾人福利单位、监狱企业属于小型、微型企业的，不重复享受政策。</w:t>
      </w:r>
    </w:p>
    <w:p w14:paraId="018A8531">
      <w:pPr>
        <w:pStyle w:val="12"/>
        <w:keepNext w:val="0"/>
        <w:keepLines w:val="0"/>
        <w:pageBreakBefore w:val="0"/>
        <w:widowControl w:val="0"/>
        <w:numPr>
          <w:ilvl w:val="0"/>
          <w:numId w:val="82"/>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72E28751">
      <w:pPr>
        <w:pStyle w:val="12"/>
        <w:keepNext w:val="0"/>
        <w:keepLines w:val="0"/>
        <w:pageBreakBefore w:val="0"/>
        <w:widowControl w:val="0"/>
        <w:numPr>
          <w:ilvl w:val="0"/>
          <w:numId w:val="82"/>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联合体各方均为小型、微型企业（残疾人福利单位、监狱企业）的，联合体享受20%的价格扣除。</w:t>
      </w:r>
    </w:p>
    <w:p w14:paraId="547A6AC6">
      <w:pPr>
        <w:pStyle w:val="12"/>
        <w:keepNext w:val="0"/>
        <w:keepLines w:val="0"/>
        <w:pageBreakBefore w:val="0"/>
        <w:widowControl w:val="0"/>
        <w:numPr>
          <w:ilvl w:val="0"/>
          <w:numId w:val="82"/>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采购本国产品的支持政策</w:t>
      </w:r>
    </w:p>
    <w:p w14:paraId="1B35457D">
      <w:pPr>
        <w:pStyle w:val="12"/>
        <w:keepNext w:val="0"/>
        <w:keepLines w:val="0"/>
        <w:pageBreakBefore w:val="0"/>
        <w:widowControl w:val="0"/>
        <w:numPr>
          <w:ilvl w:val="0"/>
          <w:numId w:val="86"/>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本项目政府采购活动中既有本国产品又有非本国产品参与竞争的，依法对本国产品给予价格评审优惠，对本国产品的报价给予 20%的价格扣除，用扣除后的价格参与评审。</w:t>
      </w:r>
    </w:p>
    <w:p w14:paraId="521B83EF">
      <w:pPr>
        <w:pStyle w:val="12"/>
        <w:keepNext w:val="0"/>
        <w:keepLines w:val="0"/>
        <w:pageBreakBefore w:val="0"/>
        <w:widowControl w:val="0"/>
        <w:numPr>
          <w:ilvl w:val="0"/>
          <w:numId w:val="86"/>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2AAC6DC">
      <w:pPr>
        <w:pStyle w:val="12"/>
        <w:keepNext w:val="0"/>
        <w:keepLines w:val="0"/>
        <w:pageBreakBefore w:val="0"/>
        <w:widowControl w:val="0"/>
        <w:numPr>
          <w:ilvl w:val="0"/>
          <w:numId w:val="86"/>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供应商需按照招标文件的要求提供《关于符合本国产品标准的声明函》（以下简称《声明函》），如不提供将不享受本国产品价格评审优惠。</w:t>
      </w:r>
    </w:p>
    <w:p w14:paraId="7BAC137E">
      <w:pPr>
        <w:pStyle w:val="12"/>
        <w:keepNext w:val="0"/>
        <w:keepLines w:val="0"/>
        <w:pageBreakBefore w:val="0"/>
        <w:widowControl w:val="0"/>
        <w:numPr>
          <w:ilvl w:val="0"/>
          <w:numId w:val="86"/>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需在《声明函》中逐一、准确填写产品名称、厂名、生产厂址三项信息（《声明函》中用横线划除的地方无需填写），三项信息中任意一项未填写的视为该项产品不符合本国产品标准，不享受本国产品价格评审优惠。</w:t>
      </w:r>
    </w:p>
    <w:p w14:paraId="142E84B6">
      <w:pPr>
        <w:pStyle w:val="12"/>
        <w:keepNext w:val="0"/>
        <w:keepLines w:val="0"/>
        <w:pageBreakBefore w:val="0"/>
        <w:widowControl w:val="0"/>
        <w:numPr>
          <w:ilvl w:val="0"/>
          <w:numId w:val="86"/>
        </w:numPr>
        <w:tabs>
          <w:tab w:val="left" w:pos="900"/>
          <w:tab w:val="clear" w:pos="21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ADB2E4B">
      <w:pPr>
        <w:pStyle w:val="12"/>
        <w:keepNext w:val="0"/>
        <w:keepLines w:val="0"/>
        <w:pageBreakBefore w:val="0"/>
        <w:widowControl w:val="0"/>
        <w:numPr>
          <w:ilvl w:val="0"/>
          <w:numId w:val="82"/>
        </w:numPr>
        <w:tabs>
          <w:tab w:val="left" w:pos="840"/>
        </w:tabs>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E514285">
      <w:pPr>
        <w:pStyle w:val="2"/>
        <w:keepNext w:val="0"/>
        <w:keepLines w:val="0"/>
        <w:pageBreakBefore w:val="0"/>
        <w:widowControl w:val="0"/>
        <w:numPr>
          <w:ilvl w:val="0"/>
          <w:numId w:val="81"/>
        </w:numPr>
        <w:tabs>
          <w:tab w:val="left" w:pos="1081"/>
        </w:tabs>
        <w:kinsoku/>
        <w:wordWrap/>
        <w:overflowPunct/>
        <w:topLinePunct w:val="0"/>
        <w:autoSpaceDE/>
        <w:autoSpaceDN/>
        <w:bidi w:val="0"/>
        <w:adjustRightInd/>
        <w:snapToGrid/>
        <w:spacing w:before="0" w:beforeLines="0" w:after="0" w:line="360" w:lineRule="exact"/>
        <w:ind w:left="0" w:leftChars="0" w:firstLine="482"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评标方法与评标标准</w:t>
      </w:r>
    </w:p>
    <w:p w14:paraId="7F998C11">
      <w:pPr>
        <w:pStyle w:val="12"/>
        <w:keepNext w:val="0"/>
        <w:keepLines w:val="0"/>
        <w:pageBreakBefore w:val="0"/>
        <w:widowControl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本项目评分总分值为100分。</w:t>
      </w:r>
    </w:p>
    <w:tbl>
      <w:tblPr>
        <w:tblStyle w:val="2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38"/>
        <w:gridCol w:w="1265"/>
        <w:gridCol w:w="6017"/>
      </w:tblGrid>
      <w:tr w14:paraId="39916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5" w:hRule="atLeast"/>
          <w:tblHeader/>
          <w:jc w:val="center"/>
        </w:trPr>
        <w:tc>
          <w:tcPr>
            <w:tcW w:w="727" w:type="pct"/>
            <w:tcBorders>
              <w:top w:val="single" w:color="000000" w:sz="4" w:space="0"/>
              <w:left w:val="single" w:color="000000" w:sz="4" w:space="0"/>
              <w:bottom w:val="single" w:color="000000" w:sz="4" w:space="0"/>
              <w:right w:val="single" w:color="000000" w:sz="4" w:space="0"/>
            </w:tcBorders>
            <w:vAlign w:val="center"/>
          </w:tcPr>
          <w:p w14:paraId="390506C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b/>
                <w:color w:val="auto"/>
                <w:sz w:val="24"/>
                <w:szCs w:val="24"/>
                <w:highlight w:val="none"/>
              </w:rPr>
            </w:pPr>
            <w:bookmarkStart w:id="217" w:name="OLE_LINK8"/>
            <w:r>
              <w:rPr>
                <w:rFonts w:hint="default" w:ascii="Times New Roman" w:hAnsi="Times New Roman" w:eastAsia="仿宋" w:cs="Times New Roman"/>
                <w:b/>
                <w:color w:val="auto"/>
                <w:sz w:val="24"/>
                <w:szCs w:val="24"/>
                <w:highlight w:val="none"/>
              </w:rPr>
              <w:t>评审</w:t>
            </w:r>
          </w:p>
          <w:p w14:paraId="63F7968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因素</w:t>
            </w:r>
          </w:p>
        </w:tc>
        <w:tc>
          <w:tcPr>
            <w:tcW w:w="742" w:type="pct"/>
            <w:tcBorders>
              <w:top w:val="single" w:color="000000" w:sz="4" w:space="0"/>
              <w:left w:val="single" w:color="000000" w:sz="4" w:space="0"/>
              <w:right w:val="single" w:color="000000" w:sz="4" w:space="0"/>
            </w:tcBorders>
            <w:vAlign w:val="center"/>
          </w:tcPr>
          <w:p w14:paraId="22A1146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评审</w:t>
            </w:r>
          </w:p>
          <w:p w14:paraId="2C574AA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项目</w:t>
            </w:r>
          </w:p>
        </w:tc>
        <w:tc>
          <w:tcPr>
            <w:tcW w:w="3530" w:type="pct"/>
            <w:tcBorders>
              <w:top w:val="single" w:color="000000" w:sz="4" w:space="0"/>
              <w:left w:val="single" w:color="000000" w:sz="4" w:space="0"/>
              <w:bottom w:val="single" w:color="000000" w:sz="4" w:space="0"/>
              <w:right w:val="single" w:color="000000" w:sz="4" w:space="0"/>
            </w:tcBorders>
            <w:vAlign w:val="center"/>
          </w:tcPr>
          <w:p w14:paraId="2BD8DC8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b/>
                <w:color w:val="auto"/>
                <w:sz w:val="24"/>
                <w:szCs w:val="24"/>
                <w:highlight w:val="none"/>
              </w:rPr>
            </w:pPr>
            <w:r>
              <w:rPr>
                <w:rFonts w:hint="default" w:ascii="Times New Roman" w:hAnsi="Times New Roman" w:eastAsia="仿宋" w:cs="Times New Roman"/>
                <w:b/>
                <w:color w:val="auto"/>
                <w:sz w:val="24"/>
                <w:szCs w:val="24"/>
                <w:highlight w:val="none"/>
              </w:rPr>
              <w:t>评审细则</w:t>
            </w:r>
          </w:p>
        </w:tc>
      </w:tr>
      <w:tr w14:paraId="1491E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tcBorders>
              <w:top w:val="single" w:color="000000" w:sz="4" w:space="0"/>
              <w:left w:val="single" w:color="000000" w:sz="4" w:space="0"/>
              <w:bottom w:val="single" w:color="000000" w:sz="4" w:space="0"/>
              <w:right w:val="single" w:color="000000" w:sz="4" w:space="0"/>
            </w:tcBorders>
            <w:vAlign w:val="center"/>
          </w:tcPr>
          <w:p w14:paraId="19212B6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价格部分（10分）</w:t>
            </w:r>
          </w:p>
        </w:tc>
        <w:tc>
          <w:tcPr>
            <w:tcW w:w="742" w:type="pct"/>
            <w:tcBorders>
              <w:top w:val="single" w:color="000000" w:sz="4" w:space="0"/>
              <w:left w:val="single" w:color="000000" w:sz="4" w:space="0"/>
              <w:right w:val="single" w:color="000000" w:sz="4" w:space="0"/>
            </w:tcBorders>
            <w:vAlign w:val="center"/>
          </w:tcPr>
          <w:p w14:paraId="0CADB83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投标</w:t>
            </w:r>
          </w:p>
          <w:p w14:paraId="288AD35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报价</w:t>
            </w:r>
          </w:p>
        </w:tc>
        <w:tc>
          <w:tcPr>
            <w:tcW w:w="3530" w:type="pct"/>
            <w:tcBorders>
              <w:top w:val="single" w:color="000000" w:sz="4" w:space="0"/>
              <w:left w:val="single" w:color="000000" w:sz="4" w:space="0"/>
              <w:bottom w:val="single" w:color="000000" w:sz="4" w:space="0"/>
              <w:right w:val="single" w:color="000000" w:sz="4" w:space="0"/>
            </w:tcBorders>
            <w:vAlign w:val="center"/>
          </w:tcPr>
          <w:p w14:paraId="70DB01BA">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投标报价得分采用低价优先法计算，即满足招标文件要求且投标价格最低的投标报价为评标基准价，其报价得满分。其他投标人的投标报价得分按下列公式计算：</w:t>
            </w:r>
          </w:p>
          <w:p w14:paraId="1CDE3B34">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投标报价得分=(评标基准价／投标报价)×10，因落实政府采购政策需进行价格扣除的，以扣除后的价格计算评标基准价和投标报价。（得分保留两位小数）</w:t>
            </w:r>
          </w:p>
        </w:tc>
      </w:tr>
      <w:tr w14:paraId="61DE9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27" w:type="pct"/>
            <w:vMerge w:val="restart"/>
            <w:tcBorders>
              <w:top w:val="single" w:color="000000" w:sz="4" w:space="0"/>
              <w:left w:val="single" w:color="000000" w:sz="4" w:space="0"/>
              <w:right w:val="single" w:color="000000" w:sz="4" w:space="0"/>
            </w:tcBorders>
            <w:vAlign w:val="center"/>
          </w:tcPr>
          <w:p w14:paraId="3D29825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技术部分（</w:t>
            </w:r>
            <w:r>
              <w:rPr>
                <w:rFonts w:hint="eastAsia" w:ascii="仿宋" w:hAnsi="仿宋" w:eastAsia="仿宋" w:cs="仿宋"/>
                <w:color w:val="auto"/>
                <w:sz w:val="24"/>
                <w:szCs w:val="24"/>
                <w:highlight w:val="none"/>
                <w:lang w:val="en-US" w:eastAsia="zh-CN"/>
              </w:rPr>
              <w:t>66</w:t>
            </w:r>
            <w:r>
              <w:rPr>
                <w:rFonts w:hint="eastAsia" w:ascii="仿宋" w:hAnsi="仿宋" w:eastAsia="仿宋" w:cs="仿宋"/>
                <w:color w:val="auto"/>
                <w:sz w:val="24"/>
                <w:szCs w:val="24"/>
                <w:highlight w:val="none"/>
              </w:rPr>
              <w:t>分）</w:t>
            </w:r>
          </w:p>
        </w:tc>
        <w:tc>
          <w:tcPr>
            <w:tcW w:w="1265" w:type="dxa"/>
            <w:tcBorders>
              <w:top w:val="single" w:color="000000" w:sz="4" w:space="0"/>
              <w:left w:val="single" w:color="000000" w:sz="4" w:space="0"/>
              <w:right w:val="single" w:color="000000" w:sz="4" w:space="0"/>
            </w:tcBorders>
            <w:vAlign w:val="center"/>
          </w:tcPr>
          <w:p w14:paraId="1928B7C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项目的重点分析</w:t>
            </w:r>
          </w:p>
          <w:p w14:paraId="7C3465F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分）</w:t>
            </w:r>
          </w:p>
        </w:tc>
        <w:tc>
          <w:tcPr>
            <w:tcW w:w="6017" w:type="dxa"/>
            <w:tcBorders>
              <w:top w:val="single" w:color="000000" w:sz="4" w:space="0"/>
              <w:left w:val="single" w:color="000000" w:sz="4" w:space="0"/>
              <w:bottom w:val="single" w:color="000000" w:sz="4" w:space="0"/>
              <w:right w:val="single" w:color="000000" w:sz="4" w:space="0"/>
            </w:tcBorders>
            <w:vAlign w:val="center"/>
          </w:tcPr>
          <w:p w14:paraId="7D2DD202">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根据投标人对项目的重点分析综合评定：其中重点切入准确、内容阐述完整，操作性强的得</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分；重点切入较准确，内容阐述较完整，操作性较强的得</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分；重点内容切入基本准确，内容阐述基本完整，操作性一般的得</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分；未提供本项不得分。</w:t>
            </w:r>
          </w:p>
        </w:tc>
      </w:tr>
      <w:tr w14:paraId="29776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27" w:type="pct"/>
            <w:vMerge w:val="continue"/>
            <w:tcBorders>
              <w:left w:val="single" w:color="000000" w:sz="4" w:space="0"/>
              <w:right w:val="single" w:color="000000" w:sz="4" w:space="0"/>
            </w:tcBorders>
            <w:vAlign w:val="center"/>
          </w:tcPr>
          <w:p w14:paraId="33CC94B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 w:val="24"/>
                <w:szCs w:val="24"/>
                <w:highlight w:val="none"/>
              </w:rPr>
            </w:pPr>
          </w:p>
        </w:tc>
        <w:tc>
          <w:tcPr>
            <w:tcW w:w="1265" w:type="dxa"/>
            <w:tcBorders>
              <w:top w:val="single" w:color="000000" w:sz="4" w:space="0"/>
              <w:left w:val="single" w:color="000000" w:sz="4" w:space="0"/>
              <w:right w:val="single" w:color="000000" w:sz="4" w:space="0"/>
            </w:tcBorders>
            <w:vAlign w:val="center"/>
          </w:tcPr>
          <w:p w14:paraId="117A2E5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工作路线和实施</w:t>
            </w:r>
          </w:p>
          <w:p w14:paraId="52F7E88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分）</w:t>
            </w:r>
          </w:p>
        </w:tc>
        <w:tc>
          <w:tcPr>
            <w:tcW w:w="6017" w:type="dxa"/>
            <w:tcBorders>
              <w:top w:val="single" w:color="000000" w:sz="4" w:space="0"/>
              <w:left w:val="single" w:color="000000" w:sz="4" w:space="0"/>
              <w:bottom w:val="single" w:color="000000" w:sz="4" w:space="0"/>
              <w:right w:val="single" w:color="000000" w:sz="4" w:space="0"/>
            </w:tcBorders>
            <w:vAlign w:val="center"/>
          </w:tcPr>
          <w:p w14:paraId="5E241646">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根据投标人对项目的工作路线和实施方案综合评定：符合采购人需求，技术路线清晰、详尽、可操作性强的得</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分；较为符合采购人需求，技术路线较清晰、较详尽、可操作性较强的得</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分；基本符合采购人需求，技术路线基本清晰、基本详尽、可操作性一般得</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分；未提供本项不得分。</w:t>
            </w:r>
          </w:p>
        </w:tc>
      </w:tr>
      <w:tr w14:paraId="66DAA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27" w:type="pct"/>
            <w:vMerge w:val="continue"/>
            <w:tcBorders>
              <w:left w:val="single" w:color="000000" w:sz="4" w:space="0"/>
              <w:right w:val="single" w:color="000000" w:sz="4" w:space="0"/>
            </w:tcBorders>
            <w:vAlign w:val="center"/>
          </w:tcPr>
          <w:p w14:paraId="641FF1F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 w:val="24"/>
                <w:szCs w:val="24"/>
                <w:highlight w:val="none"/>
              </w:rPr>
            </w:pPr>
          </w:p>
        </w:tc>
        <w:tc>
          <w:tcPr>
            <w:tcW w:w="1265" w:type="dxa"/>
            <w:tcBorders>
              <w:top w:val="single" w:color="000000" w:sz="4" w:space="0"/>
              <w:left w:val="single" w:color="000000" w:sz="4" w:space="0"/>
              <w:right w:val="single" w:color="000000" w:sz="4" w:space="0"/>
            </w:tcBorders>
            <w:vAlign w:val="center"/>
          </w:tcPr>
          <w:p w14:paraId="2311CA2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工作进度及计划</w:t>
            </w:r>
          </w:p>
          <w:p w14:paraId="6ADBC51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分）</w:t>
            </w:r>
          </w:p>
        </w:tc>
        <w:tc>
          <w:tcPr>
            <w:tcW w:w="6017" w:type="dxa"/>
            <w:tcBorders>
              <w:top w:val="single" w:color="000000" w:sz="4" w:space="0"/>
              <w:left w:val="single" w:color="000000" w:sz="4" w:space="0"/>
              <w:bottom w:val="single" w:color="000000" w:sz="4" w:space="0"/>
              <w:right w:val="single" w:color="000000" w:sz="4" w:space="0"/>
            </w:tcBorders>
            <w:vAlign w:val="center"/>
          </w:tcPr>
          <w:p w14:paraId="04CA7AEE">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根据投标人对项目的工作进度及计划方案综合评定：进度计划及保证措施全面合理、可行性强的得</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分；进度计划及保证措施较全面、较合理、可行性较强的得</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分；进度计划及保证措施基本全面、基本合理、可行性一般的得</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分；未提供本项不得分。</w:t>
            </w:r>
          </w:p>
        </w:tc>
      </w:tr>
      <w:tr w14:paraId="08B5E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27" w:type="pct"/>
            <w:vMerge w:val="continue"/>
            <w:tcBorders>
              <w:left w:val="single" w:color="000000" w:sz="4" w:space="0"/>
              <w:right w:val="single" w:color="000000" w:sz="4" w:space="0"/>
            </w:tcBorders>
            <w:vAlign w:val="center"/>
          </w:tcPr>
          <w:p w14:paraId="6D85886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 w:val="24"/>
                <w:szCs w:val="24"/>
                <w:highlight w:val="none"/>
              </w:rPr>
            </w:pPr>
          </w:p>
        </w:tc>
        <w:tc>
          <w:tcPr>
            <w:tcW w:w="1265" w:type="dxa"/>
            <w:tcBorders>
              <w:top w:val="single" w:color="000000" w:sz="4" w:space="0"/>
              <w:left w:val="single" w:color="000000" w:sz="4" w:space="0"/>
              <w:right w:val="single" w:color="000000" w:sz="4" w:space="0"/>
            </w:tcBorders>
            <w:vAlign w:val="center"/>
          </w:tcPr>
          <w:p w14:paraId="36CEC0E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组织结构和人员投入（</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分）</w:t>
            </w:r>
          </w:p>
        </w:tc>
        <w:tc>
          <w:tcPr>
            <w:tcW w:w="6017" w:type="dxa"/>
            <w:tcBorders>
              <w:top w:val="single" w:color="000000" w:sz="4" w:space="0"/>
              <w:left w:val="single" w:color="000000" w:sz="4" w:space="0"/>
              <w:bottom w:val="single" w:color="000000" w:sz="4" w:space="0"/>
              <w:right w:val="single" w:color="000000" w:sz="4" w:space="0"/>
            </w:tcBorders>
            <w:vAlign w:val="center"/>
          </w:tcPr>
          <w:p w14:paraId="34CBC79F">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根据投标人对项目组织结构和人员投入方案综合评定：项目组织结构明晰，人员投入充足，成员职责明确，技术实力可靠的得</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分；项目组织结构较为明晰，人员投入较为充足，成员职责较为明确，技术实力较为可靠的得</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分；项目组织结构基本明晰，人员投入基本充足，成员职责基本明确，技术实力基本可靠的得</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分；未提供本项不得分。</w:t>
            </w:r>
          </w:p>
        </w:tc>
      </w:tr>
      <w:tr w14:paraId="2142D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27" w:type="pct"/>
            <w:vMerge w:val="continue"/>
            <w:tcBorders>
              <w:left w:val="single" w:color="000000" w:sz="4" w:space="0"/>
              <w:right w:val="single" w:color="000000" w:sz="4" w:space="0"/>
            </w:tcBorders>
            <w:vAlign w:val="center"/>
          </w:tcPr>
          <w:p w14:paraId="4565BC4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 w:val="24"/>
                <w:szCs w:val="24"/>
                <w:highlight w:val="none"/>
              </w:rPr>
            </w:pPr>
          </w:p>
        </w:tc>
        <w:tc>
          <w:tcPr>
            <w:tcW w:w="1265" w:type="dxa"/>
            <w:tcBorders>
              <w:top w:val="single" w:color="000000" w:sz="4" w:space="0"/>
              <w:left w:val="single" w:color="000000" w:sz="4" w:space="0"/>
              <w:right w:val="single" w:color="000000" w:sz="4" w:space="0"/>
            </w:tcBorders>
            <w:vAlign w:val="center"/>
          </w:tcPr>
          <w:p w14:paraId="6AF467B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zh-CN"/>
              </w:rPr>
              <w:t>服务承诺</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c>
          <w:tcPr>
            <w:tcW w:w="6017" w:type="dxa"/>
            <w:tcBorders>
              <w:top w:val="single" w:color="000000" w:sz="4" w:space="0"/>
              <w:left w:val="single" w:color="000000" w:sz="4" w:space="0"/>
              <w:bottom w:val="single" w:color="000000" w:sz="4" w:space="0"/>
              <w:right w:val="single" w:color="000000" w:sz="4" w:space="0"/>
            </w:tcBorders>
            <w:vAlign w:val="center"/>
          </w:tcPr>
          <w:p w14:paraId="3D3B268E">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zh-CN"/>
              </w:rPr>
              <w:t>供应商针对本项目的采购需求及服务要求提供服务响应、实施周期等提供相关承诺，根据供应商提供的承诺综合评定，承诺更优的得</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lang w:val="zh-CN"/>
              </w:rPr>
              <w:t>分，稍有欠缺的得</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val="zh-CN"/>
              </w:rPr>
              <w:t>分，一般的得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val="zh-CN"/>
              </w:rPr>
              <w:t>分</w:t>
            </w:r>
            <w:r>
              <w:rPr>
                <w:rFonts w:hint="eastAsia" w:ascii="仿宋" w:hAnsi="仿宋" w:eastAsia="仿宋" w:cs="仿宋"/>
                <w:color w:val="auto"/>
                <w:sz w:val="24"/>
                <w:highlight w:val="none"/>
              </w:rPr>
              <w:t>；未提供本项不得分。</w:t>
            </w:r>
          </w:p>
        </w:tc>
      </w:tr>
      <w:tr w14:paraId="6CBB7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93" w:hRule="atLeast"/>
          <w:jc w:val="center"/>
        </w:trPr>
        <w:tc>
          <w:tcPr>
            <w:tcW w:w="727" w:type="pct"/>
            <w:vMerge w:val="continue"/>
            <w:tcBorders>
              <w:left w:val="single" w:color="000000" w:sz="4" w:space="0"/>
              <w:right w:val="single" w:color="000000" w:sz="4" w:space="0"/>
            </w:tcBorders>
            <w:vAlign w:val="center"/>
          </w:tcPr>
          <w:p w14:paraId="1C67229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 w:val="24"/>
                <w:szCs w:val="24"/>
                <w:highlight w:val="none"/>
              </w:rPr>
            </w:pPr>
          </w:p>
        </w:tc>
        <w:tc>
          <w:tcPr>
            <w:tcW w:w="742" w:type="pct"/>
            <w:tcBorders>
              <w:top w:val="single" w:color="000000" w:sz="4" w:space="0"/>
              <w:left w:val="single" w:color="000000" w:sz="4" w:space="0"/>
              <w:right w:val="single" w:color="000000" w:sz="4" w:space="0"/>
            </w:tcBorders>
            <w:vAlign w:val="center"/>
          </w:tcPr>
          <w:p w14:paraId="3BA7F49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服务响应（2</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tc>
        <w:tc>
          <w:tcPr>
            <w:tcW w:w="3530" w:type="pct"/>
            <w:tcBorders>
              <w:top w:val="single" w:color="000000" w:sz="4" w:space="0"/>
              <w:left w:val="single" w:color="000000" w:sz="4" w:space="0"/>
              <w:right w:val="single" w:color="000000" w:sz="4" w:space="0"/>
            </w:tcBorders>
            <w:vAlign w:val="center"/>
          </w:tcPr>
          <w:p w14:paraId="355E5178">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招标人所提供的主要雷达参数全部满足招标文件要求的得28分。</w:t>
            </w:r>
          </w:p>
          <w:p w14:paraId="7E68268E">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为重要技术参数，采购需求中标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的技术参数，每负偏离1项扣2分，扣完20分为止；</w:t>
            </w:r>
          </w:p>
          <w:p w14:paraId="7C9C1E1A">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非标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参数为响应参数，每负偏离1项扣1分，扣完8分为止；</w:t>
            </w:r>
          </w:p>
          <w:p w14:paraId="0C3BC9DA">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的参数（如要求提供证明材料的）须按招标文件要求提供证明材料，未提供的或提供的材料不符合要求的作负偏离处理，其他参数有以投标人提供的技术参数响应及偏离表为准。</w:t>
            </w:r>
          </w:p>
        </w:tc>
      </w:tr>
      <w:tr w14:paraId="39DAA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27" w:type="pct"/>
            <w:vMerge w:val="restart"/>
            <w:tcBorders>
              <w:left w:val="single" w:color="000000" w:sz="4" w:space="0"/>
              <w:right w:val="single" w:color="000000" w:sz="4" w:space="0"/>
            </w:tcBorders>
            <w:vAlign w:val="center"/>
          </w:tcPr>
          <w:p w14:paraId="6E63F2B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商务部分（2</w:t>
            </w:r>
            <w:r>
              <w:rPr>
                <w:rFonts w:hint="eastAsia" w:ascii="Times New Roman" w:hAnsi="Times New Roman" w:eastAsia="仿宋" w:cs="Times New Roman"/>
                <w:color w:val="auto"/>
                <w:sz w:val="24"/>
                <w:szCs w:val="24"/>
                <w:highlight w:val="none"/>
                <w:lang w:val="en-US" w:eastAsia="zh-CN"/>
              </w:rPr>
              <w:t>4</w:t>
            </w:r>
            <w:r>
              <w:rPr>
                <w:rFonts w:hint="default" w:ascii="Times New Roman" w:hAnsi="Times New Roman" w:eastAsia="仿宋" w:cs="Times New Roman"/>
                <w:color w:val="auto"/>
                <w:sz w:val="24"/>
                <w:szCs w:val="24"/>
                <w:highlight w:val="none"/>
              </w:rPr>
              <w:t>分）</w:t>
            </w:r>
          </w:p>
        </w:tc>
        <w:tc>
          <w:tcPr>
            <w:tcW w:w="742" w:type="pct"/>
            <w:tcBorders>
              <w:left w:val="single" w:color="000000" w:sz="4" w:space="0"/>
              <w:right w:val="single" w:color="000000" w:sz="4" w:space="0"/>
            </w:tcBorders>
            <w:vAlign w:val="center"/>
          </w:tcPr>
          <w:p w14:paraId="0B62CB0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人员要求（</w:t>
            </w:r>
            <w:r>
              <w:rPr>
                <w:rFonts w:hint="eastAsia" w:ascii="Times New Roman" w:hAnsi="Times New Roman" w:eastAsia="仿宋" w:cs="Times New Roman"/>
                <w:color w:val="auto"/>
                <w:sz w:val="24"/>
                <w:szCs w:val="24"/>
                <w:highlight w:val="none"/>
                <w:lang w:val="en-US" w:eastAsia="zh-CN"/>
              </w:rPr>
              <w:t>10</w:t>
            </w:r>
            <w:r>
              <w:rPr>
                <w:rFonts w:hint="default" w:ascii="Times New Roman" w:hAnsi="Times New Roman" w:eastAsia="仿宋" w:cs="Times New Roman"/>
                <w:color w:val="auto"/>
                <w:sz w:val="24"/>
                <w:szCs w:val="24"/>
                <w:highlight w:val="none"/>
              </w:rPr>
              <w:t>分）</w:t>
            </w:r>
          </w:p>
        </w:tc>
        <w:tc>
          <w:tcPr>
            <w:tcW w:w="3530" w:type="pct"/>
            <w:tcBorders>
              <w:top w:val="single" w:color="000000" w:sz="4" w:space="0"/>
              <w:left w:val="single" w:color="000000" w:sz="4" w:space="0"/>
              <w:bottom w:val="single" w:color="000000" w:sz="4" w:space="0"/>
              <w:right w:val="single" w:color="000000" w:sz="4" w:space="0"/>
            </w:tcBorders>
            <w:vAlign w:val="center"/>
          </w:tcPr>
          <w:p w14:paraId="68133A62">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（1）项目负责人具备环境</w:t>
            </w:r>
            <w:r>
              <w:rPr>
                <w:rFonts w:hint="eastAsia" w:ascii="Times New Roman" w:hAnsi="Times New Roman" w:eastAsia="仿宋" w:cs="Times New Roman"/>
                <w:color w:val="auto"/>
                <w:sz w:val="24"/>
                <w:szCs w:val="24"/>
                <w:highlight w:val="none"/>
                <w:lang w:val="en-US" w:eastAsia="zh-CN"/>
              </w:rPr>
              <w:t>保护</w:t>
            </w:r>
            <w:r>
              <w:rPr>
                <w:rFonts w:hint="default" w:ascii="Times New Roman" w:hAnsi="Times New Roman" w:eastAsia="仿宋" w:cs="Times New Roman"/>
                <w:color w:val="auto"/>
                <w:sz w:val="24"/>
                <w:szCs w:val="24"/>
                <w:highlight w:val="none"/>
              </w:rPr>
              <w:t>或大气科学方向的高级</w:t>
            </w:r>
            <w:r>
              <w:rPr>
                <w:rFonts w:hint="eastAsia" w:ascii="Times New Roman" w:hAnsi="Times New Roman" w:eastAsia="仿宋" w:cs="Times New Roman"/>
                <w:color w:val="auto"/>
                <w:sz w:val="24"/>
                <w:szCs w:val="24"/>
                <w:highlight w:val="none"/>
                <w:lang w:val="en-US" w:eastAsia="zh-CN"/>
              </w:rPr>
              <w:t>及以上</w:t>
            </w:r>
            <w:r>
              <w:rPr>
                <w:rFonts w:hint="default" w:ascii="Times New Roman" w:hAnsi="Times New Roman" w:eastAsia="仿宋" w:cs="Times New Roman"/>
                <w:color w:val="auto"/>
                <w:sz w:val="24"/>
                <w:szCs w:val="24"/>
                <w:highlight w:val="none"/>
              </w:rPr>
              <w:t>职称</w:t>
            </w:r>
            <w:r>
              <w:rPr>
                <w:rFonts w:hint="eastAsia" w:ascii="Times New Roman" w:hAnsi="Times New Roman" w:eastAsia="仿宋" w:cs="Times New Roman"/>
                <w:color w:val="auto"/>
                <w:sz w:val="24"/>
                <w:szCs w:val="24"/>
                <w:highlight w:val="none"/>
                <w:lang w:val="en-US" w:eastAsia="zh-CN"/>
              </w:rPr>
              <w:t>的得</w:t>
            </w:r>
            <w:r>
              <w:rPr>
                <w:rFonts w:hint="default" w:ascii="Times New Roman" w:hAnsi="Times New Roman" w:eastAsia="仿宋" w:cs="Times New Roman"/>
                <w:color w:val="auto"/>
                <w:sz w:val="24"/>
                <w:szCs w:val="24"/>
                <w:highlight w:val="none"/>
              </w:rPr>
              <w:t>4分，否则不得分；</w:t>
            </w:r>
          </w:p>
          <w:p w14:paraId="44B3AAF3">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（2）项目组成员具备环境</w:t>
            </w:r>
            <w:r>
              <w:rPr>
                <w:rFonts w:hint="eastAsia" w:ascii="Times New Roman" w:hAnsi="Times New Roman" w:eastAsia="仿宋" w:cs="Times New Roman"/>
                <w:color w:val="auto"/>
                <w:sz w:val="24"/>
                <w:szCs w:val="24"/>
                <w:highlight w:val="none"/>
                <w:lang w:val="en-US" w:eastAsia="zh-CN"/>
              </w:rPr>
              <w:t>保护</w:t>
            </w:r>
            <w:r>
              <w:rPr>
                <w:rFonts w:hint="default" w:ascii="Times New Roman" w:hAnsi="Times New Roman" w:eastAsia="仿宋" w:cs="Times New Roman"/>
                <w:color w:val="auto"/>
                <w:sz w:val="24"/>
                <w:szCs w:val="24"/>
                <w:highlight w:val="none"/>
              </w:rPr>
              <w:t>或大气科学方向的</w:t>
            </w:r>
            <w:r>
              <w:rPr>
                <w:rFonts w:hint="eastAsia" w:ascii="Times New Roman" w:hAnsi="Times New Roman" w:eastAsia="仿宋" w:cs="Times New Roman"/>
                <w:color w:val="auto"/>
                <w:sz w:val="24"/>
                <w:szCs w:val="24"/>
                <w:highlight w:val="none"/>
                <w:lang w:val="en-US" w:eastAsia="zh-CN"/>
              </w:rPr>
              <w:t>中级职称的，</w:t>
            </w:r>
            <w:r>
              <w:rPr>
                <w:rFonts w:hint="default" w:ascii="Times New Roman" w:hAnsi="Times New Roman" w:eastAsia="仿宋" w:cs="Times New Roman"/>
                <w:color w:val="auto"/>
                <w:sz w:val="24"/>
                <w:szCs w:val="24"/>
                <w:highlight w:val="none"/>
              </w:rPr>
              <w:t>每有一个得2分，最高得</w:t>
            </w:r>
            <w:r>
              <w:rPr>
                <w:rFonts w:hint="eastAsia" w:ascii="Times New Roman" w:hAnsi="Times New Roman" w:eastAsia="仿宋" w:cs="Times New Roman"/>
                <w:color w:val="auto"/>
                <w:sz w:val="24"/>
                <w:szCs w:val="24"/>
                <w:highlight w:val="none"/>
                <w:lang w:val="en-US" w:eastAsia="zh-CN"/>
              </w:rPr>
              <w:t>6</w:t>
            </w:r>
            <w:r>
              <w:rPr>
                <w:rFonts w:hint="default" w:ascii="Times New Roman" w:hAnsi="Times New Roman" w:eastAsia="仿宋" w:cs="Times New Roman"/>
                <w:color w:val="auto"/>
                <w:sz w:val="24"/>
                <w:szCs w:val="24"/>
                <w:highlight w:val="none"/>
              </w:rPr>
              <w:t>分；</w:t>
            </w:r>
          </w:p>
          <w:p w14:paraId="3BB214F4">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注：须同时提供以上人员相关证书证明材料、与投标单位签订的劳动合同或近3个月内任意1个月为其缴纳社保的相关证明材料扫描件并加盖投标人</w:t>
            </w:r>
            <w:r>
              <w:rPr>
                <w:rFonts w:hint="default" w:ascii="Times New Roman" w:hAnsi="Times New Roman" w:eastAsia="仿宋" w:cs="Times New Roman"/>
                <w:color w:val="auto"/>
                <w:sz w:val="24"/>
                <w:szCs w:val="24"/>
                <w:highlight w:val="none"/>
                <w:lang w:val="en-US" w:eastAsia="zh-CN"/>
              </w:rPr>
              <w:t>公章</w:t>
            </w:r>
            <w:r>
              <w:rPr>
                <w:rFonts w:hint="default" w:ascii="Times New Roman" w:hAnsi="Times New Roman" w:eastAsia="仿宋" w:cs="Times New Roman"/>
                <w:color w:val="auto"/>
                <w:sz w:val="24"/>
                <w:szCs w:val="24"/>
                <w:highlight w:val="none"/>
              </w:rPr>
              <w:t>为准，否则不得分。</w:t>
            </w:r>
          </w:p>
        </w:tc>
      </w:tr>
      <w:tr w14:paraId="6CD09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27" w:type="pct"/>
            <w:vMerge w:val="continue"/>
            <w:tcBorders>
              <w:left w:val="single" w:color="000000" w:sz="4" w:space="0"/>
              <w:right w:val="single" w:color="000000" w:sz="4" w:space="0"/>
            </w:tcBorders>
            <w:vAlign w:val="center"/>
          </w:tcPr>
          <w:p w14:paraId="13F766C8">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 w:val="24"/>
                <w:szCs w:val="24"/>
                <w:highlight w:val="none"/>
              </w:rPr>
            </w:pPr>
          </w:p>
        </w:tc>
        <w:tc>
          <w:tcPr>
            <w:tcW w:w="742" w:type="pct"/>
            <w:tcBorders>
              <w:left w:val="single" w:color="000000" w:sz="4" w:space="0"/>
              <w:right w:val="single" w:color="000000" w:sz="4" w:space="0"/>
            </w:tcBorders>
            <w:vAlign w:val="center"/>
          </w:tcPr>
          <w:p w14:paraId="152ED25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企业实力（</w:t>
            </w:r>
            <w:r>
              <w:rPr>
                <w:rFonts w:hint="eastAsia" w:ascii="Times New Roman" w:hAnsi="Times New Roman" w:eastAsia="仿宋" w:cs="Times New Roman"/>
                <w:color w:val="auto"/>
                <w:sz w:val="24"/>
                <w:szCs w:val="24"/>
                <w:highlight w:val="none"/>
                <w:lang w:val="en-US" w:eastAsia="zh-CN"/>
              </w:rPr>
              <w:t>6</w:t>
            </w:r>
            <w:r>
              <w:rPr>
                <w:rFonts w:hint="default" w:ascii="Times New Roman" w:hAnsi="Times New Roman" w:eastAsia="仿宋" w:cs="Times New Roman"/>
                <w:color w:val="auto"/>
                <w:sz w:val="24"/>
                <w:szCs w:val="24"/>
                <w:highlight w:val="none"/>
              </w:rPr>
              <w:t>分）</w:t>
            </w:r>
          </w:p>
        </w:tc>
        <w:tc>
          <w:tcPr>
            <w:tcW w:w="3530" w:type="pct"/>
            <w:tcBorders>
              <w:top w:val="single" w:color="000000" w:sz="4" w:space="0"/>
              <w:left w:val="single" w:color="000000" w:sz="4" w:space="0"/>
              <w:bottom w:val="single" w:color="000000" w:sz="4" w:space="0"/>
              <w:right w:val="single" w:color="000000" w:sz="4" w:space="0"/>
            </w:tcBorders>
            <w:vAlign w:val="center"/>
          </w:tcPr>
          <w:p w14:paraId="2072730A">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投标人具有质量管理体系认证证书、环境管理体系认证证书、职业健康安全管理体系认证证书，每具有一个得2分，最多得6分，未提供或提供不全的不得分。</w:t>
            </w:r>
          </w:p>
          <w:p w14:paraId="3D19D8D5">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注：认证证书须在全国认证认可信息公共服务平台网站可查询网址http://cx.cnca.cn/CertECloud/index/index/page（提供网站截屏加盖投标人CA电子签章、证书加盖投标人CA电子签章为准，两个材料必须同时提供，未提供或提供不全的不得分）。</w:t>
            </w:r>
          </w:p>
        </w:tc>
      </w:tr>
      <w:tr w14:paraId="451B1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27" w:type="pct"/>
            <w:vMerge w:val="continue"/>
            <w:tcBorders>
              <w:left w:val="single" w:color="000000" w:sz="4" w:space="0"/>
              <w:right w:val="single" w:color="000000" w:sz="4" w:space="0"/>
            </w:tcBorders>
            <w:vAlign w:val="center"/>
          </w:tcPr>
          <w:p w14:paraId="1A8DAEA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 w:val="24"/>
                <w:szCs w:val="24"/>
                <w:highlight w:val="none"/>
              </w:rPr>
            </w:pPr>
          </w:p>
        </w:tc>
        <w:tc>
          <w:tcPr>
            <w:tcW w:w="742" w:type="pct"/>
            <w:tcBorders>
              <w:left w:val="single" w:color="000000" w:sz="4" w:space="0"/>
              <w:right w:val="single" w:color="000000" w:sz="4" w:space="0"/>
            </w:tcBorders>
            <w:vAlign w:val="center"/>
          </w:tcPr>
          <w:p w14:paraId="4871A96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业绩要求（</w:t>
            </w:r>
            <w:r>
              <w:rPr>
                <w:rFonts w:hint="eastAsia" w:ascii="Times New Roman" w:hAnsi="Times New Roman" w:eastAsia="仿宋" w:cs="Times New Roman"/>
                <w:color w:val="auto"/>
                <w:sz w:val="24"/>
                <w:szCs w:val="24"/>
                <w:highlight w:val="none"/>
                <w:lang w:val="en-US" w:eastAsia="zh-CN"/>
              </w:rPr>
              <w:t>8</w:t>
            </w:r>
            <w:r>
              <w:rPr>
                <w:rFonts w:hint="default" w:ascii="Times New Roman" w:hAnsi="Times New Roman" w:eastAsia="仿宋" w:cs="Times New Roman"/>
                <w:color w:val="auto"/>
                <w:sz w:val="24"/>
                <w:szCs w:val="24"/>
                <w:highlight w:val="none"/>
              </w:rPr>
              <w:t>分）</w:t>
            </w:r>
          </w:p>
        </w:tc>
        <w:tc>
          <w:tcPr>
            <w:tcW w:w="3530" w:type="pct"/>
            <w:tcBorders>
              <w:top w:val="single" w:color="000000" w:sz="4" w:space="0"/>
              <w:left w:val="single" w:color="000000" w:sz="4" w:space="0"/>
              <w:bottom w:val="single" w:color="000000" w:sz="4" w:space="0"/>
              <w:right w:val="single" w:color="000000" w:sz="4" w:space="0"/>
            </w:tcBorders>
            <w:vAlign w:val="center"/>
          </w:tcPr>
          <w:p w14:paraId="4B7D0732">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投标人自202</w:t>
            </w:r>
            <w:r>
              <w:rPr>
                <w:rFonts w:hint="eastAsia" w:ascii="Times New Roman" w:hAnsi="Times New Roman" w:eastAsia="仿宋" w:cs="Times New Roman"/>
                <w:color w:val="auto"/>
                <w:sz w:val="24"/>
                <w:szCs w:val="24"/>
                <w:highlight w:val="none"/>
                <w:lang w:val="en-US" w:eastAsia="zh-CN"/>
              </w:rPr>
              <w:t>3</w:t>
            </w:r>
            <w:r>
              <w:rPr>
                <w:rFonts w:hint="default" w:ascii="Times New Roman" w:hAnsi="Times New Roman" w:eastAsia="仿宋" w:cs="Times New Roman"/>
                <w:color w:val="auto"/>
                <w:sz w:val="24"/>
                <w:szCs w:val="24"/>
                <w:highlight w:val="none"/>
              </w:rPr>
              <w:t>年1月1日以来（以合同签订日为准），承担过类似项目的服务业绩，每有一个得2分，最高得</w:t>
            </w:r>
            <w:r>
              <w:rPr>
                <w:rFonts w:hint="eastAsia" w:ascii="Times New Roman" w:hAnsi="Times New Roman" w:eastAsia="仿宋" w:cs="Times New Roman"/>
                <w:color w:val="auto"/>
                <w:sz w:val="24"/>
                <w:szCs w:val="24"/>
                <w:highlight w:val="none"/>
                <w:lang w:val="en-US" w:eastAsia="zh-CN"/>
              </w:rPr>
              <w:t>8</w:t>
            </w:r>
            <w:r>
              <w:rPr>
                <w:rFonts w:hint="default" w:ascii="Times New Roman" w:hAnsi="Times New Roman" w:eastAsia="仿宋" w:cs="Times New Roman"/>
                <w:color w:val="auto"/>
                <w:sz w:val="24"/>
                <w:szCs w:val="24"/>
                <w:highlight w:val="none"/>
              </w:rPr>
              <w:t>分。</w:t>
            </w:r>
          </w:p>
          <w:p w14:paraId="1689F224">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注：</w:t>
            </w:r>
            <w:r>
              <w:rPr>
                <w:rFonts w:hint="default" w:ascii="Times New Roman" w:hAnsi="Times New Roman" w:eastAsia="仿宋" w:cs="Times New Roman"/>
                <w:color w:val="auto"/>
                <w:sz w:val="24"/>
                <w:szCs w:val="24"/>
                <w:highlight w:val="none"/>
              </w:rPr>
              <w:t>以提供的合同原件扫描件加盖投标人</w:t>
            </w:r>
            <w:r>
              <w:rPr>
                <w:rFonts w:hint="default" w:ascii="Times New Roman" w:hAnsi="Times New Roman" w:eastAsia="仿宋" w:cs="Times New Roman"/>
                <w:color w:val="auto"/>
                <w:sz w:val="24"/>
                <w:szCs w:val="24"/>
                <w:highlight w:val="none"/>
                <w:lang w:val="en-US" w:eastAsia="zh-CN"/>
              </w:rPr>
              <w:t>公章</w:t>
            </w:r>
            <w:r>
              <w:rPr>
                <w:rFonts w:hint="default" w:ascii="Times New Roman" w:hAnsi="Times New Roman" w:eastAsia="仿宋" w:cs="Times New Roman"/>
                <w:color w:val="auto"/>
                <w:sz w:val="24"/>
                <w:szCs w:val="24"/>
                <w:highlight w:val="none"/>
              </w:rPr>
              <w:t>为准</w:t>
            </w:r>
            <w:bookmarkEnd w:id="217"/>
            <w:r>
              <w:rPr>
                <w:rFonts w:hint="eastAsia" w:ascii="Times New Roman" w:hAnsi="Times New Roman" w:eastAsia="仿宋" w:cs="Times New Roman"/>
                <w:color w:val="auto"/>
                <w:sz w:val="24"/>
                <w:szCs w:val="24"/>
                <w:highlight w:val="none"/>
                <w:lang w:eastAsia="zh-CN"/>
              </w:rPr>
              <w:t>。</w:t>
            </w:r>
          </w:p>
        </w:tc>
      </w:tr>
    </w:tbl>
    <w:p w14:paraId="399906FD">
      <w:pPr>
        <w:pStyle w:val="12"/>
        <w:keepNext w:val="0"/>
        <w:keepLines w:val="0"/>
        <w:pageBreakBefore w:val="0"/>
        <w:widowControl w:val="0"/>
        <w:kinsoku/>
        <w:wordWrap/>
        <w:overflowPunct/>
        <w:topLinePunct w:val="0"/>
        <w:autoSpaceDE/>
        <w:autoSpaceDN/>
        <w:bidi w:val="0"/>
        <w:adjustRightInd/>
        <w:snapToGrid/>
        <w:spacing w:after="0" w:line="360" w:lineRule="exact"/>
        <w:ind w:left="0" w:leftChars="0" w:firstLine="48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注：以上投标人提供的评分材料，需真实有效，中标后2个工作日内提供原件由采购人逐一核查材料的真实性，若经发现存在弄虚作假行为，取消中标人中标资格，同时追究其法律赔偿与责任。</w:t>
      </w:r>
    </w:p>
    <w:p w14:paraId="607140F3">
      <w:pPr>
        <w:rPr>
          <w:rFonts w:hint="default" w:ascii="Times New Roman" w:hAnsi="Times New Roman" w:eastAsia="黑体" w:cs="Times New Roman"/>
          <w:color w:val="auto"/>
          <w:sz w:val="44"/>
          <w:szCs w:val="44"/>
          <w:highlight w:val="none"/>
        </w:rPr>
      </w:pPr>
      <w:r>
        <w:rPr>
          <w:rFonts w:hint="default" w:ascii="Times New Roman" w:hAnsi="Times New Roman" w:eastAsia="黑体" w:cs="Times New Roman"/>
          <w:color w:val="auto"/>
          <w:sz w:val="44"/>
          <w:szCs w:val="44"/>
          <w:highlight w:val="none"/>
        </w:rPr>
        <w:br w:type="page"/>
      </w:r>
    </w:p>
    <w:p w14:paraId="6ED91C23">
      <w:pPr>
        <w:pStyle w:val="49"/>
        <w:numPr>
          <w:ilvl w:val="0"/>
          <w:numId w:val="87"/>
        </w:numPr>
        <w:outlineLvl w:val="0"/>
        <w:rPr>
          <w:rFonts w:hint="default" w:ascii="Times New Roman" w:hAnsi="Times New Roman" w:cs="Times New Roman"/>
          <w:highlight w:val="none"/>
        </w:rPr>
      </w:pPr>
      <w:r>
        <w:rPr>
          <w:rFonts w:hint="default" w:ascii="Times New Roman" w:hAnsi="Times New Roman" w:cs="Times New Roman"/>
          <w:highlight w:val="none"/>
        </w:rPr>
        <w:t xml:space="preserve">投标文件格式 </w:t>
      </w:r>
    </w:p>
    <w:p w14:paraId="5DE60FAA">
      <w:pPr>
        <w:widowControl w:val="0"/>
        <w:spacing w:beforeAutospacing="0" w:afterAutospacing="0"/>
        <w:jc w:val="center"/>
        <w:outlineLvl w:val="9"/>
        <w:rPr>
          <w:rFonts w:hint="default" w:ascii="Times New Roman" w:hAnsi="Times New Roman" w:eastAsia="宋体" w:cs="Times New Roman"/>
          <w:b/>
          <w:color w:val="auto"/>
          <w:kern w:val="0"/>
          <w:sz w:val="72"/>
          <w:szCs w:val="72"/>
          <w:highlight w:val="none"/>
          <w:lang w:val="en-US" w:eastAsia="zh-CN" w:bidi="ar-SA"/>
        </w:rPr>
      </w:pPr>
      <w:bookmarkStart w:id="218" w:name="_Hlt26955039"/>
      <w:bookmarkEnd w:id="218"/>
      <w:bookmarkStart w:id="219" w:name="_Hlt26671244"/>
      <w:bookmarkEnd w:id="219"/>
      <w:bookmarkStart w:id="220" w:name="_Toc26554094"/>
      <w:bookmarkEnd w:id="220"/>
      <w:bookmarkStart w:id="221" w:name="_Toc49090576"/>
      <w:bookmarkStart w:id="222" w:name="_Toc120614282"/>
    </w:p>
    <w:p w14:paraId="36129105">
      <w:pPr>
        <w:widowControl w:val="0"/>
        <w:spacing w:beforeAutospacing="0" w:afterAutospacing="0"/>
        <w:jc w:val="center"/>
        <w:outlineLvl w:val="9"/>
        <w:rPr>
          <w:rFonts w:hint="default" w:ascii="Times New Roman" w:hAnsi="Times New Roman" w:eastAsia="宋体" w:cs="Times New Roman"/>
          <w:b/>
          <w:color w:val="auto"/>
          <w:kern w:val="0"/>
          <w:sz w:val="72"/>
          <w:szCs w:val="72"/>
          <w:highlight w:val="none"/>
          <w:lang w:val="en-US" w:eastAsia="zh-CN" w:bidi="ar-SA"/>
        </w:rPr>
      </w:pPr>
    </w:p>
    <w:p w14:paraId="56B19F88">
      <w:pPr>
        <w:widowControl w:val="0"/>
        <w:adjustRightInd w:val="0"/>
        <w:spacing w:before="100" w:after="100" w:line="240" w:lineRule="auto"/>
        <w:jc w:val="center"/>
        <w:outlineLvl w:val="0"/>
        <w:rPr>
          <w:rFonts w:hint="default" w:ascii="Times New Roman" w:hAnsi="Times New Roman" w:eastAsia="黑体" w:cs="Times New Roman"/>
          <w:kern w:val="2"/>
          <w:sz w:val="52"/>
          <w:szCs w:val="52"/>
          <w:highlight w:val="none"/>
          <w:lang w:bidi="ar-SA"/>
        </w:rPr>
      </w:pPr>
      <w:r>
        <w:rPr>
          <w:rFonts w:hint="default" w:ascii="Times New Roman" w:hAnsi="Times New Roman" w:eastAsia="黑体" w:cs="Times New Roman"/>
          <w:kern w:val="2"/>
          <w:sz w:val="52"/>
          <w:szCs w:val="52"/>
          <w:highlight w:val="none"/>
          <w:lang w:bidi="ar-SA"/>
        </w:rPr>
        <w:t>投  标  文  件</w:t>
      </w:r>
    </w:p>
    <w:p w14:paraId="567C6B4D">
      <w:pPr>
        <w:widowControl w:val="0"/>
        <w:spacing w:beforeAutospacing="0" w:afterAutospacing="0"/>
        <w:jc w:val="center"/>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4D493C40">
      <w:pPr>
        <w:widowControl w:val="0"/>
        <w:spacing w:beforeAutospacing="0" w:afterAutospacing="0"/>
        <w:jc w:val="center"/>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266BF702">
      <w:pPr>
        <w:widowControl w:val="0"/>
        <w:spacing w:beforeAutospacing="0" w:afterAutospacing="0"/>
        <w:jc w:val="center"/>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137CE618">
      <w:pPr>
        <w:widowControl w:val="0"/>
        <w:spacing w:beforeAutospacing="0" w:afterAutospacing="0"/>
        <w:jc w:val="center"/>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5B09C8C9">
      <w:pPr>
        <w:widowControl w:val="0"/>
        <w:spacing w:beforeAutospacing="0" w:afterAutospacing="0"/>
        <w:jc w:val="center"/>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58DBE0BA">
      <w:pPr>
        <w:widowControl w:val="0"/>
        <w:spacing w:beforeAutospacing="0" w:afterAutospacing="0"/>
        <w:ind w:firstLine="1084"/>
        <w:jc w:val="both"/>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eastAsia="宋体" w:cs="Times New Roman"/>
          <w:b/>
          <w:color w:val="auto"/>
          <w:kern w:val="0"/>
          <w:sz w:val="36"/>
          <w:szCs w:val="36"/>
          <w:highlight w:val="none"/>
          <w:lang w:val="en-US" w:eastAsia="zh-CN" w:bidi="ar-SA"/>
        </w:rPr>
        <w:t>项目 名 称：</w:t>
      </w:r>
      <w:r>
        <w:rPr>
          <w:rFonts w:hint="default" w:ascii="Times New Roman" w:hAnsi="Times New Roman" w:eastAsia="宋体" w:cs="Times New Roman"/>
          <w:b/>
          <w:color w:val="auto"/>
          <w:kern w:val="0"/>
          <w:sz w:val="36"/>
          <w:szCs w:val="36"/>
          <w:highlight w:val="none"/>
          <w:u w:val="single"/>
          <w:lang w:val="en-US" w:eastAsia="zh-CN" w:bidi="ar-SA"/>
        </w:rPr>
        <w:t xml:space="preserve">               </w:t>
      </w:r>
    </w:p>
    <w:p w14:paraId="5E9D8A6D">
      <w:pPr>
        <w:widowControl w:val="0"/>
        <w:spacing w:beforeAutospacing="0" w:afterAutospacing="0"/>
        <w:ind w:firstLine="1084"/>
        <w:jc w:val="both"/>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eastAsia="宋体" w:cs="Times New Roman"/>
          <w:b/>
          <w:color w:val="auto"/>
          <w:kern w:val="0"/>
          <w:sz w:val="36"/>
          <w:szCs w:val="36"/>
          <w:highlight w:val="none"/>
          <w:lang w:val="en-US" w:eastAsia="zh-CN" w:bidi="ar-SA"/>
        </w:rPr>
        <w:t>项目 编 号：</w:t>
      </w:r>
      <w:r>
        <w:rPr>
          <w:rFonts w:hint="default" w:ascii="Times New Roman" w:hAnsi="Times New Roman" w:eastAsia="宋体" w:cs="Times New Roman"/>
          <w:b/>
          <w:color w:val="auto"/>
          <w:kern w:val="0"/>
          <w:sz w:val="36"/>
          <w:szCs w:val="36"/>
          <w:highlight w:val="none"/>
          <w:u w:val="single"/>
          <w:lang w:val="en-US" w:eastAsia="zh-CN" w:bidi="ar-SA"/>
        </w:rPr>
        <w:t xml:space="preserve">               </w:t>
      </w:r>
    </w:p>
    <w:p w14:paraId="63597D06">
      <w:pPr>
        <w:widowControl w:val="0"/>
        <w:spacing w:beforeAutospacing="0" w:afterAutospacing="0"/>
        <w:jc w:val="both"/>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eastAsia="宋体" w:cs="Times New Roman"/>
          <w:b/>
          <w:color w:val="auto"/>
          <w:kern w:val="0"/>
          <w:sz w:val="36"/>
          <w:szCs w:val="36"/>
          <w:highlight w:val="none"/>
          <w:lang w:val="en-US" w:eastAsia="zh-CN" w:bidi="ar-SA"/>
        </w:rPr>
        <w:t>   投标人名称 ：</w:t>
      </w:r>
      <w:r>
        <w:rPr>
          <w:rFonts w:hint="default" w:ascii="Times New Roman" w:hAnsi="Times New Roman" w:eastAsia="宋体" w:cs="Times New Roman"/>
          <w:b/>
          <w:color w:val="auto"/>
          <w:kern w:val="0"/>
          <w:sz w:val="36"/>
          <w:szCs w:val="36"/>
          <w:highlight w:val="none"/>
          <w:u w:val="single"/>
          <w:lang w:val="en-US" w:eastAsia="zh-CN" w:bidi="ar-SA"/>
        </w:rPr>
        <w:t xml:space="preserve">（加盖CA电子公章）        </w:t>
      </w:r>
    </w:p>
    <w:p w14:paraId="4C487FBE">
      <w:pPr>
        <w:widowControl w:val="0"/>
        <w:spacing w:beforeAutospacing="0" w:afterAutospacing="0"/>
        <w:jc w:val="both"/>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eastAsia="宋体" w:cs="Times New Roman"/>
          <w:b/>
          <w:color w:val="auto"/>
          <w:kern w:val="0"/>
          <w:sz w:val="36"/>
          <w:szCs w:val="36"/>
          <w:highlight w:val="none"/>
          <w:lang w:val="en-US" w:eastAsia="zh-CN" w:bidi="ar-SA"/>
        </w:rPr>
        <w:t>   日   期 ：</w:t>
      </w:r>
      <w:r>
        <w:rPr>
          <w:rFonts w:hint="default" w:ascii="Times New Roman" w:hAnsi="Times New Roman" w:eastAsia="宋体" w:cs="Times New Roman"/>
          <w:b/>
          <w:color w:val="auto"/>
          <w:kern w:val="0"/>
          <w:sz w:val="36"/>
          <w:szCs w:val="36"/>
          <w:highlight w:val="none"/>
          <w:u w:val="single"/>
          <w:lang w:val="en-US" w:eastAsia="zh-CN" w:bidi="ar-SA"/>
        </w:rPr>
        <w:t>                     </w:t>
      </w:r>
    </w:p>
    <w:p w14:paraId="163E2FAD">
      <w:pPr>
        <w:widowControl w:val="0"/>
        <w:spacing w:beforeAutospacing="0" w:afterAutospacing="0" w:line="0" w:lineRule="atLeast"/>
        <w:jc w:val="center"/>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49033232">
      <w:pPr>
        <w:widowControl w:val="0"/>
        <w:spacing w:beforeAutospacing="0" w:afterAutospacing="0" w:line="0" w:lineRule="atLeast"/>
        <w:jc w:val="both"/>
        <w:outlineLvl w:val="9"/>
        <w:rPr>
          <w:rFonts w:hint="default" w:ascii="Times New Roman" w:hAnsi="Times New Roman" w:cs="Times New Roman" w:eastAsiaTheme="minorEastAsia"/>
          <w:color w:val="auto"/>
          <w:kern w:val="0"/>
          <w:sz w:val="24"/>
          <w:szCs w:val="24"/>
          <w:highlight w:val="none"/>
          <w:lang w:val="en-US" w:eastAsia="zh-CN" w:bidi="ar-SA"/>
        </w:rPr>
      </w:pPr>
      <w:r>
        <w:rPr>
          <w:rFonts w:hint="default" w:ascii="Times New Roman" w:hAnsi="Times New Roman" w:cs="Times New Roman" w:eastAsiaTheme="minorEastAsia"/>
          <w:color w:val="auto"/>
          <w:kern w:val="0"/>
          <w:sz w:val="24"/>
          <w:szCs w:val="24"/>
          <w:highlight w:val="none"/>
          <w:lang w:val="en-US" w:eastAsia="zh-CN" w:bidi="ar-SA"/>
        </w:rPr>
        <w:t> </w:t>
      </w:r>
    </w:p>
    <w:p w14:paraId="53205827">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013F367D">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56D7C529">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6BC2A1CC">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68CF97D7">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1C50440D">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0A43C70B">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7E52F7E9">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7385157E">
      <w:pPr>
        <w:widowControl w:val="0"/>
        <w:spacing w:beforeAutospacing="0" w:afterAutospacing="0" w:line="0" w:lineRule="atLeast"/>
        <w:jc w:val="center"/>
        <w:outlineLvl w:val="9"/>
        <w:rPr>
          <w:rFonts w:hint="default" w:ascii="Times New Roman" w:hAnsi="Times New Roman" w:eastAsia="宋体" w:cs="Times New Roman"/>
          <w:b/>
          <w:color w:val="auto"/>
          <w:kern w:val="0"/>
          <w:sz w:val="36"/>
          <w:szCs w:val="36"/>
          <w:highlight w:val="none"/>
          <w:u w:val="single"/>
          <w:lang w:val="en-US" w:eastAsia="zh-CN" w:bidi="ar-SA"/>
        </w:rPr>
      </w:pPr>
    </w:p>
    <w:p w14:paraId="6E2ADE94">
      <w:pPr>
        <w:rPr>
          <w:rFonts w:hint="default" w:ascii="Times New Roman" w:hAnsi="Times New Roman" w:cs="Times New Roman"/>
          <w:highlight w:val="none"/>
        </w:rPr>
      </w:pPr>
      <w:r>
        <w:rPr>
          <w:rFonts w:hint="default" w:ascii="Times New Roman" w:hAnsi="Times New Roman" w:cs="Times New Roman"/>
          <w:highlight w:val="none"/>
        </w:rPr>
        <w:br w:type="page"/>
      </w:r>
    </w:p>
    <w:p w14:paraId="3D77E5BC">
      <w:pPr>
        <w:pStyle w:val="48"/>
        <w:rPr>
          <w:rFonts w:hint="default" w:ascii="Times New Roman" w:hAnsi="Times New Roman" w:cs="Times New Roman"/>
          <w:highlight w:val="none"/>
        </w:rPr>
      </w:pPr>
      <w:r>
        <w:rPr>
          <w:rFonts w:hint="default" w:ascii="Times New Roman" w:hAnsi="Times New Roman" w:cs="Times New Roman"/>
          <w:highlight w:val="none"/>
        </w:rPr>
        <w:t>投标文件目录</w:t>
      </w:r>
    </w:p>
    <w:p w14:paraId="15190CCD">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3E265CB3">
      <w:pPr>
        <w:pStyle w:val="21"/>
        <w:numPr>
          <w:ilvl w:val="0"/>
          <w:numId w:val="88"/>
        </w:numPr>
        <w:topLinePunct w:val="0"/>
        <w:spacing w:beforeAutospacing="0" w:afterAutospacing="0"/>
        <w:ind w:left="0" w:leftChars="0" w:firstLine="480" w:firstLineChars="0"/>
        <w:jc w:val="both"/>
        <w:rPr>
          <w:rFonts w:hint="default" w:ascii="Times New Roman" w:hAnsi="Times New Roman" w:eastAsia="宋体" w:cs="Times New Roman"/>
          <w:b w:val="0"/>
          <w:i/>
          <w:color w:val="auto"/>
          <w:highlight w:val="none"/>
          <w:u w:val="single"/>
        </w:rPr>
      </w:pPr>
      <w:r>
        <w:rPr>
          <w:rFonts w:hint="default" w:ascii="Times New Roman" w:hAnsi="Times New Roman" w:eastAsia="宋体" w:cs="Times New Roman"/>
          <w:i/>
          <w:color w:val="auto"/>
          <w:highlight w:val="none"/>
          <w:u w:val="single"/>
        </w:rPr>
        <w:t>法人或者其他组织的营业执照等证明文件，自然人的身份证明</w:t>
      </w:r>
    </w:p>
    <w:p w14:paraId="328B68C3">
      <w:pPr>
        <w:pStyle w:val="21"/>
        <w:numPr>
          <w:ilvl w:val="0"/>
          <w:numId w:val="88"/>
        </w:numPr>
        <w:topLinePunct w:val="0"/>
        <w:spacing w:beforeAutospacing="0" w:afterAutospacing="0"/>
        <w:ind w:left="0" w:leftChars="0" w:firstLine="480" w:firstLineChars="0"/>
        <w:jc w:val="both"/>
        <w:rPr>
          <w:rFonts w:hint="default" w:ascii="Times New Roman" w:hAnsi="Times New Roman" w:eastAsia="宋体" w:cs="Times New Roman"/>
          <w:b w:val="0"/>
          <w:i/>
          <w:color w:val="auto"/>
          <w:highlight w:val="none"/>
          <w:u w:val="single"/>
        </w:rPr>
      </w:pPr>
      <w:r>
        <w:rPr>
          <w:rFonts w:hint="default" w:ascii="Times New Roman" w:hAnsi="Times New Roman" w:eastAsia="宋体" w:cs="Times New Roman"/>
          <w:i/>
          <w:color w:val="auto"/>
          <w:highlight w:val="none"/>
          <w:u w:val="single"/>
          <w:lang w:eastAsia="zh-CN"/>
        </w:rPr>
        <w:t>上一年度的财务状况报告</w:t>
      </w:r>
      <w:r>
        <w:rPr>
          <w:rFonts w:hint="default" w:ascii="Times New Roman" w:hAnsi="Times New Roman" w:eastAsia="宋体" w:cs="Times New Roman"/>
          <w:i/>
          <w:color w:val="auto"/>
          <w:highlight w:val="none"/>
          <w:u w:val="single"/>
        </w:rPr>
        <w:t>（至少提供资产负债表、利润表、现金流量表，投标人成立不满一年无需提供）</w:t>
      </w:r>
    </w:p>
    <w:p w14:paraId="08B3E8E2">
      <w:pPr>
        <w:pStyle w:val="21"/>
        <w:numPr>
          <w:ilvl w:val="0"/>
          <w:numId w:val="88"/>
        </w:numPr>
        <w:topLinePunct w:val="0"/>
        <w:spacing w:beforeAutospacing="0" w:afterAutospacing="0"/>
        <w:ind w:left="0" w:leftChars="0" w:firstLine="480" w:firstLineChars="0"/>
        <w:jc w:val="both"/>
        <w:rPr>
          <w:rFonts w:hint="default" w:ascii="Times New Roman" w:hAnsi="Times New Roman" w:eastAsia="宋体" w:cs="Times New Roman"/>
          <w:b w:val="0"/>
          <w:i/>
          <w:color w:val="auto"/>
          <w:highlight w:val="none"/>
          <w:u w:val="single"/>
        </w:rPr>
      </w:pPr>
      <w:r>
        <w:rPr>
          <w:rFonts w:hint="default" w:ascii="Times New Roman" w:hAnsi="Times New Roman" w:eastAsia="宋体" w:cs="Times New Roman"/>
          <w:i/>
          <w:color w:val="auto"/>
          <w:highlight w:val="none"/>
          <w:u w:val="single"/>
        </w:rPr>
        <w:t>具备履行合同所必需的设备和专业技术能力的书面声明</w:t>
      </w:r>
    </w:p>
    <w:p w14:paraId="71460692">
      <w:pPr>
        <w:pStyle w:val="12"/>
        <w:numPr>
          <w:ilvl w:val="0"/>
          <w:numId w:val="88"/>
        </w:numPr>
        <w:tabs>
          <w:tab w:val="left" w:pos="960"/>
        </w:tabs>
        <w:ind w:left="0" w:leftChars="0" w:firstLine="480" w:firstLineChars="200"/>
        <w:rPr>
          <w:rFonts w:hint="default" w:ascii="Times New Roman" w:hAnsi="Times New Roman" w:cs="Times New Roman"/>
          <w:b w:val="0"/>
          <w:i/>
          <w:color w:val="auto"/>
          <w:highlight w:val="none"/>
          <w:u w:val="single"/>
        </w:rPr>
      </w:pPr>
      <w:r>
        <w:rPr>
          <w:rFonts w:hint="default" w:ascii="Times New Roman" w:hAnsi="Times New Roman" w:cs="Times New Roman"/>
          <w:i/>
          <w:color w:val="auto"/>
          <w:highlight w:val="none"/>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0E8FA5B1">
      <w:pPr>
        <w:pStyle w:val="12"/>
        <w:numPr>
          <w:ilvl w:val="0"/>
          <w:numId w:val="88"/>
        </w:numPr>
        <w:tabs>
          <w:tab w:val="left" w:pos="960"/>
        </w:tabs>
        <w:ind w:left="0" w:leftChars="0" w:firstLine="480" w:firstLineChars="200"/>
        <w:rPr>
          <w:rFonts w:hint="default" w:ascii="Times New Roman" w:hAnsi="Times New Roman" w:cs="Times New Roman"/>
          <w:b w:val="0"/>
          <w:i/>
          <w:color w:val="auto"/>
          <w:highlight w:val="none"/>
          <w:u w:val="single"/>
        </w:rPr>
      </w:pPr>
      <w:r>
        <w:rPr>
          <w:rFonts w:hint="default" w:ascii="Times New Roman" w:hAnsi="Times New Roman" w:cs="Times New Roman"/>
          <w:i/>
          <w:color w:val="auto"/>
          <w:highlight w:val="none"/>
          <w:u w:val="single"/>
        </w:rPr>
        <w:t>参加政府采购活动前 3 年内在经营活动中没有重大违法记录的书面声明</w:t>
      </w:r>
    </w:p>
    <w:p w14:paraId="2E2BA629">
      <w:pPr>
        <w:pStyle w:val="12"/>
        <w:numPr>
          <w:ilvl w:val="0"/>
          <w:numId w:val="88"/>
        </w:numPr>
        <w:tabs>
          <w:tab w:val="left" w:pos="960"/>
        </w:tabs>
        <w:ind w:left="0" w:leftChars="0" w:firstLine="480" w:firstLineChars="200"/>
        <w:rPr>
          <w:rFonts w:hint="default" w:ascii="Times New Roman" w:hAnsi="Times New Roman" w:cs="Times New Roman"/>
          <w:b w:val="0"/>
          <w:i/>
          <w:color w:val="auto"/>
          <w:highlight w:val="none"/>
          <w:u w:val="single"/>
        </w:rPr>
      </w:pPr>
      <w:r>
        <w:rPr>
          <w:rFonts w:hint="default" w:ascii="Times New Roman" w:hAnsi="Times New Roman" w:cs="Times New Roman"/>
          <w:i/>
          <w:color w:val="auto"/>
          <w:highlight w:val="none"/>
          <w:u w:val="single"/>
        </w:rPr>
        <w:t>特定资格要求的证明文件（如果本项目设置特定资格要求，则需要提供）</w:t>
      </w:r>
    </w:p>
    <w:p w14:paraId="7CAB76BD">
      <w:pPr>
        <w:pStyle w:val="12"/>
        <w:numPr>
          <w:ilvl w:val="0"/>
          <w:numId w:val="88"/>
        </w:numPr>
        <w:tabs>
          <w:tab w:val="left" w:pos="960"/>
        </w:tabs>
        <w:ind w:left="0" w:leftChars="0" w:firstLine="480" w:firstLineChars="200"/>
        <w:rPr>
          <w:rFonts w:hint="default" w:ascii="Times New Roman" w:hAnsi="Times New Roman" w:cs="Times New Roman"/>
          <w:b w:val="0"/>
          <w:i/>
          <w:color w:val="auto"/>
          <w:highlight w:val="none"/>
          <w:u w:val="single"/>
        </w:rPr>
      </w:pPr>
      <w:r>
        <w:rPr>
          <w:rFonts w:hint="default" w:ascii="Times New Roman" w:hAnsi="Times New Roman" w:cs="Times New Roman"/>
          <w:i/>
          <w:color w:val="auto"/>
          <w:highlight w:val="none"/>
          <w:u w:val="single"/>
        </w:rPr>
        <w:t>法人授权书</w:t>
      </w:r>
    </w:p>
    <w:p w14:paraId="21001ED9">
      <w:pPr>
        <w:pStyle w:val="12"/>
        <w:numPr>
          <w:ilvl w:val="0"/>
          <w:numId w:val="88"/>
        </w:numPr>
        <w:tabs>
          <w:tab w:val="left" w:pos="960"/>
        </w:tabs>
        <w:ind w:left="0" w:leftChars="0" w:firstLine="480" w:firstLineChars="200"/>
        <w:rPr>
          <w:rFonts w:hint="default" w:ascii="Times New Roman" w:hAnsi="Times New Roman" w:cs="Times New Roman"/>
          <w:b w:val="0"/>
          <w:i/>
          <w:color w:val="auto"/>
          <w:highlight w:val="none"/>
          <w:u w:val="single"/>
        </w:rPr>
      </w:pPr>
      <w:r>
        <w:rPr>
          <w:rFonts w:hint="default" w:ascii="Times New Roman" w:hAnsi="Times New Roman" w:cs="Times New Roman"/>
          <w:i/>
          <w:color w:val="auto"/>
          <w:highlight w:val="none"/>
          <w:u w:val="single"/>
        </w:rPr>
        <w:t>投标函</w:t>
      </w:r>
    </w:p>
    <w:p w14:paraId="21E14643">
      <w:pPr>
        <w:pStyle w:val="12"/>
        <w:numPr>
          <w:ilvl w:val="0"/>
          <w:numId w:val="88"/>
        </w:numPr>
        <w:tabs>
          <w:tab w:val="left" w:pos="96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中小企业声明函</w:t>
      </w:r>
    </w:p>
    <w:p w14:paraId="719F7EE9">
      <w:pPr>
        <w:pStyle w:val="12"/>
        <w:numPr>
          <w:ilvl w:val="0"/>
          <w:numId w:val="88"/>
        </w:numPr>
        <w:tabs>
          <w:tab w:val="left" w:pos="96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残疾人福利性单位声明函</w:t>
      </w:r>
    </w:p>
    <w:p w14:paraId="5A16B8B8">
      <w:pPr>
        <w:pStyle w:val="12"/>
        <w:numPr>
          <w:ilvl w:val="0"/>
          <w:numId w:val="88"/>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default" w:ascii="Times New Roman" w:hAnsi="Times New Roman" w:cs="Times New Roman"/>
          <w:i w:val="0"/>
          <w:color w:val="auto"/>
          <w:highlight w:val="none"/>
          <w:u w:val="none"/>
        </w:rPr>
        <w:t>关于符合本国产品标准的声明函</w:t>
      </w:r>
    </w:p>
    <w:p w14:paraId="0263EB78">
      <w:pPr>
        <w:pStyle w:val="12"/>
        <w:numPr>
          <w:ilvl w:val="0"/>
          <w:numId w:val="88"/>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default" w:ascii="Times New Roman" w:hAnsi="Times New Roman" w:cs="Times New Roman"/>
          <w:i w:val="0"/>
          <w:color w:val="auto"/>
          <w:highlight w:val="none"/>
          <w:u w:val="none"/>
        </w:rPr>
        <w:t>联合体协议</w:t>
      </w:r>
    </w:p>
    <w:p w14:paraId="36EABC97">
      <w:pPr>
        <w:pStyle w:val="12"/>
        <w:numPr>
          <w:ilvl w:val="0"/>
          <w:numId w:val="88"/>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default" w:ascii="Times New Roman" w:hAnsi="Times New Roman" w:cs="Times New Roman"/>
          <w:i w:val="0"/>
          <w:color w:val="auto"/>
          <w:highlight w:val="none"/>
          <w:u w:val="none"/>
        </w:rPr>
        <w:t>投标分项报价表</w:t>
      </w:r>
    </w:p>
    <w:p w14:paraId="260078DA">
      <w:pPr>
        <w:pStyle w:val="12"/>
        <w:numPr>
          <w:ilvl w:val="0"/>
          <w:numId w:val="88"/>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default" w:ascii="Times New Roman" w:hAnsi="Times New Roman" w:cs="Times New Roman"/>
          <w:i w:val="0"/>
          <w:color w:val="auto"/>
          <w:highlight w:val="none"/>
          <w:u w:val="none"/>
        </w:rPr>
        <w:t>技术要求响应及偏离表</w:t>
      </w:r>
    </w:p>
    <w:p w14:paraId="7D69B72A">
      <w:pPr>
        <w:pStyle w:val="12"/>
        <w:numPr>
          <w:ilvl w:val="0"/>
          <w:numId w:val="88"/>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default" w:ascii="Times New Roman" w:hAnsi="Times New Roman" w:cs="Times New Roman"/>
          <w:i w:val="0"/>
          <w:color w:val="auto"/>
          <w:highlight w:val="none"/>
          <w:u w:val="none"/>
        </w:rPr>
        <w:t>商务要求响应及偏离表</w:t>
      </w:r>
    </w:p>
    <w:p w14:paraId="48EFFF5A">
      <w:pPr>
        <w:pStyle w:val="12"/>
        <w:numPr>
          <w:ilvl w:val="0"/>
          <w:numId w:val="88"/>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default" w:ascii="Times New Roman" w:hAnsi="Times New Roman" w:cs="Times New Roman"/>
          <w:i w:val="0"/>
          <w:color w:val="auto"/>
          <w:highlight w:val="none"/>
          <w:u w:val="none"/>
        </w:rPr>
        <w:t>开标一览表</w:t>
      </w:r>
    </w:p>
    <w:p w14:paraId="161CCAB1">
      <w:pPr>
        <w:pStyle w:val="12"/>
        <w:widowControl/>
        <w:numPr>
          <w:ilvl w:val="0"/>
          <w:numId w:val="88"/>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default" w:ascii="Times New Roman" w:hAnsi="Times New Roman" w:cs="Times New Roman"/>
          <w:i w:val="0"/>
          <w:color w:val="auto"/>
          <w:highlight w:val="none"/>
          <w:u w:val="none"/>
        </w:rPr>
        <w:t>技术方案、服务承诺、培训承诺等</w:t>
      </w:r>
    </w:p>
    <w:p w14:paraId="138E25DE">
      <w:pPr>
        <w:pStyle w:val="12"/>
        <w:numPr>
          <w:ilvl w:val="0"/>
          <w:numId w:val="88"/>
        </w:numPr>
        <w:tabs>
          <w:tab w:val="left" w:pos="960"/>
        </w:tabs>
        <w:ind w:left="0" w:leftChars="0" w:firstLine="480" w:firstLineChars="200"/>
        <w:rPr>
          <w:rFonts w:hint="default" w:ascii="Times New Roman" w:hAnsi="Times New Roman" w:cs="Times New Roman"/>
          <w:b w:val="0"/>
          <w:i w:val="0"/>
          <w:color w:val="auto"/>
          <w:highlight w:val="none"/>
          <w:u w:val="none"/>
        </w:rPr>
      </w:pPr>
      <w:r>
        <w:rPr>
          <w:rFonts w:hint="default" w:ascii="Times New Roman" w:hAnsi="Times New Roman" w:cs="Times New Roman"/>
          <w:i w:val="0"/>
          <w:color w:val="auto"/>
          <w:highlight w:val="none"/>
          <w:u w:val="none"/>
        </w:rPr>
        <w:t>盐城市政府采购事前信用承诺书</w:t>
      </w:r>
    </w:p>
    <w:p w14:paraId="1779DF20">
      <w:pPr>
        <w:pStyle w:val="21"/>
        <w:spacing w:beforeAutospacing="0" w:afterAutospacing="0" w:line="0" w:lineRule="atLeast"/>
        <w:ind w:firstLine="480"/>
        <w:jc w:val="both"/>
        <w:rPr>
          <w:rFonts w:hint="default" w:ascii="Times New Roman" w:hAnsi="Times New Roman" w:eastAsia="宋体" w:cs="Times New Roman"/>
          <w:color w:val="auto"/>
          <w:highlight w:val="none"/>
        </w:rPr>
      </w:pPr>
    </w:p>
    <w:p w14:paraId="5903C966">
      <w:pPr>
        <w:pStyle w:val="21"/>
        <w:spacing w:beforeAutospacing="0" w:afterAutospacing="0" w:line="0" w:lineRule="atLeast"/>
        <w:ind w:firstLine="48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76632A8E">
      <w:pPr>
        <w:pStyle w:val="21"/>
        <w:spacing w:beforeAutospacing="0" w:afterAutospacing="0" w:line="0" w:lineRule="atLeast"/>
        <w:ind w:firstLine="48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EC0847A">
      <w:pPr>
        <w:pStyle w:val="21"/>
        <w:spacing w:beforeAutospacing="0" w:afterAutospacing="0" w:line="0" w:lineRule="atLeast"/>
        <w:ind w:firstLine="48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0FC6746">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3BB8FC6F">
      <w:pPr>
        <w:pStyle w:val="51"/>
        <w:numPr>
          <w:ilvl w:val="0"/>
          <w:numId w:val="89"/>
        </w:numPr>
        <w:tabs>
          <w:tab w:val="left" w:pos="1121"/>
        </w:tabs>
        <w:topLinePunct w:val="0"/>
        <w:ind w:left="0" w:leftChars="0" w:firstLine="482" w:firstLineChars="200"/>
        <w:outlineLvl w:val="0"/>
        <w:rPr>
          <w:rFonts w:hint="default" w:ascii="Times New Roman" w:hAnsi="Times New Roman" w:eastAsia="宋体" w:cs="Times New Roman"/>
          <w:b/>
          <w:highlight w:val="none"/>
        </w:rPr>
      </w:pPr>
      <w:r>
        <w:rPr>
          <w:rFonts w:hint="default" w:ascii="Times New Roman" w:hAnsi="Times New Roman" w:cs="Times New Roman"/>
          <w:highlight w:val="none"/>
          <w:u w:val="single"/>
        </w:rPr>
        <w:t>法人或者其他组织的营业执照等证明文件，自然人的身份证明</w:t>
      </w:r>
    </w:p>
    <w:p w14:paraId="4FB38960">
      <w:pPr>
        <w:pStyle w:val="21"/>
        <w:spacing w:beforeAutospacing="0" w:afterAutospacing="0" w:line="0" w:lineRule="atLeast"/>
        <w:ind w:firstLine="48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0A58CBD">
      <w:pPr>
        <w:rPr>
          <w:rFonts w:hint="default" w:ascii="Times New Roman" w:hAnsi="Times New Roman" w:cs="Times New Roman"/>
          <w:highlight w:val="none"/>
        </w:rPr>
      </w:pPr>
      <w:r>
        <w:rPr>
          <w:rFonts w:hint="default" w:ascii="Times New Roman" w:hAnsi="Times New Roman" w:cs="Times New Roman"/>
          <w:highlight w:val="none"/>
          <w:u w:val="single"/>
        </w:rPr>
        <w:br w:type="page"/>
      </w:r>
    </w:p>
    <w:p w14:paraId="22A166EE">
      <w:pPr>
        <w:pStyle w:val="51"/>
        <w:numPr>
          <w:ilvl w:val="0"/>
          <w:numId w:val="89"/>
        </w:numPr>
        <w:tabs>
          <w:tab w:val="left" w:pos="1121"/>
        </w:tabs>
        <w:topLinePunct w:val="0"/>
        <w:ind w:left="0" w:leftChars="0" w:firstLine="482" w:firstLineChars="200"/>
        <w:outlineLvl w:val="0"/>
        <w:rPr>
          <w:rFonts w:hint="default" w:ascii="Times New Roman" w:hAnsi="Times New Roman" w:cs="Times New Roman"/>
          <w:highlight w:val="none"/>
        </w:rPr>
      </w:pPr>
      <w:r>
        <w:rPr>
          <w:rFonts w:hint="default" w:ascii="Times New Roman" w:hAnsi="Times New Roman" w:cs="Times New Roman"/>
          <w:highlight w:val="none"/>
          <w:u w:val="single"/>
        </w:rPr>
        <w:t>上一年度的财务状况报告</w:t>
      </w:r>
    </w:p>
    <w:p w14:paraId="786A257F">
      <w:pPr>
        <w:pStyle w:val="12"/>
        <w:ind w:left="0" w:leftChars="0" w:firstLine="480" w:firstLineChars="200"/>
        <w:rPr>
          <w:rFonts w:hint="default" w:ascii="Times New Roman" w:hAnsi="Times New Roman" w:cs="Times New Roman"/>
          <w:i/>
          <w:color w:val="auto"/>
          <w:highlight w:val="none"/>
          <w:u w:val="single"/>
        </w:rPr>
      </w:pPr>
      <w:r>
        <w:rPr>
          <w:rFonts w:hint="default" w:ascii="Times New Roman" w:hAnsi="Times New Roman" w:cs="Times New Roman"/>
          <w:i/>
          <w:color w:val="auto"/>
          <w:highlight w:val="none"/>
          <w:u w:val="single"/>
        </w:rPr>
        <w:t>（至少提供资产负债表、利润表、现金流量表，投标人成立不满一年无需提供）</w:t>
      </w:r>
    </w:p>
    <w:p w14:paraId="70E1D49A">
      <w:pPr>
        <w:rPr>
          <w:rFonts w:hint="default" w:ascii="Times New Roman" w:hAnsi="Times New Roman" w:cs="Times New Roman"/>
          <w:highlight w:val="none"/>
        </w:rPr>
      </w:pPr>
      <w:r>
        <w:rPr>
          <w:rFonts w:hint="default" w:ascii="Times New Roman" w:hAnsi="Times New Roman" w:cs="Times New Roman"/>
          <w:highlight w:val="none"/>
          <w:u w:val="single"/>
        </w:rPr>
        <w:br w:type="page"/>
      </w:r>
    </w:p>
    <w:p w14:paraId="34FEDEC4">
      <w:pPr>
        <w:pStyle w:val="51"/>
        <w:numPr>
          <w:ilvl w:val="0"/>
          <w:numId w:val="89"/>
        </w:numPr>
        <w:tabs>
          <w:tab w:val="left" w:pos="1121"/>
        </w:tabs>
        <w:topLinePunct w:val="0"/>
        <w:ind w:left="0" w:leftChars="0" w:firstLine="482" w:firstLineChars="200"/>
        <w:outlineLvl w:val="0"/>
        <w:rPr>
          <w:rFonts w:hint="default" w:ascii="Times New Roman" w:hAnsi="Times New Roman" w:cs="Times New Roman"/>
          <w:highlight w:val="none"/>
        </w:rPr>
      </w:pPr>
      <w:r>
        <w:rPr>
          <w:rFonts w:hint="default" w:ascii="Times New Roman" w:hAnsi="Times New Roman" w:cs="Times New Roman"/>
          <w:highlight w:val="none"/>
          <w:u w:val="single"/>
        </w:rPr>
        <w:t>具备履行合同所必需的设备和专业技术能力的书面声明</w:t>
      </w:r>
    </w:p>
    <w:p w14:paraId="3E1CFC31">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我单位郑重声明：我单位具备履行本项采购合同所必需的设备和专业技术能力，为履行本项采购合同我公司具备如下主要设备和主要专业技术能力：</w:t>
      </w:r>
    </w:p>
    <w:p w14:paraId="6FB804BC">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主要设备有：</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w:t>
      </w:r>
    </w:p>
    <w:p w14:paraId="514EF44D">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主要专业技术能力有：</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w:t>
      </w:r>
    </w:p>
    <w:p w14:paraId="5EBA1ADC">
      <w:pPr>
        <w:rPr>
          <w:rFonts w:hint="default" w:ascii="Times New Roman" w:hAnsi="Times New Roman" w:cs="Times New Roman"/>
          <w:highlight w:val="none"/>
        </w:rPr>
      </w:pPr>
      <w:r>
        <w:rPr>
          <w:rFonts w:hint="default" w:ascii="Times New Roman" w:hAnsi="Times New Roman" w:cs="Times New Roman"/>
          <w:highlight w:val="none"/>
          <w:u w:val="single"/>
        </w:rPr>
        <w:br w:type="page"/>
      </w:r>
    </w:p>
    <w:p w14:paraId="1804CB82">
      <w:pPr>
        <w:pStyle w:val="51"/>
        <w:numPr>
          <w:ilvl w:val="0"/>
          <w:numId w:val="89"/>
        </w:numPr>
        <w:tabs>
          <w:tab w:val="left" w:pos="1121"/>
        </w:tabs>
        <w:topLinePunct w:val="0"/>
        <w:ind w:left="0" w:leftChars="0" w:firstLine="482" w:firstLineChars="200"/>
        <w:outlineLvl w:val="0"/>
        <w:rPr>
          <w:rFonts w:hint="default" w:ascii="Times New Roman" w:hAnsi="Times New Roman" w:cs="Times New Roman"/>
          <w:highlight w:val="none"/>
        </w:rPr>
      </w:pPr>
      <w:r>
        <w:rPr>
          <w:rFonts w:hint="default" w:ascii="Times New Roman" w:hAnsi="Times New Roman" w:cs="Times New Roman"/>
          <w:highlight w:val="none"/>
          <w:u w:val="single"/>
        </w:rPr>
        <w:t>依法缴纳税收和社会保障资金的相关材料</w:t>
      </w:r>
    </w:p>
    <w:p w14:paraId="462B13A2">
      <w:pPr>
        <w:pStyle w:val="12"/>
        <w:ind w:left="0" w:leftChars="0" w:firstLine="480" w:firstLineChars="200"/>
        <w:rPr>
          <w:rFonts w:hint="default" w:ascii="Times New Roman" w:hAnsi="Times New Roman" w:cs="Times New Roman"/>
          <w:color w:val="auto"/>
          <w:highlight w:val="none"/>
        </w:rPr>
      </w:pPr>
      <w:bookmarkStart w:id="223" w:name="_Toc120614284"/>
      <w:r>
        <w:rPr>
          <w:rFonts w:hint="default" w:ascii="Times New Roman" w:hAnsi="Times New Roman" w:cs="Times New Roman"/>
          <w:color w:val="auto"/>
          <w:highlight w:val="none"/>
        </w:rPr>
        <w:t>提供提交投标文件截止时间前一年内至少一个月依法缴纳税收及缴纳社会保障资金的证明材料。投标人依法享受缓缴、免缴税收、社会保障资金的提供证明材料。</w:t>
      </w:r>
      <w:bookmarkEnd w:id="223"/>
    </w:p>
    <w:p w14:paraId="25A12A5F">
      <w:pPr>
        <w:rPr>
          <w:rFonts w:hint="default" w:ascii="Times New Roman" w:hAnsi="Times New Roman" w:cs="Times New Roman"/>
          <w:highlight w:val="none"/>
          <w:u w:val="single"/>
        </w:rPr>
      </w:pPr>
      <w:r>
        <w:rPr>
          <w:rFonts w:hint="default" w:ascii="Times New Roman" w:hAnsi="Times New Roman" w:cs="Times New Roman"/>
          <w:highlight w:val="none"/>
          <w:u w:val="single"/>
        </w:rPr>
        <w:br w:type="page"/>
      </w:r>
    </w:p>
    <w:p w14:paraId="399F01C8">
      <w:pPr>
        <w:pStyle w:val="51"/>
        <w:numPr>
          <w:ilvl w:val="0"/>
          <w:numId w:val="89"/>
        </w:numPr>
        <w:tabs>
          <w:tab w:val="left" w:pos="1121"/>
        </w:tabs>
        <w:topLinePunct w:val="0"/>
        <w:ind w:left="0" w:leftChars="0" w:firstLine="482" w:firstLineChars="200"/>
        <w:outlineLvl w:val="0"/>
        <w:rPr>
          <w:rFonts w:hint="default" w:ascii="Times New Roman" w:hAnsi="Times New Roman" w:cs="Times New Roman"/>
          <w:highlight w:val="none"/>
          <w:u w:val="single"/>
        </w:rPr>
      </w:pPr>
      <w:r>
        <w:rPr>
          <w:rFonts w:hint="default" w:ascii="Times New Roman" w:hAnsi="Times New Roman" w:cs="Times New Roman"/>
          <w:highlight w:val="none"/>
          <w:u w:val="single"/>
        </w:rPr>
        <w:t>参加政府采购活动前 3 年内在经营活动中没有重大违法记录的书面声明</w:t>
      </w:r>
    </w:p>
    <w:p w14:paraId="4E664B14">
      <w:pPr>
        <w:rPr>
          <w:rFonts w:hint="default" w:ascii="Times New Roman" w:hAnsi="Times New Roman" w:cs="Times New Roman"/>
          <w:highlight w:val="none"/>
        </w:rPr>
      </w:pPr>
      <w:r>
        <w:rPr>
          <w:rFonts w:hint="default" w:ascii="Times New Roman" w:hAnsi="Times New Roman" w:cs="Times New Roman"/>
          <w:highlight w:val="none"/>
        </w:rPr>
        <w:br w:type="page"/>
      </w:r>
    </w:p>
    <w:p w14:paraId="7CE2D667">
      <w:pPr>
        <w:pStyle w:val="50"/>
        <w:ind w:left="0" w:leftChars="0" w:firstLine="0" w:firstLineChars="0"/>
        <w:outlineLvl w:val="9"/>
        <w:rPr>
          <w:rFonts w:hint="default" w:ascii="Times New Roman" w:hAnsi="Times New Roman" w:cs="Times New Roman"/>
          <w:highlight w:val="none"/>
        </w:rPr>
      </w:pPr>
      <w:r>
        <w:rPr>
          <w:rFonts w:hint="default" w:ascii="Times New Roman" w:hAnsi="Times New Roman" w:cs="Times New Roman"/>
          <w:highlight w:val="none"/>
        </w:rPr>
        <w:t>声 明</w:t>
      </w:r>
    </w:p>
    <w:p w14:paraId="576C044A">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我单位郑重声明：参加本次政府采购活动前 3 年内，我单位在经营活动中没有因违法经营受到刑事处罚或者责令停产停业、吊销许可证或者执照、较大数额罚款等行政处罚。</w:t>
      </w:r>
    </w:p>
    <w:p w14:paraId="6BB59A96">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241E593">
      <w:pPr>
        <w:rPr>
          <w:rFonts w:hint="default" w:ascii="Times New Roman" w:hAnsi="Times New Roman" w:cs="Times New Roman"/>
          <w:highlight w:val="none"/>
        </w:rPr>
      </w:pPr>
      <w:r>
        <w:rPr>
          <w:rFonts w:hint="default" w:ascii="Times New Roman" w:hAnsi="Times New Roman" w:cs="Times New Roman"/>
          <w:highlight w:val="none"/>
          <w:u w:val="single"/>
        </w:rPr>
        <w:br w:type="page"/>
      </w:r>
    </w:p>
    <w:p w14:paraId="22CB6886">
      <w:pPr>
        <w:pStyle w:val="51"/>
        <w:numPr>
          <w:ilvl w:val="0"/>
          <w:numId w:val="89"/>
        </w:numPr>
        <w:tabs>
          <w:tab w:val="left" w:pos="1121"/>
        </w:tabs>
        <w:topLinePunct w:val="0"/>
        <w:ind w:left="0" w:leftChars="0" w:firstLine="482" w:firstLineChars="200"/>
        <w:outlineLvl w:val="0"/>
        <w:rPr>
          <w:rFonts w:hint="default" w:ascii="Times New Roman" w:hAnsi="Times New Roman" w:cs="Times New Roman"/>
          <w:highlight w:val="none"/>
        </w:rPr>
      </w:pPr>
      <w:r>
        <w:rPr>
          <w:rFonts w:hint="default" w:ascii="Times New Roman" w:hAnsi="Times New Roman" w:cs="Times New Roman"/>
          <w:highlight w:val="none"/>
          <w:u w:val="single"/>
        </w:rPr>
        <w:t>特定资格要求的证明文件</w:t>
      </w:r>
    </w:p>
    <w:p w14:paraId="2E01792F">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如果本项目申请人的特定资格要求中要求提供的，必须提供。</w:t>
      </w:r>
    </w:p>
    <w:p w14:paraId="5084459D">
      <w:pPr>
        <w:pStyle w:val="21"/>
        <w:spacing w:beforeAutospacing="0" w:afterAutospacing="0" w:line="0" w:lineRule="atLeast"/>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1AB16DA7">
      <w:pPr>
        <w:pStyle w:val="21"/>
        <w:spacing w:beforeAutospacing="0" w:afterAutospacing="0"/>
        <w:jc w:val="center"/>
        <w:rPr>
          <w:rFonts w:hint="default" w:ascii="Times New Roman" w:hAnsi="Times New Roman" w:eastAsia="黑体" w:cs="Times New Roman"/>
          <w:i/>
          <w:color w:val="auto"/>
          <w:sz w:val="32"/>
          <w:szCs w:val="32"/>
          <w:highlight w:val="none"/>
          <w:u w:val="single"/>
        </w:rPr>
      </w:pPr>
    </w:p>
    <w:p w14:paraId="404E2016">
      <w:pPr>
        <w:rPr>
          <w:rFonts w:hint="default" w:ascii="Times New Roman" w:hAnsi="Times New Roman" w:eastAsia="黑体" w:cs="Times New Roman"/>
          <w:i/>
          <w:color w:val="auto"/>
          <w:sz w:val="32"/>
          <w:szCs w:val="32"/>
          <w:highlight w:val="none"/>
          <w:u w:val="single"/>
        </w:rPr>
      </w:pPr>
      <w:r>
        <w:rPr>
          <w:rFonts w:hint="default" w:ascii="Times New Roman" w:hAnsi="Times New Roman" w:eastAsia="黑体" w:cs="Times New Roman"/>
          <w:i/>
          <w:color w:val="auto"/>
          <w:sz w:val="32"/>
          <w:szCs w:val="32"/>
          <w:highlight w:val="none"/>
          <w:u w:val="single"/>
        </w:rPr>
        <w:br w:type="page"/>
      </w:r>
    </w:p>
    <w:p w14:paraId="3E9B23E9">
      <w:pPr>
        <w:pStyle w:val="51"/>
        <w:numPr>
          <w:ilvl w:val="0"/>
          <w:numId w:val="89"/>
        </w:numPr>
        <w:tabs>
          <w:tab w:val="left" w:pos="1121"/>
        </w:tabs>
        <w:topLinePunct w:val="0"/>
        <w:ind w:left="0" w:leftChars="0" w:firstLine="482" w:firstLineChars="200"/>
        <w:outlineLvl w:val="0"/>
        <w:rPr>
          <w:rFonts w:hint="default" w:ascii="Times New Roman" w:hAnsi="Times New Roman" w:cs="Times New Roman"/>
          <w:highlight w:val="none"/>
        </w:rPr>
      </w:pPr>
      <w:r>
        <w:rPr>
          <w:rFonts w:hint="default" w:ascii="Times New Roman" w:hAnsi="Times New Roman" w:cs="Times New Roman"/>
          <w:highlight w:val="none"/>
        </w:rPr>
        <w:t>法人授权书</w:t>
      </w:r>
    </w:p>
    <w:p w14:paraId="1A5940F3">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本授权书声明：____________（投标人名称）授权________________（被授权人的姓名）为我方就</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号项目采购活动的合法代理人，以本单位名义全权处理一切与该项目采购有关的事务。</w:t>
      </w:r>
    </w:p>
    <w:p w14:paraId="709404A9">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本授权书于______年____月____日起生效，特此声明。</w:t>
      </w:r>
    </w:p>
    <w:p w14:paraId="6EB68325">
      <w:pPr>
        <w:pStyle w:val="21"/>
        <w:tabs>
          <w:tab w:val="left" w:pos="360"/>
        </w:tabs>
        <w:spacing w:beforeAutospacing="0" w:after="120" w:afterAutospacing="0" w:line="360" w:lineRule="auto"/>
        <w:ind w:left="480" w:leftChars="0" w:firstLine="0" w:firstLineChars="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被授权人身份证号码：</w:t>
      </w:r>
      <w:r>
        <w:rPr>
          <w:rFonts w:hint="default" w:ascii="Times New Roman" w:hAnsi="Times New Roman" w:eastAsia="宋体" w:cs="Times New Roman"/>
          <w:color w:val="auto"/>
          <w:sz w:val="24"/>
          <w:szCs w:val="24"/>
          <w:highlight w:val="none"/>
          <w:u w:val="single"/>
        </w:rPr>
        <w:t xml:space="preserve">                              </w:t>
      </w:r>
    </w:p>
    <w:p w14:paraId="16E3163C">
      <w:pPr>
        <w:pStyle w:val="21"/>
        <w:tabs>
          <w:tab w:val="left" w:pos="360"/>
        </w:tabs>
        <w:spacing w:beforeAutospacing="0" w:after="120" w:afterAutospacing="0" w:line="360" w:lineRule="auto"/>
        <w:ind w:left="480" w:leftChars="0" w:firstLine="0" w:firstLineChars="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被授权人联系电话：（手机）</w:t>
      </w:r>
      <w:r>
        <w:rPr>
          <w:rFonts w:hint="default" w:ascii="Times New Roman" w:hAnsi="Times New Roman" w:eastAsia="宋体" w:cs="Times New Roman"/>
          <w:color w:val="auto"/>
          <w:sz w:val="24"/>
          <w:szCs w:val="24"/>
          <w:highlight w:val="none"/>
          <w:u w:val="single"/>
        </w:rPr>
        <w:t xml:space="preserve">                          </w:t>
      </w:r>
    </w:p>
    <w:p w14:paraId="23CAAEDE">
      <w:pPr>
        <w:pStyle w:val="21"/>
        <w:tabs>
          <w:tab w:val="left" w:pos="360"/>
        </w:tabs>
        <w:spacing w:beforeAutospacing="0" w:after="120" w:afterAutospacing="0" w:line="360" w:lineRule="auto"/>
        <w:ind w:firstLine="12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授权单位名称：</w:t>
      </w:r>
      <w:r>
        <w:rPr>
          <w:rFonts w:hint="default" w:ascii="Times New Roman" w:hAnsi="Times New Roman" w:eastAsia="宋体" w:cs="Times New Roman"/>
          <w:color w:val="auto"/>
          <w:sz w:val="24"/>
          <w:szCs w:val="24"/>
          <w:highlight w:val="none"/>
          <w:u w:val="single"/>
        </w:rPr>
        <w:t>（加盖CA电子公章）</w:t>
      </w:r>
    </w:p>
    <w:p w14:paraId="02D72DCC">
      <w:pPr>
        <w:pStyle w:val="21"/>
        <w:tabs>
          <w:tab w:val="left" w:pos="360"/>
        </w:tabs>
        <w:spacing w:beforeAutospacing="0" w:after="120" w:afterAutospacing="0" w:line="360" w:lineRule="auto"/>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单位地址：</w:t>
      </w:r>
      <w:r>
        <w:rPr>
          <w:rFonts w:hint="default" w:ascii="Times New Roman" w:hAnsi="Times New Roman" w:eastAsia="宋体" w:cs="Times New Roman"/>
          <w:color w:val="auto"/>
          <w:sz w:val="24"/>
          <w:szCs w:val="24"/>
          <w:highlight w:val="none"/>
          <w:u w:val="single"/>
        </w:rPr>
        <w:t xml:space="preserve">                                         </w:t>
      </w:r>
    </w:p>
    <w:p w14:paraId="5F2B9D8D">
      <w:pPr>
        <w:pStyle w:val="21"/>
        <w:tabs>
          <w:tab w:val="left" w:pos="360"/>
        </w:tabs>
        <w:spacing w:beforeAutospacing="0" w:after="120" w:afterAutospacing="0" w:line="360" w:lineRule="auto"/>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日期：</w:t>
      </w:r>
      <w:bookmarkStart w:id="224" w:name="_Hlt26671380"/>
      <w:bookmarkStart w:id="225" w:name="_格式3__银行出具的资信证明"/>
      <w:bookmarkStart w:id="226" w:name="_Hlt26955070"/>
      <w:r>
        <w:rPr>
          <w:rFonts w:hint="default" w:ascii="Times New Roman" w:hAnsi="Times New Roman" w:eastAsia="宋体" w:cs="Times New Roman"/>
          <w:color w:val="auto"/>
          <w:sz w:val="24"/>
          <w:szCs w:val="24"/>
          <w:highlight w:val="none"/>
          <w:u w:val="single"/>
        </w:rPr>
        <w:t xml:space="preserve">                                         </w:t>
      </w:r>
    </w:p>
    <w:p w14:paraId="41F9C582">
      <w:pPr>
        <w:pStyle w:val="21"/>
        <w:spacing w:beforeAutospacing="0" w:afterAutospacing="0"/>
        <w:ind w:firstLine="42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62563498">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36EA024">
      <w:pPr>
        <w:pStyle w:val="21"/>
        <w:spacing w:beforeAutospacing="0" w:afterAutospacing="0" w:line="0" w:lineRule="atLeast"/>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B83043C">
      <w:pPr>
        <w:pStyle w:val="21"/>
        <w:spacing w:beforeAutospacing="0" w:afterAutospacing="0" w:line="0" w:lineRule="atLeast"/>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111F57FA">
      <w:pPr>
        <w:pStyle w:val="51"/>
        <w:tabs>
          <w:tab w:val="left" w:pos="482"/>
        </w:tabs>
        <w:ind w:left="0" w:leftChars="0" w:firstLine="482" w:firstLineChars="200"/>
        <w:outlineLvl w:val="0"/>
        <w:rPr>
          <w:rFonts w:hint="default" w:ascii="Times New Roman" w:hAnsi="Times New Roman" w:cs="Times New Roman"/>
          <w:highlight w:val="none"/>
        </w:rPr>
      </w:pPr>
      <w:r>
        <w:rPr>
          <w:rFonts w:hint="default" w:ascii="Times New Roman" w:hAnsi="Times New Roman" w:cs="Times New Roman"/>
          <w:highlight w:val="none"/>
        </w:rPr>
        <w:br w:type="page"/>
      </w:r>
      <w:r>
        <w:rPr>
          <w:rFonts w:hint="default" w:ascii="Times New Roman" w:hAnsi="Times New Roman" w:cs="Times New Roman"/>
          <w:highlight w:val="none"/>
        </w:rPr>
        <w:t>八、投标函</w:t>
      </w:r>
    </w:p>
    <w:p w14:paraId="7787FAAB">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致：盐城市盐都生态环境局</w:t>
      </w:r>
    </w:p>
    <w:p w14:paraId="460D70D2">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根据贵方的</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none"/>
        </w:rPr>
        <w:t>号</w:t>
      </w:r>
      <w:r>
        <w:rPr>
          <w:rFonts w:hint="default" w:ascii="Times New Roman" w:hAnsi="Times New Roman" w:cs="Times New Roman"/>
          <w:color w:val="auto"/>
          <w:highlight w:val="none"/>
        </w:rPr>
        <w:t>招标文件，正式授权下述签字人______(姓名)代表我方______________（投标人的名称），全权处理本次项目投标的有关事宜。</w:t>
      </w:r>
    </w:p>
    <w:p w14:paraId="3D99D967">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据此函，__________签字人兹宣布同意如下：</w:t>
      </w:r>
    </w:p>
    <w:p w14:paraId="0296FC99">
      <w:pPr>
        <w:pStyle w:val="12"/>
        <w:numPr>
          <w:ilvl w:val="0"/>
          <w:numId w:val="9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按招标文件规定的各项要求，向买方提供所需服务（包含与服务相关的货物）。</w:t>
      </w:r>
    </w:p>
    <w:p w14:paraId="712A756D">
      <w:pPr>
        <w:pStyle w:val="12"/>
        <w:numPr>
          <w:ilvl w:val="0"/>
          <w:numId w:val="9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我们完全理解贵方不一定将合同授予最低报价的投标人。</w:t>
      </w:r>
    </w:p>
    <w:p w14:paraId="1C1596AE">
      <w:pPr>
        <w:pStyle w:val="12"/>
        <w:numPr>
          <w:ilvl w:val="0"/>
          <w:numId w:val="9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我们已详细审核全部招标文件及其有效补充文件，我们知道必须放弃提出含糊不清或误解问题的权利。</w:t>
      </w:r>
    </w:p>
    <w:p w14:paraId="2ECE1662">
      <w:pPr>
        <w:pStyle w:val="12"/>
        <w:numPr>
          <w:ilvl w:val="0"/>
          <w:numId w:val="9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我们同意从规定的开标日期起遵循本投标文件，并在规定的投标有效期期满之前均具有约束力。</w:t>
      </w:r>
    </w:p>
    <w:p w14:paraId="5D1E06CE">
      <w:pPr>
        <w:pStyle w:val="12"/>
        <w:numPr>
          <w:ilvl w:val="0"/>
          <w:numId w:val="9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同意向贵方提供贵方可能另外要求的与投标有关的任何证据或资料，并保证我方已提供和将要提供的文件是真实的、准确的。</w:t>
      </w:r>
    </w:p>
    <w:p w14:paraId="6DCB6B10">
      <w:pPr>
        <w:pStyle w:val="12"/>
        <w:numPr>
          <w:ilvl w:val="0"/>
          <w:numId w:val="9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一旦我方中标,我方将根据招标文件的规定，严格履行合同的责任和义务,并保证在招标文件规定的时间完成项目，交付买方验收、使用。</w:t>
      </w:r>
    </w:p>
    <w:p w14:paraId="60CFD457">
      <w:pPr>
        <w:pStyle w:val="12"/>
        <w:numPr>
          <w:ilvl w:val="0"/>
          <w:numId w:val="90"/>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与本投标有关的正式通讯地址为：</w:t>
      </w:r>
    </w:p>
    <w:p w14:paraId="65210B73">
      <w:pPr>
        <w:pStyle w:val="12"/>
        <w:ind w:left="482"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地址：</w:t>
      </w:r>
    </w:p>
    <w:p w14:paraId="5E1CACA6">
      <w:pPr>
        <w:pStyle w:val="12"/>
        <w:ind w:left="482"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邮编：</w:t>
      </w:r>
    </w:p>
    <w:p w14:paraId="4A7F9658">
      <w:pPr>
        <w:pStyle w:val="21"/>
        <w:spacing w:beforeAutospacing="0" w:after="120" w:afterAutospacing="0" w:line="360" w:lineRule="auto"/>
        <w:ind w:left="420"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电话：</w:t>
      </w:r>
    </w:p>
    <w:p w14:paraId="5AF6DC56">
      <w:pPr>
        <w:pStyle w:val="21"/>
        <w:spacing w:beforeAutospacing="0" w:after="120" w:afterAutospacing="0" w:line="360" w:lineRule="auto"/>
        <w:ind w:left="420"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传真：</w:t>
      </w:r>
    </w:p>
    <w:p w14:paraId="4CE066C9">
      <w:pPr>
        <w:pStyle w:val="21"/>
        <w:spacing w:beforeAutospacing="0" w:after="120" w:afterAutospacing="0" w:line="360" w:lineRule="auto"/>
        <w:ind w:left="420"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投标人开户行：</w:t>
      </w:r>
    </w:p>
    <w:p w14:paraId="5831478F">
      <w:pPr>
        <w:pStyle w:val="21"/>
        <w:spacing w:beforeAutospacing="0" w:after="120" w:afterAutospacing="0" w:line="360" w:lineRule="auto"/>
        <w:ind w:left="420"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账号： </w:t>
      </w:r>
    </w:p>
    <w:p w14:paraId="3AEF64CF">
      <w:pPr>
        <w:pStyle w:val="21"/>
        <w:spacing w:beforeAutospacing="0" w:after="120" w:afterAutospacing="0" w:line="360" w:lineRule="auto"/>
        <w:ind w:left="420"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日期：________年____月____日</w:t>
      </w:r>
    </w:p>
    <w:p w14:paraId="651E1465">
      <w:pPr>
        <w:pStyle w:val="21"/>
        <w:spacing w:beforeAutospacing="0" w:afterAutospacing="0" w:line="0" w:lineRule="atLeast"/>
        <w:ind w:firstLine="24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2C26FBC">
      <w:pPr>
        <w:pStyle w:val="21"/>
        <w:spacing w:beforeAutospacing="0" w:afterAutospacing="0" w:line="0" w:lineRule="atLeast"/>
        <w:ind w:firstLine="24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B3B70D5">
      <w:pPr>
        <w:pStyle w:val="21"/>
        <w:spacing w:beforeAutospacing="0" w:afterAutospacing="0" w:line="0" w:lineRule="atLeast"/>
        <w:ind w:firstLine="24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7926AA33">
      <w:pPr>
        <w:pStyle w:val="21"/>
        <w:spacing w:beforeAutospacing="0" w:afterAutospacing="0" w:line="0" w:lineRule="atLeast"/>
        <w:ind w:firstLine="24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AB6A22A">
      <w:pPr>
        <w:pStyle w:val="21"/>
        <w:spacing w:beforeAutospacing="0" w:afterAutospacing="0" w:line="0" w:lineRule="atLeast"/>
        <w:ind w:firstLine="24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5339749">
      <w:pPr>
        <w:rPr>
          <w:rFonts w:hint="default" w:ascii="Times New Roman" w:hAnsi="Times New Roman" w:cs="Times New Roman"/>
          <w:highlight w:val="none"/>
        </w:rPr>
      </w:pPr>
      <w:r>
        <w:rPr>
          <w:rFonts w:hint="default" w:ascii="Times New Roman" w:hAnsi="Times New Roman" w:cs="Times New Roman"/>
          <w:highlight w:val="none"/>
        </w:rPr>
        <w:br w:type="page"/>
      </w:r>
    </w:p>
    <w:p w14:paraId="33B6696B">
      <w:pPr>
        <w:pStyle w:val="51"/>
        <w:tabs>
          <w:tab w:val="left" w:pos="482"/>
        </w:tabs>
        <w:ind w:left="0" w:leftChars="0" w:firstLine="482" w:firstLineChars="200"/>
        <w:outlineLvl w:val="0"/>
        <w:rPr>
          <w:rFonts w:hint="default" w:ascii="Times New Roman" w:hAnsi="Times New Roman" w:cs="Times New Roman"/>
          <w:highlight w:val="none"/>
        </w:rPr>
      </w:pPr>
      <w:r>
        <w:rPr>
          <w:rFonts w:hint="default" w:ascii="Times New Roman" w:hAnsi="Times New Roman" w:cs="Times New Roman"/>
          <w:highlight w:val="none"/>
        </w:rPr>
        <w:t>九、中小企业声明函（服务）</w:t>
      </w:r>
    </w:p>
    <w:p w14:paraId="3F9086A0">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本公司（联合体）郑重声明，根据《政府采购促进中小企业发展管理办法》(财库[2020]46号)的规定，本公司（联合体）参加盐城市盐都生态环境局组织的</w:t>
      </w:r>
      <w:r>
        <w:rPr>
          <w:rFonts w:hint="default" w:ascii="Times New Roman" w:hAnsi="Times New Roman" w:cs="Times New Roman"/>
          <w:color w:val="auto"/>
          <w:highlight w:val="none"/>
          <w:u w:val="single"/>
        </w:rPr>
        <w:t>（单位名称）</w:t>
      </w:r>
      <w:r>
        <w:rPr>
          <w:rFonts w:hint="default" w:ascii="Times New Roman" w:hAnsi="Times New Roman" w:cs="Times New Roman"/>
          <w:color w:val="auto"/>
          <w:highlight w:val="none"/>
        </w:rPr>
        <w:t>采购编号为</w:t>
      </w:r>
      <w:r>
        <w:rPr>
          <w:rFonts w:hint="default" w:ascii="Times New Roman" w:hAnsi="Times New Roman" w:cs="Times New Roman"/>
          <w:color w:val="auto"/>
          <w:highlight w:val="none"/>
          <w:u w:val="single"/>
        </w:rPr>
        <w:t>***</w:t>
      </w:r>
      <w:r>
        <w:rPr>
          <w:rFonts w:hint="default" w:ascii="Times New Roman" w:hAnsi="Times New Roman" w:cs="Times New Roman"/>
          <w:color w:val="auto"/>
          <w:highlight w:val="none"/>
        </w:rPr>
        <w:t>，</w:t>
      </w:r>
      <w:r>
        <w:rPr>
          <w:rFonts w:hint="default" w:ascii="Times New Roman" w:hAnsi="Times New Roman" w:cs="Times New Roman"/>
          <w:color w:val="auto"/>
          <w:highlight w:val="none"/>
          <w:u w:val="single"/>
        </w:rPr>
        <w:t>（项目名称）（分包号：**）</w:t>
      </w:r>
      <w:r>
        <w:rPr>
          <w:rFonts w:hint="default" w:ascii="Times New Roman" w:hAnsi="Times New Roman" w:cs="Times New Roman"/>
          <w:color w:val="auto"/>
          <w:highlight w:val="none"/>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微企业）的具体情况如下：</w:t>
      </w:r>
    </w:p>
    <w:p w14:paraId="6D6167AF">
      <w:pPr>
        <w:pStyle w:val="12"/>
        <w:numPr>
          <w:ilvl w:val="0"/>
          <w:numId w:val="91"/>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u w:val="single"/>
        </w:rPr>
        <w:t>（标的名称）</w:t>
      </w:r>
      <w:r>
        <w:rPr>
          <w:rFonts w:hint="default" w:ascii="Times New Roman" w:hAnsi="Times New Roman" w:cs="Times New Roman"/>
          <w:i/>
          <w:color w:val="auto"/>
          <w:highlight w:val="none"/>
        </w:rPr>
        <w:t>，</w:t>
      </w:r>
      <w:r>
        <w:rPr>
          <w:rFonts w:hint="default" w:ascii="Times New Roman" w:hAnsi="Times New Roman" w:cs="Times New Roman"/>
          <w:color w:val="auto"/>
          <w:highlight w:val="none"/>
        </w:rPr>
        <w:t>属于</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行业；承接企业为</w:t>
      </w:r>
      <w:r>
        <w:rPr>
          <w:rFonts w:hint="default" w:ascii="Times New Roman" w:hAnsi="Times New Roman" w:cs="Times New Roman"/>
          <w:color w:val="auto"/>
          <w:highlight w:val="none"/>
          <w:u w:val="single"/>
        </w:rPr>
        <w:t>（企业名称）</w:t>
      </w:r>
      <w:r>
        <w:rPr>
          <w:rFonts w:hint="default" w:ascii="Times New Roman" w:hAnsi="Times New Roman" w:cs="Times New Roman"/>
          <w:color w:val="auto"/>
          <w:highlight w:val="none"/>
        </w:rPr>
        <w:t>，从业人员</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人，营业收入为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万元，资产总额为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万元</w:t>
      </w:r>
      <w:r>
        <w:rPr>
          <w:rFonts w:hint="default" w:ascii="Times New Roman" w:hAnsi="Times New Roman" w:cs="Times New Roman"/>
          <w:color w:val="auto"/>
          <w:highlight w:val="none"/>
          <w:vertAlign w:val="superscript"/>
        </w:rPr>
        <w:t>1</w:t>
      </w:r>
      <w:r>
        <w:rPr>
          <w:rFonts w:hint="default" w:ascii="Times New Roman" w:hAnsi="Times New Roman" w:cs="Times New Roman"/>
          <w:color w:val="auto"/>
          <w:highlight w:val="none"/>
        </w:rPr>
        <w:t>，属于</w:t>
      </w:r>
      <w:r>
        <w:rPr>
          <w:rFonts w:hint="default" w:ascii="Times New Roman" w:hAnsi="Times New Roman" w:cs="Times New Roman"/>
          <w:color w:val="auto"/>
          <w:highlight w:val="none"/>
          <w:u w:val="single"/>
        </w:rPr>
        <w:t>（中型企业、小型企业、微型企业）；</w:t>
      </w:r>
    </w:p>
    <w:p w14:paraId="159C45E7">
      <w:pPr>
        <w:pStyle w:val="12"/>
        <w:numPr>
          <w:ilvl w:val="0"/>
          <w:numId w:val="91"/>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u w:val="single"/>
        </w:rPr>
        <w:t>（标的名称）</w:t>
      </w:r>
      <w:r>
        <w:rPr>
          <w:rFonts w:hint="default" w:ascii="Times New Roman" w:hAnsi="Times New Roman" w:cs="Times New Roman"/>
          <w:i/>
          <w:color w:val="auto"/>
          <w:highlight w:val="none"/>
        </w:rPr>
        <w:t>，</w:t>
      </w:r>
      <w:r>
        <w:rPr>
          <w:rFonts w:hint="default" w:ascii="Times New Roman" w:hAnsi="Times New Roman" w:cs="Times New Roman"/>
          <w:color w:val="auto"/>
          <w:highlight w:val="none"/>
        </w:rPr>
        <w:t>属于</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行业；承接企业为</w:t>
      </w:r>
      <w:r>
        <w:rPr>
          <w:rFonts w:hint="default" w:ascii="Times New Roman" w:hAnsi="Times New Roman" w:cs="Times New Roman"/>
          <w:color w:val="auto"/>
          <w:highlight w:val="none"/>
          <w:u w:val="single"/>
        </w:rPr>
        <w:t>（企业名称）</w:t>
      </w:r>
      <w:r>
        <w:rPr>
          <w:rFonts w:hint="default" w:ascii="Times New Roman" w:hAnsi="Times New Roman" w:cs="Times New Roman"/>
          <w:color w:val="auto"/>
          <w:highlight w:val="none"/>
        </w:rPr>
        <w:t>，从业人员</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人，营业收入为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万元，资产总额为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万元</w:t>
      </w:r>
      <w:r>
        <w:rPr>
          <w:rFonts w:hint="default" w:ascii="Times New Roman" w:hAnsi="Times New Roman" w:cs="Times New Roman"/>
          <w:color w:val="auto"/>
          <w:highlight w:val="none"/>
          <w:vertAlign w:val="superscript"/>
        </w:rPr>
        <w:t>1</w:t>
      </w:r>
      <w:r>
        <w:rPr>
          <w:rFonts w:hint="default" w:ascii="Times New Roman" w:hAnsi="Times New Roman" w:cs="Times New Roman"/>
          <w:color w:val="auto"/>
          <w:highlight w:val="none"/>
        </w:rPr>
        <w:t>，属于</w:t>
      </w:r>
      <w:r>
        <w:rPr>
          <w:rFonts w:hint="default" w:ascii="Times New Roman" w:hAnsi="Times New Roman" w:cs="Times New Roman"/>
          <w:color w:val="auto"/>
          <w:highlight w:val="none"/>
          <w:u w:val="single"/>
        </w:rPr>
        <w:t>（中型企业、小型企业、微型企业）；</w:t>
      </w:r>
    </w:p>
    <w:p w14:paraId="2830D4B3">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p w14:paraId="5C4CB715">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以上企业，不属于大企业的分支机构，不存在控股股东为大企业的情形，也不存在与大企业的负责人为同一人的情形。</w:t>
      </w:r>
    </w:p>
    <w:p w14:paraId="7EC51861">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本企业对上述声明内容的真实性负责。如有虚假，将依法承担相应责任</w:t>
      </w:r>
    </w:p>
    <w:p w14:paraId="53229AE0">
      <w:pPr>
        <w:pStyle w:val="21"/>
        <w:spacing w:beforeAutospacing="0" w:afterAutospacing="0" w:line="0" w:lineRule="atLeast"/>
        <w:ind w:right="72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13F78299">
      <w:pPr>
        <w:pStyle w:val="21"/>
        <w:spacing w:beforeAutospacing="0" w:after="120" w:afterAutospacing="0" w:line="360" w:lineRule="auto"/>
        <w:ind w:right="180" w:firstLine="360"/>
        <w:jc w:val="righ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企业名称（加盖CA电子公章）：</w:t>
      </w:r>
    </w:p>
    <w:p w14:paraId="6485535E">
      <w:pPr>
        <w:pStyle w:val="21"/>
        <w:spacing w:beforeAutospacing="0" w:after="120" w:afterAutospacing="0" w:line="360" w:lineRule="auto"/>
        <w:ind w:right="480" w:firstLine="540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日  期：</w:t>
      </w:r>
    </w:p>
    <w:p w14:paraId="792F5903">
      <w:pPr>
        <w:pStyle w:val="21"/>
        <w:spacing w:beforeAutospacing="0" w:afterAutospacing="0" w:line="0" w:lineRule="atLeast"/>
        <w:ind w:firstLine="24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7BD840F2">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备注1：从业人员、营业收入、资产总额填报上一年度数据，无上一年度数据的新成立企业可不填报。</w:t>
      </w:r>
    </w:p>
    <w:p w14:paraId="3CBFFE2B">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备注2：供应商如不提供此声明函，价格将不做相应扣除（如项目全面面向中小企业，则资格审查不通过）。</w:t>
      </w:r>
    </w:p>
    <w:p w14:paraId="2F7049BF">
      <w:pPr>
        <w:pStyle w:val="51"/>
        <w:tabs>
          <w:tab w:val="left" w:pos="482"/>
        </w:tabs>
        <w:ind w:left="0" w:leftChars="0" w:firstLine="482" w:firstLineChars="200"/>
        <w:outlineLvl w:val="0"/>
        <w:rPr>
          <w:rFonts w:hint="default" w:ascii="Times New Roman" w:hAnsi="Times New Roman" w:cs="Times New Roman"/>
          <w:highlight w:val="none"/>
        </w:rPr>
      </w:pPr>
      <w:r>
        <w:rPr>
          <w:rFonts w:hint="default" w:ascii="Times New Roman" w:hAnsi="Times New Roman" w:cs="Times New Roman"/>
          <w:highlight w:val="none"/>
        </w:rPr>
        <w:br w:type="page"/>
      </w:r>
      <w:r>
        <w:rPr>
          <w:rFonts w:hint="default" w:ascii="Times New Roman" w:hAnsi="Times New Roman" w:cs="Times New Roman"/>
          <w:highlight w:val="none"/>
        </w:rPr>
        <w:t>十、残疾人福利性单位声明函</w:t>
      </w:r>
    </w:p>
    <w:p w14:paraId="41670CC8">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项目（分包号：**）采购活动由本单位提供服务。</w:t>
      </w:r>
    </w:p>
    <w:p w14:paraId="71A5D92F">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本单位对上述声明的真实性负责。如有虚假，将依法承担相应责任。</w:t>
      </w:r>
    </w:p>
    <w:p w14:paraId="05B6D7F5">
      <w:pPr>
        <w:pStyle w:val="21"/>
        <w:spacing w:beforeAutospacing="0" w:afterAutospacing="0" w:line="0" w:lineRule="atLeast"/>
        <w:ind w:firstLine="48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CAE76AA">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（备注：1、供应商如不提供此声明函，价格将不做相应扣除（如项目全面面向中小企业，则资格审查不通过）。2、中标人为残疾人福利单位的，此声明函将随中标结果同时公告，接受社会监督）</w:t>
      </w:r>
    </w:p>
    <w:p w14:paraId="368DEBBD">
      <w:pPr>
        <w:pStyle w:val="21"/>
        <w:spacing w:beforeAutospacing="0" w:afterAutospacing="0" w:line="0" w:lineRule="atLeast"/>
        <w:ind w:firstLine="624"/>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3E09C217">
      <w:pPr>
        <w:pStyle w:val="21"/>
        <w:tabs>
          <w:tab w:val="left" w:pos="4864"/>
        </w:tabs>
        <w:spacing w:beforeAutospacing="0" w:after="120" w:afterAutospacing="0" w:line="360" w:lineRule="auto"/>
        <w:ind w:right="1560" w:firstLine="624"/>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供应商全称（加盖CA电子公章）：</w:t>
      </w:r>
    </w:p>
    <w:p w14:paraId="2232185B">
      <w:pPr>
        <w:pStyle w:val="21"/>
        <w:tabs>
          <w:tab w:val="left" w:pos="4864"/>
        </w:tabs>
        <w:spacing w:beforeAutospacing="0" w:after="120" w:afterAutospacing="0" w:line="360" w:lineRule="auto"/>
        <w:ind w:right="1560" w:firstLine="48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日  期：</w:t>
      </w:r>
    </w:p>
    <w:p w14:paraId="5B86FBAF">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52EA9AF">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6AE0964">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B2167EA">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6DA06ED6">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7F892D0A">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48908C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8E0EC94">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2BAE9F23">
      <w:pPr>
        <w:pStyle w:val="21"/>
        <w:spacing w:beforeAutospacing="0" w:afterAutospacing="0" w:line="0" w:lineRule="atLeast"/>
        <w:jc w:val="center"/>
        <w:rPr>
          <w:rFonts w:hint="default" w:ascii="Times New Roman" w:hAnsi="Times New Roman" w:cs="Times New Roman"/>
          <w:color w:val="auto"/>
          <w:highlight w:val="none"/>
        </w:rPr>
      </w:pPr>
    </w:p>
    <w:p w14:paraId="51D75F66">
      <w:pPr>
        <w:pStyle w:val="21"/>
        <w:spacing w:beforeAutospacing="0" w:afterAutospacing="0" w:line="0" w:lineRule="atLeast"/>
        <w:jc w:val="center"/>
        <w:rPr>
          <w:rFonts w:hint="default" w:ascii="Times New Roman" w:hAnsi="Times New Roman" w:cs="Times New Roman"/>
          <w:color w:val="auto"/>
          <w:highlight w:val="none"/>
        </w:rPr>
      </w:pPr>
    </w:p>
    <w:p w14:paraId="40F6A71A">
      <w:pPr>
        <w:pStyle w:val="21"/>
        <w:spacing w:beforeAutospacing="0" w:afterAutospacing="0" w:line="0" w:lineRule="atLeast"/>
        <w:jc w:val="center"/>
        <w:rPr>
          <w:rFonts w:hint="default" w:ascii="Times New Roman" w:hAnsi="Times New Roman" w:cs="Times New Roman"/>
          <w:color w:val="auto"/>
          <w:highlight w:val="none"/>
        </w:rPr>
      </w:pPr>
    </w:p>
    <w:p w14:paraId="494A6B4E">
      <w:pPr>
        <w:pStyle w:val="21"/>
        <w:spacing w:beforeAutospacing="0" w:afterAutospacing="0" w:line="0" w:lineRule="atLeast"/>
        <w:jc w:val="center"/>
        <w:rPr>
          <w:rFonts w:hint="default" w:ascii="Times New Roman" w:hAnsi="Times New Roman" w:cs="Times New Roman"/>
          <w:color w:val="auto"/>
          <w:highlight w:val="none"/>
        </w:rPr>
      </w:pPr>
    </w:p>
    <w:p w14:paraId="54820F39">
      <w:pPr>
        <w:pStyle w:val="21"/>
        <w:spacing w:beforeAutospacing="0" w:afterAutospacing="0" w:line="0" w:lineRule="atLeast"/>
        <w:jc w:val="center"/>
        <w:rPr>
          <w:rFonts w:hint="default" w:ascii="Times New Roman" w:hAnsi="Times New Roman" w:cs="Times New Roman"/>
          <w:color w:val="auto"/>
          <w:highlight w:val="none"/>
        </w:rPr>
      </w:pPr>
    </w:p>
    <w:p w14:paraId="7A37864E">
      <w:pPr>
        <w:pStyle w:val="21"/>
        <w:spacing w:beforeAutospacing="0" w:afterAutospacing="0" w:line="0" w:lineRule="atLeast"/>
        <w:jc w:val="center"/>
        <w:rPr>
          <w:rFonts w:hint="default" w:ascii="Times New Roman" w:hAnsi="Times New Roman" w:cs="Times New Roman"/>
          <w:color w:val="auto"/>
          <w:highlight w:val="none"/>
        </w:rPr>
      </w:pPr>
    </w:p>
    <w:p w14:paraId="4B8AE178">
      <w:pPr>
        <w:pStyle w:val="21"/>
        <w:spacing w:beforeAutospacing="0" w:afterAutospacing="0" w:line="0" w:lineRule="atLeast"/>
        <w:jc w:val="center"/>
        <w:rPr>
          <w:rFonts w:hint="default" w:ascii="Times New Roman" w:hAnsi="Times New Roman" w:cs="Times New Roman"/>
          <w:color w:val="auto"/>
          <w:highlight w:val="none"/>
        </w:rPr>
      </w:pPr>
    </w:p>
    <w:p w14:paraId="745070DF">
      <w:pPr>
        <w:pStyle w:val="21"/>
        <w:spacing w:beforeAutospacing="0" w:afterAutospacing="0" w:line="0" w:lineRule="atLeast"/>
        <w:jc w:val="center"/>
        <w:rPr>
          <w:rFonts w:hint="default" w:ascii="Times New Roman" w:hAnsi="Times New Roman" w:cs="Times New Roman"/>
          <w:color w:val="auto"/>
          <w:highlight w:val="none"/>
        </w:rPr>
      </w:pPr>
    </w:p>
    <w:p w14:paraId="3CEB066A">
      <w:pPr>
        <w:pStyle w:val="21"/>
        <w:spacing w:beforeAutospacing="0" w:afterAutospacing="0" w:line="0" w:lineRule="atLeast"/>
        <w:jc w:val="center"/>
        <w:rPr>
          <w:rFonts w:hint="default" w:ascii="Times New Roman" w:hAnsi="Times New Roman" w:cs="Times New Roman"/>
          <w:color w:val="auto"/>
          <w:highlight w:val="none"/>
        </w:rPr>
      </w:pPr>
    </w:p>
    <w:p w14:paraId="298BC17A">
      <w:pPr>
        <w:pStyle w:val="21"/>
        <w:spacing w:beforeAutospacing="0" w:afterAutospacing="0" w:line="0" w:lineRule="atLeast"/>
        <w:jc w:val="center"/>
        <w:rPr>
          <w:rFonts w:hint="default" w:ascii="Times New Roman" w:hAnsi="Times New Roman" w:cs="Times New Roman"/>
          <w:color w:val="auto"/>
          <w:highlight w:val="none"/>
        </w:rPr>
      </w:pPr>
    </w:p>
    <w:p w14:paraId="1BCB410C">
      <w:pPr>
        <w:pStyle w:val="21"/>
        <w:spacing w:beforeAutospacing="0" w:afterAutospacing="0" w:line="0" w:lineRule="atLeast"/>
        <w:jc w:val="center"/>
        <w:rPr>
          <w:rFonts w:hint="default" w:ascii="Times New Roman" w:hAnsi="Times New Roman" w:cs="Times New Roman"/>
          <w:color w:val="auto"/>
          <w:highlight w:val="none"/>
        </w:rPr>
      </w:pPr>
    </w:p>
    <w:p w14:paraId="230EDB1C">
      <w:pPr>
        <w:pStyle w:val="21"/>
        <w:spacing w:beforeAutospacing="0" w:afterAutospacing="0" w:line="0" w:lineRule="atLeast"/>
        <w:jc w:val="center"/>
        <w:rPr>
          <w:rFonts w:hint="default" w:ascii="Times New Roman" w:hAnsi="Times New Roman" w:cs="Times New Roman"/>
          <w:color w:val="auto"/>
          <w:highlight w:val="none"/>
        </w:rPr>
      </w:pPr>
    </w:p>
    <w:p w14:paraId="5148D040">
      <w:pPr>
        <w:pStyle w:val="21"/>
        <w:spacing w:beforeAutospacing="0" w:afterAutospacing="0" w:line="0" w:lineRule="atLeast"/>
        <w:jc w:val="center"/>
        <w:rPr>
          <w:rFonts w:hint="default" w:ascii="Times New Roman" w:hAnsi="Times New Roman" w:cs="Times New Roman"/>
          <w:color w:val="auto"/>
          <w:highlight w:val="none"/>
        </w:rPr>
      </w:pPr>
    </w:p>
    <w:p w14:paraId="46FC1044">
      <w:pPr>
        <w:pStyle w:val="21"/>
        <w:spacing w:beforeAutospacing="0" w:afterAutospacing="0" w:line="0" w:lineRule="atLeast"/>
        <w:jc w:val="center"/>
        <w:rPr>
          <w:rFonts w:hint="default" w:ascii="Times New Roman" w:hAnsi="Times New Roman" w:cs="Times New Roman"/>
          <w:color w:val="auto"/>
          <w:highlight w:val="none"/>
        </w:rPr>
      </w:pPr>
    </w:p>
    <w:p w14:paraId="52AC1B97">
      <w:pPr>
        <w:pStyle w:val="21"/>
        <w:spacing w:beforeAutospacing="0" w:afterAutospacing="0" w:line="0" w:lineRule="atLeast"/>
        <w:jc w:val="center"/>
        <w:rPr>
          <w:rFonts w:hint="default" w:ascii="Times New Roman" w:hAnsi="Times New Roman" w:cs="Times New Roman"/>
          <w:color w:val="auto"/>
          <w:highlight w:val="none"/>
        </w:rPr>
      </w:pPr>
    </w:p>
    <w:p w14:paraId="10BEE863">
      <w:pPr>
        <w:pStyle w:val="21"/>
        <w:spacing w:beforeAutospacing="0" w:afterAutospacing="0" w:line="0" w:lineRule="atLeast"/>
        <w:jc w:val="center"/>
        <w:rPr>
          <w:rFonts w:hint="default" w:ascii="Times New Roman" w:hAnsi="Times New Roman" w:cs="Times New Roman"/>
          <w:color w:val="auto"/>
          <w:highlight w:val="none"/>
        </w:rPr>
      </w:pPr>
    </w:p>
    <w:p w14:paraId="70555320">
      <w:pPr>
        <w:pStyle w:val="21"/>
        <w:spacing w:beforeAutospacing="0" w:afterAutospacing="0" w:line="0" w:lineRule="atLeast"/>
        <w:jc w:val="center"/>
        <w:rPr>
          <w:rFonts w:hint="default" w:ascii="Times New Roman" w:hAnsi="Times New Roman" w:cs="Times New Roman"/>
          <w:color w:val="auto"/>
          <w:highlight w:val="none"/>
        </w:rPr>
      </w:pPr>
    </w:p>
    <w:p w14:paraId="19739137">
      <w:pPr>
        <w:rPr>
          <w:rFonts w:hint="default" w:ascii="Times New Roman" w:hAnsi="Times New Roman" w:cs="Times New Roman"/>
          <w:highlight w:val="none"/>
        </w:rPr>
      </w:pPr>
      <w:r>
        <w:rPr>
          <w:rFonts w:hint="default" w:ascii="Times New Roman" w:hAnsi="Times New Roman" w:cs="Times New Roman"/>
          <w:highlight w:val="none"/>
        </w:rPr>
        <w:br w:type="page"/>
      </w:r>
    </w:p>
    <w:p w14:paraId="776905E6">
      <w:pPr>
        <w:pStyle w:val="51"/>
        <w:tabs>
          <w:tab w:val="left" w:pos="482"/>
        </w:tabs>
        <w:ind w:left="0" w:leftChars="0" w:firstLine="482" w:firstLineChars="200"/>
        <w:outlineLvl w:val="0"/>
        <w:rPr>
          <w:rFonts w:hint="default" w:ascii="Times New Roman" w:hAnsi="Times New Roman" w:cs="Times New Roman"/>
          <w:highlight w:val="none"/>
        </w:rPr>
      </w:pPr>
      <w:r>
        <w:rPr>
          <w:rFonts w:hint="default" w:ascii="Times New Roman" w:hAnsi="Times New Roman" w:cs="Times New Roman"/>
          <w:highlight w:val="none"/>
        </w:rPr>
        <w:t>十一、关于符合本国产品标准的声明函（如有）</w:t>
      </w:r>
    </w:p>
    <w:p w14:paraId="3D48EB6C">
      <w:pPr>
        <w:pStyle w:val="2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w:t>
      </w:r>
    </w:p>
    <w:p w14:paraId="311B4E85">
      <w:pPr>
        <w:pStyle w:val="12"/>
        <w:pBdr>
          <w:top w:val="none" w:color="auto" w:sz="0" w:space="0"/>
          <w:left w:val="none" w:color="auto" w:sz="0" w:space="0"/>
          <w:bottom w:val="none" w:color="auto" w:sz="0" w:space="0"/>
          <w:right w:val="none" w:color="auto" w:sz="0" w:space="0"/>
        </w:pBdr>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5A8AFE73">
      <w:pPr>
        <w:pStyle w:val="12"/>
        <w:numPr>
          <w:ilvl w:val="0"/>
          <w:numId w:val="92"/>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u w:val="single"/>
        </w:rPr>
        <w:t>（产品名称1）</w:t>
      </w:r>
      <w:r>
        <w:rPr>
          <w:rFonts w:hint="default" w:ascii="Times New Roman" w:hAnsi="Times New Roman" w:cs="Times New Roman"/>
          <w:b/>
          <w:color w:val="auto"/>
          <w:highlight w:val="none"/>
          <w:vertAlign w:val="superscript"/>
        </w:rPr>
        <w:t>1</w:t>
      </w:r>
      <w:r>
        <w:rPr>
          <w:rFonts w:hint="default" w:ascii="Times New Roman" w:hAnsi="Times New Roman" w:cs="Times New Roman"/>
          <w:b/>
          <w:color w:val="auto"/>
          <w:highlight w:val="none"/>
        </w:rPr>
        <w:t>，生产厂为</w:t>
      </w:r>
      <w:r>
        <w:rPr>
          <w:rFonts w:hint="default" w:ascii="Times New Roman" w:hAnsi="Times New Roman" w:cs="Times New Roman"/>
          <w:b/>
          <w:color w:val="auto"/>
          <w:highlight w:val="none"/>
          <w:u w:val="single"/>
        </w:rPr>
        <w:t>（厂名）</w:t>
      </w:r>
      <w:r>
        <w:rPr>
          <w:rFonts w:hint="default" w:ascii="Times New Roman" w:hAnsi="Times New Roman" w:cs="Times New Roman"/>
          <w:b/>
          <w:color w:val="auto"/>
          <w:highlight w:val="none"/>
          <w:vertAlign w:val="superscript"/>
        </w:rPr>
        <w:t>2</w:t>
      </w:r>
      <w:r>
        <w:rPr>
          <w:rFonts w:hint="default" w:ascii="Times New Roman" w:hAnsi="Times New Roman" w:cs="Times New Roman"/>
          <w:b/>
          <w:color w:val="auto"/>
          <w:highlight w:val="none"/>
        </w:rPr>
        <w:t>，厂址为</w:t>
      </w:r>
      <w:r>
        <w:rPr>
          <w:rFonts w:hint="default" w:ascii="Times New Roman" w:hAnsi="Times New Roman" w:cs="Times New Roman"/>
          <w:b/>
          <w:color w:val="auto"/>
          <w:highlight w:val="none"/>
          <w:u w:val="single"/>
        </w:rPr>
        <w:t>（生产厂址）</w:t>
      </w:r>
      <w:r>
        <w:rPr>
          <w:rFonts w:hint="default" w:ascii="Times New Roman" w:hAnsi="Times New Roman" w:cs="Times New Roman"/>
          <w:b/>
          <w:color w:val="auto"/>
          <w:highlight w:val="none"/>
        </w:rPr>
        <w:t>。</w:t>
      </w:r>
      <w:r>
        <w:rPr>
          <w:rFonts w:hint="default" w:ascii="Times New Roman" w:hAnsi="Times New Roman" w:cs="Times New Roman"/>
          <w:b/>
          <w:strike/>
          <w:dstrike w:val="0"/>
          <w:color w:val="auto"/>
          <w:highlight w:val="none"/>
          <w:u w:val="single"/>
        </w:rPr>
        <w:t> （产品名称1）</w:t>
      </w:r>
      <w:r>
        <w:rPr>
          <w:rFonts w:hint="default" w:ascii="Times New Roman" w:hAnsi="Times New Roman" w:cs="Times New Roman"/>
          <w:b/>
          <w:color w:val="auto"/>
          <w:highlight w:val="none"/>
          <w:u w:val="single"/>
        </w:rPr>
        <w:t> </w:t>
      </w:r>
      <w:r>
        <w:rPr>
          <w:rFonts w:hint="default" w:ascii="Times New Roman" w:hAnsi="Times New Roman" w:cs="Times New Roman"/>
          <w:b/>
          <w:color w:val="auto"/>
          <w:highlight w:val="none"/>
        </w:rPr>
        <w:t>的中国境内生产的组件成本占比≥</w:t>
      </w:r>
      <w:r>
        <w:rPr>
          <w:rFonts w:hint="default" w:ascii="Times New Roman" w:hAnsi="Times New Roman" w:cs="Times New Roman"/>
          <w:b/>
          <w:strike/>
          <w:dstrike w:val="0"/>
          <w:color w:val="auto"/>
          <w:highlight w:val="none"/>
          <w:u w:val="single"/>
        </w:rPr>
        <w:t>（规定比例）</w:t>
      </w:r>
      <w:r>
        <w:rPr>
          <w:rFonts w:hint="default" w:ascii="Times New Roman" w:hAnsi="Times New Roman" w:cs="Times New Roman"/>
          <w:b/>
          <w:strike/>
          <w:dstrike w:val="0"/>
          <w:color w:val="auto"/>
          <w:highlight w:val="none"/>
          <w:vertAlign w:val="superscript"/>
        </w:rPr>
        <w:t>3</w:t>
      </w:r>
      <w:r>
        <w:rPr>
          <w:rFonts w:hint="default" w:ascii="Times New Roman" w:hAnsi="Times New Roman" w:cs="Times New Roman"/>
          <w:b/>
          <w:color w:val="auto"/>
          <w:highlight w:val="none"/>
        </w:rPr>
        <w:t>。</w:t>
      </w:r>
      <w:r>
        <w:rPr>
          <w:rFonts w:hint="default" w:ascii="Times New Roman" w:hAnsi="Times New Roman" w:cs="Times New Roman"/>
          <w:b/>
          <w:strike/>
          <w:dstrike w:val="0"/>
          <w:color w:val="auto"/>
          <w:highlight w:val="none"/>
          <w:u w:val="single"/>
        </w:rPr>
        <w:t>（产品名称1）</w:t>
      </w:r>
      <w:r>
        <w:rPr>
          <w:rFonts w:hint="default" w:ascii="Times New Roman" w:hAnsi="Times New Roman" w:cs="Times New Roman"/>
          <w:b/>
          <w:color w:val="auto"/>
          <w:highlight w:val="none"/>
        </w:rPr>
        <w:t>的</w:t>
      </w:r>
      <w:r>
        <w:rPr>
          <w:rFonts w:hint="default" w:ascii="Times New Roman" w:hAnsi="Times New Roman" w:cs="Times New Roman"/>
          <w:b/>
          <w:strike/>
          <w:dstrike w:val="0"/>
          <w:color w:val="auto"/>
          <w:highlight w:val="none"/>
          <w:u w:val="single"/>
        </w:rPr>
        <w:t>（关键组件）</w:t>
      </w:r>
      <w:r>
        <w:rPr>
          <w:rFonts w:hint="default" w:ascii="Times New Roman" w:hAnsi="Times New Roman" w:cs="Times New Roman"/>
          <w:b/>
          <w:strike/>
          <w:dstrike w:val="0"/>
          <w:color w:val="auto"/>
          <w:highlight w:val="none"/>
          <w:vertAlign w:val="superscript"/>
        </w:rPr>
        <w:t>4</w:t>
      </w:r>
      <w:r>
        <w:rPr>
          <w:rFonts w:hint="default" w:ascii="Times New Roman" w:hAnsi="Times New Roman" w:cs="Times New Roman"/>
          <w:b/>
          <w:color w:val="auto"/>
          <w:highlight w:val="none"/>
        </w:rPr>
        <w:t>在中国境内生产。</w:t>
      </w:r>
      <w:r>
        <w:rPr>
          <w:rFonts w:hint="default" w:ascii="Times New Roman" w:hAnsi="Times New Roman" w:cs="Times New Roman"/>
          <w:b/>
          <w:strike/>
          <w:dstrike w:val="0"/>
          <w:color w:val="auto"/>
          <w:highlight w:val="none"/>
          <w:u w:val="single"/>
        </w:rPr>
        <w:t>（产品名称1）</w:t>
      </w:r>
      <w:r>
        <w:rPr>
          <w:rFonts w:hint="default" w:ascii="Times New Roman" w:hAnsi="Times New Roman" w:cs="Times New Roman"/>
          <w:b/>
          <w:color w:val="auto"/>
          <w:highlight w:val="none"/>
        </w:rPr>
        <w:t>的</w:t>
      </w:r>
      <w:r>
        <w:rPr>
          <w:rFonts w:hint="default" w:ascii="Times New Roman" w:hAnsi="Times New Roman" w:cs="Times New Roman"/>
          <w:b/>
          <w:strike/>
          <w:dstrike w:val="0"/>
          <w:color w:val="auto"/>
          <w:highlight w:val="none"/>
          <w:u w:val="single"/>
        </w:rPr>
        <w:t>（关键工序）</w:t>
      </w:r>
      <w:r>
        <w:rPr>
          <w:rFonts w:hint="default" w:ascii="Times New Roman" w:hAnsi="Times New Roman" w:cs="Times New Roman"/>
          <w:b/>
          <w:strike/>
          <w:dstrike w:val="0"/>
          <w:color w:val="auto"/>
          <w:highlight w:val="none"/>
          <w:vertAlign w:val="superscript"/>
        </w:rPr>
        <w:t>5</w:t>
      </w:r>
      <w:r>
        <w:rPr>
          <w:rFonts w:hint="default" w:ascii="Times New Roman" w:hAnsi="Times New Roman" w:cs="Times New Roman"/>
          <w:b/>
          <w:color w:val="auto"/>
          <w:highlight w:val="none"/>
        </w:rPr>
        <w:t>在中国境内完成。</w:t>
      </w:r>
    </w:p>
    <w:p w14:paraId="20758D95">
      <w:pPr>
        <w:pStyle w:val="12"/>
        <w:numPr>
          <w:ilvl w:val="0"/>
          <w:numId w:val="92"/>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u w:val="single"/>
        </w:rPr>
        <w:t>（产品名称2）</w:t>
      </w:r>
      <w:r>
        <w:rPr>
          <w:rFonts w:hint="default" w:ascii="Times New Roman" w:hAnsi="Times New Roman" w:cs="Times New Roman"/>
          <w:b/>
          <w:color w:val="auto"/>
          <w:highlight w:val="none"/>
        </w:rPr>
        <w:t>，生产厂为</w:t>
      </w:r>
      <w:r>
        <w:rPr>
          <w:rFonts w:hint="default" w:ascii="Times New Roman" w:hAnsi="Times New Roman" w:cs="Times New Roman"/>
          <w:b/>
          <w:color w:val="auto"/>
          <w:highlight w:val="none"/>
          <w:u w:val="single"/>
        </w:rPr>
        <w:t>（厂名）</w:t>
      </w:r>
      <w:r>
        <w:rPr>
          <w:rFonts w:hint="default" w:ascii="Times New Roman" w:hAnsi="Times New Roman" w:cs="Times New Roman"/>
          <w:b/>
          <w:color w:val="auto"/>
          <w:highlight w:val="none"/>
        </w:rPr>
        <w:t>，厂址为</w:t>
      </w:r>
      <w:r>
        <w:rPr>
          <w:rFonts w:hint="default" w:ascii="Times New Roman" w:hAnsi="Times New Roman" w:cs="Times New Roman"/>
          <w:b/>
          <w:color w:val="auto"/>
          <w:highlight w:val="none"/>
          <w:u w:val="single"/>
        </w:rPr>
        <w:t>（生产厂址）</w:t>
      </w:r>
      <w:r>
        <w:rPr>
          <w:rFonts w:hint="default" w:ascii="Times New Roman" w:hAnsi="Times New Roman" w:cs="Times New Roman"/>
          <w:b/>
          <w:color w:val="auto"/>
          <w:highlight w:val="none"/>
        </w:rPr>
        <w:t>。</w:t>
      </w:r>
      <w:r>
        <w:rPr>
          <w:rFonts w:hint="default" w:ascii="Times New Roman" w:hAnsi="Times New Roman" w:cs="Times New Roman"/>
          <w:b/>
          <w:strike/>
          <w:dstrike w:val="0"/>
          <w:color w:val="auto"/>
          <w:highlight w:val="none"/>
          <w:u w:val="single"/>
        </w:rPr>
        <w:t>（产品名称2）</w:t>
      </w:r>
      <w:r>
        <w:rPr>
          <w:rFonts w:hint="default" w:ascii="Times New Roman" w:hAnsi="Times New Roman" w:cs="Times New Roman"/>
          <w:b/>
          <w:color w:val="auto"/>
          <w:highlight w:val="none"/>
        </w:rPr>
        <w:t>的中国境内生产的组件成本占比≥</w:t>
      </w:r>
      <w:r>
        <w:rPr>
          <w:rFonts w:hint="default" w:ascii="Times New Roman" w:hAnsi="Times New Roman" w:cs="Times New Roman"/>
          <w:b/>
          <w:strike/>
          <w:dstrike w:val="0"/>
          <w:color w:val="auto"/>
          <w:highlight w:val="none"/>
          <w:u w:val="single"/>
        </w:rPr>
        <w:t>（规定比例）</w:t>
      </w:r>
      <w:r>
        <w:rPr>
          <w:rFonts w:hint="default" w:ascii="Times New Roman" w:hAnsi="Times New Roman" w:cs="Times New Roman"/>
          <w:b/>
          <w:color w:val="auto"/>
          <w:highlight w:val="none"/>
        </w:rPr>
        <w:t>。</w:t>
      </w:r>
      <w:r>
        <w:rPr>
          <w:rFonts w:hint="default" w:ascii="Times New Roman" w:hAnsi="Times New Roman" w:cs="Times New Roman"/>
          <w:b/>
          <w:strike/>
          <w:dstrike w:val="0"/>
          <w:color w:val="auto"/>
          <w:highlight w:val="none"/>
          <w:u w:val="single"/>
        </w:rPr>
        <w:t>（产品名称2）</w:t>
      </w:r>
      <w:r>
        <w:rPr>
          <w:rFonts w:hint="default" w:ascii="Times New Roman" w:hAnsi="Times New Roman" w:cs="Times New Roman"/>
          <w:b/>
          <w:color w:val="auto"/>
          <w:highlight w:val="none"/>
        </w:rPr>
        <w:t>的</w:t>
      </w:r>
      <w:r>
        <w:rPr>
          <w:rFonts w:hint="default" w:ascii="Times New Roman" w:hAnsi="Times New Roman" w:cs="Times New Roman"/>
          <w:b/>
          <w:strike/>
          <w:dstrike w:val="0"/>
          <w:color w:val="auto"/>
          <w:highlight w:val="none"/>
          <w:u w:val="single"/>
        </w:rPr>
        <w:t>（关键组件）</w:t>
      </w:r>
      <w:r>
        <w:rPr>
          <w:rFonts w:hint="default" w:ascii="Times New Roman" w:hAnsi="Times New Roman" w:cs="Times New Roman"/>
          <w:b/>
          <w:color w:val="auto"/>
          <w:highlight w:val="none"/>
        </w:rPr>
        <w:t>在中国境内生产。</w:t>
      </w:r>
      <w:r>
        <w:rPr>
          <w:rFonts w:hint="default" w:ascii="Times New Roman" w:hAnsi="Times New Roman" w:cs="Times New Roman"/>
          <w:b/>
          <w:strike/>
          <w:dstrike w:val="0"/>
          <w:color w:val="auto"/>
          <w:highlight w:val="none"/>
          <w:u w:val="single"/>
        </w:rPr>
        <w:t>（产品名称1）</w:t>
      </w:r>
      <w:r>
        <w:rPr>
          <w:rFonts w:hint="default" w:ascii="Times New Roman" w:hAnsi="Times New Roman" w:cs="Times New Roman"/>
          <w:b/>
          <w:color w:val="auto"/>
          <w:highlight w:val="none"/>
        </w:rPr>
        <w:t>的</w:t>
      </w:r>
      <w:r>
        <w:rPr>
          <w:rFonts w:hint="default" w:ascii="Times New Roman" w:hAnsi="Times New Roman" w:cs="Times New Roman"/>
          <w:b/>
          <w:strike/>
          <w:dstrike w:val="0"/>
          <w:color w:val="auto"/>
          <w:highlight w:val="none"/>
          <w:u w:val="single"/>
        </w:rPr>
        <w:t>（关键工序）</w:t>
      </w:r>
      <w:r>
        <w:rPr>
          <w:rFonts w:hint="default" w:ascii="Times New Roman" w:hAnsi="Times New Roman" w:cs="Times New Roman"/>
          <w:b/>
          <w:color w:val="auto"/>
          <w:highlight w:val="none"/>
        </w:rPr>
        <w:t>在中国境内完成。</w:t>
      </w:r>
    </w:p>
    <w:p w14:paraId="519DADE7">
      <w:pPr>
        <w:pStyle w:val="12"/>
        <w:pBdr>
          <w:top w:val="none" w:color="auto" w:sz="0" w:space="0"/>
          <w:left w:val="none" w:color="auto" w:sz="0" w:space="0"/>
          <w:bottom w:val="none" w:color="auto" w:sz="0" w:space="0"/>
          <w:right w:val="none" w:color="auto" w:sz="0" w:space="0"/>
        </w:pBdr>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w:t>
      </w:r>
    </w:p>
    <w:p w14:paraId="2898E24F">
      <w:pPr>
        <w:pStyle w:val="12"/>
        <w:pBdr>
          <w:top w:val="none" w:color="auto" w:sz="0" w:space="0"/>
          <w:left w:val="none" w:color="auto" w:sz="0" w:space="0"/>
          <w:bottom w:val="none" w:color="auto" w:sz="0" w:space="0"/>
          <w:right w:val="none" w:color="auto" w:sz="0" w:space="0"/>
        </w:pBdr>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本公司（单位）对上述声明内容的真实性负责。如有虚假，愿承担相应法律责任。</w:t>
      </w:r>
    </w:p>
    <w:p w14:paraId="1CAC866F">
      <w:pPr>
        <w:pStyle w:val="2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default" w:ascii="Times New Roman" w:hAnsi="Times New Roman" w:cs="Times New Roman"/>
          <w:b/>
          <w:bCs/>
          <w:color w:val="auto"/>
          <w:highlight w:val="none"/>
        </w:rPr>
      </w:pPr>
      <w:r>
        <w:rPr>
          <w:rFonts w:hint="default" w:ascii="Times New Roman" w:hAnsi="Times New Roman" w:eastAsia="宋体" w:cs="Times New Roman"/>
          <w:b/>
          <w:bCs/>
          <w:color w:val="auto"/>
          <w:sz w:val="24"/>
          <w:szCs w:val="24"/>
          <w:highlight w:val="none"/>
        </w:rPr>
        <w:t> </w:t>
      </w:r>
    </w:p>
    <w:p w14:paraId="4B7D6087">
      <w:pPr>
        <w:pStyle w:val="2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120" w:afterAutospacing="0" w:line="360" w:lineRule="auto"/>
        <w:ind w:left="0" w:right="480" w:firstLine="3720"/>
        <w:jc w:val="both"/>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shd w:val="clear" w:fill="FFFFFF"/>
        </w:rPr>
        <w:t>公司（单位）名称（盖章）：　</w:t>
      </w:r>
    </w:p>
    <w:p w14:paraId="4B86CD8E">
      <w:pPr>
        <w:pStyle w:val="2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120" w:afterAutospacing="0" w:line="360" w:lineRule="auto"/>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shd w:val="clear" w:fill="FFFFFF"/>
        </w:rPr>
        <w:t>                                日期：　   年　  月　  日         </w:t>
      </w:r>
    </w:p>
    <w:p w14:paraId="563751CB">
      <w:pPr>
        <w:pStyle w:val="2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default" w:ascii="Times New Roman" w:hAnsi="Times New Roman" w:cs="Times New Roman"/>
          <w:b/>
          <w:bCs/>
          <w:color w:val="auto"/>
          <w:highlight w:val="none"/>
        </w:rPr>
      </w:pPr>
      <w:r>
        <w:rPr>
          <w:rFonts w:hint="default" w:ascii="Times New Roman" w:hAnsi="Times New Roman" w:eastAsia="宋体" w:cs="Times New Roman"/>
          <w:b/>
          <w:bCs/>
          <w:color w:val="auto"/>
          <w:sz w:val="24"/>
          <w:szCs w:val="24"/>
          <w:highlight w:val="none"/>
          <w:shd w:val="clear" w:fill="FFFFFF"/>
        </w:rPr>
        <w:t>__________________</w:t>
      </w:r>
    </w:p>
    <w:p w14:paraId="0D130BF1">
      <w:pPr>
        <w:pStyle w:val="12"/>
        <w:numPr>
          <w:ilvl w:val="0"/>
          <w:numId w:val="93"/>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产品如有型号，请在“产品名称”栏一并填写。</w:t>
      </w:r>
    </w:p>
    <w:p w14:paraId="3BE63DDD">
      <w:pPr>
        <w:pStyle w:val="12"/>
        <w:numPr>
          <w:ilvl w:val="0"/>
          <w:numId w:val="93"/>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生产厂名与厂址应与生产厂营业执照载明的相关信息保持一致。</w:t>
      </w:r>
    </w:p>
    <w:p w14:paraId="187E10C6">
      <w:pPr>
        <w:pStyle w:val="12"/>
        <w:numPr>
          <w:ilvl w:val="0"/>
          <w:numId w:val="93"/>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该产品的中国境内生产的组件成本占比相关要求实施前，“规定比例”栏可不填，下同。</w:t>
      </w:r>
    </w:p>
    <w:p w14:paraId="3267BE6A">
      <w:pPr>
        <w:pStyle w:val="12"/>
        <w:numPr>
          <w:ilvl w:val="0"/>
          <w:numId w:val="93"/>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该产品的关键组件要求实施前，“关键组件”栏可不填，下同。</w:t>
      </w:r>
    </w:p>
    <w:p w14:paraId="2E60DA6D">
      <w:pPr>
        <w:pStyle w:val="12"/>
        <w:numPr>
          <w:ilvl w:val="0"/>
          <w:numId w:val="93"/>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该产品的关键工序要求实施前，“关键工序”栏可不填，下同。</w:t>
      </w:r>
    </w:p>
    <w:p w14:paraId="2039D937">
      <w:pPr>
        <w:pStyle w:val="12"/>
        <w:numPr>
          <w:ilvl w:val="0"/>
          <w:numId w:val="93"/>
        </w:numPr>
        <w:pBdr>
          <w:top w:val="none" w:color="auto" w:sz="0" w:space="0"/>
          <w:left w:val="none" w:color="auto" w:sz="0" w:space="0"/>
          <w:bottom w:val="none" w:color="auto" w:sz="0" w:space="0"/>
          <w:right w:val="none" w:color="auto" w:sz="0" w:space="0"/>
        </w:pBdr>
        <w:tabs>
          <w:tab w:val="left" w:pos="783"/>
          <w:tab w:val="clear" w:pos="210"/>
        </w:tabs>
        <w:ind w:left="0" w:leftChars="0" w:firstLine="48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rPr>
        <w:t>用横线划除的地方无需填写。</w:t>
      </w:r>
    </w:p>
    <w:p w14:paraId="2272348F">
      <w:pPr>
        <w:pStyle w:val="12"/>
        <w:ind w:left="0" w:leftChars="0" w:firstLine="482" w:firstLineChars="200"/>
        <w:rPr>
          <w:rFonts w:hint="default" w:ascii="Times New Roman" w:hAnsi="Times New Roman" w:cs="Times New Roman"/>
          <w:color w:val="auto"/>
          <w:highlight w:val="none"/>
        </w:rPr>
      </w:pPr>
      <w:r>
        <w:rPr>
          <w:rFonts w:hint="default" w:ascii="Times New Roman" w:hAnsi="Times New Roman" w:cs="Times New Roman"/>
          <w:b/>
          <w:color w:val="auto"/>
          <w:highlight w:val="none"/>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default" w:ascii="Times New Roman" w:hAnsi="Times New Roman" w:cs="Times New Roman"/>
          <w:b/>
          <w:color w:val="auto"/>
          <w:highlight w:val="none"/>
          <w:u w:val="single"/>
        </w:rPr>
        <w:t>故，如供应商所提供产品为本国产品的，应当对其提供的产品出具《关于符合本国产品标准的声明函》（以下简称《声明函》），不出具《声明函》的，不享受政府采购对本国产品的支持政策。</w:t>
      </w:r>
    </w:p>
    <w:p w14:paraId="73BAEA7E">
      <w:pPr>
        <w:rPr>
          <w:rFonts w:hint="default" w:ascii="Times New Roman" w:hAnsi="Times New Roman" w:cs="Times New Roman"/>
          <w:highlight w:val="none"/>
        </w:rPr>
      </w:pPr>
      <w:r>
        <w:rPr>
          <w:rFonts w:hint="default" w:ascii="Times New Roman" w:hAnsi="Times New Roman" w:cs="Times New Roman"/>
          <w:highlight w:val="none"/>
        </w:rPr>
        <w:br w:type="page"/>
      </w:r>
    </w:p>
    <w:p w14:paraId="25632175">
      <w:pPr>
        <w:pStyle w:val="51"/>
        <w:tabs>
          <w:tab w:val="left" w:pos="482"/>
        </w:tabs>
        <w:ind w:left="0" w:leftChars="0" w:firstLine="482" w:firstLineChars="200"/>
        <w:outlineLvl w:val="0"/>
        <w:rPr>
          <w:rFonts w:hint="default" w:ascii="Times New Roman" w:hAnsi="Times New Roman" w:cs="Times New Roman"/>
          <w:highlight w:val="none"/>
        </w:rPr>
      </w:pPr>
      <w:r>
        <w:rPr>
          <w:rFonts w:hint="default" w:ascii="Times New Roman" w:hAnsi="Times New Roman" w:cs="Times New Roman"/>
          <w:highlight w:val="none"/>
        </w:rPr>
        <w:t>十二、联合体协议（参考格式）（如有）</w:t>
      </w:r>
    </w:p>
    <w:p w14:paraId="47099288">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（联合体中各供应商全称）在此达成以下协议：</w:t>
      </w:r>
    </w:p>
    <w:p w14:paraId="171F8296">
      <w:pPr>
        <w:pStyle w:val="12"/>
        <w:numPr>
          <w:ilvl w:val="0"/>
          <w:numId w:val="94"/>
        </w:numPr>
        <w:tabs>
          <w:tab w:val="left" w:pos="84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我们</w:t>
      </w:r>
      <w:r>
        <w:rPr>
          <w:rFonts w:hint="default" w:ascii="Times New Roman" w:hAnsi="Times New Roman" w:cs="Times New Roman"/>
          <w:color w:val="auto"/>
          <w:highlight w:val="none"/>
          <w:u w:val="single"/>
        </w:rPr>
        <w:t xml:space="preserve"> （供应商1），（供应商2） ，……</w:t>
      </w:r>
      <w:r>
        <w:rPr>
          <w:rFonts w:hint="default" w:ascii="Times New Roman" w:hAnsi="Times New Roman" w:cs="Times New Roman"/>
          <w:color w:val="auto"/>
          <w:highlight w:val="none"/>
        </w:rPr>
        <w:t>自愿组成联合体，参加盐城市政府采购中心组织的采购编号为</w:t>
      </w:r>
      <w:r>
        <w:rPr>
          <w:rFonts w:hint="default" w:ascii="Times New Roman" w:hAnsi="Times New Roman" w:cs="Times New Roman"/>
          <w:color w:val="auto"/>
          <w:highlight w:val="none"/>
          <w:u w:val="single"/>
        </w:rPr>
        <w:t>（编号全称），（项目全称）</w:t>
      </w:r>
      <w:r>
        <w:rPr>
          <w:rFonts w:hint="default" w:ascii="Times New Roman" w:hAnsi="Times New Roman" w:cs="Times New Roman"/>
          <w:color w:val="auto"/>
          <w:highlight w:val="none"/>
        </w:rPr>
        <w:t>项目（分包号：**）的政府采购活动，我联合体指定</w:t>
      </w:r>
      <w:r>
        <w:rPr>
          <w:rFonts w:hint="default" w:ascii="Times New Roman" w:hAnsi="Times New Roman" w:cs="Times New Roman"/>
          <w:color w:val="auto"/>
          <w:highlight w:val="none"/>
          <w:u w:val="single"/>
        </w:rPr>
        <w:t>（供应商*）</w:t>
      </w:r>
      <w:r>
        <w:rPr>
          <w:rFonts w:hint="default" w:ascii="Times New Roman" w:hAnsi="Times New Roman" w:cs="Times New Roman"/>
          <w:color w:val="auto"/>
          <w:highlight w:val="none"/>
        </w:rPr>
        <w:t>为牵头单位（牵头单位必须为联合体成员）。</w:t>
      </w:r>
    </w:p>
    <w:p w14:paraId="1E770E3A">
      <w:pPr>
        <w:pStyle w:val="12"/>
        <w:numPr>
          <w:ilvl w:val="0"/>
          <w:numId w:val="94"/>
        </w:numPr>
        <w:tabs>
          <w:tab w:val="left" w:pos="84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3B965178">
      <w:pPr>
        <w:pStyle w:val="12"/>
        <w:numPr>
          <w:ilvl w:val="0"/>
          <w:numId w:val="94"/>
        </w:numPr>
        <w:tabs>
          <w:tab w:val="left" w:pos="84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其中</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（小型、微型企业/残疾人福利性单位/监狱企业全称）为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（小型、微型企业/残疾人福利性单位/监狱企业）企业，且我们约定该公司/单位所承担的合同金额将占本项目合同总金额的</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w:t>
      </w:r>
    </w:p>
    <w:p w14:paraId="2A603B1A">
      <w:pPr>
        <w:pStyle w:val="21"/>
        <w:spacing w:beforeAutospacing="0" w:afterAutospacing="0" w:line="0" w:lineRule="atLeast"/>
        <w:ind w:firstLine="645"/>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8FA2AD9">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备注：本招标文件中要求加盖CA电子签章的地方，仅需加盖牵头单位的CA电子签章。</w:t>
      </w:r>
    </w:p>
    <w:p w14:paraId="1CB655E2">
      <w:pPr>
        <w:pStyle w:val="21"/>
        <w:spacing w:beforeAutospacing="0" w:afterAutospacing="0" w:line="0" w:lineRule="atLeast"/>
        <w:ind w:firstLine="645"/>
        <w:jc w:val="both"/>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w:t>
      </w:r>
    </w:p>
    <w:p w14:paraId="41749F3F">
      <w:pPr>
        <w:pStyle w:val="21"/>
        <w:spacing w:beforeAutospacing="0" w:after="120" w:afterAutospacing="0" w:line="360" w:lineRule="auto"/>
        <w:ind w:firstLine="645"/>
        <w:jc w:val="righ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联合体中各供应商全称（公章）：     </w:t>
      </w:r>
    </w:p>
    <w:p w14:paraId="11E8FA9C">
      <w:pPr>
        <w:pStyle w:val="21"/>
        <w:spacing w:beforeAutospacing="0" w:after="120" w:afterAutospacing="0" w:line="360" w:lineRule="auto"/>
        <w:jc w:val="center"/>
        <w:rPr>
          <w:rFonts w:hint="default" w:ascii="Times New Roman" w:hAnsi="Times New Roman" w:eastAsia="宋体" w:cs="Times New Roman"/>
          <w:color w:val="auto"/>
          <w:sz w:val="24"/>
          <w:szCs w:val="24"/>
          <w:highlight w:val="none"/>
          <w:lang w:eastAsia="zh-CN"/>
        </w:rPr>
        <w:sectPr>
          <w:footerReference r:id="rId3" w:type="default"/>
          <w:pgSz w:w="11906" w:h="16838"/>
          <w:pgMar w:top="1440" w:right="1800" w:bottom="1440" w:left="1800" w:header="851" w:footer="992" w:gutter="0"/>
          <w:pgNumType w:start="1"/>
          <w:cols w:space="425" w:num="1"/>
          <w:docGrid w:type="lines" w:linePitch="312" w:charSpace="0"/>
        </w:sectPr>
      </w:pPr>
      <w:r>
        <w:rPr>
          <w:rFonts w:hint="default" w:ascii="Times New Roman" w:hAnsi="Times New Roman" w:eastAsia="宋体" w:cs="Times New Roman"/>
          <w:color w:val="auto"/>
          <w:sz w:val="24"/>
          <w:szCs w:val="24"/>
          <w:highlight w:val="none"/>
        </w:rPr>
        <w:t>                                                          日期</w:t>
      </w:r>
      <w:r>
        <w:rPr>
          <w:rFonts w:hint="default" w:ascii="Times New Roman" w:hAnsi="Times New Roman" w:eastAsia="宋体" w:cs="Times New Roman"/>
          <w:color w:val="auto"/>
          <w:sz w:val="24"/>
          <w:szCs w:val="24"/>
          <w:highlight w:val="none"/>
          <w:lang w:eastAsia="zh-CN"/>
        </w:rPr>
        <w:t>：</w:t>
      </w:r>
    </w:p>
    <w:p w14:paraId="4EC8A094">
      <w:pPr>
        <w:pStyle w:val="21"/>
        <w:spacing w:beforeAutospacing="0" w:afterAutospacing="0" w:line="0" w:lineRule="atLeast"/>
        <w:jc w:val="center"/>
        <w:rPr>
          <w:rFonts w:hint="default" w:ascii="Times New Roman" w:hAnsi="Times New Roman" w:cs="Times New Roman"/>
          <w:color w:val="auto"/>
          <w:highlight w:val="none"/>
        </w:rPr>
      </w:pPr>
    </w:p>
    <w:p w14:paraId="72576FEF">
      <w:pPr>
        <w:pStyle w:val="21"/>
        <w:spacing w:beforeAutospacing="0" w:afterAutospacing="0" w:line="0" w:lineRule="atLeast"/>
        <w:jc w:val="center"/>
        <w:rPr>
          <w:rFonts w:hint="default" w:ascii="Times New Roman" w:hAnsi="Times New Roman" w:cs="Times New Roman"/>
          <w:color w:val="auto"/>
          <w:highlight w:val="none"/>
        </w:rPr>
      </w:pPr>
    </w:p>
    <w:p w14:paraId="47410ADA">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AF453C3">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33610243">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6A1F262A">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09D8EE4">
      <w:pPr>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br w:type="page"/>
      </w:r>
    </w:p>
    <w:p w14:paraId="0F9D6EE9">
      <w:pPr>
        <w:pStyle w:val="51"/>
        <w:tabs>
          <w:tab w:val="left" w:pos="482"/>
        </w:tabs>
        <w:ind w:left="0" w:leftChars="0" w:firstLine="482" w:firstLineChars="200"/>
        <w:outlineLvl w:val="0"/>
        <w:rPr>
          <w:rFonts w:hint="default" w:ascii="Times New Roman" w:hAnsi="Times New Roman" w:cs="Times New Roman"/>
          <w:highlight w:val="none"/>
        </w:rPr>
      </w:pPr>
      <w:r>
        <w:rPr>
          <w:rFonts w:hint="default" w:ascii="Times New Roman" w:hAnsi="Times New Roman" w:cs="Times New Roman"/>
          <w:highlight w:val="none"/>
        </w:rPr>
        <w:t>十三、投标分项报价表（分包号：**）</w:t>
      </w:r>
    </w:p>
    <w:tbl>
      <w:tblPr>
        <w:tblStyle w:val="25"/>
        <w:tblW w:w="4998" w:type="pct"/>
        <w:tblCellSpacing w:w="0" w:type="dxa"/>
        <w:tblInd w:w="0" w:type="dxa"/>
        <w:tblLayout w:type="autofit"/>
        <w:tblCellMar>
          <w:top w:w="0" w:type="dxa"/>
          <w:left w:w="108" w:type="dxa"/>
          <w:bottom w:w="0" w:type="dxa"/>
          <w:right w:w="108" w:type="dxa"/>
        </w:tblCellMar>
      </w:tblPr>
      <w:tblGrid>
        <w:gridCol w:w="923"/>
        <w:gridCol w:w="1220"/>
        <w:gridCol w:w="1208"/>
        <w:gridCol w:w="880"/>
        <w:gridCol w:w="1131"/>
        <w:gridCol w:w="1510"/>
        <w:gridCol w:w="1667"/>
      </w:tblGrid>
      <w:tr w14:paraId="758A5F5A">
        <w:tblPrEx>
          <w:tblCellMar>
            <w:top w:w="0" w:type="dxa"/>
            <w:left w:w="108" w:type="dxa"/>
            <w:bottom w:w="0" w:type="dxa"/>
            <w:right w:w="108" w:type="dxa"/>
          </w:tblCellMar>
        </w:tblPrEx>
        <w:trPr>
          <w:trHeight w:val="544" w:hRule="atLeast"/>
          <w:tblCellSpacing w:w="0" w:type="dxa"/>
        </w:trPr>
        <w:tc>
          <w:tcPr>
            <w:tcW w:w="5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AE34EE">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序号</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F58C9">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1</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F68CD">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2</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8254C">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3</w:t>
            </w:r>
          </w:p>
        </w:tc>
        <w:tc>
          <w:tcPr>
            <w:tcW w:w="6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F9750">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4</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AE153">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5</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0787F">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6</w:t>
            </w:r>
          </w:p>
        </w:tc>
      </w:tr>
      <w:tr w14:paraId="37407F45">
        <w:tblPrEx>
          <w:tblCellMar>
            <w:top w:w="0" w:type="dxa"/>
            <w:left w:w="108" w:type="dxa"/>
            <w:bottom w:w="0" w:type="dxa"/>
            <w:right w:w="108" w:type="dxa"/>
          </w:tblCellMar>
        </w:tblPrEx>
        <w:trPr>
          <w:trHeight w:val="294" w:hRule="atLeast"/>
          <w:tblCellSpacing w:w="0" w:type="dxa"/>
        </w:trPr>
        <w:tc>
          <w:tcPr>
            <w:tcW w:w="5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22418">
            <w:pPr>
              <w:rPr>
                <w:rFonts w:hint="default" w:ascii="Times New Roman" w:hAnsi="Times New Roman" w:cs="Times New Roman"/>
                <w:color w:val="auto"/>
                <w:sz w:val="24"/>
                <w:highlight w:val="none"/>
              </w:rPr>
            </w:pP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6A2E3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分项服务名称</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CD636">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交付期</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4081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分项单位</w:t>
            </w:r>
          </w:p>
        </w:tc>
        <w:tc>
          <w:tcPr>
            <w:tcW w:w="6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97D99">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数量</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ADA8C">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分项</w:t>
            </w:r>
          </w:p>
          <w:p w14:paraId="04CE5FC7">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单价</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280E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分项</w:t>
            </w:r>
          </w:p>
          <w:p w14:paraId="0FEC4C6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总价</w:t>
            </w:r>
          </w:p>
        </w:tc>
      </w:tr>
      <w:tr w14:paraId="051188F1">
        <w:tblPrEx>
          <w:tblCellMar>
            <w:top w:w="0" w:type="dxa"/>
            <w:left w:w="108" w:type="dxa"/>
            <w:bottom w:w="0" w:type="dxa"/>
            <w:right w:w="108" w:type="dxa"/>
          </w:tblCellMar>
        </w:tblPrEx>
        <w:trPr>
          <w:trHeight w:val="654" w:hRule="atLeast"/>
          <w:tblCellSpacing w:w="0" w:type="dxa"/>
        </w:trPr>
        <w:tc>
          <w:tcPr>
            <w:tcW w:w="5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F8FE3">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1</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07B1A">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8BDA3">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42F8A">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23D3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00A88">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F1C8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38B54F89">
        <w:tblPrEx>
          <w:tblCellMar>
            <w:top w:w="0" w:type="dxa"/>
            <w:left w:w="108" w:type="dxa"/>
            <w:bottom w:w="0" w:type="dxa"/>
            <w:right w:w="108" w:type="dxa"/>
          </w:tblCellMar>
        </w:tblPrEx>
        <w:trPr>
          <w:trHeight w:val="654" w:hRule="atLeast"/>
          <w:tblCellSpacing w:w="0" w:type="dxa"/>
        </w:trPr>
        <w:tc>
          <w:tcPr>
            <w:tcW w:w="5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25EC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2</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7070D">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9BEE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8C31E">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72ECF">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61FA2">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4ADCD">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17F8E46F">
        <w:tblPrEx>
          <w:tblCellMar>
            <w:top w:w="0" w:type="dxa"/>
            <w:left w:w="108" w:type="dxa"/>
            <w:bottom w:w="0" w:type="dxa"/>
            <w:right w:w="108" w:type="dxa"/>
          </w:tblCellMar>
        </w:tblPrEx>
        <w:trPr>
          <w:trHeight w:val="654" w:hRule="atLeast"/>
          <w:tblCellSpacing w:w="0" w:type="dxa"/>
        </w:trPr>
        <w:tc>
          <w:tcPr>
            <w:tcW w:w="5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2293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3</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02EF2">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F1897">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6AEE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4B383">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8819F">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A2B2B">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1775547D">
        <w:tblPrEx>
          <w:tblCellMar>
            <w:top w:w="0" w:type="dxa"/>
            <w:left w:w="108" w:type="dxa"/>
            <w:bottom w:w="0" w:type="dxa"/>
            <w:right w:w="108" w:type="dxa"/>
          </w:tblCellMar>
        </w:tblPrEx>
        <w:trPr>
          <w:trHeight w:val="654" w:hRule="atLeast"/>
          <w:tblCellSpacing w:w="0" w:type="dxa"/>
        </w:trPr>
        <w:tc>
          <w:tcPr>
            <w:tcW w:w="5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7242B">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w:t>
            </w:r>
          </w:p>
        </w:tc>
        <w:tc>
          <w:tcPr>
            <w:tcW w:w="7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B7D92">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w:t>
            </w: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E03AA">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5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639F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67D3B">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9A0F5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2D2B5">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6E902B74">
        <w:tblPrEx>
          <w:tblCellMar>
            <w:top w:w="0" w:type="dxa"/>
            <w:left w:w="108" w:type="dxa"/>
            <w:bottom w:w="0" w:type="dxa"/>
            <w:right w:w="108" w:type="dxa"/>
          </w:tblCellMar>
        </w:tblPrEx>
        <w:trPr>
          <w:trHeight w:val="487" w:hRule="atLeast"/>
          <w:tblCellSpacing w:w="0" w:type="dxa"/>
        </w:trPr>
        <w:tc>
          <w:tcPr>
            <w:tcW w:w="4023"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D8D1C51">
            <w:pPr>
              <w:pStyle w:val="21"/>
              <w:spacing w:beforeAutospacing="0" w:afterAutospacing="0" w:line="0" w:lineRule="atLeast"/>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投标总报价（人民币：元）</w:t>
            </w:r>
          </w:p>
        </w:tc>
        <w:tc>
          <w:tcPr>
            <w:tcW w:w="9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0E3BD">
            <w:pPr>
              <w:pStyle w:val="21"/>
              <w:spacing w:beforeAutospacing="0" w:afterAutospacing="0" w:line="0" w:lineRule="atLeast"/>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bl>
    <w:p w14:paraId="36F4F46C">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64239364">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备注：该表仅适用于项目采用货币报价的情形。项目采用折扣率报价的，如需要填写投标分项报价表，请项目经办人自行设计表格。招标文件定稿后该备注删除。</w:t>
      </w:r>
    </w:p>
    <w:p w14:paraId="49B2EC56">
      <w:pPr>
        <w:widowControl/>
        <w:spacing w:line="360" w:lineRule="auto"/>
        <w:jc w:val="lef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br w:type="page"/>
      </w:r>
    </w:p>
    <w:p w14:paraId="3136C0B8">
      <w:pPr>
        <w:pStyle w:val="21"/>
        <w:spacing w:beforeAutospacing="0" w:afterAutospacing="0"/>
        <w:jc w:val="center"/>
        <w:rPr>
          <w:rFonts w:hint="default" w:ascii="Times New Roman" w:hAnsi="Times New Roman" w:eastAsia="黑体" w:cs="Times New Roman"/>
          <w:b/>
          <w:color w:val="auto"/>
          <w:sz w:val="32"/>
          <w:szCs w:val="32"/>
          <w:highlight w:val="none"/>
        </w:rPr>
        <w:sectPr>
          <w:type w:val="continuous"/>
          <w:pgSz w:w="11906" w:h="16838"/>
          <w:pgMar w:top="1440" w:right="1800" w:bottom="1440" w:left="1800" w:header="851" w:footer="992" w:gutter="0"/>
          <w:cols w:space="425" w:num="1"/>
          <w:docGrid w:type="lines" w:linePitch="312" w:charSpace="0"/>
        </w:sectPr>
      </w:pPr>
    </w:p>
    <w:p w14:paraId="7C6FF856">
      <w:pPr>
        <w:pStyle w:val="51"/>
        <w:tabs>
          <w:tab w:val="left" w:pos="482"/>
        </w:tabs>
        <w:ind w:left="0" w:leftChars="0" w:firstLine="482" w:firstLineChars="200"/>
        <w:outlineLvl w:val="0"/>
        <w:rPr>
          <w:rFonts w:hint="default" w:ascii="Times New Roman" w:hAnsi="Times New Roman" w:cs="Times New Roman"/>
          <w:highlight w:val="none"/>
        </w:rPr>
      </w:pPr>
      <w:r>
        <w:rPr>
          <w:rFonts w:hint="default" w:ascii="Times New Roman" w:hAnsi="Times New Roman" w:cs="Times New Roman"/>
          <w:highlight w:val="none"/>
        </w:rPr>
        <w:t>十四、技术要求响应及偏离表</w:t>
      </w:r>
    </w:p>
    <w:tbl>
      <w:tblPr>
        <w:tblStyle w:val="25"/>
        <w:tblW w:w="4998" w:type="pct"/>
        <w:tblCellSpacing w:w="0" w:type="dxa"/>
        <w:tblInd w:w="0" w:type="dxa"/>
        <w:tblLayout w:type="autofit"/>
        <w:tblCellMar>
          <w:top w:w="0" w:type="dxa"/>
          <w:left w:w="108" w:type="dxa"/>
          <w:bottom w:w="0" w:type="dxa"/>
          <w:right w:w="108" w:type="dxa"/>
        </w:tblCellMar>
      </w:tblPr>
      <w:tblGrid>
        <w:gridCol w:w="537"/>
        <w:gridCol w:w="3035"/>
        <w:gridCol w:w="2616"/>
        <w:gridCol w:w="1249"/>
        <w:gridCol w:w="1102"/>
      </w:tblGrid>
      <w:tr w14:paraId="03E7ADFF">
        <w:tblPrEx>
          <w:tblCellMar>
            <w:top w:w="0" w:type="dxa"/>
            <w:left w:w="108" w:type="dxa"/>
            <w:bottom w:w="0" w:type="dxa"/>
            <w:right w:w="108" w:type="dxa"/>
          </w:tblCellMar>
        </w:tblPrEx>
        <w:trPr>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1EF36">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序号</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8DF2B">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招标文件要求</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C8AAF">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投标响应情况</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D976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超出、符合或偏离</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67213">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证明</w:t>
            </w:r>
          </w:p>
          <w:p w14:paraId="15D24F3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材料</w:t>
            </w:r>
          </w:p>
        </w:tc>
      </w:tr>
      <w:tr w14:paraId="649FEBAF">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28AE5">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5298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50966">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9586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ED9CC">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34414CD2">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917B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5011F">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1395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FBCFD">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1620D">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6C78A84A">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4762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7C870">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483A6">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22346">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87E2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1673AA70">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5FCCB">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E6F7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36E9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A958D">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E78C3">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78AF3C9B">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EDF73">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CAA4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DB76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98E1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72323">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1347E9E7">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C0527">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F0DF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EAF0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9C45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320E0">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26D64765">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3759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F4B02">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ABF0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4F02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F3D3B">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18EAA3DE">
        <w:tblPrEx>
          <w:tblCellMar>
            <w:top w:w="0" w:type="dxa"/>
            <w:left w:w="108" w:type="dxa"/>
            <w:bottom w:w="0" w:type="dxa"/>
            <w:right w:w="108" w:type="dxa"/>
          </w:tblCellMar>
        </w:tblPrEx>
        <w:trPr>
          <w:trHeight w:val="640" w:hRule="atLeast"/>
          <w:tblCellSpacing w:w="0" w:type="dxa"/>
        </w:trPr>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3BD9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7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D72E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w:t>
            </w:r>
          </w:p>
        </w:tc>
        <w:tc>
          <w:tcPr>
            <w:tcW w:w="1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3F983">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1BCB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6A3A0">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bl>
    <w:p w14:paraId="1B5791B4">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注： 行数不够，可自行添加。</w:t>
      </w:r>
    </w:p>
    <w:p w14:paraId="0FED5EC2">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3154A54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27DCF6E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E391D77">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70AC29E3">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0D5D9037">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7806FECD">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173FD20A">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E35948B">
      <w:pPr>
        <w:rPr>
          <w:rFonts w:hint="default" w:ascii="Times New Roman" w:hAnsi="Times New Roman" w:cs="Times New Roman"/>
          <w:highlight w:val="none"/>
        </w:rPr>
      </w:pPr>
      <w:bookmarkStart w:id="227" w:name="_Hlt26955054"/>
      <w:r>
        <w:rPr>
          <w:rFonts w:hint="default" w:ascii="Times New Roman" w:hAnsi="Times New Roman" w:cs="Times New Roman"/>
          <w:highlight w:val="none"/>
        </w:rPr>
        <w:br w:type="page"/>
      </w:r>
    </w:p>
    <w:p w14:paraId="0777E23F">
      <w:pPr>
        <w:pStyle w:val="51"/>
        <w:tabs>
          <w:tab w:val="left" w:pos="482"/>
        </w:tabs>
        <w:ind w:left="0" w:leftChars="0" w:firstLine="482" w:firstLineChars="200"/>
        <w:outlineLvl w:val="0"/>
        <w:rPr>
          <w:rFonts w:hint="default" w:ascii="Times New Roman" w:hAnsi="Times New Roman" w:cs="Times New Roman"/>
          <w:highlight w:val="none"/>
        </w:rPr>
      </w:pPr>
      <w:r>
        <w:rPr>
          <w:rFonts w:hint="default" w:ascii="Times New Roman" w:hAnsi="Times New Roman" w:cs="Times New Roman"/>
          <w:highlight w:val="none"/>
        </w:rPr>
        <w:t>十五、商务要求响应及偏离表</w:t>
      </w:r>
    </w:p>
    <w:tbl>
      <w:tblPr>
        <w:tblStyle w:val="25"/>
        <w:tblW w:w="4998" w:type="pct"/>
        <w:tblCellSpacing w:w="0" w:type="dxa"/>
        <w:tblInd w:w="0" w:type="dxa"/>
        <w:tblLayout w:type="autofit"/>
        <w:tblCellMar>
          <w:top w:w="0" w:type="dxa"/>
          <w:left w:w="108" w:type="dxa"/>
          <w:bottom w:w="0" w:type="dxa"/>
          <w:right w:w="108" w:type="dxa"/>
        </w:tblCellMar>
      </w:tblPr>
      <w:tblGrid>
        <w:gridCol w:w="661"/>
        <w:gridCol w:w="2475"/>
        <w:gridCol w:w="2651"/>
        <w:gridCol w:w="1248"/>
        <w:gridCol w:w="1504"/>
      </w:tblGrid>
      <w:tr w14:paraId="08B5EFB8">
        <w:tblPrEx>
          <w:tblCellMar>
            <w:top w:w="0" w:type="dxa"/>
            <w:left w:w="108" w:type="dxa"/>
            <w:bottom w:w="0" w:type="dxa"/>
            <w:right w:w="108" w:type="dxa"/>
          </w:tblCellMar>
        </w:tblPrEx>
        <w:trPr>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B135F">
            <w:pPr>
              <w:pStyle w:val="21"/>
              <w:spacing w:beforeAutospacing="0" w:afterAutospacing="0"/>
              <w:jc w:val="center"/>
              <w:rPr>
                <w:rFonts w:hint="default" w:ascii="Times New Roman" w:hAnsi="Times New Roman" w:cs="Times New Roman"/>
                <w:color w:val="auto"/>
                <w:highlight w:val="none"/>
              </w:rPr>
            </w:pPr>
            <w:bookmarkStart w:id="228" w:name="_Hlt24879081"/>
            <w:bookmarkStart w:id="229" w:name="_Hlt26782999"/>
            <w:bookmarkStart w:id="230" w:name="_Hlt26609391"/>
            <w:bookmarkStart w:id="231" w:name="_Hlt26580838"/>
            <w:bookmarkStart w:id="232" w:name="_Hlt26671372"/>
            <w:bookmarkStart w:id="233" w:name="_Hlt26671343"/>
            <w:bookmarkStart w:id="234" w:name="_Hlt26955056"/>
            <w:bookmarkStart w:id="235" w:name="_Hlt26955064"/>
            <w:r>
              <w:rPr>
                <w:rFonts w:hint="default" w:ascii="Times New Roman" w:hAnsi="Times New Roman" w:eastAsia="宋体" w:cs="Times New Roman"/>
                <w:color w:val="auto"/>
                <w:highlight w:val="none"/>
              </w:rPr>
              <w:t>序号</w:t>
            </w:r>
          </w:p>
          <w:bookmarkEnd w:id="228"/>
          <w:bookmarkEnd w:id="229"/>
          <w:bookmarkEnd w:id="230"/>
          <w:bookmarkEnd w:id="231"/>
          <w:bookmarkEnd w:id="232"/>
          <w:bookmarkEnd w:id="233"/>
          <w:bookmarkEnd w:id="234"/>
          <w:bookmarkEnd w:id="235"/>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6C7E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招标文件要求</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6948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投标响应情况</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81CCC">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超出、符合或偏离</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E50CF">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证明</w:t>
            </w:r>
          </w:p>
          <w:p w14:paraId="5C403C0F">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材料</w:t>
            </w:r>
          </w:p>
        </w:tc>
      </w:tr>
      <w:tr w14:paraId="63A41661">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7B3FD">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1ED6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5F67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E9B2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3B857F">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4EF95561">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1C357">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E95C0">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E38FB">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F228C">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4C07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13D74BB0">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2D78E">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21D7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BCA9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8DE6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7AC29">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32E9B7B2">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71FA05">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42056">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48BF5">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0F012">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153CC">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4B2717D8">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7F8DE">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57AFD">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A8D3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513F5">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241C0">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0519FFB7">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A4CE4">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3E55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72B08">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F5343">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BEC0E">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621244C0">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6128D">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63ADC">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E37A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F4D3A">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2628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r w14:paraId="5669B8AB">
        <w:tblPrEx>
          <w:tblCellMar>
            <w:top w:w="0" w:type="dxa"/>
            <w:left w:w="108" w:type="dxa"/>
            <w:bottom w:w="0" w:type="dxa"/>
            <w:right w:w="108" w:type="dxa"/>
          </w:tblCellMar>
        </w:tblPrEx>
        <w:trPr>
          <w:trHeight w:val="640" w:hRule="atLeast"/>
          <w:tblCellSpacing w:w="0" w:type="dxa"/>
        </w:trPr>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2B7FA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CC3FE">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15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00842">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FC0E4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6CAE1">
            <w:pPr>
              <w:pStyle w:val="21"/>
              <w:spacing w:beforeAutospacing="0" w:afterAutospacing="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tc>
      </w:tr>
    </w:tbl>
    <w:p w14:paraId="2A7875C8">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注： 行数不够，可自行添加。</w:t>
      </w:r>
    </w:p>
    <w:p w14:paraId="0189D6BF">
      <w:pPr>
        <w:pStyle w:val="21"/>
        <w:spacing w:beforeAutospacing="0" w:afterAutospacing="0" w:line="480" w:lineRule="auto"/>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7B8885B">
      <w:pPr>
        <w:pStyle w:val="21"/>
        <w:spacing w:beforeAutospacing="0" w:afterAutospacing="0" w:line="480" w:lineRule="auto"/>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FDC7C44">
      <w:pPr>
        <w:pStyle w:val="21"/>
        <w:spacing w:beforeAutospacing="0" w:afterAutospacing="0"/>
        <w:jc w:val="center"/>
        <w:rPr>
          <w:rFonts w:hint="default" w:ascii="Times New Roman" w:hAnsi="Times New Roman" w:cs="Times New Roman"/>
          <w:color w:val="auto"/>
          <w:highlight w:val="none"/>
        </w:rPr>
      </w:pPr>
      <w:bookmarkStart w:id="236" w:name="_Hlt26955066"/>
      <w:bookmarkStart w:id="237" w:name="_Hlt26609389"/>
      <w:bookmarkStart w:id="238" w:name="_格式2__法定代表人授权书"/>
      <w:bookmarkStart w:id="239" w:name="_Hlt26671374"/>
      <w:bookmarkStart w:id="240" w:name="_Toc462564146"/>
      <w:r>
        <w:rPr>
          <w:rFonts w:hint="default" w:ascii="Times New Roman" w:hAnsi="Times New Roman" w:cs="Times New Roman"/>
          <w:color w:val="auto"/>
          <w:highlight w:val="none"/>
        </w:rPr>
        <w:t> </w:t>
      </w:r>
    </w:p>
    <w:p w14:paraId="7DFC7EF3">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627F219">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C7164AB">
      <w:pPr>
        <w:pStyle w:val="21"/>
        <w:spacing w:beforeAutospacing="0" w:afterAutospacing="0"/>
        <w:jc w:val="both"/>
        <w:rPr>
          <w:rFonts w:hint="default" w:ascii="Times New Roman" w:hAnsi="Times New Roman" w:cs="Times New Roman"/>
          <w:color w:val="auto"/>
          <w:highlight w:val="none"/>
        </w:rPr>
      </w:pPr>
    </w:p>
    <w:p w14:paraId="5F0E1B9B">
      <w:pPr>
        <w:pStyle w:val="21"/>
        <w:spacing w:beforeAutospacing="0" w:afterAutospacing="0"/>
        <w:jc w:val="both"/>
        <w:rPr>
          <w:rFonts w:hint="default" w:ascii="Times New Roman" w:hAnsi="Times New Roman" w:cs="Times New Roman"/>
          <w:color w:val="auto"/>
          <w:highlight w:val="none"/>
        </w:rPr>
      </w:pPr>
    </w:p>
    <w:p w14:paraId="75AFED91">
      <w:pPr>
        <w:pStyle w:val="21"/>
        <w:spacing w:beforeAutospacing="0" w:afterAutospacing="0"/>
        <w:jc w:val="both"/>
        <w:rPr>
          <w:rFonts w:hint="default" w:ascii="Times New Roman" w:hAnsi="Times New Roman" w:cs="Times New Roman"/>
          <w:color w:val="auto"/>
          <w:highlight w:val="none"/>
        </w:rPr>
      </w:pPr>
    </w:p>
    <w:p w14:paraId="65C0BA42">
      <w:pPr>
        <w:pStyle w:val="21"/>
        <w:spacing w:beforeAutospacing="0" w:afterAutospacing="0"/>
        <w:jc w:val="both"/>
        <w:rPr>
          <w:rFonts w:hint="default" w:ascii="Times New Roman" w:hAnsi="Times New Roman" w:cs="Times New Roman"/>
          <w:color w:val="auto"/>
          <w:highlight w:val="none"/>
        </w:rPr>
      </w:pPr>
    </w:p>
    <w:p w14:paraId="76744F58">
      <w:pPr>
        <w:pStyle w:val="21"/>
        <w:spacing w:beforeAutospacing="0" w:afterAutospacing="0"/>
        <w:jc w:val="both"/>
        <w:rPr>
          <w:rFonts w:hint="default" w:ascii="Times New Roman" w:hAnsi="Times New Roman" w:cs="Times New Roman"/>
          <w:color w:val="auto"/>
          <w:highlight w:val="none"/>
        </w:rPr>
      </w:pPr>
    </w:p>
    <w:p w14:paraId="3D64817B">
      <w:pPr>
        <w:pStyle w:val="21"/>
        <w:spacing w:beforeAutospacing="0" w:afterAutospacing="0"/>
        <w:jc w:val="both"/>
        <w:rPr>
          <w:rFonts w:hint="default" w:ascii="Times New Roman" w:hAnsi="Times New Roman" w:cs="Times New Roman"/>
          <w:color w:val="auto"/>
          <w:highlight w:val="none"/>
        </w:rPr>
      </w:pPr>
    </w:p>
    <w:p w14:paraId="1825274C">
      <w:pPr>
        <w:pStyle w:val="21"/>
        <w:spacing w:beforeAutospacing="0" w:afterAutospacing="0"/>
        <w:jc w:val="both"/>
        <w:rPr>
          <w:rFonts w:hint="default" w:ascii="Times New Roman" w:hAnsi="Times New Roman" w:cs="Times New Roman"/>
          <w:color w:val="auto"/>
          <w:highlight w:val="none"/>
        </w:rPr>
      </w:pPr>
    </w:p>
    <w:p w14:paraId="7BE3F65A">
      <w:pPr>
        <w:pStyle w:val="21"/>
        <w:spacing w:beforeAutospacing="0" w:afterAutospacing="0"/>
        <w:jc w:val="both"/>
        <w:rPr>
          <w:rFonts w:hint="default" w:ascii="Times New Roman" w:hAnsi="Times New Roman" w:cs="Times New Roman"/>
          <w:color w:val="auto"/>
          <w:highlight w:val="none"/>
        </w:rPr>
      </w:pPr>
    </w:p>
    <w:p w14:paraId="6E929167">
      <w:pPr>
        <w:pStyle w:val="21"/>
        <w:spacing w:beforeAutospacing="0" w:afterAutospacing="0"/>
        <w:jc w:val="both"/>
        <w:rPr>
          <w:rFonts w:hint="default" w:ascii="Times New Roman" w:hAnsi="Times New Roman" w:cs="Times New Roman"/>
          <w:color w:val="auto"/>
          <w:highlight w:val="none"/>
        </w:rPr>
      </w:pPr>
    </w:p>
    <w:p w14:paraId="73ACF181">
      <w:pPr>
        <w:pStyle w:val="21"/>
        <w:spacing w:beforeAutospacing="0" w:afterAutospacing="0"/>
        <w:jc w:val="both"/>
        <w:rPr>
          <w:rFonts w:hint="default" w:ascii="Times New Roman" w:hAnsi="Times New Roman" w:cs="Times New Roman"/>
          <w:color w:val="auto"/>
          <w:highlight w:val="none"/>
        </w:rPr>
      </w:pPr>
    </w:p>
    <w:p w14:paraId="3E2DED04">
      <w:pPr>
        <w:pStyle w:val="21"/>
        <w:spacing w:beforeAutospacing="0" w:afterAutospacing="0"/>
        <w:jc w:val="both"/>
        <w:rPr>
          <w:rFonts w:hint="default" w:ascii="Times New Roman" w:hAnsi="Times New Roman" w:cs="Times New Roman"/>
          <w:color w:val="auto"/>
          <w:highlight w:val="none"/>
        </w:rPr>
      </w:pPr>
    </w:p>
    <w:p w14:paraId="336C6F8A">
      <w:pPr>
        <w:pStyle w:val="21"/>
        <w:spacing w:beforeAutospacing="0" w:afterAutospacing="0"/>
        <w:jc w:val="both"/>
        <w:rPr>
          <w:rFonts w:hint="default" w:ascii="Times New Roman" w:hAnsi="Times New Roman" w:cs="Times New Roman"/>
          <w:color w:val="auto"/>
          <w:highlight w:val="none"/>
        </w:rPr>
      </w:pPr>
    </w:p>
    <w:p w14:paraId="18A9B162">
      <w:pPr>
        <w:pStyle w:val="21"/>
        <w:spacing w:beforeAutospacing="0" w:afterAutospacing="0"/>
        <w:jc w:val="both"/>
        <w:rPr>
          <w:rFonts w:hint="default" w:ascii="Times New Roman" w:hAnsi="Times New Roman" w:cs="Times New Roman"/>
          <w:color w:val="auto"/>
          <w:highlight w:val="none"/>
        </w:rPr>
      </w:pPr>
    </w:p>
    <w:p w14:paraId="7B6DE2CC">
      <w:pPr>
        <w:rPr>
          <w:rFonts w:hint="default" w:ascii="Times New Roman" w:hAnsi="Times New Roman" w:eastAsia="黑体" w:cs="Times New Roman"/>
          <w:b/>
          <w:i/>
          <w:color w:val="auto"/>
          <w:sz w:val="32"/>
          <w:szCs w:val="32"/>
          <w:highlight w:val="none"/>
          <w:u w:val="single"/>
        </w:rPr>
      </w:pPr>
      <w:r>
        <w:rPr>
          <w:rFonts w:hint="default" w:ascii="Times New Roman" w:hAnsi="Times New Roman" w:eastAsia="黑体" w:cs="Times New Roman"/>
          <w:b/>
          <w:i/>
          <w:color w:val="auto"/>
          <w:sz w:val="32"/>
          <w:szCs w:val="32"/>
          <w:highlight w:val="none"/>
          <w:u w:val="single"/>
        </w:rPr>
        <w:br w:type="page"/>
      </w:r>
    </w:p>
    <w:p w14:paraId="1BB508CB">
      <w:pPr>
        <w:pStyle w:val="51"/>
        <w:tabs>
          <w:tab w:val="left" w:pos="482"/>
        </w:tabs>
        <w:ind w:left="0" w:leftChars="0" w:firstLine="482" w:firstLineChars="200"/>
        <w:outlineLvl w:val="0"/>
        <w:rPr>
          <w:rFonts w:hint="default" w:ascii="Times New Roman" w:hAnsi="Times New Roman" w:cs="Times New Roman"/>
          <w:highlight w:val="none"/>
        </w:rPr>
      </w:pPr>
      <w:r>
        <w:rPr>
          <w:rFonts w:hint="default" w:ascii="Times New Roman" w:hAnsi="Times New Roman" w:cs="Times New Roman"/>
          <w:highlight w:val="none"/>
        </w:rPr>
        <w:t>十六、开标一览表</w:t>
      </w:r>
    </w:p>
    <w:p w14:paraId="2D9349A9">
      <w:pPr>
        <w:pStyle w:val="12"/>
        <w:spacing w:after="120" w:afterAutospacing="0"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投标人全称（加盖CA电子签章）：</w:t>
      </w:r>
    </w:p>
    <w:p w14:paraId="5935BE7A">
      <w:pPr>
        <w:pStyle w:val="12"/>
        <w:spacing w:after="120" w:afterAutospacing="0"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项目名称：</w:t>
      </w:r>
    </w:p>
    <w:p w14:paraId="68E56E46">
      <w:pPr>
        <w:pStyle w:val="12"/>
        <w:spacing w:after="120" w:afterAutospacing="0"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招标编号：  </w:t>
      </w:r>
    </w:p>
    <w:p w14:paraId="310491DE">
      <w:pPr>
        <w:pStyle w:val="12"/>
        <w:spacing w:after="120" w:afterAutospacing="0"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分包号：</w:t>
      </w:r>
    </w:p>
    <w:tbl>
      <w:tblPr>
        <w:tblStyle w:val="25"/>
        <w:tblW w:w="8206" w:type="dxa"/>
        <w:tblCellSpacing w:w="0" w:type="dxa"/>
        <w:tblInd w:w="118" w:type="dxa"/>
        <w:tblLayout w:type="fixed"/>
        <w:tblCellMar>
          <w:top w:w="0" w:type="dxa"/>
          <w:left w:w="108" w:type="dxa"/>
          <w:bottom w:w="0" w:type="dxa"/>
          <w:right w:w="108" w:type="dxa"/>
        </w:tblCellMar>
      </w:tblPr>
      <w:tblGrid>
        <w:gridCol w:w="8206"/>
      </w:tblGrid>
      <w:tr w14:paraId="27DC4B8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745CE">
            <w:pPr>
              <w:pStyle w:val="21"/>
              <w:spacing w:beforeAutospacing="0" w:after="120" w:afterAutospacing="0" w:line="360" w:lineRule="auto"/>
              <w:ind w:left="480" w:leftChars="0" w:firstLine="0" w:firstLineChars="0"/>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投标总报价</w:t>
            </w:r>
          </w:p>
        </w:tc>
      </w:tr>
      <w:tr w14:paraId="7DE755B3">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85396">
            <w:pPr>
              <w:pStyle w:val="21"/>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小写：                  （人民币：元）</w:t>
            </w:r>
          </w:p>
        </w:tc>
      </w:tr>
    </w:tbl>
    <w:p w14:paraId="61EAFA82">
      <w:pPr>
        <w:pStyle w:val="21"/>
        <w:spacing w:beforeAutospacing="0" w:afterAutospacing="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14EAD37D">
      <w:pPr>
        <w:pStyle w:val="21"/>
        <w:spacing w:beforeAutospacing="0" w:after="120" w:afterAutospacing="0" w:line="360" w:lineRule="auto"/>
        <w:ind w:firstLine="48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日期：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日</w:t>
      </w:r>
    </w:p>
    <w:p w14:paraId="441C73C3">
      <w:pPr>
        <w:pStyle w:val="21"/>
        <w:spacing w:beforeAutospacing="0" w:afterAutospacing="0"/>
        <w:ind w:firstLine="48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C8D912B">
      <w:pPr>
        <w:widowControl/>
        <w:spacing w:before="50" w:after="5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ab/>
      </w:r>
    </w:p>
    <w:p w14:paraId="3C363430">
      <w:pPr>
        <w:widowControl/>
        <w:spacing w:before="50" w:after="50"/>
        <w:jc w:val="center"/>
        <w:rPr>
          <w:rFonts w:hint="default" w:ascii="Times New Roman" w:hAnsi="Times New Roman" w:cs="Times New Roman"/>
          <w:color w:val="auto"/>
          <w:highlight w:val="none"/>
        </w:rPr>
      </w:pPr>
    </w:p>
    <w:p w14:paraId="2ACDE56A">
      <w:pPr>
        <w:widowControl/>
        <w:spacing w:before="50" w:after="50"/>
        <w:jc w:val="center"/>
        <w:rPr>
          <w:rFonts w:hint="default" w:ascii="Times New Roman" w:hAnsi="Times New Roman" w:cs="Times New Roman"/>
          <w:color w:val="auto"/>
          <w:highlight w:val="none"/>
        </w:rPr>
      </w:pPr>
    </w:p>
    <w:p w14:paraId="6C9FE14D">
      <w:pPr>
        <w:widowControl/>
        <w:spacing w:before="50" w:after="50"/>
        <w:jc w:val="center"/>
        <w:rPr>
          <w:rFonts w:hint="default" w:ascii="Times New Roman" w:hAnsi="Times New Roman" w:cs="Times New Roman"/>
          <w:color w:val="auto"/>
          <w:highlight w:val="none"/>
        </w:rPr>
      </w:pPr>
    </w:p>
    <w:p w14:paraId="5C0D5099">
      <w:pPr>
        <w:widowControl/>
        <w:spacing w:before="50" w:after="50"/>
        <w:jc w:val="center"/>
        <w:rPr>
          <w:rFonts w:hint="default" w:ascii="Times New Roman" w:hAnsi="Times New Roman" w:cs="Times New Roman"/>
          <w:color w:val="auto"/>
          <w:highlight w:val="none"/>
        </w:rPr>
      </w:pPr>
    </w:p>
    <w:p w14:paraId="3723C5AA">
      <w:pPr>
        <w:widowControl/>
        <w:spacing w:before="50" w:after="50"/>
        <w:jc w:val="center"/>
        <w:rPr>
          <w:rFonts w:hint="default" w:ascii="Times New Roman" w:hAnsi="Times New Roman" w:cs="Times New Roman"/>
          <w:color w:val="auto"/>
          <w:highlight w:val="none"/>
        </w:rPr>
      </w:pPr>
    </w:p>
    <w:p w14:paraId="3DF9496F">
      <w:pP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br w:type="page"/>
      </w:r>
    </w:p>
    <w:p w14:paraId="18198E95">
      <w:pPr>
        <w:pStyle w:val="51"/>
        <w:widowControl/>
        <w:tabs>
          <w:tab w:val="left" w:pos="482"/>
        </w:tabs>
        <w:ind w:left="0" w:leftChars="0" w:firstLine="482" w:firstLineChars="200"/>
        <w:outlineLvl w:val="0"/>
        <w:rPr>
          <w:rFonts w:hint="default" w:ascii="Times New Roman" w:hAnsi="Times New Roman" w:cs="Times New Roman"/>
          <w:highlight w:val="none"/>
        </w:rPr>
      </w:pPr>
      <w:r>
        <w:rPr>
          <w:rFonts w:hint="default" w:ascii="Times New Roman" w:hAnsi="Times New Roman" w:cs="Times New Roman"/>
          <w:highlight w:val="none"/>
        </w:rPr>
        <w:t>十七、技术方案、服务承诺、培训承诺等</w:t>
      </w:r>
    </w:p>
    <w:p w14:paraId="74A2A739">
      <w:pPr>
        <w:widowControl/>
        <w:spacing w:line="499" w:lineRule="atLeast"/>
        <w:ind w:firstLine="1600"/>
        <w:rPr>
          <w:rFonts w:hint="default" w:ascii="Times New Roman" w:hAnsi="Times New Roman" w:eastAsia="宋体" w:cs="Times New Roman"/>
          <w:color w:val="auto"/>
          <w:sz w:val="32"/>
          <w:szCs w:val="32"/>
          <w:highlight w:val="none"/>
        </w:rPr>
      </w:pPr>
    </w:p>
    <w:p w14:paraId="6A85A1D4">
      <w:pPr>
        <w:widowControl/>
        <w:spacing w:line="499" w:lineRule="atLeast"/>
        <w:ind w:firstLine="1600"/>
        <w:rPr>
          <w:rFonts w:hint="default" w:ascii="Times New Roman" w:hAnsi="Times New Roman" w:eastAsia="宋体" w:cs="Times New Roman"/>
          <w:color w:val="auto"/>
          <w:sz w:val="32"/>
          <w:szCs w:val="32"/>
          <w:highlight w:val="none"/>
        </w:rPr>
      </w:pPr>
    </w:p>
    <w:p w14:paraId="393DB9C4">
      <w:pPr>
        <w:widowControl/>
        <w:spacing w:line="499" w:lineRule="atLeast"/>
        <w:ind w:firstLine="1600"/>
        <w:rPr>
          <w:rFonts w:hint="default" w:ascii="Times New Roman" w:hAnsi="Times New Roman" w:eastAsia="宋体" w:cs="Times New Roman"/>
          <w:color w:val="auto"/>
          <w:sz w:val="32"/>
          <w:szCs w:val="32"/>
          <w:highlight w:val="none"/>
        </w:rPr>
      </w:pPr>
    </w:p>
    <w:p w14:paraId="7ECDE9C8">
      <w:pPr>
        <w:widowControl/>
        <w:spacing w:line="499" w:lineRule="atLeast"/>
        <w:ind w:firstLine="1600"/>
        <w:rPr>
          <w:rFonts w:hint="default" w:ascii="Times New Roman" w:hAnsi="Times New Roman" w:eastAsia="宋体" w:cs="Times New Roman"/>
          <w:color w:val="auto"/>
          <w:sz w:val="32"/>
          <w:szCs w:val="32"/>
          <w:highlight w:val="none"/>
        </w:rPr>
      </w:pPr>
    </w:p>
    <w:p w14:paraId="542A04DB">
      <w:pPr>
        <w:widowControl/>
        <w:spacing w:line="499" w:lineRule="atLeast"/>
        <w:ind w:firstLine="1600"/>
        <w:rPr>
          <w:rFonts w:hint="default" w:ascii="Times New Roman" w:hAnsi="Times New Roman" w:eastAsia="宋体" w:cs="Times New Roman"/>
          <w:color w:val="auto"/>
          <w:sz w:val="32"/>
          <w:szCs w:val="32"/>
          <w:highlight w:val="none"/>
        </w:rPr>
      </w:pPr>
    </w:p>
    <w:p w14:paraId="7C783D9B">
      <w:pPr>
        <w:widowControl/>
        <w:spacing w:line="499" w:lineRule="atLeast"/>
        <w:ind w:firstLine="1600"/>
        <w:rPr>
          <w:rFonts w:hint="default" w:ascii="Times New Roman" w:hAnsi="Times New Roman" w:eastAsia="宋体" w:cs="Times New Roman"/>
          <w:color w:val="auto"/>
          <w:sz w:val="32"/>
          <w:szCs w:val="32"/>
          <w:highlight w:val="none"/>
        </w:rPr>
      </w:pPr>
    </w:p>
    <w:p w14:paraId="417E7B1D">
      <w:pPr>
        <w:widowControl/>
        <w:spacing w:line="499" w:lineRule="atLeast"/>
        <w:ind w:firstLine="1600"/>
        <w:rPr>
          <w:rFonts w:hint="default" w:ascii="Times New Roman" w:hAnsi="Times New Roman" w:eastAsia="宋体" w:cs="Times New Roman"/>
          <w:color w:val="auto"/>
          <w:sz w:val="32"/>
          <w:szCs w:val="32"/>
          <w:highlight w:val="none"/>
        </w:rPr>
      </w:pPr>
    </w:p>
    <w:p w14:paraId="04D33EDA">
      <w:pPr>
        <w:widowControl/>
        <w:spacing w:line="499" w:lineRule="atLeast"/>
        <w:ind w:firstLine="1600"/>
        <w:rPr>
          <w:rFonts w:hint="default" w:ascii="Times New Roman" w:hAnsi="Times New Roman" w:eastAsia="宋体" w:cs="Times New Roman"/>
          <w:color w:val="auto"/>
          <w:sz w:val="32"/>
          <w:szCs w:val="32"/>
          <w:highlight w:val="none"/>
        </w:rPr>
      </w:pPr>
    </w:p>
    <w:p w14:paraId="725C80E8">
      <w:pPr>
        <w:widowControl/>
        <w:spacing w:line="499" w:lineRule="atLeast"/>
        <w:ind w:firstLine="1600"/>
        <w:rPr>
          <w:rFonts w:hint="default" w:ascii="Times New Roman" w:hAnsi="Times New Roman" w:eastAsia="宋体" w:cs="Times New Roman"/>
          <w:color w:val="auto"/>
          <w:sz w:val="32"/>
          <w:szCs w:val="32"/>
          <w:highlight w:val="none"/>
        </w:rPr>
      </w:pPr>
    </w:p>
    <w:p w14:paraId="2DADBFBF">
      <w:pPr>
        <w:widowControl/>
        <w:spacing w:line="499" w:lineRule="atLeast"/>
        <w:ind w:firstLine="1600"/>
        <w:rPr>
          <w:rFonts w:hint="default" w:ascii="Times New Roman" w:hAnsi="Times New Roman" w:eastAsia="宋体" w:cs="Times New Roman"/>
          <w:color w:val="auto"/>
          <w:sz w:val="32"/>
          <w:szCs w:val="32"/>
          <w:highlight w:val="none"/>
        </w:rPr>
      </w:pPr>
    </w:p>
    <w:p w14:paraId="03FC0510">
      <w:pPr>
        <w:widowControl/>
        <w:spacing w:line="499" w:lineRule="atLeast"/>
        <w:ind w:firstLine="1600"/>
        <w:rPr>
          <w:rFonts w:hint="default" w:ascii="Times New Roman" w:hAnsi="Times New Roman" w:eastAsia="宋体" w:cs="Times New Roman"/>
          <w:color w:val="auto"/>
          <w:sz w:val="32"/>
          <w:szCs w:val="32"/>
          <w:highlight w:val="none"/>
        </w:rPr>
      </w:pPr>
    </w:p>
    <w:p w14:paraId="20C588AD">
      <w:pPr>
        <w:widowControl/>
        <w:spacing w:line="499" w:lineRule="atLeast"/>
        <w:ind w:firstLine="1600"/>
        <w:rPr>
          <w:rFonts w:hint="default" w:ascii="Times New Roman" w:hAnsi="Times New Roman" w:eastAsia="宋体" w:cs="Times New Roman"/>
          <w:color w:val="auto"/>
          <w:sz w:val="32"/>
          <w:szCs w:val="32"/>
          <w:highlight w:val="none"/>
        </w:rPr>
      </w:pPr>
    </w:p>
    <w:p w14:paraId="326BCDC2">
      <w:pPr>
        <w:widowControl/>
        <w:spacing w:line="499" w:lineRule="atLeast"/>
        <w:ind w:firstLine="1600"/>
        <w:rPr>
          <w:rFonts w:hint="default" w:ascii="Times New Roman" w:hAnsi="Times New Roman" w:eastAsia="宋体" w:cs="Times New Roman"/>
          <w:color w:val="auto"/>
          <w:sz w:val="32"/>
          <w:szCs w:val="32"/>
          <w:highlight w:val="none"/>
        </w:rPr>
      </w:pPr>
    </w:p>
    <w:p w14:paraId="15A31552">
      <w:pPr>
        <w:widowControl/>
        <w:spacing w:line="499" w:lineRule="atLeast"/>
        <w:ind w:firstLine="1600"/>
        <w:rPr>
          <w:rFonts w:hint="default" w:ascii="Times New Roman" w:hAnsi="Times New Roman" w:eastAsia="宋体" w:cs="Times New Roman"/>
          <w:color w:val="auto"/>
          <w:sz w:val="32"/>
          <w:szCs w:val="32"/>
          <w:highlight w:val="none"/>
        </w:rPr>
      </w:pPr>
    </w:p>
    <w:p w14:paraId="7D9CDC2F">
      <w:pPr>
        <w:widowControl/>
        <w:spacing w:line="499" w:lineRule="atLeast"/>
        <w:ind w:firstLine="1600"/>
        <w:rPr>
          <w:rFonts w:hint="default" w:ascii="Times New Roman" w:hAnsi="Times New Roman" w:eastAsia="宋体" w:cs="Times New Roman"/>
          <w:color w:val="auto"/>
          <w:sz w:val="32"/>
          <w:szCs w:val="32"/>
          <w:highlight w:val="none"/>
        </w:rPr>
      </w:pPr>
    </w:p>
    <w:p w14:paraId="3F859832">
      <w:pPr>
        <w:widowControl/>
        <w:spacing w:line="499" w:lineRule="atLeast"/>
        <w:rPr>
          <w:rFonts w:hint="default" w:ascii="Times New Roman" w:hAnsi="Times New Roman" w:eastAsia="宋体" w:cs="Times New Roman"/>
          <w:color w:val="auto"/>
          <w:sz w:val="32"/>
          <w:szCs w:val="32"/>
          <w:highlight w:val="none"/>
        </w:rPr>
      </w:pPr>
    </w:p>
    <w:p w14:paraId="6550BC38">
      <w:pPr>
        <w:widowControl/>
        <w:spacing w:line="499" w:lineRule="atLeast"/>
        <w:ind w:firstLine="1600"/>
        <w:rPr>
          <w:rFonts w:hint="default" w:ascii="Times New Roman" w:hAnsi="Times New Roman" w:eastAsia="宋体" w:cs="Times New Roman"/>
          <w:color w:val="auto"/>
          <w:sz w:val="32"/>
          <w:szCs w:val="32"/>
          <w:highlight w:val="none"/>
        </w:rPr>
      </w:pPr>
    </w:p>
    <w:p w14:paraId="662610B9">
      <w:pP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br w:type="page"/>
      </w:r>
    </w:p>
    <w:p w14:paraId="277D0B34">
      <w:pPr>
        <w:pStyle w:val="51"/>
        <w:widowControl/>
        <w:tabs>
          <w:tab w:val="left" w:pos="482"/>
        </w:tabs>
        <w:ind w:left="0" w:leftChars="0" w:firstLine="482" w:firstLineChars="200"/>
        <w:outlineLvl w:val="0"/>
        <w:rPr>
          <w:rFonts w:hint="default" w:ascii="Times New Roman" w:hAnsi="Times New Roman" w:cs="Times New Roman"/>
          <w:highlight w:val="none"/>
        </w:rPr>
      </w:pPr>
      <w:r>
        <w:rPr>
          <w:rFonts w:hint="default" w:ascii="Times New Roman" w:hAnsi="Times New Roman" w:cs="Times New Roman"/>
          <w:highlight w:val="none"/>
        </w:rPr>
        <w:t>十八、盐都区政府采购事前信用承诺书</w:t>
      </w:r>
    </w:p>
    <w:p w14:paraId="2A2C3A90">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为营造我市公开、公平、公正、诚实守信的政府采购交易环境，树立诚信守法的投标人形象，本人代表本单位作出以下承诺：</w:t>
      </w:r>
    </w:p>
    <w:p w14:paraId="23249375">
      <w:pPr>
        <w:pStyle w:val="12"/>
        <w:numPr>
          <w:ilvl w:val="0"/>
          <w:numId w:val="95"/>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单位对所提交的企（事）业单位基本信息、企（事）业负责人、项目负责人、技术负责人、从业资质和资格、业绩、财务状况、信誉等所有资料，均合法、真实、准确、有效，无任何伪造、修改、虚假成分，并对所提供资料的真实性负责；</w:t>
      </w:r>
    </w:p>
    <w:p w14:paraId="6EB43483">
      <w:pPr>
        <w:pStyle w:val="12"/>
        <w:numPr>
          <w:ilvl w:val="0"/>
          <w:numId w:val="95"/>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本单位无涉及政府采购活动的违法、违规不良记录，我公司及相关负责人无因存在重大隐患整改不力、发生有重大社会影响生产安全事故或其他严重违法违规行为而被列入失信联合惩戒的不良记录；</w:t>
      </w:r>
    </w:p>
    <w:p w14:paraId="0FF6F38A">
      <w:pPr>
        <w:pStyle w:val="12"/>
        <w:numPr>
          <w:ilvl w:val="0"/>
          <w:numId w:val="95"/>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 xml:space="preserve">严格依照国家和省、市关于政府采购的法律、法规、规章、规范性文件，参加政府采购投标活动；积极履行社会责任，促进廉政建设； </w:t>
      </w:r>
    </w:p>
    <w:p w14:paraId="67E614B6">
      <w:pPr>
        <w:pStyle w:val="12"/>
        <w:numPr>
          <w:ilvl w:val="0"/>
          <w:numId w:val="95"/>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严格遵守即时信息公示规定，及时维护和更新盐城市政府采购网中与本单位相关的信息；</w:t>
      </w:r>
    </w:p>
    <w:p w14:paraId="27D5CB74">
      <w:pPr>
        <w:pStyle w:val="12"/>
        <w:numPr>
          <w:ilvl w:val="0"/>
          <w:numId w:val="95"/>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自我约束、自我管理，守合同、重信用，自觉维护政府采购交易的良好秩序，与参与本次政府采购活动的其他供应商不存在直接控股或管理关系，不参与围标串标、弄虚作假、骗取中标、干扰评标、违约毁约等行为；</w:t>
      </w:r>
    </w:p>
    <w:p w14:paraId="5F682684">
      <w:pPr>
        <w:pStyle w:val="12"/>
        <w:numPr>
          <w:ilvl w:val="0"/>
          <w:numId w:val="95"/>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自觉接受政府、行业组织、社会公众、新闻舆论的监督；</w:t>
      </w:r>
    </w:p>
    <w:p w14:paraId="0C6AF14D">
      <w:pPr>
        <w:pStyle w:val="12"/>
        <w:numPr>
          <w:ilvl w:val="0"/>
          <w:numId w:val="95"/>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8E26259">
      <w:pPr>
        <w:pStyle w:val="12"/>
        <w:numPr>
          <w:ilvl w:val="0"/>
          <w:numId w:val="95"/>
        </w:numPr>
        <w:tabs>
          <w:tab w:val="left" w:pos="1200"/>
        </w:tabs>
        <w:topLinePunct w:val="0"/>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本人已认真阅读了上述承诺，并向本单位员工作了宣传教育。</w:t>
      </w:r>
    </w:p>
    <w:p w14:paraId="767FF0BB">
      <w:pPr>
        <w:pageBreakBefore w:val="0"/>
        <w:kinsoku/>
        <w:wordWrap/>
        <w:overflowPunct/>
        <w:topLinePunct w:val="0"/>
        <w:autoSpaceDE/>
        <w:autoSpaceDN/>
        <w:bidi w:val="0"/>
        <w:adjustRightInd/>
        <w:snapToGrid/>
        <w:spacing w:after="120" w:afterAutospacing="0" w:line="360" w:lineRule="auto"/>
        <w:ind w:left="0" w:leftChars="0" w:right="0" w:rightChars="0" w:firstLine="468" w:firstLineChars="200"/>
        <w:textAlignment w:val="auto"/>
        <w:rPr>
          <w:rFonts w:hint="default" w:ascii="Times New Roman" w:hAnsi="Times New Roman" w:eastAsia="宋体" w:cs="Times New Roman"/>
          <w:color w:val="auto"/>
          <w:spacing w:val="-3"/>
          <w:sz w:val="24"/>
          <w:szCs w:val="24"/>
          <w:highlight w:val="none"/>
          <w:lang w:bidi="zh-CN"/>
          <w14:ligatures w14:val="standardContextual"/>
        </w:rPr>
      </w:pPr>
      <w:r>
        <w:rPr>
          <w:rFonts w:hint="default" w:ascii="Times New Roman" w:hAnsi="Times New Roman" w:eastAsia="宋体" w:cs="Times New Roman"/>
          <w:color w:val="auto"/>
          <w:spacing w:val="-3"/>
          <w:sz w:val="24"/>
          <w:szCs w:val="24"/>
          <w:highlight w:val="none"/>
          <w:lang w:bidi="zh-CN"/>
          <w14:ligatures w14:val="standardContextual"/>
        </w:rPr>
        <w:t>                  法定代表人签名：</w:t>
      </w:r>
    </w:p>
    <w:p w14:paraId="53773852">
      <w:pPr>
        <w:pageBreakBefore w:val="0"/>
        <w:kinsoku/>
        <w:wordWrap/>
        <w:overflowPunct/>
        <w:topLinePunct w:val="0"/>
        <w:autoSpaceDE/>
        <w:autoSpaceDN/>
        <w:bidi w:val="0"/>
        <w:adjustRightInd/>
        <w:snapToGrid/>
        <w:spacing w:after="120" w:afterAutospacing="0" w:line="360" w:lineRule="auto"/>
        <w:ind w:left="0" w:leftChars="0" w:right="0" w:rightChars="0" w:firstLine="468" w:firstLineChars="200"/>
        <w:textAlignment w:val="auto"/>
        <w:rPr>
          <w:rFonts w:hint="default" w:ascii="Times New Roman" w:hAnsi="Times New Roman" w:eastAsia="宋体" w:cs="Times New Roman"/>
          <w:color w:val="auto"/>
          <w:spacing w:val="-3"/>
          <w:sz w:val="24"/>
          <w:szCs w:val="24"/>
          <w:highlight w:val="none"/>
          <w:lang w:bidi="zh-CN"/>
          <w14:ligatures w14:val="standardContextual"/>
        </w:rPr>
      </w:pPr>
      <w:r>
        <w:rPr>
          <w:rFonts w:hint="default" w:ascii="Times New Roman" w:hAnsi="Times New Roman" w:eastAsia="宋体" w:cs="Times New Roman"/>
          <w:color w:val="auto"/>
          <w:spacing w:val="-3"/>
          <w:sz w:val="24"/>
          <w:szCs w:val="24"/>
          <w:highlight w:val="none"/>
          <w:lang w:bidi="zh-CN"/>
          <w14:ligatures w14:val="standardContextual"/>
        </w:rPr>
        <w:t>                  单位名称（盖章）：</w:t>
      </w:r>
    </w:p>
    <w:p w14:paraId="188A903A">
      <w:pPr>
        <w:pageBreakBefore w:val="0"/>
        <w:kinsoku/>
        <w:wordWrap/>
        <w:overflowPunct/>
        <w:topLinePunct w:val="0"/>
        <w:autoSpaceDE/>
        <w:autoSpaceDN/>
        <w:bidi w:val="0"/>
        <w:adjustRightInd/>
        <w:snapToGrid/>
        <w:spacing w:after="120" w:afterAutospacing="0" w:line="360" w:lineRule="auto"/>
        <w:ind w:left="0" w:leftChars="0" w:right="0" w:rightChars="0" w:firstLine="468" w:firstLineChars="200"/>
        <w:textAlignment w:val="auto"/>
        <w:rPr>
          <w:rFonts w:hint="default" w:ascii="Times New Roman" w:hAnsi="Times New Roman" w:eastAsia="宋体" w:cs="Times New Roman"/>
          <w:color w:val="auto"/>
          <w:spacing w:val="-3"/>
          <w:sz w:val="24"/>
          <w:szCs w:val="24"/>
          <w:highlight w:val="none"/>
          <w:lang w:bidi="zh-CN"/>
          <w14:ligatures w14:val="standardContextual"/>
        </w:rPr>
      </w:pPr>
      <w:r>
        <w:rPr>
          <w:rFonts w:hint="default" w:ascii="Times New Roman" w:hAnsi="Times New Roman" w:eastAsia="宋体" w:cs="Times New Roman"/>
          <w:color w:val="auto"/>
          <w:spacing w:val="-3"/>
          <w:sz w:val="24"/>
          <w:szCs w:val="24"/>
          <w:highlight w:val="none"/>
          <w:lang w:bidi="zh-CN"/>
          <w14:ligatures w14:val="standardContextual"/>
        </w:rPr>
        <w:t>                      年月日</w:t>
      </w:r>
    </w:p>
    <w:p w14:paraId="5973AECD">
      <w:pPr>
        <w:pageBreakBefore w:val="0"/>
        <w:kinsoku/>
        <w:wordWrap/>
        <w:overflowPunct/>
        <w:topLinePunct w:val="0"/>
        <w:autoSpaceDE/>
        <w:autoSpaceDN/>
        <w:bidi w:val="0"/>
        <w:adjustRightInd/>
        <w:snapToGrid/>
        <w:spacing w:line="360" w:lineRule="auto"/>
        <w:ind w:left="0" w:leftChars="0" w:right="0" w:rightChars="0" w:firstLine="420" w:firstLineChars="200"/>
        <w:textAlignment w:val="auto"/>
        <w:rPr>
          <w:rFonts w:hint="default" w:ascii="Times New Roman" w:hAnsi="Times New Roman" w:cs="Times New Roman"/>
          <w:color w:val="auto"/>
          <w:highlight w:val="none"/>
        </w:rPr>
      </w:pPr>
    </w:p>
    <w:bookmarkEnd w:id="0"/>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6"/>
    <w:bookmarkEnd w:id="179"/>
    <w:bookmarkEnd w:id="221"/>
    <w:bookmarkEnd w:id="222"/>
    <w:bookmarkEnd w:id="224"/>
    <w:bookmarkEnd w:id="225"/>
    <w:bookmarkEnd w:id="226"/>
    <w:bookmarkEnd w:id="227"/>
    <w:bookmarkEnd w:id="236"/>
    <w:bookmarkEnd w:id="237"/>
    <w:bookmarkEnd w:id="238"/>
    <w:bookmarkEnd w:id="239"/>
    <w:bookmarkEnd w:id="240"/>
    <w:p w14:paraId="455A4139">
      <w:pPr>
        <w:pStyle w:val="22"/>
        <w:outlineLvl w:val="0"/>
        <w:rPr>
          <w:rFonts w:hint="default" w:ascii="Times New Roman" w:hAnsi="Times New Roman" w:cs="Times New Roman"/>
          <w:highlight w:val="none"/>
        </w:rPr>
      </w:pPr>
      <w:r>
        <w:rPr>
          <w:rFonts w:hint="default" w:ascii="Times New Roman" w:hAnsi="Times New Roman" w:cs="Times New Roman"/>
          <w:highlight w:val="none"/>
        </w:rPr>
        <w:t>质疑函范本</w:t>
      </w:r>
    </w:p>
    <w:p w14:paraId="5CE2F8A0">
      <w:pPr>
        <w:pStyle w:val="3"/>
        <w:numPr>
          <w:ilvl w:val="0"/>
          <w:numId w:val="96"/>
        </w:numPr>
        <w:tabs>
          <w:tab w:val="left" w:pos="963"/>
        </w:tabs>
        <w:topLinePunct w:val="0"/>
        <w:ind w:left="0" w:leftChars="0" w:firstLine="482" w:firstLineChars="200"/>
        <w:rPr>
          <w:rFonts w:hint="default" w:ascii="Times New Roman" w:hAnsi="Times New Roman" w:cs="Times New Roman"/>
          <w:highlight w:val="none"/>
        </w:rPr>
      </w:pPr>
      <w:r>
        <w:rPr>
          <w:rFonts w:hint="default" w:ascii="Times New Roman" w:hAnsi="Times New Roman" w:cs="Times New Roman"/>
          <w:highlight w:val="none"/>
        </w:rPr>
        <w:t>质疑供应商基本信息</w:t>
      </w:r>
    </w:p>
    <w:p w14:paraId="07E5D830">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质疑供应商：</w:t>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577E1A8D">
      <w:pPr>
        <w:pStyle w:val="12"/>
        <w:ind w:left="0" w:leftChars="0" w:firstLine="480" w:firstLineChars="20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地址：</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w:t>
      </w:r>
    </w:p>
    <w:p w14:paraId="6C2BF6D3">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邮编：</w:t>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71DBBAC5">
      <w:pPr>
        <w:pStyle w:val="12"/>
        <w:ind w:left="0" w:leftChars="0" w:firstLine="480" w:firstLineChars="20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联系人：</w:t>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36456502">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联系电话：</w:t>
      </w:r>
      <w:r>
        <w:rPr>
          <w:rFonts w:hint="default" w:ascii="Times New Roman" w:hAnsi="Times New Roman" w:cs="Times New Roman"/>
          <w:color w:val="auto"/>
          <w:highlight w:val="none"/>
          <w:u w:val="single"/>
        </w:rPr>
        <w:t xml:space="preserve">                                           </w:t>
      </w:r>
    </w:p>
    <w:p w14:paraId="09F66940">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授权代表：</w:t>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691133AC">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联系电话：</w:t>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01BE9E22">
      <w:pPr>
        <w:pStyle w:val="12"/>
        <w:ind w:left="0" w:leftChars="0" w:firstLine="480" w:firstLineChars="20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地址： </w:t>
      </w:r>
      <w:r>
        <w:rPr>
          <w:rFonts w:hint="default" w:ascii="Times New Roman" w:hAnsi="Times New Roman" w:cs="Times New Roman"/>
          <w:color w:val="auto"/>
          <w:highlight w:val="none"/>
          <w:u w:val="single"/>
        </w:rPr>
        <w:t>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4002AF0C">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邮编：</w:t>
      </w:r>
      <w:r>
        <w:rPr>
          <w:rFonts w:hint="default" w:ascii="Times New Roman" w:hAnsi="Times New Roman" w:cs="Times New Roman"/>
          <w:color w:val="auto"/>
          <w:highlight w:val="none"/>
          <w:u w:val="single"/>
        </w:rPr>
        <w:t xml:space="preserve">                                </w:t>
      </w:r>
    </w:p>
    <w:p w14:paraId="01017C9D">
      <w:pPr>
        <w:pStyle w:val="3"/>
        <w:numPr>
          <w:ilvl w:val="0"/>
          <w:numId w:val="96"/>
        </w:numPr>
        <w:tabs>
          <w:tab w:val="left" w:pos="963"/>
        </w:tabs>
        <w:topLinePunct w:val="0"/>
        <w:ind w:left="0" w:leftChars="0" w:firstLine="482" w:firstLineChars="200"/>
        <w:rPr>
          <w:rFonts w:hint="default" w:ascii="Times New Roman" w:hAnsi="Times New Roman" w:cs="Times New Roman"/>
          <w:highlight w:val="none"/>
        </w:rPr>
      </w:pPr>
      <w:r>
        <w:rPr>
          <w:rFonts w:hint="default" w:ascii="Times New Roman" w:hAnsi="Times New Roman" w:cs="Times New Roman"/>
          <w:highlight w:val="none"/>
        </w:rPr>
        <w:t>质疑项目基本情况</w:t>
      </w:r>
    </w:p>
    <w:p w14:paraId="067AFCB6">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质疑项目的名称：</w:t>
      </w:r>
      <w:r>
        <w:rPr>
          <w:rFonts w:hint="default" w:ascii="Times New Roman" w:hAnsi="Times New Roman" w:cs="Times New Roman"/>
          <w:color w:val="auto"/>
          <w:highlight w:val="none"/>
          <w:u w:val="single"/>
        </w:rPr>
        <w:t xml:space="preserve">                            </w:t>
      </w:r>
    </w:p>
    <w:p w14:paraId="20388830">
      <w:pPr>
        <w:pStyle w:val="12"/>
        <w:ind w:left="0" w:leftChars="0" w:firstLine="480" w:firstLineChars="200"/>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质疑项目的编号：</w:t>
      </w:r>
      <w:r>
        <w:rPr>
          <w:rFonts w:hint="default" w:ascii="Times New Roman" w:hAnsi="Times New Roman" w:cs="Times New Roman"/>
          <w:color w:val="auto"/>
          <w:highlight w:val="none"/>
          <w:u w:val="single"/>
        </w:rPr>
        <w:t xml:space="preserve">                          </w:t>
      </w:r>
    </w:p>
    <w:p w14:paraId="6F4BD9E2">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包号：</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ab/>
      </w:r>
      <w:r>
        <w:rPr>
          <w:rFonts w:hint="default" w:ascii="Times New Roman" w:hAnsi="Times New Roman" w:cs="Times New Roman"/>
          <w:color w:val="auto"/>
          <w:highlight w:val="none"/>
          <w:u w:val="single"/>
        </w:rPr>
        <w:t xml:space="preserve">    </w:t>
      </w:r>
    </w:p>
    <w:p w14:paraId="6265647A">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采购人名称：</w:t>
      </w:r>
      <w:r>
        <w:rPr>
          <w:rFonts w:hint="default" w:ascii="Times New Roman" w:hAnsi="Times New Roman" w:cs="Times New Roman"/>
          <w:color w:val="auto"/>
          <w:highlight w:val="none"/>
          <w:u w:val="single"/>
        </w:rPr>
        <w:t xml:space="preserve">                            </w:t>
      </w:r>
    </w:p>
    <w:p w14:paraId="407116E0">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采购文件获取日期：</w:t>
      </w:r>
      <w:r>
        <w:rPr>
          <w:rFonts w:hint="default" w:ascii="Times New Roman" w:hAnsi="Times New Roman" w:cs="Times New Roman"/>
          <w:color w:val="auto"/>
          <w:highlight w:val="none"/>
          <w:u w:val="single"/>
        </w:rPr>
        <w:t xml:space="preserve">                             </w:t>
      </w:r>
    </w:p>
    <w:p w14:paraId="69EA744F">
      <w:pPr>
        <w:pStyle w:val="3"/>
        <w:numPr>
          <w:ilvl w:val="0"/>
          <w:numId w:val="96"/>
        </w:numPr>
        <w:tabs>
          <w:tab w:val="left" w:pos="963"/>
        </w:tabs>
        <w:topLinePunct w:val="0"/>
        <w:ind w:left="0" w:leftChars="0" w:firstLine="482" w:firstLineChars="200"/>
        <w:rPr>
          <w:rFonts w:hint="default" w:ascii="Times New Roman" w:hAnsi="Times New Roman" w:cs="Times New Roman"/>
          <w:highlight w:val="none"/>
        </w:rPr>
      </w:pPr>
      <w:r>
        <w:rPr>
          <w:rFonts w:hint="default" w:ascii="Times New Roman" w:hAnsi="Times New Roman" w:cs="Times New Roman"/>
          <w:highlight w:val="none"/>
        </w:rPr>
        <w:t>质疑事项具体内容</w:t>
      </w:r>
    </w:p>
    <w:p w14:paraId="7EA1A11C">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质疑事项1：</w:t>
      </w:r>
      <w:r>
        <w:rPr>
          <w:rFonts w:hint="default" w:ascii="Times New Roman" w:hAnsi="Times New Roman" w:cs="Times New Roman"/>
          <w:color w:val="auto"/>
          <w:highlight w:val="none"/>
          <w:u w:val="single"/>
        </w:rPr>
        <w:t xml:space="preserve">                             </w:t>
      </w:r>
    </w:p>
    <w:p w14:paraId="0984C797">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事实依据：</w:t>
      </w:r>
      <w:r>
        <w:rPr>
          <w:rFonts w:hint="default" w:ascii="Times New Roman" w:hAnsi="Times New Roman" w:cs="Times New Roman"/>
          <w:color w:val="auto"/>
          <w:highlight w:val="none"/>
          <w:u w:val="single"/>
        </w:rPr>
        <w:t xml:space="preserve">                                                   </w:t>
      </w:r>
    </w:p>
    <w:p w14:paraId="7137CF55">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法律依据：</w:t>
      </w:r>
      <w:r>
        <w:rPr>
          <w:rFonts w:hint="default" w:ascii="Times New Roman" w:hAnsi="Times New Roman" w:cs="Times New Roman"/>
          <w:color w:val="auto"/>
          <w:highlight w:val="none"/>
          <w:u w:val="single"/>
        </w:rPr>
        <w:t xml:space="preserve">                                                    </w:t>
      </w:r>
    </w:p>
    <w:p w14:paraId="49682AC0">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质疑事项2</w:t>
      </w:r>
    </w:p>
    <w:p w14:paraId="7DC77106">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p w14:paraId="679AF682">
      <w:pPr>
        <w:pStyle w:val="3"/>
        <w:numPr>
          <w:ilvl w:val="0"/>
          <w:numId w:val="96"/>
        </w:numPr>
        <w:tabs>
          <w:tab w:val="left" w:pos="963"/>
        </w:tabs>
        <w:topLinePunct w:val="0"/>
        <w:ind w:left="0" w:leftChars="0" w:firstLine="482" w:firstLineChars="200"/>
        <w:rPr>
          <w:rFonts w:hint="default" w:ascii="Times New Roman" w:hAnsi="Times New Roman" w:cs="Times New Roman"/>
          <w:highlight w:val="none"/>
        </w:rPr>
      </w:pPr>
      <w:r>
        <w:rPr>
          <w:rFonts w:hint="default" w:ascii="Times New Roman" w:hAnsi="Times New Roman" w:cs="Times New Roman"/>
          <w:highlight w:val="none"/>
        </w:rPr>
        <w:t>与质疑事项相关的质疑请求</w:t>
      </w:r>
    </w:p>
    <w:p w14:paraId="5D7E44CD">
      <w:pPr>
        <w:pStyle w:val="12"/>
        <w:ind w:left="0" w:leftChars="0" w:firstLine="48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请求：</w:t>
      </w:r>
      <w:r>
        <w:rPr>
          <w:rFonts w:hint="default" w:ascii="Times New Roman" w:hAnsi="Times New Roman" w:cs="Times New Roman"/>
          <w:color w:val="auto"/>
          <w:highlight w:val="none"/>
          <w:u w:val="single"/>
        </w:rPr>
        <w:t xml:space="preserve">                                                          </w:t>
      </w:r>
    </w:p>
    <w:p w14:paraId="7D72B05D">
      <w:pPr>
        <w:pStyle w:val="21"/>
        <w:spacing w:beforeAutospacing="0" w:after="120" w:afterAutospacing="0" w:line="360" w:lineRule="auto"/>
        <w:ind w:left="480" w:leftChars="0" w:firstLine="0" w:firstLineChars="0"/>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签字(签章)：                 公章：               日期：    </w:t>
      </w:r>
    </w:p>
    <w:p w14:paraId="4B172D1F">
      <w:pPr>
        <w:pStyle w:val="12"/>
        <w:ind w:left="0" w:leftChars="0" w:firstLine="482" w:firstLineChars="200"/>
        <w:rPr>
          <w:rFonts w:hint="default" w:ascii="Times New Roman" w:hAnsi="Times New Roman" w:cs="Times New Roman"/>
          <w:color w:val="auto"/>
          <w:highlight w:val="none"/>
        </w:rPr>
      </w:pPr>
      <w:r>
        <w:rPr>
          <w:rFonts w:hint="default" w:ascii="Times New Roman" w:hAnsi="Times New Roman" w:cs="Times New Roman"/>
          <w:b/>
          <w:color w:val="auto"/>
          <w:highlight w:val="none"/>
        </w:rPr>
        <w:t>质疑函制作说明：</w:t>
      </w:r>
    </w:p>
    <w:p w14:paraId="3518BBA1">
      <w:pPr>
        <w:pStyle w:val="12"/>
        <w:numPr>
          <w:ilvl w:val="0"/>
          <w:numId w:val="97"/>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供应商提出质疑时，应提交质疑函和必要的证明材料。</w:t>
      </w:r>
    </w:p>
    <w:p w14:paraId="1EC846F0">
      <w:pPr>
        <w:pStyle w:val="12"/>
        <w:numPr>
          <w:ilvl w:val="0"/>
          <w:numId w:val="97"/>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8F200EE">
      <w:pPr>
        <w:pStyle w:val="12"/>
        <w:numPr>
          <w:ilvl w:val="0"/>
          <w:numId w:val="97"/>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质疑供应商若对项目的某一分包进行质疑，质疑函中应列明具体分包号。</w:t>
      </w:r>
    </w:p>
    <w:p w14:paraId="4DA3DA81">
      <w:pPr>
        <w:pStyle w:val="12"/>
        <w:numPr>
          <w:ilvl w:val="0"/>
          <w:numId w:val="97"/>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质疑函的质疑事项应具体、明确，并有必要的事实依据和法律依据。</w:t>
      </w:r>
    </w:p>
    <w:p w14:paraId="0137BDF1">
      <w:pPr>
        <w:pStyle w:val="12"/>
        <w:numPr>
          <w:ilvl w:val="0"/>
          <w:numId w:val="97"/>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质疑函的质疑请求应与质疑事项相关。</w:t>
      </w:r>
    </w:p>
    <w:p w14:paraId="4B892349">
      <w:pPr>
        <w:pStyle w:val="12"/>
        <w:numPr>
          <w:ilvl w:val="0"/>
          <w:numId w:val="97"/>
        </w:numPr>
        <w:tabs>
          <w:tab w:val="left" w:pos="780"/>
          <w:tab w:val="clear" w:pos="210"/>
        </w:tabs>
        <w:ind w:left="0" w:leftChars="0" w:firstLine="480" w:firstLineChars="200"/>
        <w:rPr>
          <w:rFonts w:hint="default" w:ascii="Times New Roman" w:hAnsi="Times New Roman" w:cs="Times New Roman"/>
          <w:b w:val="0"/>
          <w:color w:val="auto"/>
          <w:highlight w:val="none"/>
        </w:rPr>
      </w:pPr>
      <w:r>
        <w:rPr>
          <w:rFonts w:hint="default" w:ascii="Times New Roman" w:hAnsi="Times New Roman" w:cs="Times New Roman"/>
          <w:color w:val="auto"/>
          <w:highlight w:val="none"/>
        </w:rPr>
        <w:t>质疑供应商为自然人的，质疑函应由本人签字；质疑供应商为法人或者其他组织的，质疑函应由法定代表人、主要负责人，或者其授权代表签字或者盖章，并加盖公章。</w:t>
      </w:r>
    </w:p>
    <w:p w14:paraId="12121408">
      <w:pPr>
        <w:pageBreakBefore w:val="0"/>
        <w:kinsoku/>
        <w:wordWrap/>
        <w:overflowPunct/>
        <w:topLinePunct w:val="0"/>
        <w:autoSpaceDE/>
        <w:autoSpaceDN/>
        <w:bidi w:val="0"/>
        <w:adjustRightInd/>
        <w:snapToGrid/>
        <w:spacing w:line="360" w:lineRule="auto"/>
        <w:ind w:left="0" w:leftChars="0" w:right="0" w:rightChars="0" w:firstLine="468" w:firstLineChars="200"/>
        <w:textAlignment w:val="auto"/>
        <w:rPr>
          <w:rFonts w:hint="default" w:ascii="Times New Roman" w:hAnsi="Times New Roman" w:cs="Times New Roman"/>
          <w:color w:val="auto"/>
          <w:spacing w:val="-3"/>
          <w:sz w:val="24"/>
          <w:highlight w:val="none"/>
          <w:lang w:bidi="zh-CN"/>
          <w14:ligatures w14:val="standardContextual"/>
        </w:rPr>
      </w:pPr>
      <w:r>
        <w:rPr>
          <w:rFonts w:hint="default" w:ascii="Times New Roman" w:hAnsi="Times New Roman" w:cs="Times New Roman"/>
          <w:color w:val="auto"/>
          <w:spacing w:val="-3"/>
          <w:sz w:val="24"/>
          <w:highlight w:val="none"/>
          <w:lang w:bidi="zh-CN"/>
          <w14:ligatures w14:val="standardContextual"/>
        </w:rPr>
        <w:t> </w:t>
      </w:r>
    </w:p>
    <w:p w14:paraId="3BB3C224">
      <w:pPr>
        <w:rPr>
          <w:rFonts w:hint="default" w:ascii="Times New Roman" w:hAnsi="Times New Roman" w:cs="Times New Roman"/>
          <w:color w:val="auto"/>
          <w:highlight w:val="none"/>
        </w:rPr>
      </w:pPr>
    </w:p>
    <w:sectPr>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4E953">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0C382A">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70C382A">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0DA29E"/>
    <w:multiLevelType w:val="singleLevel"/>
    <w:tmpl w:val="830DA29E"/>
    <w:lvl w:ilvl="0" w:tentative="0">
      <w:start w:val="1"/>
      <w:numFmt w:val="decimal"/>
      <w:lvlText w:val="32.%1"/>
      <w:lvlJc w:val="left"/>
      <w:pPr>
        <w:tabs>
          <w:tab w:val="left" w:pos="210"/>
        </w:tabs>
        <w:ind w:left="0" w:firstLine="0"/>
      </w:pPr>
      <w:rPr>
        <w:rFonts w:hint="default"/>
      </w:rPr>
    </w:lvl>
  </w:abstractNum>
  <w:abstractNum w:abstractNumId="1">
    <w:nsid w:val="84EBA45A"/>
    <w:multiLevelType w:val="singleLevel"/>
    <w:tmpl w:val="84EBA45A"/>
    <w:lvl w:ilvl="0" w:tentative="0">
      <w:start w:val="1"/>
      <w:numFmt w:val="decimal"/>
      <w:lvlText w:val="10.%1"/>
      <w:lvlJc w:val="left"/>
      <w:pPr>
        <w:tabs>
          <w:tab w:val="left" w:pos="210"/>
        </w:tabs>
        <w:ind w:left="0" w:firstLine="480"/>
      </w:pPr>
      <w:rPr>
        <w:rFonts w:hint="default"/>
      </w:rPr>
    </w:lvl>
  </w:abstractNum>
  <w:abstractNum w:abstractNumId="2">
    <w:nsid w:val="8582E2BE"/>
    <w:multiLevelType w:val="singleLevel"/>
    <w:tmpl w:val="8582E2BE"/>
    <w:lvl w:ilvl="0" w:tentative="0">
      <w:start w:val="1"/>
      <w:numFmt w:val="decimal"/>
      <w:lvlText w:val="%1."/>
      <w:lvlJc w:val="left"/>
      <w:pPr>
        <w:tabs>
          <w:tab w:val="left" w:pos="210"/>
        </w:tabs>
        <w:ind w:left="0" w:firstLine="480"/>
      </w:pPr>
      <w:rPr>
        <w:rFonts w:hint="default"/>
      </w:rPr>
    </w:lvl>
  </w:abstractNum>
  <w:abstractNum w:abstractNumId="3">
    <w:nsid w:val="86C57D51"/>
    <w:multiLevelType w:val="singleLevel"/>
    <w:tmpl w:val="86C57D51"/>
    <w:lvl w:ilvl="0" w:tentative="0">
      <w:start w:val="1"/>
      <w:numFmt w:val="decimal"/>
      <w:lvlText w:val="4.2.%1"/>
      <w:lvlJc w:val="left"/>
      <w:pPr>
        <w:tabs>
          <w:tab w:val="left" w:pos="210"/>
        </w:tabs>
        <w:ind w:left="0" w:firstLine="0"/>
      </w:pPr>
      <w:rPr>
        <w:rFonts w:hint="default"/>
      </w:rPr>
    </w:lvl>
  </w:abstractNum>
  <w:abstractNum w:abstractNumId="4">
    <w:nsid w:val="8860BA94"/>
    <w:multiLevelType w:val="singleLevel"/>
    <w:tmpl w:val="8860BA94"/>
    <w:lvl w:ilvl="0" w:tentative="0">
      <w:start w:val="1"/>
      <w:numFmt w:val="decimal"/>
      <w:suff w:val="nothing"/>
      <w:lvlText w:val="（%1）"/>
      <w:lvlJc w:val="left"/>
      <w:pPr>
        <w:ind w:left="0" w:firstLine="480"/>
      </w:pPr>
      <w:rPr>
        <w:rFonts w:hint="default"/>
      </w:rPr>
    </w:lvl>
  </w:abstractNum>
  <w:abstractNum w:abstractNumId="5">
    <w:nsid w:val="89D44ACB"/>
    <w:multiLevelType w:val="singleLevel"/>
    <w:tmpl w:val="89D44ACB"/>
    <w:lvl w:ilvl="0" w:tentative="0">
      <w:start w:val="27"/>
      <w:numFmt w:val="decimal"/>
      <w:suff w:val="nothing"/>
      <w:lvlText w:val="%1、"/>
      <w:lvlJc w:val="left"/>
      <w:pPr>
        <w:ind w:left="0" w:firstLine="0"/>
      </w:pPr>
      <w:rPr>
        <w:rFonts w:hint="default"/>
      </w:rPr>
    </w:lvl>
  </w:abstractNum>
  <w:abstractNum w:abstractNumId="6">
    <w:nsid w:val="8BA0535E"/>
    <w:multiLevelType w:val="singleLevel"/>
    <w:tmpl w:val="8BA0535E"/>
    <w:lvl w:ilvl="0" w:tentative="0">
      <w:start w:val="1"/>
      <w:numFmt w:val="decimal"/>
      <w:lvlText w:val="4.8.%1"/>
      <w:lvlJc w:val="left"/>
      <w:pPr>
        <w:tabs>
          <w:tab w:val="left" w:pos="210"/>
        </w:tabs>
        <w:ind w:left="0" w:firstLine="0"/>
      </w:pPr>
      <w:rPr>
        <w:rFonts w:hint="default"/>
      </w:rPr>
    </w:lvl>
  </w:abstractNum>
  <w:abstractNum w:abstractNumId="7">
    <w:nsid w:val="8CE377B9"/>
    <w:multiLevelType w:val="singleLevel"/>
    <w:tmpl w:val="8CE377B9"/>
    <w:lvl w:ilvl="0" w:tentative="0">
      <w:start w:val="1"/>
      <w:numFmt w:val="decimal"/>
      <w:suff w:val="nothing"/>
      <w:lvlText w:val="（%1）"/>
      <w:lvlJc w:val="left"/>
      <w:pPr>
        <w:ind w:left="0" w:firstLine="480"/>
      </w:pPr>
      <w:rPr>
        <w:rFonts w:hint="default"/>
      </w:rPr>
    </w:lvl>
  </w:abstractNum>
  <w:abstractNum w:abstractNumId="8">
    <w:nsid w:val="909AE366"/>
    <w:multiLevelType w:val="singleLevel"/>
    <w:tmpl w:val="909AE366"/>
    <w:lvl w:ilvl="0" w:tentative="0">
      <w:start w:val="1"/>
      <w:numFmt w:val="decimal"/>
      <w:lvlText w:val="%1."/>
      <w:lvlJc w:val="left"/>
      <w:pPr>
        <w:tabs>
          <w:tab w:val="left" w:pos="210"/>
        </w:tabs>
        <w:ind w:left="0" w:firstLine="480"/>
      </w:pPr>
      <w:rPr>
        <w:rFonts w:hint="default"/>
      </w:rPr>
    </w:lvl>
  </w:abstractNum>
  <w:abstractNum w:abstractNumId="9">
    <w:nsid w:val="9479090D"/>
    <w:multiLevelType w:val="singleLevel"/>
    <w:tmpl w:val="9479090D"/>
    <w:lvl w:ilvl="0" w:tentative="0">
      <w:start w:val="1"/>
      <w:numFmt w:val="decimal"/>
      <w:lvlText w:val="%1."/>
      <w:lvlJc w:val="left"/>
      <w:pPr>
        <w:tabs>
          <w:tab w:val="left" w:pos="210"/>
        </w:tabs>
        <w:ind w:left="0" w:firstLine="480"/>
      </w:pPr>
      <w:rPr>
        <w:rFonts w:hint="default"/>
      </w:rPr>
    </w:lvl>
  </w:abstractNum>
  <w:abstractNum w:abstractNumId="10">
    <w:nsid w:val="A019132A"/>
    <w:multiLevelType w:val="singleLevel"/>
    <w:tmpl w:val="A019132A"/>
    <w:lvl w:ilvl="0" w:tentative="0">
      <w:start w:val="1"/>
      <w:numFmt w:val="decimal"/>
      <w:lvlText w:val="11.%1"/>
      <w:lvlJc w:val="left"/>
      <w:pPr>
        <w:tabs>
          <w:tab w:val="left" w:pos="210"/>
        </w:tabs>
        <w:ind w:left="0" w:firstLine="480"/>
      </w:pPr>
      <w:rPr>
        <w:rFonts w:hint="default"/>
      </w:rPr>
    </w:lvl>
  </w:abstractNum>
  <w:abstractNum w:abstractNumId="11">
    <w:nsid w:val="A5674BBD"/>
    <w:multiLevelType w:val="singleLevel"/>
    <w:tmpl w:val="A5674BBD"/>
    <w:lvl w:ilvl="0" w:tentative="0">
      <w:start w:val="1"/>
      <w:numFmt w:val="decimal"/>
      <w:lvlText w:val="14.%1"/>
      <w:lvlJc w:val="left"/>
      <w:pPr>
        <w:tabs>
          <w:tab w:val="left" w:pos="210"/>
        </w:tabs>
        <w:ind w:left="0" w:firstLine="480"/>
      </w:pPr>
      <w:rPr>
        <w:rFonts w:hint="default"/>
      </w:rPr>
    </w:lvl>
  </w:abstractNum>
  <w:abstractNum w:abstractNumId="12">
    <w:nsid w:val="A632199A"/>
    <w:multiLevelType w:val="singleLevel"/>
    <w:tmpl w:val="A632199A"/>
    <w:lvl w:ilvl="0" w:tentative="0">
      <w:start w:val="1"/>
      <w:numFmt w:val="decimal"/>
      <w:suff w:val="nothing"/>
      <w:lvlText w:val="（%1）"/>
      <w:lvlJc w:val="left"/>
      <w:pPr>
        <w:ind w:left="0" w:firstLine="480"/>
      </w:pPr>
      <w:rPr>
        <w:rFonts w:hint="default"/>
      </w:rPr>
    </w:lvl>
  </w:abstractNum>
  <w:abstractNum w:abstractNumId="13">
    <w:nsid w:val="AC9193DB"/>
    <w:multiLevelType w:val="singleLevel"/>
    <w:tmpl w:val="AC9193DB"/>
    <w:lvl w:ilvl="0" w:tentative="0">
      <w:start w:val="1"/>
      <w:numFmt w:val="decimal"/>
      <w:lvlText w:val="4.%1"/>
      <w:lvlJc w:val="left"/>
      <w:pPr>
        <w:tabs>
          <w:tab w:val="left" w:pos="210"/>
        </w:tabs>
        <w:ind w:left="0" w:firstLine="480"/>
      </w:pPr>
      <w:rPr>
        <w:rFonts w:hint="default"/>
      </w:rPr>
    </w:lvl>
  </w:abstractNum>
  <w:abstractNum w:abstractNumId="14">
    <w:nsid w:val="ACEDC47E"/>
    <w:multiLevelType w:val="singleLevel"/>
    <w:tmpl w:val="ACEDC47E"/>
    <w:lvl w:ilvl="0" w:tentative="0">
      <w:start w:val="1"/>
      <w:numFmt w:val="chineseCounting"/>
      <w:suff w:val="nothing"/>
      <w:lvlText w:val="（%1）"/>
      <w:lvlJc w:val="left"/>
      <w:pPr>
        <w:ind w:left="0" w:firstLine="480"/>
      </w:pPr>
      <w:rPr>
        <w:rFonts w:hint="eastAsia"/>
      </w:rPr>
    </w:lvl>
  </w:abstractNum>
  <w:abstractNum w:abstractNumId="15">
    <w:nsid w:val="AE338BEA"/>
    <w:multiLevelType w:val="singleLevel"/>
    <w:tmpl w:val="AE338BEA"/>
    <w:lvl w:ilvl="0" w:tentative="0">
      <w:start w:val="1"/>
      <w:numFmt w:val="decimal"/>
      <w:lvlText w:val="%1."/>
      <w:lvlJc w:val="left"/>
      <w:pPr>
        <w:tabs>
          <w:tab w:val="left" w:pos="210"/>
        </w:tabs>
        <w:ind w:left="0" w:firstLine="480"/>
      </w:pPr>
      <w:rPr>
        <w:rFonts w:hint="default"/>
      </w:rPr>
    </w:lvl>
  </w:abstractNum>
  <w:abstractNum w:abstractNumId="16">
    <w:nsid w:val="B195CB9B"/>
    <w:multiLevelType w:val="singleLevel"/>
    <w:tmpl w:val="B195CB9B"/>
    <w:lvl w:ilvl="0" w:tentative="0">
      <w:start w:val="1"/>
      <w:numFmt w:val="decimal"/>
      <w:lvlText w:val="6.%1"/>
      <w:lvlJc w:val="left"/>
      <w:pPr>
        <w:tabs>
          <w:tab w:val="left" w:pos="210"/>
        </w:tabs>
        <w:ind w:left="0" w:firstLine="480"/>
      </w:pPr>
      <w:rPr>
        <w:rFonts w:hint="default"/>
      </w:rPr>
    </w:lvl>
  </w:abstractNum>
  <w:abstractNum w:abstractNumId="17">
    <w:nsid w:val="B4CA1425"/>
    <w:multiLevelType w:val="singleLevel"/>
    <w:tmpl w:val="B4CA1425"/>
    <w:lvl w:ilvl="0" w:tentative="0">
      <w:start w:val="1"/>
      <w:numFmt w:val="decimal"/>
      <w:lvlText w:val="20.1.%1"/>
      <w:lvlJc w:val="left"/>
      <w:pPr>
        <w:tabs>
          <w:tab w:val="left" w:pos="210"/>
        </w:tabs>
        <w:ind w:left="0" w:firstLine="0"/>
      </w:pPr>
      <w:rPr>
        <w:rFonts w:hint="default"/>
      </w:rPr>
    </w:lvl>
  </w:abstractNum>
  <w:abstractNum w:abstractNumId="18">
    <w:nsid w:val="B7A61036"/>
    <w:multiLevelType w:val="singleLevel"/>
    <w:tmpl w:val="B7A61036"/>
    <w:lvl w:ilvl="0" w:tentative="0">
      <w:start w:val="1"/>
      <w:numFmt w:val="decimal"/>
      <w:suff w:val="nothing"/>
      <w:lvlText w:val="（%1）"/>
      <w:lvlJc w:val="left"/>
      <w:pPr>
        <w:ind w:left="0" w:firstLine="480"/>
      </w:pPr>
      <w:rPr>
        <w:rFonts w:hint="default"/>
      </w:rPr>
    </w:lvl>
  </w:abstractNum>
  <w:abstractNum w:abstractNumId="19">
    <w:nsid w:val="B9453C10"/>
    <w:multiLevelType w:val="singleLevel"/>
    <w:tmpl w:val="B9453C10"/>
    <w:lvl w:ilvl="0" w:tentative="0">
      <w:start w:val="1"/>
      <w:numFmt w:val="decimal"/>
      <w:lvlText w:val="27.4.%1"/>
      <w:lvlJc w:val="left"/>
      <w:pPr>
        <w:tabs>
          <w:tab w:val="left" w:pos="210"/>
        </w:tabs>
        <w:ind w:left="0" w:firstLine="480"/>
      </w:pPr>
      <w:rPr>
        <w:rFonts w:hint="default"/>
      </w:rPr>
    </w:lvl>
  </w:abstractNum>
  <w:abstractNum w:abstractNumId="20">
    <w:nsid w:val="BE18D80E"/>
    <w:multiLevelType w:val="singleLevel"/>
    <w:tmpl w:val="BE18D80E"/>
    <w:lvl w:ilvl="0" w:tentative="0">
      <w:start w:val="1"/>
      <w:numFmt w:val="decimal"/>
      <w:lvlText w:val="3.%1"/>
      <w:lvlJc w:val="left"/>
      <w:pPr>
        <w:tabs>
          <w:tab w:val="left" w:pos="210"/>
        </w:tabs>
        <w:ind w:left="0" w:firstLine="480"/>
      </w:pPr>
      <w:rPr>
        <w:rFonts w:hint="default"/>
      </w:rPr>
    </w:lvl>
  </w:abstractNum>
  <w:abstractNum w:abstractNumId="21">
    <w:nsid w:val="BF2E5040"/>
    <w:multiLevelType w:val="singleLevel"/>
    <w:tmpl w:val="BF2E5040"/>
    <w:lvl w:ilvl="0" w:tentative="0">
      <w:start w:val="1"/>
      <w:numFmt w:val="decimal"/>
      <w:lvlText w:val="%1."/>
      <w:lvlJc w:val="left"/>
      <w:pPr>
        <w:tabs>
          <w:tab w:val="left" w:pos="210"/>
        </w:tabs>
        <w:ind w:left="0" w:firstLine="482"/>
      </w:pPr>
      <w:rPr>
        <w:rFonts w:hint="default"/>
      </w:rPr>
    </w:lvl>
  </w:abstractNum>
  <w:abstractNum w:abstractNumId="22">
    <w:nsid w:val="BF46BEED"/>
    <w:multiLevelType w:val="singleLevel"/>
    <w:tmpl w:val="BF46BEED"/>
    <w:lvl w:ilvl="0" w:tentative="0">
      <w:start w:val="1"/>
      <w:numFmt w:val="decimal"/>
      <w:lvlText w:val="%1."/>
      <w:lvlJc w:val="left"/>
      <w:pPr>
        <w:tabs>
          <w:tab w:val="left" w:pos="210"/>
        </w:tabs>
        <w:ind w:left="0" w:firstLine="482"/>
      </w:pPr>
      <w:rPr>
        <w:rFonts w:hint="default"/>
      </w:rPr>
    </w:lvl>
  </w:abstractNum>
  <w:abstractNum w:abstractNumId="23">
    <w:nsid w:val="C1C91AFF"/>
    <w:multiLevelType w:val="singleLevel"/>
    <w:tmpl w:val="C1C91AFF"/>
    <w:lvl w:ilvl="0" w:tentative="0">
      <w:start w:val="6"/>
      <w:numFmt w:val="decimal"/>
      <w:suff w:val="nothing"/>
      <w:lvlText w:val="%1、"/>
      <w:lvlJc w:val="left"/>
      <w:pPr>
        <w:ind w:left="0" w:firstLine="0"/>
      </w:pPr>
      <w:rPr>
        <w:rFonts w:hint="default"/>
      </w:rPr>
    </w:lvl>
  </w:abstractNum>
  <w:abstractNum w:abstractNumId="24">
    <w:nsid w:val="C9F9F2BB"/>
    <w:multiLevelType w:val="singleLevel"/>
    <w:tmpl w:val="C9F9F2BB"/>
    <w:lvl w:ilvl="0" w:tentative="0">
      <w:start w:val="1"/>
      <w:numFmt w:val="decimal"/>
      <w:lvlText w:val="21.%1"/>
      <w:lvlJc w:val="left"/>
      <w:pPr>
        <w:tabs>
          <w:tab w:val="left" w:pos="210"/>
        </w:tabs>
        <w:ind w:left="0" w:firstLine="480"/>
      </w:pPr>
      <w:rPr>
        <w:rFonts w:hint="default"/>
      </w:rPr>
    </w:lvl>
  </w:abstractNum>
  <w:abstractNum w:abstractNumId="25">
    <w:nsid w:val="D23FAF0A"/>
    <w:multiLevelType w:val="singleLevel"/>
    <w:tmpl w:val="D23FAF0A"/>
    <w:lvl w:ilvl="0" w:tentative="0">
      <w:start w:val="1"/>
      <w:numFmt w:val="chineseCounting"/>
      <w:suff w:val="nothing"/>
      <w:lvlText w:val="%1、"/>
      <w:lvlJc w:val="left"/>
      <w:pPr>
        <w:ind w:left="0" w:firstLine="0"/>
      </w:pPr>
      <w:rPr>
        <w:rFonts w:hint="eastAsia"/>
      </w:rPr>
    </w:lvl>
  </w:abstractNum>
  <w:abstractNum w:abstractNumId="26">
    <w:nsid w:val="D814E7F9"/>
    <w:multiLevelType w:val="singleLevel"/>
    <w:tmpl w:val="D814E7F9"/>
    <w:lvl w:ilvl="0" w:tentative="0">
      <w:start w:val="1"/>
      <w:numFmt w:val="decimal"/>
      <w:lvlText w:val="32.3.%1"/>
      <w:lvlJc w:val="left"/>
      <w:pPr>
        <w:tabs>
          <w:tab w:val="left" w:pos="210"/>
        </w:tabs>
        <w:ind w:left="0" w:firstLine="480"/>
      </w:pPr>
      <w:rPr>
        <w:rFonts w:hint="default"/>
      </w:rPr>
    </w:lvl>
  </w:abstractNum>
  <w:abstractNum w:abstractNumId="27">
    <w:nsid w:val="D8AFDD9C"/>
    <w:multiLevelType w:val="singleLevel"/>
    <w:tmpl w:val="D8AFDD9C"/>
    <w:lvl w:ilvl="0" w:tentative="0">
      <w:start w:val="1"/>
      <w:numFmt w:val="decimal"/>
      <w:suff w:val="nothing"/>
      <w:lvlText w:val="（%1）"/>
      <w:lvlJc w:val="left"/>
      <w:pPr>
        <w:ind w:left="0" w:firstLine="480"/>
      </w:pPr>
      <w:rPr>
        <w:rFonts w:hint="default"/>
      </w:rPr>
    </w:lvl>
  </w:abstractNum>
  <w:abstractNum w:abstractNumId="28">
    <w:nsid w:val="D8FCD430"/>
    <w:multiLevelType w:val="singleLevel"/>
    <w:tmpl w:val="D8FCD430"/>
    <w:lvl w:ilvl="0" w:tentative="0">
      <w:start w:val="1"/>
      <w:numFmt w:val="decimal"/>
      <w:lvlText w:val="9.%1"/>
      <w:lvlJc w:val="left"/>
      <w:pPr>
        <w:tabs>
          <w:tab w:val="left" w:pos="210"/>
        </w:tabs>
        <w:ind w:left="0" w:firstLine="480"/>
      </w:pPr>
      <w:rPr>
        <w:rFonts w:hint="default"/>
      </w:rPr>
    </w:lvl>
  </w:abstractNum>
  <w:abstractNum w:abstractNumId="29">
    <w:nsid w:val="DB2ED716"/>
    <w:multiLevelType w:val="singleLevel"/>
    <w:tmpl w:val="DB2ED716"/>
    <w:lvl w:ilvl="0" w:tentative="0">
      <w:start w:val="1"/>
      <w:numFmt w:val="decimal"/>
      <w:suff w:val="nothing"/>
      <w:lvlText w:val="%1、"/>
      <w:lvlJc w:val="left"/>
      <w:pPr>
        <w:ind w:left="0" w:firstLine="480"/>
      </w:pPr>
      <w:rPr>
        <w:rFonts w:hint="default"/>
      </w:rPr>
    </w:lvl>
  </w:abstractNum>
  <w:abstractNum w:abstractNumId="30">
    <w:nsid w:val="DC52E1B3"/>
    <w:multiLevelType w:val="singleLevel"/>
    <w:tmpl w:val="DC52E1B3"/>
    <w:lvl w:ilvl="0" w:tentative="0">
      <w:start w:val="1"/>
      <w:numFmt w:val="decimal"/>
      <w:lvlText w:val="23.%1"/>
      <w:lvlJc w:val="left"/>
      <w:pPr>
        <w:tabs>
          <w:tab w:val="left" w:pos="210"/>
        </w:tabs>
        <w:ind w:left="0" w:firstLine="480"/>
      </w:pPr>
      <w:rPr>
        <w:rFonts w:hint="default"/>
      </w:rPr>
    </w:lvl>
  </w:abstractNum>
  <w:abstractNum w:abstractNumId="31">
    <w:nsid w:val="E720AE7F"/>
    <w:multiLevelType w:val="singleLevel"/>
    <w:tmpl w:val="E720AE7F"/>
    <w:lvl w:ilvl="0" w:tentative="0">
      <w:start w:val="1"/>
      <w:numFmt w:val="decimal"/>
      <w:suff w:val="nothing"/>
      <w:lvlText w:val="（%1）"/>
      <w:lvlJc w:val="left"/>
      <w:pPr>
        <w:ind w:left="0" w:firstLine="482"/>
      </w:pPr>
      <w:rPr>
        <w:rFonts w:hint="default"/>
      </w:rPr>
    </w:lvl>
  </w:abstractNum>
  <w:abstractNum w:abstractNumId="32">
    <w:nsid w:val="E7376618"/>
    <w:multiLevelType w:val="singleLevel"/>
    <w:tmpl w:val="E7376618"/>
    <w:lvl w:ilvl="0" w:tentative="0">
      <w:start w:val="1"/>
      <w:numFmt w:val="chineseCounting"/>
      <w:suff w:val="nothing"/>
      <w:lvlText w:val="%1、"/>
      <w:lvlJc w:val="left"/>
      <w:pPr>
        <w:ind w:left="0" w:firstLine="480"/>
      </w:pPr>
      <w:rPr>
        <w:rFonts w:hint="eastAsia"/>
      </w:rPr>
    </w:lvl>
  </w:abstractNum>
  <w:abstractNum w:abstractNumId="33">
    <w:nsid w:val="E85A43A8"/>
    <w:multiLevelType w:val="singleLevel"/>
    <w:tmpl w:val="E85A43A8"/>
    <w:lvl w:ilvl="0" w:tentative="0">
      <w:start w:val="1"/>
      <w:numFmt w:val="decimal"/>
      <w:lvlText w:val="12.%1"/>
      <w:lvlJc w:val="left"/>
      <w:pPr>
        <w:tabs>
          <w:tab w:val="left" w:pos="210"/>
        </w:tabs>
        <w:ind w:left="0" w:firstLine="480"/>
      </w:pPr>
      <w:rPr>
        <w:rFonts w:hint="default"/>
      </w:rPr>
    </w:lvl>
  </w:abstractNum>
  <w:abstractNum w:abstractNumId="34">
    <w:nsid w:val="EA7B9175"/>
    <w:multiLevelType w:val="singleLevel"/>
    <w:tmpl w:val="EA7B9175"/>
    <w:lvl w:ilvl="0" w:tentative="0">
      <w:start w:val="1"/>
      <w:numFmt w:val="decimal"/>
      <w:lvlText w:val="6.2.%1"/>
      <w:lvlJc w:val="left"/>
      <w:pPr>
        <w:tabs>
          <w:tab w:val="left" w:pos="210"/>
        </w:tabs>
        <w:ind w:left="0" w:firstLine="480"/>
      </w:pPr>
      <w:rPr>
        <w:rFonts w:hint="default"/>
      </w:rPr>
    </w:lvl>
  </w:abstractNum>
  <w:abstractNum w:abstractNumId="35">
    <w:nsid w:val="EFBE8767"/>
    <w:multiLevelType w:val="singleLevel"/>
    <w:tmpl w:val="EFBE8767"/>
    <w:lvl w:ilvl="0" w:tentative="0">
      <w:start w:val="1"/>
      <w:numFmt w:val="decimal"/>
      <w:suff w:val="nothing"/>
      <w:lvlText w:val="%1、"/>
      <w:lvlJc w:val="left"/>
      <w:pPr>
        <w:ind w:left="0" w:firstLine="480"/>
      </w:pPr>
      <w:rPr>
        <w:rFonts w:hint="default"/>
      </w:rPr>
    </w:lvl>
  </w:abstractNum>
  <w:abstractNum w:abstractNumId="36">
    <w:nsid w:val="F05C7946"/>
    <w:multiLevelType w:val="singleLevel"/>
    <w:tmpl w:val="F05C7946"/>
    <w:lvl w:ilvl="0" w:tentative="0">
      <w:start w:val="1"/>
      <w:numFmt w:val="decimal"/>
      <w:lvlText w:val="4.12.%1"/>
      <w:lvlJc w:val="left"/>
      <w:pPr>
        <w:tabs>
          <w:tab w:val="left" w:pos="210"/>
        </w:tabs>
        <w:ind w:left="0" w:firstLine="0"/>
      </w:pPr>
      <w:rPr>
        <w:rFonts w:hint="default"/>
      </w:rPr>
    </w:lvl>
  </w:abstractNum>
  <w:abstractNum w:abstractNumId="37">
    <w:nsid w:val="F0FCB8A0"/>
    <w:multiLevelType w:val="singleLevel"/>
    <w:tmpl w:val="F0FCB8A0"/>
    <w:lvl w:ilvl="0" w:tentative="0">
      <w:start w:val="1"/>
      <w:numFmt w:val="decimal"/>
      <w:lvlText w:val="28.5.%1"/>
      <w:lvlJc w:val="left"/>
      <w:pPr>
        <w:tabs>
          <w:tab w:val="left" w:pos="210"/>
        </w:tabs>
        <w:ind w:left="0" w:firstLine="480"/>
      </w:pPr>
      <w:rPr>
        <w:rFonts w:hint="default"/>
      </w:rPr>
    </w:lvl>
  </w:abstractNum>
  <w:abstractNum w:abstractNumId="38">
    <w:nsid w:val="F3151E33"/>
    <w:multiLevelType w:val="singleLevel"/>
    <w:tmpl w:val="F3151E33"/>
    <w:lvl w:ilvl="0" w:tentative="0">
      <w:start w:val="1"/>
      <w:numFmt w:val="chineseCounting"/>
      <w:suff w:val="nothing"/>
      <w:lvlText w:val="%1、"/>
      <w:lvlJc w:val="left"/>
      <w:pPr>
        <w:ind w:left="0" w:firstLine="482"/>
      </w:pPr>
      <w:rPr>
        <w:rFonts w:hint="eastAsia"/>
      </w:rPr>
    </w:lvl>
  </w:abstractNum>
  <w:abstractNum w:abstractNumId="39">
    <w:nsid w:val="F5804EC1"/>
    <w:multiLevelType w:val="singleLevel"/>
    <w:tmpl w:val="F5804EC1"/>
    <w:lvl w:ilvl="0" w:tentative="0">
      <w:start w:val="1"/>
      <w:numFmt w:val="decimal"/>
      <w:lvlText w:val="25.1.%1"/>
      <w:lvlJc w:val="left"/>
      <w:pPr>
        <w:tabs>
          <w:tab w:val="left" w:pos="210"/>
        </w:tabs>
        <w:ind w:left="0" w:firstLine="480"/>
      </w:pPr>
      <w:rPr>
        <w:rFonts w:hint="default"/>
      </w:rPr>
    </w:lvl>
  </w:abstractNum>
  <w:abstractNum w:abstractNumId="40">
    <w:nsid w:val="F6243B19"/>
    <w:multiLevelType w:val="singleLevel"/>
    <w:tmpl w:val="F6243B19"/>
    <w:lvl w:ilvl="0" w:tentative="0">
      <w:start w:val="1"/>
      <w:numFmt w:val="decimal"/>
      <w:suff w:val="nothing"/>
      <w:lvlText w:val="（%1）"/>
      <w:lvlJc w:val="left"/>
      <w:pPr>
        <w:ind w:left="0" w:firstLine="480"/>
      </w:pPr>
      <w:rPr>
        <w:rFonts w:hint="default"/>
      </w:rPr>
    </w:lvl>
  </w:abstractNum>
  <w:abstractNum w:abstractNumId="41">
    <w:nsid w:val="F7B8D563"/>
    <w:multiLevelType w:val="singleLevel"/>
    <w:tmpl w:val="F7B8D563"/>
    <w:lvl w:ilvl="0" w:tentative="0">
      <w:start w:val="1"/>
      <w:numFmt w:val="chineseCounting"/>
      <w:suff w:val="nothing"/>
      <w:lvlText w:val="%1、"/>
      <w:lvlJc w:val="left"/>
      <w:pPr>
        <w:ind w:left="0" w:firstLine="0"/>
      </w:pPr>
      <w:rPr>
        <w:rFonts w:hint="eastAsia"/>
      </w:rPr>
    </w:lvl>
  </w:abstractNum>
  <w:abstractNum w:abstractNumId="42">
    <w:nsid w:val="FAFA2562"/>
    <w:multiLevelType w:val="singleLevel"/>
    <w:tmpl w:val="FAFA2562"/>
    <w:lvl w:ilvl="0" w:tentative="0">
      <w:start w:val="1"/>
      <w:numFmt w:val="decimal"/>
      <w:lvlText w:val="1.%1"/>
      <w:lvlJc w:val="left"/>
      <w:pPr>
        <w:tabs>
          <w:tab w:val="left" w:pos="210"/>
        </w:tabs>
        <w:ind w:left="0" w:firstLine="480"/>
      </w:pPr>
      <w:rPr>
        <w:rFonts w:hint="default"/>
      </w:rPr>
    </w:lvl>
  </w:abstractNum>
  <w:abstractNum w:abstractNumId="43">
    <w:nsid w:val="FD752A70"/>
    <w:multiLevelType w:val="singleLevel"/>
    <w:tmpl w:val="FD752A70"/>
    <w:lvl w:ilvl="0" w:tentative="0">
      <w:start w:val="1"/>
      <w:numFmt w:val="decimal"/>
      <w:lvlText w:val="%1."/>
      <w:lvlJc w:val="left"/>
      <w:pPr>
        <w:tabs>
          <w:tab w:val="left" w:pos="210"/>
        </w:tabs>
        <w:ind w:left="0" w:firstLine="480"/>
      </w:pPr>
      <w:rPr>
        <w:rFonts w:hint="default"/>
      </w:rPr>
    </w:lvl>
  </w:abstractNum>
  <w:abstractNum w:abstractNumId="44">
    <w:nsid w:val="FF72F395"/>
    <w:multiLevelType w:val="singleLevel"/>
    <w:tmpl w:val="FF72F395"/>
    <w:lvl w:ilvl="0" w:tentative="0">
      <w:start w:val="1"/>
      <w:numFmt w:val="decimal"/>
      <w:lvlText w:val="14.%1"/>
      <w:lvlJc w:val="left"/>
      <w:pPr>
        <w:tabs>
          <w:tab w:val="left" w:pos="210"/>
        </w:tabs>
        <w:ind w:left="0" w:firstLine="480"/>
      </w:pPr>
      <w:rPr>
        <w:rFonts w:hint="default"/>
      </w:rPr>
    </w:lvl>
  </w:abstractNum>
  <w:abstractNum w:abstractNumId="45">
    <w:nsid w:val="FFD67525"/>
    <w:multiLevelType w:val="singleLevel"/>
    <w:tmpl w:val="FFD67525"/>
    <w:lvl w:ilvl="0" w:tentative="0">
      <w:start w:val="1"/>
      <w:numFmt w:val="decimal"/>
      <w:lvlText w:val="26.1.%1"/>
      <w:lvlJc w:val="left"/>
      <w:pPr>
        <w:tabs>
          <w:tab w:val="left" w:pos="210"/>
        </w:tabs>
        <w:ind w:left="0" w:firstLine="480"/>
      </w:pPr>
      <w:rPr>
        <w:rFonts w:hint="default"/>
      </w:rPr>
    </w:lvl>
  </w:abstractNum>
  <w:abstractNum w:abstractNumId="46">
    <w:nsid w:val="FFD93BB1"/>
    <w:multiLevelType w:val="singleLevel"/>
    <w:tmpl w:val="FFD93BB1"/>
    <w:lvl w:ilvl="0" w:tentative="0">
      <w:start w:val="1"/>
      <w:numFmt w:val="chineseCounting"/>
      <w:suff w:val="nothing"/>
      <w:lvlText w:val="%1、"/>
      <w:lvlJc w:val="left"/>
      <w:pPr>
        <w:ind w:left="0" w:firstLine="0"/>
      </w:pPr>
      <w:rPr>
        <w:rFonts w:hint="eastAsia"/>
      </w:rPr>
    </w:lvl>
  </w:abstractNum>
  <w:abstractNum w:abstractNumId="47">
    <w:nsid w:val="039BD52B"/>
    <w:multiLevelType w:val="singleLevel"/>
    <w:tmpl w:val="039BD52B"/>
    <w:lvl w:ilvl="0" w:tentative="0">
      <w:start w:val="1"/>
      <w:numFmt w:val="chineseCounting"/>
      <w:suff w:val="nothing"/>
      <w:lvlText w:val="%1、"/>
      <w:lvlJc w:val="left"/>
      <w:pPr>
        <w:ind w:left="0" w:firstLine="0"/>
      </w:pPr>
      <w:rPr>
        <w:rFonts w:hint="eastAsia"/>
      </w:rPr>
    </w:lvl>
  </w:abstractNum>
  <w:abstractNum w:abstractNumId="48">
    <w:nsid w:val="0581FD81"/>
    <w:multiLevelType w:val="singleLevel"/>
    <w:tmpl w:val="0581FD81"/>
    <w:lvl w:ilvl="0" w:tentative="0">
      <w:start w:val="1"/>
      <w:numFmt w:val="decimal"/>
      <w:lvlText w:val="26.2.%1"/>
      <w:lvlJc w:val="left"/>
      <w:pPr>
        <w:tabs>
          <w:tab w:val="left" w:pos="210"/>
        </w:tabs>
        <w:ind w:left="0" w:firstLine="480"/>
      </w:pPr>
      <w:rPr>
        <w:rFonts w:hint="default"/>
      </w:rPr>
    </w:lvl>
  </w:abstractNum>
  <w:abstractNum w:abstractNumId="49">
    <w:nsid w:val="081E5652"/>
    <w:multiLevelType w:val="singleLevel"/>
    <w:tmpl w:val="081E5652"/>
    <w:lvl w:ilvl="0" w:tentative="0">
      <w:start w:val="1"/>
      <w:numFmt w:val="decimal"/>
      <w:lvlText w:val="32.3.6.%1"/>
      <w:lvlJc w:val="left"/>
      <w:pPr>
        <w:tabs>
          <w:tab w:val="left" w:pos="210"/>
        </w:tabs>
        <w:ind w:left="0" w:firstLine="480"/>
      </w:pPr>
      <w:rPr>
        <w:rFonts w:hint="default"/>
      </w:rPr>
    </w:lvl>
  </w:abstractNum>
  <w:abstractNum w:abstractNumId="50">
    <w:nsid w:val="08EC69B8"/>
    <w:multiLevelType w:val="singleLevel"/>
    <w:tmpl w:val="08EC69B8"/>
    <w:lvl w:ilvl="0" w:tentative="0">
      <w:start w:val="17"/>
      <w:numFmt w:val="decimal"/>
      <w:suff w:val="nothing"/>
      <w:lvlText w:val="%1、"/>
      <w:lvlJc w:val="left"/>
      <w:pPr>
        <w:ind w:left="0" w:firstLine="0"/>
      </w:pPr>
      <w:rPr>
        <w:rFonts w:hint="default"/>
      </w:rPr>
    </w:lvl>
  </w:abstractNum>
  <w:abstractNum w:abstractNumId="51">
    <w:nsid w:val="0A09C84F"/>
    <w:multiLevelType w:val="singleLevel"/>
    <w:tmpl w:val="0A09C84F"/>
    <w:lvl w:ilvl="0" w:tentative="0">
      <w:start w:val="1"/>
      <w:numFmt w:val="decimal"/>
      <w:lvlText w:val="%1."/>
      <w:lvlJc w:val="left"/>
      <w:pPr>
        <w:tabs>
          <w:tab w:val="left" w:pos="210"/>
        </w:tabs>
        <w:ind w:left="0" w:firstLine="480"/>
      </w:pPr>
      <w:rPr>
        <w:rFonts w:hint="default"/>
      </w:rPr>
    </w:lvl>
  </w:abstractNum>
  <w:abstractNum w:abstractNumId="52">
    <w:nsid w:val="0DDA364F"/>
    <w:multiLevelType w:val="singleLevel"/>
    <w:tmpl w:val="0DDA364F"/>
    <w:lvl w:ilvl="0" w:tentative="0">
      <w:start w:val="1"/>
      <w:numFmt w:val="decimal"/>
      <w:lvlText w:val="6.4.%1"/>
      <w:lvlJc w:val="left"/>
      <w:pPr>
        <w:tabs>
          <w:tab w:val="left" w:pos="210"/>
        </w:tabs>
        <w:ind w:left="0" w:firstLine="480"/>
      </w:pPr>
      <w:rPr>
        <w:rFonts w:hint="default"/>
      </w:rPr>
    </w:lvl>
  </w:abstractNum>
  <w:abstractNum w:abstractNumId="53">
    <w:nsid w:val="0FE601F6"/>
    <w:multiLevelType w:val="singleLevel"/>
    <w:tmpl w:val="0FE601F6"/>
    <w:lvl w:ilvl="0" w:tentative="0">
      <w:start w:val="1"/>
      <w:numFmt w:val="decimal"/>
      <w:lvlText w:val="10.%1"/>
      <w:lvlJc w:val="left"/>
      <w:pPr>
        <w:tabs>
          <w:tab w:val="left" w:pos="210"/>
        </w:tabs>
        <w:ind w:left="0" w:firstLine="480"/>
      </w:pPr>
      <w:rPr>
        <w:rFonts w:hint="default"/>
      </w:rPr>
    </w:lvl>
  </w:abstractNum>
  <w:abstractNum w:abstractNumId="54">
    <w:nsid w:val="11986BE0"/>
    <w:multiLevelType w:val="singleLevel"/>
    <w:tmpl w:val="11986BE0"/>
    <w:lvl w:ilvl="0" w:tentative="0">
      <w:start w:val="2"/>
      <w:numFmt w:val="decimal"/>
      <w:lvlText w:val="30.%1"/>
      <w:lvlJc w:val="left"/>
      <w:pPr>
        <w:tabs>
          <w:tab w:val="left" w:pos="210"/>
        </w:tabs>
        <w:ind w:left="0" w:firstLine="480"/>
      </w:pPr>
      <w:rPr>
        <w:rFonts w:hint="default"/>
      </w:rPr>
    </w:lvl>
  </w:abstractNum>
  <w:abstractNum w:abstractNumId="55">
    <w:nsid w:val="15142C9C"/>
    <w:multiLevelType w:val="singleLevel"/>
    <w:tmpl w:val="15142C9C"/>
    <w:lvl w:ilvl="0" w:tentative="0">
      <w:start w:val="1"/>
      <w:numFmt w:val="decimal"/>
      <w:lvlText w:val="20.%1"/>
      <w:lvlJc w:val="left"/>
      <w:pPr>
        <w:tabs>
          <w:tab w:val="left" w:pos="210"/>
        </w:tabs>
        <w:ind w:left="0" w:firstLine="0"/>
      </w:pPr>
      <w:rPr>
        <w:rFonts w:hint="default"/>
      </w:rPr>
    </w:lvl>
  </w:abstractNum>
  <w:abstractNum w:abstractNumId="56">
    <w:nsid w:val="16C63E94"/>
    <w:multiLevelType w:val="singleLevel"/>
    <w:tmpl w:val="16C63E94"/>
    <w:lvl w:ilvl="0" w:tentative="0">
      <w:start w:val="21"/>
      <w:numFmt w:val="decimal"/>
      <w:suff w:val="nothing"/>
      <w:lvlText w:val="%1、"/>
      <w:lvlJc w:val="left"/>
      <w:pPr>
        <w:ind w:left="0" w:firstLine="0"/>
      </w:pPr>
      <w:rPr>
        <w:rFonts w:hint="default"/>
      </w:rPr>
    </w:lvl>
  </w:abstractNum>
  <w:abstractNum w:abstractNumId="57">
    <w:nsid w:val="20400941"/>
    <w:multiLevelType w:val="singleLevel"/>
    <w:tmpl w:val="20400941"/>
    <w:lvl w:ilvl="0" w:tentative="0">
      <w:start w:val="1"/>
      <w:numFmt w:val="chineseCounting"/>
      <w:lvlText w:val="第%1章"/>
      <w:lvlJc w:val="left"/>
      <w:pPr>
        <w:tabs>
          <w:tab w:val="left" w:pos="210"/>
        </w:tabs>
        <w:ind w:left="0" w:firstLine="0"/>
      </w:pPr>
      <w:rPr>
        <w:rFonts w:hint="eastAsia"/>
      </w:rPr>
    </w:lvl>
  </w:abstractNum>
  <w:abstractNum w:abstractNumId="58">
    <w:nsid w:val="2611B425"/>
    <w:multiLevelType w:val="singleLevel"/>
    <w:tmpl w:val="2611B425"/>
    <w:lvl w:ilvl="0" w:tentative="0">
      <w:start w:val="1"/>
      <w:numFmt w:val="decimal"/>
      <w:suff w:val="nothing"/>
      <w:lvlText w:val="（%1）"/>
      <w:lvlJc w:val="left"/>
      <w:pPr>
        <w:ind w:left="0" w:firstLine="480"/>
      </w:pPr>
      <w:rPr>
        <w:rFonts w:hint="default"/>
      </w:rPr>
    </w:lvl>
  </w:abstractNum>
  <w:abstractNum w:abstractNumId="59">
    <w:nsid w:val="2636B701"/>
    <w:multiLevelType w:val="singleLevel"/>
    <w:tmpl w:val="2636B701"/>
    <w:lvl w:ilvl="0" w:tentative="0">
      <w:start w:val="1"/>
      <w:numFmt w:val="decimal"/>
      <w:lvlText w:val="3.%1"/>
      <w:lvlJc w:val="left"/>
      <w:pPr>
        <w:tabs>
          <w:tab w:val="left" w:pos="210"/>
        </w:tabs>
        <w:ind w:left="0" w:firstLine="480"/>
      </w:pPr>
      <w:rPr>
        <w:rFonts w:hint="default"/>
      </w:rPr>
    </w:lvl>
  </w:abstractNum>
  <w:abstractNum w:abstractNumId="60">
    <w:nsid w:val="2B9389FB"/>
    <w:multiLevelType w:val="singleLevel"/>
    <w:tmpl w:val="2B9389FB"/>
    <w:lvl w:ilvl="0" w:tentative="0">
      <w:start w:val="1"/>
      <w:numFmt w:val="decimal"/>
      <w:lvlText w:val="%1."/>
      <w:lvlJc w:val="left"/>
      <w:pPr>
        <w:tabs>
          <w:tab w:val="left" w:pos="210"/>
        </w:tabs>
        <w:ind w:left="0" w:firstLine="480"/>
      </w:pPr>
      <w:rPr>
        <w:rFonts w:hint="default"/>
      </w:rPr>
    </w:lvl>
  </w:abstractNum>
  <w:abstractNum w:abstractNumId="61">
    <w:nsid w:val="2DB688C9"/>
    <w:multiLevelType w:val="singleLevel"/>
    <w:tmpl w:val="2DB688C9"/>
    <w:lvl w:ilvl="0" w:tentative="0">
      <w:start w:val="1"/>
      <w:numFmt w:val="chineseCounting"/>
      <w:suff w:val="nothing"/>
      <w:lvlText w:val="%1、"/>
      <w:lvlJc w:val="left"/>
      <w:pPr>
        <w:ind w:left="0" w:firstLine="0"/>
      </w:pPr>
      <w:rPr>
        <w:rFonts w:hint="eastAsia"/>
      </w:rPr>
    </w:lvl>
  </w:abstractNum>
  <w:abstractNum w:abstractNumId="62">
    <w:nsid w:val="2ECEEAAD"/>
    <w:multiLevelType w:val="singleLevel"/>
    <w:tmpl w:val="2ECEEAAD"/>
    <w:lvl w:ilvl="0" w:tentative="0">
      <w:start w:val="1"/>
      <w:numFmt w:val="decimal"/>
      <w:lvlText w:val="13.%1"/>
      <w:lvlJc w:val="left"/>
      <w:pPr>
        <w:tabs>
          <w:tab w:val="left" w:pos="210"/>
        </w:tabs>
        <w:ind w:left="0" w:firstLine="480"/>
      </w:pPr>
      <w:rPr>
        <w:rFonts w:hint="default"/>
      </w:rPr>
    </w:lvl>
  </w:abstractNum>
  <w:abstractNum w:abstractNumId="63">
    <w:nsid w:val="2ED41432"/>
    <w:multiLevelType w:val="singleLevel"/>
    <w:tmpl w:val="2ED41432"/>
    <w:lvl w:ilvl="0" w:tentative="0">
      <w:start w:val="1"/>
      <w:numFmt w:val="decimal"/>
      <w:lvlText w:val="11.%1"/>
      <w:lvlJc w:val="left"/>
      <w:pPr>
        <w:tabs>
          <w:tab w:val="left" w:pos="210"/>
        </w:tabs>
        <w:ind w:left="0" w:firstLine="480"/>
      </w:pPr>
      <w:rPr>
        <w:rFonts w:hint="default"/>
      </w:rPr>
    </w:lvl>
  </w:abstractNum>
  <w:abstractNum w:abstractNumId="64">
    <w:nsid w:val="31B80AC9"/>
    <w:multiLevelType w:val="singleLevel"/>
    <w:tmpl w:val="31B80AC9"/>
    <w:lvl w:ilvl="0" w:tentative="0">
      <w:start w:val="1"/>
      <w:numFmt w:val="decimal"/>
      <w:suff w:val="nothing"/>
      <w:lvlText w:val="（%1）"/>
      <w:lvlJc w:val="left"/>
      <w:pPr>
        <w:ind w:left="0" w:firstLine="480"/>
      </w:pPr>
      <w:rPr>
        <w:rFonts w:hint="default"/>
      </w:rPr>
    </w:lvl>
  </w:abstractNum>
  <w:abstractNum w:abstractNumId="65">
    <w:nsid w:val="322B667A"/>
    <w:multiLevelType w:val="singleLevel"/>
    <w:tmpl w:val="322B667A"/>
    <w:lvl w:ilvl="0" w:tentative="0">
      <w:start w:val="1"/>
      <w:numFmt w:val="decimal"/>
      <w:lvlText w:val="18.%1"/>
      <w:lvlJc w:val="left"/>
      <w:pPr>
        <w:tabs>
          <w:tab w:val="left" w:pos="210"/>
        </w:tabs>
        <w:ind w:left="0" w:firstLine="480"/>
      </w:pPr>
      <w:rPr>
        <w:rFonts w:hint="default"/>
      </w:rPr>
    </w:lvl>
  </w:abstractNum>
  <w:abstractNum w:abstractNumId="66">
    <w:nsid w:val="3270E3A9"/>
    <w:multiLevelType w:val="singleLevel"/>
    <w:tmpl w:val="3270E3A9"/>
    <w:lvl w:ilvl="0" w:tentative="0">
      <w:start w:val="1"/>
      <w:numFmt w:val="decimal"/>
      <w:lvlText w:val="28.%1"/>
      <w:lvlJc w:val="left"/>
      <w:pPr>
        <w:tabs>
          <w:tab w:val="left" w:pos="210"/>
        </w:tabs>
        <w:ind w:left="0" w:firstLine="480"/>
      </w:pPr>
      <w:rPr>
        <w:rFonts w:hint="default"/>
      </w:rPr>
    </w:lvl>
  </w:abstractNum>
  <w:abstractNum w:abstractNumId="67">
    <w:nsid w:val="32F09699"/>
    <w:multiLevelType w:val="singleLevel"/>
    <w:tmpl w:val="32F09699"/>
    <w:lvl w:ilvl="0" w:tentative="0">
      <w:start w:val="1"/>
      <w:numFmt w:val="decimal"/>
      <w:lvlText w:val="4.1.%1"/>
      <w:lvlJc w:val="left"/>
      <w:pPr>
        <w:tabs>
          <w:tab w:val="left" w:pos="210"/>
        </w:tabs>
        <w:ind w:left="0" w:firstLine="0"/>
      </w:pPr>
      <w:rPr>
        <w:rFonts w:hint="default"/>
      </w:rPr>
    </w:lvl>
  </w:abstractNum>
  <w:abstractNum w:abstractNumId="68">
    <w:nsid w:val="371B941B"/>
    <w:multiLevelType w:val="singleLevel"/>
    <w:tmpl w:val="371B941B"/>
    <w:lvl w:ilvl="0" w:tentative="0">
      <w:start w:val="1"/>
      <w:numFmt w:val="chineseCounting"/>
      <w:suff w:val="nothing"/>
      <w:lvlText w:val="%1、"/>
      <w:lvlJc w:val="left"/>
      <w:pPr>
        <w:ind w:left="0" w:firstLine="0"/>
      </w:pPr>
      <w:rPr>
        <w:rFonts w:hint="eastAsia"/>
      </w:rPr>
    </w:lvl>
  </w:abstractNum>
  <w:abstractNum w:abstractNumId="69">
    <w:nsid w:val="383DA84C"/>
    <w:multiLevelType w:val="singleLevel"/>
    <w:tmpl w:val="383DA84C"/>
    <w:lvl w:ilvl="0" w:tentative="0">
      <w:start w:val="1"/>
      <w:numFmt w:val="decimal"/>
      <w:suff w:val="nothing"/>
      <w:lvlText w:val="%1、"/>
      <w:lvlJc w:val="left"/>
      <w:pPr>
        <w:ind w:left="0" w:firstLine="0"/>
      </w:pPr>
      <w:rPr>
        <w:rFonts w:hint="default"/>
      </w:rPr>
    </w:lvl>
  </w:abstractNum>
  <w:abstractNum w:abstractNumId="70">
    <w:nsid w:val="3B9DA9A8"/>
    <w:multiLevelType w:val="singleLevel"/>
    <w:tmpl w:val="3B9DA9A8"/>
    <w:lvl w:ilvl="0" w:tentative="0">
      <w:start w:val="1"/>
      <w:numFmt w:val="decimal"/>
      <w:lvlText w:val="20.2.%1"/>
      <w:lvlJc w:val="left"/>
      <w:pPr>
        <w:tabs>
          <w:tab w:val="left" w:pos="210"/>
        </w:tabs>
        <w:ind w:left="0" w:firstLine="480"/>
      </w:pPr>
      <w:rPr>
        <w:rFonts w:hint="default"/>
      </w:rPr>
    </w:lvl>
  </w:abstractNum>
  <w:abstractNum w:abstractNumId="71">
    <w:nsid w:val="3DFEAA67"/>
    <w:multiLevelType w:val="singleLevel"/>
    <w:tmpl w:val="3DFEAA67"/>
    <w:lvl w:ilvl="0" w:tentative="0">
      <w:start w:val="1"/>
      <w:numFmt w:val="decimal"/>
      <w:lvlText w:val="4.%1"/>
      <w:lvlJc w:val="left"/>
      <w:pPr>
        <w:tabs>
          <w:tab w:val="left" w:pos="210"/>
        </w:tabs>
        <w:ind w:left="0" w:firstLine="0"/>
      </w:pPr>
      <w:rPr>
        <w:rFonts w:hint="default"/>
      </w:rPr>
    </w:lvl>
  </w:abstractNum>
  <w:abstractNum w:abstractNumId="72">
    <w:nsid w:val="3EBBDC16"/>
    <w:multiLevelType w:val="singleLevel"/>
    <w:tmpl w:val="3EBBDC16"/>
    <w:lvl w:ilvl="0" w:tentative="0">
      <w:start w:val="1"/>
      <w:numFmt w:val="decimal"/>
      <w:lvlText w:val="27.%1"/>
      <w:lvlJc w:val="left"/>
      <w:pPr>
        <w:tabs>
          <w:tab w:val="left" w:pos="210"/>
        </w:tabs>
        <w:ind w:left="0" w:firstLine="480"/>
      </w:pPr>
      <w:rPr>
        <w:rFonts w:hint="default"/>
      </w:rPr>
    </w:lvl>
  </w:abstractNum>
  <w:abstractNum w:abstractNumId="73">
    <w:nsid w:val="40F85A7F"/>
    <w:multiLevelType w:val="singleLevel"/>
    <w:tmpl w:val="40F85A7F"/>
    <w:lvl w:ilvl="0" w:tentative="0">
      <w:start w:val="1"/>
      <w:numFmt w:val="decimal"/>
      <w:lvlText w:val="%1."/>
      <w:lvlJc w:val="left"/>
      <w:pPr>
        <w:tabs>
          <w:tab w:val="left" w:pos="210"/>
        </w:tabs>
        <w:ind w:left="0" w:firstLine="480"/>
      </w:pPr>
      <w:rPr>
        <w:rFonts w:hint="default"/>
      </w:rPr>
    </w:lvl>
  </w:abstractNum>
  <w:abstractNum w:abstractNumId="74">
    <w:nsid w:val="46585E45"/>
    <w:multiLevelType w:val="singleLevel"/>
    <w:tmpl w:val="46585E45"/>
    <w:lvl w:ilvl="0" w:tentative="0">
      <w:start w:val="1"/>
      <w:numFmt w:val="decimal"/>
      <w:lvlText w:val="7.%1"/>
      <w:lvlJc w:val="left"/>
      <w:pPr>
        <w:tabs>
          <w:tab w:val="left" w:pos="210"/>
        </w:tabs>
        <w:ind w:left="0" w:firstLine="480"/>
      </w:pPr>
      <w:rPr>
        <w:rFonts w:hint="default"/>
      </w:rPr>
    </w:lvl>
  </w:abstractNum>
  <w:abstractNum w:abstractNumId="75">
    <w:nsid w:val="48EE3DDB"/>
    <w:multiLevelType w:val="singleLevel"/>
    <w:tmpl w:val="48EE3DDB"/>
    <w:lvl w:ilvl="0" w:tentative="0">
      <w:start w:val="9"/>
      <w:numFmt w:val="decimal"/>
      <w:suff w:val="nothing"/>
      <w:lvlText w:val="%1、"/>
      <w:lvlJc w:val="left"/>
      <w:pPr>
        <w:ind w:left="0" w:firstLine="0"/>
      </w:pPr>
      <w:rPr>
        <w:rFonts w:hint="default"/>
      </w:rPr>
    </w:lvl>
  </w:abstractNum>
  <w:abstractNum w:abstractNumId="76">
    <w:nsid w:val="4B2B0F21"/>
    <w:multiLevelType w:val="singleLevel"/>
    <w:tmpl w:val="4B2B0F21"/>
    <w:lvl w:ilvl="0" w:tentative="0">
      <w:start w:val="1"/>
      <w:numFmt w:val="decimal"/>
      <w:lvlText w:val="6.%1"/>
      <w:lvlJc w:val="left"/>
      <w:pPr>
        <w:tabs>
          <w:tab w:val="left" w:pos="210"/>
        </w:tabs>
        <w:ind w:left="0" w:firstLine="480"/>
      </w:pPr>
      <w:rPr>
        <w:rFonts w:hint="default"/>
      </w:rPr>
    </w:lvl>
  </w:abstractNum>
  <w:abstractNum w:abstractNumId="77">
    <w:nsid w:val="52B1D5EC"/>
    <w:multiLevelType w:val="singleLevel"/>
    <w:tmpl w:val="52B1D5EC"/>
    <w:lvl w:ilvl="0" w:tentative="0">
      <w:start w:val="1"/>
      <w:numFmt w:val="decimal"/>
      <w:lvlText w:val="27.5.%1"/>
      <w:lvlJc w:val="left"/>
      <w:pPr>
        <w:tabs>
          <w:tab w:val="left" w:pos="210"/>
        </w:tabs>
        <w:ind w:left="0" w:firstLine="480"/>
      </w:pPr>
      <w:rPr>
        <w:rFonts w:hint="default"/>
      </w:rPr>
    </w:lvl>
  </w:abstractNum>
  <w:abstractNum w:abstractNumId="78">
    <w:nsid w:val="55666631"/>
    <w:multiLevelType w:val="singleLevel"/>
    <w:tmpl w:val="55666631"/>
    <w:lvl w:ilvl="0" w:tentative="0">
      <w:start w:val="1"/>
      <w:numFmt w:val="decimal"/>
      <w:lvlText w:val="1.%1"/>
      <w:lvlJc w:val="left"/>
      <w:pPr>
        <w:tabs>
          <w:tab w:val="left" w:pos="210"/>
        </w:tabs>
        <w:ind w:left="0" w:firstLine="480"/>
      </w:pPr>
      <w:rPr>
        <w:rFonts w:hint="default"/>
      </w:rPr>
    </w:lvl>
  </w:abstractNum>
  <w:abstractNum w:abstractNumId="79">
    <w:nsid w:val="561E5ECD"/>
    <w:multiLevelType w:val="singleLevel"/>
    <w:tmpl w:val="561E5ECD"/>
    <w:lvl w:ilvl="0" w:tentative="0">
      <w:start w:val="1"/>
      <w:numFmt w:val="chineseCounting"/>
      <w:suff w:val="nothing"/>
      <w:lvlText w:val="（%1）"/>
      <w:lvlJc w:val="left"/>
      <w:pPr>
        <w:ind w:left="0" w:firstLine="480"/>
      </w:pPr>
      <w:rPr>
        <w:rFonts w:hint="eastAsia"/>
      </w:rPr>
    </w:lvl>
  </w:abstractNum>
  <w:abstractNum w:abstractNumId="80">
    <w:nsid w:val="57839719"/>
    <w:multiLevelType w:val="singleLevel"/>
    <w:tmpl w:val="57839719"/>
    <w:lvl w:ilvl="0" w:tentative="0">
      <w:start w:val="1"/>
      <w:numFmt w:val="decimal"/>
      <w:lvlText w:val="12.%1"/>
      <w:lvlJc w:val="left"/>
      <w:pPr>
        <w:tabs>
          <w:tab w:val="left" w:pos="210"/>
        </w:tabs>
        <w:ind w:left="0" w:firstLine="480"/>
      </w:pPr>
      <w:rPr>
        <w:rFonts w:hint="default"/>
      </w:rPr>
    </w:lvl>
  </w:abstractNum>
  <w:abstractNum w:abstractNumId="81">
    <w:nsid w:val="59ED37FA"/>
    <w:multiLevelType w:val="singleLevel"/>
    <w:tmpl w:val="59ED37FA"/>
    <w:lvl w:ilvl="0" w:tentative="0">
      <w:start w:val="1"/>
      <w:numFmt w:val="decimal"/>
      <w:lvlText w:val="7.%1"/>
      <w:lvlJc w:val="left"/>
      <w:pPr>
        <w:tabs>
          <w:tab w:val="left" w:pos="210"/>
        </w:tabs>
        <w:ind w:left="0" w:firstLine="480"/>
      </w:pPr>
      <w:rPr>
        <w:rFonts w:hint="default"/>
      </w:rPr>
    </w:lvl>
  </w:abstractNum>
  <w:abstractNum w:abstractNumId="82">
    <w:nsid w:val="5B84DA8F"/>
    <w:multiLevelType w:val="singleLevel"/>
    <w:tmpl w:val="5B84DA8F"/>
    <w:lvl w:ilvl="0" w:tentative="0">
      <w:start w:val="1"/>
      <w:numFmt w:val="decimal"/>
      <w:lvlText w:val="25.%1"/>
      <w:lvlJc w:val="left"/>
      <w:pPr>
        <w:tabs>
          <w:tab w:val="left" w:pos="210"/>
        </w:tabs>
        <w:ind w:left="0" w:firstLine="480"/>
      </w:pPr>
      <w:rPr>
        <w:rFonts w:hint="default"/>
      </w:rPr>
    </w:lvl>
  </w:abstractNum>
  <w:abstractNum w:abstractNumId="83">
    <w:nsid w:val="5BD3E72F"/>
    <w:multiLevelType w:val="singleLevel"/>
    <w:tmpl w:val="5BD3E72F"/>
    <w:lvl w:ilvl="0" w:tentative="0">
      <w:start w:val="1"/>
      <w:numFmt w:val="decimal"/>
      <w:suff w:val="nothing"/>
      <w:lvlText w:val="（%1）"/>
      <w:lvlJc w:val="left"/>
      <w:pPr>
        <w:ind w:left="0" w:firstLine="480"/>
      </w:pPr>
      <w:rPr>
        <w:rFonts w:hint="default"/>
      </w:rPr>
    </w:lvl>
  </w:abstractNum>
  <w:abstractNum w:abstractNumId="84">
    <w:nsid w:val="5FD54058"/>
    <w:multiLevelType w:val="singleLevel"/>
    <w:tmpl w:val="5FD54058"/>
    <w:lvl w:ilvl="0" w:tentative="0">
      <w:start w:val="1"/>
      <w:numFmt w:val="decimal"/>
      <w:lvlText w:val="28.2.%1"/>
      <w:lvlJc w:val="left"/>
      <w:pPr>
        <w:tabs>
          <w:tab w:val="left" w:pos="210"/>
        </w:tabs>
        <w:ind w:left="0" w:firstLine="480"/>
      </w:pPr>
      <w:rPr>
        <w:rFonts w:hint="default"/>
      </w:rPr>
    </w:lvl>
  </w:abstractNum>
  <w:abstractNum w:abstractNumId="85">
    <w:nsid w:val="60056C9A"/>
    <w:multiLevelType w:val="singleLevel"/>
    <w:tmpl w:val="60056C9A"/>
    <w:lvl w:ilvl="0" w:tentative="0">
      <w:start w:val="4"/>
      <w:numFmt w:val="chineseCounting"/>
      <w:suff w:val="space"/>
      <w:lvlText w:val="第%1章"/>
      <w:lvlJc w:val="left"/>
      <w:pPr>
        <w:ind w:left="0" w:firstLine="0"/>
      </w:pPr>
      <w:rPr>
        <w:rFonts w:hint="eastAsia"/>
      </w:rPr>
    </w:lvl>
  </w:abstractNum>
  <w:abstractNum w:abstractNumId="86">
    <w:nsid w:val="64C353BE"/>
    <w:multiLevelType w:val="singleLevel"/>
    <w:tmpl w:val="64C353BE"/>
    <w:lvl w:ilvl="0" w:tentative="0">
      <w:start w:val="1"/>
      <w:numFmt w:val="decimal"/>
      <w:lvlText w:val="%1."/>
      <w:lvlJc w:val="left"/>
      <w:pPr>
        <w:tabs>
          <w:tab w:val="left" w:pos="210"/>
        </w:tabs>
        <w:ind w:left="0" w:firstLine="0"/>
      </w:pPr>
      <w:rPr>
        <w:rFonts w:hint="default"/>
      </w:rPr>
    </w:lvl>
  </w:abstractNum>
  <w:abstractNum w:abstractNumId="87">
    <w:nsid w:val="67384EA9"/>
    <w:multiLevelType w:val="singleLevel"/>
    <w:tmpl w:val="67384EA9"/>
    <w:lvl w:ilvl="0" w:tentative="0">
      <w:start w:val="1"/>
      <w:numFmt w:val="decimal"/>
      <w:lvlText w:val="32.4.%1"/>
      <w:lvlJc w:val="left"/>
      <w:pPr>
        <w:tabs>
          <w:tab w:val="left" w:pos="210"/>
        </w:tabs>
        <w:ind w:left="0" w:firstLine="480"/>
      </w:pPr>
      <w:rPr>
        <w:rFonts w:hint="default"/>
      </w:rPr>
    </w:lvl>
  </w:abstractNum>
  <w:abstractNum w:abstractNumId="88">
    <w:nsid w:val="6B7DD9C5"/>
    <w:multiLevelType w:val="singleLevel"/>
    <w:tmpl w:val="6B7DD9C5"/>
    <w:lvl w:ilvl="0" w:tentative="0">
      <w:start w:val="1"/>
      <w:numFmt w:val="decimal"/>
      <w:lvlText w:val="2.%1"/>
      <w:lvlJc w:val="left"/>
      <w:pPr>
        <w:tabs>
          <w:tab w:val="left" w:pos="210"/>
        </w:tabs>
        <w:ind w:left="0" w:firstLine="480"/>
      </w:pPr>
      <w:rPr>
        <w:rFonts w:hint="default"/>
      </w:rPr>
    </w:lvl>
  </w:abstractNum>
  <w:abstractNum w:abstractNumId="89">
    <w:nsid w:val="6C02F7F1"/>
    <w:multiLevelType w:val="singleLevel"/>
    <w:tmpl w:val="6C02F7F1"/>
    <w:lvl w:ilvl="0" w:tentative="0">
      <w:start w:val="1"/>
      <w:numFmt w:val="decimal"/>
      <w:lvlText w:val="26.%1"/>
      <w:lvlJc w:val="left"/>
      <w:pPr>
        <w:tabs>
          <w:tab w:val="left" w:pos="210"/>
        </w:tabs>
        <w:ind w:left="0" w:firstLine="0"/>
      </w:pPr>
      <w:rPr>
        <w:rFonts w:hint="default"/>
      </w:rPr>
    </w:lvl>
  </w:abstractNum>
  <w:abstractNum w:abstractNumId="90">
    <w:nsid w:val="6FE99107"/>
    <w:multiLevelType w:val="singleLevel"/>
    <w:tmpl w:val="6FE99107"/>
    <w:lvl w:ilvl="0" w:tentative="0">
      <w:start w:val="1"/>
      <w:numFmt w:val="decimal"/>
      <w:lvlText w:val="22.%1"/>
      <w:lvlJc w:val="left"/>
      <w:pPr>
        <w:tabs>
          <w:tab w:val="left" w:pos="210"/>
        </w:tabs>
        <w:ind w:left="0" w:firstLine="480"/>
      </w:pPr>
      <w:rPr>
        <w:rFonts w:hint="default"/>
      </w:rPr>
    </w:lvl>
  </w:abstractNum>
  <w:abstractNum w:abstractNumId="91">
    <w:nsid w:val="7286ECEB"/>
    <w:multiLevelType w:val="singleLevel"/>
    <w:tmpl w:val="7286ECEB"/>
    <w:lvl w:ilvl="0" w:tentative="0">
      <w:start w:val="1"/>
      <w:numFmt w:val="decimal"/>
      <w:lvlText w:val="%1."/>
      <w:lvlJc w:val="left"/>
      <w:pPr>
        <w:tabs>
          <w:tab w:val="left" w:pos="210"/>
        </w:tabs>
        <w:ind w:left="0" w:firstLine="480"/>
      </w:pPr>
      <w:rPr>
        <w:rFonts w:hint="default"/>
      </w:rPr>
    </w:lvl>
  </w:abstractNum>
  <w:abstractNum w:abstractNumId="92">
    <w:nsid w:val="741806E1"/>
    <w:multiLevelType w:val="singleLevel"/>
    <w:tmpl w:val="741806E1"/>
    <w:lvl w:ilvl="0" w:tentative="0">
      <w:start w:val="1"/>
      <w:numFmt w:val="decimal"/>
      <w:lvlText w:val="32.3.2.%1"/>
      <w:lvlJc w:val="left"/>
      <w:pPr>
        <w:tabs>
          <w:tab w:val="left" w:pos="210"/>
        </w:tabs>
        <w:ind w:left="0" w:firstLine="480"/>
      </w:pPr>
      <w:rPr>
        <w:rFonts w:hint="default"/>
      </w:rPr>
    </w:lvl>
  </w:abstractNum>
  <w:abstractNum w:abstractNumId="93">
    <w:nsid w:val="7BCD5E62"/>
    <w:multiLevelType w:val="singleLevel"/>
    <w:tmpl w:val="7BCD5E62"/>
    <w:lvl w:ilvl="0" w:tentative="0">
      <w:start w:val="1"/>
      <w:numFmt w:val="decimal"/>
      <w:lvlText w:val="2.%1"/>
      <w:lvlJc w:val="left"/>
      <w:pPr>
        <w:tabs>
          <w:tab w:val="left" w:pos="210"/>
        </w:tabs>
        <w:ind w:left="0" w:firstLine="480"/>
      </w:pPr>
      <w:rPr>
        <w:rFonts w:hint="default"/>
      </w:rPr>
    </w:lvl>
  </w:abstractNum>
  <w:abstractNum w:abstractNumId="94">
    <w:nsid w:val="7CBC4473"/>
    <w:multiLevelType w:val="singleLevel"/>
    <w:tmpl w:val="7CBC4473"/>
    <w:lvl w:ilvl="0" w:tentative="0">
      <w:start w:val="1"/>
      <w:numFmt w:val="decimal"/>
      <w:lvlText w:val="%1."/>
      <w:lvlJc w:val="left"/>
      <w:pPr>
        <w:tabs>
          <w:tab w:val="left" w:pos="210"/>
        </w:tabs>
        <w:ind w:left="0" w:firstLine="480"/>
      </w:pPr>
      <w:rPr>
        <w:rFonts w:hint="default"/>
      </w:rPr>
    </w:lvl>
  </w:abstractNum>
  <w:abstractNum w:abstractNumId="95">
    <w:nsid w:val="7CE79B9A"/>
    <w:multiLevelType w:val="singleLevel"/>
    <w:tmpl w:val="7CE79B9A"/>
    <w:lvl w:ilvl="0" w:tentative="0">
      <w:start w:val="1"/>
      <w:numFmt w:val="decimal"/>
      <w:lvlText w:val="8.%1"/>
      <w:lvlJc w:val="left"/>
      <w:pPr>
        <w:tabs>
          <w:tab w:val="left" w:pos="210"/>
        </w:tabs>
        <w:ind w:left="0" w:firstLine="480"/>
      </w:pPr>
      <w:rPr>
        <w:rFonts w:hint="default"/>
      </w:rPr>
    </w:lvl>
  </w:abstractNum>
  <w:abstractNum w:abstractNumId="96">
    <w:nsid w:val="7E36EA8A"/>
    <w:multiLevelType w:val="singleLevel"/>
    <w:tmpl w:val="7E36EA8A"/>
    <w:lvl w:ilvl="0" w:tentative="0">
      <w:start w:val="1"/>
      <w:numFmt w:val="decimal"/>
      <w:lvlText w:val="24.%1"/>
      <w:lvlJc w:val="left"/>
      <w:pPr>
        <w:tabs>
          <w:tab w:val="left" w:pos="210"/>
        </w:tabs>
        <w:ind w:left="0" w:firstLine="480"/>
      </w:pPr>
      <w:rPr>
        <w:rFonts w:hint="default"/>
      </w:rPr>
    </w:lvl>
  </w:abstractNum>
  <w:num w:numId="1">
    <w:abstractNumId w:val="57"/>
  </w:num>
  <w:num w:numId="2">
    <w:abstractNumId w:val="47"/>
  </w:num>
  <w:num w:numId="3">
    <w:abstractNumId w:val="51"/>
  </w:num>
  <w:num w:numId="4">
    <w:abstractNumId w:val="73"/>
  </w:num>
  <w:num w:numId="5">
    <w:abstractNumId w:val="78"/>
  </w:num>
  <w:num w:numId="6">
    <w:abstractNumId w:val="43"/>
  </w:num>
  <w:num w:numId="7">
    <w:abstractNumId w:val="2"/>
  </w:num>
  <w:num w:numId="8">
    <w:abstractNumId w:val="94"/>
  </w:num>
  <w:num w:numId="9">
    <w:abstractNumId w:val="93"/>
  </w:num>
  <w:num w:numId="10">
    <w:abstractNumId w:val="86"/>
  </w:num>
  <w:num w:numId="11">
    <w:abstractNumId w:val="46"/>
  </w:num>
  <w:num w:numId="12">
    <w:abstractNumId w:val="69"/>
  </w:num>
  <w:num w:numId="13">
    <w:abstractNumId w:val="88"/>
  </w:num>
  <w:num w:numId="14">
    <w:abstractNumId w:val="20"/>
  </w:num>
  <w:num w:numId="15">
    <w:abstractNumId w:val="13"/>
  </w:num>
  <w:num w:numId="16">
    <w:abstractNumId w:val="23"/>
  </w:num>
  <w:num w:numId="17">
    <w:abstractNumId w:val="16"/>
  </w:num>
  <w:num w:numId="18">
    <w:abstractNumId w:val="4"/>
  </w:num>
  <w:num w:numId="19">
    <w:abstractNumId w:val="95"/>
  </w:num>
  <w:num w:numId="20">
    <w:abstractNumId w:val="75"/>
  </w:num>
  <w:num w:numId="21">
    <w:abstractNumId w:val="28"/>
  </w:num>
  <w:num w:numId="22">
    <w:abstractNumId w:val="1"/>
  </w:num>
  <w:num w:numId="23">
    <w:abstractNumId w:val="10"/>
  </w:num>
  <w:num w:numId="24">
    <w:abstractNumId w:val="33"/>
  </w:num>
  <w:num w:numId="25">
    <w:abstractNumId w:val="62"/>
  </w:num>
  <w:num w:numId="26">
    <w:abstractNumId w:val="44"/>
  </w:num>
  <w:num w:numId="27">
    <w:abstractNumId w:val="50"/>
  </w:num>
  <w:num w:numId="28">
    <w:abstractNumId w:val="65"/>
  </w:num>
  <w:num w:numId="29">
    <w:abstractNumId w:val="55"/>
  </w:num>
  <w:num w:numId="30">
    <w:abstractNumId w:val="17"/>
  </w:num>
  <w:num w:numId="31">
    <w:abstractNumId w:val="70"/>
  </w:num>
  <w:num w:numId="32">
    <w:abstractNumId w:val="56"/>
  </w:num>
  <w:num w:numId="33">
    <w:abstractNumId w:val="24"/>
  </w:num>
  <w:num w:numId="34">
    <w:abstractNumId w:val="90"/>
  </w:num>
  <w:num w:numId="35">
    <w:abstractNumId w:val="30"/>
  </w:num>
  <w:num w:numId="36">
    <w:abstractNumId w:val="96"/>
  </w:num>
  <w:num w:numId="37">
    <w:abstractNumId w:val="82"/>
  </w:num>
  <w:num w:numId="38">
    <w:abstractNumId w:val="39"/>
  </w:num>
  <w:num w:numId="39">
    <w:abstractNumId w:val="40"/>
  </w:num>
  <w:num w:numId="40">
    <w:abstractNumId w:val="89"/>
  </w:num>
  <w:num w:numId="41">
    <w:abstractNumId w:val="45"/>
  </w:num>
  <w:num w:numId="42">
    <w:abstractNumId w:val="79"/>
  </w:num>
  <w:num w:numId="43">
    <w:abstractNumId w:val="91"/>
  </w:num>
  <w:num w:numId="44">
    <w:abstractNumId w:val="48"/>
  </w:num>
  <w:num w:numId="45">
    <w:abstractNumId w:val="5"/>
  </w:num>
  <w:num w:numId="46">
    <w:abstractNumId w:val="72"/>
  </w:num>
  <w:num w:numId="47">
    <w:abstractNumId w:val="19"/>
  </w:num>
  <w:num w:numId="48">
    <w:abstractNumId w:val="77"/>
  </w:num>
  <w:num w:numId="49">
    <w:abstractNumId w:val="66"/>
  </w:num>
  <w:num w:numId="50">
    <w:abstractNumId w:val="84"/>
  </w:num>
  <w:num w:numId="51">
    <w:abstractNumId w:val="37"/>
  </w:num>
  <w:num w:numId="52">
    <w:abstractNumId w:val="54"/>
  </w:num>
  <w:num w:numId="53">
    <w:abstractNumId w:val="0"/>
  </w:num>
  <w:num w:numId="54">
    <w:abstractNumId w:val="26"/>
  </w:num>
  <w:num w:numId="55">
    <w:abstractNumId w:val="92"/>
  </w:num>
  <w:num w:numId="56">
    <w:abstractNumId w:val="49"/>
  </w:num>
  <w:num w:numId="57">
    <w:abstractNumId w:val="87"/>
  </w:num>
  <w:num w:numId="58">
    <w:abstractNumId w:val="15"/>
  </w:num>
  <w:num w:numId="59">
    <w:abstractNumId w:val="68"/>
  </w:num>
  <w:num w:numId="60">
    <w:abstractNumId w:val="42"/>
  </w:num>
  <w:num w:numId="61">
    <w:abstractNumId w:val="59"/>
  </w:num>
  <w:num w:numId="62">
    <w:abstractNumId w:val="76"/>
  </w:num>
  <w:num w:numId="63">
    <w:abstractNumId w:val="34"/>
  </w:num>
  <w:num w:numId="64">
    <w:abstractNumId w:val="52"/>
  </w:num>
  <w:num w:numId="65">
    <w:abstractNumId w:val="27"/>
  </w:num>
  <w:num w:numId="66">
    <w:abstractNumId w:val="74"/>
  </w:num>
  <w:num w:numId="67">
    <w:abstractNumId w:val="53"/>
  </w:num>
  <w:num w:numId="68">
    <w:abstractNumId w:val="63"/>
  </w:num>
  <w:num w:numId="69">
    <w:abstractNumId w:val="80"/>
  </w:num>
  <w:num w:numId="70">
    <w:abstractNumId w:val="11"/>
  </w:num>
  <w:num w:numId="71">
    <w:abstractNumId w:val="41"/>
  </w:num>
  <w:num w:numId="72">
    <w:abstractNumId w:val="71"/>
  </w:num>
  <w:num w:numId="73">
    <w:abstractNumId w:val="67"/>
  </w:num>
  <w:num w:numId="74">
    <w:abstractNumId w:val="3"/>
  </w:num>
  <w:num w:numId="75">
    <w:abstractNumId w:val="31"/>
  </w:num>
  <w:num w:numId="76">
    <w:abstractNumId w:val="6"/>
  </w:num>
  <w:num w:numId="77">
    <w:abstractNumId w:val="36"/>
  </w:num>
  <w:num w:numId="78">
    <w:abstractNumId w:val="58"/>
  </w:num>
  <w:num w:numId="79">
    <w:abstractNumId w:val="12"/>
  </w:num>
  <w:num w:numId="80">
    <w:abstractNumId w:val="64"/>
  </w:num>
  <w:num w:numId="81">
    <w:abstractNumId w:val="25"/>
  </w:num>
  <w:num w:numId="82">
    <w:abstractNumId w:val="35"/>
  </w:num>
  <w:num w:numId="83">
    <w:abstractNumId w:val="7"/>
  </w:num>
  <w:num w:numId="84">
    <w:abstractNumId w:val="83"/>
  </w:num>
  <w:num w:numId="85">
    <w:abstractNumId w:val="18"/>
  </w:num>
  <w:num w:numId="86">
    <w:abstractNumId w:val="81"/>
  </w:num>
  <w:num w:numId="87">
    <w:abstractNumId w:val="85"/>
  </w:num>
  <w:num w:numId="88">
    <w:abstractNumId w:val="32"/>
  </w:num>
  <w:num w:numId="89">
    <w:abstractNumId w:val="38"/>
  </w:num>
  <w:num w:numId="90">
    <w:abstractNumId w:val="9"/>
  </w:num>
  <w:num w:numId="91">
    <w:abstractNumId w:val="8"/>
  </w:num>
  <w:num w:numId="92">
    <w:abstractNumId w:val="21"/>
  </w:num>
  <w:num w:numId="93">
    <w:abstractNumId w:val="22"/>
  </w:num>
  <w:num w:numId="94">
    <w:abstractNumId w:val="29"/>
  </w:num>
  <w:num w:numId="95">
    <w:abstractNumId w:val="14"/>
  </w:num>
  <w:num w:numId="96">
    <w:abstractNumId w:val="61"/>
  </w:num>
  <w:num w:numId="97">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jYzRmMGJmNTNmYjJkNmJkNjhjMjEwOTQ4YzI5NWMifQ=="/>
    <w:docVar w:name="KSO_WPS_MARK_KEY" w:val="6ba5770c-3a17-4152-bbdf-e5d4216a2f2c"/>
  </w:docVars>
  <w:rsids>
    <w:rsidRoot w:val="004C5600"/>
    <w:rsid w:val="001C5EE0"/>
    <w:rsid w:val="003F55C5"/>
    <w:rsid w:val="004C5331"/>
    <w:rsid w:val="004C5600"/>
    <w:rsid w:val="004D5BCE"/>
    <w:rsid w:val="005902D3"/>
    <w:rsid w:val="005919D3"/>
    <w:rsid w:val="00641DF0"/>
    <w:rsid w:val="00740591"/>
    <w:rsid w:val="007D0A5A"/>
    <w:rsid w:val="00884654"/>
    <w:rsid w:val="00A80FAB"/>
    <w:rsid w:val="00B87CC8"/>
    <w:rsid w:val="00D63A57"/>
    <w:rsid w:val="00DC54F3"/>
    <w:rsid w:val="00EB66BD"/>
    <w:rsid w:val="00ED128E"/>
    <w:rsid w:val="00F3774C"/>
    <w:rsid w:val="01092E43"/>
    <w:rsid w:val="016D0648"/>
    <w:rsid w:val="01B7433E"/>
    <w:rsid w:val="01C43576"/>
    <w:rsid w:val="01D7576C"/>
    <w:rsid w:val="02306DE2"/>
    <w:rsid w:val="024352EF"/>
    <w:rsid w:val="026E7947"/>
    <w:rsid w:val="028B27F7"/>
    <w:rsid w:val="02986DD2"/>
    <w:rsid w:val="033231F8"/>
    <w:rsid w:val="035148F2"/>
    <w:rsid w:val="03EA376B"/>
    <w:rsid w:val="03FC11ED"/>
    <w:rsid w:val="047768CF"/>
    <w:rsid w:val="04EC4F54"/>
    <w:rsid w:val="0515698F"/>
    <w:rsid w:val="05185DCF"/>
    <w:rsid w:val="05573D16"/>
    <w:rsid w:val="05603532"/>
    <w:rsid w:val="05991F64"/>
    <w:rsid w:val="05E35235"/>
    <w:rsid w:val="062E2E2E"/>
    <w:rsid w:val="063D464A"/>
    <w:rsid w:val="064962E3"/>
    <w:rsid w:val="06783F44"/>
    <w:rsid w:val="06B64A6C"/>
    <w:rsid w:val="070F49A2"/>
    <w:rsid w:val="073E518E"/>
    <w:rsid w:val="07CA6288"/>
    <w:rsid w:val="08136986"/>
    <w:rsid w:val="084911BB"/>
    <w:rsid w:val="08564CB9"/>
    <w:rsid w:val="08654420"/>
    <w:rsid w:val="087D77EC"/>
    <w:rsid w:val="08B6067C"/>
    <w:rsid w:val="08E60E2C"/>
    <w:rsid w:val="09781064"/>
    <w:rsid w:val="09930631"/>
    <w:rsid w:val="09DE3D12"/>
    <w:rsid w:val="0A62232D"/>
    <w:rsid w:val="0B0264D2"/>
    <w:rsid w:val="0B3D750A"/>
    <w:rsid w:val="0B4611F7"/>
    <w:rsid w:val="0B4E7969"/>
    <w:rsid w:val="0B5B3F0C"/>
    <w:rsid w:val="0B7D7388"/>
    <w:rsid w:val="0B811AED"/>
    <w:rsid w:val="0BC71BE8"/>
    <w:rsid w:val="0C002831"/>
    <w:rsid w:val="0C0A1AE2"/>
    <w:rsid w:val="0C9515FD"/>
    <w:rsid w:val="0CF915E6"/>
    <w:rsid w:val="0D6E7E4F"/>
    <w:rsid w:val="0D8B3E92"/>
    <w:rsid w:val="0E024951"/>
    <w:rsid w:val="0E28072B"/>
    <w:rsid w:val="0E412116"/>
    <w:rsid w:val="0ED85EC8"/>
    <w:rsid w:val="0EE161E4"/>
    <w:rsid w:val="0F0071CD"/>
    <w:rsid w:val="0F1B7B63"/>
    <w:rsid w:val="0F3052F1"/>
    <w:rsid w:val="0F9242C9"/>
    <w:rsid w:val="0F953DB9"/>
    <w:rsid w:val="0FD03043"/>
    <w:rsid w:val="0FD04AF8"/>
    <w:rsid w:val="107F6265"/>
    <w:rsid w:val="10961B97"/>
    <w:rsid w:val="10A76007"/>
    <w:rsid w:val="11427949"/>
    <w:rsid w:val="11BC7F56"/>
    <w:rsid w:val="12021AC7"/>
    <w:rsid w:val="12217339"/>
    <w:rsid w:val="12927533"/>
    <w:rsid w:val="12ED454F"/>
    <w:rsid w:val="131808AA"/>
    <w:rsid w:val="13C26B66"/>
    <w:rsid w:val="13DD7283"/>
    <w:rsid w:val="13F943AE"/>
    <w:rsid w:val="13F97C06"/>
    <w:rsid w:val="13FF2FDC"/>
    <w:rsid w:val="144B7496"/>
    <w:rsid w:val="156E26D0"/>
    <w:rsid w:val="16254881"/>
    <w:rsid w:val="16351328"/>
    <w:rsid w:val="166E6F3D"/>
    <w:rsid w:val="1686445B"/>
    <w:rsid w:val="171530A7"/>
    <w:rsid w:val="183B2B5A"/>
    <w:rsid w:val="18C43019"/>
    <w:rsid w:val="18CE28C0"/>
    <w:rsid w:val="18E04888"/>
    <w:rsid w:val="18FF04F5"/>
    <w:rsid w:val="19206EF6"/>
    <w:rsid w:val="19597DE2"/>
    <w:rsid w:val="1A0072A2"/>
    <w:rsid w:val="1A38665C"/>
    <w:rsid w:val="1AD70716"/>
    <w:rsid w:val="1AF726B9"/>
    <w:rsid w:val="1AFF7E9E"/>
    <w:rsid w:val="1B952491"/>
    <w:rsid w:val="1BB15E7B"/>
    <w:rsid w:val="1C2C1048"/>
    <w:rsid w:val="1C3F69E4"/>
    <w:rsid w:val="1C7217BC"/>
    <w:rsid w:val="1C880A5C"/>
    <w:rsid w:val="1CD16D35"/>
    <w:rsid w:val="1DA31316"/>
    <w:rsid w:val="1DDA18CD"/>
    <w:rsid w:val="1E1F733C"/>
    <w:rsid w:val="1EC743FA"/>
    <w:rsid w:val="1F073C5F"/>
    <w:rsid w:val="1F0B09FE"/>
    <w:rsid w:val="1FA35CFB"/>
    <w:rsid w:val="2033757A"/>
    <w:rsid w:val="20E00C0C"/>
    <w:rsid w:val="21073D19"/>
    <w:rsid w:val="21274C73"/>
    <w:rsid w:val="21612471"/>
    <w:rsid w:val="21F3172C"/>
    <w:rsid w:val="22032E04"/>
    <w:rsid w:val="226B0DAB"/>
    <w:rsid w:val="22D93B65"/>
    <w:rsid w:val="23173028"/>
    <w:rsid w:val="23181B28"/>
    <w:rsid w:val="23467AF0"/>
    <w:rsid w:val="23BE1723"/>
    <w:rsid w:val="23DB6542"/>
    <w:rsid w:val="243E1407"/>
    <w:rsid w:val="247840E5"/>
    <w:rsid w:val="24924C8F"/>
    <w:rsid w:val="24AD2696"/>
    <w:rsid w:val="24F536AF"/>
    <w:rsid w:val="25125890"/>
    <w:rsid w:val="254259F1"/>
    <w:rsid w:val="25D643AB"/>
    <w:rsid w:val="26842BB5"/>
    <w:rsid w:val="26AE1196"/>
    <w:rsid w:val="26BE19EF"/>
    <w:rsid w:val="273B4DEE"/>
    <w:rsid w:val="28155353"/>
    <w:rsid w:val="281713B7"/>
    <w:rsid w:val="28201DDD"/>
    <w:rsid w:val="28770089"/>
    <w:rsid w:val="28905912"/>
    <w:rsid w:val="28981947"/>
    <w:rsid w:val="28CB0306"/>
    <w:rsid w:val="28E70D52"/>
    <w:rsid w:val="28E765DD"/>
    <w:rsid w:val="292A336C"/>
    <w:rsid w:val="29D820DA"/>
    <w:rsid w:val="2A9F38E6"/>
    <w:rsid w:val="2ABF60CD"/>
    <w:rsid w:val="2AD63CED"/>
    <w:rsid w:val="2B5951B9"/>
    <w:rsid w:val="2B9D3E9D"/>
    <w:rsid w:val="2BC635BF"/>
    <w:rsid w:val="2BD521D1"/>
    <w:rsid w:val="2C60016F"/>
    <w:rsid w:val="2C6724E0"/>
    <w:rsid w:val="2C7E6A0F"/>
    <w:rsid w:val="2CC338BC"/>
    <w:rsid w:val="2CE85ECD"/>
    <w:rsid w:val="2D003E6F"/>
    <w:rsid w:val="2D4332A5"/>
    <w:rsid w:val="2D8E2E4A"/>
    <w:rsid w:val="2DEA6EED"/>
    <w:rsid w:val="2E8F138D"/>
    <w:rsid w:val="2E9077CD"/>
    <w:rsid w:val="2E927EFC"/>
    <w:rsid w:val="2EFB77C4"/>
    <w:rsid w:val="2F43024C"/>
    <w:rsid w:val="2F4B2593"/>
    <w:rsid w:val="2FFE4C0B"/>
    <w:rsid w:val="303625F7"/>
    <w:rsid w:val="30676AE4"/>
    <w:rsid w:val="307E0A13"/>
    <w:rsid w:val="309D2027"/>
    <w:rsid w:val="30D065A7"/>
    <w:rsid w:val="30D372B7"/>
    <w:rsid w:val="30ED53AB"/>
    <w:rsid w:val="31AD7DF1"/>
    <w:rsid w:val="321921D0"/>
    <w:rsid w:val="322E7A29"/>
    <w:rsid w:val="32560D2E"/>
    <w:rsid w:val="32826233"/>
    <w:rsid w:val="32876A90"/>
    <w:rsid w:val="32B73EB2"/>
    <w:rsid w:val="33745057"/>
    <w:rsid w:val="33CA3782"/>
    <w:rsid w:val="34034C43"/>
    <w:rsid w:val="3422503E"/>
    <w:rsid w:val="3482419A"/>
    <w:rsid w:val="34B460F1"/>
    <w:rsid w:val="34CA155F"/>
    <w:rsid w:val="35080D00"/>
    <w:rsid w:val="352E7D40"/>
    <w:rsid w:val="353535E0"/>
    <w:rsid w:val="35661288"/>
    <w:rsid w:val="35860857"/>
    <w:rsid w:val="35B35DCF"/>
    <w:rsid w:val="360946F7"/>
    <w:rsid w:val="36366780"/>
    <w:rsid w:val="364610BA"/>
    <w:rsid w:val="364F4412"/>
    <w:rsid w:val="368D390B"/>
    <w:rsid w:val="368D6CA9"/>
    <w:rsid w:val="37A2019E"/>
    <w:rsid w:val="380D63FD"/>
    <w:rsid w:val="389A756D"/>
    <w:rsid w:val="38AC1155"/>
    <w:rsid w:val="38F77B0B"/>
    <w:rsid w:val="38F77C64"/>
    <w:rsid w:val="391C6F31"/>
    <w:rsid w:val="393467AB"/>
    <w:rsid w:val="39367522"/>
    <w:rsid w:val="39B70940"/>
    <w:rsid w:val="3A3169B0"/>
    <w:rsid w:val="3A63048C"/>
    <w:rsid w:val="3A9E6883"/>
    <w:rsid w:val="3AE03A6E"/>
    <w:rsid w:val="3AEC0481"/>
    <w:rsid w:val="3AFC5601"/>
    <w:rsid w:val="3AFC7CF6"/>
    <w:rsid w:val="3B1630AC"/>
    <w:rsid w:val="3B4D60F6"/>
    <w:rsid w:val="3C263DBE"/>
    <w:rsid w:val="3C94492D"/>
    <w:rsid w:val="3CE05DC4"/>
    <w:rsid w:val="3D515C28"/>
    <w:rsid w:val="3D6F750E"/>
    <w:rsid w:val="3D74650C"/>
    <w:rsid w:val="3D987765"/>
    <w:rsid w:val="3DAA05A5"/>
    <w:rsid w:val="3EA1684F"/>
    <w:rsid w:val="3ED3286E"/>
    <w:rsid w:val="3F0B353D"/>
    <w:rsid w:val="3FFB1573"/>
    <w:rsid w:val="401F6C03"/>
    <w:rsid w:val="40830F63"/>
    <w:rsid w:val="40F251A3"/>
    <w:rsid w:val="419B52B3"/>
    <w:rsid w:val="42277FF1"/>
    <w:rsid w:val="42334364"/>
    <w:rsid w:val="425A3F23"/>
    <w:rsid w:val="4380661D"/>
    <w:rsid w:val="43B458B4"/>
    <w:rsid w:val="43EC445A"/>
    <w:rsid w:val="444A39F2"/>
    <w:rsid w:val="446B1BC1"/>
    <w:rsid w:val="44AB2ECC"/>
    <w:rsid w:val="44D47212"/>
    <w:rsid w:val="45050BD8"/>
    <w:rsid w:val="45285930"/>
    <w:rsid w:val="4565155C"/>
    <w:rsid w:val="45B11BFE"/>
    <w:rsid w:val="45E34778"/>
    <w:rsid w:val="45E7257A"/>
    <w:rsid w:val="466F1F67"/>
    <w:rsid w:val="46B04006"/>
    <w:rsid w:val="46B5664E"/>
    <w:rsid w:val="47060B1D"/>
    <w:rsid w:val="47600426"/>
    <w:rsid w:val="47FC38A8"/>
    <w:rsid w:val="48286A07"/>
    <w:rsid w:val="48357040"/>
    <w:rsid w:val="4839282C"/>
    <w:rsid w:val="48483794"/>
    <w:rsid w:val="48570659"/>
    <w:rsid w:val="48625723"/>
    <w:rsid w:val="488564A6"/>
    <w:rsid w:val="489B7043"/>
    <w:rsid w:val="492B07D8"/>
    <w:rsid w:val="493914B1"/>
    <w:rsid w:val="49747682"/>
    <w:rsid w:val="49903799"/>
    <w:rsid w:val="499F0DB5"/>
    <w:rsid w:val="49C00C61"/>
    <w:rsid w:val="49DE098A"/>
    <w:rsid w:val="4A431740"/>
    <w:rsid w:val="4A706FB0"/>
    <w:rsid w:val="4AAB3384"/>
    <w:rsid w:val="4B557DB4"/>
    <w:rsid w:val="4B606CD6"/>
    <w:rsid w:val="4BDC6EAE"/>
    <w:rsid w:val="4BE53273"/>
    <w:rsid w:val="4BF25D04"/>
    <w:rsid w:val="4C416139"/>
    <w:rsid w:val="4CE20FF8"/>
    <w:rsid w:val="4CEC6690"/>
    <w:rsid w:val="4D6C27F8"/>
    <w:rsid w:val="4D896004"/>
    <w:rsid w:val="4DA16EA9"/>
    <w:rsid w:val="4DD677E1"/>
    <w:rsid w:val="4DEFA82F"/>
    <w:rsid w:val="4DFD6D8A"/>
    <w:rsid w:val="4E1D2666"/>
    <w:rsid w:val="4EE259CC"/>
    <w:rsid w:val="4EE31289"/>
    <w:rsid w:val="4EFE0523"/>
    <w:rsid w:val="4F9C201E"/>
    <w:rsid w:val="50616DC4"/>
    <w:rsid w:val="508407FB"/>
    <w:rsid w:val="509E5BDF"/>
    <w:rsid w:val="50C86E43"/>
    <w:rsid w:val="50CC6933"/>
    <w:rsid w:val="511D2CEB"/>
    <w:rsid w:val="51454B7E"/>
    <w:rsid w:val="51627812"/>
    <w:rsid w:val="51786C85"/>
    <w:rsid w:val="51886C26"/>
    <w:rsid w:val="51956EAA"/>
    <w:rsid w:val="519A258E"/>
    <w:rsid w:val="5218468F"/>
    <w:rsid w:val="522D0E9F"/>
    <w:rsid w:val="526606C2"/>
    <w:rsid w:val="52B40BC7"/>
    <w:rsid w:val="52C82DE5"/>
    <w:rsid w:val="531E71EE"/>
    <w:rsid w:val="532E73C1"/>
    <w:rsid w:val="537E1A3B"/>
    <w:rsid w:val="53AD28DE"/>
    <w:rsid w:val="54027B86"/>
    <w:rsid w:val="543640C4"/>
    <w:rsid w:val="54463F45"/>
    <w:rsid w:val="549B7CA5"/>
    <w:rsid w:val="54B020C8"/>
    <w:rsid w:val="54F71AA5"/>
    <w:rsid w:val="55683F6A"/>
    <w:rsid w:val="55704ABA"/>
    <w:rsid w:val="559F4336"/>
    <w:rsid w:val="55C23F1B"/>
    <w:rsid w:val="55C4779B"/>
    <w:rsid w:val="56623148"/>
    <w:rsid w:val="569A57B0"/>
    <w:rsid w:val="56B9490A"/>
    <w:rsid w:val="570F757A"/>
    <w:rsid w:val="571B3010"/>
    <w:rsid w:val="57383B85"/>
    <w:rsid w:val="575B27BF"/>
    <w:rsid w:val="57A37CC2"/>
    <w:rsid w:val="57AD5FE6"/>
    <w:rsid w:val="57D6726A"/>
    <w:rsid w:val="57ED06D1"/>
    <w:rsid w:val="57F734DD"/>
    <w:rsid w:val="581C7E94"/>
    <w:rsid w:val="58395B37"/>
    <w:rsid w:val="5868748F"/>
    <w:rsid w:val="588F22CB"/>
    <w:rsid w:val="59030FC0"/>
    <w:rsid w:val="59371389"/>
    <w:rsid w:val="596352CB"/>
    <w:rsid w:val="59E4069D"/>
    <w:rsid w:val="5A490F26"/>
    <w:rsid w:val="5A4C63EF"/>
    <w:rsid w:val="5A79327D"/>
    <w:rsid w:val="5A9008BF"/>
    <w:rsid w:val="5AB83A84"/>
    <w:rsid w:val="5AC93EE4"/>
    <w:rsid w:val="5B0B1A9E"/>
    <w:rsid w:val="5B4B77BA"/>
    <w:rsid w:val="5B5524EB"/>
    <w:rsid w:val="5C097F96"/>
    <w:rsid w:val="5D1A034E"/>
    <w:rsid w:val="5D375134"/>
    <w:rsid w:val="5D3A4C25"/>
    <w:rsid w:val="5D3C26CC"/>
    <w:rsid w:val="5D6A44E6"/>
    <w:rsid w:val="5DAE407C"/>
    <w:rsid w:val="5DCA244C"/>
    <w:rsid w:val="5E011217"/>
    <w:rsid w:val="5EA71D5F"/>
    <w:rsid w:val="5F1722B5"/>
    <w:rsid w:val="5F7E484B"/>
    <w:rsid w:val="5F844F80"/>
    <w:rsid w:val="5F9A2B8C"/>
    <w:rsid w:val="606A409A"/>
    <w:rsid w:val="606F4B42"/>
    <w:rsid w:val="609F2776"/>
    <w:rsid w:val="61841DA9"/>
    <w:rsid w:val="61EB26CA"/>
    <w:rsid w:val="62BA3765"/>
    <w:rsid w:val="63251104"/>
    <w:rsid w:val="63367DB4"/>
    <w:rsid w:val="635D341B"/>
    <w:rsid w:val="635F2C96"/>
    <w:rsid w:val="63824DDA"/>
    <w:rsid w:val="641D69ED"/>
    <w:rsid w:val="64616AAE"/>
    <w:rsid w:val="646A3FF9"/>
    <w:rsid w:val="64E750B0"/>
    <w:rsid w:val="653A1489"/>
    <w:rsid w:val="65534AB2"/>
    <w:rsid w:val="66467401"/>
    <w:rsid w:val="669272D6"/>
    <w:rsid w:val="670C16C0"/>
    <w:rsid w:val="67713D60"/>
    <w:rsid w:val="6837667E"/>
    <w:rsid w:val="683A60A0"/>
    <w:rsid w:val="68AB69D7"/>
    <w:rsid w:val="691E1836"/>
    <w:rsid w:val="69C6056C"/>
    <w:rsid w:val="69D60F58"/>
    <w:rsid w:val="69D637DF"/>
    <w:rsid w:val="6A6932BA"/>
    <w:rsid w:val="6A965682"/>
    <w:rsid w:val="6AAA4E8C"/>
    <w:rsid w:val="6AEB69D2"/>
    <w:rsid w:val="6AED777A"/>
    <w:rsid w:val="6B006F4B"/>
    <w:rsid w:val="6B5E4C86"/>
    <w:rsid w:val="6BAC6D7A"/>
    <w:rsid w:val="6C0E4A66"/>
    <w:rsid w:val="6C474F23"/>
    <w:rsid w:val="6C5A0556"/>
    <w:rsid w:val="6C911353"/>
    <w:rsid w:val="6CC313AB"/>
    <w:rsid w:val="6CC52DC2"/>
    <w:rsid w:val="6CE150BD"/>
    <w:rsid w:val="6D0A375E"/>
    <w:rsid w:val="6DB433C6"/>
    <w:rsid w:val="6EF371D4"/>
    <w:rsid w:val="6F1218C9"/>
    <w:rsid w:val="6F166241"/>
    <w:rsid w:val="6F654466"/>
    <w:rsid w:val="6FB47A1C"/>
    <w:rsid w:val="6FCC61CE"/>
    <w:rsid w:val="702B5B7A"/>
    <w:rsid w:val="704333C0"/>
    <w:rsid w:val="705F2643"/>
    <w:rsid w:val="713C43F6"/>
    <w:rsid w:val="71651E5C"/>
    <w:rsid w:val="71AC41A1"/>
    <w:rsid w:val="71FD72EC"/>
    <w:rsid w:val="720B208F"/>
    <w:rsid w:val="72147C38"/>
    <w:rsid w:val="72383300"/>
    <w:rsid w:val="72414F83"/>
    <w:rsid w:val="727D3AE3"/>
    <w:rsid w:val="728A3B13"/>
    <w:rsid w:val="735B24FB"/>
    <w:rsid w:val="73674D66"/>
    <w:rsid w:val="737177C6"/>
    <w:rsid w:val="743F3744"/>
    <w:rsid w:val="744877CF"/>
    <w:rsid w:val="745B5405"/>
    <w:rsid w:val="746A1E3C"/>
    <w:rsid w:val="74864AE5"/>
    <w:rsid w:val="76377AFB"/>
    <w:rsid w:val="765353AD"/>
    <w:rsid w:val="76593502"/>
    <w:rsid w:val="77C17BD0"/>
    <w:rsid w:val="7843265A"/>
    <w:rsid w:val="784C1F84"/>
    <w:rsid w:val="78512C75"/>
    <w:rsid w:val="786C2BB5"/>
    <w:rsid w:val="788C29FF"/>
    <w:rsid w:val="78FB5758"/>
    <w:rsid w:val="792C6836"/>
    <w:rsid w:val="795F1843"/>
    <w:rsid w:val="796D0251"/>
    <w:rsid w:val="79884EF0"/>
    <w:rsid w:val="7A045D70"/>
    <w:rsid w:val="7B407452"/>
    <w:rsid w:val="7B593EE5"/>
    <w:rsid w:val="7BDA2BFE"/>
    <w:rsid w:val="7BDC22F5"/>
    <w:rsid w:val="7C136FD3"/>
    <w:rsid w:val="7C1E59E5"/>
    <w:rsid w:val="7C490589"/>
    <w:rsid w:val="7C4D0079"/>
    <w:rsid w:val="7CB26E8E"/>
    <w:rsid w:val="7CB57759"/>
    <w:rsid w:val="7CC93986"/>
    <w:rsid w:val="7D621902"/>
    <w:rsid w:val="7D795594"/>
    <w:rsid w:val="7EC363D0"/>
    <w:rsid w:val="7F12733D"/>
    <w:rsid w:val="7FA562B4"/>
    <w:rsid w:val="7FAD7948"/>
    <w:rsid w:val="CE750396"/>
    <w:rsid w:val="DF7D35F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keepNext w:val="0"/>
      <w:keepLines w:val="0"/>
      <w:widowControl w:val="0"/>
      <w:spacing w:before="240" w:beforeLines="0" w:after="120" w:line="360" w:lineRule="auto"/>
      <w:jc w:val="left"/>
      <w:outlineLvl w:val="0"/>
    </w:pPr>
    <w:rPr>
      <w:rFonts w:ascii="宋体" w:hAnsi="宋体" w:eastAsia="宋体" w:cs="宋体"/>
      <w:b/>
      <w:bCs/>
      <w:kern w:val="44"/>
      <w:sz w:val="24"/>
      <w:szCs w:val="30"/>
    </w:rPr>
  </w:style>
  <w:style w:type="paragraph" w:styleId="3">
    <w:name w:val="heading 2"/>
    <w:next w:val="1"/>
    <w:unhideWhenUsed/>
    <w:qFormat/>
    <w:uiPriority w:val="0"/>
    <w:pPr>
      <w:keepNext w:val="0"/>
      <w:keepLines w:val="0"/>
      <w:widowControl w:val="0"/>
      <w:spacing w:beforeAutospacing="0" w:after="120" w:afterAutospacing="0" w:line="360" w:lineRule="auto"/>
      <w:jc w:val="left"/>
      <w:outlineLvl w:val="1"/>
    </w:pPr>
    <w:rPr>
      <w:rFonts w:ascii="Times New Roman" w:hAnsi="Times New Roman" w:eastAsia="宋体" w:cs="Times New Roman"/>
      <w:b/>
      <w:sz w:val="24"/>
    </w:rPr>
  </w:style>
  <w:style w:type="paragraph" w:styleId="4">
    <w:name w:val="heading 3"/>
    <w:next w:val="1"/>
    <w:qFormat/>
    <w:uiPriority w:val="99"/>
    <w:pPr>
      <w:keepNext w:val="0"/>
      <w:keepLines w:val="0"/>
      <w:widowControl w:val="0"/>
      <w:spacing w:beforeAutospacing="0" w:after="120" w:afterAutospacing="0" w:line="360" w:lineRule="auto"/>
      <w:jc w:val="left"/>
      <w:outlineLvl w:val="2"/>
    </w:pPr>
    <w:rPr>
      <w:rFonts w:ascii="Times New Roman" w:hAnsi="Times New Roman" w:eastAsia="宋体" w:cs="Times New Roman"/>
      <w:b/>
      <w:sz w:val="24"/>
    </w:rPr>
  </w:style>
  <w:style w:type="paragraph" w:styleId="5">
    <w:name w:val="heading 4"/>
    <w:next w:val="1"/>
    <w:unhideWhenUsed/>
    <w:qFormat/>
    <w:uiPriority w:val="0"/>
    <w:pPr>
      <w:keepNext w:val="0"/>
      <w:keepLines w:val="0"/>
      <w:widowControl w:val="0"/>
      <w:spacing w:beforeAutospacing="0" w:after="120" w:afterAutospacing="0" w:line="360" w:lineRule="auto"/>
      <w:outlineLvl w:val="3"/>
    </w:pPr>
    <w:rPr>
      <w:rFonts w:ascii="Times New Roman" w:hAnsi="Times New Roman" w:eastAsia="宋体" w:cs="Times New Roman"/>
      <w:sz w:val="24"/>
    </w:rPr>
  </w:style>
  <w:style w:type="paragraph" w:styleId="6">
    <w:name w:val="heading 5"/>
    <w:next w:val="1"/>
    <w:unhideWhenUsed/>
    <w:qFormat/>
    <w:uiPriority w:val="0"/>
    <w:pPr>
      <w:keepNext w:val="0"/>
      <w:keepLines w:val="0"/>
      <w:widowControl w:val="0"/>
      <w:spacing w:beforeLines="0" w:beforeAutospacing="0" w:after="120" w:afterLines="0" w:afterAutospacing="0" w:line="440" w:lineRule="exact"/>
      <w:jc w:val="left"/>
      <w:outlineLvl w:val="4"/>
    </w:pPr>
    <w:rPr>
      <w:rFonts w:ascii="Times New Roman" w:hAnsi="Times New Roman" w:eastAsia="宋体" w:cs="Times New Roman"/>
      <w:sz w:val="24"/>
    </w:rPr>
  </w:style>
  <w:style w:type="paragraph" w:styleId="7">
    <w:name w:val="heading 6"/>
    <w:next w:val="1"/>
    <w:semiHidden/>
    <w:unhideWhenUsed/>
    <w:qFormat/>
    <w:uiPriority w:val="0"/>
    <w:pPr>
      <w:keepNext w:val="0"/>
      <w:keepLines w:val="0"/>
      <w:widowControl w:val="0"/>
      <w:spacing w:beforeLines="0" w:beforeAutospacing="0" w:after="120" w:afterLines="0" w:afterAutospacing="0" w:line="360" w:lineRule="auto"/>
      <w:jc w:val="left"/>
      <w:outlineLvl w:val="5"/>
    </w:pPr>
    <w:rPr>
      <w:rFonts w:ascii="Times New Roman" w:hAnsi="Times New Roman" w:eastAsia="宋体" w:cs="Times New Roman"/>
      <w:sz w:val="24"/>
    </w:rPr>
  </w:style>
  <w:style w:type="paragraph" w:styleId="8">
    <w:name w:val="heading 7"/>
    <w:next w:val="1"/>
    <w:semiHidden/>
    <w:unhideWhenUsed/>
    <w:qFormat/>
    <w:uiPriority w:val="0"/>
    <w:pPr>
      <w:keepNext w:val="0"/>
      <w:keepLines w:val="0"/>
      <w:widowControl w:val="0"/>
      <w:spacing w:beforeLines="0" w:beforeAutospacing="0" w:after="120" w:afterLines="0" w:afterAutospacing="0" w:line="360" w:lineRule="auto"/>
      <w:jc w:val="left"/>
      <w:outlineLvl w:val="6"/>
    </w:pPr>
    <w:rPr>
      <w:rFonts w:ascii="Times New Roman" w:hAnsi="Times New Roman" w:eastAsia="宋体" w:cs="Times New Roman"/>
      <w:sz w:val="24"/>
    </w:rPr>
  </w:style>
  <w:style w:type="paragraph" w:styleId="9">
    <w:name w:val="heading 8"/>
    <w:next w:val="1"/>
    <w:semiHidden/>
    <w:unhideWhenUsed/>
    <w:qFormat/>
    <w:uiPriority w:val="0"/>
    <w:pPr>
      <w:keepNext w:val="0"/>
      <w:keepLines w:val="0"/>
      <w:widowControl w:val="0"/>
      <w:spacing w:beforeLines="0" w:beforeAutospacing="0" w:after="120" w:afterLines="0" w:afterAutospacing="0" w:line="360" w:lineRule="auto"/>
      <w:jc w:val="left"/>
      <w:outlineLvl w:val="7"/>
    </w:pPr>
    <w:rPr>
      <w:rFonts w:ascii="Times New Roman" w:hAnsi="Times New Roman" w:eastAsia="宋体" w:cs="Times New Roman"/>
      <w:sz w:val="24"/>
    </w:rPr>
  </w:style>
  <w:style w:type="paragraph" w:styleId="10">
    <w:name w:val="heading 9"/>
    <w:next w:val="1"/>
    <w:semiHidden/>
    <w:unhideWhenUsed/>
    <w:qFormat/>
    <w:uiPriority w:val="0"/>
    <w:pPr>
      <w:keepNext w:val="0"/>
      <w:keepLines w:val="0"/>
      <w:widowControl w:val="0"/>
      <w:spacing w:beforeLines="0" w:beforeAutospacing="0" w:after="120" w:afterLines="0" w:afterAutospacing="0" w:line="360" w:lineRule="auto"/>
      <w:jc w:val="left"/>
      <w:outlineLvl w:val="8"/>
    </w:pPr>
    <w:rPr>
      <w:rFonts w:ascii="Times New Roman" w:hAnsi="Times New Roman" w:eastAsia="宋体" w:cs="Times New Roman"/>
      <w:sz w:val="24"/>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0"/>
    <w:pPr>
      <w:ind w:firstLine="420"/>
    </w:pPr>
  </w:style>
  <w:style w:type="paragraph" w:styleId="12">
    <w:name w:val="Body Text"/>
    <w:next w:val="13"/>
    <w:qFormat/>
    <w:uiPriority w:val="99"/>
    <w:pPr>
      <w:widowControl w:val="0"/>
      <w:spacing w:after="120" w:afterAutospacing="0" w:line="360" w:lineRule="auto"/>
      <w:ind w:firstLine="420" w:firstLineChars="200"/>
    </w:pPr>
    <w:rPr>
      <w:rFonts w:ascii="Times New Roman" w:hAnsi="Times New Roman" w:eastAsia="宋体" w:cs="Times New Roman"/>
      <w:sz w:val="24"/>
    </w:rPr>
  </w:style>
  <w:style w:type="paragraph" w:customStyle="1" w:styleId="13">
    <w:name w:val="_Style 2"/>
    <w:basedOn w:val="1"/>
    <w:next w:val="1"/>
    <w:autoRedefine/>
    <w:qFormat/>
    <w:uiPriority w:val="0"/>
    <w:pPr>
      <w:ind w:firstLine="420"/>
    </w:pPr>
  </w:style>
  <w:style w:type="paragraph" w:styleId="14">
    <w:name w:val="Body Text Indent"/>
    <w:basedOn w:val="1"/>
    <w:qFormat/>
    <w:uiPriority w:val="0"/>
    <w:pPr>
      <w:ind w:firstLine="645"/>
    </w:pPr>
    <w:rPr>
      <w:rFonts w:ascii="楷体_GB2312" w:eastAsia="楷体_GB2312"/>
      <w:sz w:val="32"/>
      <w:szCs w:val="32"/>
    </w:rPr>
  </w:style>
  <w:style w:type="paragraph" w:styleId="15">
    <w:name w:val="Plain Text"/>
    <w:basedOn w:val="1"/>
    <w:next w:val="1"/>
    <w:qFormat/>
    <w:uiPriority w:val="99"/>
    <w:rPr>
      <w:rFonts w:ascii="宋体" w:hAnsi="Courier New" w:cs="Courier New"/>
    </w:rPr>
  </w:style>
  <w:style w:type="paragraph" w:styleId="16">
    <w:name w:val="footer"/>
    <w:basedOn w:val="1"/>
    <w:link w:val="34"/>
    <w:qFormat/>
    <w:uiPriority w:val="0"/>
    <w:pPr>
      <w:tabs>
        <w:tab w:val="center" w:pos="4153"/>
        <w:tab w:val="right" w:pos="8306"/>
      </w:tabs>
      <w:snapToGrid w:val="0"/>
      <w:jc w:val="left"/>
    </w:pPr>
    <w:rPr>
      <w:sz w:val="18"/>
      <w:szCs w:val="18"/>
    </w:rPr>
  </w:style>
  <w:style w:type="paragraph" w:styleId="17">
    <w:name w:val="header"/>
    <w:basedOn w:val="1"/>
    <w:link w:val="33"/>
    <w:qFormat/>
    <w:uiPriority w:val="0"/>
    <w:pPr>
      <w:pBdr>
        <w:bottom w:val="single" w:color="auto" w:sz="6" w:space="1"/>
      </w:pBdr>
      <w:tabs>
        <w:tab w:val="center" w:pos="4153"/>
        <w:tab w:val="right" w:pos="8306"/>
      </w:tabs>
      <w:snapToGrid w:val="0"/>
      <w:jc w:val="center"/>
    </w:pPr>
    <w:rPr>
      <w:sz w:val="18"/>
      <w:szCs w:val="18"/>
    </w:rPr>
  </w:style>
  <w:style w:type="paragraph" w:styleId="18">
    <w:name w:val="Subtitle"/>
    <w:qFormat/>
    <w:uiPriority w:val="0"/>
    <w:pPr>
      <w:widowControl w:val="0"/>
      <w:spacing w:beforeLines="0" w:beforeAutospacing="0" w:after="240" w:afterLines="0" w:afterAutospacing="0" w:line="240" w:lineRule="auto"/>
      <w:jc w:val="center"/>
      <w:outlineLvl w:val="9"/>
    </w:pPr>
    <w:rPr>
      <w:rFonts w:ascii="Times New Roman" w:hAnsi="Times New Roman" w:eastAsia="宋体" w:cs="Times New Roman"/>
      <w:kern w:val="28"/>
      <w:sz w:val="21"/>
    </w:rPr>
  </w:style>
  <w:style w:type="paragraph" w:styleId="19">
    <w:name w:val="Body Text Indent 3"/>
    <w:basedOn w:val="1"/>
    <w:qFormat/>
    <w:uiPriority w:val="0"/>
    <w:pPr>
      <w:ind w:left="645" w:firstLine="645"/>
    </w:pPr>
    <w:rPr>
      <w:rFonts w:ascii="Arial" w:hAnsi="Arial" w:eastAsia="仿宋_GB2312" w:cs="Arial"/>
      <w:color w:val="FFFF00"/>
      <w:sz w:val="32"/>
      <w:szCs w:val="32"/>
    </w:rPr>
  </w:style>
  <w:style w:type="paragraph" w:styleId="2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21">
    <w:name w:val="Normal (Web)"/>
    <w:basedOn w:val="1"/>
    <w:qFormat/>
    <w:uiPriority w:val="0"/>
    <w:pPr>
      <w:spacing w:beforeAutospacing="1" w:afterAutospacing="1"/>
      <w:jc w:val="left"/>
    </w:pPr>
    <w:rPr>
      <w:rFonts w:cs="Times New Roman"/>
      <w:kern w:val="0"/>
      <w:sz w:val="24"/>
    </w:rPr>
  </w:style>
  <w:style w:type="paragraph" w:styleId="22">
    <w:name w:val="Title"/>
    <w:qFormat/>
    <w:uiPriority w:val="0"/>
    <w:pPr>
      <w:spacing w:before="240" w:beforeAutospacing="0" w:after="240" w:afterAutospacing="0" w:line="240" w:lineRule="auto"/>
      <w:jc w:val="center"/>
      <w:outlineLvl w:val="9"/>
    </w:pPr>
    <w:rPr>
      <w:rFonts w:ascii="Times New Roman" w:hAnsi="Times New Roman" w:eastAsia="宋体" w:cs="Times New Roman"/>
      <w:b/>
      <w:sz w:val="32"/>
    </w:rPr>
  </w:style>
  <w:style w:type="paragraph" w:styleId="23">
    <w:name w:val="Body Text First Indent"/>
    <w:basedOn w:val="12"/>
    <w:unhideWhenUsed/>
    <w:qFormat/>
    <w:uiPriority w:val="99"/>
    <w:pPr>
      <w:ind w:firstLine="420"/>
    </w:pPr>
    <w:rPr>
      <w:rFonts w:ascii="Times New Roman" w:hAnsi="Times New Roman" w:eastAsia="宋体" w:cs="Times New Roman"/>
    </w:rPr>
  </w:style>
  <w:style w:type="paragraph" w:styleId="24">
    <w:name w:val="Body Text First Indent 2"/>
    <w:basedOn w:val="14"/>
    <w:qFormat/>
    <w:uiPriority w:val="0"/>
    <w:pPr>
      <w:spacing w:line="360" w:lineRule="auto"/>
      <w:ind w:firstLine="420" w:firstLineChars="200"/>
    </w:pPr>
    <w:rPr>
      <w:rFonts w:ascii="宋体" w:hAnsi="宋体" w:eastAsia="宋体"/>
      <w:sz w:val="21"/>
      <w:szCs w:val="20"/>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8">
    <w:name w:val="正文1"/>
    <w:basedOn w:val="29"/>
    <w:qFormat/>
    <w:uiPriority w:val="0"/>
    <w:pPr>
      <w:spacing w:line="500" w:lineRule="exact"/>
      <w:ind w:firstLine="0"/>
    </w:pPr>
    <w:rPr>
      <w:rFonts w:hAnsi="新宋体"/>
    </w:rPr>
  </w:style>
  <w:style w:type="paragraph" w:customStyle="1" w:styleId="29">
    <w:name w:val="正文缩进1"/>
    <w:basedOn w:val="1"/>
    <w:qFormat/>
    <w:uiPriority w:val="0"/>
    <w:pPr>
      <w:ind w:firstLine="420"/>
    </w:pPr>
    <w:rPr>
      <w:szCs w:val="21"/>
    </w:rPr>
  </w:style>
  <w:style w:type="paragraph" w:customStyle="1" w:styleId="30">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31">
    <w:name w:val="4"/>
    <w:basedOn w:val="1"/>
    <w:next w:val="19"/>
    <w:qFormat/>
    <w:uiPriority w:val="0"/>
    <w:pPr>
      <w:spacing w:line="360" w:lineRule="auto"/>
      <w:ind w:firstLine="420"/>
    </w:pPr>
    <w:rPr>
      <w:color w:val="FF0000"/>
      <w:sz w:val="24"/>
    </w:rPr>
  </w:style>
  <w:style w:type="paragraph" w:customStyle="1" w:styleId="32">
    <w:name w:val="纯文本1"/>
    <w:basedOn w:val="1"/>
    <w:qFormat/>
    <w:uiPriority w:val="0"/>
    <w:pPr>
      <w:adjustRightInd w:val="0"/>
    </w:pPr>
    <w:rPr>
      <w:rFonts w:ascii="宋体" w:hAnsi="Courier New" w:eastAsia="楷体_GB2312"/>
      <w:sz w:val="28"/>
      <w:szCs w:val="20"/>
    </w:rPr>
  </w:style>
  <w:style w:type="character" w:customStyle="1" w:styleId="33">
    <w:name w:val="页眉 Char"/>
    <w:basedOn w:val="27"/>
    <w:link w:val="17"/>
    <w:qFormat/>
    <w:uiPriority w:val="0"/>
    <w:rPr>
      <w:kern w:val="2"/>
      <w:sz w:val="18"/>
      <w:szCs w:val="18"/>
    </w:rPr>
  </w:style>
  <w:style w:type="character" w:customStyle="1" w:styleId="34">
    <w:name w:val="页脚 Char"/>
    <w:basedOn w:val="27"/>
    <w:link w:val="16"/>
    <w:qFormat/>
    <w:uiPriority w:val="0"/>
    <w:rPr>
      <w:kern w:val="2"/>
      <w:sz w:val="18"/>
      <w:szCs w:val="18"/>
    </w:rPr>
  </w:style>
  <w:style w:type="character" w:customStyle="1" w:styleId="35">
    <w:name w:val="NormalCharacter"/>
    <w:qFormat/>
    <w:uiPriority w:val="99"/>
    <w:rPr>
      <w:rFonts w:ascii="Calibri" w:hAnsi="Calibri" w:eastAsia="宋体"/>
    </w:rPr>
  </w:style>
  <w:style w:type="paragraph" w:customStyle="1" w:styleId="36">
    <w:name w:val="普通正文"/>
    <w:basedOn w:val="1"/>
    <w:qFormat/>
    <w:uiPriority w:val="0"/>
    <w:pPr>
      <w:spacing w:before="120" w:after="120" w:line="360" w:lineRule="auto"/>
      <w:ind w:firstLine="480"/>
      <w:jc w:val="left"/>
    </w:pPr>
    <w:rPr>
      <w:rFonts w:ascii="Arial" w:hAnsi="Arial" w:eastAsia="等线" w:cs="Arial"/>
      <w:kern w:val="0"/>
      <w:sz w:val="24"/>
    </w:rPr>
  </w:style>
  <w:style w:type="paragraph" w:styleId="37">
    <w:name w:val="List Paragraph"/>
    <w:basedOn w:val="1"/>
    <w:qFormat/>
    <w:uiPriority w:val="34"/>
    <w:pPr>
      <w:widowControl/>
      <w:ind w:firstLine="420" w:firstLineChars="200"/>
      <w:jc w:val="left"/>
    </w:pPr>
    <w:rPr>
      <w:rFonts w:eastAsia="仿宋" w:cs="宋体"/>
      <w:color w:val="000000"/>
      <w:sz w:val="28"/>
    </w:rPr>
  </w:style>
  <w:style w:type="paragraph" w:customStyle="1" w:styleId="38">
    <w:name w:val="普通(网站)1111"/>
    <w:basedOn w:val="1"/>
    <w:qFormat/>
    <w:uiPriority w:val="0"/>
    <w:pPr>
      <w:widowControl/>
      <w:spacing w:before="100" w:beforeAutospacing="1" w:after="100" w:afterAutospacing="1"/>
      <w:jc w:val="left"/>
    </w:pPr>
    <w:rPr>
      <w:rFonts w:ascii="宋体" w:hAnsi="宋体" w:cs="宋体"/>
      <w:sz w:val="24"/>
    </w:rPr>
  </w:style>
  <w:style w:type="paragraph" w:customStyle="1" w:styleId="39">
    <w:name w:val="正文首行缩进1"/>
    <w:basedOn w:val="1"/>
    <w:next w:val="1"/>
    <w:autoRedefine/>
    <w:qFormat/>
    <w:uiPriority w:val="0"/>
    <w:pPr>
      <w:ind w:firstLine="420"/>
    </w:pPr>
    <w:rPr>
      <w:szCs w:val="24"/>
    </w:rPr>
  </w:style>
  <w:style w:type="character" w:customStyle="1" w:styleId="40">
    <w:name w:val="NormalCharacter1"/>
    <w:autoRedefine/>
    <w:qFormat/>
    <w:uiPriority w:val="99"/>
    <w:rPr>
      <w:rFonts w:ascii="Calibri" w:hAnsi="Calibri" w:eastAsia="宋体"/>
    </w:rPr>
  </w:style>
  <w:style w:type="paragraph" w:customStyle="1" w:styleId="41">
    <w:name w:val="标题 41"/>
    <w:basedOn w:val="1"/>
    <w:next w:val="29"/>
    <w:qFormat/>
    <w:uiPriority w:val="0"/>
    <w:pPr>
      <w:keepNext/>
      <w:keepLines/>
      <w:spacing w:before="280" w:after="290" w:line="376" w:lineRule="auto"/>
      <w:outlineLvl w:val="3"/>
    </w:pPr>
    <w:rPr>
      <w:rFonts w:ascii="Arial" w:hAnsi="Arial" w:eastAsia="黑体" w:cs="Arial"/>
      <w:b/>
      <w:bCs/>
      <w:szCs w:val="28"/>
    </w:rPr>
  </w:style>
  <w:style w:type="paragraph" w:customStyle="1" w:styleId="42">
    <w:name w:val="列出段落"/>
    <w:basedOn w:val="1"/>
    <w:autoRedefine/>
    <w:qFormat/>
    <w:uiPriority w:val="0"/>
    <w:pPr>
      <w:ind w:firstLine="420"/>
    </w:pPr>
    <w:rPr>
      <w:rFonts w:ascii="Calibri" w:hAnsi="Calibri"/>
      <w:szCs w:val="22"/>
    </w:rPr>
  </w:style>
  <w:style w:type="paragraph" w:customStyle="1" w:styleId="43">
    <w:name w:val="Table Paragraph"/>
    <w:basedOn w:val="1"/>
    <w:qFormat/>
    <w:uiPriority w:val="1"/>
  </w:style>
  <w:style w:type="table" w:customStyle="1" w:styleId="44">
    <w:name w:val="Table Normal"/>
    <w:unhideWhenUsed/>
    <w:qFormat/>
    <w:uiPriority w:val="2"/>
    <w:rPr>
      <w:lang w:val="en-US" w:eastAsia="zh-CN" w:bidi="ar-SA"/>
    </w:rPr>
    <w:tblPr>
      <w:tblCellMar>
        <w:top w:w="0" w:type="dxa"/>
        <w:left w:w="0" w:type="dxa"/>
        <w:bottom w:w="0" w:type="dxa"/>
        <w:right w:w="0" w:type="dxa"/>
      </w:tblCellMar>
    </w:tblPr>
  </w:style>
  <w:style w:type="paragraph" w:customStyle="1" w:styleId="45">
    <w:name w:val="首行缩进"/>
    <w:basedOn w:val="1"/>
    <w:qFormat/>
    <w:uiPriority w:val="0"/>
    <w:pPr>
      <w:autoSpaceDE w:val="0"/>
      <w:autoSpaceDN w:val="0"/>
      <w:adjustRightInd w:val="0"/>
      <w:ind w:firstLine="720"/>
      <w:jc w:val="left"/>
    </w:pPr>
    <w:rPr>
      <w:rFonts w:ascii="宋体" w:hAnsi="宋体"/>
      <w:kern w:val="0"/>
      <w:sz w:val="24"/>
    </w:rPr>
  </w:style>
  <w:style w:type="paragraph" w:customStyle="1" w:styleId="46">
    <w:name w:val="章标题"/>
    <w:next w:val="1"/>
    <w:qFormat/>
    <w:uiPriority w:val="0"/>
    <w:pPr>
      <w:widowControl w:val="0"/>
      <w:adjustRightInd w:val="0"/>
      <w:spacing w:before="100" w:after="100" w:line="360" w:lineRule="auto"/>
      <w:jc w:val="center"/>
      <w:outlineLvl w:val="0"/>
    </w:pPr>
    <w:rPr>
      <w:rFonts w:ascii="Times New Roman" w:hAnsi="Times New Roman" w:eastAsia="黑体" w:cs="Times New Roman"/>
      <w:kern w:val="44"/>
      <w:sz w:val="36"/>
      <w:szCs w:val="44"/>
      <w:lang w:bidi="ar-SA"/>
    </w:rPr>
  </w:style>
  <w:style w:type="paragraph" w:customStyle="1" w:styleId="47">
    <w:name w:val="文档说明标题"/>
    <w:next w:val="1"/>
    <w:qFormat/>
    <w:uiPriority w:val="0"/>
    <w:pPr>
      <w:widowControl w:val="0"/>
      <w:adjustRightInd w:val="0"/>
      <w:spacing w:before="100" w:after="100" w:line="240" w:lineRule="auto"/>
      <w:jc w:val="center"/>
      <w:outlineLvl w:val="9"/>
    </w:pPr>
    <w:rPr>
      <w:rFonts w:ascii="Times New Roman" w:hAnsi="Times New Roman" w:eastAsia="黑体" w:cs="Times New Roman"/>
      <w:kern w:val="2"/>
      <w:sz w:val="52"/>
      <w:szCs w:val="52"/>
      <w:lang w:bidi="ar-SA"/>
    </w:rPr>
  </w:style>
  <w:style w:type="paragraph" w:customStyle="1" w:styleId="48">
    <w:name w:val="章前标题"/>
    <w:next w:val="1"/>
    <w:qFormat/>
    <w:uiPriority w:val="0"/>
    <w:pPr>
      <w:keepNext w:val="0"/>
      <w:keepLines w:val="0"/>
      <w:pageBreakBefore w:val="0"/>
      <w:widowControl w:val="0"/>
      <w:kinsoku/>
      <w:wordWrap/>
      <w:overflowPunct/>
      <w:topLinePunct w:val="0"/>
      <w:autoSpaceDE/>
      <w:autoSpaceDN/>
      <w:bidi w:val="0"/>
      <w:adjustRightInd/>
      <w:spacing w:before="240" w:after="240" w:line="240" w:lineRule="auto"/>
      <w:jc w:val="center"/>
      <w:textAlignment w:val="auto"/>
      <w:outlineLvl w:val="9"/>
    </w:pPr>
    <w:rPr>
      <w:rFonts w:ascii="黑体" w:hAnsi="黑体" w:eastAsia="黑体" w:cs="黑体"/>
      <w:kern w:val="44"/>
      <w:sz w:val="32"/>
      <w:szCs w:val="36"/>
    </w:rPr>
  </w:style>
  <w:style w:type="paragraph" w:customStyle="1" w:styleId="49">
    <w:name w:val="章节标题"/>
    <w:next w:val="1"/>
    <w:qFormat/>
    <w:uiPriority w:val="0"/>
    <w:pPr>
      <w:pageBreakBefore w:val="0"/>
      <w:widowControl w:val="0"/>
      <w:spacing w:before="240" w:beforeLines="0" w:after="240" w:line="240" w:lineRule="auto"/>
      <w:jc w:val="center"/>
      <w:outlineLvl w:val="0"/>
    </w:pPr>
    <w:rPr>
      <w:rFonts w:ascii="Times New Roman" w:hAnsi="Times New Roman" w:eastAsia="黑体" w:cs="Times New Roman"/>
      <w:kern w:val="44"/>
      <w:sz w:val="32"/>
      <w:szCs w:val="36"/>
    </w:rPr>
  </w:style>
  <w:style w:type="paragraph" w:customStyle="1" w:styleId="50">
    <w:name w:val="内嵌文档标题1"/>
    <w:next w:val="1"/>
    <w:qFormat/>
    <w:uiPriority w:val="0"/>
    <w:pPr>
      <w:widowControl w:val="0"/>
      <w:spacing w:before="240" w:after="240" w:line="360" w:lineRule="auto"/>
      <w:jc w:val="center"/>
      <w:outlineLvl w:val="0"/>
    </w:pPr>
    <w:rPr>
      <w:rFonts w:ascii="Times New Roman" w:hAnsi="Times New Roman" w:eastAsia="宋体" w:cs="Times New Roman"/>
      <w:b/>
      <w:kern w:val="2"/>
      <w:sz w:val="24"/>
    </w:rPr>
  </w:style>
  <w:style w:type="paragraph" w:customStyle="1" w:styleId="51">
    <w:name w:val="强调标题"/>
    <w:next w:val="1"/>
    <w:qFormat/>
    <w:uiPriority w:val="0"/>
    <w:pPr>
      <w:spacing w:after="120" w:line="360" w:lineRule="auto"/>
      <w:ind w:firstLine="420" w:firstLineChars="200"/>
      <w:outlineLvl w:val="0"/>
    </w:pPr>
    <w:rPr>
      <w:rFonts w:ascii="Calibri" w:hAnsi="Calibri" w:eastAsia="宋体" w:cs="Times New Roman"/>
      <w:b/>
      <w:sz w:val="24"/>
    </w:rPr>
  </w:style>
  <w:style w:type="paragraph" w:customStyle="1" w:styleId="52">
    <w:name w:val="内嵌文档标题2"/>
    <w:next w:val="1"/>
    <w:qFormat/>
    <w:uiPriority w:val="0"/>
    <w:pPr>
      <w:widowControl w:val="0"/>
      <w:shd w:val="clear" w:color="auto" w:fill="FFFFFF"/>
      <w:spacing w:before="240" w:after="240" w:line="360" w:lineRule="auto"/>
      <w:jc w:val="center"/>
      <w:outlineLvl w:val="0"/>
    </w:pPr>
    <w:rPr>
      <w:rFonts w:ascii="宋体" w:hAnsi="宋体" w:eastAsia="宋体" w:cs="宋体"/>
      <w:b/>
      <w:bCs/>
      <w:kern w:val="0"/>
      <w:sz w:val="24"/>
      <w:szCs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57</Pages>
  <Words>17927</Words>
  <Characters>18643</Characters>
  <Lines>272</Lines>
  <Paragraphs>76</Paragraphs>
  <TotalTime>148</TotalTime>
  <ScaleCrop>false</ScaleCrop>
  <LinksUpToDate>false</LinksUpToDate>
  <CharactersWithSpaces>18969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2024-07-20T02:42:00Z</dcterms:created>
  <dc:creator>Administrator</dc:creator>
  <cp:lastModifiedBy>盐城市滨海生态环境局(填报)</cp:lastModifiedBy>
  <cp:lastPrinted>2026-03-19T03:04:00Z</cp:lastPrinted>
  <dcterms:modified xsi:type="dcterms:W3CDTF">2026-03-20T08:42:01Z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94605BE2FC0F42EFBFA86B83769B29A4_13</vt:lpwstr>
  </property>
  <property fmtid="{D5CDD505-2E9C-101B-9397-08002B2CF9AE}" pid="4" name="KSOTemplateDocerSaveRecord">
    <vt:lpwstr>eyJoZGlkIjoiYjIzOTA3YWMyNWU3YmM4NWUxZTQ4NzY2NjljNDYyOWQiLCJ1c2VySWQiOiIxMDA3NjMzOSJ9</vt:lpwstr>
  </property>
</Properties>
</file>