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常州市政府采购项目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公开招标文件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2732" w:right="0" w:hanging="18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年龙城高架、青洋高架声屏障维修</w:t>
      </w:r>
      <w:r/>
    </w:p>
    <w:p>
      <w:pPr>
        <w:ind w:left="2833" w:right="0" w:hanging="1901"/>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w:t>
      </w:r>
      <w:r>
        <w:rPr>
          <w:rFonts w:ascii="SimSun" w:hAnsi="SimSun" w:eastAsia="SimSun" w:cs="SimSun"/>
          <w:color w:val="000000"/>
          <w:sz w:val="36"/>
        </w:rPr>
        <w:t xml:space="preserve">包号：</w:t>
      </w:r>
      <w:r>
        <w:rPr>
          <w:rFonts w:ascii="Times New Roman" w:hAnsi="Times New Roman" w:eastAsia="Times New Roman" w:cs="Times New Roman"/>
          <w:color w:val="000000"/>
          <w:sz w:val="36"/>
        </w:rPr>
        <w:t xml:space="preserve">JSZC-320400-JSZG-G2026-0008</w:t>
      </w:r>
      <w:r/>
    </w:p>
    <w:p>
      <w:pPr>
        <w:ind w:left="2620" w:right="0" w:hanging="1688"/>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人：常州市城乡建设工程管理中心</w:t>
      </w:r>
      <w:r/>
    </w:p>
    <w:p>
      <w:pPr>
        <w:ind w:left="2833" w:right="0" w:hanging="1901"/>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采购代理机构：江苏中冠工程咨询有限公司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tabs>
          <w:tab w:val="left" w:pos="9071"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7973" w:history="1">
        <w:r>
          <w:rPr>
            <w:rStyle w:val="800"/>
            <w:rFonts w:ascii="SimSun" w:hAnsi="SimSun" w:eastAsia="SimSun" w:cs="SimSun"/>
            <w:b/>
            <w:color w:val="000000"/>
            <w:sz w:val="24"/>
            <w:u w:val="single"/>
          </w:rPr>
          <w:t xml:space="preserve">第一章  投标邀请</w:t>
          <w:tab/>
        </w:r>
        <w:r>
          <w:rPr>
            <w:rStyle w:val="800"/>
            <w:rFonts w:ascii="SimSun" w:hAnsi="SimSun" w:eastAsia="SimSun" w:cs="SimSun"/>
            <w:b/>
            <w:color w:val="000000"/>
            <w:sz w:val="24"/>
            <w:u w:val="none"/>
          </w:rPr>
          <w:t xml:space="preserve">1</w:t>
        </w:r>
      </w:hyperlink>
      <w:r/>
      <w:r/>
    </w:p>
    <w:p>
      <w:pPr>
        <w:ind w:left="0" w:right="0" w:firstLine="0"/>
        <w:jc w:val="both"/>
        <w:spacing w:before="0" w:after="0" w:line="85" w:lineRule="atLeast"/>
        <w:tabs>
          <w:tab w:val="left" w:pos="9071"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8160" w:history="1">
        <w:r>
          <w:rPr>
            <w:rStyle w:val="800"/>
            <w:rFonts w:ascii="SimSun" w:hAnsi="SimSun" w:eastAsia="SimSun" w:cs="SimSun"/>
            <w:b/>
            <w:color w:val="000000"/>
            <w:sz w:val="24"/>
            <w:u w:val="single"/>
          </w:rPr>
          <w:t xml:space="preserve">第二章  投标人须知</w:t>
          <w:tab/>
        </w:r>
        <w:r>
          <w:rPr>
            <w:rStyle w:val="800"/>
            <w:rFonts w:ascii="SimSun" w:hAnsi="SimSun" w:eastAsia="SimSun" w:cs="SimSun"/>
            <w:b/>
            <w:color w:val="000000"/>
            <w:sz w:val="24"/>
            <w:u w:val="none"/>
          </w:rPr>
          <w:t xml:space="preserve">5</w:t>
        </w:r>
      </w:hyperlink>
      <w:r/>
      <w:r/>
    </w:p>
    <w:p>
      <w:pPr>
        <w:ind w:left="0" w:right="0" w:firstLine="0"/>
        <w:jc w:val="both"/>
        <w:spacing w:before="0" w:after="0" w:line="85" w:lineRule="atLeast"/>
        <w:tabs>
          <w:tab w:val="left" w:pos="9071"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0829" w:history="1">
        <w:r>
          <w:rPr>
            <w:rStyle w:val="800"/>
            <w:rFonts w:ascii="SimSun" w:hAnsi="SimSun" w:eastAsia="SimSun" w:cs="SimSun"/>
            <w:b/>
            <w:color w:val="000000"/>
            <w:sz w:val="24"/>
            <w:u w:val="single"/>
          </w:rPr>
          <w:t xml:space="preserve">第三章  资格审查</w:t>
          <w:tab/>
        </w:r>
        <w:r>
          <w:rPr>
            <w:rStyle w:val="800"/>
            <w:rFonts w:ascii="SimSun" w:hAnsi="SimSun" w:eastAsia="SimSun" w:cs="SimSun"/>
            <w:b/>
            <w:color w:val="000000"/>
            <w:sz w:val="24"/>
            <w:u w:val="none"/>
          </w:rPr>
          <w:t xml:space="preserve">20</w:t>
        </w:r>
      </w:hyperlink>
      <w:r/>
      <w:r/>
    </w:p>
    <w:p>
      <w:pPr>
        <w:ind w:left="0" w:right="0" w:firstLine="0"/>
        <w:jc w:val="both"/>
        <w:spacing w:before="0" w:after="0" w:line="85" w:lineRule="atLeast"/>
        <w:tabs>
          <w:tab w:val="left" w:pos="9071"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8558" w:history="1">
        <w:r>
          <w:rPr>
            <w:rStyle w:val="800"/>
            <w:rFonts w:ascii="SimSun" w:hAnsi="SimSun" w:eastAsia="SimSun" w:cs="SimSun"/>
            <w:b/>
            <w:color w:val="000000"/>
            <w:sz w:val="24"/>
            <w:u w:val="single"/>
          </w:rPr>
          <w:t xml:space="preserve">第四章  评标程序、评标方法和评标标准</w:t>
          <w:tab/>
        </w:r>
        <w:r>
          <w:rPr>
            <w:rStyle w:val="800"/>
            <w:rFonts w:ascii="SimSun" w:hAnsi="SimSun" w:eastAsia="SimSun" w:cs="SimSun"/>
            <w:b/>
            <w:color w:val="000000"/>
            <w:sz w:val="24"/>
            <w:u w:val="none"/>
          </w:rPr>
          <w:t xml:space="preserve">23</w:t>
        </w:r>
      </w:hyperlink>
      <w:r/>
      <w:r/>
    </w:p>
    <w:p>
      <w:pPr>
        <w:ind w:left="0" w:right="0" w:firstLine="0"/>
        <w:jc w:val="both"/>
        <w:spacing w:before="0" w:after="0" w:line="85" w:lineRule="atLeast"/>
        <w:tabs>
          <w:tab w:val="left" w:pos="9071"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1045" w:history="1">
        <w:r>
          <w:rPr>
            <w:rStyle w:val="800"/>
            <w:rFonts w:ascii="SimSun" w:hAnsi="SimSun" w:eastAsia="SimSun" w:cs="SimSun"/>
            <w:b/>
            <w:color w:val="000000"/>
            <w:sz w:val="24"/>
            <w:u w:val="single"/>
          </w:rPr>
          <w:t xml:space="preserve">第五章  采购需求</w:t>
          <w:tab/>
        </w:r>
        <w:r>
          <w:rPr>
            <w:rStyle w:val="800"/>
            <w:rFonts w:ascii="SimSun" w:hAnsi="SimSun" w:eastAsia="SimSun" w:cs="SimSun"/>
            <w:b/>
            <w:color w:val="000000"/>
            <w:sz w:val="24"/>
            <w:u w:val="none"/>
          </w:rPr>
          <w:t xml:space="preserve">31</w:t>
        </w:r>
      </w:hyperlink>
      <w:r/>
      <w:r/>
    </w:p>
    <w:p>
      <w:pPr>
        <w:ind w:left="0" w:right="0" w:firstLine="0"/>
        <w:jc w:val="both"/>
        <w:spacing w:before="0" w:after="0" w:line="85" w:lineRule="atLeast"/>
        <w:tabs>
          <w:tab w:val="left" w:pos="9071"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6624" w:history="1">
        <w:r>
          <w:rPr>
            <w:rStyle w:val="800"/>
            <w:rFonts w:ascii="SimSun" w:hAnsi="SimSun" w:eastAsia="SimSun" w:cs="SimSun"/>
            <w:b/>
            <w:color w:val="000000"/>
            <w:sz w:val="24"/>
            <w:u w:val="single"/>
          </w:rPr>
          <w:t xml:space="preserve">第六章  拟签订的合同文本</w:t>
          <w:tab/>
        </w:r>
        <w:r>
          <w:rPr>
            <w:rStyle w:val="800"/>
            <w:rFonts w:ascii="SimSun" w:hAnsi="SimSun" w:eastAsia="SimSun" w:cs="SimSun"/>
            <w:b/>
            <w:color w:val="000000"/>
            <w:sz w:val="24"/>
            <w:u w:val="none"/>
          </w:rPr>
          <w:t xml:space="preserve">33</w:t>
        </w:r>
      </w:hyperlink>
      <w:r/>
      <w:r/>
    </w:p>
    <w:p>
      <w:pPr>
        <w:ind w:left="0" w:right="0" w:firstLine="0"/>
        <w:jc w:val="both"/>
        <w:spacing w:before="0" w:after="0" w:line="85" w:lineRule="atLeast"/>
        <w:tabs>
          <w:tab w:val="left" w:pos="9071"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3116" w:history="1">
        <w:r>
          <w:rPr>
            <w:rStyle w:val="800"/>
            <w:rFonts w:ascii="SimSun" w:hAnsi="SimSun" w:eastAsia="SimSun" w:cs="SimSun"/>
            <w:b/>
            <w:color w:val="000000"/>
            <w:sz w:val="24"/>
            <w:u w:val="single"/>
          </w:rPr>
          <w:t xml:space="preserve">第七章  投标文件格式</w:t>
          <w:tab/>
        </w:r>
        <w:r>
          <w:rPr>
            <w:rStyle w:val="800"/>
            <w:rFonts w:ascii="SimSun" w:hAnsi="SimSun" w:eastAsia="SimSun" w:cs="SimSun"/>
            <w:b/>
            <w:color w:val="000000"/>
            <w:sz w:val="24"/>
            <w:u w:val="none"/>
          </w:rPr>
          <w:t xml:space="preserve">43</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投标邀请</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pStyle w:val="64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JSZC-320400-JSZG-G2026-0008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年龙城高架、青洋高架声屏障维修项目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项目预算金额：人民币393.76万元。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最高限价：人民币393.76万元，单价报价不超过1840元/米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采购包预算金额（万元）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简要技术需求或服务要求</w:t>
            </w:r>
            <w:r/>
          </w:p>
        </w:tc>
      </w:tr>
      <w:tr>
        <w:trPr>
          <w:trHeight w:val="1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SimSun" w:hAnsi="SimSun" w:eastAsia="SimSun" w:cs="SimSun"/>
                <w:color w:val="000000"/>
                <w:sz w:val="24"/>
                <w:u w:val="none"/>
              </w:rPr>
              <w:t xml:space="preserve">龙城高架、青洋高架</w:t>
            </w:r>
            <w:r>
              <w:rPr>
                <w:rFonts w:ascii="SimSun" w:hAnsi="SimSun" w:eastAsia="SimSun" w:cs="SimSun"/>
                <w:color w:val="000000"/>
                <w:sz w:val="24"/>
              </w:rPr>
              <w:t xml:space="preserve">声屏障维修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城高架、青洋高架声屏障2140米维修更新，声屏障更新，拆除原声屏障（保留原声屏障型钢立柱螺栓，如立柱螺栓松动锈蚀，则重新安装螺栓），原立柱螺栓涂刷黄油，原型钢立柱拆除后经厂内除锈防腐重新安装，按原声屏障尺寸布置新建声屏障屏体，要求按不低于原设计标准重新安装新</w:t>
            </w:r>
            <w:r>
              <w:rPr>
                <w:rFonts w:ascii="SimSun" w:hAnsi="SimSun" w:eastAsia="SimSun" w:cs="SimSun"/>
                <w:color w:val="000000"/>
                <w:sz w:val="24"/>
                <w:u w:val="none"/>
              </w:rPr>
              <w:t xml:space="preserve">声屏障屏体</w:t>
            </w:r>
            <w:r>
              <w:rPr>
                <w:rFonts w:ascii="SimSun" w:hAnsi="SimSun" w:eastAsia="SimSun" w:cs="SimSun"/>
                <w:color w:val="000000"/>
                <w:sz w:val="24"/>
              </w:rPr>
              <w:t xml:space="preserve">（屏体面板、背板及下护板等均采用铝质材料）；绕路灯杆及监控杆等障碍物时采用同材质同式样新建声屏障。</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合同履行期限：</w:t>
      </w:r>
      <w:r>
        <w:rPr>
          <w:rFonts w:ascii="SimSun" w:hAnsi="SimSun" w:eastAsia="SimSun" w:cs="SimSun"/>
          <w:color w:val="000000"/>
          <w:sz w:val="24"/>
          <w:u w:val="none"/>
        </w:rPr>
        <w:t xml:space="preserve">合同签订生效之日起三个月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本项目是否接受联合体投标：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本项目是否接受进口产品投标：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p>
      <w:pPr>
        <w:pStyle w:val="64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本项目专门面向</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中小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小微企业</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采购。即：提供的货物全部由符合政策要求的中小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小微企业制造、服务全部由符合政策要求的中小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本项目是否接受分支机构参与投标：</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是</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投标人须具备有效的公路交通工程公路安全设施分项二级（含）以上企业资质，并具备有效的安全生产许可证。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项目负责人须具备有效的公路工程专业贰级及以上注册建造师执业资格和安全生产考核合格证书（</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keepLines/>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地点：“苏采云”政府采购一体化平台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方式：供应商持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数字认证证书登录江苏省政府采购苏采云平台（</w:t>
      </w:r>
      <w:r>
        <w:rPr>
          <w:rFonts w:ascii="Times New Roman" w:hAnsi="Times New Roman" w:eastAsia="Times New Roman" w:cs="Times New Roman"/>
          <w:color w:val="000000"/>
          <w:sz w:val="24"/>
        </w:rPr>
        <w:t xml:space="preserve">http://jszfcg.jscz.gov.cn/jszc/login</w:t>
      </w:r>
      <w:r>
        <w:rPr>
          <w:rFonts w:ascii="SimSun" w:hAnsi="SimSun" w:eastAsia="SimSun" w:cs="SimSun"/>
          <w:color w:val="000000"/>
          <w:sz w:val="24"/>
        </w:rPr>
        <w:t xml:space="preserve">）获取电子版招标文件。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售价：</w:t>
      </w:r>
      <w:r>
        <w:rPr>
          <w:rFonts w:ascii="Times New Roman" w:hAnsi="Times New Roman" w:eastAsia="Times New Roman" w:cs="Times New Roman"/>
          <w:color w:val="000000"/>
          <w:sz w:val="24"/>
          <w:u w:val="single"/>
        </w:rPr>
        <w:t xml:space="preserve"> 0 </w:t>
      </w:r>
      <w:r>
        <w:rPr>
          <w:rFonts w:ascii="SimSun" w:hAnsi="SimSun" w:eastAsia="SimSun" w:cs="SimSun"/>
          <w:color w:val="000000"/>
          <w:sz w:val="24"/>
        </w:rPr>
        <w:t xml:space="preserve">元。</w:t>
      </w:r>
      <w:r/>
    </w:p>
    <w:p>
      <w:pPr>
        <w:pStyle w:val="642"/>
        <w:ind w:left="0" w:right="0" w:firstLine="0"/>
        <w:keepLines/>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投标截止时间、开标时间：</w:t>
      </w:r>
      <w:r>
        <w:rPr>
          <w:rFonts w:ascii="Times New Roman" w:hAnsi="Times New Roman" w:eastAsia="Times New Roman" w:cs="Times New Roman"/>
          <w:color w:val="ff0000"/>
          <w:sz w:val="24"/>
        </w:rPr>
        <w:t xml:space="preserve">2026</w:t>
      </w:r>
      <w:r>
        <w:rPr>
          <w:rFonts w:ascii="SimSun" w:hAnsi="SimSun" w:eastAsia="SimSun" w:cs="SimSun"/>
          <w:color w:val="ff0000"/>
          <w:sz w:val="24"/>
        </w:rPr>
        <w:t xml:space="preserve">年</w:t>
      </w:r>
      <w:r>
        <w:rPr>
          <w:rFonts w:ascii="Times New Roman" w:hAnsi="Times New Roman" w:eastAsia="Times New Roman" w:cs="Times New Roman"/>
          <w:color w:val="ff0000"/>
          <w:sz w:val="24"/>
        </w:rPr>
        <w:t xml:space="preserve">4</w:t>
      </w:r>
      <w:r>
        <w:rPr>
          <w:rFonts w:ascii="SimSun" w:hAnsi="SimSun" w:eastAsia="SimSun" w:cs="SimSun"/>
          <w:color w:val="ff0000"/>
          <w:sz w:val="24"/>
        </w:rPr>
        <w:t xml:space="preserve">月</w:t>
      </w:r>
      <w:r>
        <w:rPr>
          <w:rFonts w:ascii="Times New Roman" w:hAnsi="Times New Roman" w:eastAsia="Times New Roman" w:cs="Times New Roman"/>
          <w:color w:val="ff0000"/>
          <w:sz w:val="24"/>
        </w:rPr>
        <w:t xml:space="preserve">29</w:t>
      </w:r>
      <w:r>
        <w:rPr>
          <w:rFonts w:ascii="SimSun" w:hAnsi="SimSun" w:eastAsia="SimSun" w:cs="SimSun"/>
          <w:color w:val="ff0000"/>
          <w:sz w:val="24"/>
        </w:rPr>
        <w:t xml:space="preserve">日</w:t>
      </w:r>
      <w:r>
        <w:rPr>
          <w:rFonts w:ascii="Times New Roman" w:hAnsi="Times New Roman" w:eastAsia="Times New Roman" w:cs="Times New Roman"/>
          <w:color w:val="ff0000"/>
          <w:sz w:val="24"/>
        </w:rPr>
        <w:t xml:space="preserve">9:00</w:t>
      </w:r>
      <w:r>
        <w:rPr>
          <w:rFonts w:ascii="SimSun" w:hAnsi="SimSun" w:eastAsia="SimSun" w:cs="SimSun"/>
          <w:color w:val="ff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地点：本项目采用不见面交易方式，无需到现场提交，投标人登录江苏省政府采购苏采云平台供应商端，通过系统在线提交电子投标文件。</w:t>
      </w:r>
      <w:r/>
    </w:p>
    <w:p>
      <w:pPr>
        <w:pStyle w:val="64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64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本项目需要落实的政府采购政策：无。</w:t>
      </w: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本项目采用不见面交易方式，请供应商认真学习常州市政府采购网发布的相关操作手册，办理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认证证书、江苏省政府采购苏采云平台注册绑定，并认真核实数字认证证书情况确认是否符合本项目电子化采购流程要求。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技术支持服务热线</w:t>
      </w:r>
      <w:r>
        <w:rPr>
          <w:rFonts w:ascii="Times New Roman" w:hAnsi="Times New Roman" w:eastAsia="Times New Roman" w:cs="Times New Roman"/>
          <w:color w:val="000000"/>
          <w:sz w:val="24"/>
        </w:rPr>
        <w:t xml:space="preserve">    0519-85588210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认证证书办理（可邮寄）联系电话</w:t>
      </w:r>
      <w:r>
        <w:rPr>
          <w:rFonts w:ascii="Times New Roman" w:hAnsi="Times New Roman" w:eastAsia="Times New Roman" w:cs="Times New Roman"/>
          <w:color w:val="000000"/>
          <w:sz w:val="24"/>
        </w:rPr>
        <w:t xml:space="preserve">   0519-85588120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供应商登录政府采购一体化平台“苏采云”“新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办理指南”，按照程序要求办理。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供应商登录政府采购一体化平台“苏采云”</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下载“</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用户注册”查阅后进行自助注册。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控件、客户端下载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供应商登录政府采购一体化平台“苏采云”</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下载“驱动下载”，安装驱动。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 </w:t>
      </w:r>
      <w:r>
        <w:rPr>
          <w:rFonts w:ascii="SimSun" w:hAnsi="SimSun" w:eastAsia="SimSun" w:cs="SimSun"/>
          <w:color w:val="000000"/>
          <w:sz w:val="24"/>
        </w:rPr>
        <w:t xml:space="preserve">获取电子招标文件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数字认证证书登录江苏省政府采购苏采云系统获取电子招标文件。未在规定期限内通过江苏省政府采购苏采云系统获取招标文件的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编制电子投标文件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提交电子投标文件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供应商应于投标截止时间前在江苏省政府采购苏采云系统提交电子投标文件，上传电子投标文件过程中请保持与互联网的连接畅通。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电子开标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认证证书登录江苏省政府采购苏采云系统进行电子化不见面开标。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中国人民银行常州市中心支行关于进一步推进政府采购信用融资工作的通知》（常财购〔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政采融资平台栏目。</w:t>
      </w:r>
      <w:r/>
    </w:p>
    <w:p>
      <w:pPr>
        <w:pStyle w:val="64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1080" w:right="0" w:hanging="30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称：常州市城乡建设工程管理中心</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址：常州市勤业路188号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联系方式：周工   0519-88020960</w:t>
      </w:r>
      <w:r/>
    </w:p>
    <w:p>
      <w:pPr>
        <w:ind w:left="1080" w:right="0" w:hanging="30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称：江苏中冠工程咨询有限公司</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址：常州市新北区龙锦路1259-2号9楼</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联系方式：0519-86681928</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话：0519-86681928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投标人须知</w:t>
      </w:r>
      <w:r/>
    </w:p>
    <w:p>
      <w:pPr>
        <w:pStyle w:val="642"/>
        <w:ind w:left="0" w:right="0" w:firstLine="0"/>
        <w:jc w:val="center"/>
        <w:spacing w:before="0" w:after="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6"/>
        <w:gridCol w:w="1612"/>
        <w:gridCol w:w="6806"/>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货物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关于核心产品本项目</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包不适用。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本项目为单一产品采购项目。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本项目</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包为非单一产品采购项目，核心产品为：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投标样品递交：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不需要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需要，具体要求如下：</w:t>
            </w:r>
            <w:r/>
          </w:p>
        </w:tc>
      </w:tr>
      <w:tr>
        <w:trPr>
          <w:trHeight w:val="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b/>
                <w:color w:val="000000"/>
                <w:sz w:val="24"/>
              </w:rPr>
              <w:t xml:space="preserve">其他未列明行业</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有，具体情形：本项目报价采用固定单价合同，报价表上的单价为含税报价，包括招标文件所确定的招标范围内的全部人工、材料更换、机械、管理费、利润、安装费、安全文明施工、措施费、风险费、检测费、保险费、运输费、包装费、运杂费（运抵招标人项目现场）、税金、施工所需要的交通组织（管制）费（必须满足采购人要求并通过交管部门批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详见《关于进一步规范占用、挖掘道路施工影响交通审批与管理的意见（常公安【</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号）》文件规定）及与工程相关的各种协调、协作费及投标人认为需要的其他费用等所有费用。今后不再另行计取。</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Times New Roman" w:hAnsi="Times New Roman" w:eastAsia="Times New Roman" w:cs="Times New Roman"/>
                <w:color w:val="000000"/>
                <w:sz w:val="24"/>
                <w:u w:val="single"/>
              </w:rPr>
              <w:t xml:space="preserve">120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允许，具体要求：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询问送达形式：书面形式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联系部门：江苏中冠工程咨询有限公司业务二部；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联系电话：0519-89893569；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通讯地址：常州市新北区龙锦路</w:t>
            </w:r>
            <w:r>
              <w:rPr>
                <w:rFonts w:ascii="Times New Roman" w:hAnsi="Times New Roman" w:eastAsia="Times New Roman" w:cs="Times New Roman"/>
                <w:color w:val="000000"/>
                <w:sz w:val="24"/>
              </w:rPr>
              <w:t xml:space="preserve">1259-2</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楼</w:t>
            </w:r>
            <w:r>
              <w:rPr>
                <w:rFonts w:ascii="Times New Roman" w:hAnsi="Times New Roman" w:eastAsia="Times New Roman" w:cs="Times New Roman"/>
                <w:color w:val="000000"/>
                <w:sz w:val="24"/>
              </w:rPr>
              <w:t xml:space="preserve">903</w:t>
            </w:r>
            <w:r>
              <w:rPr>
                <w:rFonts w:ascii="SimSun" w:hAnsi="SimSun" w:eastAsia="SimSun" w:cs="SimSun"/>
                <w:color w:val="000000"/>
                <w:sz w:val="24"/>
              </w:rPr>
              <w:t xml:space="preserve">室。</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中标人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收费标准：</w:t>
            </w:r>
            <w:r>
              <w:rPr>
                <w:rFonts w:ascii="Times New Roman" w:hAnsi="Times New Roman" w:eastAsia="Times New Roman" w:cs="Times New Roma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
              <w:gridCol w:w="275"/>
            </w:tblGrid>
            <w:tr>
              <w:trPr>
                <w:trHeight w:val="1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top"/>
                  <w:textDirection w:val="lrTb"/>
                  <w:noWrap w:val="false"/>
                </w:tcPr>
                <w:p>
                  <w:pPr>
                    <w:ind w:left="0" w:right="0" w:firstLine="945"/>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47700" cy="5429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099661" name=""/>
                                    <pic:cNvPicPr>
                                      <a:picLocks noChangeAspect="1"/>
                                    </pic:cNvPicPr>
                                    <pic:nvPr/>
                                  </pic:nvPicPr>
                                  <pic:blipFill>
                                    <a:blip/>
                                    <a:stretch/>
                                  </pic:blipFill>
                                  <pic:spPr bwMode="auto">
                                    <a:xfrm>
                                      <a:off x="0" y="0"/>
                                      <a:ext cx="647699" cy="5429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1.0pt;height:4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93449"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服</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　　　 务</w:t>
                  </w:r>
                  <w:r/>
                </w:p>
                <w:p>
                  <w:pPr>
                    <w:ind w:left="0" w:right="0" w:firstLine="105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3238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15681" name=""/>
                                    <pic:cNvPicPr>
                                      <a:picLocks noChangeAspect="1"/>
                                    </pic:cNvPicPr>
                                    <pic:nvPr/>
                                  </pic:nvPicPr>
                                  <pic:blipFill>
                                    <a:blip/>
                                    <a:stretch/>
                                  </pic:blipFill>
                                  <pic:spPr bwMode="auto">
                                    <a:xfrm>
                                      <a:off x="0" y="0"/>
                                      <a:ext cx="828675"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5.2pt;height:25.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类</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率　 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top"/>
                  <w:textDirection w:val="lrTb"/>
                  <w:noWrap w:val="false"/>
                </w:tcPr>
                <w:p>
                  <w:pPr>
                    <w:ind w:left="768"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rPr>
                      <w:rFonts w:ascii="SimSun" w:hAnsi="SimSun" w:eastAsia="SimSun" w:cs="SimSun"/>
                      <w:color w:val="000000"/>
                      <w:spacing w:val="-60"/>
                      <w:sz w:val="24"/>
                    </w:rPr>
                    <w:t xml:space="preserve"> </w:t>
                  </w:r>
                  <w:r>
                    <w:rPr>
                      <w:rFonts w:ascii="SimSun" w:hAnsi="SimSun" w:eastAsia="SimSun" w:cs="SimSun"/>
                      <w:color w:val="000000"/>
                      <w:sz w:val="24"/>
                    </w:rPr>
                    <w:t xml:space="preserve">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top"/>
                  <w:textDirection w:val="lrTb"/>
                  <w:noWrap w:val="false"/>
                </w:tcPr>
                <w:p>
                  <w:pPr>
                    <w:ind w:left="799"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top"/>
                  <w:textDirection w:val="lrTb"/>
                  <w:noWrap w:val="false"/>
                </w:tcPr>
                <w:p>
                  <w:pPr>
                    <w:ind w:left="739"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top"/>
                  <w:textDirection w:val="lrTb"/>
                  <w:noWrap w:val="false"/>
                </w:tcPr>
                <w:p>
                  <w:pPr>
                    <w:ind w:left="679"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top"/>
                  <w:textDirection w:val="lrTb"/>
                  <w:noWrap w:val="false"/>
                </w:tcPr>
                <w:p>
                  <w:pPr>
                    <w:ind w:left="619"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缴纳时间：领取中标通知书前。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收款户名：江苏中冠工程咨询有限公司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开户银行：中国工商银行常州分行营业部营业室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账</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1105020119000676959</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投标人须知</w:t>
      </w:r>
      <w:r/>
    </w:p>
    <w:p>
      <w:pPr>
        <w:pStyle w:val="642"/>
        <w:ind w:left="0" w:right="0" w:firstLine="0"/>
        <w:spacing w:before="0" w:after="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ab/>
      </w:r>
      <w:r>
        <w:rPr>
          <w:rFonts w:ascii="SimSun" w:hAnsi="SimSun" w:eastAsia="SimSun" w:cs="SimSun"/>
          <w:b/>
          <w:color w:val="000000"/>
          <w:sz w:val="28"/>
        </w:rPr>
        <w:t xml:space="preserve">一</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说</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明</w:t>
      </w:r>
      <w:r>
        <w:rPr>
          <w:rFonts w:ascii="Times New Roman" w:hAnsi="Times New Roman" w:eastAsia="Times New Roman" w:cs="Times New Roman"/>
          <w:b/>
          <w:color w:val="000000"/>
          <w:sz w:val="28"/>
        </w:rPr>
        <w:tab/>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采购人、采购代理机构、投标人、联合体</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资金来源、项目属性、科研仪器设备采购、核心产品</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0"/>
          <w:numId w:val="2"/>
        </w:numPr>
        <w:jc w:val="both"/>
        <w:spacing w:before="0" w:after="0" w:line="20" w:lineRule="atLeast"/>
        <w:tabs>
          <w:tab w:val="left" w:pos="900"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2"/>
        </w:numPr>
        <w:jc w:val="both"/>
        <w:spacing w:before="0" w:after="0" w:line="20" w:lineRule="atLeast"/>
        <w:tabs>
          <w:tab w:val="left" w:pos="900"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2"/>
        </w:numPr>
        <w:jc w:val="both"/>
        <w:spacing w:before="0" w:after="0" w:line="20" w:lineRule="atLeast"/>
        <w:tabs>
          <w:tab w:val="left" w:pos="900"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2"/>
        </w:numPr>
        <w:jc w:val="both"/>
        <w:spacing w:before="0" w:after="0" w:line="20" w:lineRule="atLeast"/>
        <w:tabs>
          <w:tab w:val="left" w:pos="900"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2"/>
        </w:numPr>
        <w:jc w:val="both"/>
        <w:spacing w:before="0" w:after="0" w:line="20" w:lineRule="atLeast"/>
        <w:tabs>
          <w:tab w:val="left" w:pos="900"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1"/>
          <w:numId w:val="2"/>
        </w:numPr>
        <w:jc w:val="both"/>
        <w:spacing w:before="0" w:after="0" w:line="20" w:lineRule="atLeast"/>
        <w:tabs>
          <w:tab w:val="left" w:pos="1589"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1"/>
          <w:numId w:val="2"/>
        </w:numPr>
        <w:jc w:val="both"/>
        <w:spacing w:before="0" w:after="0" w:line="20" w:lineRule="atLeast"/>
        <w:tabs>
          <w:tab w:val="left" w:pos="1589" w:leader="none"/>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2"/>
          <w:numId w:val="2"/>
        </w:numPr>
        <w:jc w:val="both"/>
        <w:spacing w:before="0" w:after="0" w:line="20"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2"/>
          <w:numId w:val="2"/>
        </w:numPr>
        <w:jc w:val="both"/>
        <w:spacing w:before="0" w:after="0" w:line="20"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2"/>
          <w:numId w:val="2"/>
        </w:numPr>
        <w:jc w:val="both"/>
        <w:spacing w:before="0" w:after="0" w:line="20"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号）有关要求，做好支持脱贫攻坚工作，本项目采购活动中对于支持乡村振兴管理的相关要求见第五章《采购需求》（如涉及）。</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w:t>
      </w:r>
      <w:r>
        <w:rPr>
          <w:rFonts w:ascii="Times New Roman" w:hAnsi="Times New Roman" w:eastAsia="Times New Roman" w:cs="Times New Roman"/>
          <w:color w:val="000000"/>
          <w:sz w:val="24"/>
        </w:rPr>
        <w:t xml:space="preserve"> </w:t>
      </w:r>
      <w:r/>
    </w:p>
    <w:p>
      <w:pPr>
        <w:ind w:left="1980" w:right="0" w:firstLine="0"/>
        <w:jc w:val="both"/>
        <w:spacing w:before="0" w:after="0" w:line="85" w:lineRule="atLeast"/>
        <w:tabs>
          <w:tab w:val="left" w:pos="900"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ascii="SimSun" w:hAnsi="SimSun" w:eastAsia="SimSun" w:cs="SimSun"/>
          <w:color w:val="000000"/>
          <w:sz w:val="24"/>
        </w:rPr>
        <w:t xml:space="preserve">测报告、认证报告。</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980" w:right="0" w:firstLine="0"/>
        <w:jc w:val="both"/>
        <w:spacing w:before="0" w:after="0" w:line="85" w:lineRule="atLeast"/>
        <w:tabs>
          <w:tab w:val="left" w:pos="900"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依据相关需求标准确定采购需求，在采购文件和采购合同中载明具体需求、履约验收条款和违约责任。依据《绿色数据中心政府采购需求标准（试行）》（财办库〔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号）文件精神，采购人在采购数据中心相关设备、运维服务，应当有利于节约能源、</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ind w:left="1980" w:right="0" w:firstLine="0"/>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）治理要求，若本项目中涉及涂料、胶黏剂、油墨、清洗剂等挥发性有机物产品的，属于强制性标准的，投标人应当提供符合国家和江苏省相关</w:t>
      </w:r>
      <w:r>
        <w:rPr>
          <w:rFonts w:ascii="Times New Roman" w:hAnsi="Times New Roman" w:eastAsia="Times New Roman" w:cs="Times New Roman"/>
          <w:color w:val="000000"/>
          <w:sz w:val="24"/>
        </w:rPr>
        <w:t xml:space="preserve">VOCs </w:t>
      </w:r>
      <w:r>
        <w:rPr>
          <w:rFonts w:ascii="SimSun" w:hAnsi="SimSun" w:eastAsia="SimSun" w:cs="SimSun"/>
          <w:color w:val="000000"/>
          <w:sz w:val="24"/>
        </w:rPr>
        <w:t xml:space="preserve">含量限制标准的产品；属于推荐性标准的，应当在采购文件中载明低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的优惠幅度、评审标准等，以体现优先采购。</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招标文件</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招标文件构成</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1"/>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1"/>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日前，以更正公告形式通知所有获取招标文件的潜在投标人；不足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日的，将顺延提交投标文件的截止时间和开标时间。</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投标文件的编制</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投标范围、投标文件中计量单位的使用及投标语言</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投标文件构成</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投标人应当按照招标文件的要求编制投标文件。投标文件应由《资格证明文件》、《商务技术文件》两部分构成。投标文件的部分格式要求，见第七章《投标文件格式》。</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按照招标文件要求完成本项目的全部相关服务费用。</w:t>
      </w:r>
      <w:r>
        <w:rPr>
          <w:rFonts w:ascii="Times New Roman" w:hAnsi="Times New Roman" w:eastAsia="Times New Roman" w:cs="Times New Roman"/>
          <w:color w:val="000000"/>
          <w:sz w:val="24"/>
        </w:rPr>
        <w:t xml:space="preserve"> </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p>
      <w:pPr>
        <w:ind w:left="357"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投标文件的签署、加盖公章</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投标文件的提交</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投标文件的提交</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本项目使用江苏省政府采购苏采云平台。投标人根据招标文件及江苏省政府采购苏采云平台供应商操作手册要求编制、生成并提交电子投标文件。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采购人及采购代理机构拒绝接受通过江苏省政府采购苏采云平台以外任何形式提交的投标文件。</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投标人应在招标文件要求提交投标文件截止时间前，将电子投标文件提交至江苏省政府采购苏采云平台。</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投标文件的修改与撤回</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投标截止时间前，投标人可以通过江苏省政府采购苏采云平台对所提交的投标文件进行补充、修改或者撤回。</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投标人对投标文件的补充、修改的内容应当按照招标文件要求签署、加盖公章，作为投标文件的组成部分。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开标、资格审查及评标</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采购人或采购代理机构将按招标文件的规定，在投标截止时间的同一时间和招标文件预先确定的地点组织开标。</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本项目开标采用不见面招投标模式，使用江苏省政府采购苏采云平台在线进行开标。投标人应在规定的时间内对投标文件进行解密，因非系统原因导致的解密失败，视为</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过程将使用江苏省政府采购苏采云平台公布投标人名称、投标价格和招标文件规定的需要宣布的其他内容并进行记录，并由参加开标的各投标人代表在规定时间内确认。投标人超过规定时间未确认但是未提出疑义的，系统将视同已确认。</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江苏省政府采购苏采云平台”系统无法正常运行，或者无法保证本项目采购活动的公平、公正和安全时，代理机构可以延缓或者暂停采购活动，情况严重的可以终止采购活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1134"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见第四章《评标程序、评标方法和评标标准》。</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确定中标</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中标公告与中标通知书</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个工作日内，在常州市政府采购网公告中标结果，同时向中标人发出中标通知书，中标公告期限为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符合专业条件的供应商或者对招标文件作实质响应的供应商不足三家的；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出现序号18.8的所述情形，情况严重且影响采购活动公平、公正性的。</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中标人、采购人应当自中标通知书发出之日起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日内，按照招标文件和中标人投标文件的规定签订书面合同。所签订的合同不得对招标文件确定的事项和中标人投标文件作实质性修改。</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个工作日内，由投标人派授权代表以书面形式向采购人、采购代理机构提出质疑。采购人、采购代理机构在收到质疑函后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6" w:tooltip="http://gks.mof.gov.cn/ztztz/zhengfucaigouguanli/201802/t20180201_2804589.htm" w:history="1">
        <w:r>
          <w:rPr>
            <w:rStyle w:val="800"/>
            <w:rFonts w:ascii="Times New Roman" w:hAnsi="Times New Roman" w:eastAsia="Times New Roman" w:cs="Times New Roman"/>
            <w:color w:val="0000ff"/>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收费对象、收费标准及缴纳时间见《投标人须知资料表》。由中标人支付的，中标人须一次性向采购代理机构缴纳代理费，投标报价应包含代理费用。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集中采购机构不收取代理费。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资格审查</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numPr>
          <w:ilvl w:val="0"/>
          <w:numId w:val="3"/>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3"/>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0"/>
          <w:numId w:val="3"/>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3"/>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二、资格审查要求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。联合体形式投标的，联合体成员存在不良信用记录，视同联合体存在不良信用记录。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、投标人单独投标的，应提供中小企业声明函；如为监狱企业或残疾人福利性单位，不必提供中小企业声明函，但须按注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：残疾人福利性单位须按招标文件要求提供《残疾人福利性单位声明函》。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、本项目不接受联合体投标时，投标人不得为联合体。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提供《联合协议》原件的电子件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评标程序、评标方法和评标标准</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投标文件的符合性审查</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1813"/>
        <w:gridCol w:w="6725"/>
      </w:tblGrid>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投标函、法定代表人资格证明书和政府采购供应商信用承诺书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按招标文件要求提供投标函、法定代表人资格证明书和政府采购供应商信用承诺书；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未将一个采购包中的内容拆开投标；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投标报价未超过招标文件中规定的项目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标记为“实质性格式”的文件均按招标文件要求提供；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不涉及报价修正，或投标文件报价出现前后不一致时，投标人对修正后的报价予以确认；（如有）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严格按关于推动解决政府采购异常低价问题相关工作的通知（苏财购〔</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号）要求执行。</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招标文件不接受进口产品投标的内容时，投标人所投产品非进口产品的；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国家有关部门对投标人的投标产品有强制性规定或要求的（如相应技术、安全、节能和环保等），投标人的投标产品应符合相应规定或要求，并提供证明文件电子件：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投标人遵循公平竞争的原则，不存在恶意串通，妨碍其他投标人的竞争行为，不存在损害招标人或者其他投标人的合法权益情形的；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性差异；（五）不同投标人的投标文件相互混装；（六）不同投标人的投标保证金从同一单位或者个人的账户转出；</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投标文件未含有招标人不能接受的附加条件的；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评标委员会将通过江苏省政府采购苏采云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SimSun" w:hAnsi="SimSun" w:eastAsia="SimSun" w:cs="SimSun"/>
          <w:b/>
          <w:color w:val="000000"/>
          <w:sz w:val="24"/>
        </w:rPr>
        <w:t xml:space="preserve">无效投标处理</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3"/>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2.4.2-2.4.7</w:t>
      </w:r>
      <w:r>
        <w:rPr>
          <w:rFonts w:ascii="SimSun" w:hAnsi="SimSun" w:eastAsia="SimSun" w:cs="SimSun"/>
          <w:color w:val="000000"/>
          <w:sz w:val="24"/>
        </w:rPr>
        <w:t xml:space="preserve">项规定修正。</w:t>
      </w:r>
      <w:r/>
    </w:p>
    <w:p>
      <w:pPr>
        <w:numPr>
          <w:ilvl w:val="2"/>
          <w:numId w:val="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3"/>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落实政府采购政策的价格调整：只有符合第二章《投标人须知》</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条规定情形的，可以享受中小企业扶持政策，用扣除后的价格参加评审；否则，评标时价格不予扣除。</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u w:val="single"/>
        </w:rPr>
        <w:t xml:space="preserve">20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u w:val="single"/>
        </w:rPr>
        <w:t xml:space="preserve">6</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中小企业参加政府采购活动，应当按照招标文件给定的格式出具《中小企业声明函》，否则不得享受相关中小企业扶持政策。</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残疾人福利性单位按招标文件要求提供了《残疾人福利性单位声明函》（见附件）的，视同小微企业。</w:t>
      </w:r>
      <w:r/>
    </w:p>
    <w:p>
      <w:pPr>
        <w:numPr>
          <w:ilvl w:val="2"/>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若投标人同时属于小型或微型企业、监狱企业、残疾人福利性单位中的两种及以上，将不重复享受小微企业价格扣减的优惠政策。</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随机抽取</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u w:val="single"/>
        </w:rPr>
        <w:t xml:space="preserve">  /  </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确定中标候选人名单</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077" w:right="0" w:firstLine="0"/>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随机抽取</w:t>
      </w:r>
      <w:r/>
    </w:p>
    <w:p>
      <w:pPr>
        <w:ind w:left="1077" w:right="0" w:firstLine="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其他方式，具体要求：报价相同的，按技术方案优劣顺序排列。评标委员会认为，排在前面的中标候选人的最低报价或者某些分项报价明显不合理或者低于成本，有可能影响商品质量和不能诚信履约的，应当要求其在规定的期限内提供书面文件予以解释说明，并提交相关证明材料；否则，评标委员会可以取消该投标人的中标候选资格，按顺序排在后面的中标候选人递补，以此类推。</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调整后的投标报价由低到高顺序排列。投标报价相同的并列。投标文件满足招标文件全部实质性要求且投标报价最低的投标人为排名第一的中标候选人。</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评标委员会要对评分汇总情况进行复核，特别是对排名第一的、报价最低的、投标或响应文件被认定为无效的情形进行重点复核。</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评标委员会将根据各投标人的评标排序，依次推荐本项目（各采购包）的中标候选人，起草并签署评标报告。本项目（各采购包）评标委员会共（各）推荐不少于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名中标候选人。</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
        <w:gridCol w:w="1233"/>
        <w:gridCol w:w="783"/>
        <w:gridCol w:w="4083"/>
        <w:gridCol w:w="23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1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满足招标文件要求且最终报价最低的报价为评标基准价，其价格分为满分。其他投标人的价格分统一按照下列公式计算：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最终报价）×分值。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此处投标报价指经过报价修正，及因落实政府采购政策进行价格调整后的报价，详见第四章《评标方法和评标标准》</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及</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包括但不限于项目概况、总体设想、方案的针对性等，评委进行综合评审。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方案先进、完整、可行，项目内容、施工方法明确、详尽、合理，能完全满足项目实施要求，得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方案较先进、完整、可行，项目内容、施工方法较明确、详尽、合理，能基本满足项目实施要求，得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未提供本项目不得分。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劳动力、机械设备和材料投入计划、进退场计划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劳动力、机械设备和材料投入计划、进退场计划，评委进行综合评审。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方案完整、可行，劳动力安排合理，进度计划安排对应，能完全满足项目实施要求，得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方案较具体、可行，劳动力安排基本合理，进度计划安排基本对应，能基本满足项目实施要求，得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方案内容不完整，不符合项目需求的得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未提供本项目不得分。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交通组织方案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根据《关于进一步规范占用、挖掘道路施工影响交通审批与管理的意见（常公安【2018】13号）》文件规定，需根据施工的实际特点和状况，制定符合属地交管部门要求的交通组织设计方案。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方案完整具体，科学合理可行的得7分；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方案较具体，基本合理可行的得5分；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方案内容较简单，基本符合项目需求的得3分；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方案内容不完整，不符合项目需求的得1分；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未提供本项目不得分。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提供2022年1月1日至投标截止时间（以合同签订时间为准），供应商承接过的类似项目业绩，有一个得5分，最高得10分。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提供合同扫描件</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tabs>
          <w:tab w:val="left" w:pos="360" w:leader="none"/>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1.项目名称：2026年</w:t>
      </w:r>
      <w:r>
        <w:rPr>
          <w:rFonts w:ascii="SimSun" w:hAnsi="SimSun" w:eastAsia="SimSun" w:cs="SimSun"/>
          <w:color w:val="000000"/>
          <w:sz w:val="24"/>
          <w:u w:val="none"/>
        </w:rPr>
        <w:t xml:space="preserve">龙城高架、青洋高架声屏</w:t>
      </w:r>
      <w:r>
        <w:rPr>
          <w:rFonts w:ascii="SimSun" w:hAnsi="SimSun" w:eastAsia="SimSun" w:cs="SimSun"/>
          <w:color w:val="000000"/>
          <w:sz w:val="24"/>
        </w:rPr>
        <w:t xml:space="preserve">障维修项目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2.采购预算：人民币393.76万元。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最高限价：人民币393.76万元</w:t>
      </w:r>
      <w:r>
        <w:rPr>
          <w:rFonts w:ascii="SimSun" w:hAnsi="SimSun" w:eastAsia="SimSun" w:cs="SimSun"/>
          <w:b/>
          <w:color w:val="000000"/>
          <w:sz w:val="24"/>
        </w:rPr>
        <w:t xml:space="preserve">（单价不超过1840元/米）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龙城高架、青洋高架声屏2140米维修更新，声屏障更新，拆除原声屏障（保留原声屏障型钢立柱螺栓，如立柱螺栓松动锈蚀，则重新安装螺栓），原立柱螺栓涂刷黄油，原型钢立柱拆除后经厂内除锈防腐重新安装，按原声屏障尺寸布置新建声屏障屏体，要求按不低于原设计标准重新安装新声屏障屏体（屏体面板、背板及下护板等均采用铝质材料）；绕路灯杆及监控杆等障碍物时采用同材质同式样新建声屏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投标报价包含且不限于材料采购、运输、吊装、检测、安装维保、施工交通组织协调等工作所发生的全部费用以及利润、税金和政策性文件规定及合同包含的所有风险、责任等各项应有费用。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1、基础及锚固螺栓：基础无开裂，全新的锚固螺栓、固定螺母及垫圈。每个螺栓和螺帽涂黄油，并安装保护壳。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2、立柱：柱体无倾斜，焊缝无开裂。涂层无剥落、龟裂、风化。杆件无锈蚀。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3、屏体：全新的框架、端部、五金件、密封胶、杆件。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4、卡件：全新。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5、防坠落装置：全新。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6、罩板及雨水导流板：全新。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合同签订生效之日起三个月内安装完成。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符合现行国家标准（GBT51335-2018），且不低于原设计标准。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采用固定单价合同，签订合同后支付30%的预付款；全部完工后，按照实际工程量结算，经审计审定后按审定单和发票付款。采购人在收到发票后30日内付至审定价的97%，余款一年保修期满后一次性付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拟签订的合同文本</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常州市政府采购合同（服务）（合同编号）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甲、乙双方根据常州市政府采购中心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本合同金额为（大写）：____________________________________圆（_______________元）人民币或其他币种。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(不收取)</w:t>
      </w:r>
      <w:r>
        <w:rPr>
          <w:rFonts w:ascii="SimSun" w:hAnsi="SimSun" w:eastAsia="SimSun" w:cs="SimSun"/>
          <w:color w:val="000000"/>
          <w:sz w:val="24"/>
        </w:rPr>
        <w:t xml:space="preserve">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8.1分期付款付款条件：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本项目报价采用固定单价合同，签订合同后支付</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的预付款；全部完工后，按照实际工程量结算，经审计审定后按审定单和发票付款。采购人在收到发票后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日内付至审定价的</w:t>
      </w:r>
      <w:r>
        <w:rPr>
          <w:rFonts w:ascii="Times New Roman" w:hAnsi="Times New Roman" w:eastAsia="Times New Roman" w:cs="Times New Roman"/>
          <w:color w:val="000000"/>
          <w:sz w:val="24"/>
        </w:rPr>
        <w:t xml:space="preserve">97%</w:t>
      </w:r>
      <w:r>
        <w:rPr>
          <w:rFonts w:ascii="SimSun" w:hAnsi="SimSun" w:eastAsia="SimSun" w:cs="SimSun"/>
          <w:color w:val="000000"/>
          <w:sz w:val="24"/>
        </w:rPr>
        <w:t xml:space="preserve">，余款一年保修期满后一次性付清。（进度和方式）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满足合同约定支付条件的，自收到发票后10个工作日内支付。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14.2本合同未尽事宜，遵照《民法典》、《政府采购法》有关条文执行。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      年    月   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（本章合同文本仅供参考，甲乙双方可根据实际情况进行调整，但不得对采购文件确定的事项和成交供应商响应文件作实质性修改）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投标文件格式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12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满足《中华人民共和国政府采购法》第二十二条规定及法律法规的其他规定</w:t>
      </w:r>
      <w:r/>
    </w:p>
    <w:p>
      <w:pPr>
        <w:pStyle w:val="644"/>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投标人资格声明函（实质性格式）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致：江苏中冠工程有限公司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法定代表人（或单位负责人）签字或盖章：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中小企业声明函</w:t>
      </w:r>
      <w:r>
        <w:rPr>
          <w:rFonts w:ascii="SimSun" w:hAnsi="SimSun" w:eastAsia="SimSun" w:cs="SimSun"/>
          <w:b/>
          <w:color w:val="000000"/>
          <w:sz w:val="21"/>
        </w:rPr>
        <w:t xml:space="preserve">（实质性格式）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）如本项目（包）不专门面向中小企业预留采购份额，资格证明文件部分无需提供《中小企业声明函》。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）其他</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）中小企业参加政府采购活动，应当出具此格式文件。《中小企业声明函》由参加政府采购活动的投标人出具。联合体投标的，《中小企业声明函》由牵头人出具。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）对于多标的的采购项目，投标人应充分、准确地了解所投产品制造企业信息。对相关情况了解不清楚的，不建议填报本声明函。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220" w:right="415"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spacing w:before="0" w:after="0" w:line="85" w:lineRule="atLeast"/>
        <w:tabs>
          <w:tab w:val="left" w:pos="1276" w:leader="none"/>
          <w:tab w:val="left" w:pos="5005" w:leader="none"/>
          <w:tab w:val="left" w:pos="7227"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rPr>
        <w:t xml:space="preserve">（</w:t>
      </w:r>
      <w:r>
        <w:rPr>
          <w:rFonts w:ascii="SimSun" w:hAnsi="SimSun" w:eastAsia="SimSun" w:cs="SimSun"/>
          <w:b/>
          <w:color w:val="000000"/>
          <w:sz w:val="24"/>
        </w:rPr>
        <w:t xml:space="preserve">其他未列明行业</w:t>
      </w:r>
      <w:r>
        <w:rPr>
          <w:rFonts w:ascii="SimSun" w:hAnsi="SimSun" w:eastAsia="SimSun" w:cs="SimSun"/>
          <w:i/>
          <w:color w:val="000000"/>
          <w:sz w:val="24"/>
          <w:u w:val="single"/>
        </w:rPr>
        <w:t xml:space="preserve">）</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ab/>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ab/>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ab/>
      </w:r>
      <w:r>
        <w:rPr>
          <w:rFonts w:ascii="SimSun" w:hAnsi="SimSun" w:eastAsia="SimSun" w:cs="SimSun"/>
          <w:color w:val="000000"/>
          <w:sz w:val="24"/>
        </w:rPr>
        <w:t xml:space="preserve">万元</w:t>
      </w:r>
      <w:hyperlink r:id="rId17" w:tooltip="http://jszfcg.jsczt.cn/jszc/onlyoffice/7.2.1-34/web-apps/apps/documenteditor/main/index_loader.html?_dc=7.2.1-34&amp;lang=zh&amp;customer=%20&amp;logo=%20&amp;headerlogo=%2Ffavicon.ico&amp;frameEditorId=iframePage&amp;compact=true&amp;parentOrigin=http://jszfcg.jsczt.cn#_bookmark1" w:history="1">
        <w:r>
          <w:rPr>
            <w:rStyle w:val="800"/>
            <w:rFonts w:ascii="Times New Roman" w:hAnsi="Times New Roman" w:eastAsia="Times New Roman" w:cs="Times New Roman"/>
            <w:color w:val="000000"/>
            <w:sz w:val="24"/>
            <w:u w:val="none"/>
          </w:rPr>
          <w:t xml:space="preserve">1</w:t>
        </w:r>
      </w:hyperlink>
      <w:r>
        <w:rPr>
          <w:rFonts w:ascii="SimSun" w:hAnsi="SimSun" w:eastAsia="SimSun" w:cs="SimSun"/>
          <w:color w:val="000000"/>
          <w:sz w:val="24"/>
        </w:rPr>
        <w:t xml:space="preserve">，属于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3"/>
        </w:numPr>
        <w:spacing w:before="0" w:after="0" w:line="85" w:lineRule="atLeast"/>
        <w:tabs>
          <w:tab w:val="left" w:pos="1243" w:leader="none"/>
          <w:tab w:val="left" w:pos="1806" w:leader="none"/>
          <w:tab w:val="left" w:pos="5005" w:leader="none"/>
          <w:tab w:val="left" w:pos="7213"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rPr>
        <w:t xml:space="preserve">（</w:t>
      </w:r>
      <w:r>
        <w:rPr>
          <w:rFonts w:ascii="SimSun" w:hAnsi="SimSun" w:eastAsia="SimSun" w:cs="SimSun"/>
          <w:b/>
          <w:color w:val="000000"/>
          <w:sz w:val="24"/>
        </w:rPr>
        <w:t xml:space="preserve">其他未列明行业</w:t>
      </w:r>
      <w:r>
        <w:rPr>
          <w:rFonts w:ascii="SimSun" w:hAnsi="SimSun" w:eastAsia="SimSun" w:cs="SimSun"/>
          <w:i/>
          <w:color w:val="000000"/>
          <w:sz w:val="24"/>
          <w:u w:val="single"/>
        </w:rPr>
        <w:t xml:space="preserve">）</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ab/>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ab/>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ab/>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86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220" w:right="417"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vertAlign w:val="superscript"/>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b/>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期：</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其他特定资格要求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投标人须具备有效的公路交通工程公路安全设施分项二级（含）以上企业资质，并具备有效的安全生产许可证。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项目负责人须具备有效的公路工程专业贰级及以上注册建造师执业资格和安全生产考核合格证书（</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包号）组织的招标活动，并对此项目进行投标。</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）如我方中标，我方将在法律规定的期限内与你方签订合同，按照招标文件要求提交履约保证金，并在合同约定的期限内完成合同规定的全部义务。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5"/>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1.若供应商为事业单位或其他组织或分支机构（仅当招标文件注明允许分支机构投标的），则法定代表人（单位负责人）处的签署人可为单位负责人。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开标一览表（实质性格式）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此表中，每包的报价应和《分项报价表》中的总价相一致。</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5  </w:t>
      </w:r>
      <w:r>
        <w:rPr>
          <w:rFonts w:ascii="SimSun" w:hAnsi="SimSun" w:eastAsia="SimSun" w:cs="SimSun"/>
          <w:color w:val="000000"/>
          <w:sz w:val="24"/>
        </w:rPr>
        <w:t xml:space="preserve">投标分项报价表（实质性格式）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报价单位：人民币元</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1423"/>
        <w:gridCol w:w="2533"/>
        <w:gridCol w:w="1042"/>
        <w:gridCol w:w="992"/>
        <w:gridCol w:w="919"/>
        <w:gridCol w:w="107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龙城高架、青洋高架声屏障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本表应按包分别填写。</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如果不提供分项报价将视为没有实质性响应招标文件。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上述各项的服务内容如表格中填写不下的，可以逐项另页描述。</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b/>
          <w:color w:val="000000"/>
          <w:sz w:val="24"/>
        </w:rPr>
        <w:t xml:space="preserve">本项目报价采用固定单价合同，报价表上的单价为含税报价，包括招标文件所确定的招标范围内的全部人工、材料更换、机械、管理费、利润、安装费、安全文明施工、措施费、风险费、检测费、保险费、运输费、包装费、运杂费（运抵招标人项目现场）、税金、施工所需要的交通组织（管制）费（必须满足采购人要求并通过交管部门批准，详见《关于进一步规范占用、挖掘道路施工影响交通审批与管理的意见（常公安【2018】13号）》文件规定）及与工程相关的各种协调、协作费及投标人认为需要的其他费用等所有费用。今后不再另行计取。</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对招标文件中的所有商务要求，除本表所列明的所有偏离外，均视作供应商已对之理解和响应。此表中若无任何文字说明，内容为空白，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3"/>
        <w:gridCol w:w="1352"/>
        <w:gridCol w:w="2276"/>
        <w:gridCol w:w="2030"/>
        <w:gridCol w:w="1790"/>
        <w:gridCol w:w="963"/>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对招标文件中的所有技术要求（招标文件第五章采购需求），</w:t>
      </w:r>
      <w:r>
        <w:rPr>
          <w:rFonts w:ascii="SimSun" w:hAnsi="SimSun" w:eastAsia="SimSun" w:cs="SimSun"/>
          <w:b/>
          <w:color w:val="000000"/>
          <w:sz w:val="24"/>
        </w:rPr>
        <w:t xml:space="preserve">需做出逐条响应（可按页响应当页所有条款）</w:t>
      </w:r>
      <w:r>
        <w:rPr>
          <w:rFonts w:ascii="SimSun" w:hAnsi="SimSun" w:eastAsia="SimSun" w:cs="SimSun"/>
          <w:color w:val="000000"/>
          <w:sz w:val="24"/>
        </w:rPr>
        <w:t xml:space="preserve">。此表中若无任何文字说明，内容为空白，</w:t>
      </w:r>
      <w:r>
        <w:rPr>
          <w:rFonts w:ascii="SimSun" w:hAnsi="SimSun" w:eastAsia="SimSun" w:cs="SimSun"/>
          <w:b/>
          <w:color w:val="000000"/>
          <w:sz w:val="24"/>
        </w:rPr>
        <w:t xml:space="preserve">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项目实施方案等。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tcPr>
          <w:p>
            <w:pPr>
              <w:ind w:left="0"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tcPr>
          <w:p>
            <w:pPr>
              <w:ind w:left="0"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招标文件要求提供或投标人认为应附的其他材料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SimHei">
    <w:panose1 w:val="0201060906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pPr>
    </w:lvl>
    <w:lvl w:ilvl="1">
      <w:start w:val="1"/>
      <w:numFmt w:val="decimal"/>
      <w:isLgl w:val="false"/>
      <w:suff w:val="tab"/>
      <w:lvlText w:val="%1.%2"/>
      <w:lvlJc w:val="left"/>
      <w:pPr>
        <w:ind w:left="1468" w:hanging="900"/>
      </w:pPr>
      <w:rPr>
        <w:rFonts w:ascii="Times New Roman" w:hAnsi="Times New Roman" w:eastAsia="Times New Roman" w:cs="Times New Roman"/>
      </w:rPr>
    </w:lvl>
    <w:lvl w:ilvl="2">
      <w:start w:val="1"/>
      <w:numFmt w:val="decimal"/>
      <w:isLgl w:val="false"/>
      <w:suff w:val="tab"/>
      <w:lvlText w:val="%1.%2.%3"/>
      <w:lvlJc w:val="left"/>
      <w:pPr>
        <w:ind w:left="1980" w:hanging="900"/>
      </w:pPr>
    </w:lvl>
    <w:lvl w:ilvl="3">
      <w:start w:val="1"/>
      <w:numFmt w:val="decimal"/>
      <w:isLgl w:val="false"/>
      <w:suff w:val="tab"/>
      <w:lvlText w:val="%1.%2.%3.%4"/>
      <w:lvlJc w:val="left"/>
      <w:pPr>
        <w:ind w:left="900" w:hanging="900"/>
      </w:pPr>
    </w:lvl>
    <w:lvl w:ilvl="4">
      <w:start w:val="1"/>
      <w:numFmt w:val="decimal"/>
      <w:isLgl w:val="false"/>
      <w:suff w:val="tab"/>
      <w:lvlText w:val="%1.%2.%3.%4.%5"/>
      <w:lvlJc w:val="left"/>
      <w:pPr>
        <w:ind w:left="900" w:hanging="900"/>
      </w:pPr>
    </w:lvl>
    <w:lvl w:ilvl="5">
      <w:start w:val="1"/>
      <w:numFmt w:val="decimal"/>
      <w:isLgl w:val="false"/>
      <w:suff w:val="tab"/>
      <w:lvlText w:val="%1.%2.%3.%4.%5.%6"/>
      <w:lvlJc w:val="left"/>
      <w:pPr>
        <w:ind w:left="900" w:hanging="900"/>
      </w:pPr>
    </w:lvl>
    <w:lvl w:ilvl="6">
      <w:start w:val="1"/>
      <w:numFmt w:val="decimal"/>
      <w:isLgl w:val="false"/>
      <w:suff w:val="tab"/>
      <w:lvlText w:val="%1.%2.%3.%4.%5.%6.%7"/>
      <w:lvlJc w:val="left"/>
      <w:pPr>
        <w:ind w:left="900" w:hanging="900"/>
      </w:pPr>
    </w:lvl>
    <w:lvl w:ilvl="7">
      <w:start w:val="1"/>
      <w:numFmt w:val="decimal"/>
      <w:isLgl w:val="false"/>
      <w:suff w:val="tab"/>
      <w:lvlText w:val="%1.%2.%3.%4.%5.%6.%7.%8"/>
      <w:lvlJc w:val="left"/>
      <w:pPr>
        <w:ind w:left="900" w:hanging="900"/>
      </w:pPr>
    </w:lvl>
    <w:lvl w:ilvl="8">
      <w:start w:val="1"/>
      <w:numFmt w:val="decimal"/>
      <w:isLgl w:val="false"/>
      <w:suff w:val="tab"/>
      <w:lvlText w:val="%1.%2.%3.%4.%5.%6.%7.%8.%9"/>
      <w:lvlJc w:val="left"/>
      <w:pPr>
        <w:ind w:left="900" w:hanging="900"/>
      </w:pPr>
    </w:lvl>
  </w:abstractNum>
  <w:abstractNum w:abstractNumId="1">
    <w:multiLevelType w:val="hybridMultilevel"/>
    <w:lvl w:ilvl="0">
      <w:start w:val="1"/>
      <w:numFmt w:val="decimal"/>
      <w:isLgl w:val="false"/>
      <w:suff w:val="tab"/>
      <w:lvlText w:val="%1"/>
      <w:lvlJc w:val="left"/>
      <w:pPr>
        <w:ind w:left="900" w:hanging="900"/>
      </w:pPr>
    </w:lvl>
    <w:lvl w:ilvl="1">
      <w:start w:val="1"/>
      <w:numFmt w:val="decimal"/>
      <w:isLgl w:val="false"/>
      <w:suff w:val="tab"/>
      <w:lvlText w:val="%1.%2"/>
      <w:lvlJc w:val="left"/>
      <w:pPr>
        <w:ind w:left="1468" w:hanging="900"/>
      </w:pPr>
      <w:rPr>
        <w:rFonts w:ascii="Times New Roman" w:hAnsi="Times New Roman" w:eastAsia="Times New Roman" w:cs="Times New Roman"/>
      </w:rPr>
    </w:lvl>
    <w:lvl w:ilvl="2">
      <w:start w:val="1"/>
      <w:numFmt w:val="decimal"/>
      <w:isLgl w:val="false"/>
      <w:suff w:val="tab"/>
      <w:lvlText w:val="%1.%2.%3"/>
      <w:lvlJc w:val="left"/>
      <w:pPr>
        <w:ind w:left="1980" w:hanging="900"/>
      </w:pPr>
      <w:rPr>
        <w:color w:val="ffffff"/>
      </w:rPr>
    </w:lvl>
    <w:lvl w:ilvl="3">
      <w:start w:val="1"/>
      <w:numFmt w:val="decimal"/>
      <w:isLgl w:val="false"/>
      <w:suff w:val="tab"/>
      <w:lvlText w:val="%1.%2.%3.%4"/>
      <w:lvlJc w:val="left"/>
      <w:pPr>
        <w:ind w:left="900" w:hanging="900"/>
      </w:pPr>
    </w:lvl>
    <w:lvl w:ilvl="4">
      <w:start w:val="1"/>
      <w:numFmt w:val="decimal"/>
      <w:isLgl w:val="false"/>
      <w:suff w:val="tab"/>
      <w:lvlText w:val="%1.%2.%3.%4.%5"/>
      <w:lvlJc w:val="left"/>
      <w:pPr>
        <w:ind w:left="900" w:hanging="900"/>
      </w:pPr>
    </w:lvl>
    <w:lvl w:ilvl="5">
      <w:start w:val="1"/>
      <w:numFmt w:val="decimal"/>
      <w:isLgl w:val="false"/>
      <w:suff w:val="tab"/>
      <w:lvlText w:val="%1.%2.%3.%4.%5.%6"/>
      <w:lvlJc w:val="left"/>
      <w:pPr>
        <w:ind w:left="900" w:hanging="900"/>
      </w:pPr>
    </w:lvl>
    <w:lvl w:ilvl="6">
      <w:start w:val="1"/>
      <w:numFmt w:val="decimal"/>
      <w:isLgl w:val="false"/>
      <w:suff w:val="tab"/>
      <w:lvlText w:val="%1.%2.%3.%4.%5.%6.%7"/>
      <w:lvlJc w:val="left"/>
      <w:pPr>
        <w:ind w:left="900" w:hanging="900"/>
      </w:pPr>
    </w:lvl>
    <w:lvl w:ilvl="7">
      <w:start w:val="1"/>
      <w:numFmt w:val="decimal"/>
      <w:isLgl w:val="false"/>
      <w:suff w:val="tab"/>
      <w:lvlText w:val="%1.%2.%3.%4.%5.%6.%7.%8"/>
      <w:lvlJc w:val="left"/>
      <w:pPr>
        <w:ind w:left="900" w:hanging="900"/>
      </w:pPr>
    </w:lvl>
    <w:lvl w:ilvl="8">
      <w:start w:val="1"/>
      <w:numFmt w:val="decimal"/>
      <w:isLgl w:val="false"/>
      <w:suff w:val="tab"/>
      <w:lvlText w:val="%1.%2.%3.%4.%5.%6.%7.%8.%9"/>
      <w:lvlJc w:val="left"/>
      <w:pPr>
        <w:ind w:left="900" w:hanging="900"/>
      </w:pPr>
    </w:lvl>
  </w:abstractNum>
  <w:abstractNum w:abstractNumId="2">
    <w:multiLevelType w:val="hybridMultilevel"/>
    <w:lvl w:ilvl="0">
      <w:start w:val="1"/>
      <w:numFmt w:val="decimal"/>
      <w:isLgl w:val="false"/>
      <w:suff w:val="tab"/>
      <w:lvlText w:val="第%1章"/>
      <w:lvlJc w:val="left"/>
      <w:pPr>
        <w:ind w:left="4941" w:hanging="1140"/>
      </w:pPr>
    </w:lvl>
    <w:lvl w:ilvl="1">
      <w:start w:val="1"/>
      <w:numFmt w:val="lowerLetter"/>
      <w:isLgl w:val="false"/>
      <w:suff w:val="tab"/>
      <w:lvlText w:val="%2)"/>
      <w:lvlJc w:val="left"/>
      <w:pPr>
        <w:ind w:left="4641" w:hanging="420"/>
      </w:pPr>
    </w:lvl>
    <w:lvl w:ilvl="2">
      <w:start w:val="1"/>
      <w:numFmt w:val="lowerRoman"/>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lowerRoman"/>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lowerRoman"/>
      <w:isLgl w:val="false"/>
      <w:suff w:val="tab"/>
      <w:lvlText w:val="%9."/>
      <w:lvlJc w:val="right"/>
      <w:pPr>
        <w:ind w:left="7581"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7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16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829"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55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4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2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16" TargetMode="External"/><Relationship Id="rId16" Type="http://schemas.openxmlformats.org/officeDocument/2006/relationships/hyperlink" Target="http://gks.mof.gov.cn/ztztz/zhengfucaigouguanli/201802/t20180201_2804589.htm"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王欣</cp:lastModifiedBy>
  <cp:revision>5</cp:revision>
  <dcterms:created xsi:type="dcterms:W3CDTF">2026-04-03T07:09:25Z</dcterms:created>
  <dcterms:modified xsi:type="dcterms:W3CDTF">2026-04-07T01:16:15Z</dcterms:modified>
</cp:coreProperties>
</file>