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5075D3">
      <w:pPr>
        <w:jc w:val="center"/>
        <w:rPr>
          <w:b/>
          <w:color w:val="auto"/>
          <w:sz w:val="32"/>
          <w:szCs w:val="32"/>
          <w:highlight w:val="none"/>
        </w:rPr>
      </w:pPr>
    </w:p>
    <w:p w14:paraId="4F185694">
      <w:pPr>
        <w:jc w:val="center"/>
        <w:rPr>
          <w:b/>
          <w:color w:val="auto"/>
          <w:sz w:val="36"/>
          <w:szCs w:val="36"/>
          <w:highlight w:val="none"/>
        </w:rPr>
      </w:pPr>
    </w:p>
    <w:p w14:paraId="5C7A1812">
      <w:pPr>
        <w:jc w:val="center"/>
        <w:rPr>
          <w:b/>
          <w:color w:val="auto"/>
          <w:sz w:val="36"/>
          <w:szCs w:val="36"/>
          <w:highlight w:val="none"/>
        </w:rPr>
      </w:pPr>
    </w:p>
    <w:p w14:paraId="154AC303">
      <w:pPr>
        <w:pStyle w:val="44"/>
        <w:spacing w:line="240" w:lineRule="auto"/>
        <w:ind w:firstLine="0"/>
        <w:jc w:val="center"/>
        <w:rPr>
          <w:rFonts w:ascii="方正小标宋简体" w:eastAsia="方正小标宋简体"/>
          <w:bCs/>
          <w:color w:val="auto"/>
          <w:sz w:val="52"/>
          <w:szCs w:val="52"/>
          <w:highlight w:val="none"/>
        </w:rPr>
      </w:pPr>
      <w:r>
        <w:rPr>
          <w:rFonts w:hint="eastAsia" w:ascii="方正小标宋简体" w:eastAsia="方正小标宋简体"/>
          <w:bCs/>
          <w:color w:val="auto"/>
          <w:sz w:val="52"/>
          <w:szCs w:val="52"/>
          <w:highlight w:val="none"/>
        </w:rPr>
        <w:t>如皋市政府采购竞争性磋商文件</w:t>
      </w:r>
    </w:p>
    <w:p w14:paraId="58695B6A">
      <w:pPr>
        <w:pStyle w:val="44"/>
        <w:spacing w:line="240" w:lineRule="auto"/>
        <w:ind w:firstLine="0"/>
        <w:jc w:val="center"/>
        <w:rPr>
          <w:rFonts w:ascii="方正小标宋简体" w:eastAsia="方正小标宋简体"/>
          <w:bCs/>
          <w:color w:val="auto"/>
          <w:sz w:val="44"/>
          <w:szCs w:val="44"/>
          <w:highlight w:val="none"/>
        </w:rPr>
      </w:pPr>
    </w:p>
    <w:p w14:paraId="4ED573C5">
      <w:pPr>
        <w:pStyle w:val="44"/>
        <w:spacing w:line="240" w:lineRule="auto"/>
        <w:ind w:firstLine="0"/>
        <w:jc w:val="center"/>
        <w:rPr>
          <w:rFonts w:ascii="方正小标宋简体" w:eastAsia="方正小标宋简体"/>
          <w:bCs/>
          <w:color w:val="auto"/>
          <w:sz w:val="44"/>
          <w:szCs w:val="44"/>
          <w:highlight w:val="none"/>
        </w:rPr>
      </w:pPr>
    </w:p>
    <w:p w14:paraId="07C79F7D">
      <w:pPr>
        <w:pStyle w:val="44"/>
        <w:spacing w:line="240" w:lineRule="auto"/>
        <w:jc w:val="center"/>
        <w:rPr>
          <w:b/>
          <w:bCs/>
          <w:color w:val="auto"/>
          <w:sz w:val="32"/>
          <w:highlight w:val="none"/>
          <w:u w:val="single"/>
        </w:rPr>
      </w:pPr>
      <w:r>
        <w:rPr>
          <w:b/>
          <w:bCs/>
          <w:color w:val="auto"/>
          <w:sz w:val="32"/>
          <w:highlight w:val="none"/>
        </w:rPr>
        <w:t>项目名称：如皋市2026年大气污染精准溯源服务项目</w:t>
      </w:r>
    </w:p>
    <w:p w14:paraId="494DEBCD">
      <w:pPr>
        <w:pStyle w:val="44"/>
        <w:spacing w:line="240" w:lineRule="auto"/>
        <w:jc w:val="center"/>
        <w:rPr>
          <w:rFonts w:hint="eastAsia" w:eastAsia="宋体"/>
          <w:b/>
          <w:bCs/>
          <w:color w:val="auto"/>
          <w:sz w:val="32"/>
          <w:highlight w:val="none"/>
          <w:u w:val="single"/>
          <w:lang w:eastAsia="zh-CN"/>
        </w:rPr>
      </w:pPr>
      <w:r>
        <w:rPr>
          <w:rFonts w:hint="eastAsia"/>
          <w:b/>
          <w:bCs/>
          <w:color w:val="auto"/>
          <w:sz w:val="32"/>
          <w:highlight w:val="none"/>
        </w:rPr>
        <w:t>项目编号：</w:t>
      </w:r>
      <w:r>
        <w:rPr>
          <w:rFonts w:hint="eastAsia"/>
          <w:b/>
          <w:bCs/>
          <w:color w:val="auto"/>
          <w:sz w:val="32"/>
          <w:highlight w:val="none"/>
          <w:lang w:eastAsia="zh-CN"/>
        </w:rPr>
        <w:t>JSZC-320682-NTZJ-C2026-0006</w:t>
      </w:r>
    </w:p>
    <w:p w14:paraId="6A272F9A">
      <w:pPr>
        <w:pStyle w:val="44"/>
        <w:spacing w:line="240" w:lineRule="auto"/>
        <w:ind w:firstLine="0"/>
        <w:jc w:val="center"/>
        <w:rPr>
          <w:b/>
          <w:bCs/>
          <w:color w:val="auto"/>
          <w:sz w:val="32"/>
          <w:highlight w:val="none"/>
        </w:rPr>
      </w:pPr>
    </w:p>
    <w:p w14:paraId="3F8A6C94">
      <w:pPr>
        <w:pStyle w:val="44"/>
        <w:spacing w:line="240" w:lineRule="auto"/>
        <w:ind w:firstLine="0"/>
        <w:jc w:val="center"/>
        <w:rPr>
          <w:b/>
          <w:bCs/>
          <w:color w:val="auto"/>
          <w:sz w:val="32"/>
          <w:highlight w:val="none"/>
        </w:rPr>
      </w:pPr>
    </w:p>
    <w:p w14:paraId="3507AE54">
      <w:pPr>
        <w:pStyle w:val="44"/>
        <w:spacing w:line="240" w:lineRule="auto"/>
        <w:ind w:firstLine="0"/>
        <w:jc w:val="center"/>
        <w:rPr>
          <w:b/>
          <w:bCs/>
          <w:color w:val="auto"/>
          <w:sz w:val="32"/>
          <w:highlight w:val="none"/>
        </w:rPr>
      </w:pPr>
    </w:p>
    <w:p w14:paraId="242E5656">
      <w:pPr>
        <w:pStyle w:val="44"/>
        <w:spacing w:line="240" w:lineRule="auto"/>
        <w:ind w:firstLine="0"/>
        <w:jc w:val="center"/>
        <w:rPr>
          <w:b/>
          <w:bCs/>
          <w:color w:val="auto"/>
          <w:sz w:val="32"/>
          <w:highlight w:val="none"/>
        </w:rPr>
      </w:pPr>
    </w:p>
    <w:p w14:paraId="23361F31">
      <w:pPr>
        <w:pStyle w:val="44"/>
        <w:spacing w:line="240" w:lineRule="auto"/>
        <w:ind w:firstLine="0"/>
        <w:jc w:val="center"/>
        <w:rPr>
          <w:b/>
          <w:bCs/>
          <w:color w:val="auto"/>
          <w:sz w:val="32"/>
          <w:highlight w:val="none"/>
        </w:rPr>
      </w:pPr>
    </w:p>
    <w:p w14:paraId="1685327E">
      <w:pPr>
        <w:pStyle w:val="44"/>
        <w:spacing w:line="240" w:lineRule="auto"/>
        <w:ind w:firstLine="0"/>
        <w:jc w:val="center"/>
        <w:rPr>
          <w:b/>
          <w:bCs/>
          <w:color w:val="auto"/>
          <w:sz w:val="32"/>
          <w:highlight w:val="none"/>
        </w:rPr>
      </w:pPr>
    </w:p>
    <w:p w14:paraId="579975CB">
      <w:pPr>
        <w:pStyle w:val="44"/>
        <w:spacing w:line="240" w:lineRule="auto"/>
        <w:ind w:firstLine="851" w:firstLineChars="265"/>
        <w:rPr>
          <w:b/>
          <w:bCs/>
          <w:color w:val="auto"/>
          <w:sz w:val="32"/>
          <w:highlight w:val="none"/>
          <w:u w:val="single"/>
        </w:rPr>
      </w:pPr>
      <w:r>
        <w:rPr>
          <w:rFonts w:hint="eastAsia"/>
          <w:b/>
          <w:bCs/>
          <w:color w:val="auto"/>
          <w:sz w:val="32"/>
          <w:highlight w:val="none"/>
        </w:rPr>
        <w:t>采购人名称：南通市如皋生态环境局</w:t>
      </w:r>
    </w:p>
    <w:p w14:paraId="6B4B7360">
      <w:pPr>
        <w:pStyle w:val="44"/>
        <w:spacing w:line="240" w:lineRule="auto"/>
        <w:ind w:firstLine="851" w:firstLineChars="265"/>
        <w:rPr>
          <w:b/>
          <w:bCs/>
          <w:color w:val="auto"/>
          <w:sz w:val="32"/>
          <w:highlight w:val="none"/>
          <w:u w:val="single"/>
        </w:rPr>
      </w:pPr>
      <w:r>
        <w:rPr>
          <w:rFonts w:hint="eastAsia"/>
          <w:b/>
          <w:bCs/>
          <w:color w:val="auto"/>
          <w:sz w:val="32"/>
          <w:highlight w:val="none"/>
        </w:rPr>
        <w:t>采购代理机构名称：南通中江工程项目管理有限公司</w:t>
      </w:r>
    </w:p>
    <w:p w14:paraId="0D08EB10">
      <w:pPr>
        <w:pStyle w:val="44"/>
        <w:spacing w:line="240" w:lineRule="auto"/>
        <w:ind w:firstLine="0"/>
        <w:jc w:val="center"/>
        <w:rPr>
          <w:rFonts w:ascii="方正小标宋简体" w:eastAsia="方正小标宋简体"/>
          <w:bCs/>
          <w:color w:val="auto"/>
          <w:sz w:val="32"/>
          <w:szCs w:val="32"/>
          <w:highlight w:val="none"/>
        </w:rPr>
      </w:pPr>
      <w:r>
        <w:rPr>
          <w:rFonts w:hint="eastAsia"/>
          <w:b/>
          <w:bCs/>
          <w:color w:val="auto"/>
          <w:sz w:val="32"/>
          <w:highlight w:val="none"/>
        </w:rPr>
        <w:t>2026年</w:t>
      </w:r>
      <w:r>
        <w:rPr>
          <w:rFonts w:hint="eastAsia"/>
          <w:b/>
          <w:bCs/>
          <w:color w:val="auto"/>
          <w:sz w:val="32"/>
          <w:highlight w:val="none"/>
          <w:lang w:val="en-US" w:eastAsia="zh-CN"/>
        </w:rPr>
        <w:t>04</w:t>
      </w:r>
      <w:r>
        <w:rPr>
          <w:rFonts w:hint="eastAsia"/>
          <w:b/>
          <w:bCs/>
          <w:color w:val="auto"/>
          <w:sz w:val="32"/>
          <w:highlight w:val="none"/>
        </w:rPr>
        <w:t>月</w:t>
      </w:r>
      <w:r>
        <w:rPr>
          <w:rFonts w:hint="eastAsia"/>
          <w:b/>
          <w:bCs/>
          <w:color w:val="auto"/>
          <w:sz w:val="32"/>
          <w:highlight w:val="none"/>
          <w:lang w:val="en-US" w:eastAsia="zh-CN"/>
        </w:rPr>
        <w:t>10</w:t>
      </w:r>
      <w:r>
        <w:rPr>
          <w:rFonts w:hint="eastAsia"/>
          <w:b/>
          <w:bCs/>
          <w:color w:val="auto"/>
          <w:sz w:val="32"/>
          <w:highlight w:val="none"/>
        </w:rPr>
        <w:t>日</w:t>
      </w:r>
      <w:r>
        <w:rPr>
          <w:b/>
          <w:bCs/>
          <w:color w:val="auto"/>
          <w:sz w:val="32"/>
          <w:highlight w:val="none"/>
        </w:rPr>
        <w:br w:type="page"/>
      </w:r>
      <w:r>
        <w:rPr>
          <w:rFonts w:hint="eastAsia" w:ascii="方正小标宋简体" w:eastAsia="方正小标宋简体"/>
          <w:bCs/>
          <w:color w:val="auto"/>
          <w:sz w:val="32"/>
          <w:szCs w:val="32"/>
          <w:highlight w:val="none"/>
        </w:rPr>
        <w:t>目   录</w:t>
      </w:r>
    </w:p>
    <w:p w14:paraId="42F6AC23">
      <w:pPr>
        <w:pStyle w:val="16"/>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sz w:val="24"/>
          <w:szCs w:val="24"/>
        </w:rPr>
      </w:pPr>
      <w:r>
        <w:rPr>
          <w:rFonts w:hint="eastAsia" w:ascii="黑体" w:hAnsi="黑体" w:eastAsia="黑体" w:cs="黑体"/>
          <w:bCs/>
          <w:color w:val="auto"/>
          <w:sz w:val="24"/>
          <w:highlight w:val="none"/>
        </w:rPr>
        <w:fldChar w:fldCharType="begin"/>
      </w:r>
      <w:r>
        <w:rPr>
          <w:rFonts w:hint="eastAsia" w:ascii="黑体" w:hAnsi="黑体" w:eastAsia="黑体" w:cs="黑体"/>
          <w:bCs/>
          <w:color w:val="auto"/>
          <w:sz w:val="24"/>
          <w:highlight w:val="none"/>
        </w:rPr>
        <w:instrText xml:space="preserve">TOC \o "1-2" \h \u </w:instrText>
      </w:r>
      <w:r>
        <w:rPr>
          <w:rFonts w:hint="eastAsia" w:ascii="黑体" w:hAnsi="黑体" w:eastAsia="黑体" w:cs="黑体"/>
          <w:bCs/>
          <w:color w:val="auto"/>
          <w:sz w:val="24"/>
          <w:highlight w:val="none"/>
        </w:rPr>
        <w:fldChar w:fldCharType="separate"/>
      </w:r>
      <w:r>
        <w:rPr>
          <w:rFonts w:hint="eastAsia" w:ascii="黑体" w:hAnsi="黑体" w:eastAsia="黑体" w:cs="黑体"/>
          <w:bCs/>
          <w:color w:val="auto"/>
          <w:sz w:val="24"/>
          <w:szCs w:val="24"/>
          <w:highlight w:val="none"/>
        </w:rPr>
        <w:fldChar w:fldCharType="begin"/>
      </w:r>
      <w:r>
        <w:rPr>
          <w:rFonts w:hint="eastAsia" w:ascii="黑体" w:hAnsi="黑体" w:eastAsia="黑体" w:cs="黑体"/>
          <w:bCs/>
          <w:sz w:val="24"/>
          <w:szCs w:val="24"/>
          <w:highlight w:val="none"/>
        </w:rPr>
        <w:instrText xml:space="preserve"> HYPERLINK \l _Toc29574 </w:instrText>
      </w:r>
      <w:r>
        <w:rPr>
          <w:rFonts w:hint="eastAsia" w:ascii="黑体" w:hAnsi="黑体" w:eastAsia="黑体" w:cs="黑体"/>
          <w:bCs/>
          <w:sz w:val="24"/>
          <w:szCs w:val="24"/>
          <w:highlight w:val="none"/>
        </w:rPr>
        <w:fldChar w:fldCharType="separate"/>
      </w:r>
      <w:r>
        <w:rPr>
          <w:rFonts w:hint="eastAsia" w:ascii="黑体" w:hAnsi="黑体" w:eastAsia="黑体" w:cs="黑体"/>
          <w:bCs/>
          <w:sz w:val="24"/>
          <w:szCs w:val="24"/>
          <w:highlight w:val="none"/>
        </w:rPr>
        <w:t>第1章 竞争性磋商公告</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_Toc29574 \h </w:instrText>
      </w:r>
      <w:r>
        <w:rPr>
          <w:rFonts w:hint="eastAsia" w:ascii="黑体" w:hAnsi="黑体" w:eastAsia="黑体" w:cs="黑体"/>
          <w:sz w:val="24"/>
          <w:szCs w:val="24"/>
        </w:rPr>
        <w:fldChar w:fldCharType="separate"/>
      </w:r>
      <w:r>
        <w:rPr>
          <w:rFonts w:hint="eastAsia" w:ascii="黑体" w:hAnsi="黑体" w:eastAsia="黑体" w:cs="黑体"/>
          <w:sz w:val="24"/>
          <w:szCs w:val="24"/>
        </w:rPr>
        <w:t>1</w:t>
      </w:r>
      <w:r>
        <w:rPr>
          <w:rFonts w:hint="eastAsia" w:ascii="黑体" w:hAnsi="黑体" w:eastAsia="黑体" w:cs="黑体"/>
          <w:sz w:val="24"/>
          <w:szCs w:val="24"/>
        </w:rPr>
        <w:fldChar w:fldCharType="end"/>
      </w:r>
      <w:r>
        <w:rPr>
          <w:rFonts w:hint="eastAsia" w:ascii="黑体" w:hAnsi="黑体" w:eastAsia="黑体" w:cs="黑体"/>
          <w:bCs/>
          <w:color w:val="auto"/>
          <w:sz w:val="24"/>
          <w:szCs w:val="24"/>
          <w:highlight w:val="none"/>
        </w:rPr>
        <w:fldChar w:fldCharType="end"/>
      </w:r>
    </w:p>
    <w:p w14:paraId="35256A15">
      <w:pPr>
        <w:pStyle w:val="19"/>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sz w:val="24"/>
          <w:szCs w:val="24"/>
        </w:rPr>
      </w:pPr>
      <w:r>
        <w:rPr>
          <w:rFonts w:hint="eastAsia" w:ascii="黑体" w:hAnsi="黑体" w:eastAsia="黑体" w:cs="黑体"/>
          <w:bCs/>
          <w:color w:val="auto"/>
          <w:sz w:val="24"/>
          <w:szCs w:val="24"/>
          <w:highlight w:val="none"/>
        </w:rPr>
        <w:fldChar w:fldCharType="begin"/>
      </w:r>
      <w:r>
        <w:rPr>
          <w:rFonts w:hint="eastAsia" w:ascii="黑体" w:hAnsi="黑体" w:eastAsia="黑体" w:cs="黑体"/>
          <w:bCs/>
          <w:sz w:val="24"/>
          <w:szCs w:val="24"/>
          <w:highlight w:val="none"/>
        </w:rPr>
        <w:instrText xml:space="preserve"> HYPERLINK \l _Toc1699 </w:instrText>
      </w:r>
      <w:r>
        <w:rPr>
          <w:rFonts w:hint="eastAsia" w:ascii="黑体" w:hAnsi="黑体" w:eastAsia="黑体" w:cs="黑体"/>
          <w:bCs/>
          <w:sz w:val="24"/>
          <w:szCs w:val="24"/>
          <w:highlight w:val="none"/>
        </w:rPr>
        <w:fldChar w:fldCharType="separate"/>
      </w:r>
      <w:r>
        <w:rPr>
          <w:rFonts w:hint="eastAsia" w:ascii="黑体" w:hAnsi="黑体" w:eastAsia="黑体" w:cs="黑体"/>
          <w:sz w:val="24"/>
          <w:szCs w:val="24"/>
          <w:highlight w:val="none"/>
        </w:rPr>
        <w:t>一、项目基本情况</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_Toc1699 \h </w:instrText>
      </w:r>
      <w:r>
        <w:rPr>
          <w:rFonts w:hint="eastAsia" w:ascii="黑体" w:hAnsi="黑体" w:eastAsia="黑体" w:cs="黑体"/>
          <w:sz w:val="24"/>
          <w:szCs w:val="24"/>
        </w:rPr>
        <w:fldChar w:fldCharType="separate"/>
      </w:r>
      <w:r>
        <w:rPr>
          <w:rFonts w:hint="eastAsia" w:ascii="黑体" w:hAnsi="黑体" w:eastAsia="黑体" w:cs="黑体"/>
          <w:sz w:val="24"/>
          <w:szCs w:val="24"/>
        </w:rPr>
        <w:t>1</w:t>
      </w:r>
      <w:r>
        <w:rPr>
          <w:rFonts w:hint="eastAsia" w:ascii="黑体" w:hAnsi="黑体" w:eastAsia="黑体" w:cs="黑体"/>
          <w:sz w:val="24"/>
          <w:szCs w:val="24"/>
        </w:rPr>
        <w:fldChar w:fldCharType="end"/>
      </w:r>
      <w:r>
        <w:rPr>
          <w:rFonts w:hint="eastAsia" w:ascii="黑体" w:hAnsi="黑体" w:eastAsia="黑体" w:cs="黑体"/>
          <w:bCs/>
          <w:color w:val="auto"/>
          <w:sz w:val="24"/>
          <w:szCs w:val="24"/>
          <w:highlight w:val="none"/>
        </w:rPr>
        <w:fldChar w:fldCharType="end"/>
      </w:r>
    </w:p>
    <w:p w14:paraId="5441587E">
      <w:pPr>
        <w:pStyle w:val="19"/>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sz w:val="24"/>
          <w:szCs w:val="24"/>
        </w:rPr>
      </w:pPr>
      <w:r>
        <w:rPr>
          <w:rFonts w:hint="eastAsia" w:ascii="黑体" w:hAnsi="黑体" w:eastAsia="黑体" w:cs="黑体"/>
          <w:bCs/>
          <w:color w:val="auto"/>
          <w:sz w:val="24"/>
          <w:szCs w:val="24"/>
          <w:highlight w:val="none"/>
        </w:rPr>
        <w:fldChar w:fldCharType="begin"/>
      </w:r>
      <w:r>
        <w:rPr>
          <w:rFonts w:hint="eastAsia" w:ascii="黑体" w:hAnsi="黑体" w:eastAsia="黑体" w:cs="黑体"/>
          <w:bCs/>
          <w:sz w:val="24"/>
          <w:szCs w:val="24"/>
          <w:highlight w:val="none"/>
        </w:rPr>
        <w:instrText xml:space="preserve"> HYPERLINK \l _Toc31534 </w:instrText>
      </w:r>
      <w:r>
        <w:rPr>
          <w:rFonts w:hint="eastAsia" w:ascii="黑体" w:hAnsi="黑体" w:eastAsia="黑体" w:cs="黑体"/>
          <w:bCs/>
          <w:sz w:val="24"/>
          <w:szCs w:val="24"/>
          <w:highlight w:val="none"/>
        </w:rPr>
        <w:fldChar w:fldCharType="separate"/>
      </w:r>
      <w:r>
        <w:rPr>
          <w:rFonts w:hint="eastAsia" w:ascii="黑体" w:hAnsi="黑体" w:eastAsia="黑体" w:cs="黑体"/>
          <w:sz w:val="24"/>
          <w:szCs w:val="24"/>
          <w:highlight w:val="none"/>
        </w:rPr>
        <w:t>二、响应人的资格要求：</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_Toc31534 \h </w:instrText>
      </w:r>
      <w:r>
        <w:rPr>
          <w:rFonts w:hint="eastAsia" w:ascii="黑体" w:hAnsi="黑体" w:eastAsia="黑体" w:cs="黑体"/>
          <w:sz w:val="24"/>
          <w:szCs w:val="24"/>
        </w:rPr>
        <w:fldChar w:fldCharType="separate"/>
      </w:r>
      <w:r>
        <w:rPr>
          <w:rFonts w:hint="eastAsia" w:ascii="黑体" w:hAnsi="黑体" w:eastAsia="黑体" w:cs="黑体"/>
          <w:sz w:val="24"/>
          <w:szCs w:val="24"/>
        </w:rPr>
        <w:t>1</w:t>
      </w:r>
      <w:r>
        <w:rPr>
          <w:rFonts w:hint="eastAsia" w:ascii="黑体" w:hAnsi="黑体" w:eastAsia="黑体" w:cs="黑体"/>
          <w:sz w:val="24"/>
          <w:szCs w:val="24"/>
        </w:rPr>
        <w:fldChar w:fldCharType="end"/>
      </w:r>
      <w:r>
        <w:rPr>
          <w:rFonts w:hint="eastAsia" w:ascii="黑体" w:hAnsi="黑体" w:eastAsia="黑体" w:cs="黑体"/>
          <w:bCs/>
          <w:color w:val="auto"/>
          <w:sz w:val="24"/>
          <w:szCs w:val="24"/>
          <w:highlight w:val="none"/>
        </w:rPr>
        <w:fldChar w:fldCharType="end"/>
      </w:r>
    </w:p>
    <w:p w14:paraId="658F8DF4">
      <w:pPr>
        <w:pStyle w:val="19"/>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sz w:val="24"/>
          <w:szCs w:val="24"/>
        </w:rPr>
      </w:pPr>
      <w:r>
        <w:rPr>
          <w:rFonts w:hint="eastAsia" w:ascii="黑体" w:hAnsi="黑体" w:eastAsia="黑体" w:cs="黑体"/>
          <w:bCs/>
          <w:color w:val="auto"/>
          <w:sz w:val="24"/>
          <w:szCs w:val="24"/>
          <w:highlight w:val="none"/>
        </w:rPr>
        <w:fldChar w:fldCharType="begin"/>
      </w:r>
      <w:r>
        <w:rPr>
          <w:rFonts w:hint="eastAsia" w:ascii="黑体" w:hAnsi="黑体" w:eastAsia="黑体" w:cs="黑体"/>
          <w:bCs/>
          <w:sz w:val="24"/>
          <w:szCs w:val="24"/>
          <w:highlight w:val="none"/>
        </w:rPr>
        <w:instrText xml:space="preserve"> HYPERLINK \l _Toc28508 </w:instrText>
      </w:r>
      <w:r>
        <w:rPr>
          <w:rFonts w:hint="eastAsia" w:ascii="黑体" w:hAnsi="黑体" w:eastAsia="黑体" w:cs="黑体"/>
          <w:bCs/>
          <w:sz w:val="24"/>
          <w:szCs w:val="24"/>
          <w:highlight w:val="none"/>
        </w:rPr>
        <w:fldChar w:fldCharType="separate"/>
      </w:r>
      <w:r>
        <w:rPr>
          <w:rFonts w:hint="eastAsia" w:ascii="黑体" w:hAnsi="黑体" w:eastAsia="黑体" w:cs="黑体"/>
          <w:sz w:val="24"/>
          <w:szCs w:val="24"/>
          <w:highlight w:val="none"/>
        </w:rPr>
        <w:t>三、获取竞争性磋商文件</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_Toc28508 \h </w:instrText>
      </w:r>
      <w:r>
        <w:rPr>
          <w:rFonts w:hint="eastAsia" w:ascii="黑体" w:hAnsi="黑体" w:eastAsia="黑体" w:cs="黑体"/>
          <w:sz w:val="24"/>
          <w:szCs w:val="24"/>
        </w:rPr>
        <w:fldChar w:fldCharType="separate"/>
      </w:r>
      <w:r>
        <w:rPr>
          <w:rFonts w:hint="eastAsia" w:ascii="黑体" w:hAnsi="黑体" w:eastAsia="黑体" w:cs="黑体"/>
          <w:sz w:val="24"/>
          <w:szCs w:val="24"/>
        </w:rPr>
        <w:t>2</w:t>
      </w:r>
      <w:r>
        <w:rPr>
          <w:rFonts w:hint="eastAsia" w:ascii="黑体" w:hAnsi="黑体" w:eastAsia="黑体" w:cs="黑体"/>
          <w:sz w:val="24"/>
          <w:szCs w:val="24"/>
        </w:rPr>
        <w:fldChar w:fldCharType="end"/>
      </w:r>
      <w:r>
        <w:rPr>
          <w:rFonts w:hint="eastAsia" w:ascii="黑体" w:hAnsi="黑体" w:eastAsia="黑体" w:cs="黑体"/>
          <w:bCs/>
          <w:color w:val="auto"/>
          <w:sz w:val="24"/>
          <w:szCs w:val="24"/>
          <w:highlight w:val="none"/>
        </w:rPr>
        <w:fldChar w:fldCharType="end"/>
      </w:r>
    </w:p>
    <w:p w14:paraId="3F163DEF">
      <w:pPr>
        <w:pStyle w:val="19"/>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sz w:val="24"/>
          <w:szCs w:val="24"/>
        </w:rPr>
      </w:pPr>
      <w:r>
        <w:rPr>
          <w:rFonts w:hint="eastAsia" w:ascii="黑体" w:hAnsi="黑体" w:eastAsia="黑体" w:cs="黑体"/>
          <w:bCs/>
          <w:color w:val="auto"/>
          <w:sz w:val="24"/>
          <w:szCs w:val="24"/>
          <w:highlight w:val="none"/>
        </w:rPr>
        <w:fldChar w:fldCharType="begin"/>
      </w:r>
      <w:r>
        <w:rPr>
          <w:rFonts w:hint="eastAsia" w:ascii="黑体" w:hAnsi="黑体" w:eastAsia="黑体" w:cs="黑体"/>
          <w:bCs/>
          <w:sz w:val="24"/>
          <w:szCs w:val="24"/>
          <w:highlight w:val="none"/>
        </w:rPr>
        <w:instrText xml:space="preserve"> HYPERLINK \l _Toc19217 </w:instrText>
      </w:r>
      <w:r>
        <w:rPr>
          <w:rFonts w:hint="eastAsia" w:ascii="黑体" w:hAnsi="黑体" w:eastAsia="黑体" w:cs="黑体"/>
          <w:bCs/>
          <w:sz w:val="24"/>
          <w:szCs w:val="24"/>
          <w:highlight w:val="none"/>
        </w:rPr>
        <w:fldChar w:fldCharType="separate"/>
      </w:r>
      <w:r>
        <w:rPr>
          <w:rFonts w:hint="eastAsia" w:ascii="黑体" w:hAnsi="黑体" w:eastAsia="黑体" w:cs="黑体"/>
          <w:sz w:val="24"/>
          <w:szCs w:val="24"/>
          <w:highlight w:val="none"/>
        </w:rPr>
        <w:t>四、竞争性磋商响应文件提交和开启</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_Toc19217 \h </w:instrText>
      </w:r>
      <w:r>
        <w:rPr>
          <w:rFonts w:hint="eastAsia" w:ascii="黑体" w:hAnsi="黑体" w:eastAsia="黑体" w:cs="黑体"/>
          <w:sz w:val="24"/>
          <w:szCs w:val="24"/>
        </w:rPr>
        <w:fldChar w:fldCharType="separate"/>
      </w:r>
      <w:r>
        <w:rPr>
          <w:rFonts w:hint="eastAsia" w:ascii="黑体" w:hAnsi="黑体" w:eastAsia="黑体" w:cs="黑体"/>
          <w:sz w:val="24"/>
          <w:szCs w:val="24"/>
        </w:rPr>
        <w:t>2</w:t>
      </w:r>
      <w:r>
        <w:rPr>
          <w:rFonts w:hint="eastAsia" w:ascii="黑体" w:hAnsi="黑体" w:eastAsia="黑体" w:cs="黑体"/>
          <w:sz w:val="24"/>
          <w:szCs w:val="24"/>
        </w:rPr>
        <w:fldChar w:fldCharType="end"/>
      </w:r>
      <w:r>
        <w:rPr>
          <w:rFonts w:hint="eastAsia" w:ascii="黑体" w:hAnsi="黑体" w:eastAsia="黑体" w:cs="黑体"/>
          <w:bCs/>
          <w:color w:val="auto"/>
          <w:sz w:val="24"/>
          <w:szCs w:val="24"/>
          <w:highlight w:val="none"/>
        </w:rPr>
        <w:fldChar w:fldCharType="end"/>
      </w:r>
    </w:p>
    <w:p w14:paraId="3E27D988">
      <w:pPr>
        <w:pStyle w:val="19"/>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sz w:val="24"/>
          <w:szCs w:val="24"/>
        </w:rPr>
      </w:pPr>
      <w:r>
        <w:rPr>
          <w:rFonts w:hint="eastAsia" w:ascii="黑体" w:hAnsi="黑体" w:eastAsia="黑体" w:cs="黑体"/>
          <w:bCs/>
          <w:color w:val="auto"/>
          <w:sz w:val="24"/>
          <w:szCs w:val="24"/>
          <w:highlight w:val="none"/>
        </w:rPr>
        <w:fldChar w:fldCharType="begin"/>
      </w:r>
      <w:r>
        <w:rPr>
          <w:rFonts w:hint="eastAsia" w:ascii="黑体" w:hAnsi="黑体" w:eastAsia="黑体" w:cs="黑体"/>
          <w:bCs/>
          <w:sz w:val="24"/>
          <w:szCs w:val="24"/>
          <w:highlight w:val="none"/>
        </w:rPr>
        <w:instrText xml:space="preserve"> HYPERLINK \l _Toc17952 </w:instrText>
      </w:r>
      <w:r>
        <w:rPr>
          <w:rFonts w:hint="eastAsia" w:ascii="黑体" w:hAnsi="黑体" w:eastAsia="黑体" w:cs="黑体"/>
          <w:bCs/>
          <w:sz w:val="24"/>
          <w:szCs w:val="24"/>
          <w:highlight w:val="none"/>
        </w:rPr>
        <w:fldChar w:fldCharType="separate"/>
      </w:r>
      <w:r>
        <w:rPr>
          <w:rFonts w:hint="eastAsia" w:ascii="黑体" w:hAnsi="黑体" w:eastAsia="黑体" w:cs="黑体"/>
          <w:sz w:val="24"/>
          <w:szCs w:val="24"/>
          <w:highlight w:val="none"/>
        </w:rPr>
        <w:t>五、公告期限</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_Toc17952 \h </w:instrText>
      </w:r>
      <w:r>
        <w:rPr>
          <w:rFonts w:hint="eastAsia" w:ascii="黑体" w:hAnsi="黑体" w:eastAsia="黑体" w:cs="黑体"/>
          <w:sz w:val="24"/>
          <w:szCs w:val="24"/>
        </w:rPr>
        <w:fldChar w:fldCharType="separate"/>
      </w:r>
      <w:r>
        <w:rPr>
          <w:rFonts w:hint="eastAsia" w:ascii="黑体" w:hAnsi="黑体" w:eastAsia="黑体" w:cs="黑体"/>
          <w:sz w:val="24"/>
          <w:szCs w:val="24"/>
        </w:rPr>
        <w:t>3</w:t>
      </w:r>
      <w:r>
        <w:rPr>
          <w:rFonts w:hint="eastAsia" w:ascii="黑体" w:hAnsi="黑体" w:eastAsia="黑体" w:cs="黑体"/>
          <w:sz w:val="24"/>
          <w:szCs w:val="24"/>
        </w:rPr>
        <w:fldChar w:fldCharType="end"/>
      </w:r>
      <w:r>
        <w:rPr>
          <w:rFonts w:hint="eastAsia" w:ascii="黑体" w:hAnsi="黑体" w:eastAsia="黑体" w:cs="黑体"/>
          <w:bCs/>
          <w:color w:val="auto"/>
          <w:sz w:val="24"/>
          <w:szCs w:val="24"/>
          <w:highlight w:val="none"/>
        </w:rPr>
        <w:fldChar w:fldCharType="end"/>
      </w:r>
    </w:p>
    <w:p w14:paraId="1CFADBD2">
      <w:pPr>
        <w:pStyle w:val="19"/>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sz w:val="24"/>
          <w:szCs w:val="24"/>
        </w:rPr>
      </w:pPr>
      <w:r>
        <w:rPr>
          <w:rFonts w:hint="eastAsia" w:ascii="黑体" w:hAnsi="黑体" w:eastAsia="黑体" w:cs="黑体"/>
          <w:bCs/>
          <w:color w:val="auto"/>
          <w:sz w:val="24"/>
          <w:szCs w:val="24"/>
          <w:highlight w:val="none"/>
        </w:rPr>
        <w:fldChar w:fldCharType="begin"/>
      </w:r>
      <w:r>
        <w:rPr>
          <w:rFonts w:hint="eastAsia" w:ascii="黑体" w:hAnsi="黑体" w:eastAsia="黑体" w:cs="黑体"/>
          <w:bCs/>
          <w:sz w:val="24"/>
          <w:szCs w:val="24"/>
          <w:highlight w:val="none"/>
        </w:rPr>
        <w:instrText xml:space="preserve"> HYPERLINK \l _Toc17820 </w:instrText>
      </w:r>
      <w:r>
        <w:rPr>
          <w:rFonts w:hint="eastAsia" w:ascii="黑体" w:hAnsi="黑体" w:eastAsia="黑体" w:cs="黑体"/>
          <w:bCs/>
          <w:sz w:val="24"/>
          <w:szCs w:val="24"/>
          <w:highlight w:val="none"/>
        </w:rPr>
        <w:fldChar w:fldCharType="separate"/>
      </w:r>
      <w:r>
        <w:rPr>
          <w:rFonts w:hint="eastAsia" w:ascii="黑体" w:hAnsi="黑体" w:eastAsia="黑体" w:cs="黑体"/>
          <w:sz w:val="24"/>
          <w:szCs w:val="24"/>
          <w:highlight w:val="none"/>
        </w:rPr>
        <w:t>六、其他补充事宜</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_Toc17820 \h </w:instrText>
      </w:r>
      <w:r>
        <w:rPr>
          <w:rFonts w:hint="eastAsia" w:ascii="黑体" w:hAnsi="黑体" w:eastAsia="黑体" w:cs="黑体"/>
          <w:sz w:val="24"/>
          <w:szCs w:val="24"/>
        </w:rPr>
        <w:fldChar w:fldCharType="separate"/>
      </w:r>
      <w:r>
        <w:rPr>
          <w:rFonts w:hint="eastAsia" w:ascii="黑体" w:hAnsi="黑体" w:eastAsia="黑体" w:cs="黑体"/>
          <w:sz w:val="24"/>
          <w:szCs w:val="24"/>
        </w:rPr>
        <w:t>3</w:t>
      </w:r>
      <w:r>
        <w:rPr>
          <w:rFonts w:hint="eastAsia" w:ascii="黑体" w:hAnsi="黑体" w:eastAsia="黑体" w:cs="黑体"/>
          <w:sz w:val="24"/>
          <w:szCs w:val="24"/>
        </w:rPr>
        <w:fldChar w:fldCharType="end"/>
      </w:r>
      <w:r>
        <w:rPr>
          <w:rFonts w:hint="eastAsia" w:ascii="黑体" w:hAnsi="黑体" w:eastAsia="黑体" w:cs="黑体"/>
          <w:bCs/>
          <w:color w:val="auto"/>
          <w:sz w:val="24"/>
          <w:szCs w:val="24"/>
          <w:highlight w:val="none"/>
        </w:rPr>
        <w:fldChar w:fldCharType="end"/>
      </w:r>
    </w:p>
    <w:p w14:paraId="45E5E305">
      <w:pPr>
        <w:pStyle w:val="19"/>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sz w:val="24"/>
          <w:szCs w:val="24"/>
        </w:rPr>
      </w:pPr>
      <w:r>
        <w:rPr>
          <w:rFonts w:hint="eastAsia" w:ascii="黑体" w:hAnsi="黑体" w:eastAsia="黑体" w:cs="黑体"/>
          <w:bCs/>
          <w:color w:val="auto"/>
          <w:sz w:val="24"/>
          <w:szCs w:val="24"/>
          <w:highlight w:val="none"/>
        </w:rPr>
        <w:fldChar w:fldCharType="begin"/>
      </w:r>
      <w:r>
        <w:rPr>
          <w:rFonts w:hint="eastAsia" w:ascii="黑体" w:hAnsi="黑体" w:eastAsia="黑体" w:cs="黑体"/>
          <w:bCs/>
          <w:sz w:val="24"/>
          <w:szCs w:val="24"/>
          <w:highlight w:val="none"/>
        </w:rPr>
        <w:instrText xml:space="preserve"> HYPERLINK \l _Toc25502 </w:instrText>
      </w:r>
      <w:r>
        <w:rPr>
          <w:rFonts w:hint="eastAsia" w:ascii="黑体" w:hAnsi="黑体" w:eastAsia="黑体" w:cs="黑体"/>
          <w:bCs/>
          <w:sz w:val="24"/>
          <w:szCs w:val="24"/>
          <w:highlight w:val="none"/>
        </w:rPr>
        <w:fldChar w:fldCharType="separate"/>
      </w:r>
      <w:r>
        <w:rPr>
          <w:rFonts w:hint="eastAsia" w:ascii="黑体" w:hAnsi="黑体" w:eastAsia="黑体" w:cs="黑体"/>
          <w:sz w:val="24"/>
          <w:szCs w:val="24"/>
          <w:highlight w:val="none"/>
        </w:rPr>
        <w:t>七、凡对本次采购提出询问，请按以下方式联系。</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_Toc25502 \h </w:instrText>
      </w:r>
      <w:r>
        <w:rPr>
          <w:rFonts w:hint="eastAsia" w:ascii="黑体" w:hAnsi="黑体" w:eastAsia="黑体" w:cs="黑体"/>
          <w:sz w:val="24"/>
          <w:szCs w:val="24"/>
        </w:rPr>
        <w:fldChar w:fldCharType="separate"/>
      </w:r>
      <w:r>
        <w:rPr>
          <w:rFonts w:hint="eastAsia" w:ascii="黑体" w:hAnsi="黑体" w:eastAsia="黑体" w:cs="黑体"/>
          <w:sz w:val="24"/>
          <w:szCs w:val="24"/>
        </w:rPr>
        <w:t>3</w:t>
      </w:r>
      <w:r>
        <w:rPr>
          <w:rFonts w:hint="eastAsia" w:ascii="黑体" w:hAnsi="黑体" w:eastAsia="黑体" w:cs="黑体"/>
          <w:sz w:val="24"/>
          <w:szCs w:val="24"/>
        </w:rPr>
        <w:fldChar w:fldCharType="end"/>
      </w:r>
      <w:r>
        <w:rPr>
          <w:rFonts w:hint="eastAsia" w:ascii="黑体" w:hAnsi="黑体" w:eastAsia="黑体" w:cs="黑体"/>
          <w:bCs/>
          <w:color w:val="auto"/>
          <w:sz w:val="24"/>
          <w:szCs w:val="24"/>
          <w:highlight w:val="none"/>
        </w:rPr>
        <w:fldChar w:fldCharType="end"/>
      </w:r>
    </w:p>
    <w:p w14:paraId="3DF6A9DC">
      <w:pPr>
        <w:pStyle w:val="16"/>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sz w:val="24"/>
          <w:szCs w:val="24"/>
        </w:rPr>
      </w:pPr>
      <w:r>
        <w:rPr>
          <w:rFonts w:hint="eastAsia" w:ascii="黑体" w:hAnsi="黑体" w:eastAsia="黑体" w:cs="黑体"/>
          <w:bCs/>
          <w:color w:val="auto"/>
          <w:sz w:val="24"/>
          <w:szCs w:val="24"/>
          <w:highlight w:val="none"/>
        </w:rPr>
        <w:fldChar w:fldCharType="begin"/>
      </w:r>
      <w:r>
        <w:rPr>
          <w:rFonts w:hint="eastAsia" w:ascii="黑体" w:hAnsi="黑体" w:eastAsia="黑体" w:cs="黑体"/>
          <w:bCs/>
          <w:sz w:val="24"/>
          <w:szCs w:val="24"/>
          <w:highlight w:val="none"/>
        </w:rPr>
        <w:instrText xml:space="preserve"> HYPERLINK \l _Toc10472 </w:instrText>
      </w:r>
      <w:r>
        <w:rPr>
          <w:rFonts w:hint="eastAsia" w:ascii="黑体" w:hAnsi="黑体" w:eastAsia="黑体" w:cs="黑体"/>
          <w:bCs/>
          <w:sz w:val="24"/>
          <w:szCs w:val="24"/>
          <w:highlight w:val="none"/>
        </w:rPr>
        <w:fldChar w:fldCharType="separate"/>
      </w:r>
      <w:r>
        <w:rPr>
          <w:rFonts w:hint="eastAsia" w:ascii="黑体" w:hAnsi="黑体" w:eastAsia="黑体" w:cs="黑体"/>
          <w:bCs/>
          <w:sz w:val="24"/>
          <w:szCs w:val="24"/>
          <w:highlight w:val="none"/>
        </w:rPr>
        <w:t>第2章 磋商须知</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_Toc10472 \h </w:instrText>
      </w:r>
      <w:r>
        <w:rPr>
          <w:rFonts w:hint="eastAsia" w:ascii="黑体" w:hAnsi="黑体" w:eastAsia="黑体" w:cs="黑体"/>
          <w:sz w:val="24"/>
          <w:szCs w:val="24"/>
        </w:rPr>
        <w:fldChar w:fldCharType="separate"/>
      </w:r>
      <w:r>
        <w:rPr>
          <w:rFonts w:hint="eastAsia" w:ascii="黑体" w:hAnsi="黑体" w:eastAsia="黑体" w:cs="黑体"/>
          <w:sz w:val="24"/>
          <w:szCs w:val="24"/>
        </w:rPr>
        <w:t>5</w:t>
      </w:r>
      <w:r>
        <w:rPr>
          <w:rFonts w:hint="eastAsia" w:ascii="黑体" w:hAnsi="黑体" w:eastAsia="黑体" w:cs="黑体"/>
          <w:sz w:val="24"/>
          <w:szCs w:val="24"/>
        </w:rPr>
        <w:fldChar w:fldCharType="end"/>
      </w:r>
      <w:r>
        <w:rPr>
          <w:rFonts w:hint="eastAsia" w:ascii="黑体" w:hAnsi="黑体" w:eastAsia="黑体" w:cs="黑体"/>
          <w:bCs/>
          <w:color w:val="auto"/>
          <w:sz w:val="24"/>
          <w:szCs w:val="24"/>
          <w:highlight w:val="none"/>
        </w:rPr>
        <w:fldChar w:fldCharType="end"/>
      </w:r>
    </w:p>
    <w:p w14:paraId="6F4A04B6">
      <w:pPr>
        <w:pStyle w:val="19"/>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sz w:val="24"/>
          <w:szCs w:val="24"/>
        </w:rPr>
      </w:pPr>
      <w:r>
        <w:rPr>
          <w:rFonts w:hint="eastAsia" w:ascii="黑体" w:hAnsi="黑体" w:eastAsia="黑体" w:cs="黑体"/>
          <w:bCs/>
          <w:color w:val="auto"/>
          <w:sz w:val="24"/>
          <w:szCs w:val="24"/>
          <w:highlight w:val="none"/>
        </w:rPr>
        <w:fldChar w:fldCharType="begin"/>
      </w:r>
      <w:r>
        <w:rPr>
          <w:rFonts w:hint="eastAsia" w:ascii="黑体" w:hAnsi="黑体" w:eastAsia="黑体" w:cs="黑体"/>
          <w:bCs/>
          <w:sz w:val="24"/>
          <w:szCs w:val="24"/>
          <w:highlight w:val="none"/>
        </w:rPr>
        <w:instrText xml:space="preserve"> HYPERLINK \l _Toc23817 </w:instrText>
      </w:r>
      <w:r>
        <w:rPr>
          <w:rFonts w:hint="eastAsia" w:ascii="黑体" w:hAnsi="黑体" w:eastAsia="黑体" w:cs="黑体"/>
          <w:bCs/>
          <w:sz w:val="24"/>
          <w:szCs w:val="24"/>
          <w:highlight w:val="none"/>
        </w:rPr>
        <w:fldChar w:fldCharType="separate"/>
      </w:r>
      <w:r>
        <w:rPr>
          <w:rFonts w:hint="eastAsia" w:ascii="黑体" w:hAnsi="黑体" w:eastAsia="黑体" w:cs="黑体"/>
          <w:sz w:val="24"/>
          <w:szCs w:val="24"/>
          <w:highlight w:val="none"/>
        </w:rPr>
        <w:t>1. 参加磋商费用</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_Toc23817 \h </w:instrText>
      </w:r>
      <w:r>
        <w:rPr>
          <w:rFonts w:hint="eastAsia" w:ascii="黑体" w:hAnsi="黑体" w:eastAsia="黑体" w:cs="黑体"/>
          <w:sz w:val="24"/>
          <w:szCs w:val="24"/>
        </w:rPr>
        <w:fldChar w:fldCharType="separate"/>
      </w:r>
      <w:r>
        <w:rPr>
          <w:rFonts w:hint="eastAsia" w:ascii="黑体" w:hAnsi="黑体" w:eastAsia="黑体" w:cs="黑体"/>
          <w:sz w:val="24"/>
          <w:szCs w:val="24"/>
        </w:rPr>
        <w:t>5</w:t>
      </w:r>
      <w:r>
        <w:rPr>
          <w:rFonts w:hint="eastAsia" w:ascii="黑体" w:hAnsi="黑体" w:eastAsia="黑体" w:cs="黑体"/>
          <w:sz w:val="24"/>
          <w:szCs w:val="24"/>
        </w:rPr>
        <w:fldChar w:fldCharType="end"/>
      </w:r>
      <w:r>
        <w:rPr>
          <w:rFonts w:hint="eastAsia" w:ascii="黑体" w:hAnsi="黑体" w:eastAsia="黑体" w:cs="黑体"/>
          <w:bCs/>
          <w:color w:val="auto"/>
          <w:sz w:val="24"/>
          <w:szCs w:val="24"/>
          <w:highlight w:val="none"/>
        </w:rPr>
        <w:fldChar w:fldCharType="end"/>
      </w:r>
    </w:p>
    <w:p w14:paraId="5E45501B">
      <w:pPr>
        <w:pStyle w:val="19"/>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sz w:val="24"/>
          <w:szCs w:val="24"/>
        </w:rPr>
      </w:pPr>
      <w:r>
        <w:rPr>
          <w:rFonts w:hint="eastAsia" w:ascii="黑体" w:hAnsi="黑体" w:eastAsia="黑体" w:cs="黑体"/>
          <w:bCs/>
          <w:color w:val="auto"/>
          <w:sz w:val="24"/>
          <w:szCs w:val="24"/>
          <w:highlight w:val="none"/>
        </w:rPr>
        <w:fldChar w:fldCharType="begin"/>
      </w:r>
      <w:r>
        <w:rPr>
          <w:rFonts w:hint="eastAsia" w:ascii="黑体" w:hAnsi="黑体" w:eastAsia="黑体" w:cs="黑体"/>
          <w:bCs/>
          <w:sz w:val="24"/>
          <w:szCs w:val="24"/>
          <w:highlight w:val="none"/>
        </w:rPr>
        <w:instrText xml:space="preserve"> HYPERLINK \l _Toc20180 </w:instrText>
      </w:r>
      <w:r>
        <w:rPr>
          <w:rFonts w:hint="eastAsia" w:ascii="黑体" w:hAnsi="黑体" w:eastAsia="黑体" w:cs="黑体"/>
          <w:bCs/>
          <w:sz w:val="24"/>
          <w:szCs w:val="24"/>
          <w:highlight w:val="none"/>
        </w:rPr>
        <w:fldChar w:fldCharType="separate"/>
      </w:r>
      <w:r>
        <w:rPr>
          <w:rFonts w:hint="eastAsia" w:ascii="黑体" w:hAnsi="黑体" w:eastAsia="黑体" w:cs="黑体"/>
          <w:sz w:val="24"/>
          <w:szCs w:val="24"/>
          <w:highlight w:val="none"/>
        </w:rPr>
        <w:t>2. 磋商文件的约束力</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_Toc20180 \h </w:instrText>
      </w:r>
      <w:r>
        <w:rPr>
          <w:rFonts w:hint="eastAsia" w:ascii="黑体" w:hAnsi="黑体" w:eastAsia="黑体" w:cs="黑体"/>
          <w:sz w:val="24"/>
          <w:szCs w:val="24"/>
        </w:rPr>
        <w:fldChar w:fldCharType="separate"/>
      </w:r>
      <w:r>
        <w:rPr>
          <w:rFonts w:hint="eastAsia" w:ascii="黑体" w:hAnsi="黑体" w:eastAsia="黑体" w:cs="黑体"/>
          <w:sz w:val="24"/>
          <w:szCs w:val="24"/>
        </w:rPr>
        <w:t>5</w:t>
      </w:r>
      <w:r>
        <w:rPr>
          <w:rFonts w:hint="eastAsia" w:ascii="黑体" w:hAnsi="黑体" w:eastAsia="黑体" w:cs="黑体"/>
          <w:sz w:val="24"/>
          <w:szCs w:val="24"/>
        </w:rPr>
        <w:fldChar w:fldCharType="end"/>
      </w:r>
      <w:r>
        <w:rPr>
          <w:rFonts w:hint="eastAsia" w:ascii="黑体" w:hAnsi="黑体" w:eastAsia="黑体" w:cs="黑体"/>
          <w:bCs/>
          <w:color w:val="auto"/>
          <w:sz w:val="24"/>
          <w:szCs w:val="24"/>
          <w:highlight w:val="none"/>
        </w:rPr>
        <w:fldChar w:fldCharType="end"/>
      </w:r>
    </w:p>
    <w:p w14:paraId="6C1E3E2D">
      <w:pPr>
        <w:pStyle w:val="19"/>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sz w:val="24"/>
          <w:szCs w:val="24"/>
        </w:rPr>
      </w:pPr>
      <w:r>
        <w:rPr>
          <w:rFonts w:hint="eastAsia" w:ascii="黑体" w:hAnsi="黑体" w:eastAsia="黑体" w:cs="黑体"/>
          <w:bCs/>
          <w:color w:val="auto"/>
          <w:sz w:val="24"/>
          <w:szCs w:val="24"/>
          <w:highlight w:val="none"/>
        </w:rPr>
        <w:fldChar w:fldCharType="begin"/>
      </w:r>
      <w:r>
        <w:rPr>
          <w:rFonts w:hint="eastAsia" w:ascii="黑体" w:hAnsi="黑体" w:eastAsia="黑体" w:cs="黑体"/>
          <w:bCs/>
          <w:sz w:val="24"/>
          <w:szCs w:val="24"/>
          <w:highlight w:val="none"/>
        </w:rPr>
        <w:instrText xml:space="preserve"> HYPERLINK \l _Toc16476 </w:instrText>
      </w:r>
      <w:r>
        <w:rPr>
          <w:rFonts w:hint="eastAsia" w:ascii="黑体" w:hAnsi="黑体" w:eastAsia="黑体" w:cs="黑体"/>
          <w:bCs/>
          <w:sz w:val="24"/>
          <w:szCs w:val="24"/>
          <w:highlight w:val="none"/>
        </w:rPr>
        <w:fldChar w:fldCharType="separate"/>
      </w:r>
      <w:r>
        <w:rPr>
          <w:rFonts w:hint="eastAsia" w:ascii="黑体" w:hAnsi="黑体" w:eastAsia="黑体" w:cs="黑体"/>
          <w:sz w:val="24"/>
          <w:szCs w:val="24"/>
          <w:highlight w:val="none"/>
        </w:rPr>
        <w:t>3.响应文件编制</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_Toc16476 \h </w:instrText>
      </w:r>
      <w:r>
        <w:rPr>
          <w:rFonts w:hint="eastAsia" w:ascii="黑体" w:hAnsi="黑体" w:eastAsia="黑体" w:cs="黑体"/>
          <w:sz w:val="24"/>
          <w:szCs w:val="24"/>
        </w:rPr>
        <w:fldChar w:fldCharType="separate"/>
      </w:r>
      <w:r>
        <w:rPr>
          <w:rFonts w:hint="eastAsia" w:ascii="黑体" w:hAnsi="黑体" w:eastAsia="黑体" w:cs="黑体"/>
          <w:sz w:val="24"/>
          <w:szCs w:val="24"/>
        </w:rPr>
        <w:t>5</w:t>
      </w:r>
      <w:r>
        <w:rPr>
          <w:rFonts w:hint="eastAsia" w:ascii="黑体" w:hAnsi="黑体" w:eastAsia="黑体" w:cs="黑体"/>
          <w:sz w:val="24"/>
          <w:szCs w:val="24"/>
        </w:rPr>
        <w:fldChar w:fldCharType="end"/>
      </w:r>
      <w:r>
        <w:rPr>
          <w:rFonts w:hint="eastAsia" w:ascii="黑体" w:hAnsi="黑体" w:eastAsia="黑体" w:cs="黑体"/>
          <w:bCs/>
          <w:color w:val="auto"/>
          <w:sz w:val="24"/>
          <w:szCs w:val="24"/>
          <w:highlight w:val="none"/>
        </w:rPr>
        <w:fldChar w:fldCharType="end"/>
      </w:r>
    </w:p>
    <w:p w14:paraId="1366ABFF">
      <w:pPr>
        <w:pStyle w:val="19"/>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sz w:val="24"/>
          <w:szCs w:val="24"/>
        </w:rPr>
      </w:pPr>
      <w:r>
        <w:rPr>
          <w:rFonts w:hint="eastAsia" w:ascii="黑体" w:hAnsi="黑体" w:eastAsia="黑体" w:cs="黑体"/>
          <w:bCs/>
          <w:color w:val="auto"/>
          <w:sz w:val="24"/>
          <w:szCs w:val="24"/>
          <w:highlight w:val="none"/>
        </w:rPr>
        <w:fldChar w:fldCharType="begin"/>
      </w:r>
      <w:r>
        <w:rPr>
          <w:rFonts w:hint="eastAsia" w:ascii="黑体" w:hAnsi="黑体" w:eastAsia="黑体" w:cs="黑体"/>
          <w:bCs/>
          <w:sz w:val="24"/>
          <w:szCs w:val="24"/>
          <w:highlight w:val="none"/>
        </w:rPr>
        <w:instrText xml:space="preserve"> HYPERLINK \l _Toc702 </w:instrText>
      </w:r>
      <w:r>
        <w:rPr>
          <w:rFonts w:hint="eastAsia" w:ascii="黑体" w:hAnsi="黑体" w:eastAsia="黑体" w:cs="黑体"/>
          <w:bCs/>
          <w:sz w:val="24"/>
          <w:szCs w:val="24"/>
          <w:highlight w:val="none"/>
        </w:rPr>
        <w:fldChar w:fldCharType="separate"/>
      </w:r>
      <w:r>
        <w:rPr>
          <w:rFonts w:hint="eastAsia" w:ascii="黑体" w:hAnsi="黑体" w:eastAsia="黑体" w:cs="黑体"/>
          <w:sz w:val="24"/>
          <w:szCs w:val="24"/>
          <w:highlight w:val="none"/>
        </w:rPr>
        <w:t>4.响应文件提交、撤回和修改</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_Toc702 \h </w:instrText>
      </w:r>
      <w:r>
        <w:rPr>
          <w:rFonts w:hint="eastAsia" w:ascii="黑体" w:hAnsi="黑体" w:eastAsia="黑体" w:cs="黑体"/>
          <w:sz w:val="24"/>
          <w:szCs w:val="24"/>
        </w:rPr>
        <w:fldChar w:fldCharType="separate"/>
      </w:r>
      <w:r>
        <w:rPr>
          <w:rFonts w:hint="eastAsia" w:ascii="黑体" w:hAnsi="黑体" w:eastAsia="黑体" w:cs="黑体"/>
          <w:sz w:val="24"/>
          <w:szCs w:val="24"/>
        </w:rPr>
        <w:t>6</w:t>
      </w:r>
      <w:r>
        <w:rPr>
          <w:rFonts w:hint="eastAsia" w:ascii="黑体" w:hAnsi="黑体" w:eastAsia="黑体" w:cs="黑体"/>
          <w:sz w:val="24"/>
          <w:szCs w:val="24"/>
        </w:rPr>
        <w:fldChar w:fldCharType="end"/>
      </w:r>
      <w:r>
        <w:rPr>
          <w:rFonts w:hint="eastAsia" w:ascii="黑体" w:hAnsi="黑体" w:eastAsia="黑体" w:cs="黑体"/>
          <w:bCs/>
          <w:color w:val="auto"/>
          <w:sz w:val="24"/>
          <w:szCs w:val="24"/>
          <w:highlight w:val="none"/>
        </w:rPr>
        <w:fldChar w:fldCharType="end"/>
      </w:r>
    </w:p>
    <w:p w14:paraId="14BA01B7">
      <w:pPr>
        <w:pStyle w:val="19"/>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sz w:val="24"/>
          <w:szCs w:val="24"/>
        </w:rPr>
      </w:pPr>
      <w:r>
        <w:rPr>
          <w:rFonts w:hint="eastAsia" w:ascii="黑体" w:hAnsi="黑体" w:eastAsia="黑体" w:cs="黑体"/>
          <w:bCs/>
          <w:color w:val="auto"/>
          <w:sz w:val="24"/>
          <w:szCs w:val="24"/>
          <w:highlight w:val="none"/>
        </w:rPr>
        <w:fldChar w:fldCharType="begin"/>
      </w:r>
      <w:r>
        <w:rPr>
          <w:rFonts w:hint="eastAsia" w:ascii="黑体" w:hAnsi="黑体" w:eastAsia="黑体" w:cs="黑体"/>
          <w:bCs/>
          <w:sz w:val="24"/>
          <w:szCs w:val="24"/>
          <w:highlight w:val="none"/>
        </w:rPr>
        <w:instrText xml:space="preserve"> HYPERLINK \l _Toc29592 </w:instrText>
      </w:r>
      <w:r>
        <w:rPr>
          <w:rFonts w:hint="eastAsia" w:ascii="黑体" w:hAnsi="黑体" w:eastAsia="黑体" w:cs="黑体"/>
          <w:bCs/>
          <w:sz w:val="24"/>
          <w:szCs w:val="24"/>
          <w:highlight w:val="none"/>
        </w:rPr>
        <w:fldChar w:fldCharType="separate"/>
      </w:r>
      <w:r>
        <w:rPr>
          <w:rFonts w:hint="eastAsia" w:ascii="黑体" w:hAnsi="黑体" w:eastAsia="黑体" w:cs="黑体"/>
          <w:sz w:val="24"/>
          <w:szCs w:val="24"/>
          <w:highlight w:val="none"/>
        </w:rPr>
        <w:t>5. 磋商</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_Toc29592 \h </w:instrText>
      </w:r>
      <w:r>
        <w:rPr>
          <w:rFonts w:hint="eastAsia" w:ascii="黑体" w:hAnsi="黑体" w:eastAsia="黑体" w:cs="黑体"/>
          <w:sz w:val="24"/>
          <w:szCs w:val="24"/>
        </w:rPr>
        <w:fldChar w:fldCharType="separate"/>
      </w:r>
      <w:r>
        <w:rPr>
          <w:rFonts w:hint="eastAsia" w:ascii="黑体" w:hAnsi="黑体" w:eastAsia="黑体" w:cs="黑体"/>
          <w:sz w:val="24"/>
          <w:szCs w:val="24"/>
        </w:rPr>
        <w:t>6</w:t>
      </w:r>
      <w:r>
        <w:rPr>
          <w:rFonts w:hint="eastAsia" w:ascii="黑体" w:hAnsi="黑体" w:eastAsia="黑体" w:cs="黑体"/>
          <w:sz w:val="24"/>
          <w:szCs w:val="24"/>
        </w:rPr>
        <w:fldChar w:fldCharType="end"/>
      </w:r>
      <w:r>
        <w:rPr>
          <w:rFonts w:hint="eastAsia" w:ascii="黑体" w:hAnsi="黑体" w:eastAsia="黑体" w:cs="黑体"/>
          <w:bCs/>
          <w:color w:val="auto"/>
          <w:sz w:val="24"/>
          <w:szCs w:val="24"/>
          <w:highlight w:val="none"/>
        </w:rPr>
        <w:fldChar w:fldCharType="end"/>
      </w:r>
    </w:p>
    <w:p w14:paraId="2E1BE356">
      <w:pPr>
        <w:pStyle w:val="19"/>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sz w:val="24"/>
          <w:szCs w:val="24"/>
        </w:rPr>
      </w:pPr>
      <w:r>
        <w:rPr>
          <w:rFonts w:hint="eastAsia" w:ascii="黑体" w:hAnsi="黑体" w:eastAsia="黑体" w:cs="黑体"/>
          <w:bCs/>
          <w:color w:val="auto"/>
          <w:sz w:val="24"/>
          <w:szCs w:val="24"/>
          <w:highlight w:val="none"/>
        </w:rPr>
        <w:fldChar w:fldCharType="begin"/>
      </w:r>
      <w:r>
        <w:rPr>
          <w:rFonts w:hint="eastAsia" w:ascii="黑体" w:hAnsi="黑体" w:eastAsia="黑体" w:cs="黑体"/>
          <w:bCs/>
          <w:sz w:val="24"/>
          <w:szCs w:val="24"/>
          <w:highlight w:val="none"/>
        </w:rPr>
        <w:instrText xml:space="preserve"> HYPERLINK \l _Toc16952 </w:instrText>
      </w:r>
      <w:r>
        <w:rPr>
          <w:rFonts w:hint="eastAsia" w:ascii="黑体" w:hAnsi="黑体" w:eastAsia="黑体" w:cs="黑体"/>
          <w:bCs/>
          <w:sz w:val="24"/>
          <w:szCs w:val="24"/>
          <w:highlight w:val="none"/>
        </w:rPr>
        <w:fldChar w:fldCharType="separate"/>
      </w:r>
      <w:r>
        <w:rPr>
          <w:rFonts w:hint="eastAsia" w:ascii="黑体" w:hAnsi="黑体" w:eastAsia="黑体" w:cs="黑体"/>
          <w:bCs/>
          <w:sz w:val="24"/>
          <w:szCs w:val="24"/>
          <w:highlight w:val="none"/>
        </w:rPr>
        <w:t>6.成交和合同</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_Toc16952 \h </w:instrText>
      </w:r>
      <w:r>
        <w:rPr>
          <w:rFonts w:hint="eastAsia" w:ascii="黑体" w:hAnsi="黑体" w:eastAsia="黑体" w:cs="黑体"/>
          <w:sz w:val="24"/>
          <w:szCs w:val="24"/>
        </w:rPr>
        <w:fldChar w:fldCharType="separate"/>
      </w:r>
      <w:r>
        <w:rPr>
          <w:rFonts w:hint="eastAsia" w:ascii="黑体" w:hAnsi="黑体" w:eastAsia="黑体" w:cs="黑体"/>
          <w:sz w:val="24"/>
          <w:szCs w:val="24"/>
        </w:rPr>
        <w:t>9</w:t>
      </w:r>
      <w:r>
        <w:rPr>
          <w:rFonts w:hint="eastAsia" w:ascii="黑体" w:hAnsi="黑体" w:eastAsia="黑体" w:cs="黑体"/>
          <w:sz w:val="24"/>
          <w:szCs w:val="24"/>
        </w:rPr>
        <w:fldChar w:fldCharType="end"/>
      </w:r>
      <w:r>
        <w:rPr>
          <w:rFonts w:hint="eastAsia" w:ascii="黑体" w:hAnsi="黑体" w:eastAsia="黑体" w:cs="黑体"/>
          <w:bCs/>
          <w:color w:val="auto"/>
          <w:sz w:val="24"/>
          <w:szCs w:val="24"/>
          <w:highlight w:val="none"/>
        </w:rPr>
        <w:fldChar w:fldCharType="end"/>
      </w:r>
    </w:p>
    <w:p w14:paraId="7E87E003">
      <w:pPr>
        <w:pStyle w:val="19"/>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sz w:val="24"/>
          <w:szCs w:val="24"/>
        </w:rPr>
      </w:pPr>
      <w:r>
        <w:rPr>
          <w:rFonts w:hint="eastAsia" w:ascii="黑体" w:hAnsi="黑体" w:eastAsia="黑体" w:cs="黑体"/>
          <w:bCs/>
          <w:color w:val="auto"/>
          <w:sz w:val="24"/>
          <w:szCs w:val="24"/>
          <w:highlight w:val="none"/>
        </w:rPr>
        <w:fldChar w:fldCharType="begin"/>
      </w:r>
      <w:r>
        <w:rPr>
          <w:rFonts w:hint="eastAsia" w:ascii="黑体" w:hAnsi="黑体" w:eastAsia="黑体" w:cs="黑体"/>
          <w:bCs/>
          <w:sz w:val="24"/>
          <w:szCs w:val="24"/>
          <w:highlight w:val="none"/>
        </w:rPr>
        <w:instrText xml:space="preserve"> HYPERLINK \l _Toc22335 </w:instrText>
      </w:r>
      <w:r>
        <w:rPr>
          <w:rFonts w:hint="eastAsia" w:ascii="黑体" w:hAnsi="黑体" w:eastAsia="黑体" w:cs="黑体"/>
          <w:bCs/>
          <w:sz w:val="24"/>
          <w:szCs w:val="24"/>
          <w:highlight w:val="none"/>
        </w:rPr>
        <w:fldChar w:fldCharType="separate"/>
      </w:r>
      <w:r>
        <w:rPr>
          <w:rFonts w:hint="eastAsia" w:ascii="黑体" w:hAnsi="黑体" w:eastAsia="黑体" w:cs="黑体"/>
          <w:bCs/>
          <w:sz w:val="24"/>
          <w:szCs w:val="24"/>
          <w:highlight w:val="none"/>
        </w:rPr>
        <w:t>7.政府采购政策功能落实</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_Toc22335 \h </w:instrText>
      </w:r>
      <w:r>
        <w:rPr>
          <w:rFonts w:hint="eastAsia" w:ascii="黑体" w:hAnsi="黑体" w:eastAsia="黑体" w:cs="黑体"/>
          <w:sz w:val="24"/>
          <w:szCs w:val="24"/>
        </w:rPr>
        <w:fldChar w:fldCharType="separate"/>
      </w:r>
      <w:r>
        <w:rPr>
          <w:rFonts w:hint="eastAsia" w:ascii="黑体" w:hAnsi="黑体" w:eastAsia="黑体" w:cs="黑体"/>
          <w:sz w:val="24"/>
          <w:szCs w:val="24"/>
        </w:rPr>
        <w:t>10</w:t>
      </w:r>
      <w:r>
        <w:rPr>
          <w:rFonts w:hint="eastAsia" w:ascii="黑体" w:hAnsi="黑体" w:eastAsia="黑体" w:cs="黑体"/>
          <w:sz w:val="24"/>
          <w:szCs w:val="24"/>
        </w:rPr>
        <w:fldChar w:fldCharType="end"/>
      </w:r>
      <w:r>
        <w:rPr>
          <w:rFonts w:hint="eastAsia" w:ascii="黑体" w:hAnsi="黑体" w:eastAsia="黑体" w:cs="黑体"/>
          <w:bCs/>
          <w:color w:val="auto"/>
          <w:sz w:val="24"/>
          <w:szCs w:val="24"/>
          <w:highlight w:val="none"/>
        </w:rPr>
        <w:fldChar w:fldCharType="end"/>
      </w:r>
    </w:p>
    <w:p w14:paraId="545A21C1">
      <w:pPr>
        <w:pStyle w:val="19"/>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sz w:val="24"/>
          <w:szCs w:val="24"/>
        </w:rPr>
      </w:pPr>
      <w:r>
        <w:rPr>
          <w:rFonts w:hint="eastAsia" w:ascii="黑体" w:hAnsi="黑体" w:eastAsia="黑体" w:cs="黑体"/>
          <w:bCs/>
          <w:color w:val="auto"/>
          <w:sz w:val="24"/>
          <w:szCs w:val="24"/>
          <w:highlight w:val="none"/>
        </w:rPr>
        <w:fldChar w:fldCharType="begin"/>
      </w:r>
      <w:r>
        <w:rPr>
          <w:rFonts w:hint="eastAsia" w:ascii="黑体" w:hAnsi="黑体" w:eastAsia="黑体" w:cs="黑体"/>
          <w:bCs/>
          <w:sz w:val="24"/>
          <w:szCs w:val="24"/>
          <w:highlight w:val="none"/>
        </w:rPr>
        <w:instrText xml:space="preserve"> HYPERLINK \l _Toc10282 </w:instrText>
      </w:r>
      <w:r>
        <w:rPr>
          <w:rFonts w:hint="eastAsia" w:ascii="黑体" w:hAnsi="黑体" w:eastAsia="黑体" w:cs="黑体"/>
          <w:bCs/>
          <w:sz w:val="24"/>
          <w:szCs w:val="24"/>
          <w:highlight w:val="none"/>
        </w:rPr>
        <w:fldChar w:fldCharType="separate"/>
      </w:r>
      <w:r>
        <w:rPr>
          <w:rFonts w:hint="eastAsia" w:ascii="黑体" w:hAnsi="黑体" w:eastAsia="黑体" w:cs="黑体"/>
          <w:bCs/>
          <w:sz w:val="24"/>
          <w:szCs w:val="24"/>
          <w:highlight w:val="none"/>
        </w:rPr>
        <w:t>8.无效响应和磋商活动终止</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_Toc10282 \h </w:instrText>
      </w:r>
      <w:r>
        <w:rPr>
          <w:rFonts w:hint="eastAsia" w:ascii="黑体" w:hAnsi="黑体" w:eastAsia="黑体" w:cs="黑体"/>
          <w:sz w:val="24"/>
          <w:szCs w:val="24"/>
        </w:rPr>
        <w:fldChar w:fldCharType="separate"/>
      </w:r>
      <w:r>
        <w:rPr>
          <w:rFonts w:hint="eastAsia" w:ascii="黑体" w:hAnsi="黑体" w:eastAsia="黑体" w:cs="黑体"/>
          <w:sz w:val="24"/>
          <w:szCs w:val="24"/>
        </w:rPr>
        <w:t>18</w:t>
      </w:r>
      <w:r>
        <w:rPr>
          <w:rFonts w:hint="eastAsia" w:ascii="黑体" w:hAnsi="黑体" w:eastAsia="黑体" w:cs="黑体"/>
          <w:sz w:val="24"/>
          <w:szCs w:val="24"/>
        </w:rPr>
        <w:fldChar w:fldCharType="end"/>
      </w:r>
      <w:r>
        <w:rPr>
          <w:rFonts w:hint="eastAsia" w:ascii="黑体" w:hAnsi="黑体" w:eastAsia="黑体" w:cs="黑体"/>
          <w:bCs/>
          <w:color w:val="auto"/>
          <w:sz w:val="24"/>
          <w:szCs w:val="24"/>
          <w:highlight w:val="none"/>
        </w:rPr>
        <w:fldChar w:fldCharType="end"/>
      </w:r>
    </w:p>
    <w:p w14:paraId="67B1BA1F">
      <w:pPr>
        <w:pStyle w:val="19"/>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sz w:val="24"/>
          <w:szCs w:val="24"/>
        </w:rPr>
      </w:pPr>
      <w:r>
        <w:rPr>
          <w:rFonts w:hint="eastAsia" w:ascii="黑体" w:hAnsi="黑体" w:eastAsia="黑体" w:cs="黑体"/>
          <w:bCs/>
          <w:color w:val="auto"/>
          <w:sz w:val="24"/>
          <w:szCs w:val="24"/>
          <w:highlight w:val="none"/>
        </w:rPr>
        <w:fldChar w:fldCharType="begin"/>
      </w:r>
      <w:r>
        <w:rPr>
          <w:rFonts w:hint="eastAsia" w:ascii="黑体" w:hAnsi="黑体" w:eastAsia="黑体" w:cs="黑体"/>
          <w:bCs/>
          <w:sz w:val="24"/>
          <w:szCs w:val="24"/>
          <w:highlight w:val="none"/>
        </w:rPr>
        <w:instrText xml:space="preserve"> HYPERLINK \l _Toc3412 </w:instrText>
      </w:r>
      <w:r>
        <w:rPr>
          <w:rFonts w:hint="eastAsia" w:ascii="黑体" w:hAnsi="黑体" w:eastAsia="黑体" w:cs="黑体"/>
          <w:bCs/>
          <w:sz w:val="24"/>
          <w:szCs w:val="24"/>
          <w:highlight w:val="none"/>
        </w:rPr>
        <w:fldChar w:fldCharType="separate"/>
      </w:r>
      <w:r>
        <w:rPr>
          <w:rFonts w:hint="eastAsia" w:ascii="黑体" w:hAnsi="黑体" w:eastAsia="黑体" w:cs="黑体"/>
          <w:sz w:val="24"/>
          <w:szCs w:val="24"/>
          <w:highlight w:val="none"/>
        </w:rPr>
        <w:t>9. 询问、质疑和投诉</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_Toc3412 \h </w:instrText>
      </w:r>
      <w:r>
        <w:rPr>
          <w:rFonts w:hint="eastAsia" w:ascii="黑体" w:hAnsi="黑体" w:eastAsia="黑体" w:cs="黑体"/>
          <w:sz w:val="24"/>
          <w:szCs w:val="24"/>
        </w:rPr>
        <w:fldChar w:fldCharType="separate"/>
      </w:r>
      <w:r>
        <w:rPr>
          <w:rFonts w:hint="eastAsia" w:ascii="黑体" w:hAnsi="黑体" w:eastAsia="黑体" w:cs="黑体"/>
          <w:sz w:val="24"/>
          <w:szCs w:val="24"/>
        </w:rPr>
        <w:t>19</w:t>
      </w:r>
      <w:r>
        <w:rPr>
          <w:rFonts w:hint="eastAsia" w:ascii="黑体" w:hAnsi="黑体" w:eastAsia="黑体" w:cs="黑体"/>
          <w:sz w:val="24"/>
          <w:szCs w:val="24"/>
        </w:rPr>
        <w:fldChar w:fldCharType="end"/>
      </w:r>
      <w:r>
        <w:rPr>
          <w:rFonts w:hint="eastAsia" w:ascii="黑体" w:hAnsi="黑体" w:eastAsia="黑体" w:cs="黑体"/>
          <w:bCs/>
          <w:color w:val="auto"/>
          <w:sz w:val="24"/>
          <w:szCs w:val="24"/>
          <w:highlight w:val="none"/>
        </w:rPr>
        <w:fldChar w:fldCharType="end"/>
      </w:r>
    </w:p>
    <w:p w14:paraId="74286D6B">
      <w:pPr>
        <w:pStyle w:val="19"/>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sz w:val="24"/>
          <w:szCs w:val="24"/>
        </w:rPr>
      </w:pPr>
      <w:r>
        <w:rPr>
          <w:rFonts w:hint="eastAsia" w:ascii="黑体" w:hAnsi="黑体" w:eastAsia="黑体" w:cs="黑体"/>
          <w:bCs/>
          <w:color w:val="auto"/>
          <w:sz w:val="24"/>
          <w:szCs w:val="24"/>
          <w:highlight w:val="none"/>
        </w:rPr>
        <w:fldChar w:fldCharType="begin"/>
      </w:r>
      <w:r>
        <w:rPr>
          <w:rFonts w:hint="eastAsia" w:ascii="黑体" w:hAnsi="黑体" w:eastAsia="黑体" w:cs="黑体"/>
          <w:bCs/>
          <w:sz w:val="24"/>
          <w:szCs w:val="24"/>
          <w:highlight w:val="none"/>
        </w:rPr>
        <w:instrText xml:space="preserve"> HYPERLINK \l _Toc32322 </w:instrText>
      </w:r>
      <w:r>
        <w:rPr>
          <w:rFonts w:hint="eastAsia" w:ascii="黑体" w:hAnsi="黑体" w:eastAsia="黑体" w:cs="黑体"/>
          <w:bCs/>
          <w:sz w:val="24"/>
          <w:szCs w:val="24"/>
          <w:highlight w:val="none"/>
        </w:rPr>
        <w:fldChar w:fldCharType="separate"/>
      </w:r>
      <w:r>
        <w:rPr>
          <w:rFonts w:hint="eastAsia" w:ascii="黑体" w:hAnsi="黑体" w:eastAsia="黑体" w:cs="黑体"/>
          <w:sz w:val="24"/>
          <w:szCs w:val="24"/>
          <w:highlight w:val="none"/>
        </w:rPr>
        <w:t>10. 政府采购合同信用融资扶持政策</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_Toc32322 \h </w:instrText>
      </w:r>
      <w:r>
        <w:rPr>
          <w:rFonts w:hint="eastAsia" w:ascii="黑体" w:hAnsi="黑体" w:eastAsia="黑体" w:cs="黑体"/>
          <w:sz w:val="24"/>
          <w:szCs w:val="24"/>
        </w:rPr>
        <w:fldChar w:fldCharType="separate"/>
      </w:r>
      <w:r>
        <w:rPr>
          <w:rFonts w:hint="eastAsia" w:ascii="黑体" w:hAnsi="黑体" w:eastAsia="黑体" w:cs="黑体"/>
          <w:sz w:val="24"/>
          <w:szCs w:val="24"/>
        </w:rPr>
        <w:t>23</w:t>
      </w:r>
      <w:r>
        <w:rPr>
          <w:rFonts w:hint="eastAsia" w:ascii="黑体" w:hAnsi="黑体" w:eastAsia="黑体" w:cs="黑体"/>
          <w:sz w:val="24"/>
          <w:szCs w:val="24"/>
        </w:rPr>
        <w:fldChar w:fldCharType="end"/>
      </w:r>
      <w:r>
        <w:rPr>
          <w:rFonts w:hint="eastAsia" w:ascii="黑体" w:hAnsi="黑体" w:eastAsia="黑体" w:cs="黑体"/>
          <w:bCs/>
          <w:color w:val="auto"/>
          <w:sz w:val="24"/>
          <w:szCs w:val="24"/>
          <w:highlight w:val="none"/>
        </w:rPr>
        <w:fldChar w:fldCharType="end"/>
      </w:r>
    </w:p>
    <w:p w14:paraId="06967246">
      <w:pPr>
        <w:pStyle w:val="19"/>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sz w:val="24"/>
          <w:szCs w:val="24"/>
        </w:rPr>
      </w:pPr>
      <w:r>
        <w:rPr>
          <w:rFonts w:hint="eastAsia" w:ascii="黑体" w:hAnsi="黑体" w:eastAsia="黑体" w:cs="黑体"/>
          <w:bCs/>
          <w:color w:val="auto"/>
          <w:sz w:val="24"/>
          <w:szCs w:val="24"/>
          <w:highlight w:val="none"/>
        </w:rPr>
        <w:fldChar w:fldCharType="begin"/>
      </w:r>
      <w:r>
        <w:rPr>
          <w:rFonts w:hint="eastAsia" w:ascii="黑体" w:hAnsi="黑体" w:eastAsia="黑体" w:cs="黑体"/>
          <w:bCs/>
          <w:sz w:val="24"/>
          <w:szCs w:val="24"/>
          <w:highlight w:val="none"/>
        </w:rPr>
        <w:instrText xml:space="preserve"> HYPERLINK \l _Toc4518 </w:instrText>
      </w:r>
      <w:r>
        <w:rPr>
          <w:rFonts w:hint="eastAsia" w:ascii="黑体" w:hAnsi="黑体" w:eastAsia="黑体" w:cs="黑体"/>
          <w:bCs/>
          <w:sz w:val="24"/>
          <w:szCs w:val="24"/>
          <w:highlight w:val="none"/>
        </w:rPr>
        <w:fldChar w:fldCharType="separate"/>
      </w:r>
      <w:r>
        <w:rPr>
          <w:rFonts w:hint="eastAsia" w:ascii="黑体" w:hAnsi="黑体" w:eastAsia="黑体" w:cs="黑体"/>
          <w:sz w:val="24"/>
          <w:szCs w:val="24"/>
          <w:highlight w:val="none"/>
        </w:rPr>
        <w:t>11. 采购代理服务费</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_Toc4518 \h </w:instrText>
      </w:r>
      <w:r>
        <w:rPr>
          <w:rFonts w:hint="eastAsia" w:ascii="黑体" w:hAnsi="黑体" w:eastAsia="黑体" w:cs="黑体"/>
          <w:sz w:val="24"/>
          <w:szCs w:val="24"/>
        </w:rPr>
        <w:fldChar w:fldCharType="separate"/>
      </w:r>
      <w:r>
        <w:rPr>
          <w:rFonts w:hint="eastAsia" w:ascii="黑体" w:hAnsi="黑体" w:eastAsia="黑体" w:cs="黑体"/>
          <w:sz w:val="24"/>
          <w:szCs w:val="24"/>
        </w:rPr>
        <w:t>24</w:t>
      </w:r>
      <w:r>
        <w:rPr>
          <w:rFonts w:hint="eastAsia" w:ascii="黑体" w:hAnsi="黑体" w:eastAsia="黑体" w:cs="黑体"/>
          <w:sz w:val="24"/>
          <w:szCs w:val="24"/>
        </w:rPr>
        <w:fldChar w:fldCharType="end"/>
      </w:r>
      <w:r>
        <w:rPr>
          <w:rFonts w:hint="eastAsia" w:ascii="黑体" w:hAnsi="黑体" w:eastAsia="黑体" w:cs="黑体"/>
          <w:bCs/>
          <w:color w:val="auto"/>
          <w:sz w:val="24"/>
          <w:szCs w:val="24"/>
          <w:highlight w:val="none"/>
        </w:rPr>
        <w:fldChar w:fldCharType="end"/>
      </w:r>
    </w:p>
    <w:p w14:paraId="051FBB00">
      <w:pPr>
        <w:pStyle w:val="16"/>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sz w:val="24"/>
          <w:szCs w:val="24"/>
        </w:rPr>
      </w:pPr>
      <w:r>
        <w:rPr>
          <w:rFonts w:hint="eastAsia" w:ascii="黑体" w:hAnsi="黑体" w:eastAsia="黑体" w:cs="黑体"/>
          <w:bCs/>
          <w:color w:val="auto"/>
          <w:sz w:val="24"/>
          <w:szCs w:val="24"/>
          <w:highlight w:val="none"/>
        </w:rPr>
        <w:fldChar w:fldCharType="begin"/>
      </w:r>
      <w:r>
        <w:rPr>
          <w:rFonts w:hint="eastAsia" w:ascii="黑体" w:hAnsi="黑体" w:eastAsia="黑体" w:cs="黑体"/>
          <w:bCs/>
          <w:sz w:val="24"/>
          <w:szCs w:val="24"/>
          <w:highlight w:val="none"/>
        </w:rPr>
        <w:instrText xml:space="preserve"> HYPERLINK \l _Toc3744 </w:instrText>
      </w:r>
      <w:r>
        <w:rPr>
          <w:rFonts w:hint="eastAsia" w:ascii="黑体" w:hAnsi="黑体" w:eastAsia="黑体" w:cs="黑体"/>
          <w:bCs/>
          <w:sz w:val="24"/>
          <w:szCs w:val="24"/>
          <w:highlight w:val="none"/>
        </w:rPr>
        <w:fldChar w:fldCharType="separate"/>
      </w:r>
      <w:r>
        <w:rPr>
          <w:rFonts w:hint="eastAsia" w:ascii="黑体" w:hAnsi="黑体" w:eastAsia="黑体" w:cs="黑体"/>
          <w:bCs/>
          <w:sz w:val="24"/>
          <w:szCs w:val="24"/>
          <w:highlight w:val="none"/>
        </w:rPr>
        <w:t>第3章 采购需求</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_Toc3744 \h </w:instrText>
      </w:r>
      <w:r>
        <w:rPr>
          <w:rFonts w:hint="eastAsia" w:ascii="黑体" w:hAnsi="黑体" w:eastAsia="黑体" w:cs="黑体"/>
          <w:sz w:val="24"/>
          <w:szCs w:val="24"/>
        </w:rPr>
        <w:fldChar w:fldCharType="separate"/>
      </w:r>
      <w:r>
        <w:rPr>
          <w:rFonts w:hint="eastAsia" w:ascii="黑体" w:hAnsi="黑体" w:eastAsia="黑体" w:cs="黑体"/>
          <w:sz w:val="24"/>
          <w:szCs w:val="24"/>
        </w:rPr>
        <w:t>25</w:t>
      </w:r>
      <w:r>
        <w:rPr>
          <w:rFonts w:hint="eastAsia" w:ascii="黑体" w:hAnsi="黑体" w:eastAsia="黑体" w:cs="黑体"/>
          <w:sz w:val="24"/>
          <w:szCs w:val="24"/>
        </w:rPr>
        <w:fldChar w:fldCharType="end"/>
      </w:r>
      <w:r>
        <w:rPr>
          <w:rFonts w:hint="eastAsia" w:ascii="黑体" w:hAnsi="黑体" w:eastAsia="黑体" w:cs="黑体"/>
          <w:bCs/>
          <w:color w:val="auto"/>
          <w:sz w:val="24"/>
          <w:szCs w:val="24"/>
          <w:highlight w:val="none"/>
        </w:rPr>
        <w:fldChar w:fldCharType="end"/>
      </w:r>
    </w:p>
    <w:p w14:paraId="3BCFA436">
      <w:pPr>
        <w:pStyle w:val="19"/>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sz w:val="24"/>
          <w:szCs w:val="24"/>
        </w:rPr>
      </w:pPr>
      <w:r>
        <w:rPr>
          <w:rFonts w:hint="eastAsia" w:ascii="黑体" w:hAnsi="黑体" w:eastAsia="黑体" w:cs="黑体"/>
          <w:bCs/>
          <w:color w:val="auto"/>
          <w:sz w:val="24"/>
          <w:szCs w:val="24"/>
          <w:highlight w:val="none"/>
        </w:rPr>
        <w:fldChar w:fldCharType="begin"/>
      </w:r>
      <w:r>
        <w:rPr>
          <w:rFonts w:hint="eastAsia" w:ascii="黑体" w:hAnsi="黑体" w:eastAsia="黑体" w:cs="黑体"/>
          <w:bCs/>
          <w:sz w:val="24"/>
          <w:szCs w:val="24"/>
          <w:highlight w:val="none"/>
        </w:rPr>
        <w:instrText xml:space="preserve"> HYPERLINK \l _Toc30004 </w:instrText>
      </w:r>
      <w:r>
        <w:rPr>
          <w:rFonts w:hint="eastAsia" w:ascii="黑体" w:hAnsi="黑体" w:eastAsia="黑体" w:cs="黑体"/>
          <w:bCs/>
          <w:sz w:val="24"/>
          <w:szCs w:val="24"/>
          <w:highlight w:val="none"/>
        </w:rPr>
        <w:fldChar w:fldCharType="separate"/>
      </w:r>
      <w:r>
        <w:rPr>
          <w:rFonts w:hint="eastAsia" w:ascii="黑体" w:hAnsi="黑体" w:eastAsia="黑体" w:cs="黑体"/>
          <w:sz w:val="24"/>
          <w:szCs w:val="24"/>
        </w:rPr>
        <w:t xml:space="preserve">一、 </w:t>
      </w:r>
      <w:r>
        <w:rPr>
          <w:rFonts w:hint="eastAsia" w:ascii="黑体" w:hAnsi="黑体" w:eastAsia="黑体" w:cs="黑体"/>
          <w:sz w:val="24"/>
          <w:szCs w:val="24"/>
          <w:highlight w:val="none"/>
        </w:rPr>
        <w:t>项目简介</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_Toc30004 \h </w:instrText>
      </w:r>
      <w:r>
        <w:rPr>
          <w:rFonts w:hint="eastAsia" w:ascii="黑体" w:hAnsi="黑体" w:eastAsia="黑体" w:cs="黑体"/>
          <w:sz w:val="24"/>
          <w:szCs w:val="24"/>
        </w:rPr>
        <w:fldChar w:fldCharType="separate"/>
      </w:r>
      <w:r>
        <w:rPr>
          <w:rFonts w:hint="eastAsia" w:ascii="黑体" w:hAnsi="黑体" w:eastAsia="黑体" w:cs="黑体"/>
          <w:sz w:val="24"/>
          <w:szCs w:val="24"/>
        </w:rPr>
        <w:t>25</w:t>
      </w:r>
      <w:r>
        <w:rPr>
          <w:rFonts w:hint="eastAsia" w:ascii="黑体" w:hAnsi="黑体" w:eastAsia="黑体" w:cs="黑体"/>
          <w:sz w:val="24"/>
          <w:szCs w:val="24"/>
        </w:rPr>
        <w:fldChar w:fldCharType="end"/>
      </w:r>
      <w:r>
        <w:rPr>
          <w:rFonts w:hint="eastAsia" w:ascii="黑体" w:hAnsi="黑体" w:eastAsia="黑体" w:cs="黑体"/>
          <w:bCs/>
          <w:color w:val="auto"/>
          <w:sz w:val="24"/>
          <w:szCs w:val="24"/>
          <w:highlight w:val="none"/>
        </w:rPr>
        <w:fldChar w:fldCharType="end"/>
      </w:r>
    </w:p>
    <w:p w14:paraId="05C0E472">
      <w:pPr>
        <w:pStyle w:val="19"/>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sz w:val="24"/>
          <w:szCs w:val="24"/>
        </w:rPr>
      </w:pPr>
      <w:r>
        <w:rPr>
          <w:rFonts w:hint="eastAsia" w:ascii="黑体" w:hAnsi="黑体" w:eastAsia="黑体" w:cs="黑体"/>
          <w:bCs/>
          <w:color w:val="auto"/>
          <w:sz w:val="24"/>
          <w:szCs w:val="24"/>
          <w:highlight w:val="none"/>
        </w:rPr>
        <w:fldChar w:fldCharType="begin"/>
      </w:r>
      <w:r>
        <w:rPr>
          <w:rFonts w:hint="eastAsia" w:ascii="黑体" w:hAnsi="黑体" w:eastAsia="黑体" w:cs="黑体"/>
          <w:bCs/>
          <w:sz w:val="24"/>
          <w:szCs w:val="24"/>
          <w:highlight w:val="none"/>
        </w:rPr>
        <w:instrText xml:space="preserve"> HYPERLINK \l _Toc24604 </w:instrText>
      </w:r>
      <w:r>
        <w:rPr>
          <w:rFonts w:hint="eastAsia" w:ascii="黑体" w:hAnsi="黑体" w:eastAsia="黑体" w:cs="黑体"/>
          <w:bCs/>
          <w:sz w:val="24"/>
          <w:szCs w:val="24"/>
          <w:highlight w:val="none"/>
        </w:rPr>
        <w:fldChar w:fldCharType="separate"/>
      </w:r>
      <w:r>
        <w:rPr>
          <w:rFonts w:hint="eastAsia" w:ascii="黑体" w:hAnsi="黑体" w:eastAsia="黑体" w:cs="黑体"/>
          <w:sz w:val="24"/>
          <w:szCs w:val="24"/>
          <w:highlight w:val="none"/>
        </w:rPr>
        <w:t>二、采购内容</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_Toc24604 \h </w:instrText>
      </w:r>
      <w:r>
        <w:rPr>
          <w:rFonts w:hint="eastAsia" w:ascii="黑体" w:hAnsi="黑体" w:eastAsia="黑体" w:cs="黑体"/>
          <w:sz w:val="24"/>
          <w:szCs w:val="24"/>
        </w:rPr>
        <w:fldChar w:fldCharType="separate"/>
      </w:r>
      <w:r>
        <w:rPr>
          <w:rFonts w:hint="eastAsia" w:ascii="黑体" w:hAnsi="黑体" w:eastAsia="黑体" w:cs="黑体"/>
          <w:sz w:val="24"/>
          <w:szCs w:val="24"/>
        </w:rPr>
        <w:t>25</w:t>
      </w:r>
      <w:r>
        <w:rPr>
          <w:rFonts w:hint="eastAsia" w:ascii="黑体" w:hAnsi="黑体" w:eastAsia="黑体" w:cs="黑体"/>
          <w:sz w:val="24"/>
          <w:szCs w:val="24"/>
        </w:rPr>
        <w:fldChar w:fldCharType="end"/>
      </w:r>
      <w:r>
        <w:rPr>
          <w:rFonts w:hint="eastAsia" w:ascii="黑体" w:hAnsi="黑体" w:eastAsia="黑体" w:cs="黑体"/>
          <w:bCs/>
          <w:color w:val="auto"/>
          <w:sz w:val="24"/>
          <w:szCs w:val="24"/>
          <w:highlight w:val="none"/>
        </w:rPr>
        <w:fldChar w:fldCharType="end"/>
      </w:r>
    </w:p>
    <w:p w14:paraId="2FC6E02D">
      <w:pPr>
        <w:pStyle w:val="19"/>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sz w:val="24"/>
          <w:szCs w:val="24"/>
        </w:rPr>
      </w:pPr>
      <w:r>
        <w:rPr>
          <w:rFonts w:hint="eastAsia" w:ascii="黑体" w:hAnsi="黑体" w:eastAsia="黑体" w:cs="黑体"/>
          <w:bCs/>
          <w:color w:val="auto"/>
          <w:sz w:val="24"/>
          <w:szCs w:val="24"/>
          <w:highlight w:val="none"/>
        </w:rPr>
        <w:fldChar w:fldCharType="begin"/>
      </w:r>
      <w:r>
        <w:rPr>
          <w:rFonts w:hint="eastAsia" w:ascii="黑体" w:hAnsi="黑体" w:eastAsia="黑体" w:cs="黑体"/>
          <w:bCs/>
          <w:sz w:val="24"/>
          <w:szCs w:val="24"/>
          <w:highlight w:val="none"/>
        </w:rPr>
        <w:instrText xml:space="preserve"> HYPERLINK \l _Toc24043 </w:instrText>
      </w:r>
      <w:r>
        <w:rPr>
          <w:rFonts w:hint="eastAsia" w:ascii="黑体" w:hAnsi="黑体" w:eastAsia="黑体" w:cs="黑体"/>
          <w:bCs/>
          <w:sz w:val="24"/>
          <w:szCs w:val="24"/>
          <w:highlight w:val="none"/>
        </w:rPr>
        <w:fldChar w:fldCharType="separate"/>
      </w:r>
      <w:r>
        <w:rPr>
          <w:rFonts w:hint="eastAsia" w:ascii="黑体" w:hAnsi="黑体" w:eastAsia="黑体" w:cs="黑体"/>
          <w:sz w:val="24"/>
          <w:szCs w:val="24"/>
          <w:highlight w:val="none"/>
        </w:rPr>
        <w:t>三、基本服务要求</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_Toc24043 \h </w:instrText>
      </w:r>
      <w:r>
        <w:rPr>
          <w:rFonts w:hint="eastAsia" w:ascii="黑体" w:hAnsi="黑体" w:eastAsia="黑体" w:cs="黑体"/>
          <w:sz w:val="24"/>
          <w:szCs w:val="24"/>
        </w:rPr>
        <w:fldChar w:fldCharType="separate"/>
      </w:r>
      <w:r>
        <w:rPr>
          <w:rFonts w:hint="eastAsia" w:ascii="黑体" w:hAnsi="黑体" w:eastAsia="黑体" w:cs="黑体"/>
          <w:sz w:val="24"/>
          <w:szCs w:val="24"/>
        </w:rPr>
        <w:t>28</w:t>
      </w:r>
      <w:r>
        <w:rPr>
          <w:rFonts w:hint="eastAsia" w:ascii="黑体" w:hAnsi="黑体" w:eastAsia="黑体" w:cs="黑体"/>
          <w:sz w:val="24"/>
          <w:szCs w:val="24"/>
        </w:rPr>
        <w:fldChar w:fldCharType="end"/>
      </w:r>
      <w:r>
        <w:rPr>
          <w:rFonts w:hint="eastAsia" w:ascii="黑体" w:hAnsi="黑体" w:eastAsia="黑体" w:cs="黑体"/>
          <w:bCs/>
          <w:color w:val="auto"/>
          <w:sz w:val="24"/>
          <w:szCs w:val="24"/>
          <w:highlight w:val="none"/>
        </w:rPr>
        <w:fldChar w:fldCharType="end"/>
      </w:r>
    </w:p>
    <w:p w14:paraId="6A06D0F6">
      <w:pPr>
        <w:pStyle w:val="19"/>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sz w:val="24"/>
          <w:szCs w:val="24"/>
        </w:rPr>
      </w:pPr>
      <w:r>
        <w:rPr>
          <w:rFonts w:hint="eastAsia" w:ascii="黑体" w:hAnsi="黑体" w:eastAsia="黑体" w:cs="黑体"/>
          <w:bCs/>
          <w:color w:val="auto"/>
          <w:sz w:val="24"/>
          <w:szCs w:val="24"/>
          <w:highlight w:val="none"/>
        </w:rPr>
        <w:fldChar w:fldCharType="begin"/>
      </w:r>
      <w:r>
        <w:rPr>
          <w:rFonts w:hint="eastAsia" w:ascii="黑体" w:hAnsi="黑体" w:eastAsia="黑体" w:cs="黑体"/>
          <w:bCs/>
          <w:sz w:val="24"/>
          <w:szCs w:val="24"/>
          <w:highlight w:val="none"/>
        </w:rPr>
        <w:instrText xml:space="preserve"> HYPERLINK \l _Toc6560 </w:instrText>
      </w:r>
      <w:r>
        <w:rPr>
          <w:rFonts w:hint="eastAsia" w:ascii="黑体" w:hAnsi="黑体" w:eastAsia="黑体" w:cs="黑体"/>
          <w:bCs/>
          <w:sz w:val="24"/>
          <w:szCs w:val="24"/>
          <w:highlight w:val="none"/>
        </w:rPr>
        <w:fldChar w:fldCharType="separate"/>
      </w:r>
      <w:r>
        <w:rPr>
          <w:rFonts w:hint="eastAsia" w:ascii="黑体" w:hAnsi="黑体" w:eastAsia="黑体" w:cs="黑体"/>
          <w:sz w:val="24"/>
          <w:szCs w:val="24"/>
          <w:highlight w:val="none"/>
        </w:rPr>
        <w:t>四、服务标准</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_Toc6560 \h </w:instrText>
      </w:r>
      <w:r>
        <w:rPr>
          <w:rFonts w:hint="eastAsia" w:ascii="黑体" w:hAnsi="黑体" w:eastAsia="黑体" w:cs="黑体"/>
          <w:sz w:val="24"/>
          <w:szCs w:val="24"/>
        </w:rPr>
        <w:fldChar w:fldCharType="separate"/>
      </w:r>
      <w:r>
        <w:rPr>
          <w:rFonts w:hint="eastAsia" w:ascii="黑体" w:hAnsi="黑体" w:eastAsia="黑体" w:cs="黑体"/>
          <w:sz w:val="24"/>
          <w:szCs w:val="24"/>
        </w:rPr>
        <w:t>29</w:t>
      </w:r>
      <w:r>
        <w:rPr>
          <w:rFonts w:hint="eastAsia" w:ascii="黑体" w:hAnsi="黑体" w:eastAsia="黑体" w:cs="黑体"/>
          <w:sz w:val="24"/>
          <w:szCs w:val="24"/>
        </w:rPr>
        <w:fldChar w:fldCharType="end"/>
      </w:r>
      <w:r>
        <w:rPr>
          <w:rFonts w:hint="eastAsia" w:ascii="黑体" w:hAnsi="黑体" w:eastAsia="黑体" w:cs="黑体"/>
          <w:bCs/>
          <w:color w:val="auto"/>
          <w:sz w:val="24"/>
          <w:szCs w:val="24"/>
          <w:highlight w:val="none"/>
        </w:rPr>
        <w:fldChar w:fldCharType="end"/>
      </w:r>
    </w:p>
    <w:p w14:paraId="0A90A744">
      <w:pPr>
        <w:pStyle w:val="19"/>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sz w:val="24"/>
          <w:szCs w:val="24"/>
        </w:rPr>
      </w:pPr>
      <w:r>
        <w:rPr>
          <w:rFonts w:hint="eastAsia" w:ascii="黑体" w:hAnsi="黑体" w:eastAsia="黑体" w:cs="黑体"/>
          <w:bCs/>
          <w:color w:val="auto"/>
          <w:sz w:val="24"/>
          <w:szCs w:val="24"/>
          <w:highlight w:val="none"/>
        </w:rPr>
        <w:fldChar w:fldCharType="begin"/>
      </w:r>
      <w:r>
        <w:rPr>
          <w:rFonts w:hint="eastAsia" w:ascii="黑体" w:hAnsi="黑体" w:eastAsia="黑体" w:cs="黑体"/>
          <w:bCs/>
          <w:sz w:val="24"/>
          <w:szCs w:val="24"/>
          <w:highlight w:val="none"/>
        </w:rPr>
        <w:instrText xml:space="preserve"> HYPERLINK \l _Toc13575 </w:instrText>
      </w:r>
      <w:r>
        <w:rPr>
          <w:rFonts w:hint="eastAsia" w:ascii="黑体" w:hAnsi="黑体" w:eastAsia="黑体" w:cs="黑体"/>
          <w:bCs/>
          <w:sz w:val="24"/>
          <w:szCs w:val="24"/>
          <w:highlight w:val="none"/>
        </w:rPr>
        <w:fldChar w:fldCharType="separate"/>
      </w:r>
      <w:r>
        <w:rPr>
          <w:rFonts w:hint="eastAsia" w:ascii="黑体" w:hAnsi="黑体" w:eastAsia="黑体" w:cs="黑体"/>
          <w:sz w:val="24"/>
          <w:szCs w:val="24"/>
          <w:highlight w:val="none"/>
        </w:rPr>
        <w:t>五、服务期限和地点</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_Toc13575 \h </w:instrText>
      </w:r>
      <w:r>
        <w:rPr>
          <w:rFonts w:hint="eastAsia" w:ascii="黑体" w:hAnsi="黑体" w:eastAsia="黑体" w:cs="黑体"/>
          <w:sz w:val="24"/>
          <w:szCs w:val="24"/>
        </w:rPr>
        <w:fldChar w:fldCharType="separate"/>
      </w:r>
      <w:r>
        <w:rPr>
          <w:rFonts w:hint="eastAsia" w:ascii="黑体" w:hAnsi="黑体" w:eastAsia="黑体" w:cs="黑体"/>
          <w:sz w:val="24"/>
          <w:szCs w:val="24"/>
        </w:rPr>
        <w:t>30</w:t>
      </w:r>
      <w:r>
        <w:rPr>
          <w:rFonts w:hint="eastAsia" w:ascii="黑体" w:hAnsi="黑体" w:eastAsia="黑体" w:cs="黑体"/>
          <w:sz w:val="24"/>
          <w:szCs w:val="24"/>
        </w:rPr>
        <w:fldChar w:fldCharType="end"/>
      </w:r>
      <w:r>
        <w:rPr>
          <w:rFonts w:hint="eastAsia" w:ascii="黑体" w:hAnsi="黑体" w:eastAsia="黑体" w:cs="黑体"/>
          <w:bCs/>
          <w:color w:val="auto"/>
          <w:sz w:val="24"/>
          <w:szCs w:val="24"/>
          <w:highlight w:val="none"/>
        </w:rPr>
        <w:fldChar w:fldCharType="end"/>
      </w:r>
    </w:p>
    <w:p w14:paraId="6779B011">
      <w:pPr>
        <w:pStyle w:val="19"/>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sz w:val="24"/>
          <w:szCs w:val="24"/>
        </w:rPr>
      </w:pPr>
      <w:r>
        <w:rPr>
          <w:rFonts w:hint="eastAsia" w:ascii="黑体" w:hAnsi="黑体" w:eastAsia="黑体" w:cs="黑体"/>
          <w:bCs/>
          <w:color w:val="auto"/>
          <w:sz w:val="24"/>
          <w:szCs w:val="24"/>
          <w:highlight w:val="none"/>
        </w:rPr>
        <w:fldChar w:fldCharType="begin"/>
      </w:r>
      <w:r>
        <w:rPr>
          <w:rFonts w:hint="eastAsia" w:ascii="黑体" w:hAnsi="黑体" w:eastAsia="黑体" w:cs="黑体"/>
          <w:bCs/>
          <w:sz w:val="24"/>
          <w:szCs w:val="24"/>
          <w:highlight w:val="none"/>
        </w:rPr>
        <w:instrText xml:space="preserve"> HYPERLINK \l _Toc28010 </w:instrText>
      </w:r>
      <w:r>
        <w:rPr>
          <w:rFonts w:hint="eastAsia" w:ascii="黑体" w:hAnsi="黑体" w:eastAsia="黑体" w:cs="黑体"/>
          <w:bCs/>
          <w:sz w:val="24"/>
          <w:szCs w:val="24"/>
          <w:highlight w:val="none"/>
        </w:rPr>
        <w:fldChar w:fldCharType="separate"/>
      </w:r>
      <w:r>
        <w:rPr>
          <w:rFonts w:hint="eastAsia" w:ascii="黑体" w:hAnsi="黑体" w:eastAsia="黑体" w:cs="黑体"/>
          <w:sz w:val="24"/>
          <w:szCs w:val="24"/>
          <w:highlight w:val="none"/>
        </w:rPr>
        <w:t>六、考核方案</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_Toc28010 \h </w:instrText>
      </w:r>
      <w:r>
        <w:rPr>
          <w:rFonts w:hint="eastAsia" w:ascii="黑体" w:hAnsi="黑体" w:eastAsia="黑体" w:cs="黑体"/>
          <w:sz w:val="24"/>
          <w:szCs w:val="24"/>
        </w:rPr>
        <w:fldChar w:fldCharType="separate"/>
      </w:r>
      <w:r>
        <w:rPr>
          <w:rFonts w:hint="eastAsia" w:ascii="黑体" w:hAnsi="黑体" w:eastAsia="黑体" w:cs="黑体"/>
          <w:sz w:val="24"/>
          <w:szCs w:val="24"/>
        </w:rPr>
        <w:t>30</w:t>
      </w:r>
      <w:r>
        <w:rPr>
          <w:rFonts w:hint="eastAsia" w:ascii="黑体" w:hAnsi="黑体" w:eastAsia="黑体" w:cs="黑体"/>
          <w:sz w:val="24"/>
          <w:szCs w:val="24"/>
        </w:rPr>
        <w:fldChar w:fldCharType="end"/>
      </w:r>
      <w:r>
        <w:rPr>
          <w:rFonts w:hint="eastAsia" w:ascii="黑体" w:hAnsi="黑体" w:eastAsia="黑体" w:cs="黑体"/>
          <w:bCs/>
          <w:color w:val="auto"/>
          <w:sz w:val="24"/>
          <w:szCs w:val="24"/>
          <w:highlight w:val="none"/>
        </w:rPr>
        <w:fldChar w:fldCharType="end"/>
      </w:r>
    </w:p>
    <w:p w14:paraId="0C52602D">
      <w:pPr>
        <w:pStyle w:val="19"/>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sz w:val="24"/>
          <w:szCs w:val="24"/>
        </w:rPr>
      </w:pPr>
      <w:r>
        <w:rPr>
          <w:rFonts w:hint="eastAsia" w:ascii="黑体" w:hAnsi="黑体" w:eastAsia="黑体" w:cs="黑体"/>
          <w:bCs/>
          <w:color w:val="auto"/>
          <w:sz w:val="24"/>
          <w:szCs w:val="24"/>
          <w:highlight w:val="none"/>
        </w:rPr>
        <w:fldChar w:fldCharType="begin"/>
      </w:r>
      <w:r>
        <w:rPr>
          <w:rFonts w:hint="eastAsia" w:ascii="黑体" w:hAnsi="黑体" w:eastAsia="黑体" w:cs="黑体"/>
          <w:bCs/>
          <w:sz w:val="24"/>
          <w:szCs w:val="24"/>
          <w:highlight w:val="none"/>
        </w:rPr>
        <w:instrText xml:space="preserve"> HYPERLINK \l _Toc488 </w:instrText>
      </w:r>
      <w:r>
        <w:rPr>
          <w:rFonts w:hint="eastAsia" w:ascii="黑体" w:hAnsi="黑体" w:eastAsia="黑体" w:cs="黑体"/>
          <w:bCs/>
          <w:sz w:val="24"/>
          <w:szCs w:val="24"/>
          <w:highlight w:val="none"/>
        </w:rPr>
        <w:fldChar w:fldCharType="separate"/>
      </w:r>
      <w:r>
        <w:rPr>
          <w:rFonts w:hint="eastAsia" w:ascii="黑体" w:hAnsi="黑体" w:eastAsia="黑体" w:cs="黑体"/>
          <w:sz w:val="24"/>
          <w:szCs w:val="24"/>
          <w:highlight w:val="none"/>
        </w:rPr>
        <w:t>七、付款方式</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_Toc488 \h </w:instrText>
      </w:r>
      <w:r>
        <w:rPr>
          <w:rFonts w:hint="eastAsia" w:ascii="黑体" w:hAnsi="黑体" w:eastAsia="黑体" w:cs="黑体"/>
          <w:sz w:val="24"/>
          <w:szCs w:val="24"/>
        </w:rPr>
        <w:fldChar w:fldCharType="separate"/>
      </w:r>
      <w:r>
        <w:rPr>
          <w:rFonts w:hint="eastAsia" w:ascii="黑体" w:hAnsi="黑体" w:eastAsia="黑体" w:cs="黑体"/>
          <w:sz w:val="24"/>
          <w:szCs w:val="24"/>
        </w:rPr>
        <w:t>31</w:t>
      </w:r>
      <w:r>
        <w:rPr>
          <w:rFonts w:hint="eastAsia" w:ascii="黑体" w:hAnsi="黑体" w:eastAsia="黑体" w:cs="黑体"/>
          <w:sz w:val="24"/>
          <w:szCs w:val="24"/>
        </w:rPr>
        <w:fldChar w:fldCharType="end"/>
      </w:r>
      <w:r>
        <w:rPr>
          <w:rFonts w:hint="eastAsia" w:ascii="黑体" w:hAnsi="黑体" w:eastAsia="黑体" w:cs="黑体"/>
          <w:bCs/>
          <w:color w:val="auto"/>
          <w:sz w:val="24"/>
          <w:szCs w:val="24"/>
          <w:highlight w:val="none"/>
        </w:rPr>
        <w:fldChar w:fldCharType="end"/>
      </w:r>
    </w:p>
    <w:p w14:paraId="1E00752E">
      <w:pPr>
        <w:pStyle w:val="19"/>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sz w:val="24"/>
          <w:szCs w:val="24"/>
        </w:rPr>
      </w:pPr>
      <w:r>
        <w:rPr>
          <w:rFonts w:hint="eastAsia" w:ascii="黑体" w:hAnsi="黑体" w:eastAsia="黑体" w:cs="黑体"/>
          <w:bCs/>
          <w:color w:val="auto"/>
          <w:sz w:val="24"/>
          <w:szCs w:val="24"/>
          <w:highlight w:val="none"/>
        </w:rPr>
        <w:fldChar w:fldCharType="begin"/>
      </w:r>
      <w:r>
        <w:rPr>
          <w:rFonts w:hint="eastAsia" w:ascii="黑体" w:hAnsi="黑体" w:eastAsia="黑体" w:cs="黑体"/>
          <w:bCs/>
          <w:sz w:val="24"/>
          <w:szCs w:val="24"/>
          <w:highlight w:val="none"/>
        </w:rPr>
        <w:instrText xml:space="preserve"> HYPERLINK \l _Toc13101 </w:instrText>
      </w:r>
      <w:r>
        <w:rPr>
          <w:rFonts w:hint="eastAsia" w:ascii="黑体" w:hAnsi="黑体" w:eastAsia="黑体" w:cs="黑体"/>
          <w:bCs/>
          <w:sz w:val="24"/>
          <w:szCs w:val="24"/>
          <w:highlight w:val="none"/>
        </w:rPr>
        <w:fldChar w:fldCharType="separate"/>
      </w:r>
      <w:r>
        <w:rPr>
          <w:rFonts w:hint="eastAsia" w:ascii="黑体" w:hAnsi="黑体" w:eastAsia="黑体" w:cs="黑体"/>
          <w:sz w:val="24"/>
          <w:szCs w:val="24"/>
          <w:highlight w:val="none"/>
        </w:rPr>
        <w:t>八、磋商过程中可能会实质性变动的内容</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_Toc13101 \h </w:instrText>
      </w:r>
      <w:r>
        <w:rPr>
          <w:rFonts w:hint="eastAsia" w:ascii="黑体" w:hAnsi="黑体" w:eastAsia="黑体" w:cs="黑体"/>
          <w:sz w:val="24"/>
          <w:szCs w:val="24"/>
        </w:rPr>
        <w:fldChar w:fldCharType="separate"/>
      </w:r>
      <w:r>
        <w:rPr>
          <w:rFonts w:hint="eastAsia" w:ascii="黑体" w:hAnsi="黑体" w:eastAsia="黑体" w:cs="黑体"/>
          <w:sz w:val="24"/>
          <w:szCs w:val="24"/>
        </w:rPr>
        <w:t>31</w:t>
      </w:r>
      <w:r>
        <w:rPr>
          <w:rFonts w:hint="eastAsia" w:ascii="黑体" w:hAnsi="黑体" w:eastAsia="黑体" w:cs="黑体"/>
          <w:sz w:val="24"/>
          <w:szCs w:val="24"/>
        </w:rPr>
        <w:fldChar w:fldCharType="end"/>
      </w:r>
      <w:r>
        <w:rPr>
          <w:rFonts w:hint="eastAsia" w:ascii="黑体" w:hAnsi="黑体" w:eastAsia="黑体" w:cs="黑体"/>
          <w:bCs/>
          <w:color w:val="auto"/>
          <w:sz w:val="24"/>
          <w:szCs w:val="24"/>
          <w:highlight w:val="none"/>
        </w:rPr>
        <w:fldChar w:fldCharType="end"/>
      </w:r>
    </w:p>
    <w:p w14:paraId="29202719">
      <w:pPr>
        <w:pStyle w:val="19"/>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sz w:val="24"/>
          <w:szCs w:val="24"/>
        </w:rPr>
      </w:pPr>
      <w:r>
        <w:rPr>
          <w:rFonts w:hint="eastAsia" w:ascii="黑体" w:hAnsi="黑体" w:eastAsia="黑体" w:cs="黑体"/>
          <w:bCs/>
          <w:color w:val="auto"/>
          <w:sz w:val="24"/>
          <w:szCs w:val="24"/>
          <w:highlight w:val="none"/>
        </w:rPr>
        <w:fldChar w:fldCharType="begin"/>
      </w:r>
      <w:r>
        <w:rPr>
          <w:rFonts w:hint="eastAsia" w:ascii="黑体" w:hAnsi="黑体" w:eastAsia="黑体" w:cs="黑体"/>
          <w:bCs/>
          <w:sz w:val="24"/>
          <w:szCs w:val="24"/>
          <w:highlight w:val="none"/>
        </w:rPr>
        <w:instrText xml:space="preserve"> HYPERLINK \l _Toc7187 </w:instrText>
      </w:r>
      <w:r>
        <w:rPr>
          <w:rFonts w:hint="eastAsia" w:ascii="黑体" w:hAnsi="黑体" w:eastAsia="黑体" w:cs="黑体"/>
          <w:bCs/>
          <w:sz w:val="24"/>
          <w:szCs w:val="24"/>
          <w:highlight w:val="none"/>
        </w:rPr>
        <w:fldChar w:fldCharType="separate"/>
      </w:r>
      <w:r>
        <w:rPr>
          <w:rFonts w:hint="eastAsia" w:ascii="黑体" w:hAnsi="黑体" w:eastAsia="黑体" w:cs="黑体"/>
          <w:sz w:val="24"/>
          <w:szCs w:val="24"/>
          <w:highlight w:val="none"/>
        </w:rPr>
        <w:t>九、报价要求</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_Toc7187 \h </w:instrText>
      </w:r>
      <w:r>
        <w:rPr>
          <w:rFonts w:hint="eastAsia" w:ascii="黑体" w:hAnsi="黑体" w:eastAsia="黑体" w:cs="黑体"/>
          <w:sz w:val="24"/>
          <w:szCs w:val="24"/>
        </w:rPr>
        <w:fldChar w:fldCharType="separate"/>
      </w:r>
      <w:r>
        <w:rPr>
          <w:rFonts w:hint="eastAsia" w:ascii="黑体" w:hAnsi="黑体" w:eastAsia="黑体" w:cs="黑体"/>
          <w:sz w:val="24"/>
          <w:szCs w:val="24"/>
        </w:rPr>
        <w:t>31</w:t>
      </w:r>
      <w:r>
        <w:rPr>
          <w:rFonts w:hint="eastAsia" w:ascii="黑体" w:hAnsi="黑体" w:eastAsia="黑体" w:cs="黑体"/>
          <w:sz w:val="24"/>
          <w:szCs w:val="24"/>
        </w:rPr>
        <w:fldChar w:fldCharType="end"/>
      </w:r>
      <w:r>
        <w:rPr>
          <w:rFonts w:hint="eastAsia" w:ascii="黑体" w:hAnsi="黑体" w:eastAsia="黑体" w:cs="黑体"/>
          <w:bCs/>
          <w:color w:val="auto"/>
          <w:sz w:val="24"/>
          <w:szCs w:val="24"/>
          <w:highlight w:val="none"/>
        </w:rPr>
        <w:fldChar w:fldCharType="end"/>
      </w:r>
    </w:p>
    <w:p w14:paraId="7D3D3F22">
      <w:pPr>
        <w:pStyle w:val="19"/>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sz w:val="24"/>
          <w:szCs w:val="24"/>
        </w:rPr>
      </w:pPr>
      <w:r>
        <w:rPr>
          <w:rFonts w:hint="eastAsia" w:ascii="黑体" w:hAnsi="黑体" w:eastAsia="黑体" w:cs="黑体"/>
          <w:bCs/>
          <w:color w:val="auto"/>
          <w:sz w:val="24"/>
          <w:szCs w:val="24"/>
          <w:highlight w:val="none"/>
        </w:rPr>
        <w:fldChar w:fldCharType="begin"/>
      </w:r>
      <w:r>
        <w:rPr>
          <w:rFonts w:hint="eastAsia" w:ascii="黑体" w:hAnsi="黑体" w:eastAsia="黑体" w:cs="黑体"/>
          <w:bCs/>
          <w:sz w:val="24"/>
          <w:szCs w:val="24"/>
          <w:highlight w:val="none"/>
        </w:rPr>
        <w:instrText xml:space="preserve"> HYPERLINK \l _Toc20586 </w:instrText>
      </w:r>
      <w:r>
        <w:rPr>
          <w:rFonts w:hint="eastAsia" w:ascii="黑体" w:hAnsi="黑体" w:eastAsia="黑体" w:cs="黑体"/>
          <w:bCs/>
          <w:sz w:val="24"/>
          <w:szCs w:val="24"/>
          <w:highlight w:val="none"/>
        </w:rPr>
        <w:fldChar w:fldCharType="separate"/>
      </w:r>
      <w:r>
        <w:rPr>
          <w:rFonts w:hint="eastAsia" w:ascii="黑体" w:hAnsi="黑体" w:eastAsia="黑体" w:cs="黑体"/>
          <w:sz w:val="24"/>
          <w:szCs w:val="24"/>
          <w:highlight w:val="none"/>
        </w:rPr>
        <w:t>十、其他要求</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_Toc20586 \h </w:instrText>
      </w:r>
      <w:r>
        <w:rPr>
          <w:rFonts w:hint="eastAsia" w:ascii="黑体" w:hAnsi="黑体" w:eastAsia="黑体" w:cs="黑体"/>
          <w:sz w:val="24"/>
          <w:szCs w:val="24"/>
        </w:rPr>
        <w:fldChar w:fldCharType="separate"/>
      </w:r>
      <w:r>
        <w:rPr>
          <w:rFonts w:hint="eastAsia" w:ascii="黑体" w:hAnsi="黑体" w:eastAsia="黑体" w:cs="黑体"/>
          <w:sz w:val="24"/>
          <w:szCs w:val="24"/>
        </w:rPr>
        <w:t>32</w:t>
      </w:r>
      <w:r>
        <w:rPr>
          <w:rFonts w:hint="eastAsia" w:ascii="黑体" w:hAnsi="黑体" w:eastAsia="黑体" w:cs="黑体"/>
          <w:sz w:val="24"/>
          <w:szCs w:val="24"/>
        </w:rPr>
        <w:fldChar w:fldCharType="end"/>
      </w:r>
      <w:r>
        <w:rPr>
          <w:rFonts w:hint="eastAsia" w:ascii="黑体" w:hAnsi="黑体" w:eastAsia="黑体" w:cs="黑体"/>
          <w:bCs/>
          <w:color w:val="auto"/>
          <w:sz w:val="24"/>
          <w:szCs w:val="24"/>
          <w:highlight w:val="none"/>
        </w:rPr>
        <w:fldChar w:fldCharType="end"/>
      </w:r>
    </w:p>
    <w:p w14:paraId="0150CF9D">
      <w:pPr>
        <w:pStyle w:val="16"/>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sz w:val="24"/>
          <w:szCs w:val="24"/>
        </w:rPr>
      </w:pPr>
      <w:r>
        <w:rPr>
          <w:rFonts w:hint="eastAsia" w:ascii="黑体" w:hAnsi="黑体" w:eastAsia="黑体" w:cs="黑体"/>
          <w:bCs/>
          <w:color w:val="auto"/>
          <w:sz w:val="24"/>
          <w:szCs w:val="24"/>
          <w:highlight w:val="none"/>
        </w:rPr>
        <w:fldChar w:fldCharType="begin"/>
      </w:r>
      <w:r>
        <w:rPr>
          <w:rFonts w:hint="eastAsia" w:ascii="黑体" w:hAnsi="黑体" w:eastAsia="黑体" w:cs="黑体"/>
          <w:bCs/>
          <w:sz w:val="24"/>
          <w:szCs w:val="24"/>
          <w:highlight w:val="none"/>
        </w:rPr>
        <w:instrText xml:space="preserve"> HYPERLINK \l _Toc30393 </w:instrText>
      </w:r>
      <w:r>
        <w:rPr>
          <w:rFonts w:hint="eastAsia" w:ascii="黑体" w:hAnsi="黑体" w:eastAsia="黑体" w:cs="黑体"/>
          <w:bCs/>
          <w:sz w:val="24"/>
          <w:szCs w:val="24"/>
          <w:highlight w:val="none"/>
        </w:rPr>
        <w:fldChar w:fldCharType="separate"/>
      </w:r>
      <w:r>
        <w:rPr>
          <w:rFonts w:hint="eastAsia" w:ascii="黑体" w:hAnsi="黑体" w:eastAsia="黑体" w:cs="黑体"/>
          <w:bCs/>
          <w:sz w:val="24"/>
          <w:szCs w:val="24"/>
          <w:highlight w:val="none"/>
        </w:rPr>
        <w:t>第4章 合同文本</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_Toc30393 \h </w:instrText>
      </w:r>
      <w:r>
        <w:rPr>
          <w:rFonts w:hint="eastAsia" w:ascii="黑体" w:hAnsi="黑体" w:eastAsia="黑体" w:cs="黑体"/>
          <w:sz w:val="24"/>
          <w:szCs w:val="24"/>
        </w:rPr>
        <w:fldChar w:fldCharType="separate"/>
      </w:r>
      <w:r>
        <w:rPr>
          <w:rFonts w:hint="eastAsia" w:ascii="黑体" w:hAnsi="黑体" w:eastAsia="黑体" w:cs="黑体"/>
          <w:sz w:val="24"/>
          <w:szCs w:val="24"/>
        </w:rPr>
        <w:t>33</w:t>
      </w:r>
      <w:r>
        <w:rPr>
          <w:rFonts w:hint="eastAsia" w:ascii="黑体" w:hAnsi="黑体" w:eastAsia="黑体" w:cs="黑体"/>
          <w:sz w:val="24"/>
          <w:szCs w:val="24"/>
        </w:rPr>
        <w:fldChar w:fldCharType="end"/>
      </w:r>
      <w:r>
        <w:rPr>
          <w:rFonts w:hint="eastAsia" w:ascii="黑体" w:hAnsi="黑体" w:eastAsia="黑体" w:cs="黑体"/>
          <w:bCs/>
          <w:color w:val="auto"/>
          <w:sz w:val="24"/>
          <w:szCs w:val="24"/>
          <w:highlight w:val="none"/>
        </w:rPr>
        <w:fldChar w:fldCharType="end"/>
      </w:r>
    </w:p>
    <w:p w14:paraId="0A9C4769">
      <w:pPr>
        <w:pStyle w:val="16"/>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sz w:val="24"/>
          <w:szCs w:val="24"/>
        </w:rPr>
      </w:pPr>
      <w:r>
        <w:rPr>
          <w:rFonts w:hint="eastAsia" w:ascii="黑体" w:hAnsi="黑体" w:eastAsia="黑体" w:cs="黑体"/>
          <w:bCs/>
          <w:color w:val="auto"/>
          <w:sz w:val="24"/>
          <w:szCs w:val="24"/>
          <w:highlight w:val="none"/>
        </w:rPr>
        <w:fldChar w:fldCharType="begin"/>
      </w:r>
      <w:r>
        <w:rPr>
          <w:rFonts w:hint="eastAsia" w:ascii="黑体" w:hAnsi="黑体" w:eastAsia="黑体" w:cs="黑体"/>
          <w:bCs/>
          <w:sz w:val="24"/>
          <w:szCs w:val="24"/>
          <w:highlight w:val="none"/>
        </w:rPr>
        <w:instrText xml:space="preserve"> HYPERLINK \l _Toc18561 </w:instrText>
      </w:r>
      <w:r>
        <w:rPr>
          <w:rFonts w:hint="eastAsia" w:ascii="黑体" w:hAnsi="黑体" w:eastAsia="黑体" w:cs="黑体"/>
          <w:bCs/>
          <w:sz w:val="24"/>
          <w:szCs w:val="24"/>
          <w:highlight w:val="none"/>
        </w:rPr>
        <w:fldChar w:fldCharType="separate"/>
      </w:r>
      <w:r>
        <w:rPr>
          <w:rFonts w:hint="eastAsia" w:ascii="黑体" w:hAnsi="黑体" w:eastAsia="黑体" w:cs="黑体"/>
          <w:bCs/>
          <w:sz w:val="24"/>
          <w:szCs w:val="24"/>
          <w:highlight w:val="none"/>
        </w:rPr>
        <w:t>第5章 评审标准和方法</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_Toc18561 \h </w:instrText>
      </w:r>
      <w:r>
        <w:rPr>
          <w:rFonts w:hint="eastAsia" w:ascii="黑体" w:hAnsi="黑体" w:eastAsia="黑体" w:cs="黑体"/>
          <w:sz w:val="24"/>
          <w:szCs w:val="24"/>
        </w:rPr>
        <w:fldChar w:fldCharType="separate"/>
      </w:r>
      <w:r>
        <w:rPr>
          <w:rFonts w:hint="eastAsia" w:ascii="黑体" w:hAnsi="黑体" w:eastAsia="黑体" w:cs="黑体"/>
          <w:sz w:val="24"/>
          <w:szCs w:val="24"/>
        </w:rPr>
        <w:t>37</w:t>
      </w:r>
      <w:r>
        <w:rPr>
          <w:rFonts w:hint="eastAsia" w:ascii="黑体" w:hAnsi="黑体" w:eastAsia="黑体" w:cs="黑体"/>
          <w:sz w:val="24"/>
          <w:szCs w:val="24"/>
        </w:rPr>
        <w:fldChar w:fldCharType="end"/>
      </w:r>
      <w:r>
        <w:rPr>
          <w:rFonts w:hint="eastAsia" w:ascii="黑体" w:hAnsi="黑体" w:eastAsia="黑体" w:cs="黑体"/>
          <w:bCs/>
          <w:color w:val="auto"/>
          <w:sz w:val="24"/>
          <w:szCs w:val="24"/>
          <w:highlight w:val="none"/>
        </w:rPr>
        <w:fldChar w:fldCharType="end"/>
      </w:r>
    </w:p>
    <w:p w14:paraId="14F25A9B">
      <w:pPr>
        <w:pStyle w:val="16"/>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sz w:val="24"/>
          <w:szCs w:val="24"/>
        </w:rPr>
      </w:pPr>
      <w:r>
        <w:rPr>
          <w:rFonts w:hint="eastAsia" w:ascii="黑体" w:hAnsi="黑体" w:eastAsia="黑体" w:cs="黑体"/>
          <w:bCs/>
          <w:color w:val="auto"/>
          <w:sz w:val="24"/>
          <w:szCs w:val="24"/>
          <w:highlight w:val="none"/>
        </w:rPr>
        <w:fldChar w:fldCharType="begin"/>
      </w:r>
      <w:r>
        <w:rPr>
          <w:rFonts w:hint="eastAsia" w:ascii="黑体" w:hAnsi="黑体" w:eastAsia="黑体" w:cs="黑体"/>
          <w:bCs/>
          <w:sz w:val="24"/>
          <w:szCs w:val="24"/>
          <w:highlight w:val="none"/>
        </w:rPr>
        <w:instrText xml:space="preserve"> HYPERLINK \l _Toc6397 </w:instrText>
      </w:r>
      <w:r>
        <w:rPr>
          <w:rFonts w:hint="eastAsia" w:ascii="黑体" w:hAnsi="黑体" w:eastAsia="黑体" w:cs="黑体"/>
          <w:bCs/>
          <w:sz w:val="24"/>
          <w:szCs w:val="24"/>
          <w:highlight w:val="none"/>
        </w:rPr>
        <w:fldChar w:fldCharType="separate"/>
      </w:r>
      <w:r>
        <w:rPr>
          <w:rFonts w:hint="eastAsia" w:ascii="黑体" w:hAnsi="黑体" w:eastAsia="黑体" w:cs="黑体"/>
          <w:bCs/>
          <w:sz w:val="24"/>
          <w:szCs w:val="24"/>
          <w:highlight w:val="none"/>
        </w:rPr>
        <w:t>第6章 竞争性磋商响应文件组成</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_Toc6397 \h </w:instrText>
      </w:r>
      <w:r>
        <w:rPr>
          <w:rFonts w:hint="eastAsia" w:ascii="黑体" w:hAnsi="黑体" w:eastAsia="黑体" w:cs="黑体"/>
          <w:sz w:val="24"/>
          <w:szCs w:val="24"/>
        </w:rPr>
        <w:fldChar w:fldCharType="separate"/>
      </w:r>
      <w:r>
        <w:rPr>
          <w:rFonts w:hint="eastAsia" w:ascii="黑体" w:hAnsi="黑体" w:eastAsia="黑体" w:cs="黑体"/>
          <w:sz w:val="24"/>
          <w:szCs w:val="24"/>
        </w:rPr>
        <w:t>41</w:t>
      </w:r>
      <w:r>
        <w:rPr>
          <w:rFonts w:hint="eastAsia" w:ascii="黑体" w:hAnsi="黑体" w:eastAsia="黑体" w:cs="黑体"/>
          <w:sz w:val="24"/>
          <w:szCs w:val="24"/>
        </w:rPr>
        <w:fldChar w:fldCharType="end"/>
      </w:r>
      <w:r>
        <w:rPr>
          <w:rFonts w:hint="eastAsia" w:ascii="黑体" w:hAnsi="黑体" w:eastAsia="黑体" w:cs="黑体"/>
          <w:bCs/>
          <w:color w:val="auto"/>
          <w:sz w:val="24"/>
          <w:szCs w:val="24"/>
          <w:highlight w:val="none"/>
        </w:rPr>
        <w:fldChar w:fldCharType="end"/>
      </w:r>
    </w:p>
    <w:p w14:paraId="59DAF950">
      <w:pPr>
        <w:pStyle w:val="19"/>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sz w:val="24"/>
          <w:szCs w:val="24"/>
        </w:rPr>
      </w:pPr>
      <w:r>
        <w:rPr>
          <w:rFonts w:hint="eastAsia" w:ascii="黑体" w:hAnsi="黑体" w:eastAsia="黑体" w:cs="黑体"/>
          <w:bCs/>
          <w:color w:val="auto"/>
          <w:sz w:val="24"/>
          <w:szCs w:val="24"/>
          <w:highlight w:val="none"/>
        </w:rPr>
        <w:fldChar w:fldCharType="begin"/>
      </w:r>
      <w:r>
        <w:rPr>
          <w:rFonts w:hint="eastAsia" w:ascii="黑体" w:hAnsi="黑体" w:eastAsia="黑体" w:cs="黑体"/>
          <w:bCs/>
          <w:sz w:val="24"/>
          <w:szCs w:val="24"/>
          <w:highlight w:val="none"/>
        </w:rPr>
        <w:instrText xml:space="preserve"> HYPERLINK \l _Toc23104 </w:instrText>
      </w:r>
      <w:r>
        <w:rPr>
          <w:rFonts w:hint="eastAsia" w:ascii="黑体" w:hAnsi="黑体" w:eastAsia="黑体" w:cs="黑体"/>
          <w:bCs/>
          <w:sz w:val="24"/>
          <w:szCs w:val="24"/>
          <w:highlight w:val="none"/>
        </w:rPr>
        <w:fldChar w:fldCharType="separate"/>
      </w:r>
      <w:r>
        <w:rPr>
          <w:rFonts w:hint="eastAsia" w:ascii="黑体" w:hAnsi="黑体" w:eastAsia="黑体" w:cs="黑体"/>
          <w:sz w:val="24"/>
          <w:szCs w:val="24"/>
          <w:highlight w:val="none"/>
        </w:rPr>
        <w:t>一、资格证明文件</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_Toc23104 \h </w:instrText>
      </w:r>
      <w:r>
        <w:rPr>
          <w:rFonts w:hint="eastAsia" w:ascii="黑体" w:hAnsi="黑体" w:eastAsia="黑体" w:cs="黑体"/>
          <w:sz w:val="24"/>
          <w:szCs w:val="24"/>
        </w:rPr>
        <w:fldChar w:fldCharType="separate"/>
      </w:r>
      <w:r>
        <w:rPr>
          <w:rFonts w:hint="eastAsia" w:ascii="黑体" w:hAnsi="黑体" w:eastAsia="黑体" w:cs="黑体"/>
          <w:sz w:val="24"/>
          <w:szCs w:val="24"/>
        </w:rPr>
        <w:t>42</w:t>
      </w:r>
      <w:r>
        <w:rPr>
          <w:rFonts w:hint="eastAsia" w:ascii="黑体" w:hAnsi="黑体" w:eastAsia="黑体" w:cs="黑体"/>
          <w:sz w:val="24"/>
          <w:szCs w:val="24"/>
        </w:rPr>
        <w:fldChar w:fldCharType="end"/>
      </w:r>
      <w:r>
        <w:rPr>
          <w:rFonts w:hint="eastAsia" w:ascii="黑体" w:hAnsi="黑体" w:eastAsia="黑体" w:cs="黑体"/>
          <w:bCs/>
          <w:color w:val="auto"/>
          <w:sz w:val="24"/>
          <w:szCs w:val="24"/>
          <w:highlight w:val="none"/>
        </w:rPr>
        <w:fldChar w:fldCharType="end"/>
      </w:r>
    </w:p>
    <w:p w14:paraId="0A5B1AFD">
      <w:pPr>
        <w:pStyle w:val="19"/>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sz w:val="24"/>
          <w:szCs w:val="24"/>
        </w:rPr>
      </w:pPr>
      <w:r>
        <w:rPr>
          <w:rFonts w:hint="eastAsia" w:ascii="黑体" w:hAnsi="黑体" w:eastAsia="黑体" w:cs="黑体"/>
          <w:bCs/>
          <w:color w:val="auto"/>
          <w:sz w:val="24"/>
          <w:szCs w:val="24"/>
          <w:highlight w:val="none"/>
        </w:rPr>
        <w:fldChar w:fldCharType="begin"/>
      </w:r>
      <w:r>
        <w:rPr>
          <w:rFonts w:hint="eastAsia" w:ascii="黑体" w:hAnsi="黑体" w:eastAsia="黑体" w:cs="黑体"/>
          <w:bCs/>
          <w:sz w:val="24"/>
          <w:szCs w:val="24"/>
          <w:highlight w:val="none"/>
        </w:rPr>
        <w:instrText xml:space="preserve"> HYPERLINK \l _Toc12740 </w:instrText>
      </w:r>
      <w:r>
        <w:rPr>
          <w:rFonts w:hint="eastAsia" w:ascii="黑体" w:hAnsi="黑体" w:eastAsia="黑体" w:cs="黑体"/>
          <w:bCs/>
          <w:sz w:val="24"/>
          <w:szCs w:val="24"/>
          <w:highlight w:val="none"/>
        </w:rPr>
        <w:fldChar w:fldCharType="separate"/>
      </w:r>
      <w:r>
        <w:rPr>
          <w:rFonts w:hint="eastAsia" w:ascii="黑体" w:hAnsi="黑体" w:eastAsia="黑体" w:cs="黑体"/>
          <w:sz w:val="24"/>
          <w:szCs w:val="24"/>
          <w:highlight w:val="none"/>
        </w:rPr>
        <w:t>二、商务技术文件</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_Toc12740 \h </w:instrText>
      </w:r>
      <w:r>
        <w:rPr>
          <w:rFonts w:hint="eastAsia" w:ascii="黑体" w:hAnsi="黑体" w:eastAsia="黑体" w:cs="黑体"/>
          <w:sz w:val="24"/>
          <w:szCs w:val="24"/>
        </w:rPr>
        <w:fldChar w:fldCharType="separate"/>
      </w:r>
      <w:r>
        <w:rPr>
          <w:rFonts w:hint="eastAsia" w:ascii="黑体" w:hAnsi="黑体" w:eastAsia="黑体" w:cs="黑体"/>
          <w:sz w:val="24"/>
          <w:szCs w:val="24"/>
        </w:rPr>
        <w:t>50</w:t>
      </w:r>
      <w:r>
        <w:rPr>
          <w:rFonts w:hint="eastAsia" w:ascii="黑体" w:hAnsi="黑体" w:eastAsia="黑体" w:cs="黑体"/>
          <w:sz w:val="24"/>
          <w:szCs w:val="24"/>
        </w:rPr>
        <w:fldChar w:fldCharType="end"/>
      </w:r>
      <w:r>
        <w:rPr>
          <w:rFonts w:hint="eastAsia" w:ascii="黑体" w:hAnsi="黑体" w:eastAsia="黑体" w:cs="黑体"/>
          <w:bCs/>
          <w:color w:val="auto"/>
          <w:sz w:val="24"/>
          <w:szCs w:val="24"/>
          <w:highlight w:val="none"/>
        </w:rPr>
        <w:fldChar w:fldCharType="end"/>
      </w:r>
    </w:p>
    <w:p w14:paraId="02C1AA73">
      <w:pPr>
        <w:pStyle w:val="19"/>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pPr>
      <w:r>
        <w:rPr>
          <w:rFonts w:hint="eastAsia" w:ascii="黑体" w:hAnsi="黑体" w:eastAsia="黑体" w:cs="黑体"/>
          <w:bCs/>
          <w:color w:val="auto"/>
          <w:sz w:val="24"/>
          <w:szCs w:val="24"/>
          <w:highlight w:val="none"/>
        </w:rPr>
        <w:fldChar w:fldCharType="begin"/>
      </w:r>
      <w:r>
        <w:rPr>
          <w:rFonts w:hint="eastAsia" w:ascii="黑体" w:hAnsi="黑体" w:eastAsia="黑体" w:cs="黑体"/>
          <w:bCs/>
          <w:sz w:val="24"/>
          <w:szCs w:val="24"/>
          <w:highlight w:val="none"/>
        </w:rPr>
        <w:instrText xml:space="preserve"> HYPERLINK \l _Toc32511 </w:instrText>
      </w:r>
      <w:r>
        <w:rPr>
          <w:rFonts w:hint="eastAsia" w:ascii="黑体" w:hAnsi="黑体" w:eastAsia="黑体" w:cs="黑体"/>
          <w:bCs/>
          <w:sz w:val="24"/>
          <w:szCs w:val="24"/>
          <w:highlight w:val="none"/>
        </w:rPr>
        <w:fldChar w:fldCharType="separate"/>
      </w:r>
      <w:r>
        <w:rPr>
          <w:rFonts w:hint="eastAsia" w:ascii="黑体" w:hAnsi="黑体" w:eastAsia="黑体" w:cs="黑体"/>
          <w:sz w:val="24"/>
          <w:szCs w:val="24"/>
          <w:highlight w:val="none"/>
        </w:rPr>
        <w:t>三、报价文件</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_Toc32511 \h </w:instrText>
      </w:r>
      <w:r>
        <w:rPr>
          <w:rFonts w:hint="eastAsia" w:ascii="黑体" w:hAnsi="黑体" w:eastAsia="黑体" w:cs="黑体"/>
          <w:sz w:val="24"/>
          <w:szCs w:val="24"/>
        </w:rPr>
        <w:fldChar w:fldCharType="separate"/>
      </w:r>
      <w:r>
        <w:rPr>
          <w:rFonts w:hint="eastAsia" w:ascii="黑体" w:hAnsi="黑体" w:eastAsia="黑体" w:cs="黑体"/>
          <w:sz w:val="24"/>
          <w:szCs w:val="24"/>
        </w:rPr>
        <w:t>55</w:t>
      </w:r>
      <w:r>
        <w:rPr>
          <w:rFonts w:hint="eastAsia" w:ascii="黑体" w:hAnsi="黑体" w:eastAsia="黑体" w:cs="黑体"/>
          <w:sz w:val="24"/>
          <w:szCs w:val="24"/>
        </w:rPr>
        <w:fldChar w:fldCharType="end"/>
      </w:r>
      <w:r>
        <w:rPr>
          <w:rFonts w:hint="eastAsia" w:ascii="黑体" w:hAnsi="黑体" w:eastAsia="黑体" w:cs="黑体"/>
          <w:bCs/>
          <w:color w:val="auto"/>
          <w:sz w:val="24"/>
          <w:szCs w:val="24"/>
          <w:highlight w:val="none"/>
        </w:rPr>
        <w:fldChar w:fldCharType="end"/>
      </w:r>
    </w:p>
    <w:p w14:paraId="69629E46">
      <w:pPr>
        <w:pStyle w:val="44"/>
        <w:spacing w:line="500" w:lineRule="exact"/>
        <w:ind w:firstLine="0"/>
        <w:jc w:val="center"/>
        <w:rPr>
          <w:rFonts w:ascii="黑体" w:hAnsi="黑体" w:eastAsia="黑体" w:cs="黑体"/>
          <w:bCs/>
          <w:color w:val="auto"/>
          <w:highlight w:val="none"/>
        </w:rPr>
      </w:pPr>
      <w:r>
        <w:rPr>
          <w:rFonts w:hint="eastAsia" w:ascii="黑体" w:hAnsi="黑体" w:eastAsia="黑体" w:cs="黑体"/>
          <w:bCs/>
          <w:color w:val="auto"/>
          <w:highlight w:val="none"/>
        </w:rPr>
        <w:fldChar w:fldCharType="end"/>
      </w:r>
    </w:p>
    <w:p w14:paraId="2A91571B">
      <w:pPr>
        <w:pStyle w:val="44"/>
        <w:spacing w:line="240" w:lineRule="auto"/>
        <w:ind w:firstLine="0"/>
        <w:jc w:val="center"/>
        <w:outlineLvl w:val="0"/>
        <w:rPr>
          <w:rFonts w:ascii="方正小标宋简体" w:eastAsia="方正小标宋简体"/>
          <w:bCs/>
          <w:color w:val="auto"/>
          <w:sz w:val="32"/>
          <w:szCs w:val="32"/>
          <w:highlight w:val="none"/>
        </w:rPr>
        <w:sectPr>
          <w:headerReference r:id="rId3" w:type="default"/>
          <w:footerReference r:id="rId4" w:type="even"/>
          <w:pgSz w:w="11906" w:h="16838"/>
          <w:pgMar w:top="1418" w:right="1134" w:bottom="1134" w:left="1418" w:header="851" w:footer="992" w:gutter="0"/>
          <w:cols w:space="720" w:num="1"/>
          <w:docGrid w:type="lines" w:linePitch="312" w:charSpace="0"/>
        </w:sectPr>
      </w:pPr>
      <w:bookmarkStart w:id="98" w:name="_GoBack"/>
      <w:bookmarkEnd w:id="98"/>
    </w:p>
    <w:p w14:paraId="43B1E329">
      <w:pPr>
        <w:pStyle w:val="44"/>
        <w:spacing w:line="240" w:lineRule="auto"/>
        <w:ind w:firstLine="0"/>
        <w:jc w:val="center"/>
        <w:outlineLvl w:val="0"/>
        <w:rPr>
          <w:rFonts w:ascii="方正小标宋简体" w:eastAsia="方正小标宋简体"/>
          <w:bCs/>
          <w:color w:val="auto"/>
          <w:sz w:val="32"/>
          <w:szCs w:val="32"/>
          <w:highlight w:val="none"/>
        </w:rPr>
      </w:pPr>
      <w:bookmarkStart w:id="0" w:name="_Toc29574"/>
      <w:r>
        <w:rPr>
          <w:rFonts w:hint="eastAsia" w:ascii="方正小标宋简体" w:eastAsia="方正小标宋简体"/>
          <w:bCs/>
          <w:color w:val="auto"/>
          <w:sz w:val="32"/>
          <w:szCs w:val="32"/>
          <w:highlight w:val="none"/>
        </w:rPr>
        <w:t>第1章 竞争性磋商公告</w:t>
      </w:r>
      <w:bookmarkEnd w:id="0"/>
    </w:p>
    <w:p w14:paraId="77EDF181">
      <w:pPr>
        <w:pStyle w:val="11"/>
        <w:spacing w:after="0" w:line="500" w:lineRule="exact"/>
        <w:ind w:firstLine="560" w:firstLineChars="200"/>
        <w:outlineLvl w:val="1"/>
        <w:rPr>
          <w:rFonts w:ascii="黑体" w:hAnsi="黑体" w:eastAsia="黑体"/>
          <w:color w:val="auto"/>
          <w:sz w:val="28"/>
          <w:szCs w:val="28"/>
          <w:highlight w:val="none"/>
        </w:rPr>
      </w:pPr>
      <w:bookmarkStart w:id="1" w:name="_Toc28359089"/>
      <w:bookmarkStart w:id="2" w:name="_Toc1699"/>
      <w:bookmarkStart w:id="3" w:name="_Toc35393798"/>
      <w:bookmarkStart w:id="4" w:name="_Toc35393629"/>
      <w:bookmarkStart w:id="5" w:name="_Toc28359012"/>
      <w:bookmarkStart w:id="6" w:name="OLE_LINK2"/>
      <w:r>
        <w:rPr>
          <w:rFonts w:hint="eastAsia" w:ascii="黑体" w:hAnsi="黑体" w:eastAsia="黑体"/>
          <w:color w:val="auto"/>
          <w:sz w:val="28"/>
          <w:szCs w:val="28"/>
          <w:highlight w:val="none"/>
        </w:rPr>
        <w:t>一、项目基本情况</w:t>
      </w:r>
      <w:bookmarkEnd w:id="1"/>
      <w:bookmarkEnd w:id="2"/>
      <w:bookmarkEnd w:id="3"/>
      <w:bookmarkEnd w:id="4"/>
      <w:bookmarkEnd w:id="5"/>
    </w:p>
    <w:p w14:paraId="067623D0">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1.项目名称：如皋市2026年大气污染精准溯源服务项目</w:t>
      </w:r>
    </w:p>
    <w:p w14:paraId="073A5928">
      <w:pPr>
        <w:spacing w:line="500" w:lineRule="exact"/>
        <w:ind w:firstLine="560" w:firstLineChars="200"/>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2.项目编号：</w:t>
      </w:r>
      <w:r>
        <w:rPr>
          <w:rFonts w:hint="eastAsia" w:ascii="仿宋" w:hAnsi="仿宋" w:eastAsia="仿宋"/>
          <w:color w:val="auto"/>
          <w:sz w:val="28"/>
          <w:szCs w:val="28"/>
          <w:highlight w:val="none"/>
          <w:lang w:eastAsia="zh-CN"/>
        </w:rPr>
        <w:t>JSZC-320682-NTZJ-C2026-0006</w:t>
      </w:r>
    </w:p>
    <w:p w14:paraId="36C92221">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3.预算金额：人民币251.00万元</w:t>
      </w:r>
    </w:p>
    <w:p w14:paraId="39C5F824">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4.最高限价：人民币251.00万元，报价超过最高限价视为无效响应。</w:t>
      </w:r>
    </w:p>
    <w:p w14:paraId="30962568">
      <w:pPr>
        <w:spacing w:line="500" w:lineRule="exact"/>
        <w:ind w:firstLine="560" w:firstLineChars="200"/>
        <w:rPr>
          <w:rFonts w:ascii="仿宋" w:hAnsi="仿宋" w:eastAsia="仿宋"/>
          <w:color w:val="auto"/>
          <w:sz w:val="28"/>
          <w:szCs w:val="28"/>
          <w:highlight w:val="none"/>
          <w:u w:val="single"/>
        </w:rPr>
      </w:pPr>
      <w:r>
        <w:rPr>
          <w:rFonts w:hint="eastAsia" w:ascii="仿宋" w:hAnsi="仿宋" w:eastAsia="仿宋"/>
          <w:color w:val="auto"/>
          <w:sz w:val="28"/>
          <w:szCs w:val="28"/>
          <w:highlight w:val="none"/>
        </w:rPr>
        <w:t>5.采购需求：详见第3章。</w:t>
      </w:r>
    </w:p>
    <w:p w14:paraId="23E46651">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6.合同履行期限：自签订合同之日起1年，具体时间以采购人通知为准。</w:t>
      </w:r>
    </w:p>
    <w:p w14:paraId="26A9078E">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7.本项目是否接受联合体：</w:t>
      </w:r>
      <w:r>
        <w:rPr>
          <w:rFonts w:ascii="仿宋" w:hAnsi="仿宋" w:eastAsia="仿宋"/>
          <w:color w:val="auto"/>
          <w:sz w:val="28"/>
          <w:szCs w:val="28"/>
          <w:highlight w:val="none"/>
        </w:rPr>
        <w:t>否</w:t>
      </w:r>
      <w:r>
        <w:rPr>
          <w:rFonts w:hint="eastAsia" w:ascii="仿宋" w:hAnsi="仿宋" w:eastAsia="仿宋"/>
          <w:color w:val="auto"/>
          <w:sz w:val="28"/>
          <w:szCs w:val="28"/>
          <w:highlight w:val="none"/>
        </w:rPr>
        <w:t>。</w:t>
      </w:r>
    </w:p>
    <w:p w14:paraId="1CF7E9D0">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8.本项目是否专门面向中小企业采购：是。</w:t>
      </w:r>
    </w:p>
    <w:p w14:paraId="22FEE35D">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9.项目类型：服务。</w:t>
      </w:r>
    </w:p>
    <w:p w14:paraId="3FB09B89">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10.项目所属行业：其</w:t>
      </w:r>
      <w:r>
        <w:rPr>
          <w:rFonts w:ascii="仿宋" w:hAnsi="仿宋" w:eastAsia="仿宋"/>
          <w:color w:val="auto"/>
          <w:sz w:val="28"/>
          <w:szCs w:val="28"/>
          <w:highlight w:val="none"/>
        </w:rPr>
        <w:t>他未列明行业。</w:t>
      </w:r>
    </w:p>
    <w:p w14:paraId="4036263A">
      <w:pPr>
        <w:pStyle w:val="11"/>
        <w:spacing w:after="0" w:line="500" w:lineRule="exact"/>
        <w:ind w:firstLine="560" w:firstLineChars="200"/>
        <w:outlineLvl w:val="1"/>
        <w:rPr>
          <w:rFonts w:ascii="黑体" w:hAnsi="黑体" w:eastAsia="黑体"/>
          <w:color w:val="auto"/>
          <w:sz w:val="28"/>
          <w:szCs w:val="28"/>
          <w:highlight w:val="none"/>
        </w:rPr>
      </w:pPr>
      <w:bookmarkStart w:id="7" w:name="_Toc31534"/>
      <w:bookmarkStart w:id="8" w:name="_Toc28359090"/>
      <w:bookmarkStart w:id="9" w:name="_Toc35393630"/>
      <w:bookmarkStart w:id="10" w:name="_Toc28359013"/>
      <w:bookmarkStart w:id="11" w:name="_Toc35393799"/>
      <w:r>
        <w:rPr>
          <w:rFonts w:hint="eastAsia" w:ascii="黑体" w:hAnsi="黑体" w:eastAsia="黑体"/>
          <w:color w:val="auto"/>
          <w:sz w:val="28"/>
          <w:szCs w:val="28"/>
          <w:highlight w:val="none"/>
        </w:rPr>
        <w:t>二、响应人的资格要求：</w:t>
      </w:r>
      <w:bookmarkEnd w:id="7"/>
      <w:bookmarkEnd w:id="8"/>
      <w:bookmarkEnd w:id="9"/>
      <w:bookmarkEnd w:id="10"/>
      <w:bookmarkEnd w:id="11"/>
    </w:p>
    <w:p w14:paraId="196BD303">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1.《中华人民共和国政府采购法》第二十二条规定的条件：</w:t>
      </w:r>
    </w:p>
    <w:p w14:paraId="5343513A">
      <w:pPr>
        <w:pStyle w:val="20"/>
        <w:shd w:val="clear" w:color="auto" w:fill="FFFFFF"/>
        <w:spacing w:before="0" w:beforeAutospacing="0" w:after="0" w:afterAutospacing="0" w:line="500" w:lineRule="exact"/>
        <w:ind w:firstLine="560" w:firstLineChars="200"/>
        <w:rPr>
          <w:rFonts w:ascii="仿宋" w:hAnsi="仿宋" w:eastAsia="仿宋" w:cs="Times New Roman"/>
          <w:color w:val="auto"/>
          <w:kern w:val="2"/>
          <w:sz w:val="28"/>
          <w:szCs w:val="28"/>
          <w:highlight w:val="none"/>
        </w:rPr>
      </w:pPr>
      <w:bookmarkStart w:id="12" w:name="_Toc28359014"/>
      <w:bookmarkStart w:id="13" w:name="_Toc28359091"/>
      <w:r>
        <w:rPr>
          <w:rFonts w:hint="eastAsia" w:ascii="仿宋" w:hAnsi="仿宋" w:eastAsia="仿宋" w:cs="Times New Roman"/>
          <w:color w:val="auto"/>
          <w:kern w:val="2"/>
          <w:sz w:val="28"/>
          <w:szCs w:val="28"/>
          <w:highlight w:val="none"/>
        </w:rPr>
        <w:t>（1）具有独立承担民事责任的能力;</w:t>
      </w:r>
    </w:p>
    <w:p w14:paraId="5ED91D19">
      <w:pPr>
        <w:pStyle w:val="20"/>
        <w:shd w:val="clear" w:color="auto" w:fill="FFFFFF"/>
        <w:spacing w:before="0" w:beforeAutospacing="0" w:after="0" w:afterAutospacing="0" w:line="500" w:lineRule="exact"/>
        <w:ind w:firstLine="560" w:firstLineChars="200"/>
        <w:rPr>
          <w:rFonts w:ascii="仿宋" w:hAnsi="仿宋" w:eastAsia="仿宋" w:cs="Times New Roman"/>
          <w:color w:val="auto"/>
          <w:kern w:val="2"/>
          <w:sz w:val="28"/>
          <w:szCs w:val="28"/>
          <w:highlight w:val="none"/>
        </w:rPr>
      </w:pPr>
      <w:r>
        <w:rPr>
          <w:rFonts w:hint="eastAsia" w:ascii="仿宋" w:hAnsi="仿宋" w:eastAsia="仿宋" w:cs="Times New Roman"/>
          <w:color w:val="auto"/>
          <w:kern w:val="2"/>
          <w:sz w:val="28"/>
          <w:szCs w:val="28"/>
          <w:highlight w:val="none"/>
        </w:rPr>
        <w:t>（2）具有良好的商业信誉和健全的财务会计制度;</w:t>
      </w:r>
    </w:p>
    <w:p w14:paraId="22D9460A">
      <w:pPr>
        <w:pStyle w:val="20"/>
        <w:shd w:val="clear" w:color="auto" w:fill="FFFFFF"/>
        <w:spacing w:before="0" w:beforeAutospacing="0" w:after="0" w:afterAutospacing="0" w:line="500" w:lineRule="exact"/>
        <w:ind w:firstLine="560" w:firstLineChars="200"/>
        <w:rPr>
          <w:rFonts w:ascii="仿宋" w:hAnsi="仿宋" w:eastAsia="仿宋" w:cs="Times New Roman"/>
          <w:color w:val="auto"/>
          <w:kern w:val="2"/>
          <w:sz w:val="28"/>
          <w:szCs w:val="28"/>
          <w:highlight w:val="none"/>
        </w:rPr>
      </w:pPr>
      <w:r>
        <w:rPr>
          <w:rFonts w:hint="eastAsia" w:ascii="仿宋" w:hAnsi="仿宋" w:eastAsia="仿宋" w:cs="Times New Roman"/>
          <w:color w:val="auto"/>
          <w:kern w:val="2"/>
          <w:sz w:val="28"/>
          <w:szCs w:val="28"/>
          <w:highlight w:val="none"/>
        </w:rPr>
        <w:t>（3）具有履行合同所必需的设备和专业技术能力;</w:t>
      </w:r>
    </w:p>
    <w:p w14:paraId="44B8AAAA">
      <w:pPr>
        <w:pStyle w:val="20"/>
        <w:shd w:val="clear" w:color="auto" w:fill="FFFFFF"/>
        <w:spacing w:before="0" w:beforeAutospacing="0" w:after="0" w:afterAutospacing="0" w:line="500" w:lineRule="exact"/>
        <w:ind w:firstLine="560" w:firstLineChars="200"/>
        <w:rPr>
          <w:rFonts w:ascii="仿宋" w:hAnsi="仿宋" w:eastAsia="仿宋" w:cs="Times New Roman"/>
          <w:color w:val="auto"/>
          <w:kern w:val="2"/>
          <w:sz w:val="28"/>
          <w:szCs w:val="28"/>
          <w:highlight w:val="none"/>
        </w:rPr>
      </w:pPr>
      <w:r>
        <w:rPr>
          <w:rFonts w:hint="eastAsia" w:ascii="仿宋" w:hAnsi="仿宋" w:eastAsia="仿宋" w:cs="Times New Roman"/>
          <w:color w:val="auto"/>
          <w:kern w:val="2"/>
          <w:sz w:val="28"/>
          <w:szCs w:val="28"/>
          <w:highlight w:val="none"/>
        </w:rPr>
        <w:t>（4）有依法缴纳税收和社会保障资金的良好记录;</w:t>
      </w:r>
    </w:p>
    <w:p w14:paraId="1455389A">
      <w:pPr>
        <w:pStyle w:val="20"/>
        <w:shd w:val="clear" w:color="auto" w:fill="FFFFFF"/>
        <w:spacing w:before="0" w:beforeAutospacing="0" w:after="0" w:afterAutospacing="0" w:line="500" w:lineRule="exact"/>
        <w:ind w:firstLine="560" w:firstLineChars="200"/>
        <w:rPr>
          <w:rFonts w:ascii="仿宋" w:hAnsi="仿宋" w:eastAsia="仿宋" w:cs="Times New Roman"/>
          <w:color w:val="auto"/>
          <w:kern w:val="2"/>
          <w:sz w:val="28"/>
          <w:szCs w:val="28"/>
          <w:highlight w:val="none"/>
        </w:rPr>
      </w:pPr>
      <w:r>
        <w:rPr>
          <w:rFonts w:hint="eastAsia" w:ascii="仿宋" w:hAnsi="仿宋" w:eastAsia="仿宋" w:cs="Times New Roman"/>
          <w:color w:val="auto"/>
          <w:kern w:val="2"/>
          <w:sz w:val="28"/>
          <w:szCs w:val="28"/>
          <w:highlight w:val="none"/>
        </w:rPr>
        <w:t>（5）参加政府采购活动前三年内，在经营活动中没有重大违法记录;</w:t>
      </w:r>
    </w:p>
    <w:p w14:paraId="7B535CDC">
      <w:pPr>
        <w:pStyle w:val="20"/>
        <w:shd w:val="clear" w:color="auto" w:fill="FFFFFF"/>
        <w:spacing w:before="0" w:beforeAutospacing="0" w:after="0" w:afterAutospacing="0" w:line="500" w:lineRule="exact"/>
        <w:ind w:firstLine="560" w:firstLineChars="200"/>
        <w:rPr>
          <w:rFonts w:ascii="仿宋" w:hAnsi="仿宋" w:eastAsia="仿宋" w:cs="Times New Roman"/>
          <w:color w:val="auto"/>
          <w:kern w:val="2"/>
          <w:sz w:val="28"/>
          <w:szCs w:val="28"/>
          <w:highlight w:val="none"/>
        </w:rPr>
      </w:pPr>
      <w:r>
        <w:rPr>
          <w:rFonts w:hint="eastAsia" w:ascii="仿宋" w:hAnsi="仿宋" w:eastAsia="仿宋" w:cs="Times New Roman"/>
          <w:color w:val="auto"/>
          <w:kern w:val="2"/>
          <w:sz w:val="28"/>
          <w:szCs w:val="28"/>
          <w:highlight w:val="none"/>
        </w:rPr>
        <w:t>（6）法律、行政法规规定的其他条件。</w:t>
      </w:r>
    </w:p>
    <w:p w14:paraId="327D5984">
      <w:pPr>
        <w:spacing w:line="500" w:lineRule="exact"/>
        <w:ind w:firstLine="560" w:firstLineChars="200"/>
        <w:rPr>
          <w:rFonts w:ascii="仿宋" w:hAnsi="仿宋" w:eastAsia="仿宋"/>
          <w:color w:val="auto"/>
          <w:sz w:val="28"/>
          <w:szCs w:val="28"/>
          <w:highlight w:val="none"/>
          <w:u w:val="single"/>
        </w:rPr>
      </w:pPr>
      <w:r>
        <w:rPr>
          <w:rFonts w:ascii="仿宋" w:hAnsi="仿宋" w:eastAsia="仿宋"/>
          <w:color w:val="auto"/>
          <w:sz w:val="28"/>
          <w:szCs w:val="28"/>
          <w:highlight w:val="none"/>
        </w:rPr>
        <w:t>2</w:t>
      </w:r>
      <w:r>
        <w:rPr>
          <w:rFonts w:hint="eastAsia" w:ascii="仿宋" w:hAnsi="仿宋" w:eastAsia="仿宋"/>
          <w:color w:val="auto"/>
          <w:sz w:val="28"/>
          <w:szCs w:val="28"/>
          <w:highlight w:val="none"/>
        </w:rPr>
        <w:t>. 落实政府采购政策需满足的资格要求：</w:t>
      </w:r>
    </w:p>
    <w:p w14:paraId="6B78F701">
      <w:pPr>
        <w:pStyle w:val="20"/>
        <w:shd w:val="clear" w:color="auto" w:fill="FFFFFF"/>
        <w:spacing w:before="0" w:beforeAutospacing="0" w:after="0" w:afterAutospacing="0" w:line="500" w:lineRule="exact"/>
        <w:ind w:firstLine="482"/>
        <w:textAlignment w:val="baseline"/>
        <w:rPr>
          <w:rFonts w:ascii="仿宋" w:hAnsi="仿宋" w:eastAsia="仿宋" w:cs="Times New Roman"/>
          <w:color w:val="auto"/>
          <w:kern w:val="2"/>
          <w:sz w:val="28"/>
          <w:szCs w:val="28"/>
          <w:highlight w:val="none"/>
        </w:rPr>
      </w:pPr>
      <w:r>
        <w:rPr>
          <w:rFonts w:ascii="仿宋" w:hAnsi="仿宋" w:eastAsia="仿宋" w:cs="Times New Roman"/>
          <w:color w:val="auto"/>
          <w:kern w:val="2"/>
          <w:sz w:val="28"/>
          <w:szCs w:val="28"/>
          <w:highlight w:val="none"/>
        </w:rPr>
        <w:t>（</w:t>
      </w:r>
      <w:r>
        <w:rPr>
          <w:rFonts w:hint="eastAsia" w:ascii="仿宋" w:hAnsi="仿宋" w:eastAsia="仿宋" w:cs="Times New Roman"/>
          <w:color w:val="auto"/>
          <w:kern w:val="2"/>
          <w:sz w:val="28"/>
          <w:szCs w:val="28"/>
          <w:highlight w:val="none"/>
        </w:rPr>
        <w:t>1）提供《中小企业声明函》、《残疾人福利性单位声明函》或监狱和省级以上监狱管理局、戒毒管理局（含新疆生产建设兵团）出具的属于监狱企业的证明文件。对于专门面向中小企业采购的项目，不提供的，按无效响应处理；对于非专门面向中小企业采购的项目，</w:t>
      </w:r>
      <w:r>
        <w:rPr>
          <w:rFonts w:ascii="仿宋" w:hAnsi="仿宋" w:eastAsia="仿宋" w:cs="Times New Roman"/>
          <w:color w:val="auto"/>
          <w:kern w:val="2"/>
          <w:sz w:val="28"/>
          <w:szCs w:val="28"/>
          <w:highlight w:val="none"/>
        </w:rPr>
        <w:t>供应商</w:t>
      </w:r>
      <w:r>
        <w:rPr>
          <w:rFonts w:hint="eastAsia" w:ascii="仿宋" w:hAnsi="仿宋" w:eastAsia="仿宋" w:cs="Times New Roman"/>
          <w:color w:val="auto"/>
          <w:kern w:val="2"/>
          <w:sz w:val="28"/>
          <w:szCs w:val="28"/>
          <w:highlight w:val="none"/>
        </w:rPr>
        <w:t>属于</w:t>
      </w:r>
      <w:r>
        <w:rPr>
          <w:rFonts w:ascii="仿宋" w:hAnsi="仿宋" w:eastAsia="仿宋" w:cs="Times New Roman"/>
          <w:color w:val="auto"/>
          <w:kern w:val="2"/>
          <w:sz w:val="28"/>
          <w:szCs w:val="28"/>
          <w:highlight w:val="none"/>
        </w:rPr>
        <w:t>小微企业</w:t>
      </w:r>
      <w:r>
        <w:rPr>
          <w:rFonts w:hint="eastAsia" w:ascii="仿宋" w:hAnsi="仿宋" w:eastAsia="仿宋" w:cs="Times New Roman"/>
          <w:color w:val="auto"/>
          <w:kern w:val="2"/>
          <w:sz w:val="28"/>
          <w:szCs w:val="28"/>
          <w:highlight w:val="none"/>
        </w:rPr>
        <w:t>、</w:t>
      </w:r>
      <w:r>
        <w:rPr>
          <w:rFonts w:ascii="仿宋" w:hAnsi="仿宋" w:eastAsia="仿宋" w:cs="Times New Roman"/>
          <w:color w:val="auto"/>
          <w:kern w:val="2"/>
          <w:sz w:val="28"/>
          <w:szCs w:val="28"/>
          <w:highlight w:val="none"/>
        </w:rPr>
        <w:t>监狱企业</w:t>
      </w:r>
      <w:r>
        <w:rPr>
          <w:rFonts w:hint="eastAsia" w:ascii="仿宋" w:hAnsi="仿宋" w:eastAsia="仿宋" w:cs="Times New Roman"/>
          <w:color w:val="auto"/>
          <w:kern w:val="2"/>
          <w:sz w:val="28"/>
          <w:szCs w:val="28"/>
          <w:highlight w:val="none"/>
        </w:rPr>
        <w:t>或者</w:t>
      </w:r>
      <w:r>
        <w:rPr>
          <w:rFonts w:ascii="仿宋" w:hAnsi="仿宋" w:eastAsia="仿宋" w:cs="Times New Roman"/>
          <w:color w:val="auto"/>
          <w:kern w:val="2"/>
          <w:sz w:val="28"/>
          <w:szCs w:val="28"/>
          <w:highlight w:val="none"/>
        </w:rPr>
        <w:t>残疾人福利性单位的</w:t>
      </w:r>
      <w:r>
        <w:rPr>
          <w:rFonts w:hint="eastAsia" w:ascii="仿宋" w:hAnsi="仿宋" w:eastAsia="仿宋" w:cs="Times New Roman"/>
          <w:color w:val="auto"/>
          <w:kern w:val="2"/>
          <w:sz w:val="28"/>
          <w:szCs w:val="28"/>
          <w:highlight w:val="none"/>
        </w:rPr>
        <w:t>，享受价格扣除优惠。</w:t>
      </w:r>
    </w:p>
    <w:p w14:paraId="393CDF51">
      <w:pPr>
        <w:pStyle w:val="20"/>
        <w:shd w:val="clear" w:color="auto" w:fill="FFFFFF"/>
        <w:spacing w:before="0" w:beforeAutospacing="0" w:after="0" w:afterAutospacing="0" w:line="500" w:lineRule="exact"/>
        <w:ind w:firstLine="482"/>
        <w:textAlignment w:val="baseline"/>
        <w:rPr>
          <w:rFonts w:ascii="仿宋" w:hAnsi="仿宋" w:eastAsia="仿宋"/>
          <w:iCs/>
          <w:color w:val="auto"/>
          <w:sz w:val="28"/>
          <w:szCs w:val="28"/>
          <w:highlight w:val="none"/>
        </w:rPr>
      </w:pPr>
      <w:r>
        <w:rPr>
          <w:rFonts w:hint="eastAsia" w:ascii="仿宋" w:hAnsi="仿宋" w:eastAsia="仿宋" w:cs="Times New Roman"/>
          <w:color w:val="auto"/>
          <w:kern w:val="2"/>
          <w:sz w:val="28"/>
          <w:szCs w:val="28"/>
          <w:highlight w:val="none"/>
        </w:rPr>
        <w:t>（2）</w:t>
      </w:r>
      <w:r>
        <w:rPr>
          <w:rFonts w:hint="eastAsia" w:ascii="仿宋" w:hAnsi="仿宋" w:eastAsia="仿宋"/>
          <w:iCs/>
          <w:color w:val="auto"/>
          <w:sz w:val="28"/>
          <w:szCs w:val="28"/>
          <w:highlight w:val="none"/>
        </w:rPr>
        <w:t>响应产品属于财政部、国家发改委公布的“节能产品品目清单”范围内的，须提供国家确定的认证机构出具的、处于有效期之内的节能产品认证证书复印件,以及全国认证认可信息公共服务平台查询截图</w:t>
      </w:r>
      <w:r>
        <w:rPr>
          <w:rFonts w:hint="eastAsia" w:ascii="仿宋" w:hAnsi="仿宋" w:eastAsia="仿宋" w:cs="Times New Roman"/>
          <w:iCs/>
          <w:color w:val="auto"/>
          <w:kern w:val="2"/>
          <w:sz w:val="28"/>
          <w:szCs w:val="28"/>
          <w:highlight w:val="none"/>
        </w:rPr>
        <w:t>。</w:t>
      </w:r>
    </w:p>
    <w:p w14:paraId="71B957F0">
      <w:pPr>
        <w:pStyle w:val="20"/>
        <w:shd w:val="clear" w:color="auto" w:fill="FFFFFF"/>
        <w:spacing w:before="0" w:beforeAutospacing="0" w:after="0" w:afterAutospacing="0" w:line="500" w:lineRule="exact"/>
        <w:ind w:firstLine="482"/>
        <w:textAlignment w:val="baseline"/>
        <w:rPr>
          <w:rFonts w:ascii="仿宋" w:hAnsi="仿宋" w:eastAsia="仿宋" w:cs="Times New Roman"/>
          <w:color w:val="auto"/>
          <w:kern w:val="2"/>
          <w:sz w:val="28"/>
          <w:szCs w:val="28"/>
          <w:highlight w:val="none"/>
        </w:rPr>
      </w:pPr>
      <w:r>
        <w:rPr>
          <w:rFonts w:hint="eastAsia" w:ascii="仿宋" w:hAnsi="仿宋" w:eastAsia="仿宋"/>
          <w:iCs/>
          <w:color w:val="auto"/>
          <w:sz w:val="28"/>
          <w:szCs w:val="28"/>
          <w:highlight w:val="none"/>
        </w:rPr>
        <w:t>（3）</w:t>
      </w:r>
      <w:r>
        <w:rPr>
          <w:rFonts w:hint="eastAsia" w:ascii="仿宋" w:hAnsi="仿宋" w:eastAsia="仿宋" w:cs="Times New Roman"/>
          <w:iCs/>
          <w:color w:val="auto"/>
          <w:kern w:val="2"/>
          <w:sz w:val="28"/>
          <w:szCs w:val="28"/>
          <w:highlight w:val="none"/>
        </w:rPr>
        <w:t>响应产品如属于财政部、生态环境部公布的“环境标志产品品目清单”范围内的，须提供国家确定的认证机构出具的、处于有效期内的环境标志产品认证证书复印件</w:t>
      </w:r>
      <w:r>
        <w:rPr>
          <w:rFonts w:hint="eastAsia" w:ascii="仿宋" w:hAnsi="仿宋" w:eastAsia="仿宋"/>
          <w:iCs/>
          <w:color w:val="auto"/>
          <w:sz w:val="28"/>
          <w:szCs w:val="28"/>
          <w:highlight w:val="none"/>
        </w:rPr>
        <w:t>,以及全国认证认可信息公共服务平台查询截图</w:t>
      </w:r>
      <w:r>
        <w:rPr>
          <w:rFonts w:hint="eastAsia" w:ascii="仿宋" w:hAnsi="仿宋" w:eastAsia="仿宋" w:cs="Times New Roman"/>
          <w:iCs/>
          <w:color w:val="auto"/>
          <w:kern w:val="2"/>
          <w:sz w:val="28"/>
          <w:szCs w:val="28"/>
          <w:highlight w:val="none"/>
        </w:rPr>
        <w:t>。</w:t>
      </w:r>
    </w:p>
    <w:p w14:paraId="6E474626">
      <w:pPr>
        <w:spacing w:line="500" w:lineRule="exact"/>
        <w:ind w:firstLine="560" w:firstLineChars="200"/>
        <w:rPr>
          <w:rFonts w:ascii="仿宋" w:hAnsi="仿宋" w:eastAsia="仿宋"/>
          <w:color w:val="auto"/>
          <w:sz w:val="28"/>
          <w:szCs w:val="28"/>
          <w:highlight w:val="none"/>
        </w:rPr>
      </w:pPr>
      <w:r>
        <w:rPr>
          <w:rFonts w:hint="eastAsia" w:ascii="仿宋" w:hAnsi="仿宋" w:eastAsia="仿宋" w:cs="Times New Roman"/>
          <w:color w:val="auto"/>
          <w:kern w:val="2"/>
          <w:sz w:val="28"/>
          <w:szCs w:val="28"/>
          <w:highlight w:val="none"/>
        </w:rPr>
        <w:t>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rPr>
          <w:rFonts w:hint="eastAsia" w:ascii="仿宋" w:hAnsi="仿宋" w:eastAsia="仿宋" w:cs="Times New Roman"/>
          <w:b/>
          <w:bCs/>
          <w:color w:val="auto"/>
          <w:kern w:val="2"/>
          <w:sz w:val="28"/>
          <w:szCs w:val="28"/>
          <w:highlight w:val="none"/>
          <w:lang w:val="en-US" w:eastAsia="zh-CN"/>
        </w:rPr>
        <w:t>响应供应商须</w:t>
      </w:r>
      <w:r>
        <w:rPr>
          <w:rFonts w:hint="eastAsia" w:ascii="仿宋" w:hAnsi="仿宋" w:eastAsia="仿宋" w:cs="Times New Roman"/>
          <w:b/>
          <w:bCs/>
          <w:color w:val="auto"/>
          <w:kern w:val="2"/>
          <w:sz w:val="28"/>
          <w:szCs w:val="28"/>
          <w:highlight w:val="none"/>
          <w:lang w:eastAsia="zh-CN"/>
        </w:rPr>
        <w:t>提供承诺函，格式自拟。</w:t>
      </w:r>
      <w:r>
        <w:rPr>
          <w:rFonts w:hint="eastAsia" w:ascii="仿宋" w:hAnsi="仿宋" w:eastAsia="仿宋" w:cs="Times New Roman"/>
          <w:b/>
          <w:bCs/>
          <w:color w:val="auto"/>
          <w:kern w:val="2"/>
          <w:sz w:val="28"/>
          <w:szCs w:val="28"/>
          <w:highlight w:val="none"/>
          <w:lang w:val="en-US" w:eastAsia="zh-CN"/>
        </w:rPr>
        <w:t>不提供视为无效响应。</w:t>
      </w:r>
    </w:p>
    <w:p w14:paraId="5E599C60">
      <w:pPr>
        <w:spacing w:line="500" w:lineRule="exact"/>
        <w:ind w:firstLine="560" w:firstLineChars="200"/>
        <w:rPr>
          <w:rFonts w:ascii="仿宋" w:hAnsi="仿宋" w:eastAsia="仿宋"/>
          <w:iCs/>
          <w:color w:val="auto"/>
          <w:sz w:val="28"/>
          <w:szCs w:val="28"/>
          <w:highlight w:val="none"/>
        </w:rPr>
      </w:pPr>
      <w:r>
        <w:rPr>
          <w:rFonts w:hint="eastAsia" w:ascii="仿宋" w:hAnsi="仿宋" w:eastAsia="仿宋"/>
          <w:color w:val="auto"/>
          <w:sz w:val="28"/>
          <w:szCs w:val="28"/>
          <w:highlight w:val="none"/>
        </w:rPr>
        <w:t>4. 本项目的特定资格要求：无。</w:t>
      </w:r>
    </w:p>
    <w:p w14:paraId="198691F2">
      <w:pPr>
        <w:pStyle w:val="20"/>
        <w:shd w:val="clear" w:color="auto" w:fill="FFFFFF"/>
        <w:spacing w:before="0" w:beforeAutospacing="0" w:after="0" w:afterAutospacing="0" w:line="500" w:lineRule="exact"/>
        <w:ind w:firstLine="567"/>
        <w:textAlignment w:val="baseline"/>
        <w:rPr>
          <w:rFonts w:ascii="仿宋" w:hAnsi="仿宋" w:eastAsia="仿宋" w:cs="Times New Roman"/>
          <w:color w:val="auto"/>
          <w:kern w:val="2"/>
          <w:sz w:val="28"/>
          <w:szCs w:val="28"/>
          <w:highlight w:val="none"/>
        </w:rPr>
      </w:pPr>
      <w:r>
        <w:rPr>
          <w:rFonts w:hint="eastAsia" w:ascii="仿宋" w:hAnsi="仿宋" w:eastAsia="仿宋"/>
          <w:iCs/>
          <w:color w:val="auto"/>
          <w:sz w:val="28"/>
          <w:szCs w:val="28"/>
          <w:highlight w:val="none"/>
        </w:rPr>
        <w:t>5.</w:t>
      </w:r>
      <w:r>
        <w:rPr>
          <w:rFonts w:hint="eastAsia" w:ascii="仿宋" w:hAnsi="仿宋" w:eastAsia="仿宋"/>
          <w:color w:val="auto"/>
          <w:sz w:val="28"/>
          <w:szCs w:val="28"/>
          <w:highlight w:val="none"/>
        </w:rPr>
        <w:t xml:space="preserve"> 供应商的法定代表人参加竞争性磋商活动的，须在响应文件中提供法定代表人身份证明和身份证复印件；委托代理人参加竞争性磋商活动的，还须在响应文件中提供法定代表人的</w:t>
      </w:r>
      <w:r>
        <w:rPr>
          <w:rFonts w:hint="eastAsia" w:ascii="仿宋" w:hAnsi="仿宋" w:eastAsia="仿宋"/>
          <w:iCs/>
          <w:color w:val="auto"/>
          <w:sz w:val="28"/>
          <w:szCs w:val="28"/>
          <w:highlight w:val="none"/>
        </w:rPr>
        <w:t>授权委托书。代理人须为响应供应商的正式员工，并提供响应文件提交截止日前最近1个月响应供应商为其缴纳社保的证明；新成立企业距响应文件提交截止日期不足30日的，可不提供缴纳社保的证明（以新办企业营业执照发放日期为准）。</w:t>
      </w:r>
    </w:p>
    <w:p w14:paraId="63E5210B">
      <w:pPr>
        <w:spacing w:line="500" w:lineRule="exact"/>
        <w:ind w:firstLine="560" w:firstLineChars="200"/>
        <w:rPr>
          <w:rFonts w:ascii="仿宋" w:hAnsi="仿宋" w:eastAsia="仿宋"/>
          <w:i/>
          <w:iCs/>
          <w:color w:val="auto"/>
          <w:sz w:val="28"/>
          <w:szCs w:val="28"/>
          <w:highlight w:val="none"/>
          <w:u w:val="single"/>
        </w:rPr>
      </w:pPr>
      <w:r>
        <w:rPr>
          <w:rFonts w:hint="eastAsia" w:ascii="仿宋" w:hAnsi="仿宋" w:eastAsia="仿宋"/>
          <w:color w:val="auto"/>
          <w:sz w:val="28"/>
          <w:szCs w:val="28"/>
          <w:highlight w:val="none"/>
        </w:rPr>
        <w:t>6.未被“信用中国（www.creditchina.gov.cn）”、“中国政府采购网（http://www.ccgp.gov.cn/）”网站列入失信被执行人或重大税收违法案件当事人名单或政府采购严重失信行为记录名单，查询结果以评审过程中现场网络截图为准。</w:t>
      </w:r>
    </w:p>
    <w:p w14:paraId="2520E611">
      <w:pPr>
        <w:pStyle w:val="11"/>
        <w:spacing w:after="0" w:line="500" w:lineRule="exact"/>
        <w:ind w:firstLine="560" w:firstLineChars="200"/>
        <w:outlineLvl w:val="1"/>
        <w:rPr>
          <w:rFonts w:ascii="黑体" w:hAnsi="黑体" w:eastAsia="黑体"/>
          <w:color w:val="auto"/>
          <w:sz w:val="28"/>
          <w:szCs w:val="28"/>
          <w:highlight w:val="none"/>
        </w:rPr>
      </w:pPr>
      <w:bookmarkStart w:id="14" w:name="_Toc28508"/>
      <w:bookmarkStart w:id="15" w:name="_Toc35393800"/>
      <w:bookmarkStart w:id="16" w:name="_Toc35393631"/>
      <w:r>
        <w:rPr>
          <w:rFonts w:hint="eastAsia" w:ascii="黑体" w:hAnsi="黑体" w:eastAsia="黑体"/>
          <w:color w:val="auto"/>
          <w:sz w:val="28"/>
          <w:szCs w:val="28"/>
          <w:highlight w:val="none"/>
        </w:rPr>
        <w:t>三、获取竞争性磋商文件</w:t>
      </w:r>
      <w:bookmarkEnd w:id="12"/>
      <w:bookmarkEnd w:id="13"/>
      <w:bookmarkEnd w:id="14"/>
      <w:bookmarkEnd w:id="15"/>
      <w:bookmarkEnd w:id="16"/>
    </w:p>
    <w:p w14:paraId="42578C73">
      <w:pPr>
        <w:spacing w:line="500" w:lineRule="exact"/>
        <w:ind w:firstLine="540"/>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1. 时间：公告发布之日起5个工作日内</w:t>
      </w:r>
    </w:p>
    <w:p w14:paraId="6D2704DA">
      <w:pPr>
        <w:spacing w:line="500" w:lineRule="exact"/>
        <w:ind w:firstLine="540"/>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2. 地点：江苏省政府采购网</w:t>
      </w:r>
    </w:p>
    <w:p w14:paraId="3713DFAF">
      <w:pPr>
        <w:spacing w:line="500" w:lineRule="exact"/>
        <w:ind w:firstLine="540"/>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3. 方式：</w:t>
      </w:r>
      <w:r>
        <w:rPr>
          <w:rFonts w:hint="eastAsia" w:ascii="仿宋" w:hAnsi="仿宋" w:eastAsia="仿宋" w:cs="仿宋"/>
          <w:color w:val="auto"/>
          <w:sz w:val="30"/>
          <w:highlight w:val="none"/>
        </w:rPr>
        <w:t>本项目采用“苏采云”系统网上注册登记方式，具体详见《江苏省政府采购管理交易系统（苏采云）投标人操作手册》。</w:t>
      </w:r>
    </w:p>
    <w:p w14:paraId="5FCEEBE6">
      <w:pPr>
        <w:pStyle w:val="11"/>
        <w:spacing w:after="0" w:line="500" w:lineRule="exact"/>
        <w:ind w:firstLine="560" w:firstLineChars="200"/>
        <w:outlineLvl w:val="1"/>
        <w:rPr>
          <w:rFonts w:ascii="黑体" w:hAnsi="黑体" w:eastAsia="黑体"/>
          <w:color w:val="auto"/>
          <w:sz w:val="28"/>
          <w:szCs w:val="28"/>
          <w:highlight w:val="none"/>
        </w:rPr>
      </w:pPr>
      <w:bookmarkStart w:id="17" w:name="_Toc35393632"/>
      <w:bookmarkStart w:id="18" w:name="_Toc35393801"/>
      <w:bookmarkStart w:id="19" w:name="_Toc28359092"/>
      <w:bookmarkStart w:id="20" w:name="_Toc28359015"/>
      <w:bookmarkStart w:id="21" w:name="_Toc19217"/>
      <w:r>
        <w:rPr>
          <w:rFonts w:hint="eastAsia" w:ascii="黑体" w:hAnsi="黑体" w:eastAsia="黑体"/>
          <w:color w:val="auto"/>
          <w:sz w:val="28"/>
          <w:szCs w:val="28"/>
          <w:highlight w:val="none"/>
        </w:rPr>
        <w:t>四、</w:t>
      </w:r>
      <w:bookmarkEnd w:id="17"/>
      <w:bookmarkEnd w:id="18"/>
      <w:bookmarkEnd w:id="19"/>
      <w:bookmarkEnd w:id="20"/>
      <w:r>
        <w:rPr>
          <w:rFonts w:hint="eastAsia" w:ascii="黑体" w:hAnsi="黑体" w:eastAsia="黑体"/>
          <w:color w:val="auto"/>
          <w:sz w:val="28"/>
          <w:szCs w:val="28"/>
          <w:highlight w:val="none"/>
        </w:rPr>
        <w:t>竞争性磋商响应文件提交和开启</w:t>
      </w:r>
      <w:bookmarkEnd w:id="21"/>
    </w:p>
    <w:p w14:paraId="05C94762">
      <w:pPr>
        <w:spacing w:line="500" w:lineRule="exact"/>
        <w:ind w:firstLine="560" w:firstLineChars="200"/>
        <w:rPr>
          <w:rFonts w:ascii="仿宋" w:hAnsi="仿宋" w:eastAsia="仿宋"/>
          <w:bCs/>
          <w:color w:val="auto"/>
          <w:sz w:val="28"/>
          <w:szCs w:val="28"/>
          <w:highlight w:val="none"/>
        </w:rPr>
      </w:pPr>
      <w:r>
        <w:rPr>
          <w:rFonts w:hint="eastAsia" w:ascii="仿宋" w:hAnsi="仿宋" w:eastAsia="仿宋"/>
          <w:color w:val="auto"/>
          <w:sz w:val="28"/>
          <w:szCs w:val="28"/>
          <w:highlight w:val="none"/>
        </w:rPr>
        <w:t>截止时间：2026</w:t>
      </w:r>
      <w:r>
        <w:rPr>
          <w:rFonts w:hint="eastAsia" w:ascii="仿宋" w:hAnsi="仿宋" w:eastAsia="仿宋"/>
          <w:bCs/>
          <w:color w:val="auto"/>
          <w:sz w:val="28"/>
          <w:szCs w:val="28"/>
          <w:highlight w:val="none"/>
        </w:rPr>
        <w:t>年</w:t>
      </w:r>
      <w:r>
        <w:rPr>
          <w:rFonts w:hint="eastAsia" w:ascii="仿宋" w:hAnsi="仿宋" w:eastAsia="仿宋"/>
          <w:bCs/>
          <w:color w:val="auto"/>
          <w:sz w:val="28"/>
          <w:szCs w:val="28"/>
          <w:highlight w:val="none"/>
          <w:lang w:val="en-US" w:eastAsia="zh-CN"/>
        </w:rPr>
        <w:t>04</w:t>
      </w:r>
      <w:r>
        <w:rPr>
          <w:rFonts w:hint="eastAsia" w:ascii="仿宋" w:hAnsi="仿宋" w:eastAsia="仿宋"/>
          <w:bCs/>
          <w:color w:val="auto"/>
          <w:sz w:val="28"/>
          <w:szCs w:val="28"/>
          <w:highlight w:val="none"/>
        </w:rPr>
        <w:t>月</w:t>
      </w:r>
      <w:r>
        <w:rPr>
          <w:rFonts w:hint="eastAsia" w:ascii="仿宋" w:hAnsi="仿宋" w:eastAsia="仿宋"/>
          <w:bCs/>
          <w:color w:val="auto"/>
          <w:sz w:val="28"/>
          <w:szCs w:val="28"/>
          <w:highlight w:val="none"/>
          <w:lang w:val="en-US" w:eastAsia="zh-CN"/>
        </w:rPr>
        <w:t>21</w:t>
      </w:r>
      <w:r>
        <w:rPr>
          <w:rFonts w:hint="eastAsia" w:ascii="仿宋" w:hAnsi="仿宋" w:eastAsia="仿宋"/>
          <w:bCs/>
          <w:color w:val="auto"/>
          <w:sz w:val="28"/>
          <w:szCs w:val="28"/>
          <w:highlight w:val="none"/>
        </w:rPr>
        <w:t>日09点00分（北京时间）</w:t>
      </w:r>
    </w:p>
    <w:p w14:paraId="371B9CA4">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地点：通过“苏采云”系统提交，具体详见《江苏省政府采购管理交易系统（苏采云）投标人操作手册》。</w:t>
      </w:r>
    </w:p>
    <w:p w14:paraId="35CE2043">
      <w:pPr>
        <w:spacing w:line="500" w:lineRule="exact"/>
        <w:ind w:firstLine="560"/>
        <w:rPr>
          <w:rFonts w:ascii="仿宋" w:hAnsi="仿宋" w:eastAsia="仿宋"/>
          <w:bCs/>
          <w:color w:val="auto"/>
          <w:sz w:val="28"/>
          <w:szCs w:val="28"/>
          <w:highlight w:val="none"/>
        </w:rPr>
      </w:pPr>
      <w:r>
        <w:rPr>
          <w:rFonts w:hint="eastAsia" w:ascii="仿宋" w:hAnsi="仿宋" w:eastAsia="仿宋"/>
          <w:color w:val="auto"/>
          <w:sz w:val="28"/>
          <w:szCs w:val="28"/>
          <w:highlight w:val="none"/>
        </w:rPr>
        <w:t>开启时间：2026</w:t>
      </w:r>
      <w:r>
        <w:rPr>
          <w:rFonts w:hint="eastAsia" w:ascii="仿宋" w:hAnsi="仿宋" w:eastAsia="仿宋"/>
          <w:bCs/>
          <w:color w:val="auto"/>
          <w:sz w:val="28"/>
          <w:szCs w:val="28"/>
          <w:highlight w:val="none"/>
        </w:rPr>
        <w:t>年</w:t>
      </w:r>
      <w:r>
        <w:rPr>
          <w:rFonts w:hint="eastAsia" w:ascii="仿宋" w:hAnsi="仿宋" w:eastAsia="仿宋"/>
          <w:bCs/>
          <w:color w:val="auto"/>
          <w:sz w:val="28"/>
          <w:szCs w:val="28"/>
          <w:highlight w:val="none"/>
          <w:lang w:val="en-US" w:eastAsia="zh-CN"/>
        </w:rPr>
        <w:t>04</w:t>
      </w:r>
      <w:r>
        <w:rPr>
          <w:rFonts w:hint="eastAsia" w:ascii="仿宋" w:hAnsi="仿宋" w:eastAsia="仿宋"/>
          <w:bCs/>
          <w:color w:val="auto"/>
          <w:sz w:val="28"/>
          <w:szCs w:val="28"/>
          <w:highlight w:val="none"/>
        </w:rPr>
        <w:t>月</w:t>
      </w:r>
      <w:r>
        <w:rPr>
          <w:rFonts w:hint="eastAsia" w:ascii="仿宋" w:hAnsi="仿宋" w:eastAsia="仿宋"/>
          <w:bCs/>
          <w:color w:val="auto"/>
          <w:sz w:val="28"/>
          <w:szCs w:val="28"/>
          <w:highlight w:val="none"/>
          <w:lang w:val="en-US" w:eastAsia="zh-CN"/>
        </w:rPr>
        <w:t>21</w:t>
      </w:r>
      <w:r>
        <w:rPr>
          <w:rFonts w:hint="eastAsia" w:ascii="仿宋" w:hAnsi="仿宋" w:eastAsia="仿宋"/>
          <w:bCs/>
          <w:color w:val="auto"/>
          <w:sz w:val="28"/>
          <w:szCs w:val="28"/>
          <w:highlight w:val="none"/>
        </w:rPr>
        <w:t>日09点00分（北京时间）</w:t>
      </w:r>
    </w:p>
    <w:p w14:paraId="63B18069">
      <w:pPr>
        <w:spacing w:line="500" w:lineRule="exact"/>
        <w:ind w:firstLine="560" w:firstLineChars="200"/>
        <w:rPr>
          <w:rFonts w:ascii="仿宋" w:hAnsi="仿宋" w:eastAsia="仿宋"/>
          <w:color w:val="auto"/>
          <w:sz w:val="28"/>
          <w:szCs w:val="28"/>
          <w:highlight w:val="none"/>
        </w:rPr>
      </w:pPr>
      <w:r>
        <w:rPr>
          <w:rFonts w:hint="eastAsia" w:ascii="仿宋" w:hAnsi="仿宋" w:eastAsia="仿宋"/>
          <w:bCs/>
          <w:color w:val="auto"/>
          <w:sz w:val="28"/>
          <w:szCs w:val="28"/>
          <w:highlight w:val="none"/>
        </w:rPr>
        <w:t>开启地点：</w:t>
      </w:r>
      <w:r>
        <w:rPr>
          <w:rFonts w:ascii="仿宋" w:hAnsi="仿宋" w:eastAsia="仿宋"/>
          <w:color w:val="auto"/>
          <w:sz w:val="28"/>
          <w:szCs w:val="28"/>
          <w:highlight w:val="none"/>
        </w:rPr>
        <w:t>“苏采云”系统（网址：http://jszfcg.jsczt.cn/）“开标大厅”。</w:t>
      </w:r>
    </w:p>
    <w:p w14:paraId="16B0409D">
      <w:pPr>
        <w:pStyle w:val="11"/>
        <w:spacing w:after="0" w:line="500" w:lineRule="exact"/>
        <w:ind w:firstLine="560" w:firstLineChars="200"/>
        <w:outlineLvl w:val="1"/>
        <w:rPr>
          <w:rFonts w:ascii="黑体" w:hAnsi="黑体" w:eastAsia="黑体"/>
          <w:color w:val="auto"/>
          <w:sz w:val="28"/>
          <w:szCs w:val="28"/>
          <w:highlight w:val="none"/>
        </w:rPr>
      </w:pPr>
      <w:bookmarkStart w:id="22" w:name="_Toc35393634"/>
      <w:bookmarkStart w:id="23" w:name="_Toc35393803"/>
      <w:bookmarkStart w:id="24" w:name="_Toc17952"/>
      <w:bookmarkStart w:id="25" w:name="_Toc28359094"/>
      <w:bookmarkStart w:id="26" w:name="_Toc28359017"/>
      <w:r>
        <w:rPr>
          <w:rFonts w:hint="eastAsia" w:ascii="黑体" w:hAnsi="黑体" w:eastAsia="黑体"/>
          <w:color w:val="auto"/>
          <w:sz w:val="28"/>
          <w:szCs w:val="28"/>
          <w:highlight w:val="none"/>
        </w:rPr>
        <w:t>五、公告期限</w:t>
      </w:r>
      <w:bookmarkEnd w:id="22"/>
      <w:bookmarkEnd w:id="23"/>
      <w:bookmarkEnd w:id="24"/>
      <w:bookmarkEnd w:id="25"/>
      <w:bookmarkEnd w:id="26"/>
    </w:p>
    <w:p w14:paraId="09ED9D52">
      <w:pPr>
        <w:spacing w:line="500" w:lineRule="exact"/>
        <w:ind w:firstLine="560" w:firstLineChars="200"/>
        <w:rPr>
          <w:rFonts w:ascii="仿宋" w:hAnsi="仿宋" w:eastAsia="仿宋" w:cs="宋体"/>
          <w:color w:val="auto"/>
          <w:kern w:val="0"/>
          <w:sz w:val="28"/>
          <w:szCs w:val="28"/>
          <w:highlight w:val="none"/>
        </w:rPr>
      </w:pPr>
      <w:r>
        <w:rPr>
          <w:rFonts w:hint="eastAsia" w:ascii="仿宋" w:hAnsi="仿宋" w:eastAsia="仿宋" w:cs="宋体"/>
          <w:color w:val="auto"/>
          <w:kern w:val="0"/>
          <w:sz w:val="28"/>
          <w:szCs w:val="28"/>
          <w:highlight w:val="none"/>
        </w:rPr>
        <w:t>自本公告发布之日起3个工作日。</w:t>
      </w:r>
    </w:p>
    <w:p w14:paraId="730EB5CA">
      <w:pPr>
        <w:pStyle w:val="11"/>
        <w:spacing w:after="0" w:line="500" w:lineRule="exact"/>
        <w:ind w:firstLine="560" w:firstLineChars="200"/>
        <w:outlineLvl w:val="1"/>
        <w:rPr>
          <w:rFonts w:ascii="黑体" w:hAnsi="黑体" w:eastAsia="黑体"/>
          <w:color w:val="auto"/>
          <w:sz w:val="28"/>
          <w:szCs w:val="28"/>
          <w:highlight w:val="none"/>
        </w:rPr>
      </w:pPr>
      <w:bookmarkStart w:id="27" w:name="_Toc17820"/>
      <w:bookmarkStart w:id="28" w:name="_Toc35393804"/>
      <w:bookmarkStart w:id="29" w:name="_Toc35393635"/>
      <w:r>
        <w:rPr>
          <w:rFonts w:hint="eastAsia" w:ascii="黑体" w:hAnsi="黑体" w:eastAsia="黑体"/>
          <w:color w:val="auto"/>
          <w:sz w:val="28"/>
          <w:szCs w:val="28"/>
          <w:highlight w:val="none"/>
        </w:rPr>
        <w:t>六、其他补充事宜</w:t>
      </w:r>
      <w:bookmarkEnd w:id="27"/>
      <w:bookmarkEnd w:id="28"/>
      <w:bookmarkEnd w:id="29"/>
    </w:p>
    <w:p w14:paraId="0FB4FEE5">
      <w:pPr>
        <w:spacing w:line="500" w:lineRule="exact"/>
        <w:ind w:firstLine="565" w:firstLineChars="202"/>
        <w:rPr>
          <w:rFonts w:ascii="仿宋" w:hAnsi="仿宋" w:eastAsia="仿宋" w:cs="宋体"/>
          <w:bCs/>
          <w:color w:val="auto"/>
          <w:sz w:val="28"/>
          <w:szCs w:val="28"/>
          <w:highlight w:val="none"/>
        </w:rPr>
      </w:pPr>
      <w:r>
        <w:rPr>
          <w:rFonts w:hint="eastAsia" w:ascii="仿宋" w:hAnsi="仿宋" w:eastAsia="仿宋" w:cs="宋体"/>
          <w:color w:val="auto"/>
          <w:sz w:val="28"/>
          <w:szCs w:val="28"/>
          <w:highlight w:val="none"/>
        </w:rPr>
        <w:t>1.</w:t>
      </w:r>
      <w:r>
        <w:rPr>
          <w:rFonts w:hint="eastAsia" w:ascii="仿宋" w:hAnsi="仿宋" w:eastAsia="仿宋" w:cs="宋体"/>
          <w:bCs/>
          <w:color w:val="auto"/>
          <w:sz w:val="28"/>
          <w:szCs w:val="28"/>
          <w:highlight w:val="none"/>
        </w:rPr>
        <w:t>本项目采用电子化交易模式，</w:t>
      </w:r>
      <w:r>
        <w:rPr>
          <w:rFonts w:hint="eastAsia" w:ascii="仿宋" w:hAnsi="仿宋" w:eastAsia="仿宋"/>
          <w:color w:val="auto"/>
          <w:sz w:val="28"/>
          <w:szCs w:val="28"/>
          <w:highlight w:val="none"/>
        </w:rPr>
        <w:t>具体详见</w:t>
      </w:r>
      <w:r>
        <w:rPr>
          <w:rFonts w:hint="eastAsia" w:ascii="仿宋" w:hAnsi="仿宋" w:eastAsia="仿宋"/>
          <w:bCs/>
          <w:color w:val="auto"/>
          <w:sz w:val="28"/>
          <w:szCs w:val="28"/>
          <w:highlight w:val="none"/>
        </w:rPr>
        <w:t>《江苏省政府采购管理交易系统（苏采云）供应商操作指南》</w:t>
      </w:r>
      <w:r>
        <w:rPr>
          <w:rFonts w:hint="eastAsia" w:ascii="仿宋" w:hAnsi="仿宋" w:eastAsia="仿宋"/>
          <w:color w:val="auto"/>
          <w:sz w:val="28"/>
          <w:szCs w:val="28"/>
          <w:highlight w:val="none"/>
        </w:rPr>
        <w:t>，特别</w:t>
      </w:r>
      <w:r>
        <w:rPr>
          <w:rFonts w:hint="eastAsia" w:ascii="仿宋" w:hAnsi="仿宋" w:eastAsia="仿宋" w:cs="宋体"/>
          <w:bCs/>
          <w:color w:val="auto"/>
          <w:sz w:val="28"/>
          <w:szCs w:val="28"/>
          <w:highlight w:val="none"/>
        </w:rPr>
        <w:t>注意以下事项：</w:t>
      </w:r>
    </w:p>
    <w:p w14:paraId="23DFBFA4">
      <w:pPr>
        <w:spacing w:line="500" w:lineRule="exact"/>
        <w:ind w:firstLine="560" w:firstLineChars="200"/>
        <w:rPr>
          <w:rFonts w:ascii="仿宋" w:hAnsi="仿宋" w:eastAsia="仿宋" w:cs="宋体"/>
          <w:bCs/>
          <w:color w:val="auto"/>
          <w:sz w:val="28"/>
          <w:szCs w:val="28"/>
          <w:highlight w:val="none"/>
        </w:rPr>
      </w:pPr>
      <w:r>
        <w:rPr>
          <w:rFonts w:hint="eastAsia" w:ascii="仿宋" w:hAnsi="仿宋" w:eastAsia="仿宋" w:cs="宋体"/>
          <w:bCs/>
          <w:color w:val="auto"/>
          <w:sz w:val="28"/>
          <w:szCs w:val="28"/>
          <w:highlight w:val="none"/>
        </w:rPr>
        <w:t>（1）“苏采云”系统的网址为：http://jszfcg.jsczt.cn/；</w:t>
      </w:r>
    </w:p>
    <w:p w14:paraId="0AE210BE">
      <w:pPr>
        <w:spacing w:line="500" w:lineRule="exact"/>
        <w:ind w:firstLine="560" w:firstLineChars="200"/>
        <w:rPr>
          <w:rFonts w:ascii="仿宋" w:hAnsi="仿宋" w:eastAsia="仿宋" w:cs="宋体"/>
          <w:bCs/>
          <w:color w:val="auto"/>
          <w:sz w:val="28"/>
          <w:szCs w:val="28"/>
          <w:highlight w:val="none"/>
        </w:rPr>
      </w:pPr>
      <w:r>
        <w:rPr>
          <w:rFonts w:hint="eastAsia" w:ascii="仿宋" w:hAnsi="仿宋" w:eastAsia="仿宋" w:cs="宋体"/>
          <w:bCs/>
          <w:color w:val="auto"/>
          <w:sz w:val="28"/>
          <w:szCs w:val="28"/>
          <w:highlight w:val="none"/>
        </w:rPr>
        <w:t>（2）响应供应商需办理“CA 数字证书”的，可参阅“江苏省政府采购网/办事指南/资料下载”中有关资料（</w:t>
      </w:r>
      <w:r>
        <w:rPr>
          <w:color w:val="auto"/>
          <w:highlight w:val="none"/>
        </w:rPr>
        <w:fldChar w:fldCharType="begin"/>
      </w:r>
      <w:r>
        <w:rPr>
          <w:color w:val="auto"/>
          <w:highlight w:val="none"/>
        </w:rPr>
        <w:instrText xml:space="preserve"> HYPERLINK "http://jsxcmm.com/help/gys.html" </w:instrText>
      </w:r>
      <w:r>
        <w:rPr>
          <w:color w:val="auto"/>
          <w:highlight w:val="none"/>
        </w:rPr>
        <w:fldChar w:fldCharType="separate"/>
      </w:r>
      <w:r>
        <w:rPr>
          <w:rStyle w:val="28"/>
          <w:rFonts w:ascii="仿宋" w:hAnsi="仿宋" w:eastAsia="仿宋" w:cs="宋体"/>
          <w:bCs/>
          <w:color w:val="auto"/>
          <w:sz w:val="28"/>
          <w:szCs w:val="28"/>
          <w:highlight w:val="none"/>
        </w:rPr>
        <w:t>http://jsxcmm.com/help/gys.html</w:t>
      </w:r>
      <w:r>
        <w:rPr>
          <w:rStyle w:val="28"/>
          <w:rFonts w:ascii="仿宋" w:hAnsi="仿宋" w:eastAsia="仿宋" w:cs="宋体"/>
          <w:bCs/>
          <w:color w:val="auto"/>
          <w:sz w:val="28"/>
          <w:szCs w:val="28"/>
          <w:highlight w:val="none"/>
        </w:rPr>
        <w:fldChar w:fldCharType="end"/>
      </w:r>
      <w:r>
        <w:rPr>
          <w:rFonts w:ascii="仿宋" w:hAnsi="仿宋" w:eastAsia="仿宋" w:cs="宋体"/>
          <w:bCs/>
          <w:color w:val="auto"/>
          <w:sz w:val="28"/>
          <w:szCs w:val="28"/>
          <w:highlight w:val="none"/>
        </w:rPr>
        <w:t>）</w:t>
      </w:r>
      <w:r>
        <w:rPr>
          <w:rFonts w:hint="eastAsia" w:ascii="仿宋" w:hAnsi="仿宋" w:eastAsia="仿宋" w:cs="宋体"/>
          <w:bCs/>
          <w:color w:val="auto"/>
          <w:sz w:val="28"/>
          <w:szCs w:val="28"/>
          <w:highlight w:val="none"/>
        </w:rPr>
        <w:t>。</w:t>
      </w:r>
    </w:p>
    <w:p w14:paraId="11A2A3A0">
      <w:pPr>
        <w:spacing w:line="500" w:lineRule="exact"/>
        <w:ind w:firstLine="560" w:firstLineChars="200"/>
        <w:rPr>
          <w:rFonts w:ascii="仿宋" w:hAnsi="仿宋" w:eastAsia="仿宋"/>
          <w:color w:val="auto"/>
          <w:sz w:val="28"/>
          <w:szCs w:val="28"/>
          <w:highlight w:val="none"/>
        </w:rPr>
      </w:pPr>
      <w:r>
        <w:rPr>
          <w:rFonts w:hint="eastAsia" w:ascii="仿宋" w:hAnsi="仿宋" w:eastAsia="仿宋" w:cs="仿宋"/>
          <w:color w:val="auto"/>
          <w:sz w:val="28"/>
          <w:szCs w:val="28"/>
          <w:highlight w:val="none"/>
        </w:rPr>
        <w:t>（3）</w:t>
      </w:r>
      <w:r>
        <w:rPr>
          <w:rFonts w:ascii="仿宋" w:hAnsi="仿宋" w:eastAsia="仿宋"/>
          <w:color w:val="auto"/>
          <w:sz w:val="28"/>
          <w:szCs w:val="28"/>
          <w:highlight w:val="none"/>
        </w:rPr>
        <w:t>使用谷歌浏览器。</w:t>
      </w:r>
    </w:p>
    <w:p w14:paraId="6140B2A0">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（4）</w:t>
      </w:r>
      <w:r>
        <w:rPr>
          <w:rFonts w:ascii="仿宋" w:hAnsi="仿宋" w:eastAsia="仿宋"/>
          <w:color w:val="auto"/>
          <w:sz w:val="28"/>
          <w:szCs w:val="28"/>
          <w:highlight w:val="none"/>
        </w:rPr>
        <w:t>提前准备好麦克风、音响，摄像头，</w:t>
      </w:r>
      <w:r>
        <w:rPr>
          <w:rFonts w:hint="eastAsia" w:ascii="仿宋" w:hAnsi="仿宋" w:eastAsia="仿宋"/>
          <w:color w:val="auto"/>
          <w:sz w:val="28"/>
          <w:szCs w:val="28"/>
          <w:highlight w:val="none"/>
        </w:rPr>
        <w:t>并</w:t>
      </w:r>
      <w:r>
        <w:rPr>
          <w:rFonts w:ascii="仿宋" w:hAnsi="仿宋" w:eastAsia="仿宋"/>
          <w:color w:val="auto"/>
          <w:sz w:val="28"/>
          <w:szCs w:val="28"/>
          <w:highlight w:val="none"/>
        </w:rPr>
        <w:t>检查保证能够正常使用。</w:t>
      </w:r>
    </w:p>
    <w:p w14:paraId="3A4CD6E9">
      <w:pPr>
        <w:spacing w:line="500" w:lineRule="exact"/>
        <w:ind w:firstLine="560" w:firstLineChars="200"/>
        <w:rPr>
          <w:rFonts w:ascii="仿宋" w:hAnsi="仿宋" w:eastAsia="仿宋" w:cs="宋体"/>
          <w:bCs/>
          <w:color w:val="auto"/>
          <w:sz w:val="28"/>
          <w:szCs w:val="28"/>
          <w:highlight w:val="none"/>
        </w:rPr>
      </w:pPr>
      <w:r>
        <w:rPr>
          <w:rFonts w:hint="eastAsia" w:ascii="仿宋" w:hAnsi="仿宋" w:eastAsia="仿宋"/>
          <w:color w:val="auto"/>
          <w:sz w:val="28"/>
          <w:szCs w:val="28"/>
          <w:highlight w:val="none"/>
        </w:rPr>
        <w:t>（5）</w:t>
      </w:r>
      <w:r>
        <w:rPr>
          <w:rFonts w:ascii="仿宋" w:hAnsi="仿宋" w:eastAsia="仿宋"/>
          <w:color w:val="auto"/>
          <w:sz w:val="28"/>
          <w:szCs w:val="28"/>
          <w:highlight w:val="none"/>
        </w:rPr>
        <w:t>操作系统至少win7以上，建议使用win10操作系统。</w:t>
      </w:r>
    </w:p>
    <w:p w14:paraId="596B7AEB">
      <w:pPr>
        <w:spacing w:line="500" w:lineRule="exact"/>
        <w:ind w:firstLine="560" w:firstLineChars="200"/>
        <w:rPr>
          <w:rFonts w:ascii="仿宋" w:hAnsi="仿宋" w:eastAsia="仿宋"/>
          <w:b/>
          <w:color w:val="auto"/>
          <w:sz w:val="28"/>
          <w:szCs w:val="28"/>
          <w:highlight w:val="none"/>
        </w:rPr>
      </w:pPr>
      <w:r>
        <w:rPr>
          <w:rFonts w:hint="eastAsia" w:ascii="仿宋" w:hAnsi="仿宋" w:eastAsia="仿宋" w:cs="宋体"/>
          <w:bCs/>
          <w:color w:val="auto"/>
          <w:sz w:val="28"/>
          <w:szCs w:val="28"/>
          <w:highlight w:val="none"/>
        </w:rPr>
        <w:t>（6）供应商应当通过“苏采云”系统提交电子响应文件，响应文件不得超过150M。</w:t>
      </w:r>
    </w:p>
    <w:p w14:paraId="534932C8">
      <w:pPr>
        <w:spacing w:line="500" w:lineRule="exact"/>
        <w:ind w:firstLine="565" w:firstLineChars="202"/>
        <w:rPr>
          <w:rFonts w:ascii="仿宋" w:hAnsi="仿宋" w:eastAsia="仿宋"/>
          <w:b/>
          <w:color w:val="auto"/>
          <w:sz w:val="28"/>
          <w:szCs w:val="28"/>
          <w:highlight w:val="none"/>
        </w:rPr>
      </w:pPr>
      <w:r>
        <w:rPr>
          <w:rFonts w:hint="eastAsia" w:ascii="仿宋" w:hAnsi="仿宋" w:eastAsia="仿宋" w:cs="宋体"/>
          <w:color w:val="auto"/>
          <w:sz w:val="28"/>
          <w:szCs w:val="28"/>
          <w:highlight w:val="none"/>
        </w:rPr>
        <w:t>2. 磋商</w:t>
      </w:r>
      <w:r>
        <w:rPr>
          <w:rFonts w:ascii="仿宋" w:hAnsi="仿宋" w:eastAsia="仿宋" w:cs="宋体"/>
          <w:color w:val="auto"/>
          <w:sz w:val="28"/>
          <w:szCs w:val="28"/>
          <w:highlight w:val="none"/>
        </w:rPr>
        <w:t>保证金</w:t>
      </w:r>
      <w:r>
        <w:rPr>
          <w:rFonts w:hint="eastAsia" w:ascii="仿宋" w:hAnsi="仿宋" w:eastAsia="仿宋" w:cs="宋体"/>
          <w:color w:val="auto"/>
          <w:sz w:val="28"/>
          <w:szCs w:val="28"/>
          <w:highlight w:val="none"/>
        </w:rPr>
        <w:t>及履约保证金</w:t>
      </w:r>
      <w:r>
        <w:rPr>
          <w:rFonts w:ascii="仿宋" w:hAnsi="仿宋" w:eastAsia="仿宋" w:cs="宋体"/>
          <w:color w:val="auto"/>
          <w:sz w:val="28"/>
          <w:szCs w:val="28"/>
          <w:highlight w:val="none"/>
        </w:rPr>
        <w:t>：免收</w:t>
      </w:r>
      <w:r>
        <w:rPr>
          <w:rFonts w:hint="eastAsia" w:ascii="仿宋" w:hAnsi="仿宋" w:eastAsia="仿宋" w:cs="宋体"/>
          <w:color w:val="auto"/>
          <w:sz w:val="28"/>
          <w:szCs w:val="28"/>
          <w:highlight w:val="none"/>
        </w:rPr>
        <w:t>。</w:t>
      </w:r>
    </w:p>
    <w:p w14:paraId="68AD8B8B">
      <w:pPr>
        <w:pStyle w:val="11"/>
        <w:spacing w:after="0" w:line="500" w:lineRule="exact"/>
        <w:ind w:firstLine="560" w:firstLineChars="200"/>
        <w:outlineLvl w:val="1"/>
        <w:rPr>
          <w:rFonts w:ascii="黑体" w:hAnsi="黑体" w:eastAsia="黑体"/>
          <w:color w:val="auto"/>
          <w:sz w:val="28"/>
          <w:szCs w:val="28"/>
          <w:highlight w:val="none"/>
        </w:rPr>
      </w:pPr>
      <w:bookmarkStart w:id="30" w:name="_Toc28359095"/>
      <w:bookmarkStart w:id="31" w:name="_Toc35393805"/>
      <w:bookmarkStart w:id="32" w:name="_Toc28359018"/>
      <w:bookmarkStart w:id="33" w:name="_Toc35393636"/>
      <w:bookmarkStart w:id="34" w:name="_Toc25502"/>
      <w:r>
        <w:rPr>
          <w:rFonts w:hint="eastAsia" w:ascii="黑体" w:hAnsi="黑体" w:eastAsia="黑体"/>
          <w:color w:val="auto"/>
          <w:sz w:val="28"/>
          <w:szCs w:val="28"/>
          <w:highlight w:val="none"/>
        </w:rPr>
        <w:t>七、凡对本次采购提出询问，请按</w:t>
      </w:r>
      <w:r>
        <w:rPr>
          <w:rFonts w:ascii="黑体" w:hAnsi="黑体" w:eastAsia="黑体"/>
          <w:color w:val="auto"/>
          <w:sz w:val="28"/>
          <w:szCs w:val="28"/>
          <w:highlight w:val="none"/>
        </w:rPr>
        <w:t>以下方式</w:t>
      </w:r>
      <w:r>
        <w:rPr>
          <w:rFonts w:hint="eastAsia" w:ascii="黑体" w:hAnsi="黑体" w:eastAsia="黑体"/>
          <w:color w:val="auto"/>
          <w:sz w:val="28"/>
          <w:szCs w:val="28"/>
          <w:highlight w:val="none"/>
        </w:rPr>
        <w:t>联系。</w:t>
      </w:r>
      <w:bookmarkEnd w:id="30"/>
      <w:bookmarkEnd w:id="31"/>
      <w:bookmarkEnd w:id="32"/>
      <w:bookmarkEnd w:id="33"/>
      <w:bookmarkEnd w:id="34"/>
    </w:p>
    <w:p w14:paraId="6E45DF8B">
      <w:pPr>
        <w:spacing w:line="500" w:lineRule="exact"/>
        <w:ind w:firstLine="540"/>
        <w:rPr>
          <w:rFonts w:ascii="仿宋" w:hAnsi="仿宋" w:eastAsia="仿宋" w:cs="宋体"/>
          <w:color w:val="auto"/>
          <w:sz w:val="28"/>
          <w:szCs w:val="28"/>
          <w:highlight w:val="none"/>
        </w:rPr>
      </w:pPr>
      <w:bookmarkStart w:id="35" w:name="_Toc35393637"/>
      <w:bookmarkStart w:id="36" w:name="_Toc28359096"/>
      <w:bookmarkStart w:id="37" w:name="_Toc28359019"/>
      <w:bookmarkStart w:id="38" w:name="_Toc35393806"/>
      <w:r>
        <w:rPr>
          <w:rFonts w:hint="eastAsia" w:ascii="仿宋" w:hAnsi="仿宋" w:eastAsia="仿宋" w:cs="宋体"/>
          <w:color w:val="auto"/>
          <w:sz w:val="28"/>
          <w:szCs w:val="28"/>
          <w:highlight w:val="none"/>
        </w:rPr>
        <w:t>1. 采购人信息</w:t>
      </w:r>
      <w:bookmarkEnd w:id="35"/>
      <w:bookmarkEnd w:id="36"/>
      <w:bookmarkEnd w:id="37"/>
      <w:bookmarkEnd w:id="38"/>
    </w:p>
    <w:p w14:paraId="11696580">
      <w:pPr>
        <w:spacing w:line="500" w:lineRule="exact"/>
        <w:ind w:left="1129" w:leftChars="371" w:hanging="350" w:hangingChars="125"/>
        <w:jc w:val="left"/>
        <w:rPr>
          <w:rFonts w:ascii="仿宋" w:hAnsi="仿宋" w:eastAsia="仿宋"/>
          <w:color w:val="auto"/>
          <w:sz w:val="28"/>
          <w:szCs w:val="28"/>
          <w:highlight w:val="none"/>
        </w:rPr>
      </w:pPr>
      <w:r>
        <w:rPr>
          <w:rFonts w:hint="eastAsia" w:ascii="仿宋" w:hAnsi="仿宋" w:eastAsia="仿宋"/>
          <w:color w:val="auto"/>
          <w:sz w:val="28"/>
          <w:szCs w:val="28"/>
          <w:highlight w:val="none"/>
        </w:rPr>
        <w:t>名    称：南通市如皋生态环境局</w:t>
      </w:r>
    </w:p>
    <w:p w14:paraId="3E486DF0">
      <w:pPr>
        <w:spacing w:line="500" w:lineRule="exact"/>
        <w:ind w:left="1129" w:leftChars="371" w:hanging="350" w:hangingChars="125"/>
        <w:jc w:val="left"/>
        <w:rPr>
          <w:rFonts w:ascii="仿宋" w:hAnsi="仿宋" w:eastAsia="仿宋"/>
          <w:color w:val="auto"/>
          <w:sz w:val="28"/>
          <w:szCs w:val="28"/>
          <w:highlight w:val="none"/>
        </w:rPr>
      </w:pPr>
      <w:r>
        <w:rPr>
          <w:rFonts w:hint="eastAsia" w:ascii="仿宋" w:hAnsi="仿宋" w:eastAsia="仿宋"/>
          <w:color w:val="auto"/>
          <w:sz w:val="28"/>
          <w:szCs w:val="28"/>
          <w:highlight w:val="none"/>
        </w:rPr>
        <w:t>地    址：江苏省南通如皋市如城街道解放西路12号</w:t>
      </w:r>
    </w:p>
    <w:p w14:paraId="0FE1B571">
      <w:pPr>
        <w:spacing w:line="500" w:lineRule="exact"/>
        <w:ind w:left="1129" w:leftChars="371" w:hanging="350" w:hangingChars="125"/>
        <w:jc w:val="left"/>
        <w:rPr>
          <w:rFonts w:ascii="仿宋" w:hAnsi="仿宋" w:eastAsia="仿宋"/>
          <w:color w:val="auto"/>
          <w:sz w:val="28"/>
          <w:szCs w:val="28"/>
          <w:highlight w:val="none"/>
        </w:rPr>
      </w:pPr>
      <w:r>
        <w:rPr>
          <w:rFonts w:hint="eastAsia" w:ascii="仿宋" w:hAnsi="仿宋" w:eastAsia="仿宋"/>
          <w:color w:val="auto"/>
          <w:sz w:val="28"/>
          <w:szCs w:val="28"/>
          <w:highlight w:val="none"/>
        </w:rPr>
        <w:t>项目经办人姓名：缪柳柳</w:t>
      </w:r>
    </w:p>
    <w:p w14:paraId="16B640A3">
      <w:pPr>
        <w:spacing w:line="500" w:lineRule="exact"/>
        <w:ind w:left="1129" w:leftChars="371" w:hanging="350" w:hangingChars="125"/>
        <w:jc w:val="left"/>
        <w:rPr>
          <w:rFonts w:ascii="仿宋" w:hAnsi="仿宋" w:eastAsia="仿宋"/>
          <w:color w:val="auto"/>
          <w:sz w:val="28"/>
          <w:szCs w:val="28"/>
          <w:highlight w:val="none"/>
        </w:rPr>
      </w:pPr>
      <w:r>
        <w:rPr>
          <w:rFonts w:hint="eastAsia" w:ascii="仿宋" w:hAnsi="仿宋" w:eastAsia="仿宋"/>
          <w:color w:val="auto"/>
          <w:sz w:val="28"/>
          <w:szCs w:val="28"/>
          <w:highlight w:val="none"/>
        </w:rPr>
        <w:t>项目经办人联系方式：18862735208</w:t>
      </w:r>
    </w:p>
    <w:p w14:paraId="22E1DFA1">
      <w:pPr>
        <w:spacing w:line="500" w:lineRule="exact"/>
        <w:ind w:firstLine="540"/>
        <w:rPr>
          <w:rFonts w:ascii="仿宋" w:hAnsi="仿宋" w:eastAsia="仿宋" w:cs="宋体"/>
          <w:color w:val="auto"/>
          <w:sz w:val="28"/>
          <w:szCs w:val="28"/>
          <w:highlight w:val="none"/>
        </w:rPr>
      </w:pPr>
      <w:bookmarkStart w:id="39" w:name="_Toc28359020"/>
      <w:bookmarkStart w:id="40" w:name="_Toc28359097"/>
      <w:bookmarkStart w:id="41" w:name="_Toc35393807"/>
      <w:bookmarkStart w:id="42" w:name="_Toc35393638"/>
      <w:r>
        <w:rPr>
          <w:rFonts w:hint="eastAsia" w:ascii="仿宋" w:hAnsi="仿宋" w:eastAsia="仿宋" w:cs="宋体"/>
          <w:color w:val="auto"/>
          <w:sz w:val="28"/>
          <w:szCs w:val="28"/>
          <w:highlight w:val="none"/>
        </w:rPr>
        <w:t>2. 采购代理机构信息</w:t>
      </w:r>
      <w:bookmarkEnd w:id="39"/>
      <w:bookmarkEnd w:id="40"/>
      <w:bookmarkEnd w:id="41"/>
      <w:bookmarkEnd w:id="42"/>
    </w:p>
    <w:p w14:paraId="5148F7A8">
      <w:pPr>
        <w:spacing w:line="500" w:lineRule="exact"/>
        <w:ind w:firstLine="840" w:firstLineChars="300"/>
        <w:rPr>
          <w:rFonts w:ascii="仿宋" w:hAnsi="仿宋" w:eastAsia="仿宋"/>
          <w:color w:val="auto"/>
          <w:sz w:val="28"/>
          <w:szCs w:val="28"/>
          <w:highlight w:val="none"/>
        </w:rPr>
      </w:pPr>
      <w:r>
        <w:rPr>
          <w:rFonts w:hint="eastAsia" w:ascii="仿宋" w:hAnsi="仿宋" w:eastAsia="仿宋"/>
          <w:color w:val="auto"/>
          <w:sz w:val="28"/>
          <w:szCs w:val="28"/>
          <w:highlight w:val="none"/>
        </w:rPr>
        <w:t>名    称：南通中江工程项目管理有限公司</w:t>
      </w:r>
    </w:p>
    <w:p w14:paraId="7A4721D3">
      <w:pPr>
        <w:spacing w:line="500" w:lineRule="exact"/>
        <w:ind w:firstLine="840" w:firstLineChars="300"/>
        <w:rPr>
          <w:rFonts w:ascii="仿宋" w:hAnsi="仿宋" w:eastAsia="仿宋"/>
          <w:color w:val="auto"/>
          <w:sz w:val="28"/>
          <w:szCs w:val="28"/>
          <w:highlight w:val="none"/>
        </w:rPr>
      </w:pPr>
      <w:r>
        <w:rPr>
          <w:rFonts w:hint="eastAsia" w:ascii="仿宋" w:hAnsi="仿宋" w:eastAsia="仿宋"/>
          <w:color w:val="auto"/>
          <w:sz w:val="28"/>
          <w:szCs w:val="28"/>
          <w:highlight w:val="none"/>
        </w:rPr>
        <w:t>地　　址：如皋市如城街道惠政路269号纪庄大楼9层</w:t>
      </w:r>
    </w:p>
    <w:p w14:paraId="24E54AAA">
      <w:pPr>
        <w:spacing w:line="500" w:lineRule="exact"/>
        <w:ind w:firstLine="840" w:firstLineChars="300"/>
        <w:rPr>
          <w:rFonts w:ascii="仿宋" w:hAnsi="仿宋" w:eastAsia="仿宋"/>
          <w:color w:val="auto"/>
          <w:sz w:val="28"/>
          <w:szCs w:val="28"/>
          <w:highlight w:val="none"/>
          <w:u w:val="single"/>
        </w:rPr>
      </w:pPr>
      <w:r>
        <w:rPr>
          <w:rFonts w:hint="eastAsia" w:ascii="仿宋" w:hAnsi="仿宋" w:eastAsia="仿宋"/>
          <w:color w:val="auto"/>
          <w:sz w:val="28"/>
          <w:szCs w:val="28"/>
          <w:highlight w:val="none"/>
        </w:rPr>
        <w:t>项目经办人姓名：魏书丽</w:t>
      </w:r>
    </w:p>
    <w:p w14:paraId="14C90C19">
      <w:pPr>
        <w:spacing w:line="500" w:lineRule="exact"/>
        <w:ind w:firstLine="840" w:firstLineChars="300"/>
        <w:rPr>
          <w:rFonts w:ascii="仿宋" w:hAnsi="仿宋" w:eastAsia="仿宋"/>
          <w:color w:val="auto"/>
          <w:sz w:val="28"/>
          <w:szCs w:val="28"/>
          <w:highlight w:val="none"/>
        </w:rPr>
      </w:pPr>
      <w:r>
        <w:rPr>
          <w:rFonts w:hint="eastAsia" w:ascii="仿宋" w:hAnsi="仿宋" w:eastAsia="仿宋"/>
          <w:color w:val="auto"/>
          <w:sz w:val="28"/>
          <w:szCs w:val="28"/>
          <w:highlight w:val="none"/>
        </w:rPr>
        <w:t>项目经办人联系方式：15051237698</w:t>
      </w:r>
    </w:p>
    <w:p w14:paraId="030B76FB">
      <w:pPr>
        <w:spacing w:line="500" w:lineRule="exact"/>
        <w:ind w:firstLine="840" w:firstLineChars="300"/>
        <w:rPr>
          <w:rFonts w:ascii="仿宋" w:hAnsi="仿宋" w:eastAsia="仿宋"/>
          <w:color w:val="auto"/>
          <w:sz w:val="28"/>
          <w:szCs w:val="28"/>
          <w:highlight w:val="none"/>
          <w:u w:val="single"/>
        </w:rPr>
      </w:pPr>
    </w:p>
    <w:p w14:paraId="781E0646">
      <w:pPr>
        <w:adjustRightInd w:val="0"/>
        <w:snapToGrid w:val="0"/>
        <w:spacing w:line="500" w:lineRule="exact"/>
        <w:rPr>
          <w:rFonts w:ascii="仿宋" w:hAnsi="仿宋" w:eastAsia="仿宋"/>
          <w:b/>
          <w:color w:val="auto"/>
          <w:sz w:val="28"/>
          <w:szCs w:val="28"/>
          <w:highlight w:val="none"/>
        </w:rPr>
      </w:pPr>
      <w:r>
        <w:rPr>
          <w:rFonts w:ascii="仿宋" w:hAnsi="仿宋" w:eastAsia="仿宋"/>
          <w:b/>
          <w:color w:val="auto"/>
          <w:sz w:val="28"/>
          <w:szCs w:val="28"/>
          <w:highlight w:val="none"/>
        </w:rPr>
        <w:t>附件:</w:t>
      </w:r>
    </w:p>
    <w:p w14:paraId="5F9BAA58">
      <w:pPr>
        <w:adjustRightInd w:val="0"/>
        <w:snapToGrid w:val="0"/>
        <w:spacing w:line="50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1.办理政采贷和履约保函（保险）告知函</w:t>
      </w:r>
    </w:p>
    <w:p w14:paraId="1FDEC82E">
      <w:pPr>
        <w:adjustRightInd w:val="0"/>
        <w:snapToGrid w:val="0"/>
        <w:spacing w:line="50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2.磋商</w:t>
      </w:r>
      <w:r>
        <w:rPr>
          <w:rFonts w:ascii="仿宋" w:hAnsi="仿宋" w:eastAsia="仿宋"/>
          <w:b/>
          <w:color w:val="auto"/>
          <w:sz w:val="28"/>
          <w:szCs w:val="28"/>
          <w:highlight w:val="none"/>
        </w:rPr>
        <w:t>文件</w:t>
      </w:r>
    </w:p>
    <w:p w14:paraId="392A0B23">
      <w:pPr>
        <w:pStyle w:val="44"/>
        <w:spacing w:before="0" w:after="0" w:line="500" w:lineRule="exact"/>
        <w:ind w:firstLine="0"/>
        <w:rPr>
          <w:rFonts w:ascii="仿宋" w:hAnsi="仿宋" w:eastAsia="仿宋"/>
          <w:b/>
          <w:color w:val="auto"/>
          <w:sz w:val="28"/>
          <w:szCs w:val="28"/>
          <w:highlight w:val="none"/>
        </w:rPr>
      </w:pPr>
      <w:r>
        <w:rPr>
          <w:rFonts w:hint="eastAsia" w:ascii="仿宋" w:hAnsi="仿宋" w:eastAsia="仿宋"/>
          <w:b/>
          <w:color w:val="auto"/>
          <w:sz w:val="28"/>
          <w:szCs w:val="28"/>
          <w:highlight w:val="none"/>
        </w:rPr>
        <w:t>3.采购人</w:t>
      </w:r>
      <w:r>
        <w:rPr>
          <w:rFonts w:ascii="仿宋" w:hAnsi="仿宋" w:eastAsia="仿宋"/>
          <w:b/>
          <w:color w:val="auto"/>
          <w:sz w:val="28"/>
          <w:szCs w:val="28"/>
          <w:highlight w:val="none"/>
        </w:rPr>
        <w:t>信用承诺</w:t>
      </w:r>
    </w:p>
    <w:p w14:paraId="5E597EF4">
      <w:pPr>
        <w:pStyle w:val="44"/>
        <w:spacing w:line="240" w:lineRule="auto"/>
        <w:ind w:firstLine="0"/>
        <w:jc w:val="center"/>
        <w:outlineLvl w:val="0"/>
        <w:rPr>
          <w:rFonts w:ascii="方正小标宋简体" w:eastAsia="方正小标宋简体"/>
          <w:bCs/>
          <w:color w:val="auto"/>
          <w:sz w:val="32"/>
          <w:szCs w:val="32"/>
          <w:highlight w:val="none"/>
        </w:rPr>
      </w:pPr>
      <w:r>
        <w:rPr>
          <w:rFonts w:ascii="仿宋" w:hAnsi="仿宋" w:eastAsia="仿宋"/>
          <w:b/>
          <w:color w:val="auto"/>
          <w:sz w:val="28"/>
          <w:szCs w:val="28"/>
          <w:highlight w:val="none"/>
        </w:rPr>
        <w:br w:type="page"/>
      </w:r>
      <w:bookmarkStart w:id="43" w:name="_Toc10472"/>
      <w:r>
        <w:rPr>
          <w:rFonts w:hint="eastAsia" w:ascii="方正小标宋简体" w:eastAsia="方正小标宋简体"/>
          <w:bCs/>
          <w:color w:val="auto"/>
          <w:sz w:val="32"/>
          <w:szCs w:val="32"/>
          <w:highlight w:val="none"/>
        </w:rPr>
        <w:t>第2章 磋商须知</w:t>
      </w:r>
      <w:bookmarkEnd w:id="43"/>
    </w:p>
    <w:p w14:paraId="73585016">
      <w:pPr>
        <w:spacing w:line="500" w:lineRule="exact"/>
        <w:ind w:firstLine="548" w:firstLineChars="196"/>
        <w:outlineLvl w:val="1"/>
        <w:rPr>
          <w:rFonts w:ascii="黑体" w:hAnsi="黑体" w:eastAsia="黑体"/>
          <w:color w:val="auto"/>
          <w:sz w:val="28"/>
          <w:szCs w:val="28"/>
          <w:highlight w:val="none"/>
        </w:rPr>
      </w:pPr>
      <w:bookmarkStart w:id="44" w:name="_Toc23817"/>
      <w:r>
        <w:rPr>
          <w:rFonts w:hint="eastAsia" w:ascii="黑体" w:hAnsi="黑体" w:eastAsia="黑体"/>
          <w:color w:val="auto"/>
          <w:sz w:val="28"/>
          <w:szCs w:val="28"/>
          <w:highlight w:val="none"/>
        </w:rPr>
        <w:t>1. 参加磋商费用</w:t>
      </w:r>
      <w:bookmarkEnd w:id="44"/>
    </w:p>
    <w:p w14:paraId="75E16F97">
      <w:pPr>
        <w:tabs>
          <w:tab w:val="left" w:pos="900"/>
        </w:tabs>
        <w:spacing w:afterLines="50"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参加竞争性磋商活动的供应商，应自行承担所有与准备和参加竞争性磋商活动有关的费用，无论磋商过程中做法和结果如何，采购人或者代理机构在任何情况下均无义务和责任承担这些费用。</w:t>
      </w:r>
    </w:p>
    <w:p w14:paraId="522C5449">
      <w:pPr>
        <w:tabs>
          <w:tab w:val="left" w:pos="900"/>
        </w:tabs>
        <w:spacing w:afterLines="50" w:line="500" w:lineRule="exact"/>
        <w:ind w:firstLine="557" w:firstLineChars="199"/>
        <w:outlineLvl w:val="1"/>
        <w:rPr>
          <w:rFonts w:ascii="黑体" w:hAnsi="黑体" w:eastAsia="黑体"/>
          <w:color w:val="auto"/>
          <w:sz w:val="28"/>
          <w:szCs w:val="28"/>
          <w:highlight w:val="none"/>
        </w:rPr>
      </w:pPr>
      <w:bookmarkStart w:id="45" w:name="_Toc20180"/>
      <w:r>
        <w:rPr>
          <w:rFonts w:hint="eastAsia" w:ascii="黑体" w:hAnsi="黑体" w:eastAsia="黑体"/>
          <w:color w:val="auto"/>
          <w:sz w:val="28"/>
          <w:szCs w:val="28"/>
          <w:highlight w:val="none"/>
        </w:rPr>
        <w:t>2. 磋商文件的约束力</w:t>
      </w:r>
      <w:bookmarkEnd w:id="45"/>
    </w:p>
    <w:p w14:paraId="1746505E">
      <w:pPr>
        <w:tabs>
          <w:tab w:val="left" w:pos="900"/>
        </w:tabs>
        <w:spacing w:line="500" w:lineRule="exact"/>
        <w:ind w:left="120" w:leftChars="57" w:firstLine="557" w:firstLineChars="199"/>
        <w:rPr>
          <w:rFonts w:ascii="仿宋" w:hAnsi="仿宋" w:eastAsia="仿宋"/>
          <w:color w:val="auto"/>
          <w:sz w:val="28"/>
          <w:szCs w:val="28"/>
          <w:highlight w:val="none"/>
        </w:rPr>
      </w:pPr>
      <w:r>
        <w:rPr>
          <w:rFonts w:hint="eastAsia" w:ascii="仿宋" w:hAnsi="仿宋" w:eastAsia="仿宋"/>
          <w:color w:val="auto"/>
          <w:sz w:val="28"/>
          <w:szCs w:val="28"/>
          <w:highlight w:val="none"/>
        </w:rPr>
        <w:t>2.1供应商一旦参加本项目磋商活动，即被认为接受了本磋商文件的规定和约束。本磋商文件由磋商公告、磋商须知、采购需求、合同文本、评审标准和评审方法、响应文件组成、以及</w:t>
      </w:r>
      <w:r>
        <w:rPr>
          <w:rFonts w:hint="eastAsia" w:ascii="仿宋" w:hAnsi="仿宋" w:eastAsia="仿宋"/>
          <w:bCs/>
          <w:color w:val="auto"/>
          <w:sz w:val="28"/>
          <w:szCs w:val="28"/>
          <w:highlight w:val="none"/>
        </w:rPr>
        <w:t>“苏采云”系统相关要求</w:t>
      </w:r>
      <w:r>
        <w:rPr>
          <w:rFonts w:hint="eastAsia" w:ascii="仿宋" w:hAnsi="仿宋" w:eastAsia="仿宋"/>
          <w:color w:val="auto"/>
          <w:sz w:val="28"/>
          <w:szCs w:val="28"/>
          <w:highlight w:val="none"/>
        </w:rPr>
        <w:t>等部分组成。</w:t>
      </w:r>
    </w:p>
    <w:p w14:paraId="59437BE0">
      <w:pPr>
        <w:tabs>
          <w:tab w:val="left" w:pos="900"/>
        </w:tabs>
        <w:spacing w:line="500" w:lineRule="exact"/>
        <w:ind w:firstLine="697" w:firstLineChars="249"/>
        <w:rPr>
          <w:rFonts w:ascii="仿宋" w:hAnsi="仿宋" w:eastAsia="仿宋"/>
          <w:color w:val="auto"/>
          <w:sz w:val="28"/>
          <w:szCs w:val="28"/>
          <w:highlight w:val="none"/>
        </w:rPr>
      </w:pPr>
      <w:r>
        <w:rPr>
          <w:rFonts w:hint="eastAsia" w:ascii="仿宋" w:hAnsi="仿宋" w:eastAsia="仿宋"/>
          <w:color w:val="auto"/>
          <w:sz w:val="28"/>
          <w:szCs w:val="28"/>
          <w:highlight w:val="none"/>
        </w:rPr>
        <w:t>2.2提交首次响应文件截止之日前，采购人、采购代理机构或者磋商小组可以对已发出的磋商文件进行必要的澄清或者修改，通过“苏采云”系统发布澄清公告或者修改的内容，并以所发布的本项目的“更正（澄清）公告”的形式通知所有获取采购文件的潜在供应商。敬请各潜在供应商关注本项目的“更正（澄清）公告”，并通过“苏采云”系统重新下载更正（澄清）后的采购文件（后缀名为“.kedt”），离线编制响应文件，否则，将自行承担相应的风险。</w:t>
      </w:r>
    </w:p>
    <w:p w14:paraId="1C40DF44">
      <w:pPr>
        <w:tabs>
          <w:tab w:val="left" w:pos="900"/>
        </w:tabs>
        <w:spacing w:line="500" w:lineRule="exact"/>
        <w:ind w:firstLine="697" w:firstLineChars="249"/>
        <w:rPr>
          <w:rFonts w:ascii="仿宋" w:hAnsi="仿宋" w:eastAsia="仿宋"/>
          <w:color w:val="auto"/>
          <w:sz w:val="28"/>
          <w:szCs w:val="28"/>
          <w:highlight w:val="none"/>
        </w:rPr>
      </w:pPr>
      <w:r>
        <w:rPr>
          <w:rFonts w:hint="eastAsia" w:ascii="仿宋" w:hAnsi="仿宋" w:eastAsia="仿宋"/>
          <w:color w:val="auto"/>
          <w:sz w:val="28"/>
          <w:szCs w:val="28"/>
          <w:highlight w:val="none"/>
        </w:rPr>
        <w:t>2.3 澄清或者修改的内容可能影响响应文件编制的，采购人、采购代理机构应当在提交首次响应文件截止时间至少5日前，以发布更正公告形式通知所有获取磋商文件的供应商；不足5日的，采购人、采购代理机构应当顺延提交首次响应文件截止时间。</w:t>
      </w:r>
    </w:p>
    <w:p w14:paraId="720EA5BE">
      <w:pPr>
        <w:spacing w:line="500" w:lineRule="exact"/>
        <w:ind w:firstLine="560" w:firstLineChars="200"/>
        <w:outlineLvl w:val="1"/>
        <w:rPr>
          <w:rFonts w:ascii="黑体" w:hAnsi="黑体" w:eastAsia="黑体"/>
          <w:color w:val="auto"/>
          <w:sz w:val="28"/>
          <w:szCs w:val="28"/>
          <w:highlight w:val="none"/>
        </w:rPr>
      </w:pPr>
      <w:bookmarkStart w:id="46" w:name="_Toc16476"/>
      <w:r>
        <w:rPr>
          <w:rFonts w:hint="eastAsia" w:ascii="黑体" w:hAnsi="黑体" w:eastAsia="黑体"/>
          <w:color w:val="auto"/>
          <w:sz w:val="28"/>
          <w:szCs w:val="28"/>
          <w:highlight w:val="none"/>
        </w:rPr>
        <w:t>3.响应文件编制</w:t>
      </w:r>
      <w:bookmarkEnd w:id="46"/>
    </w:p>
    <w:p w14:paraId="5BDDF493">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3.1 供应商应认真阅读竞争性磋商文件中所有的事项、格式、条款和规范等要求。按竞争性磋商文件要求和规定编制响应文件，并保证所提供的全部资料的真实性，以使其响应文件对磋商文件作出实质性响应，否则其风险由供应商自行承担</w:t>
      </w:r>
      <w:r>
        <w:rPr>
          <w:rFonts w:ascii="仿宋" w:hAnsi="仿宋" w:eastAsia="仿宋"/>
          <w:color w:val="auto"/>
          <w:sz w:val="28"/>
          <w:szCs w:val="28"/>
          <w:highlight w:val="none"/>
        </w:rPr>
        <w:t>。</w:t>
      </w:r>
    </w:p>
    <w:p w14:paraId="2E81BEFC">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3.2 </w:t>
      </w:r>
      <w:r>
        <w:rPr>
          <w:rFonts w:hint="eastAsia" w:ascii="仿宋" w:hAnsi="仿宋" w:eastAsia="仿宋"/>
          <w:bCs/>
          <w:color w:val="auto"/>
          <w:sz w:val="28"/>
          <w:szCs w:val="28"/>
          <w:highlight w:val="none"/>
        </w:rPr>
        <w:t>除技术性能另有规定外，响应文件所使用的度量衡单位，均须采用国家法定计量单位</w:t>
      </w:r>
      <w:r>
        <w:rPr>
          <w:rFonts w:ascii="仿宋" w:hAnsi="仿宋" w:eastAsia="仿宋"/>
          <w:color w:val="auto"/>
          <w:sz w:val="28"/>
          <w:szCs w:val="28"/>
          <w:highlight w:val="none"/>
        </w:rPr>
        <w:t>。</w:t>
      </w:r>
    </w:p>
    <w:p w14:paraId="3527BD45">
      <w:pPr>
        <w:tabs>
          <w:tab w:val="left" w:pos="900"/>
        </w:tabs>
        <w:spacing w:line="500" w:lineRule="exact"/>
        <w:ind w:firstLine="697" w:firstLineChars="249"/>
        <w:rPr>
          <w:rFonts w:ascii="仿宋" w:hAnsi="仿宋" w:eastAsia="仿宋"/>
          <w:color w:val="auto"/>
          <w:sz w:val="28"/>
          <w:szCs w:val="28"/>
          <w:highlight w:val="none"/>
        </w:rPr>
      </w:pPr>
      <w:r>
        <w:rPr>
          <w:rFonts w:hint="eastAsia" w:ascii="仿宋" w:hAnsi="仿宋" w:eastAsia="仿宋"/>
          <w:bCs/>
          <w:color w:val="auto"/>
          <w:sz w:val="28"/>
          <w:szCs w:val="28"/>
          <w:highlight w:val="none"/>
        </w:rPr>
        <w:t>3.3 供应商编写的响应文件应包括资格审查文件、商务技术文件、报价文件等部分，具体按照“第6章 响应文件组成”要求编写</w:t>
      </w:r>
      <w:r>
        <w:rPr>
          <w:rFonts w:ascii="仿宋" w:hAnsi="仿宋" w:eastAsia="仿宋"/>
          <w:color w:val="auto"/>
          <w:sz w:val="28"/>
          <w:szCs w:val="28"/>
          <w:highlight w:val="none"/>
        </w:rPr>
        <w:t>。</w:t>
      </w:r>
    </w:p>
    <w:p w14:paraId="370ABD5E">
      <w:pPr>
        <w:spacing w:line="500" w:lineRule="exact"/>
        <w:ind w:firstLine="560" w:firstLineChars="200"/>
        <w:outlineLvl w:val="1"/>
        <w:rPr>
          <w:rFonts w:ascii="黑体" w:hAnsi="黑体" w:eastAsia="黑体"/>
          <w:color w:val="auto"/>
          <w:sz w:val="28"/>
          <w:szCs w:val="28"/>
          <w:highlight w:val="none"/>
        </w:rPr>
      </w:pPr>
      <w:bookmarkStart w:id="47" w:name="_Toc702"/>
      <w:r>
        <w:rPr>
          <w:rFonts w:hint="eastAsia" w:ascii="黑体" w:hAnsi="黑体" w:eastAsia="黑体"/>
          <w:color w:val="auto"/>
          <w:sz w:val="28"/>
          <w:szCs w:val="28"/>
          <w:highlight w:val="none"/>
        </w:rPr>
        <w:t>4.响应文件提交、撤回和修改</w:t>
      </w:r>
      <w:bookmarkEnd w:id="47"/>
    </w:p>
    <w:p w14:paraId="410692C8">
      <w:pPr>
        <w:spacing w:line="500" w:lineRule="exact"/>
        <w:ind w:firstLine="560" w:firstLineChars="200"/>
        <w:rPr>
          <w:rFonts w:ascii="仿宋" w:hAnsi="仿宋" w:eastAsia="仿宋"/>
          <w:bCs/>
          <w:color w:val="auto"/>
          <w:sz w:val="28"/>
          <w:szCs w:val="28"/>
          <w:highlight w:val="none"/>
        </w:rPr>
      </w:pPr>
      <w:r>
        <w:rPr>
          <w:rFonts w:hint="eastAsia" w:ascii="仿宋" w:hAnsi="仿宋" w:eastAsia="仿宋"/>
          <w:color w:val="auto"/>
          <w:sz w:val="28"/>
          <w:szCs w:val="28"/>
          <w:highlight w:val="none"/>
        </w:rPr>
        <w:t>4.1 供应商</w:t>
      </w:r>
      <w:r>
        <w:rPr>
          <w:rFonts w:hint="eastAsia" w:ascii="仿宋" w:hAnsi="仿宋" w:eastAsia="仿宋"/>
          <w:bCs/>
          <w:color w:val="auto"/>
          <w:sz w:val="28"/>
          <w:szCs w:val="28"/>
          <w:highlight w:val="none"/>
        </w:rPr>
        <w:t>对CA证书妥善保管，如被他人盗用投标，因此带来的</w:t>
      </w:r>
      <w:r>
        <w:rPr>
          <w:rFonts w:hint="eastAsia" w:ascii="仿宋" w:hAnsi="仿宋" w:eastAsia="仿宋"/>
          <w:bCs/>
          <w:color w:val="auto"/>
          <w:sz w:val="28"/>
          <w:szCs w:val="28"/>
          <w:highlight w:val="none"/>
          <w:lang w:val="en-US" w:eastAsia="zh-CN"/>
        </w:rPr>
        <w:t>后果</w:t>
      </w:r>
      <w:r>
        <w:rPr>
          <w:rFonts w:hint="eastAsia" w:ascii="仿宋" w:hAnsi="仿宋" w:eastAsia="仿宋"/>
          <w:bCs/>
          <w:color w:val="auto"/>
          <w:sz w:val="28"/>
          <w:szCs w:val="28"/>
          <w:highlight w:val="none"/>
        </w:rPr>
        <w:t>均由供应商自行承担。</w:t>
      </w:r>
    </w:p>
    <w:p w14:paraId="0E38A80F">
      <w:pPr>
        <w:spacing w:line="500" w:lineRule="exact"/>
        <w:ind w:firstLine="560" w:firstLineChars="200"/>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4.2 </w:t>
      </w:r>
      <w:r>
        <w:rPr>
          <w:rFonts w:hint="eastAsia" w:ascii="仿宋" w:hAnsi="仿宋" w:eastAsia="仿宋"/>
          <w:bCs/>
          <w:color w:val="auto"/>
          <w:sz w:val="28"/>
          <w:szCs w:val="28"/>
          <w:highlight w:val="none"/>
        </w:rPr>
        <w:t>供应商应当按照采购文件和“苏采云”系统的要求编制并加密响应文件。</w:t>
      </w:r>
    </w:p>
    <w:p w14:paraId="6F4DE173">
      <w:pPr>
        <w:spacing w:line="500" w:lineRule="exact"/>
        <w:ind w:firstLine="560" w:firstLineChars="200"/>
        <w:rPr>
          <w:rFonts w:ascii="仿宋" w:hAnsi="仿宋" w:eastAsia="仿宋"/>
          <w:bCs/>
          <w:color w:val="auto"/>
          <w:sz w:val="28"/>
          <w:szCs w:val="28"/>
          <w:highlight w:val="none"/>
        </w:rPr>
      </w:pPr>
      <w:r>
        <w:rPr>
          <w:rFonts w:hint="eastAsia" w:ascii="仿宋" w:hAnsi="仿宋" w:eastAsia="仿宋"/>
          <w:bCs/>
          <w:color w:val="auto"/>
          <w:sz w:val="28"/>
          <w:szCs w:val="28"/>
          <w:highlight w:val="none"/>
        </w:rPr>
        <w:t>4.3 供应商应当对采购文件提出的实质性要求和条件作出实质性响应，并在电子投标系统逐条应答。</w:t>
      </w:r>
    </w:p>
    <w:p w14:paraId="197B804C">
      <w:pPr>
        <w:spacing w:line="500" w:lineRule="exact"/>
        <w:ind w:firstLine="560" w:firstLineChars="200"/>
        <w:rPr>
          <w:rFonts w:ascii="仿宋" w:hAnsi="仿宋" w:eastAsia="仿宋"/>
          <w:bCs/>
          <w:color w:val="auto"/>
          <w:sz w:val="28"/>
          <w:szCs w:val="28"/>
          <w:highlight w:val="none"/>
        </w:rPr>
      </w:pPr>
      <w:r>
        <w:rPr>
          <w:rFonts w:hint="eastAsia" w:ascii="仿宋" w:hAnsi="仿宋" w:eastAsia="仿宋"/>
          <w:bCs/>
          <w:color w:val="auto"/>
          <w:sz w:val="28"/>
          <w:szCs w:val="28"/>
          <w:highlight w:val="none"/>
        </w:rPr>
        <w:t>4.4 供应商应对要求提供的资格证明文件（如资质证书、资格证书）、技术资料（如白皮书、彩页、手册、检测报告等）扫描上传至投标系统。</w:t>
      </w:r>
    </w:p>
    <w:p w14:paraId="064DE467">
      <w:pPr>
        <w:spacing w:line="500" w:lineRule="exact"/>
        <w:ind w:firstLine="560" w:firstLineChars="200"/>
        <w:rPr>
          <w:rFonts w:ascii="仿宋" w:hAnsi="仿宋" w:eastAsia="仿宋"/>
          <w:color w:val="auto"/>
          <w:sz w:val="28"/>
          <w:szCs w:val="28"/>
          <w:highlight w:val="none"/>
        </w:rPr>
      </w:pPr>
      <w:r>
        <w:rPr>
          <w:rFonts w:hint="eastAsia" w:ascii="仿宋" w:hAnsi="仿宋" w:eastAsia="仿宋"/>
          <w:bCs/>
          <w:color w:val="auto"/>
          <w:sz w:val="28"/>
          <w:szCs w:val="28"/>
          <w:highlight w:val="none"/>
        </w:rPr>
        <w:t>4.5 供应商须通过“苏采云”系统提供的政府采购客户端工具（使用“CA数字证书”）加盖电子签章，并对电子响应文件加密。未按规定加密的响应文件，“苏采云”系统拒收并提示。</w:t>
      </w:r>
    </w:p>
    <w:p w14:paraId="37ABC2B5">
      <w:pPr>
        <w:spacing w:line="500" w:lineRule="exact"/>
        <w:ind w:firstLine="560" w:firstLineChars="200"/>
        <w:rPr>
          <w:rFonts w:ascii="仿宋" w:hAnsi="仿宋" w:eastAsia="仿宋"/>
          <w:bCs/>
          <w:color w:val="auto"/>
          <w:sz w:val="28"/>
          <w:szCs w:val="28"/>
          <w:highlight w:val="none"/>
        </w:rPr>
      </w:pPr>
      <w:r>
        <w:rPr>
          <w:rFonts w:hint="eastAsia" w:ascii="仿宋" w:hAnsi="仿宋" w:eastAsia="仿宋"/>
          <w:bCs/>
          <w:color w:val="auto"/>
          <w:sz w:val="28"/>
          <w:szCs w:val="28"/>
          <w:highlight w:val="none"/>
        </w:rPr>
        <w:t>4.6 供应商应当在响应文件提交截止时间前，通过“苏采云”系统提交电子响应文件。逾期提交的响应文件，“苏采云”系统将自动拒收。供应商应充分考虑到网络环境、网络带宽等风险因素，如因供应商自身原因造成的电子响应文件上传不成功由供应商自行承担全部责任。</w:t>
      </w:r>
    </w:p>
    <w:p w14:paraId="1D087D88">
      <w:pPr>
        <w:spacing w:line="500" w:lineRule="exact"/>
        <w:ind w:firstLine="560" w:firstLineChars="200"/>
        <w:rPr>
          <w:rFonts w:ascii="仿宋" w:hAnsi="仿宋" w:eastAsia="仿宋"/>
          <w:bCs/>
          <w:color w:val="auto"/>
          <w:sz w:val="28"/>
          <w:szCs w:val="28"/>
          <w:highlight w:val="none"/>
        </w:rPr>
      </w:pPr>
      <w:r>
        <w:rPr>
          <w:rFonts w:hint="eastAsia" w:ascii="仿宋" w:hAnsi="仿宋" w:eastAsia="仿宋"/>
          <w:bCs/>
          <w:color w:val="auto"/>
          <w:sz w:val="28"/>
          <w:szCs w:val="28"/>
          <w:highlight w:val="none"/>
        </w:rPr>
        <w:t>4.7 供应商可在响应文件提交截止时间前，撤回其电子响应文件，具体操作方法见《江苏省政府采购管理交易系统（苏采云）供应商操作指南》。供应商撤回电子响应文件的，则认为其不再参与本项目磋商活动。</w:t>
      </w:r>
    </w:p>
    <w:p w14:paraId="63660201">
      <w:pPr>
        <w:spacing w:line="500" w:lineRule="exact"/>
        <w:ind w:firstLine="560" w:firstLineChars="200"/>
        <w:rPr>
          <w:rFonts w:ascii="仿宋" w:hAnsi="仿宋" w:eastAsia="仿宋"/>
          <w:bCs/>
          <w:color w:val="auto"/>
          <w:sz w:val="28"/>
          <w:szCs w:val="28"/>
          <w:highlight w:val="none"/>
        </w:rPr>
      </w:pPr>
      <w:r>
        <w:rPr>
          <w:rFonts w:hint="eastAsia" w:ascii="仿宋" w:hAnsi="仿宋" w:eastAsia="仿宋"/>
          <w:bCs/>
          <w:color w:val="auto"/>
          <w:sz w:val="28"/>
          <w:szCs w:val="28"/>
          <w:highlight w:val="none"/>
        </w:rPr>
        <w:t>4.8供应商可在响应文件提交截止时间前，对其电子响应文件进行修改。在响应文件提交截止时间之后，供应商不得对其电子响应文件作任何修改。</w:t>
      </w:r>
    </w:p>
    <w:p w14:paraId="513B8144">
      <w:pPr>
        <w:spacing w:line="500" w:lineRule="exact"/>
        <w:ind w:firstLine="560" w:firstLineChars="200"/>
        <w:rPr>
          <w:rFonts w:ascii="仿宋" w:hAnsi="仿宋" w:eastAsia="仿宋"/>
          <w:bCs/>
          <w:color w:val="auto"/>
          <w:sz w:val="28"/>
          <w:szCs w:val="28"/>
          <w:highlight w:val="none"/>
        </w:rPr>
      </w:pPr>
      <w:r>
        <w:rPr>
          <w:rFonts w:hint="eastAsia" w:ascii="仿宋" w:hAnsi="仿宋" w:eastAsia="仿宋"/>
          <w:bCs/>
          <w:color w:val="auto"/>
          <w:sz w:val="28"/>
          <w:szCs w:val="28"/>
          <w:highlight w:val="none"/>
        </w:rPr>
        <w:t>4.9 采购代理机构可以通过修改磋商文件，酌情延长响应文件提交截止时间。</w:t>
      </w:r>
    </w:p>
    <w:p w14:paraId="64C72007">
      <w:pPr>
        <w:tabs>
          <w:tab w:val="left" w:pos="900"/>
        </w:tabs>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4.10 响应文件的有效期：从提交响应文件截止日起90天。</w:t>
      </w:r>
    </w:p>
    <w:p w14:paraId="5F01DAC5">
      <w:pPr>
        <w:tabs>
          <w:tab w:val="left" w:pos="900"/>
        </w:tabs>
        <w:spacing w:line="500" w:lineRule="exact"/>
        <w:ind w:firstLine="560" w:firstLineChars="200"/>
        <w:outlineLvl w:val="1"/>
        <w:rPr>
          <w:rFonts w:ascii="仿宋" w:hAnsi="仿宋" w:eastAsia="仿宋"/>
          <w:color w:val="auto"/>
          <w:sz w:val="28"/>
          <w:szCs w:val="28"/>
          <w:highlight w:val="none"/>
        </w:rPr>
      </w:pPr>
      <w:bookmarkStart w:id="48" w:name="_Toc29592"/>
      <w:r>
        <w:rPr>
          <w:rFonts w:hint="eastAsia" w:ascii="黑体" w:hAnsi="黑体" w:eastAsia="黑体"/>
          <w:color w:val="auto"/>
          <w:sz w:val="28"/>
          <w:szCs w:val="28"/>
          <w:highlight w:val="none"/>
        </w:rPr>
        <w:t>5. 磋商</w:t>
      </w:r>
      <w:bookmarkEnd w:id="48"/>
    </w:p>
    <w:p w14:paraId="15911541">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5.1 采购人或者代理机构将在竞争性磋商公告中规定的时间和地点组织竞争性磋商活动。</w:t>
      </w:r>
    </w:p>
    <w:p w14:paraId="6ACB492D">
      <w:pPr>
        <w:spacing w:line="500" w:lineRule="exact"/>
        <w:ind w:firstLine="560" w:firstLineChars="200"/>
        <w:rPr>
          <w:rFonts w:ascii="仿宋" w:hAnsi="仿宋" w:eastAsia="仿宋"/>
          <w:bCs/>
          <w:color w:val="auto"/>
          <w:sz w:val="28"/>
          <w:szCs w:val="28"/>
          <w:highlight w:val="none"/>
        </w:rPr>
      </w:pPr>
      <w:r>
        <w:rPr>
          <w:rFonts w:hint="eastAsia" w:ascii="仿宋" w:hAnsi="仿宋" w:eastAsia="仿宋"/>
          <w:bCs/>
          <w:color w:val="auto"/>
          <w:sz w:val="28"/>
          <w:szCs w:val="28"/>
          <w:highlight w:val="none"/>
        </w:rPr>
        <w:t>5.2竞争性磋商开始前，供应商使用CA数字证书登录“苏采云”系统，并根据开标会议区发出响应文件解密的指令，在30分钟之内使用CA数字证书解密各自响应文件。</w:t>
      </w:r>
    </w:p>
    <w:p w14:paraId="678F0934">
      <w:pPr>
        <w:spacing w:line="500" w:lineRule="exact"/>
        <w:ind w:firstLine="560" w:firstLineChars="200"/>
        <w:rPr>
          <w:rFonts w:ascii="仿宋" w:hAnsi="仿宋" w:eastAsia="仿宋"/>
          <w:bCs/>
          <w:color w:val="auto"/>
          <w:sz w:val="28"/>
          <w:szCs w:val="28"/>
          <w:highlight w:val="none"/>
        </w:rPr>
      </w:pPr>
      <w:r>
        <w:rPr>
          <w:rFonts w:hint="eastAsia" w:ascii="仿宋" w:hAnsi="仿宋" w:eastAsia="仿宋"/>
          <w:bCs/>
          <w:color w:val="auto"/>
          <w:sz w:val="28"/>
          <w:szCs w:val="28"/>
          <w:highlight w:val="none"/>
        </w:rPr>
        <w:t>5.3响应供应商因网络与电源不稳定、未按操作手册要求配置软硬件、解密锁发生故障或用错、故意不在要求时限内完成解密等自身原因，导致响应文件在规定</w:t>
      </w:r>
      <w:bookmarkStart w:id="49" w:name="OLE_LINK19"/>
      <w:r>
        <w:rPr>
          <w:rFonts w:hint="eastAsia" w:ascii="仿宋" w:hAnsi="仿宋" w:eastAsia="仿宋"/>
          <w:bCs/>
          <w:color w:val="auto"/>
          <w:sz w:val="28"/>
          <w:szCs w:val="28"/>
          <w:highlight w:val="none"/>
        </w:rPr>
        <w:t>时间</w:t>
      </w:r>
      <w:bookmarkEnd w:id="49"/>
      <w:r>
        <w:rPr>
          <w:rFonts w:hint="eastAsia" w:ascii="仿宋" w:hAnsi="仿宋" w:eastAsia="仿宋"/>
          <w:bCs/>
          <w:color w:val="auto"/>
          <w:sz w:val="28"/>
          <w:szCs w:val="28"/>
          <w:highlight w:val="none"/>
        </w:rPr>
        <w:t>内未能解密、解密失败或解密超时，视为响应供应商撤销其响应文件，系统内响应文件将被退回。</w:t>
      </w:r>
    </w:p>
    <w:p w14:paraId="04865388">
      <w:pPr>
        <w:spacing w:line="500" w:lineRule="exact"/>
        <w:ind w:firstLine="560" w:firstLineChars="200"/>
        <w:rPr>
          <w:rFonts w:ascii="仿宋" w:hAnsi="仿宋" w:eastAsia="仿宋"/>
          <w:color w:val="auto"/>
          <w:sz w:val="28"/>
          <w:szCs w:val="28"/>
          <w:highlight w:val="none"/>
        </w:rPr>
      </w:pPr>
      <w:r>
        <w:rPr>
          <w:rFonts w:hint="eastAsia" w:ascii="仿宋" w:hAnsi="仿宋" w:eastAsia="仿宋"/>
          <w:bCs/>
          <w:color w:val="auto"/>
          <w:sz w:val="28"/>
          <w:szCs w:val="28"/>
          <w:highlight w:val="none"/>
        </w:rPr>
        <w:t>5.4因采购人原因或网上招投标平台发生故障，导致无法按时完成响应文件解密或评审工作无法进行的，可根据实际情况相应延迟解密时间或调整评审时间。</w:t>
      </w:r>
    </w:p>
    <w:p w14:paraId="7B0D9843">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5.5 磋商小组由政府采购评审专家、采购人代表组成。评审专家不得以评审专家身份参加本部门或本单位采购项目的评审。达到公开招标限额标准的项目，磋商小组应当由5人以上单数组成。</w:t>
      </w:r>
    </w:p>
    <w:p w14:paraId="7ED3B75D">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5.6 磋商小组对响应文件的有效性、完整性和响应程度进行审查。磋商小组审查分为资格审查、符合性审查和综合评审。响应供应商未通过资格审查、符合性审查的，告知其具体原因。</w:t>
      </w:r>
    </w:p>
    <w:p w14:paraId="0C93500A">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5.7 磋商小组审查时，可以通过视频会议，要求供应商对响应文件中含义不明确、同类问题表述不一致或者有明显文字和计算错误的内容等作出必要的澄清、说明或者更正。</w:t>
      </w:r>
    </w:p>
    <w:p w14:paraId="59B9935F">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5.8 </w:t>
      </w:r>
      <w:r>
        <w:rPr>
          <w:rFonts w:hint="eastAsia" w:ascii="仿宋" w:hAnsi="仿宋" w:eastAsia="仿宋"/>
          <w:bCs/>
          <w:color w:val="auto"/>
          <w:sz w:val="28"/>
          <w:szCs w:val="28"/>
          <w:highlight w:val="none"/>
        </w:rPr>
        <w:t>接到澄清要求的供应商，应在磋商小组规定的时间内做出澄清，澄清的内容作为响应文件的补充部分，</w:t>
      </w:r>
      <w:r>
        <w:rPr>
          <w:rFonts w:hint="eastAsia" w:ascii="仿宋" w:hAnsi="仿宋" w:eastAsia="仿宋"/>
          <w:color w:val="auto"/>
          <w:sz w:val="28"/>
          <w:szCs w:val="28"/>
          <w:highlight w:val="none"/>
        </w:rPr>
        <w:t>但澄清、说明或者更正不得超出响应文件的范围或者改变响应文件的实质性内容。</w:t>
      </w:r>
    </w:p>
    <w:p w14:paraId="14735725">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5.9 </w:t>
      </w:r>
      <w:r>
        <w:rPr>
          <w:rFonts w:hint="eastAsia" w:ascii="仿宋" w:hAnsi="仿宋" w:eastAsia="仿宋"/>
          <w:bCs/>
          <w:color w:val="auto"/>
          <w:sz w:val="28"/>
          <w:szCs w:val="28"/>
          <w:highlight w:val="none"/>
        </w:rPr>
        <w:t>供应商在评审全过程中应保持通讯畅通，并安排专人与采购人或采购代理机构及磋商小组联系</w:t>
      </w:r>
      <w:r>
        <w:rPr>
          <w:rFonts w:ascii="仿宋" w:hAnsi="仿宋" w:eastAsia="仿宋"/>
          <w:color w:val="auto"/>
          <w:sz w:val="28"/>
          <w:szCs w:val="28"/>
          <w:highlight w:val="none"/>
        </w:rPr>
        <w:t>。</w:t>
      </w:r>
    </w:p>
    <w:p w14:paraId="5B3ECD45">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5.10各响应供应商请关注开标大厅交流区，响应文件解密结束后，请勿离开开标大厅。在资格审查、符合性审查和综合评审结束后，根据采购人或采购代理机构通知，须在20分钟内填写并提交最后报价。未在规定时间内提交最后报价的，视为退出磋商。</w:t>
      </w:r>
    </w:p>
    <w:p w14:paraId="291C1840">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5.11在磋商过程中，磋商小组可以根据磋商文件和磋商情况实质性变动采购需求中的技术、服务要求以及合同草案条款。对磋商文件作出的实质性变动是磋商文件的有效组成部分，磋商小组及时以书面形式通知所有参加磋商的供应商。供应商应当按照磋商文件的变动情况和磋商小组的要求重新提交响应文件。</w:t>
      </w:r>
    </w:p>
    <w:p w14:paraId="0EABE0E9">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5.12需经磋商由供应商提供最终设计方案或解决方案的，磋商结束后，磋商小组按照少数服从多数的原则投票推荐3家以上供应商的设计方案或者解决方案，并要求其在规定时间内提交最后报价。</w:t>
      </w:r>
    </w:p>
    <w:p w14:paraId="4DDE271E">
      <w:pPr>
        <w:spacing w:line="500" w:lineRule="exact"/>
        <w:ind w:firstLine="562" w:firstLineChars="200"/>
        <w:rPr>
          <w:rFonts w:ascii="仿宋" w:hAnsi="仿宋" w:eastAsia="仿宋"/>
          <w:b/>
          <w:color w:val="auto"/>
          <w:sz w:val="28"/>
          <w:szCs w:val="28"/>
          <w:highlight w:val="none"/>
        </w:rPr>
      </w:pPr>
      <w:r>
        <w:rPr>
          <w:rFonts w:hint="eastAsia" w:ascii="仿宋" w:hAnsi="仿宋" w:eastAsia="仿宋"/>
          <w:b/>
          <w:color w:val="auto"/>
          <w:sz w:val="28"/>
          <w:szCs w:val="28"/>
          <w:highlight w:val="none"/>
        </w:rPr>
        <w:t>5.13在通过资格审查、符合性审查的供应商中，有多家供应商提供相同品牌的产品或者核心产品的，按一家响应供应商计算，评审后得分最高的供应商获得成交人推荐资格；评审得分相同的，报价最低的供应商获得成交人推荐资格，报价相同的，采取随机抽取方式确定，其他同品牌供应商不得作为成交候选人。</w:t>
      </w:r>
    </w:p>
    <w:p w14:paraId="72466AAA">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5.14 有下列情形之一的，视为供应商串通，其响应无效：</w:t>
      </w:r>
    </w:p>
    <w:p w14:paraId="44BA2229">
      <w:pPr>
        <w:spacing w:line="500" w:lineRule="exact"/>
        <w:ind w:firstLine="570"/>
        <w:rPr>
          <w:rFonts w:ascii="仿宋" w:hAnsi="仿宋" w:eastAsia="仿宋"/>
          <w:color w:val="auto"/>
          <w:sz w:val="28"/>
          <w:szCs w:val="28"/>
          <w:highlight w:val="none"/>
        </w:rPr>
      </w:pPr>
      <w:r>
        <w:rPr>
          <w:rFonts w:hint="eastAsia" w:ascii="仿宋" w:hAnsi="仿宋" w:eastAsia="仿宋"/>
          <w:color w:val="auto"/>
          <w:sz w:val="28"/>
          <w:szCs w:val="28"/>
          <w:highlight w:val="none"/>
        </w:rPr>
        <w:t>5.14.1不同供应商的响应文件由同一单位或者个人编制；</w:t>
      </w:r>
    </w:p>
    <w:p w14:paraId="4A923BA0">
      <w:pPr>
        <w:spacing w:line="500" w:lineRule="exact"/>
        <w:ind w:firstLine="570"/>
        <w:rPr>
          <w:rFonts w:ascii="仿宋" w:hAnsi="仿宋" w:eastAsia="仿宋"/>
          <w:color w:val="auto"/>
          <w:sz w:val="28"/>
          <w:szCs w:val="28"/>
          <w:highlight w:val="none"/>
        </w:rPr>
      </w:pPr>
      <w:r>
        <w:rPr>
          <w:rFonts w:hint="eastAsia" w:ascii="仿宋" w:hAnsi="仿宋" w:eastAsia="仿宋"/>
          <w:color w:val="auto"/>
          <w:sz w:val="28"/>
          <w:szCs w:val="28"/>
          <w:highlight w:val="none"/>
        </w:rPr>
        <w:t>5.14.2不同供应商的电子响应文件由同一台电子设备编制、打包、加密或者上传；</w:t>
      </w:r>
    </w:p>
    <w:p w14:paraId="7F29500A">
      <w:pPr>
        <w:spacing w:line="500" w:lineRule="exact"/>
        <w:ind w:firstLine="570"/>
        <w:rPr>
          <w:rFonts w:ascii="仿宋" w:hAnsi="仿宋" w:eastAsia="仿宋"/>
          <w:color w:val="auto"/>
          <w:sz w:val="28"/>
          <w:szCs w:val="28"/>
          <w:highlight w:val="none"/>
        </w:rPr>
      </w:pPr>
      <w:r>
        <w:rPr>
          <w:rFonts w:hint="eastAsia" w:ascii="仿宋" w:hAnsi="仿宋" w:eastAsia="仿宋"/>
          <w:color w:val="auto"/>
          <w:sz w:val="28"/>
          <w:szCs w:val="28"/>
          <w:highlight w:val="none"/>
        </w:rPr>
        <w:t>5.14.3 不同供应商的响应文件由同一供应商的电子设备打印、复印；</w:t>
      </w:r>
    </w:p>
    <w:p w14:paraId="1F833714">
      <w:pPr>
        <w:spacing w:line="500" w:lineRule="exact"/>
        <w:ind w:firstLine="570"/>
        <w:rPr>
          <w:rFonts w:ascii="仿宋" w:hAnsi="仿宋" w:eastAsia="仿宋"/>
          <w:color w:val="auto"/>
          <w:sz w:val="28"/>
          <w:szCs w:val="28"/>
          <w:highlight w:val="none"/>
        </w:rPr>
      </w:pPr>
      <w:r>
        <w:rPr>
          <w:rFonts w:hint="eastAsia" w:ascii="仿宋" w:hAnsi="仿宋" w:eastAsia="仿宋"/>
          <w:color w:val="auto"/>
          <w:sz w:val="28"/>
          <w:szCs w:val="28"/>
          <w:highlight w:val="none"/>
        </w:rPr>
        <w:t>5.14.4不同供应商的响应报价用同一个预算编制软件密码锁制作或者出自同一供应商的电子文档；</w:t>
      </w:r>
    </w:p>
    <w:p w14:paraId="088BF26C">
      <w:pPr>
        <w:spacing w:line="500" w:lineRule="exact"/>
        <w:ind w:firstLine="570"/>
        <w:rPr>
          <w:rFonts w:ascii="仿宋" w:hAnsi="仿宋" w:eastAsia="仿宋"/>
          <w:color w:val="auto"/>
          <w:sz w:val="28"/>
          <w:szCs w:val="28"/>
          <w:highlight w:val="none"/>
        </w:rPr>
      </w:pPr>
      <w:r>
        <w:rPr>
          <w:rFonts w:hint="eastAsia" w:ascii="仿宋" w:hAnsi="仿宋" w:eastAsia="仿宋"/>
          <w:color w:val="auto"/>
          <w:sz w:val="28"/>
          <w:szCs w:val="28"/>
          <w:highlight w:val="none"/>
        </w:rPr>
        <w:t>5.14.5不同供应商从同一个单位或者同一个自然人的互联网协议地址下载竞争性磋商文件、上传响应文件；</w:t>
      </w:r>
    </w:p>
    <w:p w14:paraId="424CBFA0">
      <w:pPr>
        <w:spacing w:line="500" w:lineRule="exact"/>
        <w:ind w:firstLine="570"/>
        <w:rPr>
          <w:rFonts w:ascii="仿宋" w:hAnsi="仿宋" w:eastAsia="仿宋"/>
          <w:color w:val="auto"/>
          <w:sz w:val="28"/>
          <w:szCs w:val="28"/>
          <w:highlight w:val="none"/>
        </w:rPr>
      </w:pPr>
      <w:r>
        <w:rPr>
          <w:rFonts w:hint="eastAsia" w:ascii="仿宋" w:hAnsi="仿宋" w:eastAsia="仿宋"/>
          <w:color w:val="auto"/>
          <w:sz w:val="28"/>
          <w:szCs w:val="28"/>
          <w:highlight w:val="none"/>
        </w:rPr>
        <w:t>5.14.6 不同供应商的响应文件异常一致或者响应报价呈规律性差异；</w:t>
      </w:r>
    </w:p>
    <w:p w14:paraId="3079BFFE">
      <w:pPr>
        <w:spacing w:line="500" w:lineRule="exact"/>
        <w:ind w:firstLine="570"/>
        <w:rPr>
          <w:rFonts w:ascii="仿宋" w:hAnsi="仿宋" w:eastAsia="仿宋"/>
          <w:color w:val="auto"/>
          <w:sz w:val="28"/>
          <w:szCs w:val="28"/>
          <w:highlight w:val="none"/>
        </w:rPr>
      </w:pPr>
      <w:r>
        <w:rPr>
          <w:rFonts w:hint="eastAsia" w:ascii="仿宋" w:hAnsi="仿宋" w:eastAsia="仿宋"/>
          <w:color w:val="auto"/>
          <w:sz w:val="28"/>
          <w:szCs w:val="28"/>
          <w:highlight w:val="none"/>
        </w:rPr>
        <w:t>5.14.7 不同供应商委托同一单位或者个人办理磋商事宜；</w:t>
      </w:r>
    </w:p>
    <w:p w14:paraId="0C2E0806">
      <w:pPr>
        <w:spacing w:line="500" w:lineRule="exact"/>
        <w:ind w:firstLine="570"/>
        <w:rPr>
          <w:rFonts w:ascii="仿宋" w:hAnsi="仿宋" w:eastAsia="仿宋"/>
          <w:color w:val="auto"/>
          <w:sz w:val="28"/>
          <w:szCs w:val="28"/>
          <w:highlight w:val="none"/>
        </w:rPr>
      </w:pPr>
      <w:r>
        <w:rPr>
          <w:rFonts w:hint="eastAsia" w:ascii="仿宋" w:hAnsi="仿宋" w:eastAsia="仿宋"/>
          <w:color w:val="auto"/>
          <w:sz w:val="28"/>
          <w:szCs w:val="28"/>
          <w:highlight w:val="none"/>
        </w:rPr>
        <w:t>5.14.8不同供应商的响应文件载明的项目管理成员或者联系人员为同一人；</w:t>
      </w:r>
    </w:p>
    <w:p w14:paraId="6E5D8274">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5.14.9不同供应商的磋商保证金虽然经由供应商自己的基本账户转出，但所需资金来自同一单位或者个人的账户。</w:t>
      </w:r>
    </w:p>
    <w:p w14:paraId="27685A07">
      <w:pPr>
        <w:spacing w:line="500" w:lineRule="exact"/>
        <w:ind w:firstLine="562" w:firstLineChars="200"/>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5.15出现下列情形之一的，磋商小组应当启动异常低价响应审查程序： </w:t>
      </w:r>
    </w:p>
    <w:p w14:paraId="2D3419BF">
      <w:pPr>
        <w:spacing w:line="500" w:lineRule="exact"/>
        <w:ind w:firstLine="562" w:firstLineChars="200"/>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5.15.1.响应报价低于全部通过符合性审查供应商响应报价平均值50%的，即响应报价&lt;全部通过符合性审查供应商响应报价平均值×50%；</w:t>
      </w:r>
    </w:p>
    <w:p w14:paraId="03B393BB">
      <w:pPr>
        <w:spacing w:line="500" w:lineRule="exact"/>
        <w:ind w:firstLine="562" w:firstLineChars="200"/>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5.15.2.响应报价低于通过符合性审查的次低报价供应商响应报价50%的，即响应报价&lt;通过符合性审查的次低报价供应商响应报价×50%；</w:t>
      </w:r>
    </w:p>
    <w:p w14:paraId="26834C0B">
      <w:pPr>
        <w:spacing w:line="500" w:lineRule="exact"/>
        <w:ind w:firstLine="562" w:firstLineChars="200"/>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5.15.3.响应报价低于采购项目最高限价45%的，即响应报价&lt;采购项目最高限价×45%；</w:t>
      </w:r>
    </w:p>
    <w:p w14:paraId="50EF5F8D">
      <w:pPr>
        <w:spacing w:line="500" w:lineRule="exact"/>
        <w:ind w:firstLine="562" w:firstLineChars="200"/>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5.15.4.磋商小组基于专业判断，认为供应商报价过低，有可能影响产品质量或者不能诚信履约的其他情形。</w:t>
      </w:r>
    </w:p>
    <w:p w14:paraId="628905CD">
      <w:pPr>
        <w:spacing w:line="500" w:lineRule="exact"/>
        <w:ind w:firstLine="562" w:firstLineChars="200"/>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磋商小组应当要求相关供应商在评审现场不少于30分钟时间内对响应价格作出解释，提供项目具体成本测算等与报价合理性相关的书面说明及必要的证明材料，包括但不限于原材料成本、人工成本、制造费用等。</w:t>
      </w:r>
    </w:p>
    <w:p w14:paraId="04CF0160">
      <w:pPr>
        <w:spacing w:line="500" w:lineRule="exact"/>
        <w:ind w:firstLine="562" w:firstLineChars="200"/>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p>
    <w:p w14:paraId="17997D59">
      <w:pPr>
        <w:pStyle w:val="17"/>
        <w:rPr>
          <w:color w:val="auto"/>
          <w:highlight w:val="none"/>
        </w:rPr>
      </w:pPr>
    </w:p>
    <w:p w14:paraId="78C69252">
      <w:pPr>
        <w:spacing w:line="500" w:lineRule="exact"/>
        <w:ind w:firstLine="560" w:firstLineChars="200"/>
        <w:outlineLvl w:val="1"/>
        <w:rPr>
          <w:rFonts w:ascii="黑体" w:hAnsi="黑体" w:eastAsia="黑体"/>
          <w:bCs/>
          <w:color w:val="auto"/>
          <w:sz w:val="28"/>
          <w:szCs w:val="28"/>
          <w:highlight w:val="none"/>
        </w:rPr>
      </w:pPr>
      <w:bookmarkStart w:id="50" w:name="_Toc16952"/>
      <w:r>
        <w:rPr>
          <w:rFonts w:hint="eastAsia" w:ascii="黑体" w:hAnsi="黑体" w:eastAsia="黑体"/>
          <w:bCs/>
          <w:color w:val="auto"/>
          <w:sz w:val="28"/>
          <w:szCs w:val="28"/>
          <w:highlight w:val="none"/>
        </w:rPr>
        <w:t>6.成交和合同</w:t>
      </w:r>
      <w:bookmarkEnd w:id="50"/>
    </w:p>
    <w:p w14:paraId="2EB12153">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6.1 磋商小组应当根据综合评分情况，按照评审得分由高到低顺序推荐3名以上成交候选供应商。对于市场竞争不充分的科研项目、需要扶持的科技成果转化项目以及政府购买服务项目，可以推荐2家成交候选供应商。评审得分相同的，按照最后报价由低到高的顺序推荐。评审得分且最后报价相同的，按照技术指标优劣顺序推荐。</w:t>
      </w:r>
    </w:p>
    <w:p w14:paraId="6FE9C2BA">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6.2 除资格性检查认定错误、分值汇总计算错误、分项评分超出评分标准范围、客观分评分不一致、或者经磋商小组一致认定评分畸高、畸低的情形外，采购人或者采购代理机构不得以任何理由组织重新评审。</w:t>
      </w:r>
    </w:p>
    <w:p w14:paraId="0115B968">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6.3 采购人与成交供应商应当在成交通知书发出之日起30日内，按照采购文件确定的合同文本以及采购标的、规格型号、采购金额、采购数量、技术和服务要求等事项签订政府采购合同。</w:t>
      </w:r>
    </w:p>
    <w:p w14:paraId="72CC6FAC">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6.4 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14:paraId="5CC57FD5">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6.5 除不可抗力等因素外，成交通知书发出后，采购人改变成交结果，或者成交供应商拒绝签订政府采购合同的，应当承担相应的法律责任。拒绝签订政府采购合同的成交供应商不得参加对该项目重新开展的采购活动。</w:t>
      </w:r>
    </w:p>
    <w:p w14:paraId="15E1423F">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6.6采购人与成交供应商应当根据合同的约定依法履行合同义务。政府采购合同的履行、违约责任和解决争议的方法等适用《中华人民共和国民法典》。</w:t>
      </w:r>
    </w:p>
    <w:p w14:paraId="4FA5A678">
      <w:pPr>
        <w:spacing w:line="500" w:lineRule="exact"/>
        <w:ind w:firstLine="560" w:firstLineChars="200"/>
        <w:outlineLvl w:val="1"/>
        <w:rPr>
          <w:rFonts w:ascii="黑体" w:hAnsi="黑体" w:eastAsia="黑体"/>
          <w:bCs/>
          <w:color w:val="auto"/>
          <w:sz w:val="28"/>
          <w:szCs w:val="28"/>
          <w:highlight w:val="none"/>
        </w:rPr>
      </w:pPr>
      <w:bookmarkStart w:id="51" w:name="_Toc22335"/>
      <w:r>
        <w:rPr>
          <w:rFonts w:hint="eastAsia" w:ascii="黑体" w:hAnsi="黑体" w:eastAsia="黑体"/>
          <w:bCs/>
          <w:color w:val="auto"/>
          <w:sz w:val="28"/>
          <w:szCs w:val="28"/>
          <w:highlight w:val="none"/>
        </w:rPr>
        <w:t>7.政府采购政策功能落实</w:t>
      </w:r>
      <w:bookmarkEnd w:id="51"/>
    </w:p>
    <w:p w14:paraId="76E7B7AA">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7.1 对于非专门面向中小企业采购的项目，小微型企业享受价格扣除优惠。</w:t>
      </w:r>
    </w:p>
    <w:p w14:paraId="2F32E6BA">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7.1.1 货物类或者服务类采购项目，采购人、采购代理机构应当对符合《政府采购促进中小企业发展管理办法》（财库〔2020〕46号）规定的小微企业报价给予10%的扣除；工程类采购项目，给予3%的扣除，给予用扣除后的价格参加评审。</w:t>
      </w:r>
    </w:p>
    <w:p w14:paraId="7CE3AF41">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 4%的扣除；工程类采购项目，给予1%的扣除，用扣除后的价格参加评审。组成联合体或者接受分包的小微企业与联合体内其他企业、分包企业之间存在直接控股、管理关系的，不享受价格扣除优惠政策。</w:t>
      </w:r>
    </w:p>
    <w:p w14:paraId="38D4C9EA">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7.1.3价格扣除比例或者价格分加分比例对小型企业和微型企业同等对待，不作区分。</w:t>
      </w:r>
    </w:p>
    <w:p w14:paraId="6D302D4D">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7.1.4 在政府采购活动中，供应商提供的货物、工程或者服务符合下列情形的，享受价格扣除政策：</w:t>
      </w:r>
    </w:p>
    <w:p w14:paraId="6E30709A">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7.1.4.1在货物采购项目中，货物由小微企业制造，即货物由小微企业生产且使用该小微企业商号或者注册商标；</w:t>
      </w:r>
    </w:p>
    <w:p w14:paraId="1FC3BF76">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7.1.4.2在工程采购项目中，工程由小微企业承建，即工程施工单位为小微企业；</w:t>
      </w:r>
    </w:p>
    <w:p w14:paraId="0293E468">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7.1.4.3在服务采购项目中，服务由小微企业承接，即提供服务的人员为小微企业依照《中华人民共和国劳动合同法》订立劳动合同的从业人员。</w:t>
      </w:r>
    </w:p>
    <w:p w14:paraId="7337EEB2">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7.1.4.4以联合体形式参加政府采购活动，联合体各方均为小微企业的，联合体视同小微企业。</w:t>
      </w:r>
    </w:p>
    <w:p w14:paraId="67CBF1AD">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p>
    <w:p w14:paraId="6EBFB53A">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7.1.6 下列情形不享受价格扣除政策：</w:t>
      </w:r>
    </w:p>
    <w:p w14:paraId="67CAA7C9">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7.1.6.1在货物采购项目中，供应商提供的货物既有中小企业制造货物，也有大型企业制造货物的。</w:t>
      </w:r>
    </w:p>
    <w:p w14:paraId="617EC765">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7.1.6.2 响应供应商与大企业的负责人为同一人，或者与大企业存在直接控股、管理关系。</w:t>
      </w:r>
    </w:p>
    <w:p w14:paraId="5FEADDE7">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7.1.7《中小企业划型标准规定》（工信部联企业〔2011〕300号）</w:t>
      </w:r>
    </w:p>
    <w:tbl>
      <w:tblPr>
        <w:tblStyle w:val="2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94"/>
        <w:gridCol w:w="1625"/>
        <w:gridCol w:w="767"/>
        <w:gridCol w:w="2055"/>
        <w:gridCol w:w="1765"/>
        <w:gridCol w:w="1164"/>
      </w:tblGrid>
      <w:tr w14:paraId="1B2B7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blHeader/>
          <w:jc w:val="center"/>
        </w:trPr>
        <w:tc>
          <w:tcPr>
            <w:tcW w:w="1954" w:type="dxa"/>
            <w:vAlign w:val="center"/>
          </w:tcPr>
          <w:p w14:paraId="27866BA1">
            <w:pPr>
              <w:spacing w:line="500" w:lineRule="exact"/>
              <w:jc w:val="center"/>
              <w:rPr>
                <w:rFonts w:ascii="仿宋" w:hAnsi="仿宋" w:eastAsia="仿宋"/>
                <w:b/>
                <w:color w:val="auto"/>
                <w:highlight w:val="none"/>
              </w:rPr>
            </w:pPr>
            <w:r>
              <w:rPr>
                <w:rFonts w:ascii="仿宋" w:hAnsi="仿宋" w:eastAsia="仿宋"/>
                <w:b/>
                <w:color w:val="auto"/>
                <w:highlight w:val="none"/>
              </w:rPr>
              <w:t>行业名称</w:t>
            </w:r>
          </w:p>
        </w:tc>
        <w:tc>
          <w:tcPr>
            <w:tcW w:w="1447" w:type="dxa"/>
            <w:vAlign w:val="center"/>
          </w:tcPr>
          <w:p w14:paraId="2CF07BE5">
            <w:pPr>
              <w:spacing w:line="500" w:lineRule="exact"/>
              <w:jc w:val="center"/>
              <w:rPr>
                <w:rFonts w:ascii="仿宋" w:hAnsi="仿宋" w:eastAsia="仿宋"/>
                <w:b/>
                <w:color w:val="auto"/>
                <w:highlight w:val="none"/>
              </w:rPr>
            </w:pPr>
            <w:r>
              <w:rPr>
                <w:rFonts w:ascii="仿宋" w:hAnsi="仿宋" w:eastAsia="仿宋"/>
                <w:b/>
                <w:color w:val="auto"/>
                <w:highlight w:val="none"/>
              </w:rPr>
              <w:t>指标名称</w:t>
            </w:r>
          </w:p>
        </w:tc>
        <w:tc>
          <w:tcPr>
            <w:tcW w:w="683" w:type="dxa"/>
            <w:vAlign w:val="center"/>
          </w:tcPr>
          <w:p w14:paraId="67517AE4">
            <w:pPr>
              <w:spacing w:line="500" w:lineRule="exact"/>
              <w:jc w:val="center"/>
              <w:rPr>
                <w:rFonts w:ascii="仿宋" w:hAnsi="仿宋" w:eastAsia="仿宋"/>
                <w:b/>
                <w:color w:val="auto"/>
                <w:highlight w:val="none"/>
              </w:rPr>
            </w:pPr>
            <w:r>
              <w:rPr>
                <w:rFonts w:ascii="仿宋" w:hAnsi="仿宋" w:eastAsia="仿宋"/>
                <w:b/>
                <w:color w:val="auto"/>
                <w:highlight w:val="none"/>
              </w:rPr>
              <w:t>计量</w:t>
            </w:r>
          </w:p>
          <w:p w14:paraId="1FF507E4">
            <w:pPr>
              <w:spacing w:line="500" w:lineRule="exact"/>
              <w:jc w:val="center"/>
              <w:rPr>
                <w:rFonts w:ascii="仿宋" w:hAnsi="仿宋" w:eastAsia="仿宋"/>
                <w:b/>
                <w:color w:val="auto"/>
                <w:highlight w:val="none"/>
              </w:rPr>
            </w:pPr>
            <w:r>
              <w:rPr>
                <w:rFonts w:ascii="仿宋" w:hAnsi="仿宋" w:eastAsia="仿宋"/>
                <w:b/>
                <w:color w:val="auto"/>
                <w:highlight w:val="none"/>
              </w:rPr>
              <w:t>单位</w:t>
            </w:r>
          </w:p>
        </w:tc>
        <w:tc>
          <w:tcPr>
            <w:tcW w:w="1830" w:type="dxa"/>
            <w:vAlign w:val="center"/>
          </w:tcPr>
          <w:p w14:paraId="4D35754B">
            <w:pPr>
              <w:spacing w:line="500" w:lineRule="exact"/>
              <w:jc w:val="center"/>
              <w:rPr>
                <w:rFonts w:ascii="仿宋" w:hAnsi="仿宋" w:eastAsia="仿宋"/>
                <w:b/>
                <w:color w:val="auto"/>
                <w:highlight w:val="none"/>
              </w:rPr>
            </w:pPr>
            <w:r>
              <w:rPr>
                <w:rFonts w:ascii="仿宋" w:hAnsi="仿宋" w:eastAsia="仿宋"/>
                <w:b/>
                <w:color w:val="auto"/>
                <w:highlight w:val="none"/>
              </w:rPr>
              <w:t>中型</w:t>
            </w:r>
          </w:p>
        </w:tc>
        <w:tc>
          <w:tcPr>
            <w:tcW w:w="1572" w:type="dxa"/>
            <w:vAlign w:val="center"/>
          </w:tcPr>
          <w:p w14:paraId="7F1F51B8">
            <w:pPr>
              <w:spacing w:line="500" w:lineRule="exact"/>
              <w:jc w:val="center"/>
              <w:rPr>
                <w:rFonts w:ascii="仿宋" w:hAnsi="仿宋" w:eastAsia="仿宋"/>
                <w:b/>
                <w:color w:val="auto"/>
                <w:highlight w:val="none"/>
              </w:rPr>
            </w:pPr>
            <w:r>
              <w:rPr>
                <w:rFonts w:ascii="仿宋" w:hAnsi="仿宋" w:eastAsia="仿宋"/>
                <w:b/>
                <w:color w:val="auto"/>
                <w:highlight w:val="none"/>
              </w:rPr>
              <w:t>小型</w:t>
            </w:r>
          </w:p>
        </w:tc>
        <w:tc>
          <w:tcPr>
            <w:tcW w:w="1036" w:type="dxa"/>
            <w:vAlign w:val="center"/>
          </w:tcPr>
          <w:p w14:paraId="4671B699">
            <w:pPr>
              <w:spacing w:line="500" w:lineRule="exact"/>
              <w:jc w:val="center"/>
              <w:rPr>
                <w:rFonts w:ascii="仿宋" w:hAnsi="仿宋" w:eastAsia="仿宋"/>
                <w:b/>
                <w:color w:val="auto"/>
                <w:highlight w:val="none"/>
              </w:rPr>
            </w:pPr>
            <w:r>
              <w:rPr>
                <w:rFonts w:ascii="仿宋" w:hAnsi="仿宋" w:eastAsia="仿宋"/>
                <w:b/>
                <w:color w:val="auto"/>
                <w:highlight w:val="none"/>
              </w:rPr>
              <w:t>微型</w:t>
            </w:r>
          </w:p>
        </w:tc>
      </w:tr>
      <w:tr w14:paraId="602D5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Align w:val="center"/>
          </w:tcPr>
          <w:p w14:paraId="580076D0">
            <w:pPr>
              <w:spacing w:line="500" w:lineRule="exact"/>
              <w:jc w:val="center"/>
              <w:rPr>
                <w:rFonts w:ascii="仿宋" w:hAnsi="仿宋" w:eastAsia="仿宋"/>
                <w:color w:val="auto"/>
                <w:highlight w:val="none"/>
              </w:rPr>
            </w:pPr>
            <w:r>
              <w:rPr>
                <w:rFonts w:ascii="仿宋" w:hAnsi="仿宋" w:eastAsia="仿宋"/>
                <w:color w:val="auto"/>
                <w:highlight w:val="none"/>
              </w:rPr>
              <w:t>农、林、牧、渔</w:t>
            </w:r>
          </w:p>
        </w:tc>
        <w:tc>
          <w:tcPr>
            <w:tcW w:w="1447" w:type="dxa"/>
            <w:vAlign w:val="center"/>
          </w:tcPr>
          <w:p w14:paraId="230A3D9D">
            <w:pPr>
              <w:spacing w:line="500" w:lineRule="exact"/>
              <w:jc w:val="center"/>
              <w:rPr>
                <w:rFonts w:ascii="仿宋" w:hAnsi="仿宋" w:eastAsia="仿宋"/>
                <w:color w:val="auto"/>
                <w:highlight w:val="none"/>
              </w:rPr>
            </w:pPr>
            <w:r>
              <w:rPr>
                <w:rFonts w:ascii="仿宋" w:hAnsi="仿宋" w:eastAsia="仿宋"/>
                <w:color w:val="auto"/>
                <w:highlight w:val="none"/>
              </w:rPr>
              <w:t>营业收入（</w:t>
            </w:r>
            <w:r>
              <w:rPr>
                <w:rFonts w:hint="eastAsia" w:ascii="仿宋" w:hAnsi="仿宋" w:eastAsia="仿宋"/>
                <w:color w:val="auto"/>
                <w:highlight w:val="none"/>
              </w:rPr>
              <w:t>Y）</w:t>
            </w:r>
          </w:p>
        </w:tc>
        <w:tc>
          <w:tcPr>
            <w:tcW w:w="683" w:type="dxa"/>
            <w:vAlign w:val="center"/>
          </w:tcPr>
          <w:p w14:paraId="4111D6BA">
            <w:pPr>
              <w:spacing w:line="500" w:lineRule="exact"/>
              <w:jc w:val="center"/>
              <w:rPr>
                <w:rFonts w:ascii="仿宋" w:hAnsi="仿宋" w:eastAsia="仿宋"/>
                <w:color w:val="auto"/>
                <w:highlight w:val="none"/>
              </w:rPr>
            </w:pPr>
            <w:r>
              <w:rPr>
                <w:rFonts w:ascii="仿宋" w:hAnsi="仿宋" w:eastAsia="仿宋"/>
                <w:color w:val="auto"/>
                <w:highlight w:val="none"/>
              </w:rPr>
              <w:t>万元</w:t>
            </w:r>
          </w:p>
        </w:tc>
        <w:tc>
          <w:tcPr>
            <w:tcW w:w="1830" w:type="dxa"/>
            <w:vAlign w:val="center"/>
          </w:tcPr>
          <w:p w14:paraId="161C8734">
            <w:pPr>
              <w:spacing w:line="500" w:lineRule="exact"/>
              <w:jc w:val="center"/>
              <w:rPr>
                <w:rFonts w:eastAsia="仿宋"/>
                <w:color w:val="auto"/>
                <w:highlight w:val="none"/>
              </w:rPr>
            </w:pPr>
            <w:r>
              <w:rPr>
                <w:rFonts w:eastAsia="仿宋"/>
                <w:color w:val="auto"/>
                <w:highlight w:val="none"/>
              </w:rPr>
              <w:t>500≤Y&lt;20000</w:t>
            </w:r>
          </w:p>
        </w:tc>
        <w:tc>
          <w:tcPr>
            <w:tcW w:w="1572" w:type="dxa"/>
            <w:vAlign w:val="center"/>
          </w:tcPr>
          <w:p w14:paraId="747AC0C6">
            <w:pPr>
              <w:spacing w:line="500" w:lineRule="exact"/>
              <w:jc w:val="center"/>
              <w:rPr>
                <w:rFonts w:eastAsia="仿宋"/>
                <w:color w:val="auto"/>
                <w:highlight w:val="none"/>
              </w:rPr>
            </w:pPr>
            <w:r>
              <w:rPr>
                <w:rFonts w:eastAsia="仿宋"/>
                <w:color w:val="auto"/>
                <w:highlight w:val="none"/>
              </w:rPr>
              <w:t>50≤Y&lt;500</w:t>
            </w:r>
          </w:p>
        </w:tc>
        <w:tc>
          <w:tcPr>
            <w:tcW w:w="1036" w:type="dxa"/>
            <w:vAlign w:val="center"/>
          </w:tcPr>
          <w:p w14:paraId="3093E0F7">
            <w:pPr>
              <w:spacing w:line="500" w:lineRule="exact"/>
              <w:jc w:val="center"/>
              <w:rPr>
                <w:rFonts w:eastAsia="仿宋"/>
                <w:color w:val="auto"/>
                <w:highlight w:val="none"/>
              </w:rPr>
            </w:pPr>
            <w:r>
              <w:rPr>
                <w:rFonts w:eastAsia="仿宋"/>
                <w:color w:val="auto"/>
                <w:highlight w:val="none"/>
              </w:rPr>
              <w:t>Y&lt;50</w:t>
            </w:r>
          </w:p>
        </w:tc>
      </w:tr>
      <w:tr w14:paraId="050F9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64201199">
            <w:pPr>
              <w:spacing w:line="500" w:lineRule="exact"/>
              <w:jc w:val="center"/>
              <w:rPr>
                <w:rFonts w:ascii="仿宋" w:hAnsi="仿宋" w:eastAsia="仿宋"/>
                <w:color w:val="auto"/>
                <w:highlight w:val="none"/>
              </w:rPr>
            </w:pPr>
            <w:r>
              <w:rPr>
                <w:rFonts w:ascii="仿宋" w:hAnsi="仿宋" w:eastAsia="仿宋"/>
                <w:color w:val="auto"/>
                <w:highlight w:val="none"/>
              </w:rPr>
              <w:t>工业</w:t>
            </w:r>
          </w:p>
        </w:tc>
        <w:tc>
          <w:tcPr>
            <w:tcW w:w="1447" w:type="dxa"/>
            <w:vAlign w:val="center"/>
          </w:tcPr>
          <w:p w14:paraId="610F5D47">
            <w:pPr>
              <w:spacing w:line="500" w:lineRule="exact"/>
              <w:jc w:val="center"/>
              <w:rPr>
                <w:rFonts w:ascii="仿宋" w:hAnsi="仿宋" w:eastAsia="仿宋"/>
                <w:color w:val="auto"/>
                <w:highlight w:val="none"/>
              </w:rPr>
            </w:pPr>
            <w:r>
              <w:rPr>
                <w:rFonts w:ascii="仿宋" w:hAnsi="仿宋" w:eastAsia="仿宋"/>
                <w:color w:val="auto"/>
                <w:highlight w:val="none"/>
              </w:rPr>
              <w:t>从业人员（</w:t>
            </w:r>
            <w:r>
              <w:rPr>
                <w:rFonts w:hint="eastAsia" w:ascii="仿宋" w:hAnsi="仿宋" w:eastAsia="仿宋"/>
                <w:color w:val="auto"/>
                <w:highlight w:val="none"/>
              </w:rPr>
              <w:t>X）</w:t>
            </w:r>
          </w:p>
        </w:tc>
        <w:tc>
          <w:tcPr>
            <w:tcW w:w="683" w:type="dxa"/>
            <w:vAlign w:val="center"/>
          </w:tcPr>
          <w:p w14:paraId="60C97B20">
            <w:pPr>
              <w:spacing w:line="500" w:lineRule="exact"/>
              <w:jc w:val="center"/>
              <w:rPr>
                <w:rFonts w:ascii="仿宋" w:hAnsi="仿宋" w:eastAsia="仿宋"/>
                <w:color w:val="auto"/>
                <w:highlight w:val="none"/>
              </w:rPr>
            </w:pPr>
            <w:r>
              <w:rPr>
                <w:rFonts w:ascii="仿宋" w:hAnsi="仿宋" w:eastAsia="仿宋"/>
                <w:color w:val="auto"/>
                <w:highlight w:val="none"/>
              </w:rPr>
              <w:t>人</w:t>
            </w:r>
          </w:p>
        </w:tc>
        <w:tc>
          <w:tcPr>
            <w:tcW w:w="1830" w:type="dxa"/>
            <w:vAlign w:val="center"/>
          </w:tcPr>
          <w:p w14:paraId="0D771DB2">
            <w:pPr>
              <w:spacing w:line="500" w:lineRule="exact"/>
              <w:jc w:val="center"/>
              <w:rPr>
                <w:rFonts w:eastAsia="仿宋"/>
                <w:color w:val="auto"/>
                <w:highlight w:val="none"/>
              </w:rPr>
            </w:pPr>
            <w:r>
              <w:rPr>
                <w:rFonts w:eastAsia="仿宋"/>
                <w:color w:val="auto"/>
                <w:highlight w:val="none"/>
              </w:rPr>
              <w:t>300≤X&lt;1000</w:t>
            </w:r>
          </w:p>
        </w:tc>
        <w:tc>
          <w:tcPr>
            <w:tcW w:w="1572" w:type="dxa"/>
            <w:vAlign w:val="center"/>
          </w:tcPr>
          <w:p w14:paraId="53E3A181">
            <w:pPr>
              <w:spacing w:line="500" w:lineRule="exact"/>
              <w:jc w:val="center"/>
              <w:rPr>
                <w:rFonts w:eastAsia="仿宋"/>
                <w:color w:val="auto"/>
                <w:highlight w:val="none"/>
              </w:rPr>
            </w:pPr>
            <w:r>
              <w:rPr>
                <w:rFonts w:eastAsia="仿宋"/>
                <w:color w:val="auto"/>
                <w:highlight w:val="none"/>
              </w:rPr>
              <w:t>20≤X&lt;300</w:t>
            </w:r>
          </w:p>
        </w:tc>
        <w:tc>
          <w:tcPr>
            <w:tcW w:w="1036" w:type="dxa"/>
            <w:vAlign w:val="center"/>
          </w:tcPr>
          <w:p w14:paraId="227A8637">
            <w:pPr>
              <w:spacing w:line="500" w:lineRule="exact"/>
              <w:jc w:val="center"/>
              <w:rPr>
                <w:rFonts w:eastAsia="仿宋"/>
                <w:color w:val="auto"/>
                <w:highlight w:val="none"/>
              </w:rPr>
            </w:pPr>
            <w:r>
              <w:rPr>
                <w:rFonts w:eastAsia="仿宋"/>
                <w:color w:val="auto"/>
                <w:highlight w:val="none"/>
              </w:rPr>
              <w:t>X&lt;20</w:t>
            </w:r>
          </w:p>
        </w:tc>
      </w:tr>
      <w:tr w14:paraId="39B45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4690E085">
            <w:pPr>
              <w:spacing w:line="500" w:lineRule="exact"/>
              <w:jc w:val="center"/>
              <w:rPr>
                <w:rFonts w:ascii="仿宋" w:hAnsi="仿宋" w:eastAsia="仿宋"/>
                <w:color w:val="auto"/>
                <w:highlight w:val="none"/>
              </w:rPr>
            </w:pPr>
          </w:p>
        </w:tc>
        <w:tc>
          <w:tcPr>
            <w:tcW w:w="1447" w:type="dxa"/>
            <w:vAlign w:val="center"/>
          </w:tcPr>
          <w:p w14:paraId="2E3B37FE">
            <w:pPr>
              <w:spacing w:line="500" w:lineRule="exact"/>
              <w:jc w:val="center"/>
              <w:rPr>
                <w:rFonts w:ascii="仿宋" w:hAnsi="仿宋" w:eastAsia="仿宋"/>
                <w:color w:val="auto"/>
                <w:highlight w:val="none"/>
              </w:rPr>
            </w:pPr>
            <w:r>
              <w:rPr>
                <w:rFonts w:ascii="仿宋" w:hAnsi="仿宋" w:eastAsia="仿宋"/>
                <w:color w:val="auto"/>
                <w:highlight w:val="none"/>
              </w:rPr>
              <w:t>营业收入（</w:t>
            </w:r>
            <w:r>
              <w:rPr>
                <w:rFonts w:hint="eastAsia" w:ascii="仿宋" w:hAnsi="仿宋" w:eastAsia="仿宋"/>
                <w:color w:val="auto"/>
                <w:highlight w:val="none"/>
              </w:rPr>
              <w:t>Y）</w:t>
            </w:r>
          </w:p>
        </w:tc>
        <w:tc>
          <w:tcPr>
            <w:tcW w:w="683" w:type="dxa"/>
            <w:vAlign w:val="center"/>
          </w:tcPr>
          <w:p w14:paraId="57FA4ADB">
            <w:pPr>
              <w:spacing w:line="500" w:lineRule="exact"/>
              <w:jc w:val="center"/>
              <w:rPr>
                <w:rFonts w:ascii="仿宋" w:hAnsi="仿宋" w:eastAsia="仿宋"/>
                <w:color w:val="auto"/>
                <w:highlight w:val="none"/>
              </w:rPr>
            </w:pPr>
            <w:r>
              <w:rPr>
                <w:rFonts w:ascii="仿宋" w:hAnsi="仿宋" w:eastAsia="仿宋"/>
                <w:color w:val="auto"/>
                <w:highlight w:val="none"/>
              </w:rPr>
              <w:t>万元</w:t>
            </w:r>
          </w:p>
        </w:tc>
        <w:tc>
          <w:tcPr>
            <w:tcW w:w="1830" w:type="dxa"/>
            <w:vAlign w:val="center"/>
          </w:tcPr>
          <w:p w14:paraId="529B4BBC">
            <w:pPr>
              <w:spacing w:line="500" w:lineRule="exact"/>
              <w:jc w:val="center"/>
              <w:rPr>
                <w:rFonts w:eastAsia="仿宋"/>
                <w:color w:val="auto"/>
                <w:highlight w:val="none"/>
              </w:rPr>
            </w:pPr>
            <w:r>
              <w:rPr>
                <w:rFonts w:eastAsia="仿宋"/>
                <w:color w:val="auto"/>
                <w:highlight w:val="none"/>
              </w:rPr>
              <w:t>2000≤Y&lt;40000</w:t>
            </w:r>
          </w:p>
        </w:tc>
        <w:tc>
          <w:tcPr>
            <w:tcW w:w="1572" w:type="dxa"/>
            <w:vAlign w:val="center"/>
          </w:tcPr>
          <w:p w14:paraId="52CFFC20">
            <w:pPr>
              <w:spacing w:line="500" w:lineRule="exact"/>
              <w:jc w:val="center"/>
              <w:rPr>
                <w:rFonts w:eastAsia="仿宋"/>
                <w:color w:val="auto"/>
                <w:highlight w:val="none"/>
              </w:rPr>
            </w:pPr>
            <w:r>
              <w:rPr>
                <w:rFonts w:eastAsia="仿宋"/>
                <w:color w:val="auto"/>
                <w:highlight w:val="none"/>
              </w:rPr>
              <w:t>300≤Y&lt;2000</w:t>
            </w:r>
          </w:p>
        </w:tc>
        <w:tc>
          <w:tcPr>
            <w:tcW w:w="1036" w:type="dxa"/>
            <w:vAlign w:val="center"/>
          </w:tcPr>
          <w:p w14:paraId="6CE10317">
            <w:pPr>
              <w:spacing w:line="500" w:lineRule="exact"/>
              <w:jc w:val="center"/>
              <w:rPr>
                <w:rFonts w:eastAsia="仿宋"/>
                <w:color w:val="auto"/>
                <w:highlight w:val="none"/>
              </w:rPr>
            </w:pPr>
            <w:r>
              <w:rPr>
                <w:rFonts w:eastAsia="仿宋"/>
                <w:color w:val="auto"/>
                <w:highlight w:val="none"/>
              </w:rPr>
              <w:t>Y&lt;300</w:t>
            </w:r>
          </w:p>
        </w:tc>
      </w:tr>
      <w:tr w14:paraId="10AF4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4F7D4E28">
            <w:pPr>
              <w:spacing w:line="500" w:lineRule="exact"/>
              <w:jc w:val="center"/>
              <w:rPr>
                <w:rFonts w:ascii="仿宋" w:hAnsi="仿宋" w:eastAsia="仿宋"/>
                <w:color w:val="auto"/>
                <w:highlight w:val="none"/>
              </w:rPr>
            </w:pPr>
            <w:r>
              <w:rPr>
                <w:rFonts w:ascii="仿宋" w:hAnsi="仿宋" w:eastAsia="仿宋"/>
                <w:color w:val="auto"/>
                <w:highlight w:val="none"/>
              </w:rPr>
              <w:t>建筑业</w:t>
            </w:r>
          </w:p>
        </w:tc>
        <w:tc>
          <w:tcPr>
            <w:tcW w:w="1447" w:type="dxa"/>
            <w:vAlign w:val="center"/>
          </w:tcPr>
          <w:p w14:paraId="52B5F519">
            <w:pPr>
              <w:spacing w:line="500" w:lineRule="exact"/>
              <w:jc w:val="center"/>
              <w:rPr>
                <w:rFonts w:ascii="仿宋" w:hAnsi="仿宋" w:eastAsia="仿宋"/>
                <w:color w:val="auto"/>
                <w:highlight w:val="none"/>
              </w:rPr>
            </w:pPr>
            <w:r>
              <w:rPr>
                <w:rFonts w:ascii="仿宋" w:hAnsi="仿宋" w:eastAsia="仿宋"/>
                <w:color w:val="auto"/>
                <w:highlight w:val="none"/>
              </w:rPr>
              <w:t>营业收入（</w:t>
            </w:r>
            <w:r>
              <w:rPr>
                <w:rFonts w:hint="eastAsia" w:ascii="仿宋" w:hAnsi="仿宋" w:eastAsia="仿宋"/>
                <w:color w:val="auto"/>
                <w:highlight w:val="none"/>
              </w:rPr>
              <w:t>Y）</w:t>
            </w:r>
          </w:p>
        </w:tc>
        <w:tc>
          <w:tcPr>
            <w:tcW w:w="683" w:type="dxa"/>
            <w:vAlign w:val="center"/>
          </w:tcPr>
          <w:p w14:paraId="4B345DE6">
            <w:pPr>
              <w:spacing w:line="500" w:lineRule="exact"/>
              <w:jc w:val="center"/>
              <w:rPr>
                <w:rFonts w:ascii="仿宋" w:hAnsi="仿宋" w:eastAsia="仿宋"/>
                <w:color w:val="auto"/>
                <w:highlight w:val="none"/>
              </w:rPr>
            </w:pPr>
            <w:r>
              <w:rPr>
                <w:rFonts w:ascii="仿宋" w:hAnsi="仿宋" w:eastAsia="仿宋"/>
                <w:color w:val="auto"/>
                <w:highlight w:val="none"/>
              </w:rPr>
              <w:t>万元</w:t>
            </w:r>
          </w:p>
        </w:tc>
        <w:tc>
          <w:tcPr>
            <w:tcW w:w="1830" w:type="dxa"/>
            <w:vAlign w:val="center"/>
          </w:tcPr>
          <w:p w14:paraId="7D051729">
            <w:pPr>
              <w:spacing w:line="500" w:lineRule="exact"/>
              <w:jc w:val="center"/>
              <w:rPr>
                <w:rFonts w:eastAsia="仿宋"/>
                <w:color w:val="auto"/>
                <w:highlight w:val="none"/>
              </w:rPr>
            </w:pPr>
            <w:r>
              <w:rPr>
                <w:rFonts w:eastAsia="仿宋"/>
                <w:color w:val="auto"/>
                <w:highlight w:val="none"/>
              </w:rPr>
              <w:t>6000≤Y&lt;80000</w:t>
            </w:r>
          </w:p>
        </w:tc>
        <w:tc>
          <w:tcPr>
            <w:tcW w:w="1572" w:type="dxa"/>
            <w:vAlign w:val="center"/>
          </w:tcPr>
          <w:p w14:paraId="207187C6">
            <w:pPr>
              <w:spacing w:line="500" w:lineRule="exact"/>
              <w:jc w:val="center"/>
              <w:rPr>
                <w:rFonts w:eastAsia="仿宋"/>
                <w:color w:val="auto"/>
                <w:highlight w:val="none"/>
              </w:rPr>
            </w:pPr>
            <w:r>
              <w:rPr>
                <w:rFonts w:eastAsia="仿宋"/>
                <w:color w:val="auto"/>
                <w:highlight w:val="none"/>
              </w:rPr>
              <w:t>300≤Y&lt;6000</w:t>
            </w:r>
          </w:p>
        </w:tc>
        <w:tc>
          <w:tcPr>
            <w:tcW w:w="1036" w:type="dxa"/>
            <w:vAlign w:val="center"/>
          </w:tcPr>
          <w:p w14:paraId="7242F75F">
            <w:pPr>
              <w:spacing w:line="500" w:lineRule="exact"/>
              <w:jc w:val="center"/>
              <w:rPr>
                <w:rFonts w:eastAsia="仿宋"/>
                <w:color w:val="auto"/>
                <w:highlight w:val="none"/>
              </w:rPr>
            </w:pPr>
            <w:r>
              <w:rPr>
                <w:rFonts w:eastAsia="仿宋"/>
                <w:color w:val="auto"/>
                <w:highlight w:val="none"/>
              </w:rPr>
              <w:t>Y&lt;300</w:t>
            </w:r>
          </w:p>
        </w:tc>
      </w:tr>
      <w:tr w14:paraId="551B1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57A0AFFB">
            <w:pPr>
              <w:spacing w:line="500" w:lineRule="exact"/>
              <w:jc w:val="center"/>
              <w:rPr>
                <w:rFonts w:ascii="仿宋" w:hAnsi="仿宋" w:eastAsia="仿宋"/>
                <w:color w:val="auto"/>
                <w:highlight w:val="none"/>
              </w:rPr>
            </w:pPr>
          </w:p>
        </w:tc>
        <w:tc>
          <w:tcPr>
            <w:tcW w:w="1447" w:type="dxa"/>
            <w:vAlign w:val="center"/>
          </w:tcPr>
          <w:p w14:paraId="3B956C82">
            <w:pPr>
              <w:spacing w:line="500" w:lineRule="exact"/>
              <w:jc w:val="center"/>
              <w:rPr>
                <w:rFonts w:ascii="仿宋" w:hAnsi="仿宋" w:eastAsia="仿宋"/>
                <w:color w:val="auto"/>
                <w:highlight w:val="none"/>
              </w:rPr>
            </w:pPr>
            <w:r>
              <w:rPr>
                <w:rFonts w:hint="eastAsia" w:ascii="仿宋" w:hAnsi="仿宋" w:eastAsia="仿宋"/>
                <w:color w:val="auto"/>
                <w:highlight w:val="none"/>
              </w:rPr>
              <w:t>资产</w:t>
            </w:r>
            <w:r>
              <w:rPr>
                <w:rFonts w:ascii="仿宋" w:hAnsi="仿宋" w:eastAsia="仿宋"/>
                <w:color w:val="auto"/>
                <w:highlight w:val="none"/>
              </w:rPr>
              <w:t>总额（</w:t>
            </w:r>
            <w:r>
              <w:rPr>
                <w:rFonts w:hint="eastAsia" w:ascii="仿宋" w:hAnsi="仿宋" w:eastAsia="仿宋"/>
                <w:color w:val="auto"/>
                <w:highlight w:val="none"/>
              </w:rPr>
              <w:t>Z）</w:t>
            </w:r>
          </w:p>
        </w:tc>
        <w:tc>
          <w:tcPr>
            <w:tcW w:w="683" w:type="dxa"/>
            <w:vAlign w:val="center"/>
          </w:tcPr>
          <w:p w14:paraId="5CD9C0EB">
            <w:pPr>
              <w:spacing w:line="500" w:lineRule="exact"/>
              <w:jc w:val="center"/>
              <w:rPr>
                <w:rFonts w:ascii="仿宋" w:hAnsi="仿宋" w:eastAsia="仿宋"/>
                <w:color w:val="auto"/>
                <w:highlight w:val="none"/>
              </w:rPr>
            </w:pPr>
            <w:r>
              <w:rPr>
                <w:rFonts w:ascii="仿宋" w:hAnsi="仿宋" w:eastAsia="仿宋"/>
                <w:color w:val="auto"/>
                <w:highlight w:val="none"/>
              </w:rPr>
              <w:t>万元</w:t>
            </w:r>
          </w:p>
        </w:tc>
        <w:tc>
          <w:tcPr>
            <w:tcW w:w="1830" w:type="dxa"/>
            <w:vAlign w:val="center"/>
          </w:tcPr>
          <w:p w14:paraId="6ADC8B9F">
            <w:pPr>
              <w:spacing w:line="500" w:lineRule="exact"/>
              <w:jc w:val="center"/>
              <w:rPr>
                <w:rFonts w:eastAsia="仿宋"/>
                <w:color w:val="auto"/>
                <w:highlight w:val="none"/>
              </w:rPr>
            </w:pPr>
            <w:r>
              <w:rPr>
                <w:rFonts w:eastAsia="仿宋"/>
                <w:color w:val="auto"/>
                <w:highlight w:val="none"/>
              </w:rPr>
              <w:t>5000≤Z &lt;80000</w:t>
            </w:r>
          </w:p>
        </w:tc>
        <w:tc>
          <w:tcPr>
            <w:tcW w:w="1572" w:type="dxa"/>
            <w:vAlign w:val="center"/>
          </w:tcPr>
          <w:p w14:paraId="325C95CA">
            <w:pPr>
              <w:spacing w:line="500" w:lineRule="exact"/>
              <w:jc w:val="center"/>
              <w:rPr>
                <w:rFonts w:eastAsia="仿宋"/>
                <w:color w:val="auto"/>
                <w:highlight w:val="none"/>
              </w:rPr>
            </w:pPr>
            <w:r>
              <w:rPr>
                <w:rFonts w:eastAsia="仿宋"/>
                <w:color w:val="auto"/>
                <w:highlight w:val="none"/>
              </w:rPr>
              <w:t>300≤Z &lt;5000</w:t>
            </w:r>
          </w:p>
        </w:tc>
        <w:tc>
          <w:tcPr>
            <w:tcW w:w="1036" w:type="dxa"/>
            <w:vAlign w:val="center"/>
          </w:tcPr>
          <w:p w14:paraId="26E0DE46">
            <w:pPr>
              <w:spacing w:line="500" w:lineRule="exact"/>
              <w:jc w:val="center"/>
              <w:rPr>
                <w:rFonts w:eastAsia="仿宋"/>
                <w:color w:val="auto"/>
                <w:highlight w:val="none"/>
              </w:rPr>
            </w:pPr>
            <w:r>
              <w:rPr>
                <w:rFonts w:eastAsia="仿宋"/>
                <w:color w:val="auto"/>
                <w:highlight w:val="none"/>
              </w:rPr>
              <w:t>Z&lt;300</w:t>
            </w:r>
          </w:p>
        </w:tc>
      </w:tr>
      <w:tr w14:paraId="04E36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529E53C0">
            <w:pPr>
              <w:spacing w:line="500" w:lineRule="exact"/>
              <w:jc w:val="center"/>
              <w:rPr>
                <w:rFonts w:ascii="仿宋" w:hAnsi="仿宋" w:eastAsia="仿宋"/>
                <w:color w:val="auto"/>
                <w:highlight w:val="none"/>
              </w:rPr>
            </w:pPr>
            <w:r>
              <w:rPr>
                <w:rFonts w:ascii="仿宋" w:hAnsi="仿宋" w:eastAsia="仿宋"/>
                <w:color w:val="auto"/>
                <w:highlight w:val="none"/>
              </w:rPr>
              <w:t>批发业</w:t>
            </w:r>
          </w:p>
        </w:tc>
        <w:tc>
          <w:tcPr>
            <w:tcW w:w="1447" w:type="dxa"/>
            <w:vAlign w:val="center"/>
          </w:tcPr>
          <w:p w14:paraId="64F46FB2">
            <w:pPr>
              <w:spacing w:line="500" w:lineRule="exact"/>
              <w:jc w:val="center"/>
              <w:rPr>
                <w:rFonts w:ascii="仿宋" w:hAnsi="仿宋" w:eastAsia="仿宋"/>
                <w:color w:val="auto"/>
                <w:highlight w:val="none"/>
              </w:rPr>
            </w:pPr>
            <w:r>
              <w:rPr>
                <w:rFonts w:ascii="仿宋" w:hAnsi="仿宋" w:eastAsia="仿宋"/>
                <w:color w:val="auto"/>
                <w:highlight w:val="none"/>
              </w:rPr>
              <w:t>从业人员（</w:t>
            </w:r>
            <w:r>
              <w:rPr>
                <w:rFonts w:hint="eastAsia" w:ascii="仿宋" w:hAnsi="仿宋" w:eastAsia="仿宋"/>
                <w:color w:val="auto"/>
                <w:highlight w:val="none"/>
              </w:rPr>
              <w:t>X）</w:t>
            </w:r>
          </w:p>
        </w:tc>
        <w:tc>
          <w:tcPr>
            <w:tcW w:w="683" w:type="dxa"/>
            <w:vAlign w:val="center"/>
          </w:tcPr>
          <w:p w14:paraId="470103A0">
            <w:pPr>
              <w:spacing w:line="500" w:lineRule="exact"/>
              <w:jc w:val="center"/>
              <w:rPr>
                <w:rFonts w:ascii="仿宋" w:hAnsi="仿宋" w:eastAsia="仿宋"/>
                <w:color w:val="auto"/>
                <w:highlight w:val="none"/>
              </w:rPr>
            </w:pPr>
            <w:r>
              <w:rPr>
                <w:rFonts w:ascii="仿宋" w:hAnsi="仿宋" w:eastAsia="仿宋"/>
                <w:color w:val="auto"/>
                <w:highlight w:val="none"/>
              </w:rPr>
              <w:t>人</w:t>
            </w:r>
          </w:p>
        </w:tc>
        <w:tc>
          <w:tcPr>
            <w:tcW w:w="1830" w:type="dxa"/>
            <w:vAlign w:val="center"/>
          </w:tcPr>
          <w:p w14:paraId="3B933CB0">
            <w:pPr>
              <w:spacing w:line="500" w:lineRule="exact"/>
              <w:jc w:val="center"/>
              <w:rPr>
                <w:rFonts w:eastAsia="仿宋"/>
                <w:color w:val="auto"/>
                <w:highlight w:val="none"/>
              </w:rPr>
            </w:pPr>
            <w:r>
              <w:rPr>
                <w:rFonts w:eastAsia="仿宋"/>
                <w:color w:val="auto"/>
                <w:highlight w:val="none"/>
              </w:rPr>
              <w:t>20≤X&lt;200</w:t>
            </w:r>
          </w:p>
        </w:tc>
        <w:tc>
          <w:tcPr>
            <w:tcW w:w="1572" w:type="dxa"/>
            <w:vAlign w:val="center"/>
          </w:tcPr>
          <w:p w14:paraId="0B49A8A0">
            <w:pPr>
              <w:spacing w:line="500" w:lineRule="exact"/>
              <w:jc w:val="center"/>
              <w:rPr>
                <w:rFonts w:eastAsia="仿宋"/>
                <w:color w:val="auto"/>
                <w:highlight w:val="none"/>
              </w:rPr>
            </w:pPr>
            <w:r>
              <w:rPr>
                <w:rFonts w:eastAsia="仿宋"/>
                <w:color w:val="auto"/>
                <w:highlight w:val="none"/>
              </w:rPr>
              <w:t>5≤X&lt;20</w:t>
            </w:r>
          </w:p>
        </w:tc>
        <w:tc>
          <w:tcPr>
            <w:tcW w:w="1036" w:type="dxa"/>
            <w:vAlign w:val="center"/>
          </w:tcPr>
          <w:p w14:paraId="7DBFCE66">
            <w:pPr>
              <w:spacing w:line="500" w:lineRule="exact"/>
              <w:jc w:val="center"/>
              <w:rPr>
                <w:rFonts w:eastAsia="仿宋"/>
                <w:color w:val="auto"/>
                <w:highlight w:val="none"/>
              </w:rPr>
            </w:pPr>
            <w:r>
              <w:rPr>
                <w:rFonts w:eastAsia="仿宋"/>
                <w:color w:val="auto"/>
                <w:highlight w:val="none"/>
              </w:rPr>
              <w:t>X&lt;5</w:t>
            </w:r>
          </w:p>
        </w:tc>
      </w:tr>
      <w:tr w14:paraId="789C2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4A5E2B14">
            <w:pPr>
              <w:spacing w:line="500" w:lineRule="exact"/>
              <w:jc w:val="center"/>
              <w:rPr>
                <w:rFonts w:ascii="仿宋" w:hAnsi="仿宋" w:eastAsia="仿宋"/>
                <w:color w:val="auto"/>
                <w:highlight w:val="none"/>
              </w:rPr>
            </w:pPr>
          </w:p>
        </w:tc>
        <w:tc>
          <w:tcPr>
            <w:tcW w:w="1447" w:type="dxa"/>
            <w:vAlign w:val="center"/>
          </w:tcPr>
          <w:p w14:paraId="2A222B33">
            <w:pPr>
              <w:spacing w:line="500" w:lineRule="exact"/>
              <w:jc w:val="center"/>
              <w:rPr>
                <w:rFonts w:ascii="仿宋" w:hAnsi="仿宋" w:eastAsia="仿宋"/>
                <w:color w:val="auto"/>
                <w:highlight w:val="none"/>
              </w:rPr>
            </w:pPr>
            <w:r>
              <w:rPr>
                <w:rFonts w:ascii="仿宋" w:hAnsi="仿宋" w:eastAsia="仿宋"/>
                <w:color w:val="auto"/>
                <w:highlight w:val="none"/>
              </w:rPr>
              <w:t>营业收入（</w:t>
            </w:r>
            <w:r>
              <w:rPr>
                <w:rFonts w:hint="eastAsia" w:ascii="仿宋" w:hAnsi="仿宋" w:eastAsia="仿宋"/>
                <w:color w:val="auto"/>
                <w:highlight w:val="none"/>
              </w:rPr>
              <w:t>Y）</w:t>
            </w:r>
          </w:p>
        </w:tc>
        <w:tc>
          <w:tcPr>
            <w:tcW w:w="683" w:type="dxa"/>
            <w:vAlign w:val="center"/>
          </w:tcPr>
          <w:p w14:paraId="2D8356DE">
            <w:pPr>
              <w:spacing w:line="500" w:lineRule="exact"/>
              <w:jc w:val="center"/>
              <w:rPr>
                <w:rFonts w:ascii="仿宋" w:hAnsi="仿宋" w:eastAsia="仿宋"/>
                <w:color w:val="auto"/>
                <w:highlight w:val="none"/>
              </w:rPr>
            </w:pPr>
            <w:r>
              <w:rPr>
                <w:rFonts w:ascii="仿宋" w:hAnsi="仿宋" w:eastAsia="仿宋"/>
                <w:color w:val="auto"/>
                <w:highlight w:val="none"/>
              </w:rPr>
              <w:t>万元</w:t>
            </w:r>
          </w:p>
        </w:tc>
        <w:tc>
          <w:tcPr>
            <w:tcW w:w="1830" w:type="dxa"/>
            <w:vAlign w:val="center"/>
          </w:tcPr>
          <w:p w14:paraId="2DA6622A">
            <w:pPr>
              <w:spacing w:line="500" w:lineRule="exact"/>
              <w:jc w:val="center"/>
              <w:rPr>
                <w:rFonts w:eastAsia="仿宋"/>
                <w:color w:val="auto"/>
                <w:highlight w:val="none"/>
              </w:rPr>
            </w:pPr>
            <w:r>
              <w:rPr>
                <w:rFonts w:eastAsia="仿宋"/>
                <w:color w:val="auto"/>
                <w:highlight w:val="none"/>
              </w:rPr>
              <w:t>5000≤Y&lt;50000</w:t>
            </w:r>
          </w:p>
        </w:tc>
        <w:tc>
          <w:tcPr>
            <w:tcW w:w="1572" w:type="dxa"/>
            <w:vAlign w:val="center"/>
          </w:tcPr>
          <w:p w14:paraId="1140EE99">
            <w:pPr>
              <w:spacing w:line="500" w:lineRule="exact"/>
              <w:jc w:val="center"/>
              <w:rPr>
                <w:rFonts w:eastAsia="仿宋"/>
                <w:color w:val="auto"/>
                <w:highlight w:val="none"/>
              </w:rPr>
            </w:pPr>
            <w:r>
              <w:rPr>
                <w:rFonts w:eastAsia="仿宋"/>
                <w:color w:val="auto"/>
                <w:highlight w:val="none"/>
              </w:rPr>
              <w:t>1000≤Y&lt;5000</w:t>
            </w:r>
          </w:p>
        </w:tc>
        <w:tc>
          <w:tcPr>
            <w:tcW w:w="1036" w:type="dxa"/>
            <w:vAlign w:val="center"/>
          </w:tcPr>
          <w:p w14:paraId="33376CB2">
            <w:pPr>
              <w:spacing w:line="500" w:lineRule="exact"/>
              <w:jc w:val="center"/>
              <w:rPr>
                <w:rFonts w:eastAsia="仿宋"/>
                <w:color w:val="auto"/>
                <w:highlight w:val="none"/>
              </w:rPr>
            </w:pPr>
            <w:r>
              <w:rPr>
                <w:rFonts w:eastAsia="仿宋"/>
                <w:color w:val="auto"/>
                <w:highlight w:val="none"/>
              </w:rPr>
              <w:t>Y&lt;1000</w:t>
            </w:r>
          </w:p>
        </w:tc>
      </w:tr>
      <w:tr w14:paraId="0F85C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3FD981CE">
            <w:pPr>
              <w:spacing w:line="500" w:lineRule="exact"/>
              <w:jc w:val="center"/>
              <w:rPr>
                <w:rFonts w:ascii="仿宋" w:hAnsi="仿宋" w:eastAsia="仿宋"/>
                <w:color w:val="auto"/>
                <w:highlight w:val="none"/>
              </w:rPr>
            </w:pPr>
            <w:r>
              <w:rPr>
                <w:rFonts w:hint="eastAsia" w:ascii="仿宋" w:hAnsi="仿宋" w:eastAsia="仿宋"/>
                <w:color w:val="auto"/>
                <w:highlight w:val="none"/>
              </w:rPr>
              <w:t>零售业</w:t>
            </w:r>
          </w:p>
        </w:tc>
        <w:tc>
          <w:tcPr>
            <w:tcW w:w="1447" w:type="dxa"/>
            <w:vAlign w:val="center"/>
          </w:tcPr>
          <w:p w14:paraId="4F648E5A">
            <w:pPr>
              <w:spacing w:line="500" w:lineRule="exact"/>
              <w:jc w:val="center"/>
              <w:rPr>
                <w:rFonts w:ascii="仿宋" w:hAnsi="仿宋" w:eastAsia="仿宋"/>
                <w:color w:val="auto"/>
                <w:highlight w:val="none"/>
              </w:rPr>
            </w:pPr>
            <w:r>
              <w:rPr>
                <w:rFonts w:ascii="仿宋" w:hAnsi="仿宋" w:eastAsia="仿宋"/>
                <w:color w:val="auto"/>
                <w:highlight w:val="none"/>
              </w:rPr>
              <w:t>从业人员（</w:t>
            </w:r>
            <w:r>
              <w:rPr>
                <w:rFonts w:hint="eastAsia" w:ascii="仿宋" w:hAnsi="仿宋" w:eastAsia="仿宋"/>
                <w:color w:val="auto"/>
                <w:highlight w:val="none"/>
              </w:rPr>
              <w:t>X）</w:t>
            </w:r>
          </w:p>
        </w:tc>
        <w:tc>
          <w:tcPr>
            <w:tcW w:w="683" w:type="dxa"/>
            <w:vAlign w:val="center"/>
          </w:tcPr>
          <w:p w14:paraId="49524CC7">
            <w:pPr>
              <w:spacing w:line="500" w:lineRule="exact"/>
              <w:jc w:val="center"/>
              <w:rPr>
                <w:rFonts w:ascii="仿宋" w:hAnsi="仿宋" w:eastAsia="仿宋"/>
                <w:color w:val="auto"/>
                <w:highlight w:val="none"/>
              </w:rPr>
            </w:pPr>
            <w:r>
              <w:rPr>
                <w:rFonts w:ascii="仿宋" w:hAnsi="仿宋" w:eastAsia="仿宋"/>
                <w:color w:val="auto"/>
                <w:highlight w:val="none"/>
              </w:rPr>
              <w:t>人</w:t>
            </w:r>
          </w:p>
        </w:tc>
        <w:tc>
          <w:tcPr>
            <w:tcW w:w="1830" w:type="dxa"/>
            <w:vAlign w:val="center"/>
          </w:tcPr>
          <w:p w14:paraId="1BF428D8">
            <w:pPr>
              <w:spacing w:line="500" w:lineRule="exact"/>
              <w:jc w:val="center"/>
              <w:rPr>
                <w:rFonts w:eastAsia="仿宋"/>
                <w:color w:val="auto"/>
                <w:highlight w:val="none"/>
              </w:rPr>
            </w:pPr>
            <w:r>
              <w:rPr>
                <w:rFonts w:eastAsia="仿宋"/>
                <w:color w:val="auto"/>
                <w:highlight w:val="none"/>
              </w:rPr>
              <w:t>50≤X&lt;300</w:t>
            </w:r>
          </w:p>
        </w:tc>
        <w:tc>
          <w:tcPr>
            <w:tcW w:w="1572" w:type="dxa"/>
            <w:vAlign w:val="center"/>
          </w:tcPr>
          <w:p w14:paraId="30EEFA40">
            <w:pPr>
              <w:spacing w:line="500" w:lineRule="exact"/>
              <w:jc w:val="center"/>
              <w:rPr>
                <w:rFonts w:eastAsia="仿宋"/>
                <w:color w:val="auto"/>
                <w:highlight w:val="none"/>
              </w:rPr>
            </w:pPr>
            <w:r>
              <w:rPr>
                <w:rFonts w:eastAsia="仿宋"/>
                <w:color w:val="auto"/>
                <w:highlight w:val="none"/>
              </w:rPr>
              <w:t>10≤X&lt;50</w:t>
            </w:r>
          </w:p>
        </w:tc>
        <w:tc>
          <w:tcPr>
            <w:tcW w:w="1036" w:type="dxa"/>
            <w:vAlign w:val="center"/>
          </w:tcPr>
          <w:p w14:paraId="6FD33A0D">
            <w:pPr>
              <w:spacing w:line="500" w:lineRule="exact"/>
              <w:jc w:val="center"/>
              <w:rPr>
                <w:rFonts w:eastAsia="仿宋"/>
                <w:color w:val="auto"/>
                <w:highlight w:val="none"/>
              </w:rPr>
            </w:pPr>
            <w:r>
              <w:rPr>
                <w:rFonts w:eastAsia="仿宋"/>
                <w:color w:val="auto"/>
                <w:highlight w:val="none"/>
              </w:rPr>
              <w:t>X&lt;10</w:t>
            </w:r>
          </w:p>
        </w:tc>
      </w:tr>
      <w:tr w14:paraId="19F91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3A89FB4A">
            <w:pPr>
              <w:spacing w:line="500" w:lineRule="exact"/>
              <w:jc w:val="center"/>
              <w:rPr>
                <w:rFonts w:ascii="仿宋" w:hAnsi="仿宋" w:eastAsia="仿宋"/>
                <w:color w:val="auto"/>
                <w:highlight w:val="none"/>
              </w:rPr>
            </w:pPr>
          </w:p>
        </w:tc>
        <w:tc>
          <w:tcPr>
            <w:tcW w:w="1447" w:type="dxa"/>
            <w:vAlign w:val="center"/>
          </w:tcPr>
          <w:p w14:paraId="2E35618C">
            <w:pPr>
              <w:spacing w:line="500" w:lineRule="exact"/>
              <w:jc w:val="center"/>
              <w:rPr>
                <w:rFonts w:ascii="仿宋" w:hAnsi="仿宋" w:eastAsia="仿宋"/>
                <w:color w:val="auto"/>
                <w:highlight w:val="none"/>
              </w:rPr>
            </w:pPr>
            <w:r>
              <w:rPr>
                <w:rFonts w:ascii="仿宋" w:hAnsi="仿宋" w:eastAsia="仿宋"/>
                <w:color w:val="auto"/>
                <w:highlight w:val="none"/>
              </w:rPr>
              <w:t>营业收入（</w:t>
            </w:r>
            <w:r>
              <w:rPr>
                <w:rFonts w:hint="eastAsia" w:ascii="仿宋" w:hAnsi="仿宋" w:eastAsia="仿宋"/>
                <w:color w:val="auto"/>
                <w:highlight w:val="none"/>
              </w:rPr>
              <w:t>Y）</w:t>
            </w:r>
          </w:p>
        </w:tc>
        <w:tc>
          <w:tcPr>
            <w:tcW w:w="683" w:type="dxa"/>
            <w:vAlign w:val="center"/>
          </w:tcPr>
          <w:p w14:paraId="26A12300">
            <w:pPr>
              <w:spacing w:line="500" w:lineRule="exact"/>
              <w:jc w:val="center"/>
              <w:rPr>
                <w:rFonts w:ascii="仿宋" w:hAnsi="仿宋" w:eastAsia="仿宋"/>
                <w:color w:val="auto"/>
                <w:highlight w:val="none"/>
              </w:rPr>
            </w:pPr>
            <w:r>
              <w:rPr>
                <w:rFonts w:ascii="仿宋" w:hAnsi="仿宋" w:eastAsia="仿宋"/>
                <w:color w:val="auto"/>
                <w:highlight w:val="none"/>
              </w:rPr>
              <w:t>万元</w:t>
            </w:r>
          </w:p>
        </w:tc>
        <w:tc>
          <w:tcPr>
            <w:tcW w:w="1830" w:type="dxa"/>
            <w:vAlign w:val="center"/>
          </w:tcPr>
          <w:p w14:paraId="5C74F2CA">
            <w:pPr>
              <w:spacing w:line="500" w:lineRule="exact"/>
              <w:jc w:val="center"/>
              <w:rPr>
                <w:rFonts w:eastAsia="仿宋"/>
                <w:color w:val="auto"/>
                <w:highlight w:val="none"/>
              </w:rPr>
            </w:pPr>
            <w:r>
              <w:rPr>
                <w:rFonts w:eastAsia="仿宋"/>
                <w:color w:val="auto"/>
                <w:highlight w:val="none"/>
              </w:rPr>
              <w:t>500≤Y&lt;20000</w:t>
            </w:r>
          </w:p>
        </w:tc>
        <w:tc>
          <w:tcPr>
            <w:tcW w:w="1572" w:type="dxa"/>
            <w:vAlign w:val="center"/>
          </w:tcPr>
          <w:p w14:paraId="57C340B2">
            <w:pPr>
              <w:spacing w:line="500" w:lineRule="exact"/>
              <w:jc w:val="center"/>
              <w:rPr>
                <w:rFonts w:eastAsia="仿宋"/>
                <w:color w:val="auto"/>
                <w:highlight w:val="none"/>
              </w:rPr>
            </w:pPr>
            <w:r>
              <w:rPr>
                <w:rFonts w:eastAsia="仿宋"/>
                <w:color w:val="auto"/>
                <w:highlight w:val="none"/>
              </w:rPr>
              <w:t>100≤Y&lt;500</w:t>
            </w:r>
          </w:p>
        </w:tc>
        <w:tc>
          <w:tcPr>
            <w:tcW w:w="1036" w:type="dxa"/>
            <w:vAlign w:val="center"/>
          </w:tcPr>
          <w:p w14:paraId="4110377E">
            <w:pPr>
              <w:spacing w:line="500" w:lineRule="exact"/>
              <w:jc w:val="center"/>
              <w:rPr>
                <w:rFonts w:eastAsia="仿宋"/>
                <w:color w:val="auto"/>
                <w:highlight w:val="none"/>
              </w:rPr>
            </w:pPr>
            <w:r>
              <w:rPr>
                <w:rFonts w:eastAsia="仿宋"/>
                <w:color w:val="auto"/>
                <w:highlight w:val="none"/>
              </w:rPr>
              <w:t>Y&lt;100</w:t>
            </w:r>
          </w:p>
        </w:tc>
      </w:tr>
      <w:tr w14:paraId="6DFC5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2CB5ED5C">
            <w:pPr>
              <w:spacing w:line="500" w:lineRule="exact"/>
              <w:jc w:val="center"/>
              <w:rPr>
                <w:rFonts w:ascii="仿宋" w:hAnsi="仿宋" w:eastAsia="仿宋"/>
                <w:color w:val="auto"/>
                <w:highlight w:val="none"/>
              </w:rPr>
            </w:pPr>
            <w:r>
              <w:rPr>
                <w:rFonts w:hint="eastAsia" w:ascii="仿宋" w:hAnsi="仿宋" w:eastAsia="仿宋"/>
                <w:color w:val="auto"/>
                <w:highlight w:val="none"/>
              </w:rPr>
              <w:t>交通</w:t>
            </w:r>
            <w:r>
              <w:rPr>
                <w:rFonts w:ascii="仿宋" w:hAnsi="仿宋" w:eastAsia="仿宋"/>
                <w:color w:val="auto"/>
                <w:highlight w:val="none"/>
              </w:rPr>
              <w:t>运输业</w:t>
            </w:r>
          </w:p>
        </w:tc>
        <w:tc>
          <w:tcPr>
            <w:tcW w:w="1447" w:type="dxa"/>
            <w:vAlign w:val="center"/>
          </w:tcPr>
          <w:p w14:paraId="4BE2C130">
            <w:pPr>
              <w:spacing w:line="500" w:lineRule="exact"/>
              <w:jc w:val="center"/>
              <w:rPr>
                <w:rFonts w:ascii="仿宋" w:hAnsi="仿宋" w:eastAsia="仿宋"/>
                <w:color w:val="auto"/>
                <w:highlight w:val="none"/>
              </w:rPr>
            </w:pPr>
            <w:r>
              <w:rPr>
                <w:rFonts w:ascii="仿宋" w:hAnsi="仿宋" w:eastAsia="仿宋"/>
                <w:color w:val="auto"/>
                <w:highlight w:val="none"/>
              </w:rPr>
              <w:t>从业人员（</w:t>
            </w:r>
            <w:r>
              <w:rPr>
                <w:rFonts w:hint="eastAsia" w:ascii="仿宋" w:hAnsi="仿宋" w:eastAsia="仿宋"/>
                <w:color w:val="auto"/>
                <w:highlight w:val="none"/>
              </w:rPr>
              <w:t>X）</w:t>
            </w:r>
          </w:p>
        </w:tc>
        <w:tc>
          <w:tcPr>
            <w:tcW w:w="683" w:type="dxa"/>
            <w:vAlign w:val="center"/>
          </w:tcPr>
          <w:p w14:paraId="050C9D0F">
            <w:pPr>
              <w:spacing w:line="500" w:lineRule="exact"/>
              <w:jc w:val="center"/>
              <w:rPr>
                <w:rFonts w:ascii="仿宋" w:hAnsi="仿宋" w:eastAsia="仿宋"/>
                <w:color w:val="auto"/>
                <w:highlight w:val="none"/>
              </w:rPr>
            </w:pPr>
            <w:r>
              <w:rPr>
                <w:rFonts w:ascii="仿宋" w:hAnsi="仿宋" w:eastAsia="仿宋"/>
                <w:color w:val="auto"/>
                <w:highlight w:val="none"/>
              </w:rPr>
              <w:t>人</w:t>
            </w:r>
          </w:p>
        </w:tc>
        <w:tc>
          <w:tcPr>
            <w:tcW w:w="1830" w:type="dxa"/>
            <w:vAlign w:val="center"/>
          </w:tcPr>
          <w:p w14:paraId="6CD03272">
            <w:pPr>
              <w:spacing w:line="500" w:lineRule="exact"/>
              <w:jc w:val="center"/>
              <w:rPr>
                <w:rFonts w:eastAsia="仿宋"/>
                <w:color w:val="auto"/>
                <w:highlight w:val="none"/>
              </w:rPr>
            </w:pPr>
            <w:r>
              <w:rPr>
                <w:rFonts w:eastAsia="仿宋"/>
                <w:color w:val="auto"/>
                <w:highlight w:val="none"/>
              </w:rPr>
              <w:t>300≤X&lt;1000</w:t>
            </w:r>
          </w:p>
        </w:tc>
        <w:tc>
          <w:tcPr>
            <w:tcW w:w="1572" w:type="dxa"/>
            <w:vAlign w:val="center"/>
          </w:tcPr>
          <w:p w14:paraId="5003A49B">
            <w:pPr>
              <w:spacing w:line="500" w:lineRule="exact"/>
              <w:jc w:val="center"/>
              <w:rPr>
                <w:rFonts w:eastAsia="仿宋"/>
                <w:color w:val="auto"/>
                <w:highlight w:val="none"/>
              </w:rPr>
            </w:pPr>
            <w:r>
              <w:rPr>
                <w:rFonts w:eastAsia="仿宋"/>
                <w:color w:val="auto"/>
                <w:highlight w:val="none"/>
              </w:rPr>
              <w:t>20≤X&lt;300</w:t>
            </w:r>
          </w:p>
        </w:tc>
        <w:tc>
          <w:tcPr>
            <w:tcW w:w="1036" w:type="dxa"/>
            <w:vAlign w:val="center"/>
          </w:tcPr>
          <w:p w14:paraId="0FACEA9A">
            <w:pPr>
              <w:spacing w:line="500" w:lineRule="exact"/>
              <w:jc w:val="center"/>
              <w:rPr>
                <w:rFonts w:eastAsia="仿宋"/>
                <w:color w:val="auto"/>
                <w:highlight w:val="none"/>
              </w:rPr>
            </w:pPr>
            <w:r>
              <w:rPr>
                <w:rFonts w:eastAsia="仿宋"/>
                <w:color w:val="auto"/>
                <w:highlight w:val="none"/>
              </w:rPr>
              <w:t>X&lt;20</w:t>
            </w:r>
          </w:p>
        </w:tc>
      </w:tr>
      <w:tr w14:paraId="2D2EC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234D488C">
            <w:pPr>
              <w:spacing w:line="500" w:lineRule="exact"/>
              <w:jc w:val="center"/>
              <w:rPr>
                <w:rFonts w:ascii="仿宋" w:hAnsi="仿宋" w:eastAsia="仿宋"/>
                <w:color w:val="auto"/>
                <w:highlight w:val="none"/>
              </w:rPr>
            </w:pPr>
          </w:p>
        </w:tc>
        <w:tc>
          <w:tcPr>
            <w:tcW w:w="1447" w:type="dxa"/>
            <w:vAlign w:val="center"/>
          </w:tcPr>
          <w:p w14:paraId="036C813F">
            <w:pPr>
              <w:spacing w:line="500" w:lineRule="exact"/>
              <w:jc w:val="center"/>
              <w:rPr>
                <w:rFonts w:ascii="仿宋" w:hAnsi="仿宋" w:eastAsia="仿宋"/>
                <w:color w:val="auto"/>
                <w:highlight w:val="none"/>
              </w:rPr>
            </w:pPr>
            <w:r>
              <w:rPr>
                <w:rFonts w:ascii="仿宋" w:hAnsi="仿宋" w:eastAsia="仿宋"/>
                <w:color w:val="auto"/>
                <w:highlight w:val="none"/>
              </w:rPr>
              <w:t>营业收入（</w:t>
            </w:r>
            <w:r>
              <w:rPr>
                <w:rFonts w:hint="eastAsia" w:ascii="仿宋" w:hAnsi="仿宋" w:eastAsia="仿宋"/>
                <w:color w:val="auto"/>
                <w:highlight w:val="none"/>
              </w:rPr>
              <w:t>Y）</w:t>
            </w:r>
          </w:p>
        </w:tc>
        <w:tc>
          <w:tcPr>
            <w:tcW w:w="683" w:type="dxa"/>
            <w:vAlign w:val="center"/>
          </w:tcPr>
          <w:p w14:paraId="06656E33">
            <w:pPr>
              <w:spacing w:line="500" w:lineRule="exact"/>
              <w:jc w:val="center"/>
              <w:rPr>
                <w:rFonts w:ascii="仿宋" w:hAnsi="仿宋" w:eastAsia="仿宋"/>
                <w:color w:val="auto"/>
                <w:highlight w:val="none"/>
              </w:rPr>
            </w:pPr>
            <w:r>
              <w:rPr>
                <w:rFonts w:ascii="仿宋" w:hAnsi="仿宋" w:eastAsia="仿宋"/>
                <w:color w:val="auto"/>
                <w:highlight w:val="none"/>
              </w:rPr>
              <w:t>万元</w:t>
            </w:r>
          </w:p>
        </w:tc>
        <w:tc>
          <w:tcPr>
            <w:tcW w:w="1830" w:type="dxa"/>
            <w:vAlign w:val="center"/>
          </w:tcPr>
          <w:p w14:paraId="4721D5C4">
            <w:pPr>
              <w:spacing w:line="500" w:lineRule="exact"/>
              <w:jc w:val="center"/>
              <w:rPr>
                <w:rFonts w:eastAsia="仿宋"/>
                <w:color w:val="auto"/>
                <w:highlight w:val="none"/>
              </w:rPr>
            </w:pPr>
            <w:r>
              <w:rPr>
                <w:rFonts w:eastAsia="仿宋"/>
                <w:color w:val="auto"/>
                <w:highlight w:val="none"/>
              </w:rPr>
              <w:t>3000≤Y&lt;30000</w:t>
            </w:r>
          </w:p>
        </w:tc>
        <w:tc>
          <w:tcPr>
            <w:tcW w:w="1572" w:type="dxa"/>
            <w:vAlign w:val="center"/>
          </w:tcPr>
          <w:p w14:paraId="50716086">
            <w:pPr>
              <w:spacing w:line="500" w:lineRule="exact"/>
              <w:jc w:val="center"/>
              <w:rPr>
                <w:rFonts w:eastAsia="仿宋"/>
                <w:color w:val="auto"/>
                <w:highlight w:val="none"/>
              </w:rPr>
            </w:pPr>
            <w:r>
              <w:rPr>
                <w:rFonts w:eastAsia="仿宋"/>
                <w:color w:val="auto"/>
                <w:highlight w:val="none"/>
              </w:rPr>
              <w:t>200≤Y&lt;3000</w:t>
            </w:r>
          </w:p>
        </w:tc>
        <w:tc>
          <w:tcPr>
            <w:tcW w:w="1036" w:type="dxa"/>
            <w:vAlign w:val="center"/>
          </w:tcPr>
          <w:p w14:paraId="4565B922">
            <w:pPr>
              <w:spacing w:line="500" w:lineRule="exact"/>
              <w:jc w:val="center"/>
              <w:rPr>
                <w:rFonts w:eastAsia="仿宋"/>
                <w:color w:val="auto"/>
                <w:highlight w:val="none"/>
              </w:rPr>
            </w:pPr>
            <w:r>
              <w:rPr>
                <w:rFonts w:eastAsia="仿宋"/>
                <w:color w:val="auto"/>
                <w:highlight w:val="none"/>
              </w:rPr>
              <w:t>Y&lt;200</w:t>
            </w:r>
          </w:p>
        </w:tc>
      </w:tr>
      <w:tr w14:paraId="7007F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67ACD56F">
            <w:pPr>
              <w:spacing w:line="500" w:lineRule="exact"/>
              <w:jc w:val="center"/>
              <w:rPr>
                <w:rFonts w:ascii="仿宋" w:hAnsi="仿宋" w:eastAsia="仿宋"/>
                <w:color w:val="auto"/>
                <w:highlight w:val="none"/>
              </w:rPr>
            </w:pPr>
            <w:r>
              <w:rPr>
                <w:rFonts w:hint="eastAsia" w:ascii="仿宋" w:hAnsi="仿宋" w:eastAsia="仿宋"/>
                <w:color w:val="auto"/>
                <w:highlight w:val="none"/>
              </w:rPr>
              <w:t>仓储</w:t>
            </w:r>
            <w:r>
              <w:rPr>
                <w:rFonts w:ascii="仿宋" w:hAnsi="仿宋" w:eastAsia="仿宋"/>
                <w:color w:val="auto"/>
                <w:highlight w:val="none"/>
              </w:rPr>
              <w:t>业</w:t>
            </w:r>
          </w:p>
        </w:tc>
        <w:tc>
          <w:tcPr>
            <w:tcW w:w="1447" w:type="dxa"/>
            <w:vAlign w:val="center"/>
          </w:tcPr>
          <w:p w14:paraId="197B76DF">
            <w:pPr>
              <w:spacing w:line="500" w:lineRule="exact"/>
              <w:jc w:val="center"/>
              <w:rPr>
                <w:rFonts w:ascii="仿宋" w:hAnsi="仿宋" w:eastAsia="仿宋"/>
                <w:color w:val="auto"/>
                <w:highlight w:val="none"/>
              </w:rPr>
            </w:pPr>
            <w:r>
              <w:rPr>
                <w:rFonts w:ascii="仿宋" w:hAnsi="仿宋" w:eastAsia="仿宋"/>
                <w:color w:val="auto"/>
                <w:highlight w:val="none"/>
              </w:rPr>
              <w:t>从业人员（</w:t>
            </w:r>
            <w:r>
              <w:rPr>
                <w:rFonts w:hint="eastAsia" w:ascii="仿宋" w:hAnsi="仿宋" w:eastAsia="仿宋"/>
                <w:color w:val="auto"/>
                <w:highlight w:val="none"/>
              </w:rPr>
              <w:t>X）</w:t>
            </w:r>
          </w:p>
        </w:tc>
        <w:tc>
          <w:tcPr>
            <w:tcW w:w="683" w:type="dxa"/>
            <w:vAlign w:val="center"/>
          </w:tcPr>
          <w:p w14:paraId="056BCA34">
            <w:pPr>
              <w:spacing w:line="500" w:lineRule="exact"/>
              <w:jc w:val="center"/>
              <w:rPr>
                <w:rFonts w:ascii="仿宋" w:hAnsi="仿宋" w:eastAsia="仿宋"/>
                <w:color w:val="auto"/>
                <w:highlight w:val="none"/>
              </w:rPr>
            </w:pPr>
            <w:r>
              <w:rPr>
                <w:rFonts w:ascii="仿宋" w:hAnsi="仿宋" w:eastAsia="仿宋"/>
                <w:color w:val="auto"/>
                <w:highlight w:val="none"/>
              </w:rPr>
              <w:t>人</w:t>
            </w:r>
          </w:p>
        </w:tc>
        <w:tc>
          <w:tcPr>
            <w:tcW w:w="1830" w:type="dxa"/>
            <w:vAlign w:val="center"/>
          </w:tcPr>
          <w:p w14:paraId="52577015">
            <w:pPr>
              <w:spacing w:line="500" w:lineRule="exact"/>
              <w:jc w:val="center"/>
              <w:rPr>
                <w:rFonts w:eastAsia="仿宋"/>
                <w:color w:val="auto"/>
                <w:highlight w:val="none"/>
              </w:rPr>
            </w:pPr>
            <w:r>
              <w:rPr>
                <w:rFonts w:eastAsia="仿宋"/>
                <w:color w:val="auto"/>
                <w:highlight w:val="none"/>
              </w:rPr>
              <w:t>100≤X&lt;200</w:t>
            </w:r>
          </w:p>
        </w:tc>
        <w:tc>
          <w:tcPr>
            <w:tcW w:w="1572" w:type="dxa"/>
            <w:vAlign w:val="center"/>
          </w:tcPr>
          <w:p w14:paraId="1AC7FFBE">
            <w:pPr>
              <w:spacing w:line="500" w:lineRule="exact"/>
              <w:jc w:val="center"/>
              <w:rPr>
                <w:rFonts w:eastAsia="仿宋"/>
                <w:color w:val="auto"/>
                <w:highlight w:val="none"/>
              </w:rPr>
            </w:pPr>
            <w:r>
              <w:rPr>
                <w:rFonts w:eastAsia="仿宋"/>
                <w:color w:val="auto"/>
                <w:highlight w:val="none"/>
              </w:rPr>
              <w:t>20≤X&lt;100</w:t>
            </w:r>
          </w:p>
        </w:tc>
        <w:tc>
          <w:tcPr>
            <w:tcW w:w="1036" w:type="dxa"/>
            <w:vAlign w:val="center"/>
          </w:tcPr>
          <w:p w14:paraId="16A3E947">
            <w:pPr>
              <w:spacing w:line="500" w:lineRule="exact"/>
              <w:jc w:val="center"/>
              <w:rPr>
                <w:rFonts w:eastAsia="仿宋"/>
                <w:color w:val="auto"/>
                <w:highlight w:val="none"/>
              </w:rPr>
            </w:pPr>
            <w:r>
              <w:rPr>
                <w:rFonts w:eastAsia="仿宋"/>
                <w:color w:val="auto"/>
                <w:highlight w:val="none"/>
              </w:rPr>
              <w:t>X&lt;20</w:t>
            </w:r>
          </w:p>
        </w:tc>
      </w:tr>
      <w:tr w14:paraId="48FC7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5DB95838">
            <w:pPr>
              <w:spacing w:line="500" w:lineRule="exact"/>
              <w:jc w:val="center"/>
              <w:rPr>
                <w:rFonts w:ascii="仿宋" w:hAnsi="仿宋" w:eastAsia="仿宋"/>
                <w:color w:val="auto"/>
                <w:highlight w:val="none"/>
              </w:rPr>
            </w:pPr>
          </w:p>
        </w:tc>
        <w:tc>
          <w:tcPr>
            <w:tcW w:w="1447" w:type="dxa"/>
            <w:vAlign w:val="center"/>
          </w:tcPr>
          <w:p w14:paraId="4904B1DC">
            <w:pPr>
              <w:spacing w:line="500" w:lineRule="exact"/>
              <w:jc w:val="center"/>
              <w:rPr>
                <w:rFonts w:ascii="仿宋" w:hAnsi="仿宋" w:eastAsia="仿宋"/>
                <w:color w:val="auto"/>
                <w:highlight w:val="none"/>
              </w:rPr>
            </w:pPr>
            <w:r>
              <w:rPr>
                <w:rFonts w:ascii="仿宋" w:hAnsi="仿宋" w:eastAsia="仿宋"/>
                <w:color w:val="auto"/>
                <w:highlight w:val="none"/>
              </w:rPr>
              <w:t>营业收入（</w:t>
            </w:r>
            <w:r>
              <w:rPr>
                <w:rFonts w:hint="eastAsia" w:ascii="仿宋" w:hAnsi="仿宋" w:eastAsia="仿宋"/>
                <w:color w:val="auto"/>
                <w:highlight w:val="none"/>
              </w:rPr>
              <w:t>Y）</w:t>
            </w:r>
          </w:p>
        </w:tc>
        <w:tc>
          <w:tcPr>
            <w:tcW w:w="683" w:type="dxa"/>
            <w:vAlign w:val="center"/>
          </w:tcPr>
          <w:p w14:paraId="632D5B81">
            <w:pPr>
              <w:spacing w:line="500" w:lineRule="exact"/>
              <w:jc w:val="center"/>
              <w:rPr>
                <w:rFonts w:ascii="仿宋" w:hAnsi="仿宋" w:eastAsia="仿宋"/>
                <w:color w:val="auto"/>
                <w:highlight w:val="none"/>
              </w:rPr>
            </w:pPr>
            <w:r>
              <w:rPr>
                <w:rFonts w:ascii="仿宋" w:hAnsi="仿宋" w:eastAsia="仿宋"/>
                <w:color w:val="auto"/>
                <w:highlight w:val="none"/>
              </w:rPr>
              <w:t>万元</w:t>
            </w:r>
          </w:p>
        </w:tc>
        <w:tc>
          <w:tcPr>
            <w:tcW w:w="1830" w:type="dxa"/>
            <w:vAlign w:val="center"/>
          </w:tcPr>
          <w:p w14:paraId="340AFCEA">
            <w:pPr>
              <w:spacing w:line="500" w:lineRule="exact"/>
              <w:jc w:val="center"/>
              <w:rPr>
                <w:rFonts w:eastAsia="仿宋"/>
                <w:color w:val="auto"/>
                <w:highlight w:val="none"/>
              </w:rPr>
            </w:pPr>
            <w:r>
              <w:rPr>
                <w:rFonts w:eastAsia="仿宋"/>
                <w:color w:val="auto"/>
                <w:highlight w:val="none"/>
              </w:rPr>
              <w:t>1000≤Y&lt;30000</w:t>
            </w:r>
          </w:p>
        </w:tc>
        <w:tc>
          <w:tcPr>
            <w:tcW w:w="1572" w:type="dxa"/>
            <w:vAlign w:val="center"/>
          </w:tcPr>
          <w:p w14:paraId="410CD833">
            <w:pPr>
              <w:spacing w:line="500" w:lineRule="exact"/>
              <w:jc w:val="center"/>
              <w:rPr>
                <w:rFonts w:eastAsia="仿宋"/>
                <w:color w:val="auto"/>
                <w:highlight w:val="none"/>
              </w:rPr>
            </w:pPr>
            <w:r>
              <w:rPr>
                <w:rFonts w:eastAsia="仿宋"/>
                <w:color w:val="auto"/>
                <w:highlight w:val="none"/>
              </w:rPr>
              <w:t>100≤Y&lt;1000</w:t>
            </w:r>
          </w:p>
        </w:tc>
        <w:tc>
          <w:tcPr>
            <w:tcW w:w="1036" w:type="dxa"/>
            <w:vAlign w:val="center"/>
          </w:tcPr>
          <w:p w14:paraId="7C4DE8F0">
            <w:pPr>
              <w:spacing w:line="500" w:lineRule="exact"/>
              <w:jc w:val="center"/>
              <w:rPr>
                <w:rFonts w:eastAsia="仿宋"/>
                <w:color w:val="auto"/>
                <w:highlight w:val="none"/>
              </w:rPr>
            </w:pPr>
            <w:r>
              <w:rPr>
                <w:rFonts w:eastAsia="仿宋"/>
                <w:color w:val="auto"/>
                <w:highlight w:val="none"/>
              </w:rPr>
              <w:t>Y&lt;100</w:t>
            </w:r>
          </w:p>
        </w:tc>
      </w:tr>
      <w:tr w14:paraId="40761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734AE4EF">
            <w:pPr>
              <w:spacing w:line="500" w:lineRule="exact"/>
              <w:jc w:val="center"/>
              <w:rPr>
                <w:rFonts w:ascii="仿宋" w:hAnsi="仿宋" w:eastAsia="仿宋"/>
                <w:color w:val="auto"/>
                <w:highlight w:val="none"/>
              </w:rPr>
            </w:pPr>
            <w:r>
              <w:rPr>
                <w:rFonts w:hint="eastAsia" w:ascii="仿宋" w:hAnsi="仿宋" w:eastAsia="仿宋"/>
                <w:color w:val="auto"/>
                <w:highlight w:val="none"/>
              </w:rPr>
              <w:t>邮</w:t>
            </w:r>
            <w:r>
              <w:rPr>
                <w:rFonts w:ascii="仿宋" w:hAnsi="仿宋" w:eastAsia="仿宋"/>
                <w:color w:val="auto"/>
                <w:highlight w:val="none"/>
              </w:rPr>
              <w:t>政业</w:t>
            </w:r>
          </w:p>
        </w:tc>
        <w:tc>
          <w:tcPr>
            <w:tcW w:w="1447" w:type="dxa"/>
            <w:vAlign w:val="center"/>
          </w:tcPr>
          <w:p w14:paraId="057CBD7C">
            <w:pPr>
              <w:spacing w:line="500" w:lineRule="exact"/>
              <w:jc w:val="center"/>
              <w:rPr>
                <w:rFonts w:ascii="仿宋" w:hAnsi="仿宋" w:eastAsia="仿宋"/>
                <w:color w:val="auto"/>
                <w:highlight w:val="none"/>
              </w:rPr>
            </w:pPr>
            <w:r>
              <w:rPr>
                <w:rFonts w:ascii="仿宋" w:hAnsi="仿宋" w:eastAsia="仿宋"/>
                <w:color w:val="auto"/>
                <w:highlight w:val="none"/>
              </w:rPr>
              <w:t>从业人员（</w:t>
            </w:r>
            <w:r>
              <w:rPr>
                <w:rFonts w:hint="eastAsia" w:ascii="仿宋" w:hAnsi="仿宋" w:eastAsia="仿宋"/>
                <w:color w:val="auto"/>
                <w:highlight w:val="none"/>
              </w:rPr>
              <w:t>X）</w:t>
            </w:r>
          </w:p>
        </w:tc>
        <w:tc>
          <w:tcPr>
            <w:tcW w:w="683" w:type="dxa"/>
            <w:vAlign w:val="center"/>
          </w:tcPr>
          <w:p w14:paraId="75480F2C">
            <w:pPr>
              <w:spacing w:line="500" w:lineRule="exact"/>
              <w:jc w:val="center"/>
              <w:rPr>
                <w:rFonts w:ascii="仿宋" w:hAnsi="仿宋" w:eastAsia="仿宋"/>
                <w:color w:val="auto"/>
                <w:highlight w:val="none"/>
              </w:rPr>
            </w:pPr>
            <w:r>
              <w:rPr>
                <w:rFonts w:ascii="仿宋" w:hAnsi="仿宋" w:eastAsia="仿宋"/>
                <w:color w:val="auto"/>
                <w:highlight w:val="none"/>
              </w:rPr>
              <w:t>人</w:t>
            </w:r>
          </w:p>
        </w:tc>
        <w:tc>
          <w:tcPr>
            <w:tcW w:w="1830" w:type="dxa"/>
            <w:vAlign w:val="center"/>
          </w:tcPr>
          <w:p w14:paraId="49E761F3">
            <w:pPr>
              <w:spacing w:line="500" w:lineRule="exact"/>
              <w:jc w:val="center"/>
              <w:rPr>
                <w:rFonts w:eastAsia="仿宋"/>
                <w:color w:val="auto"/>
                <w:highlight w:val="none"/>
              </w:rPr>
            </w:pPr>
            <w:r>
              <w:rPr>
                <w:rFonts w:eastAsia="仿宋"/>
                <w:color w:val="auto"/>
                <w:highlight w:val="none"/>
              </w:rPr>
              <w:t>300≤X&lt;1000</w:t>
            </w:r>
          </w:p>
        </w:tc>
        <w:tc>
          <w:tcPr>
            <w:tcW w:w="1572" w:type="dxa"/>
            <w:vAlign w:val="center"/>
          </w:tcPr>
          <w:p w14:paraId="415AE1B9">
            <w:pPr>
              <w:spacing w:line="500" w:lineRule="exact"/>
              <w:jc w:val="center"/>
              <w:rPr>
                <w:rFonts w:eastAsia="仿宋"/>
                <w:color w:val="auto"/>
                <w:highlight w:val="none"/>
              </w:rPr>
            </w:pPr>
            <w:r>
              <w:rPr>
                <w:rFonts w:eastAsia="仿宋"/>
                <w:color w:val="auto"/>
                <w:highlight w:val="none"/>
              </w:rPr>
              <w:t>20≤X&lt;300</w:t>
            </w:r>
          </w:p>
        </w:tc>
        <w:tc>
          <w:tcPr>
            <w:tcW w:w="1036" w:type="dxa"/>
            <w:vAlign w:val="center"/>
          </w:tcPr>
          <w:p w14:paraId="24208259">
            <w:pPr>
              <w:spacing w:line="500" w:lineRule="exact"/>
              <w:jc w:val="center"/>
              <w:rPr>
                <w:rFonts w:eastAsia="仿宋"/>
                <w:color w:val="auto"/>
                <w:highlight w:val="none"/>
              </w:rPr>
            </w:pPr>
            <w:r>
              <w:rPr>
                <w:rFonts w:eastAsia="仿宋"/>
                <w:color w:val="auto"/>
                <w:highlight w:val="none"/>
              </w:rPr>
              <w:t>X&lt;20</w:t>
            </w:r>
          </w:p>
        </w:tc>
      </w:tr>
      <w:tr w14:paraId="651F4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4CF7B889">
            <w:pPr>
              <w:spacing w:line="500" w:lineRule="exact"/>
              <w:jc w:val="center"/>
              <w:rPr>
                <w:rFonts w:ascii="仿宋" w:hAnsi="仿宋" w:eastAsia="仿宋"/>
                <w:color w:val="auto"/>
                <w:highlight w:val="none"/>
              </w:rPr>
            </w:pPr>
          </w:p>
        </w:tc>
        <w:tc>
          <w:tcPr>
            <w:tcW w:w="1447" w:type="dxa"/>
            <w:vAlign w:val="center"/>
          </w:tcPr>
          <w:p w14:paraId="53859604">
            <w:pPr>
              <w:spacing w:line="500" w:lineRule="exact"/>
              <w:jc w:val="center"/>
              <w:rPr>
                <w:rFonts w:ascii="仿宋" w:hAnsi="仿宋" w:eastAsia="仿宋"/>
                <w:color w:val="auto"/>
                <w:highlight w:val="none"/>
              </w:rPr>
            </w:pPr>
            <w:r>
              <w:rPr>
                <w:rFonts w:ascii="仿宋" w:hAnsi="仿宋" w:eastAsia="仿宋"/>
                <w:color w:val="auto"/>
                <w:highlight w:val="none"/>
              </w:rPr>
              <w:t>营业收入（</w:t>
            </w:r>
            <w:r>
              <w:rPr>
                <w:rFonts w:hint="eastAsia" w:ascii="仿宋" w:hAnsi="仿宋" w:eastAsia="仿宋"/>
                <w:color w:val="auto"/>
                <w:highlight w:val="none"/>
              </w:rPr>
              <w:t>Y）</w:t>
            </w:r>
          </w:p>
        </w:tc>
        <w:tc>
          <w:tcPr>
            <w:tcW w:w="683" w:type="dxa"/>
            <w:vAlign w:val="center"/>
          </w:tcPr>
          <w:p w14:paraId="1CC7E1B4">
            <w:pPr>
              <w:spacing w:line="500" w:lineRule="exact"/>
              <w:jc w:val="center"/>
              <w:rPr>
                <w:rFonts w:ascii="仿宋" w:hAnsi="仿宋" w:eastAsia="仿宋"/>
                <w:color w:val="auto"/>
                <w:highlight w:val="none"/>
              </w:rPr>
            </w:pPr>
            <w:r>
              <w:rPr>
                <w:rFonts w:ascii="仿宋" w:hAnsi="仿宋" w:eastAsia="仿宋"/>
                <w:color w:val="auto"/>
                <w:highlight w:val="none"/>
              </w:rPr>
              <w:t>万元</w:t>
            </w:r>
          </w:p>
        </w:tc>
        <w:tc>
          <w:tcPr>
            <w:tcW w:w="1830" w:type="dxa"/>
            <w:vAlign w:val="center"/>
          </w:tcPr>
          <w:p w14:paraId="5EDE2C3A">
            <w:pPr>
              <w:spacing w:line="500" w:lineRule="exact"/>
              <w:jc w:val="center"/>
              <w:rPr>
                <w:rFonts w:eastAsia="仿宋"/>
                <w:color w:val="auto"/>
                <w:highlight w:val="none"/>
              </w:rPr>
            </w:pPr>
            <w:r>
              <w:rPr>
                <w:rFonts w:eastAsia="仿宋"/>
                <w:color w:val="auto"/>
                <w:highlight w:val="none"/>
              </w:rPr>
              <w:t>2000≤Y&lt;30000</w:t>
            </w:r>
          </w:p>
        </w:tc>
        <w:tc>
          <w:tcPr>
            <w:tcW w:w="1572" w:type="dxa"/>
            <w:vAlign w:val="center"/>
          </w:tcPr>
          <w:p w14:paraId="4B09C7D8">
            <w:pPr>
              <w:spacing w:line="500" w:lineRule="exact"/>
              <w:jc w:val="center"/>
              <w:rPr>
                <w:rFonts w:eastAsia="仿宋"/>
                <w:color w:val="auto"/>
                <w:highlight w:val="none"/>
              </w:rPr>
            </w:pPr>
            <w:r>
              <w:rPr>
                <w:rFonts w:eastAsia="仿宋"/>
                <w:color w:val="auto"/>
                <w:highlight w:val="none"/>
              </w:rPr>
              <w:t>100≤Y&lt;2000</w:t>
            </w:r>
          </w:p>
        </w:tc>
        <w:tc>
          <w:tcPr>
            <w:tcW w:w="1036" w:type="dxa"/>
            <w:vAlign w:val="center"/>
          </w:tcPr>
          <w:p w14:paraId="226A60C6">
            <w:pPr>
              <w:spacing w:line="500" w:lineRule="exact"/>
              <w:jc w:val="center"/>
              <w:rPr>
                <w:rFonts w:eastAsia="仿宋"/>
                <w:color w:val="auto"/>
                <w:highlight w:val="none"/>
              </w:rPr>
            </w:pPr>
            <w:r>
              <w:rPr>
                <w:rFonts w:eastAsia="仿宋"/>
                <w:color w:val="auto"/>
                <w:highlight w:val="none"/>
              </w:rPr>
              <w:t>Y&lt;100</w:t>
            </w:r>
          </w:p>
        </w:tc>
      </w:tr>
      <w:tr w14:paraId="43CA4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225DB595">
            <w:pPr>
              <w:spacing w:line="500" w:lineRule="exact"/>
              <w:jc w:val="center"/>
              <w:rPr>
                <w:rFonts w:ascii="仿宋" w:hAnsi="仿宋" w:eastAsia="仿宋"/>
                <w:color w:val="auto"/>
                <w:highlight w:val="none"/>
              </w:rPr>
            </w:pPr>
            <w:r>
              <w:rPr>
                <w:rFonts w:hint="eastAsia" w:ascii="仿宋" w:hAnsi="仿宋" w:eastAsia="仿宋"/>
                <w:color w:val="auto"/>
                <w:highlight w:val="none"/>
              </w:rPr>
              <w:t>住</w:t>
            </w:r>
            <w:r>
              <w:rPr>
                <w:rFonts w:ascii="仿宋" w:hAnsi="仿宋" w:eastAsia="仿宋"/>
                <w:color w:val="auto"/>
                <w:highlight w:val="none"/>
              </w:rPr>
              <w:t>宿业</w:t>
            </w:r>
          </w:p>
        </w:tc>
        <w:tc>
          <w:tcPr>
            <w:tcW w:w="1447" w:type="dxa"/>
            <w:vAlign w:val="center"/>
          </w:tcPr>
          <w:p w14:paraId="738CFE41">
            <w:pPr>
              <w:spacing w:line="500" w:lineRule="exact"/>
              <w:jc w:val="center"/>
              <w:rPr>
                <w:rFonts w:ascii="仿宋" w:hAnsi="仿宋" w:eastAsia="仿宋"/>
                <w:color w:val="auto"/>
                <w:highlight w:val="none"/>
              </w:rPr>
            </w:pPr>
            <w:r>
              <w:rPr>
                <w:rFonts w:ascii="仿宋" w:hAnsi="仿宋" w:eastAsia="仿宋"/>
                <w:color w:val="auto"/>
                <w:highlight w:val="none"/>
              </w:rPr>
              <w:t>从业人员（</w:t>
            </w:r>
            <w:r>
              <w:rPr>
                <w:rFonts w:hint="eastAsia" w:ascii="仿宋" w:hAnsi="仿宋" w:eastAsia="仿宋"/>
                <w:color w:val="auto"/>
                <w:highlight w:val="none"/>
              </w:rPr>
              <w:t>X）</w:t>
            </w:r>
          </w:p>
        </w:tc>
        <w:tc>
          <w:tcPr>
            <w:tcW w:w="683" w:type="dxa"/>
            <w:vAlign w:val="center"/>
          </w:tcPr>
          <w:p w14:paraId="0924E7D5">
            <w:pPr>
              <w:spacing w:line="500" w:lineRule="exact"/>
              <w:jc w:val="center"/>
              <w:rPr>
                <w:rFonts w:ascii="仿宋" w:hAnsi="仿宋" w:eastAsia="仿宋"/>
                <w:color w:val="auto"/>
                <w:highlight w:val="none"/>
              </w:rPr>
            </w:pPr>
            <w:r>
              <w:rPr>
                <w:rFonts w:ascii="仿宋" w:hAnsi="仿宋" w:eastAsia="仿宋"/>
                <w:color w:val="auto"/>
                <w:highlight w:val="none"/>
              </w:rPr>
              <w:t>人</w:t>
            </w:r>
          </w:p>
        </w:tc>
        <w:tc>
          <w:tcPr>
            <w:tcW w:w="1830" w:type="dxa"/>
            <w:vAlign w:val="center"/>
          </w:tcPr>
          <w:p w14:paraId="21D18329">
            <w:pPr>
              <w:spacing w:line="500" w:lineRule="exact"/>
              <w:jc w:val="center"/>
              <w:rPr>
                <w:rFonts w:eastAsia="仿宋"/>
                <w:color w:val="auto"/>
                <w:highlight w:val="none"/>
              </w:rPr>
            </w:pPr>
            <w:r>
              <w:rPr>
                <w:rFonts w:eastAsia="仿宋"/>
                <w:color w:val="auto"/>
                <w:highlight w:val="none"/>
              </w:rPr>
              <w:t>100≤X&lt;300</w:t>
            </w:r>
          </w:p>
        </w:tc>
        <w:tc>
          <w:tcPr>
            <w:tcW w:w="1572" w:type="dxa"/>
            <w:vAlign w:val="center"/>
          </w:tcPr>
          <w:p w14:paraId="72B1CF62">
            <w:pPr>
              <w:spacing w:line="500" w:lineRule="exact"/>
              <w:jc w:val="center"/>
              <w:rPr>
                <w:rFonts w:eastAsia="仿宋"/>
                <w:color w:val="auto"/>
                <w:highlight w:val="none"/>
              </w:rPr>
            </w:pPr>
            <w:r>
              <w:rPr>
                <w:rFonts w:eastAsia="仿宋"/>
                <w:color w:val="auto"/>
                <w:highlight w:val="none"/>
              </w:rPr>
              <w:t>10≤X&lt;100</w:t>
            </w:r>
          </w:p>
        </w:tc>
        <w:tc>
          <w:tcPr>
            <w:tcW w:w="1036" w:type="dxa"/>
            <w:vAlign w:val="center"/>
          </w:tcPr>
          <w:p w14:paraId="44B459DB">
            <w:pPr>
              <w:spacing w:line="500" w:lineRule="exact"/>
              <w:jc w:val="center"/>
              <w:rPr>
                <w:rFonts w:eastAsia="仿宋"/>
                <w:color w:val="auto"/>
                <w:highlight w:val="none"/>
              </w:rPr>
            </w:pPr>
            <w:r>
              <w:rPr>
                <w:rFonts w:eastAsia="仿宋"/>
                <w:color w:val="auto"/>
                <w:highlight w:val="none"/>
              </w:rPr>
              <w:t>X&lt;10</w:t>
            </w:r>
          </w:p>
        </w:tc>
      </w:tr>
      <w:tr w14:paraId="0AF85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3F7CA6EE">
            <w:pPr>
              <w:spacing w:line="500" w:lineRule="exact"/>
              <w:jc w:val="center"/>
              <w:rPr>
                <w:rFonts w:ascii="仿宋" w:hAnsi="仿宋" w:eastAsia="仿宋"/>
                <w:color w:val="auto"/>
                <w:highlight w:val="none"/>
              </w:rPr>
            </w:pPr>
          </w:p>
        </w:tc>
        <w:tc>
          <w:tcPr>
            <w:tcW w:w="1447" w:type="dxa"/>
            <w:vAlign w:val="center"/>
          </w:tcPr>
          <w:p w14:paraId="37A975A3">
            <w:pPr>
              <w:spacing w:line="500" w:lineRule="exact"/>
              <w:jc w:val="center"/>
              <w:rPr>
                <w:rFonts w:ascii="仿宋" w:hAnsi="仿宋" w:eastAsia="仿宋"/>
                <w:color w:val="auto"/>
                <w:highlight w:val="none"/>
              </w:rPr>
            </w:pPr>
            <w:r>
              <w:rPr>
                <w:rFonts w:ascii="仿宋" w:hAnsi="仿宋" w:eastAsia="仿宋"/>
                <w:color w:val="auto"/>
                <w:highlight w:val="none"/>
              </w:rPr>
              <w:t>营业收入（</w:t>
            </w:r>
            <w:r>
              <w:rPr>
                <w:rFonts w:hint="eastAsia" w:ascii="仿宋" w:hAnsi="仿宋" w:eastAsia="仿宋"/>
                <w:color w:val="auto"/>
                <w:highlight w:val="none"/>
              </w:rPr>
              <w:t>Y）</w:t>
            </w:r>
          </w:p>
        </w:tc>
        <w:tc>
          <w:tcPr>
            <w:tcW w:w="683" w:type="dxa"/>
            <w:vAlign w:val="center"/>
          </w:tcPr>
          <w:p w14:paraId="3ABD893E">
            <w:pPr>
              <w:spacing w:line="500" w:lineRule="exact"/>
              <w:jc w:val="center"/>
              <w:rPr>
                <w:rFonts w:ascii="仿宋" w:hAnsi="仿宋" w:eastAsia="仿宋"/>
                <w:color w:val="auto"/>
                <w:highlight w:val="none"/>
              </w:rPr>
            </w:pPr>
            <w:r>
              <w:rPr>
                <w:rFonts w:ascii="仿宋" w:hAnsi="仿宋" w:eastAsia="仿宋"/>
                <w:color w:val="auto"/>
                <w:highlight w:val="none"/>
              </w:rPr>
              <w:t>万元</w:t>
            </w:r>
          </w:p>
        </w:tc>
        <w:tc>
          <w:tcPr>
            <w:tcW w:w="1830" w:type="dxa"/>
            <w:vAlign w:val="center"/>
          </w:tcPr>
          <w:p w14:paraId="30B3EE95">
            <w:pPr>
              <w:spacing w:line="500" w:lineRule="exact"/>
              <w:jc w:val="center"/>
              <w:rPr>
                <w:rFonts w:eastAsia="仿宋"/>
                <w:color w:val="auto"/>
                <w:highlight w:val="none"/>
              </w:rPr>
            </w:pPr>
            <w:r>
              <w:rPr>
                <w:rFonts w:eastAsia="仿宋"/>
                <w:color w:val="auto"/>
                <w:highlight w:val="none"/>
              </w:rPr>
              <w:t>2000≤Y&lt;10000</w:t>
            </w:r>
          </w:p>
        </w:tc>
        <w:tc>
          <w:tcPr>
            <w:tcW w:w="1572" w:type="dxa"/>
            <w:vAlign w:val="center"/>
          </w:tcPr>
          <w:p w14:paraId="268D6E22">
            <w:pPr>
              <w:spacing w:line="500" w:lineRule="exact"/>
              <w:jc w:val="center"/>
              <w:rPr>
                <w:rFonts w:eastAsia="仿宋"/>
                <w:color w:val="auto"/>
                <w:highlight w:val="none"/>
              </w:rPr>
            </w:pPr>
            <w:r>
              <w:rPr>
                <w:rFonts w:eastAsia="仿宋"/>
                <w:color w:val="auto"/>
                <w:highlight w:val="none"/>
              </w:rPr>
              <w:t>100≤Y&lt;2000</w:t>
            </w:r>
          </w:p>
        </w:tc>
        <w:tc>
          <w:tcPr>
            <w:tcW w:w="1036" w:type="dxa"/>
            <w:vAlign w:val="center"/>
          </w:tcPr>
          <w:p w14:paraId="0FD410C8">
            <w:pPr>
              <w:spacing w:line="500" w:lineRule="exact"/>
              <w:jc w:val="center"/>
              <w:rPr>
                <w:rFonts w:eastAsia="仿宋"/>
                <w:color w:val="auto"/>
                <w:highlight w:val="none"/>
              </w:rPr>
            </w:pPr>
            <w:r>
              <w:rPr>
                <w:rFonts w:eastAsia="仿宋"/>
                <w:color w:val="auto"/>
                <w:highlight w:val="none"/>
              </w:rPr>
              <w:t>Y&lt;100</w:t>
            </w:r>
          </w:p>
        </w:tc>
      </w:tr>
      <w:tr w14:paraId="4C456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7E83E615">
            <w:pPr>
              <w:spacing w:line="500" w:lineRule="exact"/>
              <w:jc w:val="center"/>
              <w:rPr>
                <w:rFonts w:ascii="仿宋" w:hAnsi="仿宋" w:eastAsia="仿宋"/>
                <w:color w:val="auto"/>
                <w:highlight w:val="none"/>
              </w:rPr>
            </w:pPr>
            <w:r>
              <w:rPr>
                <w:rFonts w:hint="eastAsia" w:ascii="仿宋" w:hAnsi="仿宋" w:eastAsia="仿宋"/>
                <w:color w:val="auto"/>
                <w:highlight w:val="none"/>
              </w:rPr>
              <w:t>餐饮</w:t>
            </w:r>
            <w:r>
              <w:rPr>
                <w:rFonts w:ascii="仿宋" w:hAnsi="仿宋" w:eastAsia="仿宋"/>
                <w:color w:val="auto"/>
                <w:highlight w:val="none"/>
              </w:rPr>
              <w:t>业</w:t>
            </w:r>
          </w:p>
        </w:tc>
        <w:tc>
          <w:tcPr>
            <w:tcW w:w="1447" w:type="dxa"/>
            <w:vAlign w:val="center"/>
          </w:tcPr>
          <w:p w14:paraId="1E08D00E">
            <w:pPr>
              <w:spacing w:line="500" w:lineRule="exact"/>
              <w:jc w:val="center"/>
              <w:rPr>
                <w:rFonts w:ascii="仿宋" w:hAnsi="仿宋" w:eastAsia="仿宋"/>
                <w:color w:val="auto"/>
                <w:highlight w:val="none"/>
              </w:rPr>
            </w:pPr>
            <w:r>
              <w:rPr>
                <w:rFonts w:ascii="仿宋" w:hAnsi="仿宋" w:eastAsia="仿宋"/>
                <w:color w:val="auto"/>
                <w:highlight w:val="none"/>
              </w:rPr>
              <w:t>从业人员（</w:t>
            </w:r>
            <w:r>
              <w:rPr>
                <w:rFonts w:hint="eastAsia" w:ascii="仿宋" w:hAnsi="仿宋" w:eastAsia="仿宋"/>
                <w:color w:val="auto"/>
                <w:highlight w:val="none"/>
              </w:rPr>
              <w:t>X）</w:t>
            </w:r>
          </w:p>
        </w:tc>
        <w:tc>
          <w:tcPr>
            <w:tcW w:w="683" w:type="dxa"/>
            <w:vAlign w:val="center"/>
          </w:tcPr>
          <w:p w14:paraId="315BBBFE">
            <w:pPr>
              <w:spacing w:line="500" w:lineRule="exact"/>
              <w:jc w:val="center"/>
              <w:rPr>
                <w:rFonts w:ascii="仿宋" w:hAnsi="仿宋" w:eastAsia="仿宋"/>
                <w:color w:val="auto"/>
                <w:highlight w:val="none"/>
              </w:rPr>
            </w:pPr>
            <w:r>
              <w:rPr>
                <w:rFonts w:ascii="仿宋" w:hAnsi="仿宋" w:eastAsia="仿宋"/>
                <w:color w:val="auto"/>
                <w:highlight w:val="none"/>
              </w:rPr>
              <w:t>人</w:t>
            </w:r>
          </w:p>
        </w:tc>
        <w:tc>
          <w:tcPr>
            <w:tcW w:w="1830" w:type="dxa"/>
            <w:vAlign w:val="center"/>
          </w:tcPr>
          <w:p w14:paraId="04CDBD54">
            <w:pPr>
              <w:spacing w:line="500" w:lineRule="exact"/>
              <w:jc w:val="center"/>
              <w:rPr>
                <w:rFonts w:eastAsia="仿宋"/>
                <w:color w:val="auto"/>
                <w:highlight w:val="none"/>
              </w:rPr>
            </w:pPr>
            <w:r>
              <w:rPr>
                <w:rFonts w:eastAsia="仿宋"/>
                <w:color w:val="auto"/>
                <w:highlight w:val="none"/>
              </w:rPr>
              <w:t>100≤X&lt;300</w:t>
            </w:r>
          </w:p>
        </w:tc>
        <w:tc>
          <w:tcPr>
            <w:tcW w:w="1572" w:type="dxa"/>
            <w:vAlign w:val="center"/>
          </w:tcPr>
          <w:p w14:paraId="27127B5B">
            <w:pPr>
              <w:spacing w:line="500" w:lineRule="exact"/>
              <w:jc w:val="center"/>
              <w:rPr>
                <w:rFonts w:eastAsia="仿宋"/>
                <w:color w:val="auto"/>
                <w:highlight w:val="none"/>
              </w:rPr>
            </w:pPr>
            <w:r>
              <w:rPr>
                <w:rFonts w:eastAsia="仿宋"/>
                <w:color w:val="auto"/>
                <w:highlight w:val="none"/>
              </w:rPr>
              <w:t>10≤X&lt;100</w:t>
            </w:r>
          </w:p>
        </w:tc>
        <w:tc>
          <w:tcPr>
            <w:tcW w:w="1036" w:type="dxa"/>
            <w:vAlign w:val="center"/>
          </w:tcPr>
          <w:p w14:paraId="2C5854A3">
            <w:pPr>
              <w:spacing w:line="500" w:lineRule="exact"/>
              <w:jc w:val="center"/>
              <w:rPr>
                <w:rFonts w:eastAsia="仿宋"/>
                <w:color w:val="auto"/>
                <w:highlight w:val="none"/>
              </w:rPr>
            </w:pPr>
            <w:r>
              <w:rPr>
                <w:rFonts w:eastAsia="仿宋"/>
                <w:color w:val="auto"/>
                <w:highlight w:val="none"/>
              </w:rPr>
              <w:t>X&lt;10</w:t>
            </w:r>
          </w:p>
        </w:tc>
      </w:tr>
      <w:tr w14:paraId="29C46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3464429A">
            <w:pPr>
              <w:spacing w:line="500" w:lineRule="exact"/>
              <w:jc w:val="center"/>
              <w:rPr>
                <w:rFonts w:ascii="仿宋" w:hAnsi="仿宋" w:eastAsia="仿宋"/>
                <w:color w:val="auto"/>
                <w:highlight w:val="none"/>
              </w:rPr>
            </w:pPr>
          </w:p>
        </w:tc>
        <w:tc>
          <w:tcPr>
            <w:tcW w:w="1447" w:type="dxa"/>
            <w:vAlign w:val="center"/>
          </w:tcPr>
          <w:p w14:paraId="72916035">
            <w:pPr>
              <w:spacing w:line="500" w:lineRule="exact"/>
              <w:jc w:val="center"/>
              <w:rPr>
                <w:rFonts w:ascii="仿宋" w:hAnsi="仿宋" w:eastAsia="仿宋"/>
                <w:color w:val="auto"/>
                <w:highlight w:val="none"/>
              </w:rPr>
            </w:pPr>
            <w:r>
              <w:rPr>
                <w:rFonts w:ascii="仿宋" w:hAnsi="仿宋" w:eastAsia="仿宋"/>
                <w:color w:val="auto"/>
                <w:highlight w:val="none"/>
              </w:rPr>
              <w:t>营业收入（</w:t>
            </w:r>
            <w:r>
              <w:rPr>
                <w:rFonts w:hint="eastAsia" w:ascii="仿宋" w:hAnsi="仿宋" w:eastAsia="仿宋"/>
                <w:color w:val="auto"/>
                <w:highlight w:val="none"/>
              </w:rPr>
              <w:t>Y）</w:t>
            </w:r>
          </w:p>
        </w:tc>
        <w:tc>
          <w:tcPr>
            <w:tcW w:w="683" w:type="dxa"/>
            <w:vAlign w:val="center"/>
          </w:tcPr>
          <w:p w14:paraId="33B2B73A">
            <w:pPr>
              <w:spacing w:line="500" w:lineRule="exact"/>
              <w:jc w:val="center"/>
              <w:rPr>
                <w:rFonts w:ascii="仿宋" w:hAnsi="仿宋" w:eastAsia="仿宋"/>
                <w:color w:val="auto"/>
                <w:highlight w:val="none"/>
              </w:rPr>
            </w:pPr>
            <w:r>
              <w:rPr>
                <w:rFonts w:ascii="仿宋" w:hAnsi="仿宋" w:eastAsia="仿宋"/>
                <w:color w:val="auto"/>
                <w:highlight w:val="none"/>
              </w:rPr>
              <w:t>万元</w:t>
            </w:r>
          </w:p>
        </w:tc>
        <w:tc>
          <w:tcPr>
            <w:tcW w:w="1830" w:type="dxa"/>
            <w:vAlign w:val="center"/>
          </w:tcPr>
          <w:p w14:paraId="3823A9F3">
            <w:pPr>
              <w:spacing w:line="500" w:lineRule="exact"/>
              <w:jc w:val="center"/>
              <w:rPr>
                <w:rFonts w:eastAsia="仿宋"/>
                <w:color w:val="auto"/>
                <w:highlight w:val="none"/>
              </w:rPr>
            </w:pPr>
            <w:r>
              <w:rPr>
                <w:rFonts w:eastAsia="仿宋"/>
                <w:color w:val="auto"/>
                <w:highlight w:val="none"/>
              </w:rPr>
              <w:t>2000≤Y&lt;10000</w:t>
            </w:r>
          </w:p>
        </w:tc>
        <w:tc>
          <w:tcPr>
            <w:tcW w:w="1572" w:type="dxa"/>
            <w:vAlign w:val="center"/>
          </w:tcPr>
          <w:p w14:paraId="450B9794">
            <w:pPr>
              <w:spacing w:line="500" w:lineRule="exact"/>
              <w:jc w:val="center"/>
              <w:rPr>
                <w:rFonts w:eastAsia="仿宋"/>
                <w:color w:val="auto"/>
                <w:highlight w:val="none"/>
              </w:rPr>
            </w:pPr>
            <w:r>
              <w:rPr>
                <w:rFonts w:eastAsia="仿宋"/>
                <w:color w:val="auto"/>
                <w:highlight w:val="none"/>
              </w:rPr>
              <w:t>100≤Y&lt;2000</w:t>
            </w:r>
          </w:p>
        </w:tc>
        <w:tc>
          <w:tcPr>
            <w:tcW w:w="1036" w:type="dxa"/>
            <w:vAlign w:val="center"/>
          </w:tcPr>
          <w:p w14:paraId="28ADA156">
            <w:pPr>
              <w:spacing w:line="500" w:lineRule="exact"/>
              <w:jc w:val="center"/>
              <w:rPr>
                <w:rFonts w:eastAsia="仿宋"/>
                <w:color w:val="auto"/>
                <w:highlight w:val="none"/>
              </w:rPr>
            </w:pPr>
            <w:r>
              <w:rPr>
                <w:rFonts w:eastAsia="仿宋"/>
                <w:color w:val="auto"/>
                <w:highlight w:val="none"/>
              </w:rPr>
              <w:t>Y&lt;100</w:t>
            </w:r>
          </w:p>
        </w:tc>
      </w:tr>
      <w:tr w14:paraId="73828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7EFD8E92">
            <w:pPr>
              <w:spacing w:line="500" w:lineRule="exact"/>
              <w:jc w:val="center"/>
              <w:rPr>
                <w:rFonts w:ascii="仿宋" w:hAnsi="仿宋" w:eastAsia="仿宋"/>
                <w:color w:val="auto"/>
                <w:highlight w:val="none"/>
              </w:rPr>
            </w:pPr>
            <w:r>
              <w:rPr>
                <w:rFonts w:hint="eastAsia" w:ascii="仿宋" w:hAnsi="仿宋" w:eastAsia="仿宋"/>
                <w:color w:val="auto"/>
                <w:highlight w:val="none"/>
              </w:rPr>
              <w:t>信息</w:t>
            </w:r>
            <w:r>
              <w:rPr>
                <w:rFonts w:ascii="仿宋" w:hAnsi="仿宋" w:eastAsia="仿宋"/>
                <w:color w:val="auto"/>
                <w:highlight w:val="none"/>
              </w:rPr>
              <w:t>传输业</w:t>
            </w:r>
          </w:p>
        </w:tc>
        <w:tc>
          <w:tcPr>
            <w:tcW w:w="1447" w:type="dxa"/>
            <w:vAlign w:val="center"/>
          </w:tcPr>
          <w:p w14:paraId="288D7563">
            <w:pPr>
              <w:spacing w:line="500" w:lineRule="exact"/>
              <w:jc w:val="center"/>
              <w:rPr>
                <w:rFonts w:ascii="仿宋" w:hAnsi="仿宋" w:eastAsia="仿宋"/>
                <w:color w:val="auto"/>
                <w:highlight w:val="none"/>
              </w:rPr>
            </w:pPr>
            <w:r>
              <w:rPr>
                <w:rFonts w:ascii="仿宋" w:hAnsi="仿宋" w:eastAsia="仿宋"/>
                <w:color w:val="auto"/>
                <w:highlight w:val="none"/>
              </w:rPr>
              <w:t>从业人员（</w:t>
            </w:r>
            <w:r>
              <w:rPr>
                <w:rFonts w:hint="eastAsia" w:ascii="仿宋" w:hAnsi="仿宋" w:eastAsia="仿宋"/>
                <w:color w:val="auto"/>
                <w:highlight w:val="none"/>
              </w:rPr>
              <w:t>X）</w:t>
            </w:r>
          </w:p>
        </w:tc>
        <w:tc>
          <w:tcPr>
            <w:tcW w:w="683" w:type="dxa"/>
            <w:vAlign w:val="center"/>
          </w:tcPr>
          <w:p w14:paraId="1F9187C2">
            <w:pPr>
              <w:spacing w:line="500" w:lineRule="exact"/>
              <w:jc w:val="center"/>
              <w:rPr>
                <w:rFonts w:ascii="仿宋" w:hAnsi="仿宋" w:eastAsia="仿宋"/>
                <w:color w:val="auto"/>
                <w:highlight w:val="none"/>
              </w:rPr>
            </w:pPr>
            <w:r>
              <w:rPr>
                <w:rFonts w:ascii="仿宋" w:hAnsi="仿宋" w:eastAsia="仿宋"/>
                <w:color w:val="auto"/>
                <w:highlight w:val="none"/>
              </w:rPr>
              <w:t>人</w:t>
            </w:r>
          </w:p>
        </w:tc>
        <w:tc>
          <w:tcPr>
            <w:tcW w:w="1830" w:type="dxa"/>
            <w:vAlign w:val="center"/>
          </w:tcPr>
          <w:p w14:paraId="40FAE7EA">
            <w:pPr>
              <w:spacing w:line="500" w:lineRule="exact"/>
              <w:jc w:val="center"/>
              <w:rPr>
                <w:rFonts w:eastAsia="仿宋"/>
                <w:color w:val="auto"/>
                <w:highlight w:val="none"/>
              </w:rPr>
            </w:pPr>
            <w:r>
              <w:rPr>
                <w:rFonts w:eastAsia="仿宋"/>
                <w:color w:val="auto"/>
                <w:highlight w:val="none"/>
              </w:rPr>
              <w:t>100≤X&lt;2000</w:t>
            </w:r>
          </w:p>
        </w:tc>
        <w:tc>
          <w:tcPr>
            <w:tcW w:w="1572" w:type="dxa"/>
            <w:vAlign w:val="center"/>
          </w:tcPr>
          <w:p w14:paraId="4D3AB722">
            <w:pPr>
              <w:spacing w:line="500" w:lineRule="exact"/>
              <w:jc w:val="center"/>
              <w:rPr>
                <w:rFonts w:eastAsia="仿宋"/>
                <w:color w:val="auto"/>
                <w:highlight w:val="none"/>
              </w:rPr>
            </w:pPr>
            <w:r>
              <w:rPr>
                <w:rFonts w:eastAsia="仿宋"/>
                <w:color w:val="auto"/>
                <w:highlight w:val="none"/>
              </w:rPr>
              <w:t>10≤X&lt;100</w:t>
            </w:r>
          </w:p>
        </w:tc>
        <w:tc>
          <w:tcPr>
            <w:tcW w:w="1036" w:type="dxa"/>
            <w:vAlign w:val="center"/>
          </w:tcPr>
          <w:p w14:paraId="2B887E50">
            <w:pPr>
              <w:spacing w:line="500" w:lineRule="exact"/>
              <w:jc w:val="center"/>
              <w:rPr>
                <w:rFonts w:eastAsia="仿宋"/>
                <w:color w:val="auto"/>
                <w:highlight w:val="none"/>
              </w:rPr>
            </w:pPr>
            <w:r>
              <w:rPr>
                <w:rFonts w:eastAsia="仿宋"/>
                <w:color w:val="auto"/>
                <w:highlight w:val="none"/>
              </w:rPr>
              <w:t>X&lt;10</w:t>
            </w:r>
          </w:p>
        </w:tc>
      </w:tr>
      <w:tr w14:paraId="255B5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32C277BA">
            <w:pPr>
              <w:spacing w:line="500" w:lineRule="exact"/>
              <w:jc w:val="center"/>
              <w:rPr>
                <w:rFonts w:ascii="仿宋" w:hAnsi="仿宋" w:eastAsia="仿宋"/>
                <w:color w:val="auto"/>
                <w:highlight w:val="none"/>
              </w:rPr>
            </w:pPr>
          </w:p>
        </w:tc>
        <w:tc>
          <w:tcPr>
            <w:tcW w:w="1447" w:type="dxa"/>
            <w:vAlign w:val="center"/>
          </w:tcPr>
          <w:p w14:paraId="556AA372">
            <w:pPr>
              <w:spacing w:line="500" w:lineRule="exact"/>
              <w:jc w:val="center"/>
              <w:rPr>
                <w:rFonts w:ascii="仿宋" w:hAnsi="仿宋" w:eastAsia="仿宋"/>
                <w:color w:val="auto"/>
                <w:highlight w:val="none"/>
              </w:rPr>
            </w:pPr>
            <w:r>
              <w:rPr>
                <w:rFonts w:ascii="仿宋" w:hAnsi="仿宋" w:eastAsia="仿宋"/>
                <w:color w:val="auto"/>
                <w:highlight w:val="none"/>
              </w:rPr>
              <w:t>营业收入（</w:t>
            </w:r>
            <w:r>
              <w:rPr>
                <w:rFonts w:hint="eastAsia" w:ascii="仿宋" w:hAnsi="仿宋" w:eastAsia="仿宋"/>
                <w:color w:val="auto"/>
                <w:highlight w:val="none"/>
              </w:rPr>
              <w:t>Y）</w:t>
            </w:r>
          </w:p>
        </w:tc>
        <w:tc>
          <w:tcPr>
            <w:tcW w:w="683" w:type="dxa"/>
            <w:vAlign w:val="center"/>
          </w:tcPr>
          <w:p w14:paraId="1625D579">
            <w:pPr>
              <w:spacing w:line="500" w:lineRule="exact"/>
              <w:jc w:val="center"/>
              <w:rPr>
                <w:rFonts w:ascii="仿宋" w:hAnsi="仿宋" w:eastAsia="仿宋"/>
                <w:color w:val="auto"/>
                <w:highlight w:val="none"/>
              </w:rPr>
            </w:pPr>
            <w:r>
              <w:rPr>
                <w:rFonts w:ascii="仿宋" w:hAnsi="仿宋" w:eastAsia="仿宋"/>
                <w:color w:val="auto"/>
                <w:highlight w:val="none"/>
              </w:rPr>
              <w:t>万元</w:t>
            </w:r>
          </w:p>
        </w:tc>
        <w:tc>
          <w:tcPr>
            <w:tcW w:w="1830" w:type="dxa"/>
            <w:vAlign w:val="center"/>
          </w:tcPr>
          <w:p w14:paraId="6E1854CF">
            <w:pPr>
              <w:spacing w:line="500" w:lineRule="exact"/>
              <w:jc w:val="center"/>
              <w:rPr>
                <w:rFonts w:eastAsia="仿宋"/>
                <w:color w:val="auto"/>
                <w:highlight w:val="none"/>
              </w:rPr>
            </w:pPr>
            <w:r>
              <w:rPr>
                <w:rFonts w:eastAsia="仿宋"/>
                <w:color w:val="auto"/>
                <w:highlight w:val="none"/>
              </w:rPr>
              <w:t>1000≤Y&lt;100000</w:t>
            </w:r>
          </w:p>
        </w:tc>
        <w:tc>
          <w:tcPr>
            <w:tcW w:w="1572" w:type="dxa"/>
            <w:vAlign w:val="center"/>
          </w:tcPr>
          <w:p w14:paraId="2D5963D2">
            <w:pPr>
              <w:spacing w:line="500" w:lineRule="exact"/>
              <w:jc w:val="center"/>
              <w:rPr>
                <w:rFonts w:eastAsia="仿宋"/>
                <w:color w:val="auto"/>
                <w:highlight w:val="none"/>
              </w:rPr>
            </w:pPr>
            <w:r>
              <w:rPr>
                <w:rFonts w:eastAsia="仿宋"/>
                <w:color w:val="auto"/>
                <w:highlight w:val="none"/>
              </w:rPr>
              <w:t>100≤Y&lt;1000</w:t>
            </w:r>
          </w:p>
        </w:tc>
        <w:tc>
          <w:tcPr>
            <w:tcW w:w="1036" w:type="dxa"/>
            <w:vAlign w:val="center"/>
          </w:tcPr>
          <w:p w14:paraId="231A6806">
            <w:pPr>
              <w:spacing w:line="500" w:lineRule="exact"/>
              <w:jc w:val="center"/>
              <w:rPr>
                <w:rFonts w:eastAsia="仿宋"/>
                <w:color w:val="auto"/>
                <w:highlight w:val="none"/>
              </w:rPr>
            </w:pPr>
            <w:r>
              <w:rPr>
                <w:rFonts w:eastAsia="仿宋"/>
                <w:color w:val="auto"/>
                <w:highlight w:val="none"/>
              </w:rPr>
              <w:t>Y&lt;100</w:t>
            </w:r>
          </w:p>
        </w:tc>
      </w:tr>
      <w:tr w14:paraId="252F5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6724750B">
            <w:pPr>
              <w:spacing w:line="500" w:lineRule="exact"/>
              <w:jc w:val="center"/>
              <w:rPr>
                <w:rFonts w:ascii="仿宋" w:hAnsi="仿宋" w:eastAsia="仿宋"/>
                <w:color w:val="auto"/>
                <w:highlight w:val="none"/>
              </w:rPr>
            </w:pPr>
            <w:r>
              <w:rPr>
                <w:rFonts w:hint="eastAsia" w:ascii="仿宋" w:hAnsi="仿宋" w:eastAsia="仿宋"/>
                <w:color w:val="auto"/>
                <w:highlight w:val="none"/>
              </w:rPr>
              <w:t>软件</w:t>
            </w:r>
            <w:r>
              <w:rPr>
                <w:rFonts w:ascii="仿宋" w:hAnsi="仿宋" w:eastAsia="仿宋"/>
                <w:color w:val="auto"/>
                <w:highlight w:val="none"/>
              </w:rPr>
              <w:t>和信息技术服务业</w:t>
            </w:r>
          </w:p>
        </w:tc>
        <w:tc>
          <w:tcPr>
            <w:tcW w:w="1447" w:type="dxa"/>
            <w:vAlign w:val="center"/>
          </w:tcPr>
          <w:p w14:paraId="6E563AAF">
            <w:pPr>
              <w:spacing w:line="500" w:lineRule="exact"/>
              <w:jc w:val="center"/>
              <w:rPr>
                <w:rFonts w:ascii="仿宋" w:hAnsi="仿宋" w:eastAsia="仿宋"/>
                <w:color w:val="auto"/>
                <w:highlight w:val="none"/>
              </w:rPr>
            </w:pPr>
            <w:r>
              <w:rPr>
                <w:rFonts w:ascii="仿宋" w:hAnsi="仿宋" w:eastAsia="仿宋"/>
                <w:color w:val="auto"/>
                <w:highlight w:val="none"/>
              </w:rPr>
              <w:t>从业人员（</w:t>
            </w:r>
            <w:r>
              <w:rPr>
                <w:rFonts w:hint="eastAsia" w:ascii="仿宋" w:hAnsi="仿宋" w:eastAsia="仿宋"/>
                <w:color w:val="auto"/>
                <w:highlight w:val="none"/>
              </w:rPr>
              <w:t>X）</w:t>
            </w:r>
          </w:p>
        </w:tc>
        <w:tc>
          <w:tcPr>
            <w:tcW w:w="683" w:type="dxa"/>
            <w:vAlign w:val="center"/>
          </w:tcPr>
          <w:p w14:paraId="1FEC49E4">
            <w:pPr>
              <w:spacing w:line="500" w:lineRule="exact"/>
              <w:jc w:val="center"/>
              <w:rPr>
                <w:rFonts w:ascii="仿宋" w:hAnsi="仿宋" w:eastAsia="仿宋"/>
                <w:color w:val="auto"/>
                <w:highlight w:val="none"/>
              </w:rPr>
            </w:pPr>
            <w:r>
              <w:rPr>
                <w:rFonts w:ascii="仿宋" w:hAnsi="仿宋" w:eastAsia="仿宋"/>
                <w:color w:val="auto"/>
                <w:highlight w:val="none"/>
              </w:rPr>
              <w:t>人</w:t>
            </w:r>
          </w:p>
        </w:tc>
        <w:tc>
          <w:tcPr>
            <w:tcW w:w="1830" w:type="dxa"/>
            <w:vAlign w:val="center"/>
          </w:tcPr>
          <w:p w14:paraId="1FB58179">
            <w:pPr>
              <w:spacing w:line="500" w:lineRule="exact"/>
              <w:jc w:val="center"/>
              <w:rPr>
                <w:rFonts w:eastAsia="仿宋"/>
                <w:color w:val="auto"/>
                <w:highlight w:val="none"/>
              </w:rPr>
            </w:pPr>
            <w:r>
              <w:rPr>
                <w:rFonts w:eastAsia="仿宋"/>
                <w:color w:val="auto"/>
                <w:highlight w:val="none"/>
              </w:rPr>
              <w:t>100≤X&lt;300</w:t>
            </w:r>
          </w:p>
        </w:tc>
        <w:tc>
          <w:tcPr>
            <w:tcW w:w="1572" w:type="dxa"/>
            <w:vAlign w:val="center"/>
          </w:tcPr>
          <w:p w14:paraId="0E115894">
            <w:pPr>
              <w:spacing w:line="500" w:lineRule="exact"/>
              <w:jc w:val="center"/>
              <w:rPr>
                <w:rFonts w:eastAsia="仿宋"/>
                <w:color w:val="auto"/>
                <w:highlight w:val="none"/>
              </w:rPr>
            </w:pPr>
            <w:r>
              <w:rPr>
                <w:rFonts w:eastAsia="仿宋"/>
                <w:color w:val="auto"/>
                <w:highlight w:val="none"/>
              </w:rPr>
              <w:t>10≤X&lt;100</w:t>
            </w:r>
          </w:p>
        </w:tc>
        <w:tc>
          <w:tcPr>
            <w:tcW w:w="1036" w:type="dxa"/>
            <w:vAlign w:val="center"/>
          </w:tcPr>
          <w:p w14:paraId="2DC15ECC">
            <w:pPr>
              <w:spacing w:line="500" w:lineRule="exact"/>
              <w:jc w:val="center"/>
              <w:rPr>
                <w:rFonts w:eastAsia="仿宋"/>
                <w:color w:val="auto"/>
                <w:highlight w:val="none"/>
              </w:rPr>
            </w:pPr>
            <w:r>
              <w:rPr>
                <w:rFonts w:eastAsia="仿宋"/>
                <w:color w:val="auto"/>
                <w:highlight w:val="none"/>
              </w:rPr>
              <w:t>X&lt;10</w:t>
            </w:r>
          </w:p>
        </w:tc>
      </w:tr>
      <w:tr w14:paraId="10303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72032505">
            <w:pPr>
              <w:spacing w:line="500" w:lineRule="exact"/>
              <w:jc w:val="center"/>
              <w:rPr>
                <w:rFonts w:ascii="仿宋" w:hAnsi="仿宋" w:eastAsia="仿宋"/>
                <w:color w:val="auto"/>
                <w:highlight w:val="none"/>
              </w:rPr>
            </w:pPr>
          </w:p>
        </w:tc>
        <w:tc>
          <w:tcPr>
            <w:tcW w:w="1447" w:type="dxa"/>
            <w:vAlign w:val="center"/>
          </w:tcPr>
          <w:p w14:paraId="3D695108">
            <w:pPr>
              <w:spacing w:line="500" w:lineRule="exact"/>
              <w:jc w:val="center"/>
              <w:rPr>
                <w:rFonts w:ascii="仿宋" w:hAnsi="仿宋" w:eastAsia="仿宋"/>
                <w:color w:val="auto"/>
                <w:highlight w:val="none"/>
              </w:rPr>
            </w:pPr>
            <w:r>
              <w:rPr>
                <w:rFonts w:ascii="仿宋" w:hAnsi="仿宋" w:eastAsia="仿宋"/>
                <w:color w:val="auto"/>
                <w:highlight w:val="none"/>
              </w:rPr>
              <w:t>营业收入（</w:t>
            </w:r>
            <w:r>
              <w:rPr>
                <w:rFonts w:hint="eastAsia" w:ascii="仿宋" w:hAnsi="仿宋" w:eastAsia="仿宋"/>
                <w:color w:val="auto"/>
                <w:highlight w:val="none"/>
              </w:rPr>
              <w:t>Y）</w:t>
            </w:r>
          </w:p>
        </w:tc>
        <w:tc>
          <w:tcPr>
            <w:tcW w:w="683" w:type="dxa"/>
            <w:vAlign w:val="center"/>
          </w:tcPr>
          <w:p w14:paraId="7E7EFE04">
            <w:pPr>
              <w:spacing w:line="500" w:lineRule="exact"/>
              <w:jc w:val="center"/>
              <w:rPr>
                <w:rFonts w:ascii="仿宋" w:hAnsi="仿宋" w:eastAsia="仿宋"/>
                <w:color w:val="auto"/>
                <w:highlight w:val="none"/>
              </w:rPr>
            </w:pPr>
            <w:r>
              <w:rPr>
                <w:rFonts w:ascii="仿宋" w:hAnsi="仿宋" w:eastAsia="仿宋"/>
                <w:color w:val="auto"/>
                <w:highlight w:val="none"/>
              </w:rPr>
              <w:t>万元</w:t>
            </w:r>
          </w:p>
        </w:tc>
        <w:tc>
          <w:tcPr>
            <w:tcW w:w="1830" w:type="dxa"/>
            <w:vAlign w:val="center"/>
          </w:tcPr>
          <w:p w14:paraId="45349B1C">
            <w:pPr>
              <w:spacing w:line="500" w:lineRule="exact"/>
              <w:jc w:val="center"/>
              <w:rPr>
                <w:rFonts w:eastAsia="仿宋"/>
                <w:color w:val="auto"/>
                <w:highlight w:val="none"/>
              </w:rPr>
            </w:pPr>
            <w:r>
              <w:rPr>
                <w:rFonts w:eastAsia="仿宋"/>
                <w:color w:val="auto"/>
                <w:highlight w:val="none"/>
              </w:rPr>
              <w:t>1000≤Y&lt;10000</w:t>
            </w:r>
          </w:p>
        </w:tc>
        <w:tc>
          <w:tcPr>
            <w:tcW w:w="1572" w:type="dxa"/>
            <w:vAlign w:val="center"/>
          </w:tcPr>
          <w:p w14:paraId="55DF0CA7">
            <w:pPr>
              <w:spacing w:line="500" w:lineRule="exact"/>
              <w:jc w:val="center"/>
              <w:rPr>
                <w:rFonts w:eastAsia="仿宋"/>
                <w:color w:val="auto"/>
                <w:highlight w:val="none"/>
              </w:rPr>
            </w:pPr>
            <w:r>
              <w:rPr>
                <w:rFonts w:eastAsia="仿宋"/>
                <w:color w:val="auto"/>
                <w:highlight w:val="none"/>
              </w:rPr>
              <w:t>50≤Y&lt;1000</w:t>
            </w:r>
          </w:p>
        </w:tc>
        <w:tc>
          <w:tcPr>
            <w:tcW w:w="1036" w:type="dxa"/>
            <w:vAlign w:val="center"/>
          </w:tcPr>
          <w:p w14:paraId="7BC2FC8B">
            <w:pPr>
              <w:spacing w:line="500" w:lineRule="exact"/>
              <w:jc w:val="center"/>
              <w:rPr>
                <w:rFonts w:eastAsia="仿宋"/>
                <w:color w:val="auto"/>
                <w:highlight w:val="none"/>
              </w:rPr>
            </w:pPr>
            <w:r>
              <w:rPr>
                <w:rFonts w:eastAsia="仿宋"/>
                <w:color w:val="auto"/>
                <w:highlight w:val="none"/>
              </w:rPr>
              <w:t>Y&lt;50</w:t>
            </w:r>
          </w:p>
        </w:tc>
      </w:tr>
      <w:tr w14:paraId="1C5BD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29AD2F14">
            <w:pPr>
              <w:spacing w:line="500" w:lineRule="exact"/>
              <w:jc w:val="center"/>
              <w:rPr>
                <w:rFonts w:ascii="仿宋" w:hAnsi="仿宋" w:eastAsia="仿宋"/>
                <w:color w:val="auto"/>
                <w:highlight w:val="none"/>
              </w:rPr>
            </w:pPr>
            <w:r>
              <w:rPr>
                <w:rFonts w:hint="eastAsia" w:ascii="仿宋" w:hAnsi="仿宋" w:eastAsia="仿宋"/>
                <w:color w:val="auto"/>
                <w:highlight w:val="none"/>
              </w:rPr>
              <w:t>房</w:t>
            </w:r>
            <w:r>
              <w:rPr>
                <w:rFonts w:ascii="仿宋" w:hAnsi="仿宋" w:eastAsia="仿宋"/>
                <w:color w:val="auto"/>
                <w:highlight w:val="none"/>
              </w:rPr>
              <w:t>地产开发经营</w:t>
            </w:r>
          </w:p>
        </w:tc>
        <w:tc>
          <w:tcPr>
            <w:tcW w:w="1447" w:type="dxa"/>
            <w:vAlign w:val="center"/>
          </w:tcPr>
          <w:p w14:paraId="686DDC1A">
            <w:pPr>
              <w:spacing w:line="500" w:lineRule="exact"/>
              <w:jc w:val="center"/>
              <w:rPr>
                <w:rFonts w:ascii="仿宋" w:hAnsi="仿宋" w:eastAsia="仿宋"/>
                <w:color w:val="auto"/>
                <w:highlight w:val="none"/>
              </w:rPr>
            </w:pPr>
            <w:r>
              <w:rPr>
                <w:rFonts w:ascii="仿宋" w:hAnsi="仿宋" w:eastAsia="仿宋"/>
                <w:color w:val="auto"/>
                <w:highlight w:val="none"/>
              </w:rPr>
              <w:t>营业收入（</w:t>
            </w:r>
            <w:r>
              <w:rPr>
                <w:rFonts w:hint="eastAsia" w:ascii="仿宋" w:hAnsi="仿宋" w:eastAsia="仿宋"/>
                <w:color w:val="auto"/>
                <w:highlight w:val="none"/>
              </w:rPr>
              <w:t>Y）</w:t>
            </w:r>
          </w:p>
        </w:tc>
        <w:tc>
          <w:tcPr>
            <w:tcW w:w="683" w:type="dxa"/>
            <w:vAlign w:val="center"/>
          </w:tcPr>
          <w:p w14:paraId="7A78A250">
            <w:pPr>
              <w:spacing w:line="500" w:lineRule="exact"/>
              <w:jc w:val="center"/>
              <w:rPr>
                <w:rFonts w:ascii="仿宋" w:hAnsi="仿宋" w:eastAsia="仿宋"/>
                <w:color w:val="auto"/>
                <w:highlight w:val="none"/>
              </w:rPr>
            </w:pPr>
            <w:r>
              <w:rPr>
                <w:rFonts w:ascii="仿宋" w:hAnsi="仿宋" w:eastAsia="仿宋"/>
                <w:color w:val="auto"/>
                <w:highlight w:val="none"/>
              </w:rPr>
              <w:t>万元</w:t>
            </w:r>
          </w:p>
        </w:tc>
        <w:tc>
          <w:tcPr>
            <w:tcW w:w="1830" w:type="dxa"/>
            <w:vAlign w:val="center"/>
          </w:tcPr>
          <w:p w14:paraId="7DBF21CB">
            <w:pPr>
              <w:spacing w:line="500" w:lineRule="exact"/>
              <w:jc w:val="center"/>
              <w:rPr>
                <w:rFonts w:eastAsia="仿宋"/>
                <w:color w:val="auto"/>
                <w:highlight w:val="none"/>
              </w:rPr>
            </w:pPr>
            <w:r>
              <w:rPr>
                <w:rFonts w:eastAsia="仿宋"/>
                <w:color w:val="auto"/>
                <w:highlight w:val="none"/>
              </w:rPr>
              <w:t>1000≤Y&lt;200000</w:t>
            </w:r>
          </w:p>
        </w:tc>
        <w:tc>
          <w:tcPr>
            <w:tcW w:w="1572" w:type="dxa"/>
            <w:vAlign w:val="center"/>
          </w:tcPr>
          <w:p w14:paraId="7476BF5D">
            <w:pPr>
              <w:spacing w:line="500" w:lineRule="exact"/>
              <w:jc w:val="center"/>
              <w:rPr>
                <w:rFonts w:eastAsia="仿宋"/>
                <w:color w:val="auto"/>
                <w:highlight w:val="none"/>
              </w:rPr>
            </w:pPr>
            <w:r>
              <w:rPr>
                <w:rFonts w:eastAsia="仿宋"/>
                <w:color w:val="auto"/>
                <w:highlight w:val="none"/>
              </w:rPr>
              <w:t>100≤Y&lt;1000</w:t>
            </w:r>
          </w:p>
        </w:tc>
        <w:tc>
          <w:tcPr>
            <w:tcW w:w="1036" w:type="dxa"/>
            <w:vAlign w:val="center"/>
          </w:tcPr>
          <w:p w14:paraId="473FF3A0">
            <w:pPr>
              <w:spacing w:line="500" w:lineRule="exact"/>
              <w:jc w:val="center"/>
              <w:rPr>
                <w:rFonts w:eastAsia="仿宋"/>
                <w:color w:val="auto"/>
                <w:highlight w:val="none"/>
              </w:rPr>
            </w:pPr>
            <w:r>
              <w:rPr>
                <w:rFonts w:eastAsia="仿宋"/>
                <w:color w:val="auto"/>
                <w:highlight w:val="none"/>
              </w:rPr>
              <w:t>Y&lt;100</w:t>
            </w:r>
          </w:p>
        </w:tc>
      </w:tr>
      <w:tr w14:paraId="03A2A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5B8052F5">
            <w:pPr>
              <w:spacing w:line="500" w:lineRule="exact"/>
              <w:jc w:val="center"/>
              <w:rPr>
                <w:rFonts w:ascii="仿宋" w:hAnsi="仿宋" w:eastAsia="仿宋"/>
                <w:color w:val="auto"/>
                <w:highlight w:val="none"/>
              </w:rPr>
            </w:pPr>
          </w:p>
        </w:tc>
        <w:tc>
          <w:tcPr>
            <w:tcW w:w="1447" w:type="dxa"/>
            <w:vAlign w:val="center"/>
          </w:tcPr>
          <w:p w14:paraId="190D421A">
            <w:pPr>
              <w:spacing w:line="500" w:lineRule="exact"/>
              <w:jc w:val="center"/>
              <w:rPr>
                <w:rFonts w:ascii="仿宋" w:hAnsi="仿宋" w:eastAsia="仿宋"/>
                <w:color w:val="auto"/>
                <w:highlight w:val="none"/>
              </w:rPr>
            </w:pPr>
            <w:r>
              <w:rPr>
                <w:rFonts w:hint="eastAsia" w:ascii="仿宋" w:hAnsi="仿宋" w:eastAsia="仿宋"/>
                <w:color w:val="auto"/>
                <w:highlight w:val="none"/>
              </w:rPr>
              <w:t>资产</w:t>
            </w:r>
            <w:r>
              <w:rPr>
                <w:rFonts w:ascii="仿宋" w:hAnsi="仿宋" w:eastAsia="仿宋"/>
                <w:color w:val="auto"/>
                <w:highlight w:val="none"/>
              </w:rPr>
              <w:t>总额（</w:t>
            </w:r>
            <w:r>
              <w:rPr>
                <w:rFonts w:hint="eastAsia" w:ascii="仿宋" w:hAnsi="仿宋" w:eastAsia="仿宋"/>
                <w:color w:val="auto"/>
                <w:highlight w:val="none"/>
              </w:rPr>
              <w:t>Z）</w:t>
            </w:r>
          </w:p>
        </w:tc>
        <w:tc>
          <w:tcPr>
            <w:tcW w:w="683" w:type="dxa"/>
            <w:vAlign w:val="center"/>
          </w:tcPr>
          <w:p w14:paraId="25062A70">
            <w:pPr>
              <w:spacing w:line="500" w:lineRule="exact"/>
              <w:jc w:val="center"/>
              <w:rPr>
                <w:rFonts w:ascii="仿宋" w:hAnsi="仿宋" w:eastAsia="仿宋"/>
                <w:color w:val="auto"/>
                <w:highlight w:val="none"/>
              </w:rPr>
            </w:pPr>
            <w:r>
              <w:rPr>
                <w:rFonts w:ascii="仿宋" w:hAnsi="仿宋" w:eastAsia="仿宋"/>
                <w:color w:val="auto"/>
                <w:highlight w:val="none"/>
              </w:rPr>
              <w:t>万元</w:t>
            </w:r>
          </w:p>
        </w:tc>
        <w:tc>
          <w:tcPr>
            <w:tcW w:w="1830" w:type="dxa"/>
            <w:vAlign w:val="center"/>
          </w:tcPr>
          <w:p w14:paraId="01EC268E">
            <w:pPr>
              <w:spacing w:line="500" w:lineRule="exact"/>
              <w:jc w:val="center"/>
              <w:rPr>
                <w:rFonts w:eastAsia="仿宋"/>
                <w:color w:val="auto"/>
                <w:highlight w:val="none"/>
              </w:rPr>
            </w:pPr>
            <w:r>
              <w:rPr>
                <w:rFonts w:eastAsia="仿宋"/>
                <w:color w:val="auto"/>
                <w:highlight w:val="none"/>
              </w:rPr>
              <w:t>5000≤Z &lt;10000</w:t>
            </w:r>
          </w:p>
        </w:tc>
        <w:tc>
          <w:tcPr>
            <w:tcW w:w="1572" w:type="dxa"/>
            <w:vAlign w:val="center"/>
          </w:tcPr>
          <w:p w14:paraId="6A820D96">
            <w:pPr>
              <w:spacing w:line="500" w:lineRule="exact"/>
              <w:jc w:val="center"/>
              <w:rPr>
                <w:rFonts w:eastAsia="仿宋"/>
                <w:color w:val="auto"/>
                <w:highlight w:val="none"/>
              </w:rPr>
            </w:pPr>
            <w:r>
              <w:rPr>
                <w:rFonts w:eastAsia="仿宋"/>
                <w:color w:val="auto"/>
                <w:highlight w:val="none"/>
              </w:rPr>
              <w:t>2000≤Z &lt;5000</w:t>
            </w:r>
          </w:p>
        </w:tc>
        <w:tc>
          <w:tcPr>
            <w:tcW w:w="1036" w:type="dxa"/>
            <w:vAlign w:val="center"/>
          </w:tcPr>
          <w:p w14:paraId="38B02856">
            <w:pPr>
              <w:spacing w:line="500" w:lineRule="exact"/>
              <w:jc w:val="center"/>
              <w:rPr>
                <w:rFonts w:eastAsia="仿宋"/>
                <w:color w:val="auto"/>
                <w:highlight w:val="none"/>
              </w:rPr>
            </w:pPr>
            <w:r>
              <w:rPr>
                <w:rFonts w:eastAsia="仿宋"/>
                <w:color w:val="auto"/>
                <w:highlight w:val="none"/>
              </w:rPr>
              <w:t>Z&lt;2000</w:t>
            </w:r>
          </w:p>
        </w:tc>
      </w:tr>
      <w:tr w14:paraId="10855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54E842A6">
            <w:pPr>
              <w:spacing w:line="500" w:lineRule="exact"/>
              <w:jc w:val="center"/>
              <w:rPr>
                <w:rFonts w:ascii="仿宋" w:hAnsi="仿宋" w:eastAsia="仿宋"/>
                <w:color w:val="auto"/>
                <w:highlight w:val="none"/>
              </w:rPr>
            </w:pPr>
            <w:r>
              <w:rPr>
                <w:rFonts w:hint="eastAsia" w:ascii="仿宋" w:hAnsi="仿宋" w:eastAsia="仿宋"/>
                <w:color w:val="auto"/>
                <w:highlight w:val="none"/>
              </w:rPr>
              <w:t>物业管理</w:t>
            </w:r>
          </w:p>
        </w:tc>
        <w:tc>
          <w:tcPr>
            <w:tcW w:w="1447" w:type="dxa"/>
            <w:vAlign w:val="center"/>
          </w:tcPr>
          <w:p w14:paraId="63F24E82">
            <w:pPr>
              <w:spacing w:line="500" w:lineRule="exact"/>
              <w:jc w:val="center"/>
              <w:rPr>
                <w:rFonts w:ascii="仿宋" w:hAnsi="仿宋" w:eastAsia="仿宋"/>
                <w:color w:val="auto"/>
                <w:highlight w:val="none"/>
              </w:rPr>
            </w:pPr>
            <w:r>
              <w:rPr>
                <w:rFonts w:ascii="仿宋" w:hAnsi="仿宋" w:eastAsia="仿宋"/>
                <w:color w:val="auto"/>
                <w:highlight w:val="none"/>
              </w:rPr>
              <w:t>从业人员（</w:t>
            </w:r>
            <w:r>
              <w:rPr>
                <w:rFonts w:hint="eastAsia" w:ascii="仿宋" w:hAnsi="仿宋" w:eastAsia="仿宋"/>
                <w:color w:val="auto"/>
                <w:highlight w:val="none"/>
              </w:rPr>
              <w:t>X）</w:t>
            </w:r>
          </w:p>
        </w:tc>
        <w:tc>
          <w:tcPr>
            <w:tcW w:w="683" w:type="dxa"/>
            <w:vAlign w:val="center"/>
          </w:tcPr>
          <w:p w14:paraId="54305324">
            <w:pPr>
              <w:spacing w:line="500" w:lineRule="exact"/>
              <w:jc w:val="center"/>
              <w:rPr>
                <w:rFonts w:ascii="仿宋" w:hAnsi="仿宋" w:eastAsia="仿宋"/>
                <w:color w:val="auto"/>
                <w:highlight w:val="none"/>
              </w:rPr>
            </w:pPr>
            <w:r>
              <w:rPr>
                <w:rFonts w:ascii="仿宋" w:hAnsi="仿宋" w:eastAsia="仿宋"/>
                <w:color w:val="auto"/>
                <w:highlight w:val="none"/>
              </w:rPr>
              <w:t>人</w:t>
            </w:r>
          </w:p>
        </w:tc>
        <w:tc>
          <w:tcPr>
            <w:tcW w:w="1830" w:type="dxa"/>
            <w:vAlign w:val="center"/>
          </w:tcPr>
          <w:p w14:paraId="14E1E18F">
            <w:pPr>
              <w:spacing w:line="500" w:lineRule="exact"/>
              <w:jc w:val="center"/>
              <w:rPr>
                <w:rFonts w:eastAsia="仿宋"/>
                <w:color w:val="auto"/>
                <w:highlight w:val="none"/>
              </w:rPr>
            </w:pPr>
            <w:r>
              <w:rPr>
                <w:rFonts w:eastAsia="仿宋"/>
                <w:color w:val="auto"/>
                <w:highlight w:val="none"/>
              </w:rPr>
              <w:t>300≤X&lt;1000</w:t>
            </w:r>
          </w:p>
        </w:tc>
        <w:tc>
          <w:tcPr>
            <w:tcW w:w="1572" w:type="dxa"/>
            <w:vAlign w:val="center"/>
          </w:tcPr>
          <w:p w14:paraId="208DB4A5">
            <w:pPr>
              <w:spacing w:line="500" w:lineRule="exact"/>
              <w:jc w:val="center"/>
              <w:rPr>
                <w:rFonts w:eastAsia="仿宋"/>
                <w:color w:val="auto"/>
                <w:highlight w:val="none"/>
              </w:rPr>
            </w:pPr>
            <w:r>
              <w:rPr>
                <w:rFonts w:eastAsia="仿宋"/>
                <w:color w:val="auto"/>
                <w:highlight w:val="none"/>
              </w:rPr>
              <w:t>100≤X&lt;300</w:t>
            </w:r>
          </w:p>
        </w:tc>
        <w:tc>
          <w:tcPr>
            <w:tcW w:w="1036" w:type="dxa"/>
            <w:vAlign w:val="center"/>
          </w:tcPr>
          <w:p w14:paraId="463A0B51">
            <w:pPr>
              <w:spacing w:line="500" w:lineRule="exact"/>
              <w:jc w:val="center"/>
              <w:rPr>
                <w:rFonts w:eastAsia="仿宋"/>
                <w:color w:val="auto"/>
                <w:highlight w:val="none"/>
              </w:rPr>
            </w:pPr>
            <w:r>
              <w:rPr>
                <w:rFonts w:eastAsia="仿宋"/>
                <w:color w:val="auto"/>
                <w:highlight w:val="none"/>
              </w:rPr>
              <w:t>X&lt;100</w:t>
            </w:r>
          </w:p>
        </w:tc>
      </w:tr>
      <w:tr w14:paraId="49F41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0E307C6C">
            <w:pPr>
              <w:spacing w:line="500" w:lineRule="exact"/>
              <w:jc w:val="center"/>
              <w:rPr>
                <w:rFonts w:ascii="仿宋" w:hAnsi="仿宋" w:eastAsia="仿宋"/>
                <w:color w:val="auto"/>
                <w:highlight w:val="none"/>
              </w:rPr>
            </w:pPr>
          </w:p>
        </w:tc>
        <w:tc>
          <w:tcPr>
            <w:tcW w:w="1447" w:type="dxa"/>
            <w:vAlign w:val="center"/>
          </w:tcPr>
          <w:p w14:paraId="05115F37">
            <w:pPr>
              <w:spacing w:line="500" w:lineRule="exact"/>
              <w:jc w:val="center"/>
              <w:rPr>
                <w:rFonts w:ascii="仿宋" w:hAnsi="仿宋" w:eastAsia="仿宋"/>
                <w:color w:val="auto"/>
                <w:highlight w:val="none"/>
              </w:rPr>
            </w:pPr>
            <w:r>
              <w:rPr>
                <w:rFonts w:ascii="仿宋" w:hAnsi="仿宋" w:eastAsia="仿宋"/>
                <w:color w:val="auto"/>
                <w:highlight w:val="none"/>
              </w:rPr>
              <w:t>营业收入（</w:t>
            </w:r>
            <w:r>
              <w:rPr>
                <w:rFonts w:hint="eastAsia" w:ascii="仿宋" w:hAnsi="仿宋" w:eastAsia="仿宋"/>
                <w:color w:val="auto"/>
                <w:highlight w:val="none"/>
              </w:rPr>
              <w:t>Y）</w:t>
            </w:r>
          </w:p>
        </w:tc>
        <w:tc>
          <w:tcPr>
            <w:tcW w:w="683" w:type="dxa"/>
            <w:vAlign w:val="center"/>
          </w:tcPr>
          <w:p w14:paraId="7BCCBE44">
            <w:pPr>
              <w:spacing w:line="500" w:lineRule="exact"/>
              <w:jc w:val="center"/>
              <w:rPr>
                <w:rFonts w:ascii="仿宋" w:hAnsi="仿宋" w:eastAsia="仿宋"/>
                <w:color w:val="auto"/>
                <w:highlight w:val="none"/>
              </w:rPr>
            </w:pPr>
            <w:r>
              <w:rPr>
                <w:rFonts w:ascii="仿宋" w:hAnsi="仿宋" w:eastAsia="仿宋"/>
                <w:color w:val="auto"/>
                <w:highlight w:val="none"/>
              </w:rPr>
              <w:t>万元</w:t>
            </w:r>
          </w:p>
        </w:tc>
        <w:tc>
          <w:tcPr>
            <w:tcW w:w="1830" w:type="dxa"/>
            <w:vAlign w:val="center"/>
          </w:tcPr>
          <w:p w14:paraId="476CF766">
            <w:pPr>
              <w:spacing w:line="500" w:lineRule="exact"/>
              <w:jc w:val="center"/>
              <w:rPr>
                <w:rFonts w:eastAsia="仿宋"/>
                <w:color w:val="auto"/>
                <w:highlight w:val="none"/>
              </w:rPr>
            </w:pPr>
            <w:r>
              <w:rPr>
                <w:rFonts w:eastAsia="仿宋"/>
                <w:color w:val="auto"/>
                <w:highlight w:val="none"/>
              </w:rPr>
              <w:t>1000≤Y&lt;5000</w:t>
            </w:r>
          </w:p>
        </w:tc>
        <w:tc>
          <w:tcPr>
            <w:tcW w:w="1572" w:type="dxa"/>
            <w:vAlign w:val="center"/>
          </w:tcPr>
          <w:p w14:paraId="366DF418">
            <w:pPr>
              <w:spacing w:line="500" w:lineRule="exact"/>
              <w:jc w:val="center"/>
              <w:rPr>
                <w:rFonts w:eastAsia="仿宋"/>
                <w:color w:val="auto"/>
                <w:highlight w:val="none"/>
              </w:rPr>
            </w:pPr>
            <w:r>
              <w:rPr>
                <w:rFonts w:eastAsia="仿宋"/>
                <w:color w:val="auto"/>
                <w:highlight w:val="none"/>
              </w:rPr>
              <w:t>500≤Y&lt;1000</w:t>
            </w:r>
          </w:p>
        </w:tc>
        <w:tc>
          <w:tcPr>
            <w:tcW w:w="1036" w:type="dxa"/>
            <w:vAlign w:val="center"/>
          </w:tcPr>
          <w:p w14:paraId="2C309778">
            <w:pPr>
              <w:spacing w:line="500" w:lineRule="exact"/>
              <w:jc w:val="center"/>
              <w:rPr>
                <w:rFonts w:eastAsia="仿宋"/>
                <w:color w:val="auto"/>
                <w:highlight w:val="none"/>
              </w:rPr>
            </w:pPr>
            <w:r>
              <w:rPr>
                <w:rFonts w:eastAsia="仿宋"/>
                <w:color w:val="auto"/>
                <w:highlight w:val="none"/>
              </w:rPr>
              <w:t>Y&lt;500</w:t>
            </w:r>
          </w:p>
        </w:tc>
      </w:tr>
      <w:tr w14:paraId="28751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39293240">
            <w:pPr>
              <w:spacing w:line="500" w:lineRule="exact"/>
              <w:jc w:val="center"/>
              <w:rPr>
                <w:rFonts w:ascii="仿宋" w:hAnsi="仿宋" w:eastAsia="仿宋"/>
                <w:color w:val="auto"/>
                <w:highlight w:val="none"/>
              </w:rPr>
            </w:pPr>
            <w:r>
              <w:rPr>
                <w:rFonts w:hint="eastAsia" w:ascii="仿宋" w:hAnsi="仿宋" w:eastAsia="仿宋"/>
                <w:color w:val="auto"/>
                <w:highlight w:val="none"/>
              </w:rPr>
              <w:t>租赁</w:t>
            </w:r>
            <w:r>
              <w:rPr>
                <w:rFonts w:ascii="仿宋" w:hAnsi="仿宋" w:eastAsia="仿宋"/>
                <w:color w:val="auto"/>
                <w:highlight w:val="none"/>
              </w:rPr>
              <w:t>和商务服务业</w:t>
            </w:r>
          </w:p>
        </w:tc>
        <w:tc>
          <w:tcPr>
            <w:tcW w:w="1447" w:type="dxa"/>
            <w:vAlign w:val="center"/>
          </w:tcPr>
          <w:p w14:paraId="235D7D7E">
            <w:pPr>
              <w:spacing w:line="500" w:lineRule="exact"/>
              <w:jc w:val="center"/>
              <w:rPr>
                <w:rFonts w:ascii="仿宋" w:hAnsi="仿宋" w:eastAsia="仿宋"/>
                <w:color w:val="auto"/>
                <w:highlight w:val="none"/>
              </w:rPr>
            </w:pPr>
            <w:r>
              <w:rPr>
                <w:rFonts w:ascii="仿宋" w:hAnsi="仿宋" w:eastAsia="仿宋"/>
                <w:color w:val="auto"/>
                <w:highlight w:val="none"/>
              </w:rPr>
              <w:t>从业人员（</w:t>
            </w:r>
            <w:r>
              <w:rPr>
                <w:rFonts w:hint="eastAsia" w:ascii="仿宋" w:hAnsi="仿宋" w:eastAsia="仿宋"/>
                <w:color w:val="auto"/>
                <w:highlight w:val="none"/>
              </w:rPr>
              <w:t>X）</w:t>
            </w:r>
          </w:p>
        </w:tc>
        <w:tc>
          <w:tcPr>
            <w:tcW w:w="683" w:type="dxa"/>
            <w:vAlign w:val="center"/>
          </w:tcPr>
          <w:p w14:paraId="31CCCF7A">
            <w:pPr>
              <w:spacing w:line="500" w:lineRule="exact"/>
              <w:jc w:val="center"/>
              <w:rPr>
                <w:rFonts w:ascii="仿宋" w:hAnsi="仿宋" w:eastAsia="仿宋"/>
                <w:color w:val="auto"/>
                <w:highlight w:val="none"/>
              </w:rPr>
            </w:pPr>
            <w:r>
              <w:rPr>
                <w:rFonts w:ascii="仿宋" w:hAnsi="仿宋" w:eastAsia="仿宋"/>
                <w:color w:val="auto"/>
                <w:highlight w:val="none"/>
              </w:rPr>
              <w:t>人</w:t>
            </w:r>
          </w:p>
        </w:tc>
        <w:tc>
          <w:tcPr>
            <w:tcW w:w="1830" w:type="dxa"/>
            <w:vAlign w:val="center"/>
          </w:tcPr>
          <w:p w14:paraId="0E4DE444">
            <w:pPr>
              <w:spacing w:line="500" w:lineRule="exact"/>
              <w:jc w:val="center"/>
              <w:rPr>
                <w:rFonts w:eastAsia="仿宋"/>
                <w:color w:val="auto"/>
                <w:highlight w:val="none"/>
              </w:rPr>
            </w:pPr>
            <w:r>
              <w:rPr>
                <w:rFonts w:eastAsia="仿宋"/>
                <w:color w:val="auto"/>
                <w:highlight w:val="none"/>
              </w:rPr>
              <w:t>100≤X&lt;300</w:t>
            </w:r>
          </w:p>
        </w:tc>
        <w:tc>
          <w:tcPr>
            <w:tcW w:w="1572" w:type="dxa"/>
            <w:vAlign w:val="center"/>
          </w:tcPr>
          <w:p w14:paraId="266652EA">
            <w:pPr>
              <w:spacing w:line="500" w:lineRule="exact"/>
              <w:jc w:val="center"/>
              <w:rPr>
                <w:rFonts w:eastAsia="仿宋"/>
                <w:color w:val="auto"/>
                <w:highlight w:val="none"/>
              </w:rPr>
            </w:pPr>
            <w:r>
              <w:rPr>
                <w:rFonts w:eastAsia="仿宋"/>
                <w:color w:val="auto"/>
                <w:highlight w:val="none"/>
              </w:rPr>
              <w:t>10≤X&lt;100</w:t>
            </w:r>
          </w:p>
        </w:tc>
        <w:tc>
          <w:tcPr>
            <w:tcW w:w="1036" w:type="dxa"/>
            <w:vAlign w:val="center"/>
          </w:tcPr>
          <w:p w14:paraId="611A168A">
            <w:pPr>
              <w:spacing w:line="500" w:lineRule="exact"/>
              <w:jc w:val="center"/>
              <w:rPr>
                <w:rFonts w:eastAsia="仿宋"/>
                <w:color w:val="auto"/>
                <w:highlight w:val="none"/>
              </w:rPr>
            </w:pPr>
            <w:r>
              <w:rPr>
                <w:rFonts w:eastAsia="仿宋"/>
                <w:color w:val="auto"/>
                <w:highlight w:val="none"/>
              </w:rPr>
              <w:t>X&lt;10</w:t>
            </w:r>
          </w:p>
        </w:tc>
      </w:tr>
      <w:tr w14:paraId="1DB2D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1D87C740">
            <w:pPr>
              <w:spacing w:line="500" w:lineRule="exact"/>
              <w:jc w:val="center"/>
              <w:rPr>
                <w:rFonts w:ascii="仿宋" w:hAnsi="仿宋" w:eastAsia="仿宋"/>
                <w:color w:val="auto"/>
                <w:highlight w:val="none"/>
              </w:rPr>
            </w:pPr>
          </w:p>
        </w:tc>
        <w:tc>
          <w:tcPr>
            <w:tcW w:w="1447" w:type="dxa"/>
            <w:vAlign w:val="center"/>
          </w:tcPr>
          <w:p w14:paraId="56D9BFD9">
            <w:pPr>
              <w:spacing w:line="500" w:lineRule="exact"/>
              <w:jc w:val="center"/>
              <w:rPr>
                <w:rFonts w:ascii="仿宋" w:hAnsi="仿宋" w:eastAsia="仿宋"/>
                <w:color w:val="auto"/>
                <w:highlight w:val="none"/>
              </w:rPr>
            </w:pPr>
            <w:r>
              <w:rPr>
                <w:rFonts w:hint="eastAsia" w:ascii="仿宋" w:hAnsi="仿宋" w:eastAsia="仿宋"/>
                <w:color w:val="auto"/>
                <w:highlight w:val="none"/>
              </w:rPr>
              <w:t>资产</w:t>
            </w:r>
            <w:r>
              <w:rPr>
                <w:rFonts w:ascii="仿宋" w:hAnsi="仿宋" w:eastAsia="仿宋"/>
                <w:color w:val="auto"/>
                <w:highlight w:val="none"/>
              </w:rPr>
              <w:t>总额（</w:t>
            </w:r>
            <w:r>
              <w:rPr>
                <w:rFonts w:hint="eastAsia" w:ascii="仿宋" w:hAnsi="仿宋" w:eastAsia="仿宋"/>
                <w:color w:val="auto"/>
                <w:highlight w:val="none"/>
              </w:rPr>
              <w:t>Z）</w:t>
            </w:r>
          </w:p>
        </w:tc>
        <w:tc>
          <w:tcPr>
            <w:tcW w:w="683" w:type="dxa"/>
            <w:vAlign w:val="center"/>
          </w:tcPr>
          <w:p w14:paraId="47461AAA">
            <w:pPr>
              <w:spacing w:line="500" w:lineRule="exact"/>
              <w:jc w:val="center"/>
              <w:rPr>
                <w:rFonts w:ascii="仿宋" w:hAnsi="仿宋" w:eastAsia="仿宋"/>
                <w:color w:val="auto"/>
                <w:highlight w:val="none"/>
              </w:rPr>
            </w:pPr>
            <w:r>
              <w:rPr>
                <w:rFonts w:ascii="仿宋" w:hAnsi="仿宋" w:eastAsia="仿宋"/>
                <w:color w:val="auto"/>
                <w:highlight w:val="none"/>
              </w:rPr>
              <w:t>万元</w:t>
            </w:r>
          </w:p>
        </w:tc>
        <w:tc>
          <w:tcPr>
            <w:tcW w:w="1830" w:type="dxa"/>
            <w:vAlign w:val="center"/>
          </w:tcPr>
          <w:p w14:paraId="07C629C3">
            <w:pPr>
              <w:spacing w:line="500" w:lineRule="exact"/>
              <w:jc w:val="center"/>
              <w:rPr>
                <w:rFonts w:eastAsia="仿宋"/>
                <w:color w:val="auto"/>
                <w:highlight w:val="none"/>
              </w:rPr>
            </w:pPr>
            <w:r>
              <w:rPr>
                <w:rFonts w:eastAsia="仿宋"/>
                <w:color w:val="auto"/>
                <w:highlight w:val="none"/>
              </w:rPr>
              <w:t>8000≤Z &lt;120000</w:t>
            </w:r>
          </w:p>
        </w:tc>
        <w:tc>
          <w:tcPr>
            <w:tcW w:w="1572" w:type="dxa"/>
            <w:vAlign w:val="center"/>
          </w:tcPr>
          <w:p w14:paraId="71C47E76">
            <w:pPr>
              <w:spacing w:line="500" w:lineRule="exact"/>
              <w:jc w:val="center"/>
              <w:rPr>
                <w:rFonts w:eastAsia="仿宋"/>
                <w:color w:val="auto"/>
                <w:highlight w:val="none"/>
              </w:rPr>
            </w:pPr>
            <w:r>
              <w:rPr>
                <w:rFonts w:eastAsia="仿宋"/>
                <w:color w:val="auto"/>
                <w:highlight w:val="none"/>
              </w:rPr>
              <w:t>100≤Z &lt;8000</w:t>
            </w:r>
          </w:p>
        </w:tc>
        <w:tc>
          <w:tcPr>
            <w:tcW w:w="1036" w:type="dxa"/>
            <w:vAlign w:val="center"/>
          </w:tcPr>
          <w:p w14:paraId="45173CCB">
            <w:pPr>
              <w:spacing w:line="500" w:lineRule="exact"/>
              <w:jc w:val="center"/>
              <w:rPr>
                <w:rFonts w:eastAsia="仿宋"/>
                <w:color w:val="auto"/>
                <w:highlight w:val="none"/>
              </w:rPr>
            </w:pPr>
            <w:r>
              <w:rPr>
                <w:rFonts w:eastAsia="仿宋"/>
                <w:color w:val="auto"/>
                <w:highlight w:val="none"/>
              </w:rPr>
              <w:t>Z&lt;100</w:t>
            </w:r>
          </w:p>
        </w:tc>
      </w:tr>
      <w:tr w14:paraId="5DAA3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Align w:val="center"/>
          </w:tcPr>
          <w:p w14:paraId="4823E431">
            <w:pPr>
              <w:spacing w:line="500" w:lineRule="exact"/>
              <w:jc w:val="center"/>
              <w:rPr>
                <w:rFonts w:ascii="仿宋" w:hAnsi="仿宋" w:eastAsia="仿宋"/>
                <w:color w:val="auto"/>
                <w:highlight w:val="none"/>
              </w:rPr>
            </w:pPr>
            <w:r>
              <w:rPr>
                <w:rFonts w:hint="eastAsia" w:ascii="仿宋" w:hAnsi="仿宋" w:eastAsia="仿宋"/>
                <w:color w:val="auto"/>
                <w:highlight w:val="none"/>
              </w:rPr>
              <w:t>其</w:t>
            </w:r>
            <w:r>
              <w:rPr>
                <w:rFonts w:ascii="仿宋" w:hAnsi="仿宋" w:eastAsia="仿宋"/>
                <w:color w:val="auto"/>
                <w:highlight w:val="none"/>
              </w:rPr>
              <w:t>他未列明行业</w:t>
            </w:r>
          </w:p>
        </w:tc>
        <w:tc>
          <w:tcPr>
            <w:tcW w:w="1447" w:type="dxa"/>
            <w:vAlign w:val="center"/>
          </w:tcPr>
          <w:p w14:paraId="10677A01">
            <w:pPr>
              <w:spacing w:line="500" w:lineRule="exact"/>
              <w:jc w:val="center"/>
              <w:rPr>
                <w:rFonts w:ascii="仿宋" w:hAnsi="仿宋" w:eastAsia="仿宋"/>
                <w:color w:val="auto"/>
                <w:highlight w:val="none"/>
              </w:rPr>
            </w:pPr>
            <w:r>
              <w:rPr>
                <w:rFonts w:ascii="仿宋" w:hAnsi="仿宋" w:eastAsia="仿宋"/>
                <w:color w:val="auto"/>
                <w:highlight w:val="none"/>
              </w:rPr>
              <w:t>从业人员（</w:t>
            </w:r>
            <w:r>
              <w:rPr>
                <w:rFonts w:hint="eastAsia" w:ascii="仿宋" w:hAnsi="仿宋" w:eastAsia="仿宋"/>
                <w:color w:val="auto"/>
                <w:highlight w:val="none"/>
              </w:rPr>
              <w:t>X）</w:t>
            </w:r>
          </w:p>
        </w:tc>
        <w:tc>
          <w:tcPr>
            <w:tcW w:w="683" w:type="dxa"/>
            <w:vAlign w:val="center"/>
          </w:tcPr>
          <w:p w14:paraId="5A3C4707">
            <w:pPr>
              <w:spacing w:line="500" w:lineRule="exact"/>
              <w:jc w:val="center"/>
              <w:rPr>
                <w:rFonts w:ascii="仿宋" w:hAnsi="仿宋" w:eastAsia="仿宋"/>
                <w:color w:val="auto"/>
                <w:highlight w:val="none"/>
              </w:rPr>
            </w:pPr>
            <w:r>
              <w:rPr>
                <w:rFonts w:ascii="仿宋" w:hAnsi="仿宋" w:eastAsia="仿宋"/>
                <w:color w:val="auto"/>
                <w:highlight w:val="none"/>
              </w:rPr>
              <w:t>人</w:t>
            </w:r>
          </w:p>
        </w:tc>
        <w:tc>
          <w:tcPr>
            <w:tcW w:w="1830" w:type="dxa"/>
            <w:vAlign w:val="center"/>
          </w:tcPr>
          <w:p w14:paraId="17AB8D5A">
            <w:pPr>
              <w:spacing w:line="500" w:lineRule="exact"/>
              <w:jc w:val="center"/>
              <w:rPr>
                <w:rFonts w:eastAsia="仿宋"/>
                <w:color w:val="auto"/>
                <w:highlight w:val="none"/>
              </w:rPr>
            </w:pPr>
            <w:r>
              <w:rPr>
                <w:rFonts w:eastAsia="仿宋"/>
                <w:color w:val="auto"/>
                <w:highlight w:val="none"/>
              </w:rPr>
              <w:t>100≤X&lt;300</w:t>
            </w:r>
          </w:p>
        </w:tc>
        <w:tc>
          <w:tcPr>
            <w:tcW w:w="1572" w:type="dxa"/>
            <w:vAlign w:val="center"/>
          </w:tcPr>
          <w:p w14:paraId="2230DB8B">
            <w:pPr>
              <w:spacing w:line="500" w:lineRule="exact"/>
              <w:jc w:val="center"/>
              <w:rPr>
                <w:rFonts w:eastAsia="仿宋"/>
                <w:color w:val="auto"/>
                <w:highlight w:val="none"/>
              </w:rPr>
            </w:pPr>
            <w:r>
              <w:rPr>
                <w:rFonts w:eastAsia="仿宋"/>
                <w:color w:val="auto"/>
                <w:highlight w:val="none"/>
              </w:rPr>
              <w:t>10≤X&lt;100</w:t>
            </w:r>
          </w:p>
        </w:tc>
        <w:tc>
          <w:tcPr>
            <w:tcW w:w="1036" w:type="dxa"/>
            <w:vAlign w:val="center"/>
          </w:tcPr>
          <w:p w14:paraId="52455946">
            <w:pPr>
              <w:spacing w:line="500" w:lineRule="exact"/>
              <w:jc w:val="center"/>
              <w:rPr>
                <w:rFonts w:eastAsia="仿宋"/>
                <w:color w:val="auto"/>
                <w:highlight w:val="none"/>
              </w:rPr>
            </w:pPr>
            <w:r>
              <w:rPr>
                <w:rFonts w:eastAsia="仿宋"/>
                <w:color w:val="auto"/>
                <w:highlight w:val="none"/>
              </w:rPr>
              <w:t>X&lt;10</w:t>
            </w:r>
          </w:p>
        </w:tc>
      </w:tr>
    </w:tbl>
    <w:p w14:paraId="053C1B30">
      <w:pPr>
        <w:spacing w:line="500" w:lineRule="exact"/>
        <w:ind w:firstLine="420" w:firstLineChars="200"/>
        <w:rPr>
          <w:rFonts w:ascii="仿宋" w:hAnsi="仿宋" w:eastAsia="仿宋"/>
          <w:color w:val="auto"/>
          <w:sz w:val="28"/>
          <w:szCs w:val="28"/>
          <w:highlight w:val="none"/>
        </w:rPr>
      </w:pPr>
      <w:r>
        <w:rPr>
          <w:rFonts w:hint="eastAsia" w:ascii="仿宋" w:hAnsi="仿宋" w:eastAsia="仿宋"/>
          <w:color w:val="auto"/>
          <w:highlight w:val="none"/>
        </w:rPr>
        <w:t>说明：大型、中型和小型企业须同时满足所列指标的下限，否则下划一档；微型企业只须满足所列指标中的一项即可。</w:t>
      </w:r>
    </w:p>
    <w:p w14:paraId="1E6CDF2D">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7.2 残疾人福利单位价格扣除</w:t>
      </w:r>
    </w:p>
    <w:p w14:paraId="148CCFF1">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7.2.1</w:t>
      </w:r>
      <w:r>
        <w:rPr>
          <w:rFonts w:ascii="仿宋" w:hAnsi="仿宋" w:eastAsia="仿宋"/>
          <w:color w:val="auto"/>
          <w:sz w:val="28"/>
          <w:szCs w:val="28"/>
          <w:highlight w:val="none"/>
        </w:rPr>
        <w:t>享受政府采购支持政策的残疾人福利性单位应当同时满足以下条件：</w:t>
      </w:r>
    </w:p>
    <w:p w14:paraId="677A49EB">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7.2.1.1 </w:t>
      </w:r>
      <w:r>
        <w:rPr>
          <w:rFonts w:ascii="仿宋" w:hAnsi="仿宋" w:eastAsia="仿宋"/>
          <w:color w:val="auto"/>
          <w:sz w:val="28"/>
          <w:szCs w:val="28"/>
          <w:highlight w:val="none"/>
        </w:rPr>
        <w:t>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p>
    <w:p w14:paraId="77CF759A">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7.2.1.2 </w:t>
      </w:r>
      <w:r>
        <w:rPr>
          <w:rFonts w:ascii="仿宋" w:hAnsi="仿宋" w:eastAsia="仿宋"/>
          <w:color w:val="auto"/>
          <w:sz w:val="28"/>
          <w:szCs w:val="28"/>
          <w:highlight w:val="none"/>
        </w:rPr>
        <w:t>依法与安置的每位残疾人签订了一年以上（含一年）的劳动合同或服务协议；</w:t>
      </w:r>
    </w:p>
    <w:p w14:paraId="129ED988">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7.2.1.3 </w:t>
      </w:r>
      <w:r>
        <w:rPr>
          <w:rFonts w:ascii="仿宋" w:hAnsi="仿宋" w:eastAsia="仿宋"/>
          <w:color w:val="auto"/>
          <w:sz w:val="28"/>
          <w:szCs w:val="28"/>
          <w:highlight w:val="none"/>
        </w:rPr>
        <w:t>为安置的每位残疾人按月足额缴纳了基本养老保险、基本医疗保险、失业保险、工伤保险和生育保险等社会保险费；</w:t>
      </w:r>
    </w:p>
    <w:p w14:paraId="3F382E8C">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7.2.1.4 </w:t>
      </w:r>
      <w:r>
        <w:rPr>
          <w:rFonts w:ascii="仿宋" w:hAnsi="仿宋" w:eastAsia="仿宋"/>
          <w:color w:val="auto"/>
          <w:sz w:val="28"/>
          <w:szCs w:val="28"/>
          <w:highlight w:val="none"/>
        </w:rPr>
        <w:t>通过银行等金融机构向安置的每位残疾人，按月支付了不低于单位所在区县适用的经省级人民政府批准的月最低工资标准的工资；</w:t>
      </w:r>
    </w:p>
    <w:p w14:paraId="762EEEFF">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7.2.1.5 </w:t>
      </w:r>
      <w:r>
        <w:rPr>
          <w:rFonts w:ascii="仿宋" w:hAnsi="仿宋" w:eastAsia="仿宋"/>
          <w:color w:val="auto"/>
          <w:sz w:val="28"/>
          <w:szCs w:val="28"/>
          <w:highlight w:val="none"/>
        </w:rPr>
        <w:t>提供本单位制造的货物、承担的工程或者服务（以下简称产品），或者提供其他残疾人福利性单位制造的货物（不包括使用非残疾人福利性单位注册商标的货物）。</w:t>
      </w:r>
    </w:p>
    <w:p w14:paraId="050DF5C6">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7.2.2 </w:t>
      </w:r>
      <w:r>
        <w:rPr>
          <w:rFonts w:ascii="仿宋" w:hAnsi="仿宋" w:eastAsia="仿宋"/>
          <w:color w:val="auto"/>
          <w:sz w:val="28"/>
          <w:szCs w:val="28"/>
          <w:highlight w:val="none"/>
        </w:rPr>
        <w:t>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p>
    <w:p w14:paraId="70899209">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7.2.3 残疾人福利单位需按照采购文件的要求提供《残疾人福利性单位声明函》，否则不予享受。</w:t>
      </w:r>
    </w:p>
    <w:p w14:paraId="23540005">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7.2.4 残疾人福利单位属于小型、微型企业的，不重复享受政策。</w:t>
      </w:r>
    </w:p>
    <w:p w14:paraId="515B1494">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7.3 监狱和戒毒企业价格扣除</w:t>
      </w:r>
    </w:p>
    <w:p w14:paraId="624E32CD">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E6A326E">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7.3.2 监狱企业参加政府采购活动时，应当提供由省级以上监狱管理局、戒毒管理局(含新疆生产建设兵团)出具的属于监狱企业的证明文件。</w:t>
      </w:r>
    </w:p>
    <w:p w14:paraId="1C88DA83">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7.3.3 在政府采购活动中，监狱企业视同小型、微型企业，享受预留份额、评审中价格扣除等政府采购促进中小企业发展的政府采购政策。</w:t>
      </w:r>
    </w:p>
    <w:p w14:paraId="3C10BEBB">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7.3.4 监狱企业属于小型、微型企业的，不重复享受政策。</w:t>
      </w:r>
    </w:p>
    <w:p w14:paraId="24007BCC">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7.4 根据《财政部、发展改革委关于印发节能产品政府采购品目清单的通知》（</w:t>
      </w:r>
      <w:r>
        <w:rPr>
          <w:rFonts w:hint="eastAsia" w:ascii="仿宋" w:hAnsi="仿宋" w:eastAsia="仿宋" w:cs="宋体"/>
          <w:color w:val="auto"/>
          <w:kern w:val="0"/>
          <w:sz w:val="26"/>
          <w:szCs w:val="26"/>
          <w:highlight w:val="none"/>
        </w:rPr>
        <w:t>财库〔2019〕19号</w:t>
      </w:r>
      <w:r>
        <w:rPr>
          <w:rFonts w:hint="eastAsia" w:ascii="仿宋" w:hAnsi="仿宋" w:eastAsia="仿宋"/>
          <w:color w:val="auto"/>
          <w:sz w:val="28"/>
          <w:szCs w:val="28"/>
          <w:highlight w:val="none"/>
        </w:rPr>
        <w:t>）要求，下列产品实行强制采购或者优先采购：</w:t>
      </w:r>
    </w:p>
    <w:p w14:paraId="6D863D8E">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p>
    <w:p w14:paraId="1765BCE4">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7.4.2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p>
    <w:p w14:paraId="23608EF3">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7.5 根据《财政部、生态环境部关于印发环境标志产品政府采购品目清单的通知》（财库〔2019〕18号）要求，对于</w:t>
      </w:r>
      <w:r>
        <w:rPr>
          <w:color w:val="auto"/>
          <w:highlight w:val="none"/>
        </w:rPr>
        <w:fldChar w:fldCharType="begin"/>
      </w:r>
      <w:r>
        <w:rPr>
          <w:color w:val="auto"/>
          <w:highlight w:val="none"/>
        </w:rPr>
        <w:instrText xml:space="preserve"> HYPERLINK "http://gks.mof.gov.cn/zhengfucaigouguanli/201903/P020190329702478575295.pdf" </w:instrText>
      </w:r>
      <w:r>
        <w:rPr>
          <w:color w:val="auto"/>
          <w:highlight w:val="none"/>
        </w:rPr>
        <w:fldChar w:fldCharType="separate"/>
      </w:r>
      <w:r>
        <w:rPr>
          <w:rFonts w:hint="eastAsia" w:ascii="仿宋" w:hAnsi="仿宋" w:eastAsia="仿宋"/>
          <w:color w:val="auto"/>
          <w:sz w:val="28"/>
          <w:szCs w:val="28"/>
          <w:highlight w:val="none"/>
        </w:rPr>
        <w:t>环境标志产品政府采购品目清单</w:t>
      </w:r>
      <w:r>
        <w:rPr>
          <w:rFonts w:hint="eastAsia" w:ascii="仿宋" w:hAnsi="仿宋" w:eastAsia="仿宋"/>
          <w:color w:val="auto"/>
          <w:sz w:val="28"/>
          <w:szCs w:val="28"/>
          <w:highlight w:val="none"/>
        </w:rPr>
        <w:fldChar w:fldCharType="end"/>
      </w:r>
      <w:r>
        <w:rPr>
          <w:rFonts w:ascii="仿宋" w:hAnsi="仿宋" w:eastAsia="仿宋"/>
          <w:color w:val="auto"/>
          <w:sz w:val="28"/>
          <w:szCs w:val="28"/>
          <w:highlight w:val="none"/>
        </w:rPr>
        <w:t>内的</w:t>
      </w:r>
      <w:r>
        <w:rPr>
          <w:rFonts w:hint="eastAsia" w:ascii="仿宋" w:hAnsi="仿宋" w:eastAsia="仿宋"/>
          <w:color w:val="auto"/>
          <w:sz w:val="28"/>
          <w:szCs w:val="28"/>
          <w:highlight w:val="none"/>
        </w:rPr>
        <w:t>计算机设备、打印设备、显示设备、扫描仪、投影仪、复印机、多功能一体机、速印机、载货汽车（含自卸汽车）、乘用车、小型客车、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p>
    <w:p w14:paraId="1F195ABD">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7.6根据《国务院办公厅关于在政府采购中实施本国产品标准及相关政策的通知》（国办发〔2025〕34号）要求，落实对本国产品支持政策。</w:t>
      </w:r>
    </w:p>
    <w:p w14:paraId="45D93901">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7.6.1 政府采购活动中既有本国产品又有非本国产品参与竞争的，依法对本国产品给予价格评审优惠，对本国产品的报价给予20%的价格扣除，用扣除后的价格参与评审。</w:t>
      </w:r>
    </w:p>
    <w:p w14:paraId="524F23F8">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7.6.2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4C973BFE">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7.6.3 本国产品应当符合以下条件：（1）产品应当在中国境内生产，即在中华人民共和国关境内实现从原材料、组件到产品的属性改变（经过制造、加工或者组装等工序，产生完全不同于原材料、组件的新产品，并具有新的名称和特征或用途）；（2）产品在中国境内生产的组件成本占比应当达到规定比例，组件成本按照《中国境内生产的组件成本核算基本规则》计算；（3）对特定产品，在符合本通知第一条第（1）项和第（2）项条件的基础上，应当符合财政部会同有关行业主管部门确定的其关键组件、关键工序在中国境内生产、完成等要求。</w:t>
      </w:r>
    </w:p>
    <w:p w14:paraId="20FD83E0">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7.6.4供应商对其提供的产品出具《关于符合本国产品标准的声明函》或财政部会同有关部门规定的有关证明文件。</w:t>
      </w:r>
    </w:p>
    <w:p w14:paraId="3C76EEC0">
      <w:pPr>
        <w:pStyle w:val="51"/>
        <w:spacing w:line="500" w:lineRule="exact"/>
        <w:ind w:firstLine="560" w:firstLineChars="200"/>
        <w:rPr>
          <w:rFonts w:ascii="仿宋" w:hAnsi="仿宋" w:eastAsia="仿宋"/>
          <w:color w:val="auto"/>
          <w:szCs w:val="28"/>
          <w:highlight w:val="none"/>
        </w:rPr>
      </w:pPr>
      <w:r>
        <w:rPr>
          <w:rFonts w:hint="eastAsia" w:ascii="仿宋" w:hAnsi="仿宋" w:eastAsia="仿宋"/>
          <w:color w:val="auto"/>
          <w:szCs w:val="28"/>
          <w:highlight w:val="none"/>
        </w:rPr>
        <w:t>7.7 根据《江苏省政府采购供应商监督管理暂行办法》的规定，诚信记录分每减10分，给予本项目总分值2%的扣分，扣分最多不超过本项目总分值6%。</w:t>
      </w:r>
    </w:p>
    <w:p w14:paraId="2F87AE8C">
      <w:pPr>
        <w:pStyle w:val="51"/>
        <w:spacing w:line="500" w:lineRule="exact"/>
        <w:ind w:firstLine="560" w:firstLineChars="200"/>
        <w:rPr>
          <w:rFonts w:eastAsia="仿宋"/>
          <w:color w:val="auto"/>
          <w:highlight w:val="none"/>
        </w:rPr>
      </w:pPr>
      <w:r>
        <w:rPr>
          <w:rFonts w:hint="eastAsia" w:ascii="仿宋" w:hAnsi="仿宋" w:eastAsia="仿宋"/>
          <w:color w:val="auto"/>
          <w:szCs w:val="28"/>
          <w:highlight w:val="none"/>
        </w:rPr>
        <w:t>7.8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1分（响应时须提供相应使用低VOCs 含量的有效证明材料，否则不得分）。</w:t>
      </w:r>
    </w:p>
    <w:p w14:paraId="47DBFA40">
      <w:pPr>
        <w:pStyle w:val="51"/>
        <w:spacing w:line="500" w:lineRule="exact"/>
        <w:ind w:firstLine="560" w:firstLineChars="200"/>
        <w:rPr>
          <w:rFonts w:ascii="仿宋" w:hAnsi="仿宋" w:eastAsia="仿宋"/>
          <w:color w:val="auto"/>
          <w:szCs w:val="28"/>
          <w:highlight w:val="none"/>
        </w:rPr>
      </w:pPr>
      <w:r>
        <w:rPr>
          <w:rFonts w:hint="eastAsia" w:ascii="仿宋" w:hAnsi="仿宋" w:eastAsia="仿宋"/>
          <w:color w:val="auto"/>
          <w:szCs w:val="28"/>
          <w:highlight w:val="none"/>
        </w:rPr>
        <w:t>7.9 商品包装环保要求：应当按《关于印发〈商品包装政府采购需求标准（试行）〉、〈快递包装政府采购需求标准（试行）〉的通知》（财办库〔2020〕123号）文件执行。</w:t>
      </w:r>
    </w:p>
    <w:p w14:paraId="110E1299">
      <w:pPr>
        <w:pStyle w:val="51"/>
        <w:spacing w:line="500" w:lineRule="exact"/>
        <w:ind w:firstLine="560" w:firstLineChars="200"/>
        <w:rPr>
          <w:rFonts w:ascii="仿宋" w:hAnsi="仿宋" w:eastAsia="仿宋"/>
          <w:color w:val="auto"/>
          <w:szCs w:val="28"/>
          <w:highlight w:val="none"/>
        </w:rPr>
      </w:pPr>
      <w:r>
        <w:rPr>
          <w:rFonts w:hint="eastAsia" w:ascii="仿宋" w:hAnsi="仿宋" w:eastAsia="仿宋"/>
          <w:color w:val="auto"/>
          <w:szCs w:val="28"/>
          <w:highlight w:val="none"/>
        </w:rPr>
        <w:t>（1）商品包装层数不得超过 3 层，空隙率不大于 40%；</w:t>
      </w:r>
    </w:p>
    <w:p w14:paraId="4B44B09A">
      <w:pPr>
        <w:pStyle w:val="51"/>
        <w:spacing w:line="500" w:lineRule="exact"/>
        <w:ind w:firstLine="560" w:firstLineChars="200"/>
        <w:rPr>
          <w:rFonts w:ascii="仿宋" w:hAnsi="仿宋" w:eastAsia="仿宋"/>
          <w:color w:val="auto"/>
          <w:szCs w:val="28"/>
          <w:highlight w:val="none"/>
        </w:rPr>
      </w:pPr>
      <w:r>
        <w:rPr>
          <w:rFonts w:hint="eastAsia" w:ascii="仿宋" w:hAnsi="仿宋" w:eastAsia="仿宋"/>
          <w:color w:val="auto"/>
          <w:szCs w:val="28"/>
          <w:highlight w:val="none"/>
        </w:rPr>
        <w:t>（2）商品包装尽可能使用单一材质的包装材料，如因功能需求必需使用不同材质，不同材质间应便于分离；</w:t>
      </w:r>
    </w:p>
    <w:p w14:paraId="459D5063">
      <w:pPr>
        <w:pStyle w:val="51"/>
        <w:spacing w:line="500" w:lineRule="exact"/>
        <w:ind w:firstLine="560" w:firstLineChars="200"/>
        <w:rPr>
          <w:rFonts w:ascii="仿宋" w:hAnsi="仿宋" w:eastAsia="仿宋"/>
          <w:color w:val="auto"/>
          <w:szCs w:val="28"/>
          <w:highlight w:val="none"/>
        </w:rPr>
      </w:pPr>
      <w:r>
        <w:rPr>
          <w:rFonts w:hint="eastAsia" w:ascii="仿宋" w:hAnsi="仿宋" w:eastAsia="仿宋"/>
          <w:color w:val="auto"/>
          <w:szCs w:val="28"/>
          <w:highlight w:val="none"/>
        </w:rPr>
        <w:t>（3）商品包装中铅、汞、镉、六价铬的总含量应不大于100mg/kg；</w:t>
      </w:r>
    </w:p>
    <w:p w14:paraId="7210DDDE">
      <w:pPr>
        <w:pStyle w:val="51"/>
        <w:spacing w:line="500" w:lineRule="exact"/>
        <w:ind w:firstLine="560" w:firstLineChars="200"/>
        <w:rPr>
          <w:rFonts w:ascii="仿宋" w:hAnsi="仿宋" w:eastAsia="仿宋"/>
          <w:color w:val="auto"/>
          <w:szCs w:val="28"/>
          <w:highlight w:val="none"/>
        </w:rPr>
      </w:pPr>
      <w:r>
        <w:rPr>
          <w:rFonts w:hint="eastAsia" w:ascii="仿宋" w:hAnsi="仿宋" w:eastAsia="仿宋"/>
          <w:color w:val="auto"/>
          <w:szCs w:val="28"/>
          <w:highlight w:val="none"/>
        </w:rPr>
        <w:t>（4）商品包装印刷使用的油墨中挥发性有机化合物(VOCs)含量应不大于 5%（以重量计）；</w:t>
      </w:r>
    </w:p>
    <w:p w14:paraId="32638701">
      <w:pPr>
        <w:pStyle w:val="51"/>
        <w:spacing w:line="500" w:lineRule="exact"/>
        <w:ind w:firstLine="560" w:firstLineChars="200"/>
        <w:rPr>
          <w:rFonts w:ascii="仿宋" w:hAnsi="仿宋" w:eastAsia="仿宋"/>
          <w:color w:val="auto"/>
          <w:szCs w:val="28"/>
          <w:highlight w:val="none"/>
        </w:rPr>
      </w:pPr>
      <w:r>
        <w:rPr>
          <w:rFonts w:hint="eastAsia" w:ascii="仿宋" w:hAnsi="仿宋" w:eastAsia="仿宋"/>
          <w:color w:val="auto"/>
          <w:szCs w:val="28"/>
          <w:highlight w:val="none"/>
        </w:rPr>
        <w:t>（5）塑料材质商品包装上呈现的印刷颜色不得超过 6 色；</w:t>
      </w:r>
    </w:p>
    <w:p w14:paraId="6B673282">
      <w:pPr>
        <w:pStyle w:val="51"/>
        <w:spacing w:line="500" w:lineRule="exact"/>
        <w:ind w:firstLine="560" w:firstLineChars="200"/>
        <w:rPr>
          <w:rFonts w:ascii="仿宋" w:hAnsi="仿宋" w:eastAsia="仿宋"/>
          <w:color w:val="auto"/>
          <w:szCs w:val="28"/>
          <w:highlight w:val="none"/>
        </w:rPr>
      </w:pPr>
      <w:r>
        <w:rPr>
          <w:rFonts w:hint="eastAsia" w:ascii="仿宋" w:hAnsi="仿宋" w:eastAsia="仿宋"/>
          <w:color w:val="auto"/>
          <w:szCs w:val="28"/>
          <w:highlight w:val="none"/>
        </w:rPr>
        <w:t>（6）纸质商品包装应使用 75%以上的可再生纤维原料生产；</w:t>
      </w:r>
    </w:p>
    <w:p w14:paraId="7351A9E5">
      <w:pPr>
        <w:pStyle w:val="51"/>
        <w:spacing w:line="500" w:lineRule="exact"/>
        <w:ind w:firstLine="560" w:firstLineChars="200"/>
        <w:rPr>
          <w:rFonts w:ascii="仿宋" w:hAnsi="仿宋" w:eastAsia="仿宋"/>
          <w:color w:val="auto"/>
          <w:szCs w:val="28"/>
          <w:highlight w:val="none"/>
        </w:rPr>
      </w:pPr>
      <w:r>
        <w:rPr>
          <w:rFonts w:hint="eastAsia" w:ascii="仿宋" w:hAnsi="仿宋" w:eastAsia="仿宋"/>
          <w:color w:val="auto"/>
          <w:szCs w:val="28"/>
          <w:highlight w:val="none"/>
        </w:rPr>
        <w:t>（7）木质商品包装的原料应来源于可持续性森林。</w:t>
      </w:r>
    </w:p>
    <w:p w14:paraId="748101B3">
      <w:pPr>
        <w:pStyle w:val="51"/>
        <w:spacing w:line="500" w:lineRule="exact"/>
        <w:ind w:firstLine="560" w:firstLineChars="200"/>
        <w:rPr>
          <w:rFonts w:ascii="仿宋" w:hAnsi="仿宋" w:eastAsia="仿宋"/>
          <w:color w:val="auto"/>
          <w:szCs w:val="28"/>
          <w:highlight w:val="none"/>
        </w:rPr>
      </w:pPr>
      <w:r>
        <w:rPr>
          <w:rFonts w:hint="eastAsia" w:ascii="仿宋" w:hAnsi="仿宋" w:eastAsia="仿宋"/>
          <w:color w:val="auto"/>
          <w:szCs w:val="28"/>
          <w:highlight w:val="none"/>
        </w:rPr>
        <w:t>（响应时供应商提供承诺函，承诺函需对以上要求逐一作出响应。采购人在必要时可要求中标供应商在履约验收环节出具检测报告。）</w:t>
      </w:r>
    </w:p>
    <w:p w14:paraId="60094E10">
      <w:pPr>
        <w:pStyle w:val="51"/>
        <w:spacing w:line="500" w:lineRule="exact"/>
        <w:ind w:firstLine="560" w:firstLineChars="200"/>
        <w:rPr>
          <w:rFonts w:ascii="仿宋" w:hAnsi="仿宋" w:eastAsia="仿宋"/>
          <w:color w:val="auto"/>
          <w:szCs w:val="28"/>
          <w:highlight w:val="none"/>
        </w:rPr>
      </w:pPr>
      <w:r>
        <w:rPr>
          <w:rFonts w:hint="eastAsia" w:ascii="仿宋" w:hAnsi="仿宋" w:eastAsia="仿宋"/>
          <w:color w:val="auto"/>
          <w:szCs w:val="28"/>
          <w:highlight w:val="none"/>
        </w:rPr>
        <w:t>2.快递包装环保要求：</w:t>
      </w:r>
    </w:p>
    <w:p w14:paraId="0446B529">
      <w:pPr>
        <w:pStyle w:val="51"/>
        <w:spacing w:line="500" w:lineRule="exact"/>
        <w:ind w:firstLine="560" w:firstLineChars="200"/>
        <w:rPr>
          <w:rFonts w:ascii="仿宋" w:hAnsi="仿宋" w:eastAsia="仿宋"/>
          <w:color w:val="auto"/>
          <w:szCs w:val="28"/>
          <w:highlight w:val="none"/>
        </w:rPr>
      </w:pPr>
      <w:r>
        <w:rPr>
          <w:rFonts w:hint="eastAsia" w:ascii="仿宋" w:hAnsi="仿宋" w:eastAsia="仿宋"/>
          <w:color w:val="auto"/>
          <w:szCs w:val="28"/>
          <w:highlight w:val="none"/>
        </w:rPr>
        <w:t>（1）快递包装中重金属（铅、汞、镉、六价铬）总量应不大于 100mg/kg；</w:t>
      </w:r>
    </w:p>
    <w:p w14:paraId="51173AE9">
      <w:pPr>
        <w:pStyle w:val="51"/>
        <w:spacing w:line="500" w:lineRule="exact"/>
        <w:ind w:firstLine="560" w:firstLineChars="200"/>
        <w:rPr>
          <w:rFonts w:ascii="仿宋" w:hAnsi="仿宋" w:eastAsia="仿宋"/>
          <w:color w:val="auto"/>
          <w:szCs w:val="28"/>
          <w:highlight w:val="none"/>
        </w:rPr>
      </w:pPr>
      <w:r>
        <w:rPr>
          <w:rFonts w:hint="eastAsia" w:ascii="仿宋" w:hAnsi="仿宋" w:eastAsia="仿宋"/>
          <w:color w:val="auto"/>
          <w:szCs w:val="28"/>
          <w:highlight w:val="none"/>
        </w:rPr>
        <w:t>（2）快递包装印刷使用的油墨中不应添加邻苯二甲酸酯，其挥发性有机化合物(VOCs)含量应不大于5%（以重量计）；</w:t>
      </w:r>
    </w:p>
    <w:p w14:paraId="120356AB">
      <w:pPr>
        <w:pStyle w:val="51"/>
        <w:spacing w:line="500" w:lineRule="exact"/>
        <w:ind w:firstLine="560" w:firstLineChars="200"/>
        <w:rPr>
          <w:rFonts w:ascii="仿宋" w:hAnsi="仿宋" w:eastAsia="仿宋"/>
          <w:color w:val="auto"/>
          <w:szCs w:val="28"/>
          <w:highlight w:val="none"/>
        </w:rPr>
      </w:pPr>
      <w:r>
        <w:rPr>
          <w:rFonts w:hint="eastAsia" w:ascii="仿宋" w:hAnsi="仿宋" w:eastAsia="仿宋"/>
          <w:color w:val="auto"/>
          <w:szCs w:val="28"/>
          <w:highlight w:val="none"/>
        </w:rPr>
        <w:t>（3）快递包装中使用纸基材的包装材料，纸基材中的有机氯的含量应不大于 150 mg/kg；</w:t>
      </w:r>
    </w:p>
    <w:p w14:paraId="4AB0AA1F">
      <w:pPr>
        <w:pStyle w:val="51"/>
        <w:spacing w:line="500" w:lineRule="exact"/>
        <w:ind w:firstLine="560" w:firstLineChars="200"/>
        <w:rPr>
          <w:rFonts w:ascii="仿宋" w:hAnsi="仿宋" w:eastAsia="仿宋"/>
          <w:color w:val="auto"/>
          <w:szCs w:val="28"/>
          <w:highlight w:val="none"/>
        </w:rPr>
      </w:pPr>
      <w:r>
        <w:rPr>
          <w:rFonts w:hint="eastAsia" w:ascii="仿宋" w:hAnsi="仿宋" w:eastAsia="仿宋"/>
          <w:color w:val="auto"/>
          <w:szCs w:val="28"/>
          <w:highlight w:val="none"/>
        </w:rPr>
        <w:t>（4）快递包装中使用塑料基材的包装材料不得使用邻苯二甲酸二异壬酯、邻苯二甲酸二正辛酯、邻苯二甲酸二(2-乙基)己酯、邻苯二甲酸二异癸酯、邻苯二甲酸丁基苄基酯、邻苯二甲酸二丁酯等作为增塑剂；</w:t>
      </w:r>
    </w:p>
    <w:p w14:paraId="3F08BF43">
      <w:pPr>
        <w:pStyle w:val="51"/>
        <w:spacing w:line="500" w:lineRule="exact"/>
        <w:ind w:firstLine="560" w:firstLineChars="200"/>
        <w:rPr>
          <w:rFonts w:ascii="仿宋" w:hAnsi="仿宋" w:eastAsia="仿宋"/>
          <w:color w:val="auto"/>
          <w:szCs w:val="28"/>
          <w:highlight w:val="none"/>
        </w:rPr>
      </w:pPr>
      <w:r>
        <w:rPr>
          <w:rFonts w:hint="eastAsia" w:ascii="仿宋" w:hAnsi="仿宋" w:eastAsia="仿宋"/>
          <w:color w:val="auto"/>
          <w:szCs w:val="28"/>
          <w:highlight w:val="none"/>
        </w:rPr>
        <w:t>（5）快递中使用的塑料包装袋不得使用聚氯乙烯作为原料，且原料应为单一材质制成，生物分解率大于60%；</w:t>
      </w:r>
    </w:p>
    <w:p w14:paraId="503CF9E2">
      <w:pPr>
        <w:pStyle w:val="51"/>
        <w:spacing w:line="500" w:lineRule="exact"/>
        <w:ind w:firstLine="560" w:firstLineChars="200"/>
        <w:rPr>
          <w:rFonts w:ascii="仿宋" w:hAnsi="仿宋" w:eastAsia="仿宋"/>
          <w:color w:val="auto"/>
          <w:szCs w:val="28"/>
          <w:highlight w:val="none"/>
        </w:rPr>
      </w:pPr>
      <w:r>
        <w:rPr>
          <w:rFonts w:hint="eastAsia" w:ascii="仿宋" w:hAnsi="仿宋" w:eastAsia="仿宋"/>
          <w:color w:val="auto"/>
          <w:szCs w:val="28"/>
          <w:highlight w:val="none"/>
        </w:rPr>
        <w:t>（6）快递中使用的充气类填充物不得使用聚氯乙烯作为原料，且原料为单一材质制成，生物分解率大于60%；</w:t>
      </w:r>
    </w:p>
    <w:p w14:paraId="317C1513">
      <w:pPr>
        <w:pStyle w:val="51"/>
        <w:spacing w:line="500" w:lineRule="exact"/>
        <w:ind w:firstLine="560" w:firstLineChars="200"/>
        <w:rPr>
          <w:rFonts w:ascii="仿宋" w:hAnsi="仿宋" w:eastAsia="仿宋"/>
          <w:color w:val="auto"/>
          <w:szCs w:val="28"/>
          <w:highlight w:val="none"/>
        </w:rPr>
      </w:pPr>
      <w:r>
        <w:rPr>
          <w:rFonts w:hint="eastAsia" w:ascii="仿宋" w:hAnsi="仿宋" w:eastAsia="仿宋"/>
          <w:color w:val="auto"/>
          <w:szCs w:val="28"/>
          <w:highlight w:val="none"/>
        </w:rPr>
        <w:t>（7）快递中使用的集装袋应为单一材质制成，其重复使用次数应不小于 80 次；</w:t>
      </w:r>
    </w:p>
    <w:p w14:paraId="294432EC">
      <w:pPr>
        <w:pStyle w:val="51"/>
        <w:spacing w:line="500" w:lineRule="exact"/>
        <w:ind w:firstLine="560" w:firstLineChars="200"/>
        <w:rPr>
          <w:rFonts w:ascii="仿宋" w:hAnsi="仿宋" w:eastAsia="仿宋"/>
          <w:color w:val="auto"/>
          <w:szCs w:val="28"/>
          <w:highlight w:val="none"/>
        </w:rPr>
      </w:pPr>
      <w:r>
        <w:rPr>
          <w:rFonts w:hint="eastAsia" w:ascii="仿宋" w:hAnsi="仿宋" w:eastAsia="仿宋"/>
          <w:color w:val="auto"/>
          <w:szCs w:val="28"/>
          <w:highlight w:val="none"/>
        </w:rPr>
        <w:t>（8）快递中应使用幅宽不大于45mm 的生物降解胶带；</w:t>
      </w:r>
    </w:p>
    <w:p w14:paraId="688BE347">
      <w:pPr>
        <w:pStyle w:val="51"/>
        <w:spacing w:line="500" w:lineRule="exact"/>
        <w:ind w:firstLine="560" w:firstLineChars="200"/>
        <w:rPr>
          <w:rFonts w:ascii="仿宋" w:hAnsi="仿宋" w:eastAsia="仿宋"/>
          <w:color w:val="auto"/>
          <w:szCs w:val="28"/>
          <w:highlight w:val="none"/>
        </w:rPr>
      </w:pPr>
      <w:r>
        <w:rPr>
          <w:rFonts w:hint="eastAsia" w:ascii="仿宋" w:hAnsi="仿宋" w:eastAsia="仿宋"/>
          <w:color w:val="auto"/>
          <w:szCs w:val="28"/>
          <w:highlight w:val="none"/>
        </w:rPr>
        <w:t>（9）快递包装中不得使用溶剂型胶粘剂；</w:t>
      </w:r>
    </w:p>
    <w:p w14:paraId="58927E11">
      <w:pPr>
        <w:pStyle w:val="51"/>
        <w:spacing w:line="500" w:lineRule="exact"/>
        <w:ind w:firstLine="560" w:firstLineChars="200"/>
        <w:rPr>
          <w:rFonts w:ascii="仿宋" w:hAnsi="仿宋" w:eastAsia="仿宋"/>
          <w:color w:val="auto"/>
          <w:szCs w:val="28"/>
          <w:highlight w:val="none"/>
        </w:rPr>
      </w:pPr>
      <w:r>
        <w:rPr>
          <w:rFonts w:hint="eastAsia" w:ascii="仿宋" w:hAnsi="仿宋" w:eastAsia="仿宋"/>
          <w:color w:val="auto"/>
          <w:szCs w:val="28"/>
          <w:highlight w:val="none"/>
        </w:rPr>
        <w:t>（11）快递应使用电子面单；</w:t>
      </w:r>
    </w:p>
    <w:p w14:paraId="07D43929">
      <w:pPr>
        <w:pStyle w:val="51"/>
        <w:spacing w:line="500" w:lineRule="exact"/>
        <w:ind w:firstLine="560" w:firstLineChars="200"/>
        <w:rPr>
          <w:rFonts w:ascii="仿宋" w:hAnsi="仿宋" w:eastAsia="仿宋"/>
          <w:color w:val="auto"/>
          <w:szCs w:val="28"/>
          <w:highlight w:val="none"/>
        </w:rPr>
      </w:pPr>
      <w:r>
        <w:rPr>
          <w:rFonts w:hint="eastAsia" w:ascii="仿宋" w:hAnsi="仿宋" w:eastAsia="仿宋"/>
          <w:color w:val="auto"/>
          <w:szCs w:val="28"/>
          <w:highlight w:val="none"/>
        </w:rPr>
        <w:t>（12）直接使用商品包装作为快递包装的商品，其商品包装满足《商品包装政府采购需求标准（试行）》即可；</w:t>
      </w:r>
    </w:p>
    <w:p w14:paraId="1645460D">
      <w:pPr>
        <w:pStyle w:val="51"/>
        <w:spacing w:line="500" w:lineRule="exact"/>
        <w:ind w:firstLine="560" w:firstLineChars="200"/>
        <w:rPr>
          <w:rFonts w:ascii="仿宋" w:hAnsi="仿宋" w:eastAsia="仿宋"/>
          <w:color w:val="auto"/>
          <w:szCs w:val="28"/>
          <w:highlight w:val="none"/>
        </w:rPr>
      </w:pPr>
      <w:r>
        <w:rPr>
          <w:rFonts w:hint="eastAsia" w:ascii="仿宋" w:hAnsi="仿宋" w:eastAsia="仿宋"/>
          <w:color w:val="auto"/>
          <w:szCs w:val="28"/>
          <w:highlight w:val="none"/>
        </w:rPr>
        <w:t>（13）快递包装产品质量和封装方式应符合相关国家或行业标准技术指标要求。</w:t>
      </w:r>
    </w:p>
    <w:p w14:paraId="01E9C1C9">
      <w:pPr>
        <w:pStyle w:val="51"/>
        <w:spacing w:line="500" w:lineRule="exact"/>
        <w:ind w:firstLine="560" w:firstLineChars="200"/>
        <w:rPr>
          <w:rFonts w:ascii="仿宋" w:hAnsi="仿宋" w:eastAsia="仿宋"/>
          <w:color w:val="auto"/>
          <w:szCs w:val="28"/>
          <w:highlight w:val="none"/>
        </w:rPr>
      </w:pPr>
      <w:r>
        <w:rPr>
          <w:rFonts w:hint="eastAsia" w:ascii="仿宋" w:hAnsi="仿宋" w:eastAsia="仿宋"/>
          <w:color w:val="auto"/>
          <w:szCs w:val="28"/>
          <w:highlight w:val="none"/>
        </w:rPr>
        <w:t>（响应时供应商提供承诺函，承诺函需对以上要求逐一作出响应。采购人在必要时可要求中标供应商在履约验收环节出具检测报告。）</w:t>
      </w:r>
    </w:p>
    <w:p w14:paraId="302892E6">
      <w:pPr>
        <w:pStyle w:val="51"/>
        <w:spacing w:line="500" w:lineRule="exact"/>
        <w:ind w:firstLine="560" w:firstLineChars="200"/>
        <w:rPr>
          <w:rFonts w:ascii="仿宋" w:hAnsi="仿宋" w:eastAsia="仿宋"/>
          <w:color w:val="auto"/>
          <w:szCs w:val="28"/>
          <w:highlight w:val="none"/>
        </w:rPr>
      </w:pPr>
      <w:r>
        <w:rPr>
          <w:rFonts w:hint="eastAsia" w:ascii="仿宋" w:hAnsi="仿宋" w:eastAsia="仿宋"/>
          <w:color w:val="auto"/>
          <w:szCs w:val="28"/>
          <w:highlight w:val="none"/>
        </w:rPr>
        <w:t>7.10 绿色数据中心（如有）</w:t>
      </w:r>
    </w:p>
    <w:p w14:paraId="1183922A">
      <w:pPr>
        <w:pStyle w:val="51"/>
        <w:spacing w:line="500" w:lineRule="exact"/>
        <w:ind w:firstLine="560" w:firstLineChars="200"/>
        <w:rPr>
          <w:rFonts w:ascii="仿宋" w:hAnsi="仿宋" w:eastAsia="仿宋"/>
          <w:color w:val="auto"/>
          <w:szCs w:val="28"/>
          <w:highlight w:val="none"/>
        </w:rPr>
      </w:pPr>
      <w:r>
        <w:rPr>
          <w:rFonts w:hint="eastAsia" w:ascii="仿宋" w:hAnsi="仿宋" w:eastAsia="仿宋"/>
          <w:color w:val="auto"/>
          <w:szCs w:val="28"/>
          <w:highlight w:val="none"/>
        </w:rPr>
        <w:t>（1）采购数据中心相关设备、运维服务，应当有利于节约能源、环境保护和资源循环利用。</w:t>
      </w:r>
    </w:p>
    <w:p w14:paraId="486ADA80">
      <w:pPr>
        <w:pStyle w:val="51"/>
        <w:spacing w:line="500" w:lineRule="exact"/>
        <w:ind w:firstLine="560" w:firstLineChars="200"/>
        <w:rPr>
          <w:rFonts w:ascii="仿宋" w:hAnsi="仿宋" w:eastAsia="仿宋"/>
          <w:color w:val="auto"/>
          <w:szCs w:val="28"/>
          <w:highlight w:val="none"/>
        </w:rPr>
      </w:pPr>
      <w:r>
        <w:rPr>
          <w:rFonts w:hint="eastAsia" w:ascii="仿宋" w:hAnsi="仿宋" w:eastAsia="仿宋"/>
          <w:color w:val="auto"/>
          <w:szCs w:val="28"/>
          <w:highlight w:val="none"/>
        </w:rPr>
        <w:t>（2）采购人在履约验收中对成交供应商提供的产品或服务进行抽查检测，必要时可委托取得相关资质的第三方机构对其进行检测、认证。因检测、认证涉及生产过程或检测时间长等原因，不能在验收过程中开展检测、认证的，供应商应在验收阶段提供相关检测报告、认证报告。</w:t>
      </w:r>
    </w:p>
    <w:p w14:paraId="253D8E91">
      <w:pPr>
        <w:pStyle w:val="51"/>
        <w:spacing w:line="500" w:lineRule="exact"/>
        <w:ind w:firstLine="560" w:firstLineChars="200"/>
        <w:rPr>
          <w:rFonts w:ascii="仿宋" w:hAnsi="仿宋" w:eastAsia="仿宋"/>
          <w:color w:val="auto"/>
          <w:szCs w:val="28"/>
          <w:highlight w:val="none"/>
        </w:rPr>
      </w:pPr>
      <w:r>
        <w:rPr>
          <w:rFonts w:hint="eastAsia" w:ascii="仿宋" w:hAnsi="仿宋" w:eastAsia="仿宋"/>
          <w:color w:val="auto"/>
          <w:szCs w:val="28"/>
          <w:highlight w:val="none"/>
        </w:rPr>
        <w:t>（3）成交供应商未按合同约定提供设备或服务的，采购人依法追究其违约责任。对供应商提供虚假材料谋取中标、成交的，依法由相关部门予以处理。</w:t>
      </w:r>
    </w:p>
    <w:p w14:paraId="292D39E5">
      <w:pPr>
        <w:pStyle w:val="51"/>
        <w:spacing w:line="500" w:lineRule="exact"/>
        <w:ind w:firstLine="560" w:firstLineChars="200"/>
        <w:rPr>
          <w:rFonts w:ascii="仿宋" w:hAnsi="仿宋" w:eastAsia="仿宋"/>
          <w:color w:val="auto"/>
          <w:szCs w:val="28"/>
          <w:highlight w:val="none"/>
        </w:rPr>
      </w:pPr>
      <w:r>
        <w:rPr>
          <w:rFonts w:hint="eastAsia" w:ascii="仿宋" w:hAnsi="仿宋" w:eastAsia="仿宋"/>
          <w:color w:val="auto"/>
          <w:szCs w:val="28"/>
          <w:highlight w:val="none"/>
        </w:rPr>
        <w:t>7.11 低挥发性有机化合物产品：本项目中如有涉及涂料、胶黏剂、油墨、清洗剂等挥发性有机物产品的，属于强制性标准的，供应商应当执行国家和江苏省VOCs含量限制标准。供应商如提供符合推荐性标准的涂料、胶黏剂、油墨、清洗剂等挥发性有机物产品的，予以评审优惠。（最低评标法删除标注内容）在通用类货物、家具、印刷、公务车辆维修等采购项目中，供应商应优先使用低挥发性原辅材料，将使用低VOCs含量的涂料、胶黏剂等纳入合同条款。</w:t>
      </w:r>
    </w:p>
    <w:p w14:paraId="6FDF5E3F">
      <w:pPr>
        <w:pStyle w:val="51"/>
        <w:spacing w:line="500" w:lineRule="exact"/>
        <w:ind w:firstLine="560" w:firstLineChars="200"/>
        <w:rPr>
          <w:rFonts w:ascii="仿宋" w:hAnsi="仿宋" w:eastAsia="仿宋"/>
          <w:color w:val="auto"/>
          <w:szCs w:val="28"/>
          <w:highlight w:val="none"/>
        </w:rPr>
      </w:pPr>
      <w:r>
        <w:rPr>
          <w:rFonts w:hint="eastAsia" w:ascii="仿宋" w:hAnsi="仿宋" w:eastAsia="仿宋"/>
          <w:color w:val="auto"/>
          <w:szCs w:val="28"/>
          <w:highlight w:val="none"/>
        </w:rPr>
        <w:t>7.12 节能环保产品：依据财政部、发展改革委发布的《节能产品政府采购品目清单》，本项目中如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p>
    <w:p w14:paraId="76D77192">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7.13 绿色低碳管理目标和服务要求：在物业、合同能源管理等服务类采购项目中，要强化绿色低碳管理目标和服务要求，促进绿色产品和服务推广应用。</w:t>
      </w:r>
    </w:p>
    <w:p w14:paraId="4FA52CBD">
      <w:pPr>
        <w:spacing w:line="500" w:lineRule="exact"/>
        <w:ind w:firstLine="560" w:firstLineChars="200"/>
        <w:outlineLvl w:val="1"/>
        <w:rPr>
          <w:rFonts w:ascii="黑体" w:hAnsi="黑体" w:eastAsia="黑体"/>
          <w:bCs/>
          <w:color w:val="auto"/>
          <w:sz w:val="28"/>
          <w:szCs w:val="28"/>
          <w:highlight w:val="none"/>
        </w:rPr>
      </w:pPr>
      <w:bookmarkStart w:id="52" w:name="_Toc10282"/>
      <w:r>
        <w:rPr>
          <w:rFonts w:hint="eastAsia" w:ascii="黑体" w:hAnsi="黑体" w:eastAsia="黑体"/>
          <w:bCs/>
          <w:color w:val="auto"/>
          <w:sz w:val="28"/>
          <w:szCs w:val="28"/>
          <w:highlight w:val="none"/>
        </w:rPr>
        <w:t>8.无效响应和磋商活动终止</w:t>
      </w:r>
      <w:bookmarkEnd w:id="52"/>
    </w:p>
    <w:p w14:paraId="518E9E62">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8.1 出现下列情形之一的，作无效响应处理。</w:t>
      </w:r>
      <w:r>
        <w:rPr>
          <w:rFonts w:hint="eastAsia" w:ascii="仿宋" w:hAnsi="仿宋" w:eastAsia="仿宋"/>
          <w:color w:val="auto"/>
          <w:sz w:val="28"/>
          <w:szCs w:val="28"/>
          <w:highlight w:val="none"/>
        </w:rPr>
        <w:tab/>
      </w:r>
      <w:r>
        <w:rPr>
          <w:rFonts w:hint="eastAsia" w:ascii="仿宋" w:hAnsi="仿宋" w:eastAsia="仿宋"/>
          <w:color w:val="auto"/>
          <w:sz w:val="28"/>
          <w:szCs w:val="28"/>
          <w:highlight w:val="none"/>
        </w:rPr>
        <w:tab/>
      </w:r>
    </w:p>
    <w:p w14:paraId="455AA1C1">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8.1.1 不具备竞争性磋商文件中规定的资格要求的。</w:t>
      </w:r>
    </w:p>
    <w:p w14:paraId="398093E9">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8.1.2 最后报价超过了采购预算或最高限价的。</w:t>
      </w:r>
    </w:p>
    <w:p w14:paraId="2B6AD459">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8.1.3 未通过符合性审查的。</w:t>
      </w:r>
    </w:p>
    <w:p w14:paraId="3E9D7FC1">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8.1.4 不符合法律、法规和竞争性磋商文件中规定的其他实质性要求的。</w:t>
      </w:r>
    </w:p>
    <w:p w14:paraId="182735C4">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p>
    <w:p w14:paraId="572A6953">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8.1.6 响应文件含有采购人不能接受的附加条件的。</w:t>
      </w:r>
    </w:p>
    <w:p w14:paraId="0E562870">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8.1.7 本项目采购产品被财政部、国家发改委、生态环境部等列入“节能产品品目清单”、“环境标志产品品目清单”强制采购范围，而供应商的响应产品不在强制采购范围内的。</w:t>
      </w:r>
    </w:p>
    <w:p w14:paraId="640C2851">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8.1.8 响应文件未按照磋商文件要求加盖电子签章。</w:t>
      </w:r>
    </w:p>
    <w:p w14:paraId="2EF53E73">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8.1.9 供应商在系统规定的时间内未成功解密电子响应文件的。</w:t>
      </w:r>
    </w:p>
    <w:p w14:paraId="7FE62EF1">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8.1.10 未完整上传响应文件电子文档的,或上传的文件打不开的。</w:t>
      </w:r>
    </w:p>
    <w:p w14:paraId="774BEBA1">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8.1.11 不同的供应商响应文件制作机器码、文件创建标识码一致的。</w:t>
      </w:r>
    </w:p>
    <w:p w14:paraId="68B189AC">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8.1.12其他法律、法规及本磋商文件规定的属无效响应的情形。</w:t>
      </w:r>
    </w:p>
    <w:p w14:paraId="3EC0F1FC">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8.2 出现下列情形之一的，本次竞争性磋商采购活动将被终止：</w:t>
      </w:r>
    </w:p>
    <w:p w14:paraId="5CEE2273">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8.2.1 </w:t>
      </w:r>
      <w:r>
        <w:rPr>
          <w:rFonts w:ascii="仿宋" w:hAnsi="仿宋" w:eastAsia="仿宋"/>
          <w:color w:val="auto"/>
          <w:sz w:val="28"/>
          <w:szCs w:val="28"/>
          <w:highlight w:val="none"/>
        </w:rPr>
        <w:t>因情况变化，不再符合规定的竞争性</w:t>
      </w:r>
      <w:r>
        <w:rPr>
          <w:rFonts w:hint="eastAsia" w:ascii="仿宋" w:hAnsi="仿宋" w:eastAsia="仿宋"/>
          <w:color w:val="auto"/>
          <w:sz w:val="28"/>
          <w:szCs w:val="28"/>
          <w:highlight w:val="none"/>
        </w:rPr>
        <w:t>磋商</w:t>
      </w:r>
      <w:r>
        <w:rPr>
          <w:rFonts w:ascii="仿宋" w:hAnsi="仿宋" w:eastAsia="仿宋"/>
          <w:color w:val="auto"/>
          <w:sz w:val="28"/>
          <w:szCs w:val="28"/>
          <w:highlight w:val="none"/>
        </w:rPr>
        <w:t>采购方式适用情形的；</w:t>
      </w:r>
    </w:p>
    <w:p w14:paraId="1F87ACBA">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8.2.2 </w:t>
      </w:r>
      <w:r>
        <w:rPr>
          <w:rFonts w:ascii="仿宋" w:hAnsi="仿宋" w:eastAsia="仿宋"/>
          <w:color w:val="auto"/>
          <w:sz w:val="28"/>
          <w:szCs w:val="28"/>
          <w:highlight w:val="none"/>
        </w:rPr>
        <w:t>出现影响采购公正的违法、违规行为的；</w:t>
      </w:r>
    </w:p>
    <w:p w14:paraId="610ED830">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8.2.3 除了市场竞争不充分的科研项目、需要扶持的科技成果转化项目和政府购买服务项目之外，在采购过程中符合要求的供应商或者报价未超过采购预算的供应商不足3家的。</w:t>
      </w:r>
    </w:p>
    <w:p w14:paraId="4A0B1BAA">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8.2.4 对于市场竞争不充分的科研项目、需要扶持的科技成果转化项目或者政府购买服务项目，提交最后报价的供应商不足2家。</w:t>
      </w:r>
    </w:p>
    <w:p w14:paraId="382D53C4">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8.2.5 因重大变故，采购任务取消的。</w:t>
      </w:r>
    </w:p>
    <w:p w14:paraId="4D37D257">
      <w:pPr>
        <w:spacing w:line="500" w:lineRule="exact"/>
        <w:ind w:firstLine="560" w:firstLineChars="200"/>
        <w:outlineLvl w:val="1"/>
        <w:rPr>
          <w:rFonts w:ascii="黑体" w:hAnsi="黑体" w:eastAsia="黑体"/>
          <w:color w:val="auto"/>
          <w:sz w:val="28"/>
          <w:szCs w:val="28"/>
          <w:highlight w:val="none"/>
        </w:rPr>
      </w:pPr>
      <w:bookmarkStart w:id="53" w:name="_Toc3412"/>
      <w:r>
        <w:rPr>
          <w:rFonts w:hint="eastAsia" w:ascii="黑体" w:hAnsi="黑体" w:eastAsia="黑体"/>
          <w:color w:val="auto"/>
          <w:sz w:val="28"/>
          <w:szCs w:val="28"/>
          <w:highlight w:val="none"/>
        </w:rPr>
        <w:t>9. 询问、质疑和投诉</w:t>
      </w:r>
      <w:bookmarkEnd w:id="53"/>
    </w:p>
    <w:p w14:paraId="5ED159A1">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9.1 供应商对政府采购活动事项有疑问的，可以向采购人或者采购代理机构提出询问，采购人或者采购代理机构应当在3个工作日内作出答复。</w:t>
      </w:r>
    </w:p>
    <w:p w14:paraId="1202C40C">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9.2 供应商认为采购文件、采购过程、中标或者成交结果使自己的权益受到损害的，可以在知道或者应知其权益受到损害之日起7个工作日内，以书面形式向采购人、采购代理机构提出质疑。</w:t>
      </w:r>
    </w:p>
    <w:p w14:paraId="0EEC771D">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上述应知其权益受到损害之日，是指：</w:t>
      </w:r>
      <w:r>
        <w:rPr>
          <w:rFonts w:ascii="仿宋" w:hAnsi="仿宋" w:eastAsia="仿宋"/>
          <w:color w:val="auto"/>
          <w:sz w:val="28"/>
          <w:szCs w:val="28"/>
          <w:highlight w:val="none"/>
        </w:rPr>
        <w:t>对可以质疑的</w:t>
      </w:r>
      <w:r>
        <w:rPr>
          <w:rFonts w:hint="eastAsia" w:ascii="仿宋" w:hAnsi="仿宋" w:eastAsia="仿宋"/>
          <w:color w:val="auto"/>
          <w:sz w:val="28"/>
          <w:szCs w:val="28"/>
          <w:highlight w:val="none"/>
        </w:rPr>
        <w:t>招标</w:t>
      </w:r>
      <w:r>
        <w:rPr>
          <w:rFonts w:ascii="仿宋" w:hAnsi="仿宋" w:eastAsia="仿宋"/>
          <w:color w:val="auto"/>
          <w:sz w:val="28"/>
          <w:szCs w:val="28"/>
          <w:highlight w:val="none"/>
        </w:rPr>
        <w:t>文件提出质疑的，为收到</w:t>
      </w:r>
      <w:r>
        <w:rPr>
          <w:rFonts w:hint="eastAsia" w:ascii="仿宋" w:hAnsi="仿宋" w:eastAsia="仿宋"/>
          <w:color w:val="auto"/>
          <w:sz w:val="28"/>
          <w:szCs w:val="28"/>
          <w:highlight w:val="none"/>
        </w:rPr>
        <w:t>招标</w:t>
      </w:r>
      <w:r>
        <w:rPr>
          <w:rFonts w:ascii="仿宋" w:hAnsi="仿宋" w:eastAsia="仿宋"/>
          <w:color w:val="auto"/>
          <w:sz w:val="28"/>
          <w:szCs w:val="28"/>
          <w:highlight w:val="none"/>
        </w:rPr>
        <w:t>文件之日或者</w:t>
      </w:r>
      <w:r>
        <w:rPr>
          <w:rFonts w:hint="eastAsia" w:ascii="仿宋" w:hAnsi="仿宋" w:eastAsia="仿宋"/>
          <w:color w:val="auto"/>
          <w:sz w:val="28"/>
          <w:szCs w:val="28"/>
          <w:highlight w:val="none"/>
        </w:rPr>
        <w:t>招标</w:t>
      </w:r>
      <w:r>
        <w:rPr>
          <w:rFonts w:ascii="仿宋" w:hAnsi="仿宋" w:eastAsia="仿宋"/>
          <w:color w:val="auto"/>
          <w:sz w:val="28"/>
          <w:szCs w:val="28"/>
          <w:highlight w:val="none"/>
        </w:rPr>
        <w:t>文件公告期限届满之日；对采购过程提出质疑的，为各采购程序环节结束之日；对成交结果提出质疑的，为成交结果公告期限届满之日。</w:t>
      </w:r>
    </w:p>
    <w:p w14:paraId="062486D8">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9.3 提出质疑的供应商（以下简称质疑供应商）应当是参与所质疑项目采购活动的供应商。潜在供应商已依法获取其可质疑的采购文件的，可以对该文件提出质疑。项目设立、项目预算、采购方式、组织形式、进口产品核准、采购需求调查过程、专门面向中小企业采购、合同履约等不属于可质疑事项。</w:t>
      </w:r>
    </w:p>
    <w:p w14:paraId="1FA21C1E">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p>
    <w:p w14:paraId="3901965C">
      <w:pPr>
        <w:spacing w:line="500" w:lineRule="exact"/>
        <w:ind w:firstLine="560" w:firstLineChars="200"/>
        <w:rPr>
          <w:rFonts w:ascii="仿宋" w:hAnsi="仿宋" w:eastAsia="仿宋"/>
          <w:b/>
          <w:color w:val="auto"/>
          <w:sz w:val="28"/>
          <w:szCs w:val="28"/>
          <w:highlight w:val="none"/>
        </w:rPr>
      </w:pPr>
      <w:r>
        <w:rPr>
          <w:rFonts w:hint="eastAsia" w:ascii="仿宋" w:hAnsi="仿宋" w:eastAsia="仿宋"/>
          <w:color w:val="auto"/>
          <w:sz w:val="28"/>
          <w:szCs w:val="28"/>
          <w:highlight w:val="none"/>
        </w:rPr>
        <w:t xml:space="preserve">9.5 </w:t>
      </w:r>
      <w:r>
        <w:rPr>
          <w:rFonts w:hint="eastAsia" w:ascii="仿宋" w:hAnsi="仿宋" w:eastAsia="仿宋"/>
          <w:b/>
          <w:color w:val="auto"/>
          <w:sz w:val="28"/>
          <w:szCs w:val="28"/>
          <w:highlight w:val="none"/>
        </w:rPr>
        <w:t>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p>
    <w:p w14:paraId="63BBA5DD">
      <w:pPr>
        <w:spacing w:line="500" w:lineRule="exact"/>
        <w:ind w:firstLine="560" w:firstLineChars="200"/>
        <w:rPr>
          <w:rFonts w:ascii="仿宋" w:hAnsi="仿宋" w:eastAsia="仿宋"/>
          <w:b/>
          <w:color w:val="auto"/>
          <w:sz w:val="28"/>
          <w:szCs w:val="28"/>
          <w:highlight w:val="none"/>
        </w:rPr>
      </w:pPr>
      <w:r>
        <w:rPr>
          <w:rFonts w:hint="eastAsia" w:ascii="仿宋" w:hAnsi="仿宋" w:eastAsia="仿宋"/>
          <w:color w:val="auto"/>
          <w:sz w:val="28"/>
          <w:szCs w:val="28"/>
          <w:highlight w:val="none"/>
        </w:rPr>
        <w:t xml:space="preserve">9.6 </w:t>
      </w:r>
      <w:r>
        <w:rPr>
          <w:rFonts w:hint="eastAsia" w:ascii="仿宋" w:hAnsi="仿宋" w:eastAsia="仿宋"/>
          <w:b/>
          <w:color w:val="auto"/>
          <w:sz w:val="28"/>
          <w:szCs w:val="28"/>
          <w:highlight w:val="none"/>
        </w:rPr>
        <w:t>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color w:val="auto"/>
          <w:sz w:val="28"/>
          <w:szCs w:val="28"/>
          <w:highlight w:val="none"/>
        </w:rPr>
        <w:t>，见磋商文件第</w:t>
      </w:r>
      <w:r>
        <w:rPr>
          <w:rFonts w:hint="eastAsia" w:ascii="仿宋" w:hAnsi="仿宋" w:eastAsia="仿宋"/>
          <w:b/>
          <w:color w:val="auto"/>
          <w:sz w:val="28"/>
          <w:szCs w:val="28"/>
          <w:highlight w:val="none"/>
        </w:rPr>
        <w:t>1</w:t>
      </w:r>
      <w:r>
        <w:rPr>
          <w:rFonts w:ascii="仿宋" w:hAnsi="仿宋" w:eastAsia="仿宋"/>
          <w:b/>
          <w:color w:val="auto"/>
          <w:sz w:val="28"/>
          <w:szCs w:val="28"/>
          <w:highlight w:val="none"/>
        </w:rPr>
        <w:t>章。</w:t>
      </w:r>
    </w:p>
    <w:p w14:paraId="017DC02F">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 </w:t>
      </w:r>
      <w:r>
        <w:rPr>
          <w:rFonts w:ascii="仿宋" w:hAnsi="仿宋" w:eastAsia="仿宋"/>
          <w:color w:val="auto"/>
          <w:sz w:val="28"/>
          <w:szCs w:val="28"/>
          <w:highlight w:val="none"/>
        </w:rPr>
        <w:t>以下情形的质疑不予受理：</w:t>
      </w:r>
    </w:p>
    <w:p w14:paraId="4749C403">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9.7.1 </w:t>
      </w:r>
      <w:r>
        <w:rPr>
          <w:rFonts w:ascii="仿宋" w:hAnsi="仿宋" w:eastAsia="仿宋"/>
          <w:color w:val="auto"/>
          <w:sz w:val="28"/>
          <w:szCs w:val="28"/>
          <w:highlight w:val="none"/>
        </w:rPr>
        <w:t>内容不符合《政府采购质疑和投诉办法》第十二条规定的质疑。</w:t>
      </w:r>
    </w:p>
    <w:p w14:paraId="652B7062">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9.7.2 </w:t>
      </w:r>
      <w:r>
        <w:rPr>
          <w:rFonts w:ascii="仿宋" w:hAnsi="仿宋" w:eastAsia="仿宋"/>
          <w:color w:val="auto"/>
          <w:sz w:val="28"/>
          <w:szCs w:val="28"/>
          <w:highlight w:val="none"/>
        </w:rPr>
        <w:t>超出政府采购法定期限的质疑。</w:t>
      </w:r>
    </w:p>
    <w:p w14:paraId="1E9D7983">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9.7.3</w:t>
      </w:r>
      <w:r>
        <w:rPr>
          <w:rFonts w:ascii="仿宋" w:hAnsi="仿宋" w:eastAsia="仿宋"/>
          <w:color w:val="auto"/>
          <w:sz w:val="28"/>
          <w:szCs w:val="28"/>
          <w:highlight w:val="none"/>
        </w:rPr>
        <w:t>未参加磋商活动的供应商或在磋商活动中自身权益未受到损害的供应商所提出的质疑。</w:t>
      </w:r>
    </w:p>
    <w:p w14:paraId="3E10CC02">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9.7.4 </w:t>
      </w:r>
      <w:r>
        <w:rPr>
          <w:rFonts w:ascii="仿宋" w:hAnsi="仿宋" w:eastAsia="仿宋"/>
          <w:color w:val="auto"/>
          <w:sz w:val="28"/>
          <w:szCs w:val="28"/>
          <w:highlight w:val="none"/>
        </w:rPr>
        <w:t>供应商组成联合体参加磋商活动，联合体中任何一方或多方未按要求签字、盖章、加盖公章的质疑。</w:t>
      </w:r>
    </w:p>
    <w:p w14:paraId="7A56E063">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9.8 </w:t>
      </w:r>
      <w:r>
        <w:rPr>
          <w:rFonts w:ascii="仿宋" w:hAnsi="仿宋" w:eastAsia="仿宋"/>
          <w:color w:val="auto"/>
          <w:sz w:val="28"/>
          <w:szCs w:val="28"/>
          <w:highlight w:val="none"/>
        </w:rPr>
        <w:t>供应商提出书面质疑必须有理、有据，不得捏造事实、提供虚假材料进行恶意质疑。否则，一经查实，</w:t>
      </w:r>
      <w:r>
        <w:rPr>
          <w:rFonts w:hint="eastAsia" w:ascii="仿宋" w:hAnsi="仿宋" w:eastAsia="仿宋"/>
          <w:color w:val="auto"/>
          <w:sz w:val="28"/>
          <w:szCs w:val="28"/>
          <w:highlight w:val="none"/>
        </w:rPr>
        <w:t>采购代理机构</w:t>
      </w:r>
      <w:r>
        <w:rPr>
          <w:rFonts w:ascii="仿宋" w:hAnsi="仿宋" w:eastAsia="仿宋"/>
          <w:color w:val="auto"/>
          <w:sz w:val="28"/>
          <w:szCs w:val="28"/>
          <w:highlight w:val="none"/>
        </w:rPr>
        <w:t>有权依据政府采购的有关规定，报请政府采购监管部门对该供应商进行相应的行政处罚和记录该供应商的失信信息。</w:t>
      </w:r>
    </w:p>
    <w:p w14:paraId="63D828E0">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9.9 质疑函范本</w:t>
      </w:r>
    </w:p>
    <w:p w14:paraId="3FF1EF94">
      <w:pPr>
        <w:spacing w:line="500" w:lineRule="exact"/>
        <w:jc w:val="center"/>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质疑函</w:t>
      </w:r>
    </w:p>
    <w:p w14:paraId="177E69A2">
      <w:pPr>
        <w:adjustRightInd w:val="0"/>
        <w:snapToGrid w:val="0"/>
        <w:spacing w:beforeLines="100" w:line="500" w:lineRule="exact"/>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一、质疑供应商基本信息</w:t>
      </w:r>
    </w:p>
    <w:p w14:paraId="7A979789">
      <w:pPr>
        <w:adjustRightInd w:val="0"/>
        <w:snapToGrid w:val="0"/>
        <w:spacing w:line="500" w:lineRule="exact"/>
        <w:rPr>
          <w:rFonts w:ascii="仿宋" w:hAnsi="仿宋" w:eastAsia="仿宋" w:cs="仿宋"/>
          <w:color w:val="auto"/>
          <w:sz w:val="28"/>
          <w:szCs w:val="28"/>
          <w:highlight w:val="none"/>
          <w:u w:val="dotted"/>
        </w:rPr>
      </w:pPr>
      <w:r>
        <w:rPr>
          <w:rFonts w:hint="eastAsia" w:ascii="仿宋" w:hAnsi="仿宋" w:eastAsia="仿宋" w:cs="仿宋"/>
          <w:color w:val="auto"/>
          <w:sz w:val="28"/>
          <w:szCs w:val="28"/>
          <w:highlight w:val="none"/>
        </w:rPr>
        <w:t>质疑供应商：</w:t>
      </w:r>
    </w:p>
    <w:p w14:paraId="4801AAC1">
      <w:pPr>
        <w:adjustRightInd w:val="0"/>
        <w:snapToGrid w:val="0"/>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地址：邮编：</w:t>
      </w:r>
    </w:p>
    <w:p w14:paraId="16360E29">
      <w:pPr>
        <w:adjustRightInd w:val="0"/>
        <w:snapToGrid w:val="0"/>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联系人：联系电话：</w:t>
      </w:r>
    </w:p>
    <w:p w14:paraId="0DCDA34A">
      <w:pPr>
        <w:adjustRightInd w:val="0"/>
        <w:snapToGrid w:val="0"/>
        <w:spacing w:line="500" w:lineRule="exact"/>
        <w:rPr>
          <w:rFonts w:ascii="仿宋" w:hAnsi="仿宋" w:eastAsia="仿宋" w:cs="仿宋"/>
          <w:color w:val="auto"/>
          <w:sz w:val="28"/>
          <w:szCs w:val="28"/>
          <w:highlight w:val="none"/>
          <w:u w:val="dotted"/>
        </w:rPr>
      </w:pPr>
      <w:r>
        <w:rPr>
          <w:rFonts w:hint="eastAsia" w:ascii="仿宋" w:hAnsi="仿宋" w:eastAsia="仿宋" w:cs="仿宋"/>
          <w:color w:val="auto"/>
          <w:sz w:val="28"/>
          <w:szCs w:val="28"/>
          <w:highlight w:val="none"/>
        </w:rPr>
        <w:t>授权代表：联系电话：</w:t>
      </w:r>
    </w:p>
    <w:p w14:paraId="4F14A77E">
      <w:pPr>
        <w:adjustRightInd w:val="0"/>
        <w:snapToGrid w:val="0"/>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地址：邮编：</w:t>
      </w:r>
    </w:p>
    <w:p w14:paraId="0D2688F8">
      <w:pPr>
        <w:adjustRightInd w:val="0"/>
        <w:snapToGrid w:val="0"/>
        <w:spacing w:line="500" w:lineRule="exact"/>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二、质疑项目基本情况</w:t>
      </w:r>
    </w:p>
    <w:p w14:paraId="58CE4ACE">
      <w:pPr>
        <w:adjustRightInd w:val="0"/>
        <w:snapToGrid w:val="0"/>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质疑项目的名称：</w:t>
      </w:r>
    </w:p>
    <w:p w14:paraId="2EF4C921">
      <w:pPr>
        <w:adjustRightInd w:val="0"/>
        <w:snapToGrid w:val="0"/>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质疑项目的编号：包号：</w:t>
      </w:r>
    </w:p>
    <w:p w14:paraId="75493F30">
      <w:pPr>
        <w:adjustRightInd w:val="0"/>
        <w:snapToGrid w:val="0"/>
        <w:spacing w:line="500" w:lineRule="exact"/>
        <w:rPr>
          <w:rFonts w:ascii="仿宋" w:hAnsi="仿宋" w:eastAsia="仿宋" w:cs="仿宋"/>
          <w:color w:val="auto"/>
          <w:sz w:val="28"/>
          <w:szCs w:val="28"/>
          <w:highlight w:val="none"/>
          <w:u w:val="dotted"/>
        </w:rPr>
      </w:pPr>
      <w:r>
        <w:rPr>
          <w:rFonts w:hint="eastAsia" w:ascii="仿宋" w:hAnsi="仿宋" w:eastAsia="仿宋" w:cs="仿宋"/>
          <w:color w:val="auto"/>
          <w:sz w:val="28"/>
          <w:szCs w:val="28"/>
          <w:highlight w:val="none"/>
        </w:rPr>
        <w:t>采购人名称：</w:t>
      </w:r>
    </w:p>
    <w:p w14:paraId="12126E72">
      <w:pPr>
        <w:adjustRightInd w:val="0"/>
        <w:snapToGrid w:val="0"/>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采购文件获取日期：</w:t>
      </w:r>
    </w:p>
    <w:p w14:paraId="45EA9EA1">
      <w:pPr>
        <w:adjustRightInd w:val="0"/>
        <w:snapToGrid w:val="0"/>
        <w:spacing w:line="500" w:lineRule="exact"/>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三、质疑事项具体内容</w:t>
      </w:r>
    </w:p>
    <w:p w14:paraId="624A6342">
      <w:pPr>
        <w:adjustRightInd w:val="0"/>
        <w:snapToGrid w:val="0"/>
        <w:spacing w:line="500" w:lineRule="exact"/>
        <w:rPr>
          <w:rFonts w:ascii="仿宋" w:hAnsi="仿宋" w:eastAsia="仿宋" w:cs="仿宋"/>
          <w:color w:val="auto"/>
          <w:sz w:val="28"/>
          <w:szCs w:val="28"/>
          <w:highlight w:val="none"/>
          <w:u w:val="dotted"/>
        </w:rPr>
      </w:pPr>
      <w:r>
        <w:rPr>
          <w:rFonts w:hint="eastAsia" w:ascii="仿宋" w:hAnsi="仿宋" w:eastAsia="仿宋" w:cs="仿宋"/>
          <w:color w:val="auto"/>
          <w:sz w:val="28"/>
          <w:szCs w:val="28"/>
          <w:highlight w:val="none"/>
        </w:rPr>
        <w:t>质疑事项1：</w:t>
      </w:r>
    </w:p>
    <w:p w14:paraId="5E0E34A8">
      <w:pPr>
        <w:adjustRightInd w:val="0"/>
        <w:snapToGrid w:val="0"/>
        <w:spacing w:line="500" w:lineRule="exact"/>
        <w:rPr>
          <w:rFonts w:ascii="仿宋" w:hAnsi="仿宋" w:eastAsia="仿宋" w:cs="仿宋"/>
          <w:color w:val="auto"/>
          <w:sz w:val="28"/>
          <w:szCs w:val="28"/>
          <w:highlight w:val="none"/>
          <w:u w:val="dotted"/>
        </w:rPr>
      </w:pPr>
      <w:r>
        <w:rPr>
          <w:rFonts w:hint="eastAsia" w:ascii="仿宋" w:hAnsi="仿宋" w:eastAsia="仿宋" w:cs="仿宋"/>
          <w:color w:val="auto"/>
          <w:sz w:val="28"/>
          <w:szCs w:val="28"/>
          <w:highlight w:val="none"/>
        </w:rPr>
        <w:t>事实依据：</w:t>
      </w:r>
    </w:p>
    <w:p w14:paraId="31EF5E12">
      <w:pPr>
        <w:adjustRightInd w:val="0"/>
        <w:snapToGrid w:val="0"/>
        <w:spacing w:line="500" w:lineRule="exact"/>
        <w:rPr>
          <w:rFonts w:ascii="仿宋" w:hAnsi="仿宋" w:eastAsia="仿宋" w:cs="仿宋"/>
          <w:color w:val="auto"/>
          <w:sz w:val="28"/>
          <w:szCs w:val="28"/>
          <w:highlight w:val="none"/>
        </w:rPr>
      </w:pPr>
    </w:p>
    <w:p w14:paraId="116A6C35">
      <w:pPr>
        <w:adjustRightInd w:val="0"/>
        <w:snapToGrid w:val="0"/>
        <w:spacing w:line="500" w:lineRule="exact"/>
        <w:rPr>
          <w:rFonts w:ascii="仿宋" w:hAnsi="仿宋" w:eastAsia="仿宋" w:cs="仿宋"/>
          <w:color w:val="auto"/>
          <w:sz w:val="28"/>
          <w:szCs w:val="28"/>
          <w:highlight w:val="none"/>
          <w:u w:val="dotted"/>
        </w:rPr>
      </w:pPr>
      <w:r>
        <w:rPr>
          <w:rFonts w:hint="eastAsia" w:ascii="仿宋" w:hAnsi="仿宋" w:eastAsia="仿宋" w:cs="仿宋"/>
          <w:color w:val="auto"/>
          <w:sz w:val="28"/>
          <w:szCs w:val="28"/>
          <w:highlight w:val="none"/>
        </w:rPr>
        <w:t>法律依据：</w:t>
      </w:r>
    </w:p>
    <w:p w14:paraId="3A481A58">
      <w:pPr>
        <w:adjustRightInd w:val="0"/>
        <w:snapToGrid w:val="0"/>
        <w:spacing w:line="500" w:lineRule="exact"/>
        <w:rPr>
          <w:rFonts w:ascii="仿宋" w:hAnsi="仿宋" w:eastAsia="仿宋" w:cs="仿宋"/>
          <w:color w:val="auto"/>
          <w:sz w:val="28"/>
          <w:szCs w:val="28"/>
          <w:highlight w:val="none"/>
          <w:u w:val="dotted"/>
        </w:rPr>
      </w:pPr>
    </w:p>
    <w:p w14:paraId="392E6750">
      <w:pPr>
        <w:adjustRightInd w:val="0"/>
        <w:snapToGrid w:val="0"/>
        <w:spacing w:line="500" w:lineRule="exact"/>
        <w:rPr>
          <w:rFonts w:ascii="仿宋" w:hAnsi="仿宋" w:eastAsia="仿宋" w:cs="仿宋"/>
          <w:color w:val="auto"/>
          <w:sz w:val="28"/>
          <w:szCs w:val="28"/>
          <w:highlight w:val="none"/>
          <w:u w:val="dotted"/>
        </w:rPr>
      </w:pPr>
      <w:r>
        <w:rPr>
          <w:rFonts w:hint="eastAsia" w:ascii="仿宋" w:hAnsi="仿宋" w:eastAsia="仿宋" w:cs="仿宋"/>
          <w:color w:val="auto"/>
          <w:sz w:val="28"/>
          <w:szCs w:val="28"/>
          <w:highlight w:val="none"/>
        </w:rPr>
        <w:t>质疑事项2</w:t>
      </w:r>
    </w:p>
    <w:p w14:paraId="2B513CD7">
      <w:pPr>
        <w:adjustRightInd w:val="0"/>
        <w:snapToGrid w:val="0"/>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w:t>
      </w:r>
    </w:p>
    <w:p w14:paraId="6763009E">
      <w:pPr>
        <w:adjustRightInd w:val="0"/>
        <w:snapToGrid w:val="0"/>
        <w:spacing w:line="500" w:lineRule="exact"/>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四、与质疑事项相关的质疑请求</w:t>
      </w:r>
    </w:p>
    <w:p w14:paraId="5A428B0F">
      <w:pPr>
        <w:adjustRightInd w:val="0"/>
        <w:snapToGrid w:val="0"/>
        <w:spacing w:line="500" w:lineRule="exact"/>
        <w:rPr>
          <w:rFonts w:ascii="仿宋" w:hAnsi="仿宋" w:eastAsia="仿宋" w:cs="仿宋"/>
          <w:color w:val="auto"/>
          <w:sz w:val="28"/>
          <w:szCs w:val="28"/>
          <w:highlight w:val="none"/>
          <w:u w:val="dotted"/>
        </w:rPr>
      </w:pPr>
      <w:r>
        <w:rPr>
          <w:rFonts w:hint="eastAsia" w:ascii="仿宋" w:hAnsi="仿宋" w:eastAsia="仿宋" w:cs="仿宋"/>
          <w:color w:val="auto"/>
          <w:sz w:val="28"/>
          <w:szCs w:val="28"/>
          <w:highlight w:val="none"/>
        </w:rPr>
        <w:t>请求：</w:t>
      </w:r>
    </w:p>
    <w:p w14:paraId="47C78A88">
      <w:pPr>
        <w:spacing w:line="50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签字(签章)：              公章：                      </w:t>
      </w:r>
    </w:p>
    <w:p w14:paraId="7CDEE200">
      <w:pPr>
        <w:spacing w:line="500" w:lineRule="exact"/>
        <w:ind w:right="560" w:firstLine="560" w:firstLineChars="200"/>
        <w:rPr>
          <w:rFonts w:ascii="仿宋" w:hAnsi="仿宋" w:eastAsia="仿宋"/>
          <w:color w:val="auto"/>
          <w:sz w:val="28"/>
          <w:szCs w:val="28"/>
          <w:highlight w:val="none"/>
        </w:rPr>
      </w:pPr>
      <w:r>
        <w:rPr>
          <w:rFonts w:hint="eastAsia" w:ascii="仿宋_GB2312" w:eastAsia="仿宋_GB2312"/>
          <w:color w:val="auto"/>
          <w:sz w:val="28"/>
          <w:szCs w:val="28"/>
          <w:highlight w:val="none"/>
        </w:rPr>
        <w:t>日期：</w:t>
      </w:r>
    </w:p>
    <w:p w14:paraId="349C39C2">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9.10 质疑供应商对采购人、采购代理机构的答复不满意，或者采购人、采购代理机构未在规定时间内作出答复的，可以在答复期满后15个工作日内向财政部门提起投诉。</w:t>
      </w:r>
    </w:p>
    <w:p w14:paraId="0DE64F93">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9.11 投诉人投诉时,应当提交投诉书和必要的证明材料，并按照被投诉采购人、采购代理机构（以下简称被投诉人）和与投诉事项有关的供应商数量提供投诉书的副本。</w:t>
      </w:r>
    </w:p>
    <w:p w14:paraId="373AFDEB">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9.12 </w:t>
      </w:r>
      <w:r>
        <w:rPr>
          <w:rFonts w:ascii="仿宋" w:hAnsi="仿宋" w:eastAsia="仿宋"/>
          <w:color w:val="auto"/>
          <w:sz w:val="28"/>
          <w:szCs w:val="28"/>
          <w:highlight w:val="none"/>
        </w:rPr>
        <w:t>投诉人投诉时,应当提交投诉书和必要的证明材料，并按照被投诉采购人、采购代理机构（以下简称被投诉人）和与投诉事项有关的供应商数量提供投诉书的副本。</w:t>
      </w:r>
      <w:r>
        <w:rPr>
          <w:rFonts w:hint="eastAsia" w:ascii="仿宋" w:hAnsi="仿宋" w:eastAsia="仿宋"/>
          <w:color w:val="auto"/>
          <w:sz w:val="28"/>
          <w:szCs w:val="28"/>
          <w:highlight w:val="none"/>
        </w:rPr>
        <w:t>投诉人为自然人的，应当由本人签字；投诉人为法人或者其他组织的，应当由法定代表人、主要负责人，或者其授权代表签字或者盖章，并加盖公章。投诉书内容详见第9.14条投诉书范本。</w:t>
      </w:r>
    </w:p>
    <w:p w14:paraId="76C3D2CD">
      <w:pPr>
        <w:spacing w:line="500" w:lineRule="exact"/>
        <w:ind w:firstLine="560" w:firstLineChars="200"/>
        <w:jc w:val="left"/>
        <w:rPr>
          <w:rFonts w:ascii="仿宋" w:hAnsi="仿宋" w:eastAsia="仿宋"/>
          <w:color w:val="auto"/>
          <w:sz w:val="28"/>
          <w:szCs w:val="28"/>
          <w:highlight w:val="none"/>
        </w:rPr>
      </w:pPr>
      <w:r>
        <w:rPr>
          <w:rFonts w:hint="eastAsia" w:ascii="仿宋" w:hAnsi="仿宋" w:eastAsia="仿宋"/>
          <w:color w:val="auto"/>
          <w:sz w:val="28"/>
          <w:szCs w:val="28"/>
          <w:highlight w:val="none"/>
        </w:rPr>
        <w:t>9.13 投诉人应当将投诉书送达如皋市财政局政府采购管理科（</w:t>
      </w:r>
      <w:r>
        <w:rPr>
          <w:rFonts w:ascii="仿宋" w:hAnsi="仿宋" w:eastAsia="仿宋"/>
          <w:color w:val="auto"/>
          <w:sz w:val="28"/>
          <w:szCs w:val="28"/>
          <w:highlight w:val="none"/>
        </w:rPr>
        <w:t>如皋市解放路199号，行政中心</w:t>
      </w:r>
      <w:r>
        <w:rPr>
          <w:rFonts w:hint="eastAsia" w:ascii="仿宋" w:hAnsi="仿宋" w:eastAsia="仿宋"/>
          <w:color w:val="auto"/>
          <w:sz w:val="28"/>
          <w:szCs w:val="28"/>
          <w:highlight w:val="none"/>
        </w:rPr>
        <w:t>A座710室，联系电话0513-87623860）。</w:t>
      </w:r>
    </w:p>
    <w:p w14:paraId="47F39C68">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9.14 投诉书范本</w:t>
      </w:r>
    </w:p>
    <w:p w14:paraId="33FF2822">
      <w:pPr>
        <w:spacing w:line="500" w:lineRule="exact"/>
        <w:jc w:val="center"/>
        <w:rPr>
          <w:rFonts w:ascii="宋体" w:hAnsi="宋体"/>
          <w:b/>
          <w:color w:val="auto"/>
          <w:sz w:val="32"/>
          <w:szCs w:val="32"/>
          <w:highlight w:val="none"/>
        </w:rPr>
      </w:pPr>
      <w:r>
        <w:rPr>
          <w:rFonts w:hint="eastAsia" w:ascii="宋体" w:hAnsi="宋体"/>
          <w:b/>
          <w:color w:val="auto"/>
          <w:sz w:val="32"/>
          <w:szCs w:val="32"/>
          <w:highlight w:val="none"/>
        </w:rPr>
        <w:t>投诉书</w:t>
      </w:r>
    </w:p>
    <w:p w14:paraId="3C275B07">
      <w:pPr>
        <w:spacing w:line="500" w:lineRule="exact"/>
        <w:rPr>
          <w:rFonts w:ascii="黑体" w:hAnsi="黑体" w:eastAsia="黑体"/>
          <w:color w:val="auto"/>
          <w:sz w:val="28"/>
          <w:szCs w:val="28"/>
          <w:highlight w:val="none"/>
        </w:rPr>
      </w:pPr>
      <w:r>
        <w:rPr>
          <w:rFonts w:hint="eastAsia" w:ascii="黑体" w:hAnsi="黑体" w:eastAsia="黑体"/>
          <w:color w:val="auto"/>
          <w:sz w:val="28"/>
          <w:szCs w:val="28"/>
          <w:highlight w:val="none"/>
        </w:rPr>
        <w:t>一、投诉相关主体基本情况</w:t>
      </w:r>
    </w:p>
    <w:p w14:paraId="15669522">
      <w:pPr>
        <w:spacing w:line="500" w:lineRule="exact"/>
        <w:rPr>
          <w:rFonts w:ascii="仿宋_GB2312" w:eastAsia="仿宋_GB2312"/>
          <w:color w:val="auto"/>
          <w:sz w:val="28"/>
          <w:szCs w:val="28"/>
          <w:highlight w:val="none"/>
          <w:u w:val="dotted"/>
        </w:rPr>
      </w:pPr>
      <w:r>
        <w:rPr>
          <w:rFonts w:hint="eastAsia" w:ascii="仿宋_GB2312" w:eastAsia="仿宋_GB2312"/>
          <w:color w:val="auto"/>
          <w:sz w:val="28"/>
          <w:szCs w:val="28"/>
          <w:highlight w:val="none"/>
        </w:rPr>
        <w:t>投诉人：</w:t>
      </w:r>
    </w:p>
    <w:p w14:paraId="04410FAF">
      <w:pPr>
        <w:spacing w:line="500" w:lineRule="exact"/>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地     址：邮编：</w:t>
      </w:r>
    </w:p>
    <w:p w14:paraId="691A757E">
      <w:pPr>
        <w:tabs>
          <w:tab w:val="left" w:pos="6510"/>
        </w:tabs>
        <w:spacing w:line="500" w:lineRule="exact"/>
        <w:jc w:val="left"/>
        <w:rPr>
          <w:rFonts w:ascii="仿宋_GB2312" w:eastAsia="仿宋_GB2312"/>
          <w:color w:val="auto"/>
          <w:sz w:val="28"/>
          <w:szCs w:val="28"/>
          <w:highlight w:val="none"/>
        </w:rPr>
      </w:pPr>
      <w:r>
        <w:rPr>
          <w:rFonts w:hint="eastAsia" w:ascii="仿宋_GB2312" w:eastAsia="仿宋_GB2312"/>
          <w:color w:val="auto"/>
          <w:sz w:val="28"/>
          <w:szCs w:val="28"/>
          <w:highlight w:val="none"/>
        </w:rPr>
        <w:t>法定代表人/主要负责人：联系电话：</w:t>
      </w:r>
    </w:p>
    <w:p w14:paraId="56549F4D">
      <w:pPr>
        <w:spacing w:line="500" w:lineRule="exact"/>
        <w:rPr>
          <w:rFonts w:ascii="仿宋_GB2312" w:eastAsia="仿宋_GB2312"/>
          <w:color w:val="auto"/>
          <w:sz w:val="28"/>
          <w:szCs w:val="28"/>
          <w:highlight w:val="none"/>
          <w:u w:val="dotted"/>
        </w:rPr>
      </w:pPr>
      <w:r>
        <w:rPr>
          <w:rFonts w:hint="eastAsia" w:ascii="仿宋_GB2312" w:eastAsia="仿宋_GB2312"/>
          <w:color w:val="auto"/>
          <w:sz w:val="28"/>
          <w:szCs w:val="28"/>
          <w:highlight w:val="none"/>
        </w:rPr>
        <w:t>授权代表：联系电话：</w:t>
      </w:r>
    </w:p>
    <w:p w14:paraId="18950673">
      <w:pPr>
        <w:spacing w:line="500" w:lineRule="exact"/>
        <w:rPr>
          <w:rFonts w:ascii="仿宋_GB2312" w:eastAsia="仿宋_GB2312"/>
          <w:color w:val="auto"/>
          <w:sz w:val="28"/>
          <w:szCs w:val="28"/>
          <w:highlight w:val="none"/>
          <w:u w:val="dotted"/>
        </w:rPr>
      </w:pPr>
      <w:r>
        <w:rPr>
          <w:rFonts w:hint="eastAsia" w:ascii="仿宋_GB2312" w:eastAsia="仿宋_GB2312"/>
          <w:color w:val="auto"/>
          <w:sz w:val="28"/>
          <w:szCs w:val="28"/>
          <w:highlight w:val="none"/>
        </w:rPr>
        <w:t>地     址：邮编：</w:t>
      </w:r>
    </w:p>
    <w:p w14:paraId="60F4CAE6">
      <w:pPr>
        <w:spacing w:line="500" w:lineRule="exact"/>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被投诉人1：</w:t>
      </w:r>
    </w:p>
    <w:p w14:paraId="507E2A23">
      <w:pPr>
        <w:spacing w:line="500" w:lineRule="exact"/>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地     址：邮编：</w:t>
      </w:r>
    </w:p>
    <w:p w14:paraId="492DA0BF">
      <w:pPr>
        <w:spacing w:line="500" w:lineRule="exact"/>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联系人：联系电话：</w:t>
      </w:r>
    </w:p>
    <w:p w14:paraId="7E9FE884">
      <w:pPr>
        <w:spacing w:line="50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被投诉人2</w:t>
      </w:r>
    </w:p>
    <w:p w14:paraId="06A564D6">
      <w:pPr>
        <w:spacing w:line="500" w:lineRule="exact"/>
        <w:rPr>
          <w:rFonts w:ascii="仿宋_GB2312" w:eastAsia="仿宋_GB2312"/>
          <w:color w:val="auto"/>
          <w:sz w:val="28"/>
          <w:szCs w:val="28"/>
          <w:highlight w:val="none"/>
          <w:u w:val="dotted"/>
        </w:rPr>
      </w:pPr>
      <w:r>
        <w:rPr>
          <w:rFonts w:hint="eastAsia" w:ascii="仿宋_GB2312" w:eastAsia="仿宋_GB2312"/>
          <w:color w:val="auto"/>
          <w:sz w:val="28"/>
          <w:szCs w:val="28"/>
          <w:highlight w:val="none"/>
        </w:rPr>
        <w:t>……</w:t>
      </w:r>
    </w:p>
    <w:p w14:paraId="223EDBF0">
      <w:pPr>
        <w:spacing w:line="500" w:lineRule="exact"/>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相关供应商：</w:t>
      </w:r>
    </w:p>
    <w:p w14:paraId="5DAACEA9">
      <w:pPr>
        <w:spacing w:line="500" w:lineRule="exact"/>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地     址：邮编：</w:t>
      </w:r>
    </w:p>
    <w:p w14:paraId="16FEBC06">
      <w:pPr>
        <w:spacing w:line="500" w:lineRule="exact"/>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联系人：联系电话：</w:t>
      </w:r>
    </w:p>
    <w:p w14:paraId="05A1F654">
      <w:pPr>
        <w:spacing w:line="500" w:lineRule="exact"/>
        <w:rPr>
          <w:rFonts w:ascii="黑体" w:hAnsi="黑体" w:eastAsia="黑体"/>
          <w:color w:val="auto"/>
          <w:sz w:val="28"/>
          <w:szCs w:val="28"/>
          <w:highlight w:val="none"/>
        </w:rPr>
      </w:pPr>
      <w:r>
        <w:rPr>
          <w:rFonts w:hint="eastAsia" w:ascii="黑体" w:hAnsi="黑体" w:eastAsia="黑体"/>
          <w:color w:val="auto"/>
          <w:sz w:val="28"/>
          <w:szCs w:val="28"/>
          <w:highlight w:val="none"/>
        </w:rPr>
        <w:t>二、投诉项目基本情况</w:t>
      </w:r>
    </w:p>
    <w:p w14:paraId="52378802">
      <w:pPr>
        <w:spacing w:line="500" w:lineRule="exact"/>
        <w:rPr>
          <w:rFonts w:ascii="仿宋_GB2312" w:eastAsia="仿宋_GB2312"/>
          <w:color w:val="auto"/>
          <w:sz w:val="28"/>
          <w:szCs w:val="28"/>
          <w:highlight w:val="none"/>
          <w:u w:val="dotted"/>
        </w:rPr>
      </w:pPr>
      <w:r>
        <w:rPr>
          <w:rFonts w:hint="eastAsia" w:ascii="仿宋_GB2312" w:eastAsia="仿宋_GB2312"/>
          <w:color w:val="auto"/>
          <w:sz w:val="28"/>
          <w:szCs w:val="28"/>
          <w:highlight w:val="none"/>
        </w:rPr>
        <w:t>采购项目名称：</w:t>
      </w:r>
    </w:p>
    <w:p w14:paraId="2BA47BBC">
      <w:pPr>
        <w:spacing w:line="500" w:lineRule="exact"/>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采购项目编号：包号：</w:t>
      </w:r>
    </w:p>
    <w:p w14:paraId="30270805">
      <w:pPr>
        <w:spacing w:line="50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采购人名称：</w:t>
      </w:r>
    </w:p>
    <w:p w14:paraId="08A090C9">
      <w:pPr>
        <w:spacing w:line="500" w:lineRule="exact"/>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代理机构名称：</w:t>
      </w:r>
    </w:p>
    <w:p w14:paraId="64358493">
      <w:pPr>
        <w:spacing w:line="500" w:lineRule="exact"/>
        <w:rPr>
          <w:rFonts w:ascii="仿宋_GB2312" w:eastAsia="仿宋_GB2312"/>
          <w:color w:val="auto"/>
          <w:sz w:val="28"/>
          <w:szCs w:val="28"/>
          <w:highlight w:val="none"/>
          <w:u w:val="dotted"/>
        </w:rPr>
      </w:pPr>
      <w:r>
        <w:rPr>
          <w:rFonts w:hint="eastAsia" w:ascii="仿宋_GB2312" w:eastAsia="仿宋_GB2312"/>
          <w:color w:val="auto"/>
          <w:sz w:val="28"/>
          <w:szCs w:val="28"/>
          <w:highlight w:val="none"/>
        </w:rPr>
        <w:t>采购文件公告:</w:t>
      </w:r>
      <w:r>
        <w:rPr>
          <w:rFonts w:hint="eastAsia" w:ascii="仿宋_GB2312" w:eastAsia="仿宋_GB2312"/>
          <w:color w:val="auto"/>
          <w:sz w:val="28"/>
          <w:szCs w:val="28"/>
          <w:highlight w:val="none"/>
          <w:u w:val="single"/>
        </w:rPr>
        <w:t xml:space="preserve">是/否 </w:t>
      </w:r>
      <w:r>
        <w:rPr>
          <w:rFonts w:hint="eastAsia" w:ascii="仿宋_GB2312" w:eastAsia="仿宋_GB2312"/>
          <w:color w:val="auto"/>
          <w:sz w:val="28"/>
          <w:szCs w:val="28"/>
          <w:highlight w:val="none"/>
        </w:rPr>
        <w:t>公告期限：</w:t>
      </w:r>
    </w:p>
    <w:p w14:paraId="6CE338EE">
      <w:pPr>
        <w:spacing w:line="500" w:lineRule="exact"/>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采购结果公告:</w:t>
      </w:r>
      <w:r>
        <w:rPr>
          <w:rFonts w:hint="eastAsia" w:ascii="仿宋_GB2312" w:eastAsia="仿宋_GB2312"/>
          <w:color w:val="auto"/>
          <w:sz w:val="28"/>
          <w:szCs w:val="28"/>
          <w:highlight w:val="none"/>
          <w:u w:val="single"/>
        </w:rPr>
        <w:t xml:space="preserve">是/否 </w:t>
      </w:r>
      <w:r>
        <w:rPr>
          <w:rFonts w:hint="eastAsia" w:ascii="仿宋_GB2312" w:eastAsia="仿宋_GB2312"/>
          <w:color w:val="auto"/>
          <w:sz w:val="28"/>
          <w:szCs w:val="28"/>
          <w:highlight w:val="none"/>
        </w:rPr>
        <w:t>公告期限：</w:t>
      </w:r>
    </w:p>
    <w:p w14:paraId="535794BD">
      <w:pPr>
        <w:spacing w:line="500" w:lineRule="exact"/>
        <w:rPr>
          <w:rFonts w:ascii="黑体" w:hAnsi="黑体" w:eastAsia="黑体"/>
          <w:color w:val="auto"/>
          <w:sz w:val="28"/>
          <w:szCs w:val="28"/>
          <w:highlight w:val="none"/>
        </w:rPr>
      </w:pPr>
      <w:r>
        <w:rPr>
          <w:rFonts w:hint="eastAsia" w:ascii="黑体" w:hAnsi="黑体" w:eastAsia="黑体"/>
          <w:color w:val="auto"/>
          <w:sz w:val="28"/>
          <w:szCs w:val="28"/>
          <w:highlight w:val="none"/>
        </w:rPr>
        <w:t>三、质疑基本情况</w:t>
      </w:r>
    </w:p>
    <w:p w14:paraId="0FEA555C">
      <w:pPr>
        <w:spacing w:line="500" w:lineRule="exact"/>
        <w:ind w:firstLine="560" w:firstLineChars="200"/>
        <w:rPr>
          <w:rFonts w:ascii="仿宋_GB2312" w:eastAsia="仿宋_GB2312"/>
          <w:color w:val="auto"/>
          <w:sz w:val="28"/>
          <w:szCs w:val="28"/>
          <w:highlight w:val="none"/>
          <w:u w:val="dotted"/>
        </w:rPr>
      </w:pPr>
      <w:r>
        <w:rPr>
          <w:rFonts w:hint="eastAsia" w:ascii="仿宋_GB2312" w:eastAsia="仿宋_GB2312"/>
          <w:color w:val="auto"/>
          <w:sz w:val="28"/>
          <w:szCs w:val="28"/>
          <w:highlight w:val="none"/>
        </w:rPr>
        <w:t>投诉人于年月日,向提出质疑，质疑事项为：</w:t>
      </w:r>
    </w:p>
    <w:p w14:paraId="0EA52271">
      <w:pPr>
        <w:spacing w:line="500" w:lineRule="exact"/>
        <w:rPr>
          <w:rFonts w:ascii="仿宋_GB2312" w:eastAsia="仿宋_GB2312"/>
          <w:color w:val="auto"/>
          <w:sz w:val="28"/>
          <w:szCs w:val="28"/>
          <w:highlight w:val="none"/>
          <w:u w:val="dotted"/>
        </w:rPr>
      </w:pPr>
    </w:p>
    <w:p w14:paraId="791F4FBE">
      <w:pPr>
        <w:spacing w:line="500" w:lineRule="exact"/>
        <w:ind w:firstLine="420" w:firstLineChars="150"/>
        <w:rPr>
          <w:rFonts w:ascii="仿宋_GB2312" w:eastAsia="仿宋_GB2312"/>
          <w:color w:val="auto"/>
          <w:sz w:val="28"/>
          <w:szCs w:val="28"/>
          <w:highlight w:val="none"/>
        </w:rPr>
      </w:pPr>
      <w:r>
        <w:rPr>
          <w:rFonts w:hint="eastAsia" w:ascii="仿宋_GB2312" w:eastAsia="仿宋_GB2312"/>
          <w:color w:val="auto"/>
          <w:sz w:val="28"/>
          <w:szCs w:val="28"/>
          <w:highlight w:val="none"/>
          <w:u w:val="dotted"/>
        </w:rPr>
        <w:t>采购人/代理机构</w:t>
      </w:r>
      <w:r>
        <w:rPr>
          <w:rFonts w:hint="eastAsia" w:ascii="仿宋_GB2312" w:eastAsia="仿宋_GB2312"/>
          <w:color w:val="auto"/>
          <w:sz w:val="28"/>
          <w:szCs w:val="28"/>
          <w:highlight w:val="none"/>
        </w:rPr>
        <w:t>于年月日,就质疑事项作出了答复/没有在法定期限内作出答复。</w:t>
      </w:r>
    </w:p>
    <w:p w14:paraId="65567CC5">
      <w:pPr>
        <w:spacing w:line="500" w:lineRule="exact"/>
        <w:rPr>
          <w:rFonts w:ascii="黑体" w:hAnsi="黑体" w:eastAsia="黑体"/>
          <w:color w:val="auto"/>
          <w:sz w:val="28"/>
          <w:szCs w:val="28"/>
          <w:highlight w:val="none"/>
        </w:rPr>
      </w:pPr>
      <w:r>
        <w:rPr>
          <w:rFonts w:hint="eastAsia" w:ascii="黑体" w:hAnsi="黑体" w:eastAsia="黑体"/>
          <w:color w:val="auto"/>
          <w:sz w:val="28"/>
          <w:szCs w:val="28"/>
          <w:highlight w:val="none"/>
        </w:rPr>
        <w:t>四、投诉事项具体内容</w:t>
      </w:r>
    </w:p>
    <w:p w14:paraId="06DBA586">
      <w:pPr>
        <w:spacing w:line="500" w:lineRule="exact"/>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投诉事项 1：</w:t>
      </w:r>
    </w:p>
    <w:p w14:paraId="76A20682">
      <w:pPr>
        <w:spacing w:line="50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事实依据：</w:t>
      </w:r>
    </w:p>
    <w:p w14:paraId="7303E080">
      <w:pPr>
        <w:spacing w:line="500" w:lineRule="exact"/>
        <w:rPr>
          <w:rFonts w:ascii="仿宋_GB2312" w:eastAsia="仿宋_GB2312"/>
          <w:color w:val="auto"/>
          <w:sz w:val="28"/>
          <w:szCs w:val="28"/>
          <w:highlight w:val="none"/>
          <w:u w:val="dotted"/>
        </w:rPr>
      </w:pPr>
    </w:p>
    <w:p w14:paraId="6952771F">
      <w:pPr>
        <w:spacing w:line="500" w:lineRule="exact"/>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法律依据：</w:t>
      </w:r>
    </w:p>
    <w:p w14:paraId="333C8787">
      <w:pPr>
        <w:spacing w:line="500" w:lineRule="exact"/>
        <w:rPr>
          <w:rFonts w:ascii="仿宋_GB2312" w:eastAsia="仿宋_GB2312"/>
          <w:color w:val="auto"/>
          <w:sz w:val="28"/>
          <w:szCs w:val="28"/>
          <w:highlight w:val="none"/>
          <w:u w:val="dotted"/>
        </w:rPr>
      </w:pPr>
    </w:p>
    <w:p w14:paraId="17952B0D">
      <w:pPr>
        <w:spacing w:line="50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投诉事项2</w:t>
      </w:r>
    </w:p>
    <w:p w14:paraId="619DDF93">
      <w:pPr>
        <w:spacing w:line="500" w:lineRule="exact"/>
        <w:rPr>
          <w:rFonts w:ascii="仿宋_GB2312" w:eastAsia="仿宋_GB2312"/>
          <w:color w:val="auto"/>
          <w:sz w:val="28"/>
          <w:szCs w:val="28"/>
          <w:highlight w:val="none"/>
          <w:u w:val="dotted"/>
        </w:rPr>
      </w:pPr>
      <w:r>
        <w:rPr>
          <w:rFonts w:hint="eastAsia" w:ascii="仿宋_GB2312" w:eastAsia="仿宋_GB2312"/>
          <w:color w:val="auto"/>
          <w:sz w:val="28"/>
          <w:szCs w:val="28"/>
          <w:highlight w:val="none"/>
        </w:rPr>
        <w:t>……</w:t>
      </w:r>
    </w:p>
    <w:p w14:paraId="7F945ADE">
      <w:pPr>
        <w:spacing w:line="500" w:lineRule="exact"/>
        <w:rPr>
          <w:rFonts w:ascii="黑体" w:hAnsi="黑体" w:eastAsia="黑体"/>
          <w:color w:val="auto"/>
          <w:sz w:val="28"/>
          <w:szCs w:val="28"/>
          <w:highlight w:val="none"/>
        </w:rPr>
      </w:pPr>
      <w:r>
        <w:rPr>
          <w:rFonts w:hint="eastAsia" w:ascii="黑体" w:hAnsi="黑体" w:eastAsia="黑体"/>
          <w:color w:val="auto"/>
          <w:sz w:val="28"/>
          <w:szCs w:val="28"/>
          <w:highlight w:val="none"/>
        </w:rPr>
        <w:t>五、与投诉事项相关的投诉请求</w:t>
      </w:r>
    </w:p>
    <w:p w14:paraId="7C39C55F">
      <w:pPr>
        <w:spacing w:line="50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请求：</w:t>
      </w:r>
    </w:p>
    <w:p w14:paraId="4D8614FD">
      <w:pPr>
        <w:spacing w:line="500" w:lineRule="exact"/>
        <w:rPr>
          <w:rFonts w:ascii="仿宋_GB2312" w:eastAsia="仿宋_GB2312"/>
          <w:color w:val="auto"/>
          <w:sz w:val="28"/>
          <w:szCs w:val="28"/>
          <w:highlight w:val="none"/>
          <w:u w:val="single"/>
        </w:rPr>
      </w:pPr>
    </w:p>
    <w:p w14:paraId="2F02B003">
      <w:pPr>
        <w:spacing w:line="50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签字(签章)：                   公章：                      </w:t>
      </w:r>
    </w:p>
    <w:p w14:paraId="787AE922">
      <w:pPr>
        <w:spacing w:line="500" w:lineRule="exact"/>
        <w:ind w:firstLine="560" w:firstLineChars="200"/>
        <w:rPr>
          <w:rFonts w:ascii="仿宋" w:hAnsi="仿宋" w:eastAsia="仿宋"/>
          <w:color w:val="auto"/>
          <w:sz w:val="28"/>
          <w:szCs w:val="28"/>
          <w:highlight w:val="none"/>
        </w:rPr>
      </w:pPr>
      <w:r>
        <w:rPr>
          <w:rFonts w:hint="eastAsia" w:ascii="仿宋_GB2312" w:eastAsia="仿宋_GB2312"/>
          <w:color w:val="auto"/>
          <w:sz w:val="28"/>
          <w:szCs w:val="28"/>
          <w:highlight w:val="none"/>
        </w:rPr>
        <w:t xml:space="preserve">日期：    </w:t>
      </w:r>
    </w:p>
    <w:p w14:paraId="6D6D759F">
      <w:pPr>
        <w:spacing w:line="500" w:lineRule="exact"/>
        <w:ind w:firstLine="560" w:firstLineChars="200"/>
        <w:jc w:val="left"/>
        <w:outlineLvl w:val="1"/>
        <w:rPr>
          <w:rFonts w:ascii="仿宋" w:hAnsi="仿宋" w:eastAsia="仿宋"/>
          <w:color w:val="auto"/>
          <w:sz w:val="28"/>
          <w:szCs w:val="28"/>
          <w:highlight w:val="none"/>
        </w:rPr>
      </w:pPr>
      <w:bookmarkStart w:id="54" w:name="_Toc32322"/>
      <w:r>
        <w:rPr>
          <w:rFonts w:hint="eastAsia" w:ascii="黑体" w:hAnsi="黑体" w:eastAsia="黑体"/>
          <w:color w:val="auto"/>
          <w:sz w:val="28"/>
          <w:szCs w:val="28"/>
          <w:highlight w:val="none"/>
        </w:rPr>
        <w:t>10. 政府采购合同信用融资扶持政策</w:t>
      </w:r>
      <w:bookmarkEnd w:id="54"/>
    </w:p>
    <w:p w14:paraId="349A1576">
      <w:pPr>
        <w:spacing w:line="500" w:lineRule="exact"/>
        <w:ind w:firstLine="560" w:firstLineChars="200"/>
        <w:jc w:val="left"/>
        <w:rPr>
          <w:rFonts w:ascii="仿宋" w:hAnsi="仿宋" w:eastAsia="仿宋"/>
          <w:color w:val="auto"/>
          <w:sz w:val="28"/>
          <w:szCs w:val="28"/>
          <w:highlight w:val="none"/>
        </w:rPr>
      </w:pPr>
      <w:r>
        <w:rPr>
          <w:rFonts w:hint="eastAsia" w:ascii="仿宋" w:hAnsi="仿宋" w:eastAsia="仿宋"/>
          <w:color w:val="auto"/>
          <w:sz w:val="28"/>
          <w:szCs w:val="28"/>
          <w:highlight w:val="none"/>
        </w:rPr>
        <w:t>10.1 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p>
    <w:p w14:paraId="449F48B9">
      <w:pPr>
        <w:spacing w:line="500" w:lineRule="exact"/>
        <w:ind w:firstLine="560" w:firstLineChars="200"/>
        <w:jc w:val="left"/>
        <w:rPr>
          <w:rFonts w:ascii="仿宋" w:hAnsi="仿宋" w:eastAsia="仿宋"/>
          <w:color w:val="auto"/>
          <w:sz w:val="28"/>
          <w:szCs w:val="28"/>
          <w:highlight w:val="none"/>
        </w:rPr>
      </w:pPr>
      <w:r>
        <w:rPr>
          <w:rFonts w:hint="eastAsia" w:ascii="仿宋" w:hAnsi="仿宋" w:eastAsia="仿宋"/>
          <w:color w:val="auto"/>
          <w:sz w:val="28"/>
          <w:szCs w:val="28"/>
          <w:highlight w:val="none"/>
        </w:rPr>
        <w:t>10.2 成交供应商如需获得合同信用融资支持，可凭政府采购合同办理“政采贷”融资贷款，详情请见南通市政府采购网 “易企服”综合服务平台-金融产品全周期-贷款产品专栏。</w:t>
      </w:r>
    </w:p>
    <w:p w14:paraId="650812DE">
      <w:pPr>
        <w:spacing w:line="500" w:lineRule="exact"/>
        <w:ind w:firstLine="560" w:firstLineChars="200"/>
        <w:outlineLvl w:val="1"/>
        <w:rPr>
          <w:rFonts w:ascii="黑体" w:hAnsi="黑体" w:eastAsia="黑体"/>
          <w:color w:val="auto"/>
          <w:sz w:val="28"/>
          <w:szCs w:val="28"/>
          <w:highlight w:val="none"/>
        </w:rPr>
      </w:pPr>
      <w:bookmarkStart w:id="55" w:name="_Toc4518"/>
      <w:r>
        <w:rPr>
          <w:rFonts w:hint="eastAsia" w:ascii="黑体" w:hAnsi="黑体" w:eastAsia="黑体"/>
          <w:color w:val="auto"/>
          <w:sz w:val="28"/>
          <w:szCs w:val="28"/>
          <w:highlight w:val="none"/>
        </w:rPr>
        <w:t>11. 采购代理服务费</w:t>
      </w:r>
      <w:bookmarkEnd w:id="55"/>
    </w:p>
    <w:p w14:paraId="498DAD4E">
      <w:pPr>
        <w:spacing w:line="500" w:lineRule="exact"/>
        <w:ind w:firstLine="560" w:firstLineChars="200"/>
        <w:jc w:val="left"/>
        <w:rPr>
          <w:rFonts w:ascii="仿宋" w:hAnsi="仿宋" w:eastAsia="仿宋"/>
          <w:color w:val="auto"/>
          <w:sz w:val="28"/>
          <w:szCs w:val="28"/>
          <w:highlight w:val="none"/>
        </w:rPr>
      </w:pPr>
      <w:r>
        <w:rPr>
          <w:rFonts w:hint="eastAsia" w:ascii="仿宋" w:hAnsi="仿宋" w:eastAsia="仿宋"/>
          <w:color w:val="auto"/>
          <w:sz w:val="28"/>
          <w:szCs w:val="28"/>
          <w:highlight w:val="none"/>
        </w:rPr>
        <w:t>11.1采购代理服务费收取标准：采购代理服务费以成交价为基数，采用差额定率累进法（50万元（含）以下部分，费率为1.6%；50万元~ 400万元（含）部分，费率为1.5%；400万元~ 1000万元（含）部分,费率为1.1%；1000万元~ 5000万元（含）部分,费率为0.8%；5000万元~1亿元（含）部分,费率为0.25%；1亿元~10亿元（含）部分,费率为0.05%；10亿元~50亿元（含）部分,费率为0.01%；50亿元以上部分，费率为0.005%）分段计算后汇总*80%，不足叁仟按叁仟元计取，由成交供应商承担。本项目预算中包含此费用，响应供应商在报价中需考虑此费用的代付，采购人不再另行支付。</w:t>
      </w:r>
    </w:p>
    <w:p w14:paraId="31F5F898">
      <w:pPr>
        <w:spacing w:line="500" w:lineRule="exact"/>
        <w:ind w:firstLine="560" w:firstLineChars="200"/>
        <w:jc w:val="left"/>
        <w:rPr>
          <w:rFonts w:ascii="仿宋" w:hAnsi="仿宋" w:eastAsia="仿宋"/>
          <w:color w:val="auto"/>
          <w:sz w:val="28"/>
          <w:szCs w:val="28"/>
          <w:highlight w:val="none"/>
        </w:rPr>
      </w:pPr>
      <w:r>
        <w:rPr>
          <w:rFonts w:hint="eastAsia" w:ascii="仿宋" w:hAnsi="仿宋" w:eastAsia="仿宋"/>
          <w:color w:val="auto"/>
          <w:sz w:val="28"/>
          <w:szCs w:val="28"/>
          <w:highlight w:val="none"/>
        </w:rPr>
        <w:t>11.2 采购代理服务费由成交供应商支付。成交供应商自成交结果公告发布之日起五个工作日内，向采购代理机构支付服务费。</w:t>
      </w:r>
    </w:p>
    <w:p w14:paraId="40ADB538">
      <w:pPr>
        <w:spacing w:line="500" w:lineRule="exact"/>
        <w:ind w:firstLine="560" w:firstLineChars="200"/>
        <w:jc w:val="left"/>
        <w:rPr>
          <w:rFonts w:ascii="仿宋" w:hAnsi="仿宋" w:eastAsia="仿宋"/>
          <w:color w:val="auto"/>
          <w:sz w:val="28"/>
          <w:szCs w:val="28"/>
          <w:highlight w:val="none"/>
        </w:rPr>
      </w:pPr>
      <w:r>
        <w:rPr>
          <w:rFonts w:hint="eastAsia" w:ascii="仿宋" w:hAnsi="仿宋" w:eastAsia="仿宋"/>
          <w:color w:val="auto"/>
          <w:sz w:val="28"/>
          <w:szCs w:val="28"/>
          <w:highlight w:val="none"/>
        </w:rPr>
        <w:t>11.3 采购代理机构账户信息：</w:t>
      </w:r>
    </w:p>
    <w:p w14:paraId="3BAADFA4">
      <w:pPr>
        <w:spacing w:line="500" w:lineRule="exact"/>
        <w:ind w:firstLine="560" w:firstLineChars="200"/>
        <w:jc w:val="left"/>
        <w:rPr>
          <w:rFonts w:ascii="仿宋" w:hAnsi="仿宋" w:eastAsia="仿宋"/>
          <w:color w:val="auto"/>
          <w:sz w:val="28"/>
          <w:szCs w:val="28"/>
          <w:highlight w:val="none"/>
        </w:rPr>
      </w:pPr>
      <w:r>
        <w:rPr>
          <w:rFonts w:hint="eastAsia" w:ascii="仿宋" w:hAnsi="仿宋" w:eastAsia="仿宋"/>
          <w:color w:val="auto"/>
          <w:sz w:val="28"/>
          <w:szCs w:val="28"/>
          <w:highlight w:val="none"/>
        </w:rPr>
        <w:t>11.3.1收款单位名称为：南通中江工程项目管理有限公司第一分公司；</w:t>
      </w:r>
    </w:p>
    <w:p w14:paraId="691A6EFD">
      <w:pPr>
        <w:spacing w:line="500" w:lineRule="exact"/>
        <w:ind w:firstLine="560" w:firstLineChars="200"/>
        <w:jc w:val="left"/>
        <w:rPr>
          <w:rFonts w:ascii="仿宋" w:hAnsi="仿宋" w:eastAsia="仿宋"/>
          <w:color w:val="auto"/>
          <w:sz w:val="28"/>
          <w:szCs w:val="28"/>
          <w:highlight w:val="none"/>
        </w:rPr>
      </w:pPr>
      <w:r>
        <w:rPr>
          <w:rFonts w:hint="eastAsia" w:ascii="仿宋" w:hAnsi="仿宋" w:eastAsia="仿宋"/>
          <w:color w:val="auto"/>
          <w:sz w:val="28"/>
          <w:szCs w:val="28"/>
          <w:highlight w:val="none"/>
        </w:rPr>
        <w:t>11.3.2账户号码：32050164723600006977；</w:t>
      </w:r>
    </w:p>
    <w:p w14:paraId="1CF4F678">
      <w:pPr>
        <w:spacing w:line="500" w:lineRule="exact"/>
        <w:ind w:firstLine="560" w:firstLineChars="200"/>
        <w:jc w:val="left"/>
        <w:rPr>
          <w:rFonts w:ascii="仿宋" w:hAnsi="仿宋" w:eastAsia="仿宋"/>
          <w:color w:val="auto"/>
          <w:sz w:val="28"/>
          <w:szCs w:val="28"/>
          <w:highlight w:val="none"/>
        </w:rPr>
      </w:pPr>
      <w:r>
        <w:rPr>
          <w:rFonts w:hint="eastAsia" w:ascii="仿宋" w:hAnsi="仿宋" w:eastAsia="仿宋"/>
          <w:color w:val="auto"/>
          <w:sz w:val="28"/>
          <w:szCs w:val="28"/>
          <w:highlight w:val="none"/>
        </w:rPr>
        <w:t>11.3.3开户行：建设银行如皋支行，行号：105306200016。</w:t>
      </w:r>
    </w:p>
    <w:bookmarkEnd w:id="6"/>
    <w:p w14:paraId="0C497A4B">
      <w:pPr>
        <w:pStyle w:val="44"/>
        <w:spacing w:line="240" w:lineRule="auto"/>
        <w:ind w:firstLine="0"/>
        <w:jc w:val="center"/>
        <w:outlineLvl w:val="0"/>
        <w:rPr>
          <w:rFonts w:ascii="方正小标宋简体" w:eastAsia="方正小标宋简体"/>
          <w:bCs/>
          <w:color w:val="auto"/>
          <w:sz w:val="32"/>
          <w:szCs w:val="32"/>
          <w:highlight w:val="none"/>
        </w:rPr>
      </w:pPr>
      <w:r>
        <w:rPr>
          <w:rFonts w:ascii="方正小标宋简体" w:eastAsia="方正小标宋简体"/>
          <w:bCs/>
          <w:color w:val="auto"/>
          <w:sz w:val="32"/>
          <w:szCs w:val="32"/>
          <w:highlight w:val="none"/>
        </w:rPr>
        <w:br w:type="page"/>
      </w:r>
      <w:bookmarkStart w:id="56" w:name="_Toc3744"/>
      <w:r>
        <w:rPr>
          <w:rFonts w:hint="eastAsia" w:ascii="方正小标宋简体" w:eastAsia="方正小标宋简体"/>
          <w:bCs/>
          <w:color w:val="auto"/>
          <w:sz w:val="32"/>
          <w:szCs w:val="32"/>
          <w:highlight w:val="none"/>
        </w:rPr>
        <w:t>第3章 采购需求</w:t>
      </w:r>
      <w:bookmarkEnd w:id="56"/>
    </w:p>
    <w:p w14:paraId="3DBA7E87">
      <w:pPr>
        <w:spacing w:line="500" w:lineRule="exact"/>
        <w:ind w:firstLine="562" w:firstLineChars="200"/>
        <w:jc w:val="left"/>
        <w:rPr>
          <w:rFonts w:ascii="仿宋" w:hAnsi="仿宋" w:eastAsia="仿宋"/>
          <w:b/>
          <w:bCs/>
          <w:color w:val="auto"/>
          <w:sz w:val="28"/>
          <w:szCs w:val="28"/>
          <w:highlight w:val="none"/>
        </w:rPr>
      </w:pPr>
      <w:r>
        <w:rPr>
          <w:rFonts w:ascii="仿宋" w:hAnsi="仿宋" w:eastAsia="仿宋"/>
          <w:b/>
          <w:bCs/>
          <w:color w:val="auto"/>
          <w:sz w:val="28"/>
          <w:szCs w:val="28"/>
          <w:highlight w:val="none"/>
        </w:rPr>
        <w:t>供应商在制作</w:t>
      </w:r>
      <w:r>
        <w:rPr>
          <w:rFonts w:hint="eastAsia" w:ascii="仿宋" w:hAnsi="仿宋" w:eastAsia="仿宋"/>
          <w:b/>
          <w:bCs/>
          <w:color w:val="auto"/>
          <w:sz w:val="28"/>
          <w:szCs w:val="28"/>
          <w:highlight w:val="none"/>
        </w:rPr>
        <w:t>响应</w:t>
      </w:r>
      <w:r>
        <w:rPr>
          <w:rFonts w:ascii="仿宋" w:hAnsi="仿宋" w:eastAsia="仿宋"/>
          <w:b/>
          <w:bCs/>
          <w:color w:val="auto"/>
          <w:sz w:val="28"/>
          <w:szCs w:val="28"/>
          <w:highlight w:val="none"/>
        </w:rPr>
        <w:t>文件时仔细研究</w:t>
      </w:r>
      <w:r>
        <w:rPr>
          <w:rFonts w:hint="eastAsia" w:ascii="仿宋" w:hAnsi="仿宋" w:eastAsia="仿宋"/>
          <w:b/>
          <w:bCs/>
          <w:color w:val="auto"/>
          <w:sz w:val="28"/>
          <w:szCs w:val="28"/>
          <w:highlight w:val="none"/>
        </w:rPr>
        <w:t>采购</w:t>
      </w:r>
      <w:r>
        <w:rPr>
          <w:rFonts w:ascii="仿宋" w:hAnsi="仿宋" w:eastAsia="仿宋"/>
          <w:b/>
          <w:bCs/>
          <w:color w:val="auto"/>
          <w:sz w:val="28"/>
          <w:szCs w:val="28"/>
          <w:highlight w:val="none"/>
        </w:rPr>
        <w:t>需求说明。</w:t>
      </w:r>
      <w:r>
        <w:rPr>
          <w:rFonts w:hint="eastAsia" w:ascii="仿宋" w:hAnsi="仿宋" w:eastAsia="仿宋"/>
          <w:b/>
          <w:bCs/>
          <w:color w:val="auto"/>
          <w:sz w:val="28"/>
          <w:szCs w:val="28"/>
          <w:highlight w:val="none"/>
        </w:rPr>
        <w:t>采购</w:t>
      </w:r>
      <w:r>
        <w:rPr>
          <w:rFonts w:ascii="仿宋" w:hAnsi="仿宋" w:eastAsia="仿宋"/>
          <w:b/>
          <w:bCs/>
          <w:color w:val="auto"/>
          <w:sz w:val="28"/>
          <w:szCs w:val="28"/>
          <w:highlight w:val="none"/>
        </w:rPr>
        <w:t>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p w14:paraId="6D4EFB75">
      <w:pPr>
        <w:spacing w:line="500" w:lineRule="exact"/>
        <w:ind w:firstLine="562" w:firstLineChars="200"/>
        <w:jc w:val="left"/>
        <w:rPr>
          <w:rFonts w:ascii="方正小标宋简体" w:eastAsia="方正小标宋简体"/>
          <w:bCs/>
          <w:color w:val="auto"/>
          <w:sz w:val="32"/>
          <w:szCs w:val="32"/>
          <w:highlight w:val="none"/>
        </w:rPr>
      </w:pPr>
      <w:r>
        <w:rPr>
          <w:rFonts w:hint="eastAsia" w:ascii="仿宋" w:hAnsi="仿宋" w:eastAsia="仿宋"/>
          <w:b/>
          <w:bCs/>
          <w:color w:val="auto"/>
          <w:sz w:val="28"/>
          <w:szCs w:val="28"/>
          <w:highlight w:val="none"/>
        </w:rPr>
        <w:t>供</w:t>
      </w:r>
      <w:r>
        <w:rPr>
          <w:rFonts w:ascii="仿宋" w:hAnsi="仿宋" w:eastAsia="仿宋"/>
          <w:b/>
          <w:bCs/>
          <w:color w:val="auto"/>
          <w:sz w:val="28"/>
          <w:szCs w:val="28"/>
          <w:highlight w:val="none"/>
        </w:rPr>
        <w:t>应商不能简单照搬照抄</w:t>
      </w:r>
      <w:r>
        <w:rPr>
          <w:rFonts w:hint="eastAsia" w:ascii="仿宋" w:hAnsi="仿宋" w:eastAsia="仿宋"/>
          <w:b/>
          <w:bCs/>
          <w:color w:val="auto"/>
          <w:sz w:val="28"/>
          <w:szCs w:val="28"/>
          <w:highlight w:val="none"/>
        </w:rPr>
        <w:t>磋商</w:t>
      </w:r>
      <w:r>
        <w:rPr>
          <w:rFonts w:ascii="仿宋" w:hAnsi="仿宋" w:eastAsia="仿宋"/>
          <w:b/>
          <w:bCs/>
          <w:color w:val="auto"/>
          <w:sz w:val="28"/>
          <w:szCs w:val="28"/>
          <w:highlight w:val="none"/>
        </w:rPr>
        <w:t>文件项目需求说明中的技术、商务要求，必须作实事求是的响应。如响应供应商提供的货物和服务同</w:t>
      </w:r>
      <w:r>
        <w:rPr>
          <w:rFonts w:hint="eastAsia" w:ascii="仿宋" w:hAnsi="仿宋" w:eastAsia="仿宋"/>
          <w:b/>
          <w:bCs/>
          <w:color w:val="auto"/>
          <w:sz w:val="28"/>
          <w:szCs w:val="28"/>
          <w:highlight w:val="none"/>
        </w:rPr>
        <w:t>采购人</w:t>
      </w:r>
      <w:r>
        <w:rPr>
          <w:rFonts w:ascii="仿宋" w:hAnsi="仿宋" w:eastAsia="仿宋"/>
          <w:b/>
          <w:bCs/>
          <w:color w:val="auto"/>
          <w:sz w:val="28"/>
          <w:szCs w:val="28"/>
          <w:highlight w:val="none"/>
        </w:rPr>
        <w:t>提出的项目需求说明中的技术、商务要求不同的，必须在《商务部分正负偏离表》和《技术部分正负偏离表》上明示</w:t>
      </w:r>
      <w:r>
        <w:rPr>
          <w:rFonts w:hint="eastAsia" w:ascii="仿宋" w:hAnsi="仿宋" w:eastAsia="仿宋"/>
          <w:b/>
          <w:bCs/>
          <w:color w:val="auto"/>
          <w:sz w:val="28"/>
          <w:szCs w:val="28"/>
          <w:highlight w:val="none"/>
        </w:rPr>
        <w:t>。</w:t>
      </w:r>
    </w:p>
    <w:p w14:paraId="7E6EA957">
      <w:pPr>
        <w:numPr>
          <w:ilvl w:val="0"/>
          <w:numId w:val="1"/>
        </w:numPr>
        <w:spacing w:line="500" w:lineRule="exact"/>
        <w:ind w:firstLine="560" w:firstLineChars="200"/>
        <w:outlineLvl w:val="1"/>
        <w:rPr>
          <w:rFonts w:ascii="黑体" w:hAnsi="黑体" w:eastAsia="黑体"/>
          <w:color w:val="auto"/>
          <w:sz w:val="28"/>
          <w:szCs w:val="28"/>
          <w:highlight w:val="none"/>
        </w:rPr>
      </w:pPr>
      <w:bookmarkStart w:id="57" w:name="_Toc30004"/>
      <w:r>
        <w:rPr>
          <w:rFonts w:hint="eastAsia" w:ascii="黑体" w:hAnsi="黑体" w:eastAsia="黑体"/>
          <w:color w:val="auto"/>
          <w:sz w:val="28"/>
          <w:szCs w:val="28"/>
          <w:highlight w:val="none"/>
        </w:rPr>
        <w:t>项目简介</w:t>
      </w:r>
      <w:bookmarkEnd w:id="57"/>
    </w:p>
    <w:p w14:paraId="42953C17">
      <w:pPr>
        <w:spacing w:line="50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为深入推进我市大气污染防治攻坚战，采取更加精细化、更有效的措施和手段，实现精准分析和科学防治，进一步完善我市大气环境监测监控网络，提高重点区域精准监管效能，现需开展2026年全市大气污染精准溯源服务。 </w:t>
      </w:r>
    </w:p>
    <w:p w14:paraId="03128C7D">
      <w:pPr>
        <w:spacing w:line="500" w:lineRule="exact"/>
        <w:ind w:firstLine="560" w:firstLineChars="200"/>
        <w:outlineLvl w:val="1"/>
        <w:rPr>
          <w:rFonts w:ascii="黑体" w:hAnsi="黑体" w:eastAsia="黑体"/>
          <w:color w:val="auto"/>
          <w:sz w:val="28"/>
          <w:szCs w:val="28"/>
          <w:highlight w:val="none"/>
        </w:rPr>
      </w:pPr>
      <w:bookmarkStart w:id="58" w:name="_Toc24604"/>
      <w:r>
        <w:rPr>
          <w:rFonts w:hint="eastAsia" w:ascii="黑体" w:hAnsi="黑体" w:eastAsia="黑体"/>
          <w:color w:val="auto"/>
          <w:sz w:val="28"/>
          <w:szCs w:val="28"/>
          <w:highlight w:val="none"/>
        </w:rPr>
        <w:t>二、采购内容</w:t>
      </w:r>
      <w:bookmarkEnd w:id="58"/>
    </w:p>
    <w:p w14:paraId="7BA82C51">
      <w:pPr>
        <w:spacing w:line="50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大气污染精准溯源服务包括：网格化微站数据服务、臭氧及颗粒物监测服务、大气精准管控综合驻场服务和无人机监测服务。具体如下：</w:t>
      </w:r>
    </w:p>
    <w:p w14:paraId="0040F218">
      <w:pPr>
        <w:pStyle w:val="52"/>
        <w:spacing w:line="560" w:lineRule="exact"/>
        <w:ind w:firstLine="640"/>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（一）服务需求清单</w:t>
      </w:r>
    </w:p>
    <w:tbl>
      <w:tblPr>
        <w:tblStyle w:val="2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9"/>
        <w:gridCol w:w="1256"/>
        <w:gridCol w:w="4153"/>
        <w:gridCol w:w="1486"/>
        <w:gridCol w:w="1806"/>
      </w:tblGrid>
      <w:tr w14:paraId="6FF94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4" w:type="pct"/>
            <w:vAlign w:val="center"/>
          </w:tcPr>
          <w:p w14:paraId="66837BA1">
            <w:pPr>
              <w:jc w:val="center"/>
              <w:rPr>
                <w:rFonts w:ascii="仿宋" w:hAnsi="仿宋" w:eastAsia="仿宋" w:cs="仿宋"/>
                <w:color w:val="auto"/>
                <w:sz w:val="24"/>
                <w:highlight w:val="none"/>
              </w:rPr>
            </w:pPr>
            <w:r>
              <w:rPr>
                <w:rFonts w:hint="eastAsia" w:ascii="仿宋" w:hAnsi="仿宋" w:eastAsia="仿宋" w:cs="仿宋"/>
                <w:color w:val="auto"/>
                <w:sz w:val="24"/>
                <w:highlight w:val="none"/>
              </w:rPr>
              <w:t>序号</w:t>
            </w:r>
          </w:p>
        </w:tc>
        <w:tc>
          <w:tcPr>
            <w:tcW w:w="656" w:type="pct"/>
            <w:vAlign w:val="center"/>
          </w:tcPr>
          <w:p w14:paraId="30C8221C">
            <w:pPr>
              <w:jc w:val="center"/>
              <w:rPr>
                <w:rFonts w:ascii="仿宋" w:hAnsi="仿宋" w:eastAsia="仿宋" w:cs="仿宋"/>
                <w:color w:val="auto"/>
                <w:sz w:val="24"/>
                <w:highlight w:val="none"/>
              </w:rPr>
            </w:pPr>
            <w:r>
              <w:rPr>
                <w:rFonts w:hint="eastAsia" w:ascii="仿宋" w:hAnsi="仿宋" w:eastAsia="仿宋" w:cs="仿宋"/>
                <w:color w:val="auto"/>
                <w:sz w:val="24"/>
                <w:highlight w:val="none"/>
              </w:rPr>
              <w:t>服务名称</w:t>
            </w:r>
          </w:p>
        </w:tc>
        <w:tc>
          <w:tcPr>
            <w:tcW w:w="2169" w:type="pct"/>
            <w:vAlign w:val="center"/>
          </w:tcPr>
          <w:p w14:paraId="6C18A4D8">
            <w:pPr>
              <w:jc w:val="center"/>
              <w:rPr>
                <w:rFonts w:ascii="仿宋" w:hAnsi="仿宋" w:eastAsia="仿宋" w:cs="仿宋"/>
                <w:color w:val="auto"/>
                <w:sz w:val="24"/>
                <w:highlight w:val="none"/>
              </w:rPr>
            </w:pPr>
            <w:r>
              <w:rPr>
                <w:rFonts w:hint="eastAsia" w:ascii="仿宋" w:hAnsi="仿宋" w:eastAsia="仿宋" w:cs="仿宋"/>
                <w:color w:val="auto"/>
                <w:sz w:val="24"/>
                <w:highlight w:val="none"/>
              </w:rPr>
              <w:t>服务内容</w:t>
            </w:r>
          </w:p>
        </w:tc>
        <w:tc>
          <w:tcPr>
            <w:tcW w:w="776" w:type="pct"/>
            <w:vAlign w:val="center"/>
          </w:tcPr>
          <w:p w14:paraId="75CBBEF9">
            <w:pPr>
              <w:jc w:val="center"/>
              <w:rPr>
                <w:rFonts w:ascii="仿宋" w:hAnsi="仿宋" w:eastAsia="仿宋" w:cs="仿宋"/>
                <w:color w:val="auto"/>
                <w:sz w:val="24"/>
                <w:highlight w:val="none"/>
              </w:rPr>
            </w:pPr>
            <w:r>
              <w:rPr>
                <w:rFonts w:hint="eastAsia" w:ascii="仿宋" w:hAnsi="仿宋" w:eastAsia="仿宋" w:cs="仿宋"/>
                <w:color w:val="auto"/>
                <w:sz w:val="24"/>
                <w:highlight w:val="none"/>
              </w:rPr>
              <w:t>工作量</w:t>
            </w:r>
          </w:p>
        </w:tc>
        <w:tc>
          <w:tcPr>
            <w:tcW w:w="943" w:type="pct"/>
            <w:vAlign w:val="center"/>
          </w:tcPr>
          <w:p w14:paraId="6D0013DB">
            <w:pPr>
              <w:jc w:val="center"/>
              <w:rPr>
                <w:rFonts w:ascii="仿宋" w:hAnsi="仿宋" w:eastAsia="仿宋" w:cs="仿宋"/>
                <w:color w:val="auto"/>
                <w:sz w:val="24"/>
                <w:highlight w:val="none"/>
              </w:rPr>
            </w:pPr>
            <w:r>
              <w:rPr>
                <w:rFonts w:hint="eastAsia" w:ascii="仿宋" w:hAnsi="仿宋" w:eastAsia="仿宋" w:cs="仿宋"/>
                <w:color w:val="auto"/>
                <w:sz w:val="24"/>
                <w:highlight w:val="none"/>
              </w:rPr>
              <w:t>备注</w:t>
            </w:r>
          </w:p>
        </w:tc>
      </w:tr>
      <w:tr w14:paraId="3A4A4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4" w:type="pct"/>
            <w:vMerge w:val="restart"/>
            <w:vAlign w:val="center"/>
          </w:tcPr>
          <w:p w14:paraId="0F9FD5CC">
            <w:pPr>
              <w:jc w:val="center"/>
              <w:rPr>
                <w:rFonts w:ascii="仿宋" w:hAnsi="仿宋" w:eastAsia="仿宋" w:cs="仿宋"/>
                <w:color w:val="auto"/>
                <w:sz w:val="24"/>
                <w:highlight w:val="none"/>
              </w:rPr>
            </w:pPr>
            <w:r>
              <w:rPr>
                <w:rFonts w:hint="eastAsia" w:ascii="仿宋" w:hAnsi="仿宋" w:eastAsia="仿宋" w:cs="仿宋"/>
                <w:color w:val="auto"/>
                <w:sz w:val="24"/>
                <w:highlight w:val="none"/>
              </w:rPr>
              <w:t>1</w:t>
            </w:r>
          </w:p>
        </w:tc>
        <w:tc>
          <w:tcPr>
            <w:tcW w:w="656" w:type="pct"/>
            <w:vMerge w:val="restart"/>
            <w:vAlign w:val="center"/>
          </w:tcPr>
          <w:p w14:paraId="113D6672">
            <w:pPr>
              <w:jc w:val="center"/>
              <w:rPr>
                <w:rFonts w:ascii="仿宋" w:hAnsi="仿宋" w:eastAsia="仿宋" w:cs="仿宋"/>
                <w:color w:val="auto"/>
                <w:sz w:val="24"/>
                <w:highlight w:val="none"/>
              </w:rPr>
            </w:pPr>
            <w:r>
              <w:rPr>
                <w:rFonts w:hint="eastAsia" w:ascii="仿宋" w:hAnsi="仿宋" w:eastAsia="仿宋" w:cs="仿宋"/>
                <w:color w:val="auto"/>
                <w:sz w:val="24"/>
                <w:highlight w:val="none"/>
              </w:rPr>
              <w:t>网格化微站数据服务</w:t>
            </w:r>
          </w:p>
        </w:tc>
        <w:tc>
          <w:tcPr>
            <w:tcW w:w="2169" w:type="pct"/>
            <w:vAlign w:val="center"/>
          </w:tcPr>
          <w:p w14:paraId="6FF10970">
            <w:pPr>
              <w:rPr>
                <w:rFonts w:ascii="仿宋" w:hAnsi="仿宋" w:eastAsia="仿宋" w:cs="仿宋"/>
                <w:color w:val="auto"/>
                <w:sz w:val="24"/>
                <w:highlight w:val="none"/>
              </w:rPr>
            </w:pPr>
            <w:r>
              <w:rPr>
                <w:rFonts w:hint="eastAsia" w:ascii="仿宋" w:hAnsi="仿宋" w:eastAsia="仿宋" w:cs="仿宋"/>
                <w:color w:val="auto"/>
                <w:sz w:val="24"/>
                <w:highlight w:val="none"/>
              </w:rPr>
              <w:t>省控站周边重点区域重点企业监测数据服务。监测指标包括TVOC</w:t>
            </w:r>
          </w:p>
        </w:tc>
        <w:tc>
          <w:tcPr>
            <w:tcW w:w="776" w:type="pct"/>
            <w:vAlign w:val="center"/>
          </w:tcPr>
          <w:p w14:paraId="00C5CBEF">
            <w:pPr>
              <w:jc w:val="center"/>
              <w:rPr>
                <w:rFonts w:ascii="仿宋" w:hAnsi="仿宋" w:eastAsia="仿宋" w:cs="仿宋"/>
                <w:color w:val="auto"/>
                <w:sz w:val="24"/>
                <w:highlight w:val="none"/>
              </w:rPr>
            </w:pPr>
            <w:r>
              <w:rPr>
                <w:rFonts w:hint="eastAsia" w:ascii="仿宋" w:hAnsi="仿宋" w:eastAsia="仿宋" w:cs="仿宋"/>
                <w:color w:val="auto"/>
                <w:sz w:val="24"/>
                <w:highlight w:val="none"/>
              </w:rPr>
              <w:t>21台</w:t>
            </w:r>
          </w:p>
        </w:tc>
        <w:tc>
          <w:tcPr>
            <w:tcW w:w="943" w:type="pct"/>
            <w:vMerge w:val="restart"/>
            <w:vAlign w:val="center"/>
          </w:tcPr>
          <w:p w14:paraId="5E690065">
            <w:pPr>
              <w:jc w:val="center"/>
              <w:rPr>
                <w:rFonts w:ascii="仿宋" w:hAnsi="仿宋" w:eastAsia="仿宋" w:cs="仿宋"/>
                <w:color w:val="auto"/>
                <w:sz w:val="24"/>
                <w:highlight w:val="none"/>
              </w:rPr>
            </w:pPr>
          </w:p>
        </w:tc>
      </w:tr>
      <w:tr w14:paraId="32EA1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454" w:type="pct"/>
            <w:vMerge w:val="continue"/>
            <w:vAlign w:val="center"/>
          </w:tcPr>
          <w:p w14:paraId="3B75D237">
            <w:pPr>
              <w:ind w:firstLine="480"/>
              <w:jc w:val="center"/>
              <w:rPr>
                <w:rFonts w:ascii="仿宋" w:hAnsi="仿宋" w:eastAsia="仿宋" w:cs="仿宋"/>
                <w:color w:val="auto"/>
                <w:sz w:val="24"/>
                <w:highlight w:val="none"/>
              </w:rPr>
            </w:pPr>
          </w:p>
        </w:tc>
        <w:tc>
          <w:tcPr>
            <w:tcW w:w="656" w:type="pct"/>
            <w:vMerge w:val="continue"/>
            <w:vAlign w:val="center"/>
          </w:tcPr>
          <w:p w14:paraId="6CF0AC5C">
            <w:pPr>
              <w:ind w:firstLine="480"/>
              <w:jc w:val="center"/>
              <w:rPr>
                <w:rFonts w:ascii="仿宋" w:hAnsi="仿宋" w:eastAsia="仿宋" w:cs="仿宋"/>
                <w:color w:val="auto"/>
                <w:sz w:val="24"/>
                <w:highlight w:val="none"/>
              </w:rPr>
            </w:pPr>
          </w:p>
        </w:tc>
        <w:tc>
          <w:tcPr>
            <w:tcW w:w="2169" w:type="pct"/>
            <w:vAlign w:val="center"/>
          </w:tcPr>
          <w:p w14:paraId="42CEE720">
            <w:pPr>
              <w:rPr>
                <w:rFonts w:ascii="仿宋" w:hAnsi="仿宋" w:eastAsia="仿宋" w:cs="仿宋"/>
                <w:color w:val="auto"/>
                <w:sz w:val="24"/>
                <w:highlight w:val="none"/>
              </w:rPr>
            </w:pPr>
            <w:r>
              <w:rPr>
                <w:rFonts w:hint="eastAsia" w:ascii="仿宋" w:hAnsi="仿宋" w:eastAsia="仿宋" w:cs="仿宋"/>
                <w:color w:val="auto"/>
                <w:sz w:val="24"/>
                <w:highlight w:val="none"/>
              </w:rPr>
              <w:t>省控站点加密监测服务。省控站周边重点区域监测数据服务。监测指标包括PM</w:t>
            </w:r>
            <w:r>
              <w:rPr>
                <w:rFonts w:hint="eastAsia" w:ascii="仿宋" w:hAnsi="仿宋" w:eastAsia="仿宋" w:cs="仿宋"/>
                <w:color w:val="auto"/>
                <w:sz w:val="24"/>
                <w:highlight w:val="none"/>
                <w:vertAlign w:val="subscript"/>
              </w:rPr>
              <w:t>2.5</w:t>
            </w:r>
            <w:r>
              <w:rPr>
                <w:rFonts w:hint="eastAsia" w:ascii="仿宋" w:hAnsi="仿宋" w:eastAsia="仿宋" w:cs="仿宋"/>
                <w:color w:val="auto"/>
                <w:sz w:val="24"/>
                <w:highlight w:val="none"/>
              </w:rPr>
              <w:t>、PM</w:t>
            </w:r>
            <w:r>
              <w:rPr>
                <w:rFonts w:hint="eastAsia" w:ascii="仿宋" w:hAnsi="仿宋" w:eastAsia="仿宋" w:cs="仿宋"/>
                <w:color w:val="auto"/>
                <w:sz w:val="24"/>
                <w:highlight w:val="none"/>
                <w:vertAlign w:val="subscript"/>
              </w:rPr>
              <w:t>10</w:t>
            </w:r>
            <w:r>
              <w:rPr>
                <w:rFonts w:hint="eastAsia" w:ascii="仿宋" w:hAnsi="仿宋" w:eastAsia="仿宋" w:cs="仿宋"/>
                <w:color w:val="auto"/>
                <w:sz w:val="24"/>
                <w:highlight w:val="none"/>
              </w:rPr>
              <w:t>、NO</w:t>
            </w:r>
            <w:r>
              <w:rPr>
                <w:rFonts w:hint="eastAsia" w:ascii="仿宋" w:hAnsi="仿宋" w:eastAsia="仿宋" w:cs="仿宋"/>
                <w:color w:val="auto"/>
                <w:sz w:val="24"/>
                <w:highlight w:val="none"/>
                <w:vertAlign w:val="subscript"/>
              </w:rPr>
              <w:t>2</w:t>
            </w:r>
            <w:r>
              <w:rPr>
                <w:rFonts w:hint="eastAsia" w:ascii="仿宋" w:hAnsi="仿宋" w:eastAsia="仿宋" w:cs="仿宋"/>
                <w:color w:val="auto"/>
                <w:sz w:val="24"/>
                <w:highlight w:val="none"/>
              </w:rPr>
              <w:t>、SO</w:t>
            </w:r>
            <w:r>
              <w:rPr>
                <w:rFonts w:hint="eastAsia" w:ascii="仿宋" w:hAnsi="仿宋" w:eastAsia="仿宋" w:cs="仿宋"/>
                <w:color w:val="auto"/>
                <w:sz w:val="24"/>
                <w:highlight w:val="none"/>
                <w:vertAlign w:val="subscript"/>
              </w:rPr>
              <w:t>2</w:t>
            </w:r>
            <w:r>
              <w:rPr>
                <w:rFonts w:hint="eastAsia" w:ascii="仿宋" w:hAnsi="仿宋" w:eastAsia="仿宋" w:cs="仿宋"/>
                <w:color w:val="auto"/>
                <w:sz w:val="24"/>
                <w:highlight w:val="none"/>
              </w:rPr>
              <w:t>、O</w:t>
            </w:r>
            <w:r>
              <w:rPr>
                <w:rFonts w:hint="eastAsia" w:ascii="仿宋" w:hAnsi="仿宋" w:eastAsia="仿宋" w:cs="仿宋"/>
                <w:color w:val="auto"/>
                <w:sz w:val="24"/>
                <w:highlight w:val="none"/>
                <w:vertAlign w:val="subscript"/>
              </w:rPr>
              <w:t>3</w:t>
            </w:r>
            <w:r>
              <w:rPr>
                <w:rFonts w:hint="eastAsia" w:ascii="仿宋" w:hAnsi="仿宋" w:eastAsia="仿宋" w:cs="仿宋"/>
                <w:color w:val="auto"/>
                <w:sz w:val="24"/>
                <w:highlight w:val="none"/>
              </w:rPr>
              <w:t>、CO</w:t>
            </w:r>
          </w:p>
        </w:tc>
        <w:tc>
          <w:tcPr>
            <w:tcW w:w="776" w:type="pct"/>
            <w:vAlign w:val="center"/>
          </w:tcPr>
          <w:p w14:paraId="770672D9">
            <w:pPr>
              <w:jc w:val="center"/>
              <w:rPr>
                <w:rFonts w:ascii="仿宋" w:hAnsi="仿宋" w:eastAsia="仿宋" w:cs="仿宋"/>
                <w:color w:val="auto"/>
                <w:sz w:val="24"/>
                <w:highlight w:val="none"/>
              </w:rPr>
            </w:pPr>
            <w:r>
              <w:rPr>
                <w:rFonts w:hint="eastAsia" w:ascii="仿宋" w:hAnsi="仿宋" w:eastAsia="仿宋" w:cs="仿宋"/>
                <w:color w:val="auto"/>
                <w:sz w:val="24"/>
                <w:highlight w:val="none"/>
              </w:rPr>
              <w:t>6台</w:t>
            </w:r>
          </w:p>
        </w:tc>
        <w:tc>
          <w:tcPr>
            <w:tcW w:w="943" w:type="pct"/>
            <w:vMerge w:val="continue"/>
            <w:vAlign w:val="center"/>
          </w:tcPr>
          <w:p w14:paraId="0641748D">
            <w:pPr>
              <w:jc w:val="center"/>
              <w:rPr>
                <w:rFonts w:ascii="仿宋" w:hAnsi="仿宋" w:eastAsia="仿宋" w:cs="仿宋"/>
                <w:color w:val="auto"/>
                <w:sz w:val="24"/>
                <w:highlight w:val="none"/>
              </w:rPr>
            </w:pPr>
          </w:p>
        </w:tc>
      </w:tr>
      <w:tr w14:paraId="0DB89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jc w:val="center"/>
        </w:trPr>
        <w:tc>
          <w:tcPr>
            <w:tcW w:w="454" w:type="pct"/>
            <w:vMerge w:val="continue"/>
            <w:vAlign w:val="center"/>
          </w:tcPr>
          <w:p w14:paraId="35E7AEF4">
            <w:pPr>
              <w:ind w:firstLine="480"/>
              <w:jc w:val="center"/>
              <w:rPr>
                <w:rFonts w:ascii="仿宋" w:hAnsi="仿宋" w:eastAsia="仿宋" w:cs="仿宋"/>
                <w:color w:val="auto"/>
                <w:sz w:val="24"/>
                <w:highlight w:val="none"/>
              </w:rPr>
            </w:pPr>
          </w:p>
        </w:tc>
        <w:tc>
          <w:tcPr>
            <w:tcW w:w="656" w:type="pct"/>
            <w:vMerge w:val="continue"/>
            <w:vAlign w:val="center"/>
          </w:tcPr>
          <w:p w14:paraId="2FC70641">
            <w:pPr>
              <w:ind w:firstLine="480"/>
              <w:jc w:val="center"/>
              <w:rPr>
                <w:rFonts w:ascii="仿宋" w:hAnsi="仿宋" w:eastAsia="仿宋" w:cs="仿宋"/>
                <w:color w:val="auto"/>
                <w:sz w:val="24"/>
                <w:highlight w:val="none"/>
              </w:rPr>
            </w:pPr>
          </w:p>
        </w:tc>
        <w:tc>
          <w:tcPr>
            <w:tcW w:w="2169" w:type="pct"/>
            <w:vAlign w:val="center"/>
          </w:tcPr>
          <w:p w14:paraId="3DFA481D">
            <w:pPr>
              <w:rPr>
                <w:rFonts w:ascii="仿宋" w:hAnsi="仿宋" w:eastAsia="仿宋" w:cs="仿宋"/>
                <w:color w:val="auto"/>
                <w:sz w:val="24"/>
                <w:highlight w:val="none"/>
              </w:rPr>
            </w:pPr>
            <w:bookmarkStart w:id="59" w:name="OLE_LINK3"/>
            <w:r>
              <w:rPr>
                <w:rFonts w:hint="eastAsia" w:ascii="仿宋" w:hAnsi="仿宋" w:eastAsia="仿宋" w:cs="仿宋"/>
                <w:color w:val="auto"/>
                <w:sz w:val="24"/>
                <w:highlight w:val="none"/>
              </w:rPr>
              <w:t>提供上述安装微站数据可视化网页</w:t>
            </w:r>
            <w:bookmarkEnd w:id="59"/>
          </w:p>
        </w:tc>
        <w:tc>
          <w:tcPr>
            <w:tcW w:w="776" w:type="pct"/>
            <w:vAlign w:val="center"/>
          </w:tcPr>
          <w:p w14:paraId="57188DF8">
            <w:pPr>
              <w:jc w:val="center"/>
              <w:rPr>
                <w:rFonts w:ascii="仿宋" w:hAnsi="仿宋" w:eastAsia="仿宋" w:cs="仿宋"/>
                <w:color w:val="auto"/>
                <w:sz w:val="24"/>
                <w:highlight w:val="none"/>
              </w:rPr>
            </w:pPr>
            <w:r>
              <w:rPr>
                <w:rFonts w:hint="eastAsia" w:ascii="仿宋" w:hAnsi="仿宋" w:eastAsia="仿宋" w:cs="仿宋"/>
                <w:color w:val="auto"/>
                <w:sz w:val="24"/>
                <w:highlight w:val="none"/>
              </w:rPr>
              <w:t>1年</w:t>
            </w:r>
          </w:p>
        </w:tc>
        <w:tc>
          <w:tcPr>
            <w:tcW w:w="943" w:type="pct"/>
            <w:vMerge w:val="continue"/>
            <w:vAlign w:val="center"/>
          </w:tcPr>
          <w:p w14:paraId="257075A9">
            <w:pPr>
              <w:jc w:val="center"/>
              <w:rPr>
                <w:rFonts w:ascii="仿宋" w:hAnsi="仿宋" w:eastAsia="仿宋" w:cs="仿宋"/>
                <w:color w:val="auto"/>
                <w:sz w:val="24"/>
                <w:highlight w:val="none"/>
              </w:rPr>
            </w:pPr>
          </w:p>
        </w:tc>
      </w:tr>
      <w:tr w14:paraId="47255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4" w:type="pct"/>
            <w:vMerge w:val="restart"/>
            <w:vAlign w:val="center"/>
          </w:tcPr>
          <w:p w14:paraId="0DA97203">
            <w:pPr>
              <w:jc w:val="center"/>
              <w:rPr>
                <w:rFonts w:ascii="仿宋" w:hAnsi="仿宋" w:eastAsia="仿宋" w:cs="仿宋"/>
                <w:color w:val="auto"/>
                <w:sz w:val="24"/>
                <w:highlight w:val="none"/>
              </w:rPr>
            </w:pPr>
            <w:r>
              <w:rPr>
                <w:rFonts w:hint="eastAsia" w:ascii="仿宋" w:hAnsi="仿宋" w:eastAsia="仿宋" w:cs="仿宋"/>
                <w:color w:val="auto"/>
                <w:sz w:val="24"/>
                <w:highlight w:val="none"/>
              </w:rPr>
              <w:t>2</w:t>
            </w:r>
          </w:p>
        </w:tc>
        <w:tc>
          <w:tcPr>
            <w:tcW w:w="656" w:type="pct"/>
            <w:vMerge w:val="restart"/>
            <w:vAlign w:val="center"/>
          </w:tcPr>
          <w:p w14:paraId="6A472782">
            <w:pPr>
              <w:rPr>
                <w:rFonts w:ascii="仿宋" w:hAnsi="仿宋" w:eastAsia="仿宋" w:cs="仿宋"/>
                <w:color w:val="auto"/>
                <w:sz w:val="24"/>
                <w:highlight w:val="none"/>
              </w:rPr>
            </w:pPr>
            <w:r>
              <w:rPr>
                <w:rFonts w:hint="eastAsia" w:ascii="仿宋" w:hAnsi="仿宋" w:eastAsia="仿宋" w:cs="仿宋"/>
                <w:color w:val="auto"/>
                <w:sz w:val="24"/>
                <w:highlight w:val="none"/>
              </w:rPr>
              <w:t>大气精准管控综合驻场服务</w:t>
            </w:r>
          </w:p>
        </w:tc>
        <w:tc>
          <w:tcPr>
            <w:tcW w:w="2169" w:type="pct"/>
            <w:vAlign w:val="center"/>
          </w:tcPr>
          <w:p w14:paraId="0DFC50FC">
            <w:pPr>
              <w:rPr>
                <w:rFonts w:ascii="仿宋" w:hAnsi="仿宋" w:eastAsia="仿宋" w:cs="仿宋"/>
                <w:color w:val="auto"/>
                <w:sz w:val="24"/>
                <w:highlight w:val="none"/>
              </w:rPr>
            </w:pPr>
            <w:r>
              <w:rPr>
                <w:rFonts w:hint="eastAsia" w:ascii="仿宋" w:hAnsi="仿宋" w:eastAsia="仿宋" w:cs="仿宋"/>
                <w:color w:val="auto"/>
                <w:sz w:val="24"/>
                <w:highlight w:val="none"/>
              </w:rPr>
              <w:t>日常大气污染源巡查服务：</w:t>
            </w:r>
          </w:p>
          <w:p w14:paraId="7B1834B2">
            <w:pPr>
              <w:rPr>
                <w:rFonts w:ascii="仿宋" w:hAnsi="仿宋" w:eastAsia="仿宋" w:cs="仿宋"/>
                <w:color w:val="auto"/>
                <w:sz w:val="24"/>
                <w:highlight w:val="none"/>
              </w:rPr>
            </w:pPr>
            <w:r>
              <w:rPr>
                <w:rFonts w:hint="eastAsia" w:ascii="仿宋" w:hAnsi="仿宋" w:eastAsia="仿宋" w:cs="仿宋"/>
                <w:color w:val="auto"/>
                <w:sz w:val="24"/>
                <w:highlight w:val="none"/>
              </w:rPr>
              <w:t>包括省控站点周边污染源现场排查、辖区内重点源排查、典型时段专项巡查等。对辖区内工业源、扬尘源、交通源等重点污染源开展定期和不定期的督查服务（包含巡查设备租用、维修费用、仪器维护费用)，并根据督查结果给出现场措施建议。</w:t>
            </w:r>
          </w:p>
        </w:tc>
        <w:tc>
          <w:tcPr>
            <w:tcW w:w="776" w:type="pct"/>
            <w:vAlign w:val="center"/>
          </w:tcPr>
          <w:p w14:paraId="2026C006">
            <w:pPr>
              <w:jc w:val="center"/>
              <w:rPr>
                <w:rFonts w:ascii="仿宋" w:hAnsi="仿宋" w:eastAsia="仿宋" w:cs="仿宋"/>
                <w:color w:val="auto"/>
                <w:sz w:val="24"/>
                <w:highlight w:val="none"/>
              </w:rPr>
            </w:pPr>
            <w:r>
              <w:rPr>
                <w:rFonts w:hint="eastAsia" w:ascii="仿宋" w:hAnsi="仿宋" w:eastAsia="仿宋" w:cs="仿宋"/>
                <w:color w:val="auto"/>
                <w:sz w:val="24"/>
                <w:highlight w:val="none"/>
              </w:rPr>
              <w:t>1年</w:t>
            </w:r>
          </w:p>
        </w:tc>
        <w:tc>
          <w:tcPr>
            <w:tcW w:w="943" w:type="pct"/>
            <w:vMerge w:val="restart"/>
          </w:tcPr>
          <w:p w14:paraId="11A56944">
            <w:pPr>
              <w:jc w:val="center"/>
              <w:rPr>
                <w:rFonts w:ascii="仿宋" w:hAnsi="仿宋" w:eastAsia="仿宋" w:cs="仿宋"/>
                <w:color w:val="auto"/>
                <w:sz w:val="24"/>
                <w:highlight w:val="none"/>
              </w:rPr>
            </w:pPr>
          </w:p>
        </w:tc>
      </w:tr>
      <w:tr w14:paraId="7BD22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4" w:type="pct"/>
            <w:vMerge w:val="continue"/>
            <w:vAlign w:val="center"/>
          </w:tcPr>
          <w:p w14:paraId="6893175F">
            <w:pPr>
              <w:ind w:firstLine="480"/>
              <w:jc w:val="center"/>
              <w:rPr>
                <w:rFonts w:ascii="仿宋" w:hAnsi="仿宋" w:eastAsia="仿宋" w:cs="仿宋"/>
                <w:color w:val="auto"/>
                <w:sz w:val="24"/>
                <w:highlight w:val="none"/>
              </w:rPr>
            </w:pPr>
          </w:p>
        </w:tc>
        <w:tc>
          <w:tcPr>
            <w:tcW w:w="656" w:type="pct"/>
            <w:vMerge w:val="continue"/>
            <w:vAlign w:val="center"/>
          </w:tcPr>
          <w:p w14:paraId="5FA1564A">
            <w:pPr>
              <w:ind w:firstLine="480"/>
              <w:jc w:val="center"/>
              <w:rPr>
                <w:rFonts w:ascii="仿宋" w:hAnsi="仿宋" w:eastAsia="仿宋" w:cs="仿宋"/>
                <w:color w:val="auto"/>
                <w:sz w:val="24"/>
                <w:highlight w:val="none"/>
              </w:rPr>
            </w:pPr>
          </w:p>
        </w:tc>
        <w:tc>
          <w:tcPr>
            <w:tcW w:w="2169" w:type="pct"/>
            <w:vAlign w:val="center"/>
          </w:tcPr>
          <w:p w14:paraId="0543629E">
            <w:pPr>
              <w:rPr>
                <w:rFonts w:ascii="仿宋" w:hAnsi="仿宋" w:eastAsia="仿宋" w:cs="仿宋"/>
                <w:color w:val="auto"/>
                <w:sz w:val="24"/>
                <w:highlight w:val="none"/>
              </w:rPr>
            </w:pPr>
            <w:r>
              <w:rPr>
                <w:rFonts w:hint="eastAsia" w:ascii="仿宋" w:hAnsi="仿宋" w:eastAsia="仿宋" w:cs="仿宋"/>
                <w:color w:val="auto"/>
                <w:sz w:val="24"/>
                <w:highlight w:val="none"/>
              </w:rPr>
              <w:t>空气质量预报预警服务：</w:t>
            </w:r>
          </w:p>
          <w:p w14:paraId="39B72497">
            <w:pPr>
              <w:rPr>
                <w:rFonts w:ascii="仿宋" w:hAnsi="仿宋" w:eastAsia="仿宋" w:cs="仿宋"/>
                <w:color w:val="auto"/>
                <w:sz w:val="24"/>
                <w:highlight w:val="none"/>
              </w:rPr>
            </w:pPr>
            <w:r>
              <w:rPr>
                <w:rFonts w:hint="eastAsia" w:ascii="仿宋" w:hAnsi="仿宋" w:eastAsia="仿宋" w:cs="仿宋"/>
                <w:color w:val="auto"/>
                <w:sz w:val="24"/>
                <w:highlight w:val="none"/>
              </w:rPr>
              <w:t>依据污染排放清单，实现精准预测预报，每日提供未来3天当地环境空气质量预测预报，每周提供一次未来7天当地环境空气质量预报，污染天实时更新预测。</w:t>
            </w:r>
          </w:p>
        </w:tc>
        <w:tc>
          <w:tcPr>
            <w:tcW w:w="776" w:type="pct"/>
            <w:vAlign w:val="center"/>
          </w:tcPr>
          <w:p w14:paraId="3A47212D">
            <w:pPr>
              <w:jc w:val="center"/>
              <w:rPr>
                <w:rFonts w:ascii="仿宋" w:hAnsi="仿宋" w:eastAsia="仿宋" w:cs="仿宋"/>
                <w:color w:val="auto"/>
                <w:sz w:val="24"/>
                <w:highlight w:val="none"/>
              </w:rPr>
            </w:pPr>
            <w:r>
              <w:rPr>
                <w:rFonts w:hint="eastAsia" w:ascii="仿宋" w:hAnsi="仿宋" w:eastAsia="仿宋" w:cs="仿宋"/>
                <w:color w:val="auto"/>
                <w:sz w:val="24"/>
                <w:highlight w:val="none"/>
              </w:rPr>
              <w:t>1年</w:t>
            </w:r>
          </w:p>
        </w:tc>
        <w:tc>
          <w:tcPr>
            <w:tcW w:w="943" w:type="pct"/>
            <w:vMerge w:val="continue"/>
          </w:tcPr>
          <w:p w14:paraId="39BF620D">
            <w:pPr>
              <w:jc w:val="center"/>
              <w:rPr>
                <w:rFonts w:ascii="仿宋" w:hAnsi="仿宋" w:eastAsia="仿宋" w:cs="仿宋"/>
                <w:color w:val="auto"/>
                <w:sz w:val="24"/>
                <w:highlight w:val="none"/>
              </w:rPr>
            </w:pPr>
          </w:p>
        </w:tc>
      </w:tr>
      <w:tr w14:paraId="4EA2C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4" w:type="pct"/>
            <w:vMerge w:val="continue"/>
            <w:vAlign w:val="center"/>
          </w:tcPr>
          <w:p w14:paraId="19D25375">
            <w:pPr>
              <w:ind w:firstLine="480"/>
              <w:jc w:val="center"/>
              <w:rPr>
                <w:rFonts w:ascii="仿宋" w:hAnsi="仿宋" w:eastAsia="仿宋" w:cs="仿宋"/>
                <w:color w:val="auto"/>
                <w:sz w:val="24"/>
                <w:highlight w:val="none"/>
              </w:rPr>
            </w:pPr>
          </w:p>
        </w:tc>
        <w:tc>
          <w:tcPr>
            <w:tcW w:w="656" w:type="pct"/>
            <w:vMerge w:val="continue"/>
            <w:vAlign w:val="center"/>
          </w:tcPr>
          <w:p w14:paraId="49944AA0">
            <w:pPr>
              <w:ind w:firstLine="480"/>
              <w:jc w:val="center"/>
              <w:rPr>
                <w:rFonts w:ascii="仿宋" w:hAnsi="仿宋" w:eastAsia="仿宋" w:cs="仿宋"/>
                <w:color w:val="auto"/>
                <w:sz w:val="24"/>
                <w:highlight w:val="none"/>
              </w:rPr>
            </w:pPr>
          </w:p>
        </w:tc>
        <w:tc>
          <w:tcPr>
            <w:tcW w:w="2169" w:type="pct"/>
            <w:vAlign w:val="center"/>
          </w:tcPr>
          <w:p w14:paraId="35DA90DA">
            <w:pPr>
              <w:rPr>
                <w:rFonts w:ascii="仿宋" w:hAnsi="仿宋" w:eastAsia="仿宋" w:cs="仿宋"/>
                <w:color w:val="auto"/>
                <w:sz w:val="24"/>
                <w:highlight w:val="none"/>
              </w:rPr>
            </w:pPr>
            <w:r>
              <w:rPr>
                <w:rFonts w:hint="eastAsia" w:ascii="仿宋" w:hAnsi="仿宋" w:eastAsia="仿宋" w:cs="仿宋"/>
                <w:color w:val="auto"/>
                <w:sz w:val="24"/>
                <w:highlight w:val="none"/>
              </w:rPr>
              <w:t>数据报告服务：</w:t>
            </w:r>
          </w:p>
          <w:p w14:paraId="327B9252">
            <w:pPr>
              <w:rPr>
                <w:rFonts w:ascii="仿宋" w:hAnsi="仿宋" w:eastAsia="仿宋" w:cs="仿宋"/>
                <w:color w:val="auto"/>
                <w:sz w:val="24"/>
                <w:highlight w:val="none"/>
              </w:rPr>
            </w:pPr>
            <w:r>
              <w:rPr>
                <w:rFonts w:hint="eastAsia" w:ascii="仿宋" w:hAnsi="仿宋" w:eastAsia="仿宋" w:cs="仿宋"/>
                <w:color w:val="auto"/>
                <w:sz w:val="24"/>
                <w:highlight w:val="none"/>
              </w:rPr>
              <w:t>按需提供空气质量分析日报、年报，污染过程分析报告和其他各专项分析报告。</w:t>
            </w:r>
          </w:p>
        </w:tc>
        <w:tc>
          <w:tcPr>
            <w:tcW w:w="776" w:type="pct"/>
            <w:vAlign w:val="center"/>
          </w:tcPr>
          <w:p w14:paraId="3D6C6F1F">
            <w:pPr>
              <w:jc w:val="center"/>
              <w:rPr>
                <w:rFonts w:ascii="仿宋" w:hAnsi="仿宋" w:eastAsia="仿宋" w:cs="仿宋"/>
                <w:color w:val="auto"/>
                <w:sz w:val="24"/>
                <w:highlight w:val="none"/>
              </w:rPr>
            </w:pPr>
            <w:r>
              <w:rPr>
                <w:rFonts w:hint="eastAsia" w:ascii="仿宋" w:hAnsi="仿宋" w:eastAsia="仿宋" w:cs="仿宋"/>
                <w:color w:val="auto"/>
                <w:sz w:val="24"/>
                <w:highlight w:val="none"/>
              </w:rPr>
              <w:t>1年</w:t>
            </w:r>
          </w:p>
        </w:tc>
        <w:tc>
          <w:tcPr>
            <w:tcW w:w="943" w:type="pct"/>
            <w:vMerge w:val="continue"/>
          </w:tcPr>
          <w:p w14:paraId="09E5E0D2">
            <w:pPr>
              <w:jc w:val="center"/>
              <w:rPr>
                <w:rFonts w:ascii="仿宋" w:hAnsi="仿宋" w:eastAsia="仿宋" w:cs="仿宋"/>
                <w:color w:val="auto"/>
                <w:sz w:val="24"/>
                <w:highlight w:val="none"/>
              </w:rPr>
            </w:pPr>
          </w:p>
        </w:tc>
      </w:tr>
      <w:tr w14:paraId="3B31F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4" w:type="pct"/>
            <w:vMerge w:val="continue"/>
            <w:vAlign w:val="center"/>
          </w:tcPr>
          <w:p w14:paraId="26BBCDEB">
            <w:pPr>
              <w:ind w:firstLine="480"/>
              <w:jc w:val="center"/>
              <w:rPr>
                <w:rFonts w:ascii="仿宋" w:hAnsi="仿宋" w:eastAsia="仿宋" w:cs="仿宋"/>
                <w:color w:val="auto"/>
                <w:sz w:val="24"/>
                <w:highlight w:val="none"/>
              </w:rPr>
            </w:pPr>
          </w:p>
        </w:tc>
        <w:tc>
          <w:tcPr>
            <w:tcW w:w="656" w:type="pct"/>
            <w:vMerge w:val="continue"/>
            <w:vAlign w:val="center"/>
          </w:tcPr>
          <w:p w14:paraId="650A891F">
            <w:pPr>
              <w:ind w:firstLine="480"/>
              <w:jc w:val="center"/>
              <w:rPr>
                <w:rFonts w:ascii="仿宋" w:hAnsi="仿宋" w:eastAsia="仿宋" w:cs="仿宋"/>
                <w:color w:val="auto"/>
                <w:sz w:val="24"/>
                <w:highlight w:val="none"/>
              </w:rPr>
            </w:pPr>
          </w:p>
        </w:tc>
        <w:tc>
          <w:tcPr>
            <w:tcW w:w="2169" w:type="pct"/>
            <w:vAlign w:val="center"/>
          </w:tcPr>
          <w:p w14:paraId="0294D402">
            <w:pPr>
              <w:rPr>
                <w:rFonts w:ascii="仿宋" w:hAnsi="仿宋" w:eastAsia="仿宋" w:cs="仿宋"/>
                <w:color w:val="auto"/>
                <w:sz w:val="24"/>
                <w:highlight w:val="none"/>
              </w:rPr>
            </w:pPr>
            <w:r>
              <w:rPr>
                <w:rFonts w:hint="eastAsia" w:ascii="仿宋" w:hAnsi="仿宋" w:eastAsia="仿宋" w:cs="仿宋"/>
                <w:color w:val="auto"/>
                <w:sz w:val="24"/>
                <w:highlight w:val="none"/>
              </w:rPr>
              <w:t>污染天应急管控服务：</w:t>
            </w:r>
          </w:p>
          <w:p w14:paraId="39C72CE5">
            <w:pPr>
              <w:rPr>
                <w:rFonts w:ascii="仿宋" w:hAnsi="仿宋" w:eastAsia="仿宋" w:cs="仿宋"/>
                <w:color w:val="auto"/>
                <w:sz w:val="24"/>
                <w:highlight w:val="none"/>
              </w:rPr>
            </w:pPr>
            <w:r>
              <w:rPr>
                <w:rFonts w:hint="eastAsia" w:ascii="仿宋" w:hAnsi="仿宋" w:eastAsia="仿宋" w:cs="仿宋"/>
                <w:color w:val="auto"/>
                <w:sz w:val="24"/>
                <w:highlight w:val="none"/>
              </w:rPr>
              <w:t>跟踪解读污染过程，规划应急管控流程，总结管控问题。应急管控期间支撑应急会商、污染提前预警、污染应急管控建议和措施、管控期间问题核查。</w:t>
            </w:r>
          </w:p>
        </w:tc>
        <w:tc>
          <w:tcPr>
            <w:tcW w:w="776" w:type="pct"/>
            <w:vAlign w:val="center"/>
          </w:tcPr>
          <w:p w14:paraId="71F75E4E">
            <w:pPr>
              <w:jc w:val="center"/>
              <w:rPr>
                <w:rFonts w:ascii="仿宋" w:hAnsi="仿宋" w:eastAsia="仿宋" w:cs="仿宋"/>
                <w:color w:val="auto"/>
                <w:sz w:val="24"/>
                <w:highlight w:val="none"/>
              </w:rPr>
            </w:pPr>
            <w:r>
              <w:rPr>
                <w:rFonts w:hint="eastAsia" w:ascii="仿宋" w:hAnsi="仿宋" w:eastAsia="仿宋" w:cs="仿宋"/>
                <w:color w:val="auto"/>
                <w:sz w:val="24"/>
                <w:highlight w:val="none"/>
              </w:rPr>
              <w:t>1年</w:t>
            </w:r>
          </w:p>
        </w:tc>
        <w:tc>
          <w:tcPr>
            <w:tcW w:w="943" w:type="pct"/>
            <w:vMerge w:val="continue"/>
          </w:tcPr>
          <w:p w14:paraId="6BC80B2E">
            <w:pPr>
              <w:jc w:val="center"/>
              <w:rPr>
                <w:rFonts w:ascii="仿宋" w:hAnsi="仿宋" w:eastAsia="仿宋" w:cs="仿宋"/>
                <w:color w:val="auto"/>
                <w:sz w:val="24"/>
                <w:highlight w:val="none"/>
              </w:rPr>
            </w:pPr>
          </w:p>
        </w:tc>
      </w:tr>
      <w:tr w14:paraId="44B55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4" w:type="pct"/>
            <w:vMerge w:val="continue"/>
            <w:vAlign w:val="center"/>
          </w:tcPr>
          <w:p w14:paraId="208CF842">
            <w:pPr>
              <w:ind w:firstLine="480"/>
              <w:jc w:val="center"/>
              <w:rPr>
                <w:rFonts w:ascii="仿宋" w:hAnsi="仿宋" w:eastAsia="仿宋" w:cs="仿宋"/>
                <w:color w:val="auto"/>
                <w:sz w:val="24"/>
                <w:highlight w:val="none"/>
              </w:rPr>
            </w:pPr>
          </w:p>
        </w:tc>
        <w:tc>
          <w:tcPr>
            <w:tcW w:w="656" w:type="pct"/>
            <w:vMerge w:val="continue"/>
            <w:vAlign w:val="center"/>
          </w:tcPr>
          <w:p w14:paraId="5DC19835">
            <w:pPr>
              <w:ind w:firstLine="480"/>
              <w:jc w:val="center"/>
              <w:rPr>
                <w:rFonts w:ascii="仿宋" w:hAnsi="仿宋" w:eastAsia="仿宋" w:cs="仿宋"/>
                <w:color w:val="auto"/>
                <w:sz w:val="24"/>
                <w:highlight w:val="none"/>
              </w:rPr>
            </w:pPr>
          </w:p>
        </w:tc>
        <w:tc>
          <w:tcPr>
            <w:tcW w:w="2169" w:type="pct"/>
            <w:vAlign w:val="center"/>
          </w:tcPr>
          <w:p w14:paraId="49F0C607">
            <w:pPr>
              <w:rPr>
                <w:rFonts w:ascii="仿宋" w:hAnsi="仿宋" w:eastAsia="仿宋" w:cs="仿宋"/>
                <w:color w:val="auto"/>
                <w:sz w:val="24"/>
                <w:highlight w:val="none"/>
              </w:rPr>
            </w:pPr>
            <w:r>
              <w:rPr>
                <w:rFonts w:hint="eastAsia" w:ascii="仿宋" w:hAnsi="仿宋" w:eastAsia="仿宋" w:cs="仿宋"/>
                <w:color w:val="auto"/>
                <w:sz w:val="24"/>
                <w:highlight w:val="none"/>
              </w:rPr>
              <w:t>数据监控分析服务：</w:t>
            </w:r>
          </w:p>
          <w:p w14:paraId="180438B7">
            <w:pPr>
              <w:rPr>
                <w:rFonts w:ascii="仿宋" w:hAnsi="仿宋" w:eastAsia="仿宋" w:cs="仿宋"/>
                <w:color w:val="auto"/>
                <w:sz w:val="24"/>
                <w:highlight w:val="none"/>
              </w:rPr>
            </w:pPr>
            <w:r>
              <w:rPr>
                <w:rFonts w:hint="eastAsia" w:ascii="仿宋" w:hAnsi="仿宋" w:eastAsia="仿宋" w:cs="仿宋"/>
                <w:color w:val="auto"/>
                <w:sz w:val="24"/>
                <w:highlight w:val="none"/>
              </w:rPr>
              <w:t>提供固定污染源等相关数据监控与计算。</w:t>
            </w:r>
          </w:p>
        </w:tc>
        <w:tc>
          <w:tcPr>
            <w:tcW w:w="776" w:type="pct"/>
            <w:vAlign w:val="center"/>
          </w:tcPr>
          <w:p w14:paraId="452F1761">
            <w:pPr>
              <w:jc w:val="center"/>
              <w:rPr>
                <w:rFonts w:ascii="仿宋" w:hAnsi="仿宋" w:eastAsia="仿宋" w:cs="仿宋"/>
                <w:color w:val="auto"/>
                <w:sz w:val="24"/>
                <w:highlight w:val="none"/>
              </w:rPr>
            </w:pPr>
            <w:r>
              <w:rPr>
                <w:rFonts w:hint="eastAsia" w:ascii="仿宋" w:hAnsi="仿宋" w:eastAsia="仿宋" w:cs="仿宋"/>
                <w:color w:val="auto"/>
                <w:sz w:val="24"/>
                <w:highlight w:val="none"/>
              </w:rPr>
              <w:t>1年</w:t>
            </w:r>
          </w:p>
        </w:tc>
        <w:tc>
          <w:tcPr>
            <w:tcW w:w="943" w:type="pct"/>
            <w:vMerge w:val="continue"/>
          </w:tcPr>
          <w:p w14:paraId="49C48B1D">
            <w:pPr>
              <w:jc w:val="center"/>
              <w:rPr>
                <w:rFonts w:ascii="仿宋" w:hAnsi="仿宋" w:eastAsia="仿宋" w:cs="仿宋"/>
                <w:color w:val="auto"/>
                <w:sz w:val="24"/>
                <w:highlight w:val="none"/>
              </w:rPr>
            </w:pPr>
          </w:p>
        </w:tc>
      </w:tr>
      <w:tr w14:paraId="75085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4" w:type="pct"/>
            <w:vMerge w:val="continue"/>
            <w:vAlign w:val="center"/>
          </w:tcPr>
          <w:p w14:paraId="499F3EBD">
            <w:pPr>
              <w:ind w:firstLine="480"/>
              <w:jc w:val="center"/>
              <w:rPr>
                <w:rFonts w:ascii="仿宋" w:hAnsi="仿宋" w:eastAsia="仿宋" w:cs="仿宋"/>
                <w:color w:val="auto"/>
                <w:sz w:val="24"/>
                <w:highlight w:val="none"/>
              </w:rPr>
            </w:pPr>
          </w:p>
        </w:tc>
        <w:tc>
          <w:tcPr>
            <w:tcW w:w="656" w:type="pct"/>
            <w:vMerge w:val="continue"/>
            <w:vAlign w:val="center"/>
          </w:tcPr>
          <w:p w14:paraId="7628B3B3">
            <w:pPr>
              <w:ind w:firstLine="480"/>
              <w:jc w:val="center"/>
              <w:rPr>
                <w:rFonts w:ascii="仿宋" w:hAnsi="仿宋" w:eastAsia="仿宋" w:cs="仿宋"/>
                <w:color w:val="auto"/>
                <w:sz w:val="24"/>
                <w:highlight w:val="none"/>
              </w:rPr>
            </w:pPr>
          </w:p>
        </w:tc>
        <w:tc>
          <w:tcPr>
            <w:tcW w:w="2169" w:type="pct"/>
            <w:vAlign w:val="center"/>
          </w:tcPr>
          <w:p w14:paraId="00BD9D69">
            <w:pPr>
              <w:rPr>
                <w:rFonts w:ascii="仿宋" w:hAnsi="仿宋" w:eastAsia="仿宋" w:cs="仿宋"/>
                <w:color w:val="auto"/>
                <w:sz w:val="24"/>
                <w:highlight w:val="none"/>
              </w:rPr>
            </w:pPr>
            <w:r>
              <w:rPr>
                <w:rFonts w:hint="eastAsia" w:ascii="仿宋" w:hAnsi="仿宋" w:eastAsia="仿宋" w:cs="仿宋"/>
                <w:color w:val="auto"/>
                <w:sz w:val="24"/>
                <w:highlight w:val="none"/>
              </w:rPr>
              <w:t>焚烧源铁塔数据监控服务：</w:t>
            </w:r>
          </w:p>
          <w:p w14:paraId="69BD78D7">
            <w:pPr>
              <w:rPr>
                <w:rFonts w:ascii="仿宋" w:hAnsi="仿宋" w:eastAsia="仿宋" w:cs="仿宋"/>
                <w:color w:val="auto"/>
                <w:sz w:val="24"/>
                <w:highlight w:val="none"/>
              </w:rPr>
            </w:pPr>
            <w:r>
              <w:rPr>
                <w:rFonts w:hint="eastAsia" w:ascii="仿宋" w:hAnsi="仿宋" w:eastAsia="仿宋" w:cs="仿宋"/>
                <w:color w:val="auto"/>
                <w:sz w:val="24"/>
                <w:highlight w:val="none"/>
              </w:rPr>
              <w:t>秸秆禁烧期重点对每日铁塔、现场巡查发现的秸秆问题及处置情况报送。</w:t>
            </w:r>
          </w:p>
        </w:tc>
        <w:tc>
          <w:tcPr>
            <w:tcW w:w="776" w:type="pct"/>
            <w:vAlign w:val="center"/>
          </w:tcPr>
          <w:p w14:paraId="1AA0BF77">
            <w:pPr>
              <w:jc w:val="center"/>
              <w:rPr>
                <w:rFonts w:ascii="仿宋" w:hAnsi="仿宋" w:eastAsia="仿宋" w:cs="仿宋"/>
                <w:color w:val="auto"/>
                <w:sz w:val="24"/>
                <w:highlight w:val="none"/>
              </w:rPr>
            </w:pPr>
            <w:r>
              <w:rPr>
                <w:rFonts w:hint="eastAsia" w:ascii="仿宋" w:hAnsi="仿宋" w:eastAsia="仿宋" w:cs="仿宋"/>
                <w:color w:val="auto"/>
                <w:sz w:val="24"/>
                <w:highlight w:val="none"/>
              </w:rPr>
              <w:t>秸秆禁烧期</w:t>
            </w:r>
          </w:p>
        </w:tc>
        <w:tc>
          <w:tcPr>
            <w:tcW w:w="943" w:type="pct"/>
            <w:vAlign w:val="center"/>
          </w:tcPr>
          <w:p w14:paraId="2C18CA69">
            <w:pPr>
              <w:jc w:val="center"/>
              <w:rPr>
                <w:rFonts w:ascii="仿宋" w:hAnsi="仿宋" w:eastAsia="仿宋" w:cs="仿宋"/>
                <w:color w:val="auto"/>
                <w:sz w:val="24"/>
                <w:highlight w:val="none"/>
              </w:rPr>
            </w:pPr>
          </w:p>
        </w:tc>
      </w:tr>
      <w:tr w14:paraId="1C933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4" w:type="pct"/>
            <w:vMerge w:val="continue"/>
            <w:vAlign w:val="center"/>
          </w:tcPr>
          <w:p w14:paraId="7B883F56">
            <w:pPr>
              <w:ind w:firstLine="480"/>
              <w:jc w:val="center"/>
              <w:rPr>
                <w:rFonts w:ascii="仿宋" w:hAnsi="仿宋" w:eastAsia="仿宋" w:cs="仿宋"/>
                <w:color w:val="auto"/>
                <w:sz w:val="24"/>
                <w:highlight w:val="none"/>
              </w:rPr>
            </w:pPr>
          </w:p>
        </w:tc>
        <w:tc>
          <w:tcPr>
            <w:tcW w:w="656" w:type="pct"/>
            <w:vMerge w:val="continue"/>
            <w:vAlign w:val="center"/>
          </w:tcPr>
          <w:p w14:paraId="565FA807">
            <w:pPr>
              <w:ind w:firstLine="480"/>
              <w:jc w:val="center"/>
              <w:rPr>
                <w:rFonts w:ascii="仿宋" w:hAnsi="仿宋" w:eastAsia="仿宋" w:cs="仿宋"/>
                <w:color w:val="auto"/>
                <w:sz w:val="24"/>
                <w:highlight w:val="none"/>
              </w:rPr>
            </w:pPr>
          </w:p>
        </w:tc>
        <w:tc>
          <w:tcPr>
            <w:tcW w:w="2169" w:type="pct"/>
            <w:vAlign w:val="center"/>
          </w:tcPr>
          <w:p w14:paraId="57D6D6EF">
            <w:pPr>
              <w:rPr>
                <w:rFonts w:ascii="仿宋" w:hAnsi="仿宋" w:eastAsia="仿宋" w:cs="仿宋"/>
                <w:color w:val="auto"/>
                <w:sz w:val="24"/>
                <w:highlight w:val="none"/>
              </w:rPr>
            </w:pPr>
            <w:r>
              <w:rPr>
                <w:rFonts w:hint="eastAsia" w:ascii="仿宋" w:hAnsi="仿宋" w:eastAsia="仿宋" w:cs="仿宋"/>
                <w:color w:val="auto"/>
                <w:sz w:val="24"/>
                <w:highlight w:val="none"/>
              </w:rPr>
              <w:t>污染源信息库更新服务：</w:t>
            </w:r>
          </w:p>
          <w:p w14:paraId="2AF075FA">
            <w:pPr>
              <w:rPr>
                <w:rFonts w:ascii="仿宋" w:hAnsi="仿宋" w:eastAsia="仿宋" w:cs="仿宋"/>
                <w:color w:val="auto"/>
                <w:sz w:val="24"/>
                <w:highlight w:val="none"/>
              </w:rPr>
            </w:pPr>
            <w:r>
              <w:rPr>
                <w:rFonts w:hint="eastAsia" w:ascii="仿宋" w:hAnsi="仿宋" w:eastAsia="仿宋" w:cs="仿宋"/>
                <w:color w:val="auto"/>
                <w:sz w:val="24"/>
                <w:highlight w:val="none"/>
              </w:rPr>
              <w:t>动态更新站点精细化清单（3公里范围内），污染源分类包括：工业企业、扬尘源、餐饮、汽修、加油站等；台账清单信息包括：</w:t>
            </w:r>
            <w:bookmarkStart w:id="60" w:name="OLE_LINK7"/>
            <w:r>
              <w:rPr>
                <w:rFonts w:hint="eastAsia" w:ascii="仿宋" w:hAnsi="仿宋" w:eastAsia="仿宋" w:cs="仿宋"/>
                <w:color w:val="auto"/>
                <w:sz w:val="24"/>
                <w:highlight w:val="none"/>
              </w:rPr>
              <w:t>污染源所属辖区、污染源类别、现状</w:t>
            </w:r>
            <w:bookmarkEnd w:id="60"/>
            <w:r>
              <w:rPr>
                <w:rFonts w:hint="eastAsia" w:ascii="仿宋" w:hAnsi="仿宋" w:eastAsia="仿宋" w:cs="仿宋"/>
                <w:color w:val="auto"/>
                <w:sz w:val="24"/>
                <w:highlight w:val="none"/>
              </w:rPr>
              <w:t>等，扬尘源每月更新一次，其他源每半年更新一次。</w:t>
            </w:r>
          </w:p>
        </w:tc>
        <w:tc>
          <w:tcPr>
            <w:tcW w:w="776" w:type="pct"/>
            <w:vAlign w:val="center"/>
          </w:tcPr>
          <w:p w14:paraId="726DD21B">
            <w:pPr>
              <w:jc w:val="center"/>
              <w:rPr>
                <w:rFonts w:ascii="仿宋" w:hAnsi="仿宋" w:eastAsia="仿宋" w:cs="仿宋"/>
                <w:color w:val="auto"/>
                <w:sz w:val="24"/>
                <w:highlight w:val="none"/>
              </w:rPr>
            </w:pPr>
            <w:r>
              <w:rPr>
                <w:rFonts w:hint="eastAsia" w:ascii="仿宋" w:hAnsi="仿宋" w:eastAsia="仿宋" w:cs="仿宋"/>
                <w:color w:val="auto"/>
                <w:sz w:val="24"/>
                <w:highlight w:val="none"/>
              </w:rPr>
              <w:t>1年</w:t>
            </w:r>
          </w:p>
        </w:tc>
        <w:tc>
          <w:tcPr>
            <w:tcW w:w="943" w:type="pct"/>
            <w:vAlign w:val="center"/>
          </w:tcPr>
          <w:p w14:paraId="75D394DD">
            <w:pPr>
              <w:jc w:val="center"/>
              <w:rPr>
                <w:rFonts w:ascii="仿宋" w:hAnsi="仿宋" w:eastAsia="仿宋" w:cs="仿宋"/>
                <w:color w:val="auto"/>
                <w:sz w:val="24"/>
                <w:highlight w:val="none"/>
              </w:rPr>
            </w:pPr>
          </w:p>
        </w:tc>
      </w:tr>
      <w:tr w14:paraId="4888F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4" w:type="pct"/>
            <w:vMerge w:val="restart"/>
            <w:vAlign w:val="center"/>
          </w:tcPr>
          <w:p w14:paraId="7A0F7437">
            <w:pPr>
              <w:jc w:val="center"/>
              <w:rPr>
                <w:rFonts w:ascii="仿宋" w:hAnsi="仿宋" w:eastAsia="仿宋" w:cs="仿宋"/>
                <w:color w:val="auto"/>
                <w:sz w:val="24"/>
                <w:highlight w:val="none"/>
              </w:rPr>
            </w:pPr>
            <w:r>
              <w:rPr>
                <w:rFonts w:hint="eastAsia" w:ascii="仿宋" w:hAnsi="仿宋" w:eastAsia="仿宋" w:cs="仿宋"/>
                <w:color w:val="auto"/>
                <w:sz w:val="24"/>
                <w:highlight w:val="none"/>
              </w:rPr>
              <w:t>3</w:t>
            </w:r>
          </w:p>
        </w:tc>
        <w:tc>
          <w:tcPr>
            <w:tcW w:w="656" w:type="pct"/>
            <w:vMerge w:val="restart"/>
            <w:vAlign w:val="center"/>
          </w:tcPr>
          <w:p w14:paraId="269552DE">
            <w:pPr>
              <w:jc w:val="center"/>
              <w:rPr>
                <w:rFonts w:ascii="仿宋" w:hAnsi="仿宋" w:eastAsia="仿宋" w:cs="仿宋"/>
                <w:color w:val="auto"/>
                <w:sz w:val="24"/>
                <w:highlight w:val="none"/>
              </w:rPr>
            </w:pPr>
            <w:r>
              <w:rPr>
                <w:rFonts w:hint="eastAsia" w:ascii="仿宋" w:hAnsi="仿宋" w:eastAsia="仿宋" w:cs="仿宋"/>
                <w:color w:val="auto"/>
                <w:sz w:val="24"/>
                <w:highlight w:val="none"/>
              </w:rPr>
              <w:t>臭氧及颗粒物监测服务</w:t>
            </w:r>
          </w:p>
        </w:tc>
        <w:tc>
          <w:tcPr>
            <w:tcW w:w="2169" w:type="pct"/>
            <w:vAlign w:val="center"/>
          </w:tcPr>
          <w:p w14:paraId="62545F27">
            <w:pPr>
              <w:rPr>
                <w:rFonts w:ascii="仿宋" w:hAnsi="仿宋" w:eastAsia="仿宋" w:cs="仿宋"/>
                <w:color w:val="auto"/>
                <w:sz w:val="24"/>
                <w:highlight w:val="none"/>
              </w:rPr>
            </w:pPr>
            <w:r>
              <w:rPr>
                <w:rFonts w:hint="eastAsia" w:ascii="仿宋" w:hAnsi="仿宋" w:eastAsia="仿宋" w:cs="仿宋"/>
                <w:color w:val="auto"/>
                <w:sz w:val="24"/>
                <w:highlight w:val="none"/>
              </w:rPr>
              <w:t>尘负荷走航监测服务：</w:t>
            </w:r>
          </w:p>
          <w:p w14:paraId="14F88CB3">
            <w:pPr>
              <w:rPr>
                <w:rFonts w:ascii="仿宋" w:hAnsi="仿宋" w:eastAsia="仿宋" w:cs="仿宋"/>
                <w:color w:val="auto"/>
                <w:sz w:val="24"/>
                <w:highlight w:val="none"/>
              </w:rPr>
            </w:pPr>
            <w:r>
              <w:rPr>
                <w:rFonts w:hint="eastAsia" w:ascii="仿宋" w:hAnsi="仿宋" w:eastAsia="仿宋" w:cs="仿宋"/>
                <w:color w:val="auto"/>
                <w:sz w:val="24"/>
                <w:highlight w:val="none"/>
              </w:rPr>
              <w:t>每月开展1次主城区尘负荷走航，每次1天，共12天。每季度开展1次各乡镇尘负荷走航，每次3天，共12天。</w:t>
            </w:r>
          </w:p>
        </w:tc>
        <w:tc>
          <w:tcPr>
            <w:tcW w:w="776" w:type="pct"/>
            <w:vAlign w:val="center"/>
          </w:tcPr>
          <w:p w14:paraId="105E84AD">
            <w:pPr>
              <w:jc w:val="center"/>
              <w:rPr>
                <w:rFonts w:ascii="仿宋" w:hAnsi="仿宋" w:eastAsia="仿宋" w:cs="仿宋"/>
                <w:color w:val="auto"/>
                <w:sz w:val="24"/>
                <w:highlight w:val="none"/>
              </w:rPr>
            </w:pPr>
            <w:r>
              <w:rPr>
                <w:rFonts w:hint="eastAsia" w:ascii="仿宋" w:hAnsi="仿宋" w:eastAsia="仿宋" w:cs="仿宋"/>
                <w:color w:val="auto"/>
                <w:sz w:val="24"/>
                <w:highlight w:val="none"/>
              </w:rPr>
              <w:t>24天</w:t>
            </w:r>
          </w:p>
        </w:tc>
        <w:tc>
          <w:tcPr>
            <w:tcW w:w="943" w:type="pct"/>
            <w:vAlign w:val="center"/>
          </w:tcPr>
          <w:p w14:paraId="77931FEA">
            <w:pPr>
              <w:jc w:val="center"/>
              <w:rPr>
                <w:rFonts w:ascii="仿宋" w:hAnsi="仿宋" w:eastAsia="仿宋" w:cs="仿宋"/>
                <w:color w:val="auto"/>
                <w:sz w:val="24"/>
                <w:highlight w:val="none"/>
              </w:rPr>
            </w:pPr>
          </w:p>
        </w:tc>
      </w:tr>
      <w:tr w14:paraId="13BDA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4" w:type="pct"/>
            <w:vMerge w:val="continue"/>
            <w:vAlign w:val="center"/>
          </w:tcPr>
          <w:p w14:paraId="228CC0DB">
            <w:pPr>
              <w:jc w:val="center"/>
              <w:rPr>
                <w:rFonts w:ascii="仿宋" w:hAnsi="仿宋" w:eastAsia="仿宋" w:cs="仿宋"/>
                <w:color w:val="auto"/>
                <w:sz w:val="24"/>
                <w:highlight w:val="none"/>
              </w:rPr>
            </w:pPr>
          </w:p>
        </w:tc>
        <w:tc>
          <w:tcPr>
            <w:tcW w:w="656" w:type="pct"/>
            <w:vMerge w:val="continue"/>
            <w:vAlign w:val="center"/>
          </w:tcPr>
          <w:p w14:paraId="67ED8AE2">
            <w:pPr>
              <w:jc w:val="center"/>
              <w:rPr>
                <w:rFonts w:ascii="仿宋" w:hAnsi="仿宋" w:eastAsia="仿宋" w:cs="仿宋"/>
                <w:color w:val="auto"/>
                <w:sz w:val="24"/>
                <w:highlight w:val="none"/>
              </w:rPr>
            </w:pPr>
          </w:p>
        </w:tc>
        <w:tc>
          <w:tcPr>
            <w:tcW w:w="2169" w:type="pct"/>
            <w:vAlign w:val="center"/>
          </w:tcPr>
          <w:p w14:paraId="2F2789D0">
            <w:pPr>
              <w:rPr>
                <w:rFonts w:ascii="仿宋" w:hAnsi="仿宋" w:eastAsia="仿宋" w:cs="仿宋"/>
                <w:color w:val="auto"/>
                <w:sz w:val="24"/>
                <w:highlight w:val="none"/>
              </w:rPr>
            </w:pPr>
            <w:r>
              <w:rPr>
                <w:rFonts w:hint="eastAsia" w:ascii="仿宋" w:hAnsi="仿宋" w:eastAsia="仿宋" w:cs="仿宋"/>
                <w:color w:val="auto"/>
                <w:sz w:val="24"/>
                <w:highlight w:val="none"/>
              </w:rPr>
              <w:t>PM</w:t>
            </w:r>
            <w:r>
              <w:rPr>
                <w:rFonts w:hint="eastAsia" w:ascii="仿宋" w:hAnsi="仿宋" w:eastAsia="仿宋" w:cs="仿宋"/>
                <w:color w:val="auto"/>
                <w:sz w:val="24"/>
                <w:highlight w:val="none"/>
                <w:vertAlign w:val="subscript"/>
              </w:rPr>
              <w:t>2.5</w:t>
            </w:r>
            <w:r>
              <w:rPr>
                <w:rFonts w:hint="eastAsia" w:ascii="仿宋" w:hAnsi="仿宋" w:eastAsia="仿宋" w:cs="仿宋"/>
                <w:color w:val="auto"/>
                <w:sz w:val="24"/>
                <w:highlight w:val="none"/>
              </w:rPr>
              <w:t>颗粒物激光雷达走航服务：</w:t>
            </w:r>
          </w:p>
          <w:p w14:paraId="556BBA74">
            <w:pPr>
              <w:rPr>
                <w:rFonts w:ascii="仿宋" w:hAnsi="仿宋" w:eastAsia="仿宋" w:cs="仿宋"/>
                <w:color w:val="auto"/>
                <w:sz w:val="24"/>
                <w:highlight w:val="none"/>
              </w:rPr>
            </w:pPr>
            <w:r>
              <w:rPr>
                <w:rFonts w:hint="eastAsia" w:ascii="仿宋" w:hAnsi="仿宋" w:eastAsia="仿宋" w:cs="仿宋"/>
                <w:color w:val="auto"/>
                <w:sz w:val="24"/>
                <w:highlight w:val="none"/>
              </w:rPr>
              <w:t>颗粒物走航不少于10次（天）。</w:t>
            </w:r>
          </w:p>
        </w:tc>
        <w:tc>
          <w:tcPr>
            <w:tcW w:w="776" w:type="pct"/>
            <w:vAlign w:val="center"/>
          </w:tcPr>
          <w:p w14:paraId="25A4EFD3">
            <w:pPr>
              <w:jc w:val="center"/>
              <w:rPr>
                <w:rFonts w:ascii="仿宋" w:hAnsi="仿宋" w:eastAsia="仿宋" w:cs="仿宋"/>
                <w:color w:val="auto"/>
                <w:sz w:val="24"/>
                <w:highlight w:val="none"/>
              </w:rPr>
            </w:pPr>
            <w:r>
              <w:rPr>
                <w:rFonts w:hint="eastAsia" w:ascii="仿宋" w:hAnsi="仿宋" w:eastAsia="仿宋" w:cs="仿宋"/>
                <w:color w:val="auto"/>
                <w:sz w:val="24"/>
                <w:highlight w:val="none"/>
              </w:rPr>
              <w:t>10天</w:t>
            </w:r>
          </w:p>
        </w:tc>
        <w:tc>
          <w:tcPr>
            <w:tcW w:w="943" w:type="pct"/>
            <w:vAlign w:val="center"/>
          </w:tcPr>
          <w:p w14:paraId="78BC22F8">
            <w:pPr>
              <w:jc w:val="center"/>
              <w:rPr>
                <w:rFonts w:ascii="仿宋" w:hAnsi="仿宋" w:eastAsia="仿宋" w:cs="仿宋"/>
                <w:color w:val="auto"/>
                <w:sz w:val="24"/>
                <w:highlight w:val="none"/>
              </w:rPr>
            </w:pPr>
          </w:p>
        </w:tc>
      </w:tr>
      <w:tr w14:paraId="3DF17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0" w:hRule="atLeast"/>
          <w:jc w:val="center"/>
        </w:trPr>
        <w:tc>
          <w:tcPr>
            <w:tcW w:w="454" w:type="pct"/>
            <w:vMerge w:val="continue"/>
            <w:vAlign w:val="center"/>
          </w:tcPr>
          <w:p w14:paraId="3F55982A">
            <w:pPr>
              <w:jc w:val="center"/>
              <w:rPr>
                <w:rFonts w:ascii="仿宋" w:hAnsi="仿宋" w:eastAsia="仿宋" w:cs="仿宋"/>
                <w:color w:val="auto"/>
                <w:sz w:val="24"/>
                <w:highlight w:val="none"/>
              </w:rPr>
            </w:pPr>
          </w:p>
        </w:tc>
        <w:tc>
          <w:tcPr>
            <w:tcW w:w="656" w:type="pct"/>
            <w:vMerge w:val="continue"/>
            <w:vAlign w:val="center"/>
          </w:tcPr>
          <w:p w14:paraId="709CE338">
            <w:pPr>
              <w:jc w:val="center"/>
              <w:rPr>
                <w:rFonts w:ascii="仿宋" w:hAnsi="仿宋" w:eastAsia="仿宋" w:cs="仿宋"/>
                <w:color w:val="auto"/>
                <w:sz w:val="24"/>
                <w:highlight w:val="none"/>
              </w:rPr>
            </w:pPr>
          </w:p>
        </w:tc>
        <w:tc>
          <w:tcPr>
            <w:tcW w:w="2169" w:type="pct"/>
            <w:vAlign w:val="center"/>
          </w:tcPr>
          <w:p w14:paraId="7A80F3A2">
            <w:pPr>
              <w:rPr>
                <w:rFonts w:ascii="仿宋" w:hAnsi="仿宋" w:eastAsia="仿宋" w:cs="仿宋"/>
                <w:color w:val="auto"/>
                <w:sz w:val="24"/>
                <w:highlight w:val="none"/>
              </w:rPr>
            </w:pPr>
            <w:r>
              <w:rPr>
                <w:rFonts w:hint="eastAsia" w:ascii="仿宋" w:hAnsi="仿宋" w:eastAsia="仿宋" w:cs="仿宋"/>
                <w:color w:val="auto"/>
                <w:sz w:val="24"/>
                <w:highlight w:val="none"/>
              </w:rPr>
              <w:t>臭氧来源解析：</w:t>
            </w:r>
          </w:p>
          <w:p w14:paraId="608F7E30">
            <w:pPr>
              <w:rPr>
                <w:rFonts w:ascii="仿宋" w:hAnsi="仿宋" w:eastAsia="仿宋" w:cs="仿宋"/>
                <w:color w:val="auto"/>
                <w:sz w:val="24"/>
                <w:highlight w:val="none"/>
              </w:rPr>
            </w:pPr>
            <w:r>
              <w:rPr>
                <w:rFonts w:hint="eastAsia" w:ascii="仿宋" w:hAnsi="仿宋" w:eastAsia="仿宋" w:cs="仿宋"/>
                <w:color w:val="auto"/>
                <w:sz w:val="24"/>
                <w:highlight w:val="none"/>
              </w:rPr>
              <w:t>使用受体模型PMF来判断主要污染来源以及各污染源对大气VOCs污染的相对贡献，对O</w:t>
            </w:r>
            <w:r>
              <w:rPr>
                <w:rFonts w:hint="eastAsia" w:ascii="仿宋" w:hAnsi="仿宋" w:eastAsia="仿宋" w:cs="仿宋"/>
                <w:color w:val="auto"/>
                <w:sz w:val="24"/>
                <w:highlight w:val="none"/>
                <w:vertAlign w:val="subscript"/>
              </w:rPr>
              <w:t>3</w:t>
            </w:r>
            <w:r>
              <w:rPr>
                <w:rFonts w:hint="eastAsia" w:ascii="仿宋" w:hAnsi="仿宋" w:eastAsia="仿宋" w:cs="仿宋"/>
                <w:color w:val="auto"/>
                <w:sz w:val="24"/>
                <w:highlight w:val="none"/>
              </w:rPr>
              <w:t>污染现状和特征开展深入研究，监测时间10天。</w:t>
            </w:r>
          </w:p>
        </w:tc>
        <w:tc>
          <w:tcPr>
            <w:tcW w:w="776" w:type="pct"/>
            <w:vAlign w:val="center"/>
          </w:tcPr>
          <w:p w14:paraId="3DE2B58C">
            <w:pPr>
              <w:jc w:val="center"/>
              <w:rPr>
                <w:rFonts w:ascii="仿宋" w:hAnsi="仿宋" w:eastAsia="仿宋" w:cs="仿宋"/>
                <w:color w:val="auto"/>
                <w:sz w:val="24"/>
                <w:highlight w:val="none"/>
              </w:rPr>
            </w:pPr>
            <w:r>
              <w:rPr>
                <w:rFonts w:hint="eastAsia" w:ascii="仿宋" w:hAnsi="仿宋" w:eastAsia="仿宋" w:cs="仿宋"/>
                <w:color w:val="auto"/>
                <w:sz w:val="24"/>
                <w:highlight w:val="none"/>
              </w:rPr>
              <w:t>2次</w:t>
            </w:r>
          </w:p>
        </w:tc>
        <w:tc>
          <w:tcPr>
            <w:tcW w:w="943" w:type="pct"/>
            <w:vAlign w:val="center"/>
          </w:tcPr>
          <w:p w14:paraId="09FEDC5A">
            <w:pPr>
              <w:jc w:val="center"/>
              <w:rPr>
                <w:rFonts w:ascii="仿宋" w:hAnsi="仿宋" w:eastAsia="仿宋" w:cs="仿宋"/>
                <w:color w:val="auto"/>
                <w:sz w:val="24"/>
                <w:highlight w:val="none"/>
              </w:rPr>
            </w:pPr>
          </w:p>
        </w:tc>
      </w:tr>
      <w:tr w14:paraId="3FFAE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454" w:type="pct"/>
            <w:vAlign w:val="center"/>
          </w:tcPr>
          <w:p w14:paraId="33B11142">
            <w:pPr>
              <w:jc w:val="center"/>
              <w:rPr>
                <w:rFonts w:ascii="仿宋" w:hAnsi="仿宋" w:eastAsia="仿宋" w:cs="仿宋"/>
                <w:color w:val="auto"/>
                <w:sz w:val="24"/>
                <w:highlight w:val="none"/>
              </w:rPr>
            </w:pPr>
            <w:r>
              <w:rPr>
                <w:rFonts w:hint="eastAsia" w:ascii="仿宋" w:hAnsi="仿宋" w:eastAsia="仿宋" w:cs="仿宋"/>
                <w:color w:val="auto"/>
                <w:sz w:val="24"/>
                <w:highlight w:val="none"/>
              </w:rPr>
              <w:t>4</w:t>
            </w:r>
          </w:p>
        </w:tc>
        <w:tc>
          <w:tcPr>
            <w:tcW w:w="656" w:type="pct"/>
            <w:vAlign w:val="center"/>
          </w:tcPr>
          <w:p w14:paraId="12544B79">
            <w:pPr>
              <w:jc w:val="center"/>
              <w:rPr>
                <w:rFonts w:ascii="仿宋" w:hAnsi="仿宋" w:eastAsia="仿宋" w:cs="仿宋"/>
                <w:color w:val="auto"/>
                <w:sz w:val="24"/>
                <w:highlight w:val="none"/>
              </w:rPr>
            </w:pPr>
            <w:r>
              <w:rPr>
                <w:rFonts w:hint="eastAsia" w:ascii="仿宋" w:hAnsi="仿宋" w:eastAsia="仿宋" w:cs="仿宋"/>
                <w:color w:val="auto"/>
                <w:sz w:val="24"/>
                <w:highlight w:val="none"/>
              </w:rPr>
              <w:t>无人机监测服务</w:t>
            </w:r>
          </w:p>
        </w:tc>
        <w:tc>
          <w:tcPr>
            <w:tcW w:w="2169" w:type="pct"/>
            <w:vAlign w:val="center"/>
          </w:tcPr>
          <w:p w14:paraId="0081D70C">
            <w:pPr>
              <w:jc w:val="left"/>
              <w:rPr>
                <w:rFonts w:ascii="仿宋" w:hAnsi="仿宋" w:eastAsia="仿宋" w:cs="仿宋"/>
                <w:color w:val="auto"/>
                <w:sz w:val="24"/>
                <w:highlight w:val="none"/>
              </w:rPr>
            </w:pPr>
            <w:r>
              <w:rPr>
                <w:rFonts w:hint="eastAsia" w:ascii="仿宋" w:hAnsi="仿宋" w:eastAsia="仿宋" w:cs="仿宋"/>
                <w:color w:val="auto"/>
                <w:sz w:val="24"/>
                <w:highlight w:val="none"/>
              </w:rPr>
              <w:t>提供1台红外无人机，开展全市范围内飞航工作。</w:t>
            </w:r>
          </w:p>
        </w:tc>
        <w:tc>
          <w:tcPr>
            <w:tcW w:w="776" w:type="pct"/>
            <w:vAlign w:val="center"/>
          </w:tcPr>
          <w:p w14:paraId="77ADC61A">
            <w:pPr>
              <w:jc w:val="center"/>
              <w:rPr>
                <w:rFonts w:ascii="仿宋" w:hAnsi="仿宋" w:eastAsia="仿宋" w:cs="仿宋"/>
                <w:color w:val="auto"/>
                <w:sz w:val="24"/>
                <w:highlight w:val="none"/>
              </w:rPr>
            </w:pPr>
            <w:r>
              <w:rPr>
                <w:rFonts w:hint="eastAsia" w:ascii="仿宋" w:hAnsi="仿宋" w:eastAsia="仿宋" w:cs="仿宋"/>
                <w:color w:val="auto"/>
                <w:sz w:val="24"/>
                <w:highlight w:val="none"/>
              </w:rPr>
              <w:t>1台</w:t>
            </w:r>
          </w:p>
        </w:tc>
        <w:tc>
          <w:tcPr>
            <w:tcW w:w="943" w:type="pct"/>
            <w:vAlign w:val="center"/>
          </w:tcPr>
          <w:p w14:paraId="2FC1BB14">
            <w:pPr>
              <w:jc w:val="center"/>
              <w:rPr>
                <w:rFonts w:ascii="仿宋" w:hAnsi="仿宋" w:eastAsia="仿宋" w:cs="仿宋"/>
                <w:color w:val="auto"/>
                <w:sz w:val="24"/>
                <w:highlight w:val="none"/>
              </w:rPr>
            </w:pPr>
          </w:p>
        </w:tc>
      </w:tr>
    </w:tbl>
    <w:p w14:paraId="6A35648E">
      <w:pPr>
        <w:spacing w:line="560" w:lineRule="exact"/>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（二）项目人员配置要求</w:t>
      </w:r>
    </w:p>
    <w:tbl>
      <w:tblPr>
        <w:tblStyle w:val="22"/>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08" w:type="dxa"/>
          <w:bottom w:w="0" w:type="dxa"/>
          <w:right w:w="108" w:type="dxa"/>
        </w:tblCellMar>
      </w:tblPr>
      <w:tblGrid>
        <w:gridCol w:w="975"/>
        <w:gridCol w:w="1547"/>
        <w:gridCol w:w="891"/>
        <w:gridCol w:w="6146"/>
      </w:tblGrid>
      <w:tr w14:paraId="0F1B7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603" w:hRule="atLeast"/>
          <w:jc w:val="center"/>
        </w:trPr>
        <w:tc>
          <w:tcPr>
            <w:tcW w:w="510" w:type="pct"/>
            <w:vAlign w:val="center"/>
          </w:tcPr>
          <w:p w14:paraId="714FB86E">
            <w:pPr>
              <w:spacing w:line="300" w:lineRule="exact"/>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序号</w:t>
            </w:r>
          </w:p>
        </w:tc>
        <w:tc>
          <w:tcPr>
            <w:tcW w:w="809" w:type="pct"/>
            <w:vAlign w:val="center"/>
          </w:tcPr>
          <w:p w14:paraId="222A2FFB">
            <w:pPr>
              <w:spacing w:line="300" w:lineRule="exact"/>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项目</w:t>
            </w:r>
          </w:p>
        </w:tc>
        <w:tc>
          <w:tcPr>
            <w:tcW w:w="466" w:type="pct"/>
            <w:vAlign w:val="center"/>
          </w:tcPr>
          <w:p w14:paraId="7EC11921">
            <w:pPr>
              <w:spacing w:line="300" w:lineRule="exact"/>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数量</w:t>
            </w:r>
          </w:p>
        </w:tc>
        <w:tc>
          <w:tcPr>
            <w:tcW w:w="3214" w:type="pct"/>
            <w:vAlign w:val="center"/>
          </w:tcPr>
          <w:p w14:paraId="6353A75D">
            <w:pPr>
              <w:spacing w:line="300" w:lineRule="exact"/>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职责</w:t>
            </w:r>
          </w:p>
        </w:tc>
      </w:tr>
      <w:tr w14:paraId="1FA66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1014" w:hRule="atLeast"/>
          <w:jc w:val="center"/>
        </w:trPr>
        <w:tc>
          <w:tcPr>
            <w:tcW w:w="510" w:type="pct"/>
            <w:vAlign w:val="center"/>
          </w:tcPr>
          <w:p w14:paraId="6207DE2F">
            <w:pPr>
              <w:spacing w:line="300" w:lineRule="exact"/>
              <w:jc w:val="center"/>
              <w:rPr>
                <w:rFonts w:ascii="仿宋" w:hAnsi="仿宋" w:eastAsia="仿宋" w:cs="仿宋"/>
                <w:color w:val="auto"/>
                <w:highlight w:val="none"/>
              </w:rPr>
            </w:pPr>
            <w:r>
              <w:rPr>
                <w:rFonts w:hint="eastAsia" w:ascii="仿宋" w:hAnsi="仿宋" w:eastAsia="仿宋" w:cs="仿宋"/>
                <w:color w:val="auto"/>
                <w:highlight w:val="none"/>
              </w:rPr>
              <w:t>1</w:t>
            </w:r>
          </w:p>
        </w:tc>
        <w:tc>
          <w:tcPr>
            <w:tcW w:w="809" w:type="pct"/>
            <w:vAlign w:val="center"/>
          </w:tcPr>
          <w:p w14:paraId="5367D99F">
            <w:pPr>
              <w:spacing w:line="300" w:lineRule="exact"/>
              <w:jc w:val="center"/>
              <w:rPr>
                <w:rFonts w:ascii="仿宋" w:hAnsi="仿宋" w:eastAsia="仿宋" w:cs="仿宋"/>
                <w:color w:val="auto"/>
                <w:highlight w:val="none"/>
              </w:rPr>
            </w:pPr>
            <w:r>
              <w:rPr>
                <w:rFonts w:hint="eastAsia" w:ascii="仿宋" w:hAnsi="仿宋" w:eastAsia="仿宋" w:cs="仿宋"/>
                <w:color w:val="auto"/>
                <w:highlight w:val="none"/>
              </w:rPr>
              <w:t>项目经理</w:t>
            </w:r>
          </w:p>
        </w:tc>
        <w:tc>
          <w:tcPr>
            <w:tcW w:w="466" w:type="pct"/>
            <w:vAlign w:val="center"/>
          </w:tcPr>
          <w:p w14:paraId="06B39665">
            <w:pPr>
              <w:spacing w:line="300" w:lineRule="exact"/>
              <w:jc w:val="center"/>
              <w:rPr>
                <w:rFonts w:ascii="仿宋" w:hAnsi="仿宋" w:eastAsia="仿宋" w:cs="仿宋"/>
                <w:color w:val="auto"/>
                <w:highlight w:val="none"/>
              </w:rPr>
            </w:pPr>
            <w:r>
              <w:rPr>
                <w:rFonts w:hint="eastAsia" w:ascii="仿宋" w:hAnsi="仿宋" w:eastAsia="仿宋" w:cs="仿宋"/>
                <w:color w:val="auto"/>
                <w:highlight w:val="none"/>
              </w:rPr>
              <w:t>1人</w:t>
            </w:r>
          </w:p>
        </w:tc>
        <w:tc>
          <w:tcPr>
            <w:tcW w:w="3214" w:type="pct"/>
            <w:vAlign w:val="center"/>
          </w:tcPr>
          <w:p w14:paraId="432DCA94">
            <w:pPr>
              <w:spacing w:line="300" w:lineRule="exact"/>
              <w:jc w:val="left"/>
              <w:rPr>
                <w:rFonts w:ascii="仿宋" w:hAnsi="仿宋" w:eastAsia="仿宋" w:cs="仿宋"/>
                <w:color w:val="auto"/>
                <w:highlight w:val="none"/>
              </w:rPr>
            </w:pPr>
            <w:r>
              <w:rPr>
                <w:rFonts w:hint="eastAsia" w:ascii="仿宋" w:hAnsi="仿宋" w:eastAsia="仿宋" w:cs="仿宋"/>
                <w:color w:val="auto"/>
                <w:highlight w:val="none"/>
              </w:rPr>
              <w:t>负责项目日常管理，配合政府部门组织并参加大气污染防治研判及专家讨论等会议，为本项目提供技术支持。</w:t>
            </w:r>
          </w:p>
        </w:tc>
      </w:tr>
      <w:tr w14:paraId="4C2BD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772" w:hRule="atLeast"/>
          <w:jc w:val="center"/>
        </w:trPr>
        <w:tc>
          <w:tcPr>
            <w:tcW w:w="510" w:type="pct"/>
            <w:vAlign w:val="center"/>
          </w:tcPr>
          <w:p w14:paraId="036A0540">
            <w:pPr>
              <w:spacing w:line="300" w:lineRule="exact"/>
              <w:jc w:val="center"/>
              <w:rPr>
                <w:rFonts w:ascii="仿宋" w:hAnsi="仿宋" w:eastAsia="仿宋" w:cs="仿宋"/>
                <w:color w:val="auto"/>
                <w:highlight w:val="none"/>
              </w:rPr>
            </w:pPr>
            <w:r>
              <w:rPr>
                <w:rFonts w:hint="eastAsia" w:ascii="仿宋" w:hAnsi="仿宋" w:eastAsia="仿宋" w:cs="仿宋"/>
                <w:color w:val="auto"/>
                <w:highlight w:val="none"/>
              </w:rPr>
              <w:t>2</w:t>
            </w:r>
          </w:p>
        </w:tc>
        <w:tc>
          <w:tcPr>
            <w:tcW w:w="809" w:type="pct"/>
            <w:vAlign w:val="center"/>
          </w:tcPr>
          <w:p w14:paraId="216C830A">
            <w:pPr>
              <w:spacing w:line="300" w:lineRule="exact"/>
              <w:jc w:val="center"/>
              <w:rPr>
                <w:rFonts w:ascii="仿宋" w:hAnsi="仿宋" w:eastAsia="仿宋" w:cs="仿宋"/>
                <w:color w:val="auto"/>
                <w:highlight w:val="none"/>
              </w:rPr>
            </w:pPr>
            <w:r>
              <w:rPr>
                <w:rFonts w:hint="eastAsia" w:ascii="仿宋" w:hAnsi="仿宋" w:eastAsia="仿宋" w:cs="仿宋"/>
                <w:color w:val="auto"/>
                <w:highlight w:val="none"/>
              </w:rPr>
              <w:t>数据分析人员</w:t>
            </w:r>
          </w:p>
        </w:tc>
        <w:tc>
          <w:tcPr>
            <w:tcW w:w="466" w:type="pct"/>
            <w:vAlign w:val="center"/>
          </w:tcPr>
          <w:p w14:paraId="44588E62">
            <w:pPr>
              <w:spacing w:line="300" w:lineRule="exact"/>
              <w:jc w:val="center"/>
              <w:rPr>
                <w:rFonts w:ascii="仿宋" w:hAnsi="仿宋" w:eastAsia="仿宋" w:cs="仿宋"/>
                <w:color w:val="auto"/>
                <w:highlight w:val="none"/>
              </w:rPr>
            </w:pPr>
            <w:r>
              <w:rPr>
                <w:rFonts w:hint="eastAsia" w:ascii="仿宋" w:hAnsi="仿宋" w:eastAsia="仿宋" w:cs="仿宋"/>
                <w:color w:val="auto"/>
                <w:highlight w:val="none"/>
              </w:rPr>
              <w:t>2人</w:t>
            </w:r>
          </w:p>
        </w:tc>
        <w:tc>
          <w:tcPr>
            <w:tcW w:w="3214" w:type="pct"/>
            <w:vAlign w:val="center"/>
          </w:tcPr>
          <w:p w14:paraId="78422E95">
            <w:pPr>
              <w:spacing w:line="300" w:lineRule="exact"/>
              <w:rPr>
                <w:rFonts w:ascii="仿宋" w:hAnsi="仿宋" w:eastAsia="仿宋" w:cs="仿宋"/>
                <w:color w:val="auto"/>
                <w:highlight w:val="none"/>
              </w:rPr>
            </w:pPr>
            <w:r>
              <w:rPr>
                <w:rFonts w:hint="eastAsia" w:ascii="仿宋" w:hAnsi="仿宋" w:eastAsia="仿宋" w:cs="仿宋"/>
                <w:color w:val="auto"/>
                <w:highlight w:val="none"/>
              </w:rPr>
              <w:t>结合省/市空气站、在线污染源、网格化监测、气象等数据进行综合分析，对城区空气质量进行分析及研判，提出环境管控建议并提供相应专题报告。</w:t>
            </w:r>
          </w:p>
        </w:tc>
      </w:tr>
      <w:tr w14:paraId="52203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823" w:hRule="atLeast"/>
          <w:jc w:val="center"/>
        </w:trPr>
        <w:tc>
          <w:tcPr>
            <w:tcW w:w="510" w:type="pct"/>
            <w:vAlign w:val="center"/>
          </w:tcPr>
          <w:p w14:paraId="65EF7E8A">
            <w:pPr>
              <w:spacing w:line="300" w:lineRule="exact"/>
              <w:jc w:val="center"/>
              <w:rPr>
                <w:rFonts w:ascii="仿宋" w:hAnsi="仿宋" w:eastAsia="仿宋" w:cs="仿宋"/>
                <w:color w:val="auto"/>
                <w:highlight w:val="none"/>
              </w:rPr>
            </w:pPr>
            <w:r>
              <w:rPr>
                <w:rFonts w:hint="eastAsia" w:ascii="仿宋" w:hAnsi="仿宋" w:eastAsia="仿宋" w:cs="仿宋"/>
                <w:color w:val="auto"/>
                <w:highlight w:val="none"/>
              </w:rPr>
              <w:t>3</w:t>
            </w:r>
          </w:p>
        </w:tc>
        <w:tc>
          <w:tcPr>
            <w:tcW w:w="809" w:type="pct"/>
            <w:vAlign w:val="center"/>
          </w:tcPr>
          <w:p w14:paraId="4879C2A6">
            <w:pPr>
              <w:spacing w:line="300" w:lineRule="exact"/>
              <w:jc w:val="center"/>
              <w:rPr>
                <w:rFonts w:ascii="仿宋" w:hAnsi="仿宋" w:eastAsia="仿宋" w:cs="仿宋"/>
                <w:color w:val="auto"/>
                <w:highlight w:val="none"/>
              </w:rPr>
            </w:pPr>
            <w:r>
              <w:rPr>
                <w:rFonts w:hint="eastAsia" w:ascii="仿宋" w:hAnsi="仿宋" w:eastAsia="仿宋" w:cs="仿宋"/>
                <w:color w:val="auto"/>
                <w:highlight w:val="none"/>
              </w:rPr>
              <w:t>巡查人员</w:t>
            </w:r>
          </w:p>
        </w:tc>
        <w:tc>
          <w:tcPr>
            <w:tcW w:w="466" w:type="pct"/>
            <w:vAlign w:val="center"/>
          </w:tcPr>
          <w:p w14:paraId="020A5785">
            <w:pPr>
              <w:spacing w:line="300" w:lineRule="exact"/>
              <w:jc w:val="center"/>
              <w:rPr>
                <w:rFonts w:ascii="仿宋" w:hAnsi="仿宋" w:eastAsia="仿宋" w:cs="仿宋"/>
                <w:color w:val="auto"/>
                <w:highlight w:val="none"/>
              </w:rPr>
            </w:pPr>
            <w:r>
              <w:rPr>
                <w:rFonts w:hint="eastAsia" w:ascii="仿宋" w:hAnsi="仿宋" w:eastAsia="仿宋" w:cs="仿宋"/>
                <w:color w:val="auto"/>
                <w:highlight w:val="none"/>
              </w:rPr>
              <w:t>2人</w:t>
            </w:r>
          </w:p>
        </w:tc>
        <w:tc>
          <w:tcPr>
            <w:tcW w:w="3214" w:type="pct"/>
            <w:vAlign w:val="center"/>
          </w:tcPr>
          <w:p w14:paraId="144A16DE">
            <w:pPr>
              <w:spacing w:line="300" w:lineRule="exact"/>
              <w:rPr>
                <w:rFonts w:ascii="仿宋" w:hAnsi="仿宋" w:eastAsia="仿宋" w:cs="仿宋"/>
                <w:color w:val="auto"/>
                <w:highlight w:val="none"/>
              </w:rPr>
            </w:pPr>
            <w:r>
              <w:rPr>
                <w:rFonts w:hint="eastAsia" w:ascii="仿宋" w:hAnsi="仿宋" w:eastAsia="仿宋" w:cs="仿宋"/>
                <w:color w:val="auto"/>
                <w:highlight w:val="none"/>
              </w:rPr>
              <w:t>完成日常及污染事件巡查任务，对现场进行拍照取证并提交巡查报告。需提供用于巡查人员驾驶的车辆1辆，便携式六参数、VOC手持设备各1台。</w:t>
            </w:r>
          </w:p>
        </w:tc>
      </w:tr>
      <w:tr w14:paraId="2FE07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762" w:hRule="atLeast"/>
          <w:jc w:val="center"/>
        </w:trPr>
        <w:tc>
          <w:tcPr>
            <w:tcW w:w="510" w:type="pct"/>
            <w:vAlign w:val="center"/>
          </w:tcPr>
          <w:p w14:paraId="652704D9">
            <w:pPr>
              <w:jc w:val="center"/>
              <w:rPr>
                <w:rFonts w:ascii="仿宋" w:hAnsi="仿宋" w:eastAsia="仿宋" w:cs="仿宋"/>
                <w:color w:val="auto"/>
                <w:highlight w:val="none"/>
              </w:rPr>
            </w:pPr>
            <w:r>
              <w:rPr>
                <w:rFonts w:hint="eastAsia" w:ascii="仿宋" w:hAnsi="仿宋" w:eastAsia="仿宋" w:cs="仿宋"/>
                <w:color w:val="auto"/>
                <w:highlight w:val="none"/>
              </w:rPr>
              <w:t>4</w:t>
            </w:r>
          </w:p>
        </w:tc>
        <w:tc>
          <w:tcPr>
            <w:tcW w:w="809" w:type="pct"/>
            <w:vAlign w:val="center"/>
          </w:tcPr>
          <w:p w14:paraId="2A4466C5">
            <w:pPr>
              <w:jc w:val="center"/>
              <w:rPr>
                <w:rFonts w:ascii="仿宋" w:hAnsi="仿宋" w:eastAsia="仿宋" w:cs="仿宋"/>
                <w:color w:val="auto"/>
                <w:highlight w:val="none"/>
              </w:rPr>
            </w:pPr>
            <w:r>
              <w:rPr>
                <w:rFonts w:hint="eastAsia" w:ascii="仿宋" w:hAnsi="仿宋" w:eastAsia="仿宋" w:cs="仿宋"/>
                <w:color w:val="auto"/>
                <w:highlight w:val="none"/>
              </w:rPr>
              <w:t>其他人员</w:t>
            </w:r>
          </w:p>
        </w:tc>
        <w:tc>
          <w:tcPr>
            <w:tcW w:w="466" w:type="pct"/>
            <w:vAlign w:val="center"/>
          </w:tcPr>
          <w:p w14:paraId="33DA3F4B">
            <w:pPr>
              <w:jc w:val="center"/>
              <w:rPr>
                <w:rFonts w:ascii="仿宋" w:hAnsi="仿宋" w:eastAsia="仿宋" w:cs="仿宋"/>
                <w:color w:val="auto"/>
                <w:highlight w:val="none"/>
              </w:rPr>
            </w:pPr>
            <w:r>
              <w:rPr>
                <w:rFonts w:hint="eastAsia" w:ascii="仿宋" w:hAnsi="仿宋" w:eastAsia="仿宋" w:cs="仿宋"/>
                <w:color w:val="auto"/>
                <w:highlight w:val="none"/>
              </w:rPr>
              <w:t>2人</w:t>
            </w:r>
          </w:p>
        </w:tc>
        <w:tc>
          <w:tcPr>
            <w:tcW w:w="3214" w:type="pct"/>
            <w:vAlign w:val="center"/>
          </w:tcPr>
          <w:p w14:paraId="0BDE0FC8">
            <w:pPr>
              <w:spacing w:line="300" w:lineRule="exact"/>
              <w:rPr>
                <w:rFonts w:ascii="仿宋" w:hAnsi="仿宋" w:eastAsia="仿宋" w:cs="仿宋"/>
                <w:color w:val="auto"/>
                <w:highlight w:val="none"/>
              </w:rPr>
            </w:pPr>
            <w:r>
              <w:rPr>
                <w:rFonts w:hint="eastAsia" w:ascii="仿宋" w:hAnsi="仿宋" w:eastAsia="仿宋" w:cs="仿宋"/>
                <w:color w:val="auto"/>
                <w:highlight w:val="none"/>
              </w:rPr>
              <w:t>根据项目需要，派遣专业工程师开展颗粒物及臭氧源解析工作，辅助开展大气精准管控项目实施，相关人员结合服务要求按需在场。</w:t>
            </w:r>
          </w:p>
        </w:tc>
      </w:tr>
    </w:tbl>
    <w:p w14:paraId="0C0E38BB">
      <w:pPr>
        <w:spacing w:line="560" w:lineRule="exact"/>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（三）基础设施</w:t>
      </w:r>
    </w:p>
    <w:tbl>
      <w:tblPr>
        <w:tblStyle w:val="23"/>
        <w:tblW w:w="50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85"/>
        <w:gridCol w:w="3484"/>
        <w:gridCol w:w="1532"/>
        <w:gridCol w:w="2871"/>
      </w:tblGrid>
      <w:tr w14:paraId="5F558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880" w:type="pct"/>
            <w:vAlign w:val="center"/>
          </w:tcPr>
          <w:p w14:paraId="41DB2587">
            <w:pPr>
              <w:jc w:val="center"/>
              <w:rPr>
                <w:rFonts w:ascii="仿宋" w:hAnsi="仿宋" w:eastAsia="仿宋" w:cs="仿宋"/>
                <w:color w:val="auto"/>
                <w:sz w:val="24"/>
                <w:highlight w:val="none"/>
              </w:rPr>
            </w:pPr>
            <w:r>
              <w:rPr>
                <w:rFonts w:hint="eastAsia" w:ascii="仿宋" w:hAnsi="仿宋" w:eastAsia="仿宋" w:cs="仿宋"/>
                <w:color w:val="auto"/>
                <w:sz w:val="24"/>
                <w:highlight w:val="none"/>
              </w:rPr>
              <w:t>序号</w:t>
            </w:r>
          </w:p>
        </w:tc>
        <w:tc>
          <w:tcPr>
            <w:tcW w:w="1819" w:type="pct"/>
            <w:vAlign w:val="center"/>
          </w:tcPr>
          <w:p w14:paraId="5840C858">
            <w:pPr>
              <w:jc w:val="center"/>
              <w:rPr>
                <w:rFonts w:ascii="仿宋" w:hAnsi="仿宋" w:eastAsia="仿宋" w:cs="仿宋"/>
                <w:color w:val="auto"/>
                <w:sz w:val="24"/>
                <w:highlight w:val="none"/>
              </w:rPr>
            </w:pPr>
            <w:r>
              <w:rPr>
                <w:rFonts w:hint="eastAsia" w:ascii="仿宋" w:hAnsi="仿宋" w:eastAsia="仿宋" w:cs="仿宋"/>
                <w:color w:val="auto"/>
                <w:sz w:val="24"/>
                <w:highlight w:val="none"/>
              </w:rPr>
              <w:t>设备名称</w:t>
            </w:r>
          </w:p>
        </w:tc>
        <w:tc>
          <w:tcPr>
            <w:tcW w:w="800" w:type="pct"/>
            <w:vAlign w:val="center"/>
          </w:tcPr>
          <w:p w14:paraId="75852B8C">
            <w:pPr>
              <w:jc w:val="center"/>
              <w:rPr>
                <w:rFonts w:ascii="仿宋" w:hAnsi="仿宋" w:eastAsia="仿宋" w:cs="仿宋"/>
                <w:color w:val="auto"/>
                <w:sz w:val="24"/>
                <w:highlight w:val="none"/>
              </w:rPr>
            </w:pPr>
            <w:r>
              <w:rPr>
                <w:rFonts w:hint="eastAsia" w:ascii="仿宋" w:hAnsi="仿宋" w:eastAsia="仿宋" w:cs="仿宋"/>
                <w:color w:val="auto"/>
                <w:sz w:val="24"/>
                <w:highlight w:val="none"/>
              </w:rPr>
              <w:t>数量</w:t>
            </w:r>
          </w:p>
        </w:tc>
        <w:tc>
          <w:tcPr>
            <w:tcW w:w="1499" w:type="pct"/>
            <w:vAlign w:val="center"/>
          </w:tcPr>
          <w:p w14:paraId="691A4223">
            <w:pPr>
              <w:jc w:val="center"/>
              <w:rPr>
                <w:rFonts w:ascii="仿宋" w:hAnsi="仿宋" w:eastAsia="仿宋" w:cs="仿宋"/>
                <w:color w:val="auto"/>
                <w:sz w:val="24"/>
                <w:highlight w:val="none"/>
              </w:rPr>
            </w:pPr>
            <w:r>
              <w:rPr>
                <w:rFonts w:hint="eastAsia" w:ascii="仿宋" w:hAnsi="仿宋" w:eastAsia="仿宋" w:cs="仿宋"/>
                <w:color w:val="auto"/>
                <w:sz w:val="24"/>
                <w:highlight w:val="none"/>
              </w:rPr>
              <w:t>备注</w:t>
            </w:r>
          </w:p>
        </w:tc>
      </w:tr>
      <w:tr w14:paraId="07E72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880" w:type="pct"/>
            <w:vAlign w:val="center"/>
          </w:tcPr>
          <w:p w14:paraId="1F3D9EB8">
            <w:pPr>
              <w:jc w:val="center"/>
              <w:rPr>
                <w:rFonts w:ascii="仿宋" w:hAnsi="仿宋" w:eastAsia="仿宋" w:cs="仿宋"/>
                <w:color w:val="auto"/>
                <w:sz w:val="24"/>
                <w:highlight w:val="none"/>
              </w:rPr>
            </w:pPr>
            <w:r>
              <w:rPr>
                <w:rFonts w:hint="eastAsia" w:ascii="仿宋" w:hAnsi="仿宋" w:eastAsia="仿宋" w:cs="仿宋"/>
                <w:color w:val="auto"/>
                <w:sz w:val="24"/>
                <w:highlight w:val="none"/>
              </w:rPr>
              <w:t>1</w:t>
            </w:r>
          </w:p>
        </w:tc>
        <w:tc>
          <w:tcPr>
            <w:tcW w:w="1819" w:type="pct"/>
            <w:vAlign w:val="center"/>
          </w:tcPr>
          <w:p w14:paraId="2DA65D0A">
            <w:pPr>
              <w:jc w:val="center"/>
              <w:rPr>
                <w:rFonts w:ascii="仿宋" w:hAnsi="仿宋" w:eastAsia="仿宋" w:cs="仿宋"/>
                <w:color w:val="auto"/>
                <w:sz w:val="24"/>
                <w:highlight w:val="none"/>
              </w:rPr>
            </w:pPr>
            <w:r>
              <w:rPr>
                <w:rFonts w:hint="eastAsia" w:ascii="仿宋" w:hAnsi="仿宋" w:eastAsia="仿宋" w:cs="仿宋"/>
                <w:color w:val="auto"/>
                <w:sz w:val="24"/>
                <w:highlight w:val="none"/>
              </w:rPr>
              <w:t>提供巡查用车</w:t>
            </w:r>
          </w:p>
        </w:tc>
        <w:tc>
          <w:tcPr>
            <w:tcW w:w="800" w:type="pct"/>
            <w:vAlign w:val="center"/>
          </w:tcPr>
          <w:p w14:paraId="7FB30D6C">
            <w:pPr>
              <w:jc w:val="center"/>
              <w:rPr>
                <w:rFonts w:ascii="仿宋" w:hAnsi="仿宋" w:eastAsia="仿宋" w:cs="仿宋"/>
                <w:color w:val="auto"/>
                <w:sz w:val="24"/>
                <w:highlight w:val="none"/>
              </w:rPr>
            </w:pPr>
            <w:r>
              <w:rPr>
                <w:rFonts w:hint="eastAsia" w:ascii="仿宋" w:hAnsi="仿宋" w:eastAsia="仿宋" w:cs="仿宋"/>
                <w:color w:val="auto"/>
                <w:sz w:val="24"/>
                <w:highlight w:val="none"/>
              </w:rPr>
              <w:t>1辆</w:t>
            </w:r>
          </w:p>
        </w:tc>
        <w:tc>
          <w:tcPr>
            <w:tcW w:w="1499" w:type="pct"/>
            <w:vAlign w:val="center"/>
          </w:tcPr>
          <w:p w14:paraId="53EECAD9">
            <w:pPr>
              <w:jc w:val="center"/>
              <w:rPr>
                <w:rFonts w:ascii="仿宋" w:hAnsi="仿宋" w:eastAsia="仿宋" w:cs="仿宋"/>
                <w:color w:val="auto"/>
                <w:sz w:val="24"/>
                <w:highlight w:val="none"/>
              </w:rPr>
            </w:pPr>
          </w:p>
        </w:tc>
      </w:tr>
      <w:tr w14:paraId="604FE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880" w:type="pct"/>
            <w:vAlign w:val="center"/>
          </w:tcPr>
          <w:p w14:paraId="1BBD121A">
            <w:pPr>
              <w:jc w:val="center"/>
              <w:rPr>
                <w:rFonts w:ascii="仿宋" w:hAnsi="仿宋" w:eastAsia="仿宋" w:cs="仿宋"/>
                <w:color w:val="auto"/>
                <w:sz w:val="24"/>
                <w:highlight w:val="none"/>
              </w:rPr>
            </w:pPr>
            <w:r>
              <w:rPr>
                <w:rFonts w:hint="eastAsia" w:ascii="仿宋" w:hAnsi="仿宋" w:eastAsia="仿宋" w:cs="仿宋"/>
                <w:color w:val="auto"/>
                <w:sz w:val="24"/>
                <w:highlight w:val="none"/>
              </w:rPr>
              <w:t>2</w:t>
            </w:r>
          </w:p>
        </w:tc>
        <w:tc>
          <w:tcPr>
            <w:tcW w:w="1819" w:type="pct"/>
            <w:vAlign w:val="center"/>
          </w:tcPr>
          <w:p w14:paraId="5793441D">
            <w:pPr>
              <w:jc w:val="center"/>
              <w:rPr>
                <w:rFonts w:ascii="仿宋" w:hAnsi="仿宋" w:eastAsia="仿宋" w:cs="仿宋"/>
                <w:color w:val="auto"/>
                <w:sz w:val="24"/>
                <w:highlight w:val="none"/>
              </w:rPr>
            </w:pPr>
            <w:r>
              <w:rPr>
                <w:rFonts w:hint="eastAsia" w:ascii="仿宋" w:hAnsi="仿宋" w:eastAsia="仿宋" w:cs="仿宋"/>
                <w:color w:val="auto"/>
                <w:sz w:val="24"/>
                <w:highlight w:val="none"/>
              </w:rPr>
              <w:t>手持VOC设备</w:t>
            </w:r>
          </w:p>
        </w:tc>
        <w:tc>
          <w:tcPr>
            <w:tcW w:w="800" w:type="pct"/>
            <w:vAlign w:val="center"/>
          </w:tcPr>
          <w:p w14:paraId="60BBA34D">
            <w:pPr>
              <w:jc w:val="center"/>
              <w:rPr>
                <w:rFonts w:ascii="仿宋" w:hAnsi="仿宋" w:eastAsia="仿宋" w:cs="仿宋"/>
                <w:color w:val="auto"/>
                <w:sz w:val="24"/>
                <w:highlight w:val="none"/>
              </w:rPr>
            </w:pPr>
            <w:r>
              <w:rPr>
                <w:rFonts w:hint="eastAsia" w:ascii="仿宋" w:hAnsi="仿宋" w:eastAsia="仿宋" w:cs="仿宋"/>
                <w:color w:val="auto"/>
                <w:sz w:val="24"/>
                <w:highlight w:val="none"/>
              </w:rPr>
              <w:t>1台</w:t>
            </w:r>
          </w:p>
        </w:tc>
        <w:tc>
          <w:tcPr>
            <w:tcW w:w="1499" w:type="pct"/>
            <w:vAlign w:val="center"/>
          </w:tcPr>
          <w:p w14:paraId="5CD8204F">
            <w:pPr>
              <w:jc w:val="center"/>
              <w:rPr>
                <w:rFonts w:ascii="仿宋" w:hAnsi="仿宋" w:eastAsia="仿宋" w:cs="仿宋"/>
                <w:color w:val="auto"/>
                <w:sz w:val="24"/>
                <w:highlight w:val="none"/>
              </w:rPr>
            </w:pPr>
          </w:p>
        </w:tc>
      </w:tr>
      <w:tr w14:paraId="0E27B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880" w:type="pct"/>
            <w:vAlign w:val="center"/>
          </w:tcPr>
          <w:p w14:paraId="753AE1BF">
            <w:pPr>
              <w:jc w:val="center"/>
              <w:rPr>
                <w:rFonts w:ascii="仿宋" w:hAnsi="仿宋" w:eastAsia="仿宋" w:cs="仿宋"/>
                <w:color w:val="auto"/>
                <w:sz w:val="24"/>
                <w:highlight w:val="none"/>
              </w:rPr>
            </w:pPr>
            <w:r>
              <w:rPr>
                <w:rFonts w:hint="eastAsia" w:ascii="仿宋" w:hAnsi="仿宋" w:eastAsia="仿宋" w:cs="仿宋"/>
                <w:color w:val="auto"/>
                <w:sz w:val="24"/>
                <w:highlight w:val="none"/>
              </w:rPr>
              <w:t>3</w:t>
            </w:r>
          </w:p>
        </w:tc>
        <w:tc>
          <w:tcPr>
            <w:tcW w:w="1819" w:type="pct"/>
            <w:vAlign w:val="center"/>
          </w:tcPr>
          <w:p w14:paraId="2107FC48">
            <w:pPr>
              <w:jc w:val="center"/>
              <w:rPr>
                <w:rFonts w:ascii="仿宋" w:hAnsi="仿宋" w:eastAsia="仿宋" w:cs="仿宋"/>
                <w:color w:val="auto"/>
                <w:sz w:val="24"/>
                <w:highlight w:val="none"/>
              </w:rPr>
            </w:pPr>
            <w:r>
              <w:rPr>
                <w:rFonts w:hint="eastAsia" w:ascii="仿宋" w:hAnsi="仿宋" w:eastAsia="仿宋" w:cs="仿宋"/>
                <w:color w:val="auto"/>
                <w:sz w:val="24"/>
                <w:highlight w:val="none"/>
              </w:rPr>
              <w:t>便携式六参</w:t>
            </w:r>
          </w:p>
        </w:tc>
        <w:tc>
          <w:tcPr>
            <w:tcW w:w="800" w:type="pct"/>
            <w:vAlign w:val="center"/>
          </w:tcPr>
          <w:p w14:paraId="3797D8BA">
            <w:pPr>
              <w:jc w:val="center"/>
              <w:rPr>
                <w:rFonts w:ascii="仿宋" w:hAnsi="仿宋" w:eastAsia="仿宋" w:cs="仿宋"/>
                <w:color w:val="auto"/>
                <w:sz w:val="24"/>
                <w:highlight w:val="none"/>
              </w:rPr>
            </w:pPr>
            <w:r>
              <w:rPr>
                <w:rFonts w:hint="eastAsia" w:ascii="仿宋" w:hAnsi="仿宋" w:eastAsia="仿宋" w:cs="仿宋"/>
                <w:color w:val="auto"/>
                <w:sz w:val="24"/>
                <w:highlight w:val="none"/>
              </w:rPr>
              <w:t>1台</w:t>
            </w:r>
          </w:p>
        </w:tc>
        <w:tc>
          <w:tcPr>
            <w:tcW w:w="1499" w:type="pct"/>
            <w:vAlign w:val="center"/>
          </w:tcPr>
          <w:p w14:paraId="2B79ABE5">
            <w:pPr>
              <w:jc w:val="center"/>
              <w:rPr>
                <w:rFonts w:ascii="仿宋" w:hAnsi="仿宋" w:eastAsia="仿宋" w:cs="仿宋"/>
                <w:color w:val="auto"/>
                <w:sz w:val="24"/>
                <w:highlight w:val="none"/>
              </w:rPr>
            </w:pPr>
            <w:r>
              <w:rPr>
                <w:rFonts w:hint="eastAsia" w:ascii="仿宋" w:hAnsi="仿宋" w:eastAsia="仿宋" w:cs="仿宋"/>
                <w:color w:val="auto"/>
                <w:sz w:val="24"/>
                <w:highlight w:val="none"/>
              </w:rPr>
              <w:t>可实时查看空间分布数据</w:t>
            </w:r>
          </w:p>
        </w:tc>
      </w:tr>
    </w:tbl>
    <w:p w14:paraId="37C1E4FA">
      <w:pPr>
        <w:pStyle w:val="20"/>
        <w:shd w:val="clear" w:color="auto" w:fill="FFFFFF"/>
        <w:spacing w:before="0" w:beforeAutospacing="0" w:after="0" w:afterAutospacing="0" w:line="500" w:lineRule="exact"/>
        <w:ind w:firstLine="562" w:firstLineChars="200"/>
        <w:textAlignment w:val="baseline"/>
        <w:rPr>
          <w:rFonts w:ascii="仿宋" w:hAnsi="仿宋" w:eastAsia="仿宋"/>
          <w:b/>
          <w:bCs/>
          <w:iCs/>
          <w:color w:val="auto"/>
          <w:sz w:val="28"/>
          <w:szCs w:val="28"/>
          <w:highlight w:val="none"/>
        </w:rPr>
      </w:pPr>
      <w:r>
        <w:rPr>
          <w:rFonts w:hint="eastAsia" w:ascii="仿宋" w:hAnsi="仿宋" w:eastAsia="仿宋"/>
          <w:b/>
          <w:bCs/>
          <w:iCs/>
          <w:color w:val="auto"/>
          <w:sz w:val="28"/>
          <w:szCs w:val="28"/>
          <w:highlight w:val="none"/>
        </w:rPr>
        <w:t>注:1.上述人员数量为供应商响应本项目拟派的最低人员数量标准，响应文件中提供人员名录（包括不限于姓名、身份证号码、人员岗位职务等），并提供响应文件提交截止日前最近1个月响应供应商为其缴纳社保的证明；新成立企业距响应文件提交截止日期不足30日的，可不提供缴纳社保的证明（以新办企业营业执照发放日期为准）。未按要求提供的视为无效响应文件。</w:t>
      </w:r>
    </w:p>
    <w:p w14:paraId="660712B0">
      <w:pPr>
        <w:pStyle w:val="20"/>
        <w:shd w:val="clear" w:color="auto" w:fill="FFFFFF"/>
        <w:spacing w:before="0" w:beforeAutospacing="0" w:after="0" w:afterAutospacing="0" w:line="500" w:lineRule="exact"/>
        <w:ind w:firstLine="562" w:firstLineChars="200"/>
        <w:textAlignment w:val="baseline"/>
        <w:rPr>
          <w:rFonts w:ascii="仿宋" w:hAnsi="仿宋" w:eastAsia="仿宋"/>
          <w:b/>
          <w:bCs/>
          <w:iCs/>
          <w:color w:val="auto"/>
          <w:sz w:val="28"/>
          <w:szCs w:val="28"/>
          <w:highlight w:val="none"/>
        </w:rPr>
      </w:pPr>
      <w:r>
        <w:rPr>
          <w:rFonts w:hint="eastAsia" w:ascii="仿宋" w:hAnsi="仿宋" w:eastAsia="仿宋"/>
          <w:b/>
          <w:bCs/>
          <w:iCs/>
          <w:color w:val="auto"/>
          <w:sz w:val="28"/>
          <w:szCs w:val="28"/>
          <w:highlight w:val="none"/>
        </w:rPr>
        <w:t>2.上述设备为供应商完成本项目所必须的，所须设备须提供以下材料：</w:t>
      </w:r>
    </w:p>
    <w:p w14:paraId="2DDB32DD">
      <w:pPr>
        <w:pStyle w:val="20"/>
        <w:shd w:val="clear" w:color="auto" w:fill="FFFFFF"/>
        <w:spacing w:before="0" w:beforeAutospacing="0" w:after="0" w:afterAutospacing="0" w:line="500" w:lineRule="exact"/>
        <w:ind w:firstLine="567"/>
        <w:textAlignment w:val="baseline"/>
        <w:rPr>
          <w:rFonts w:ascii="仿宋" w:hAnsi="仿宋" w:eastAsia="仿宋"/>
          <w:b/>
          <w:bCs/>
          <w:iCs/>
          <w:color w:val="auto"/>
          <w:sz w:val="28"/>
          <w:szCs w:val="28"/>
          <w:highlight w:val="none"/>
        </w:rPr>
      </w:pPr>
      <w:r>
        <w:rPr>
          <w:rFonts w:hint="eastAsia" w:ascii="仿宋" w:hAnsi="仿宋" w:eastAsia="仿宋"/>
          <w:b/>
          <w:bCs/>
          <w:iCs/>
          <w:color w:val="auto"/>
          <w:sz w:val="28"/>
          <w:szCs w:val="28"/>
          <w:highlight w:val="none"/>
        </w:rPr>
        <w:t>（1）设备方面：①如供应商为设备制造商的须提供库存设备清单；②如供应商为非设备制造商的需提供以下证明材料：已经购买设备的须提供购置发票或采购合同扫描件；已经租赁的，提供租赁合同扫描件和租赁费支付证明材料；③暂未购买或租赁的须提供承诺书，承诺成交后提供上述设备服务于本项目。</w:t>
      </w:r>
    </w:p>
    <w:p w14:paraId="5CC75829">
      <w:pPr>
        <w:pStyle w:val="20"/>
        <w:shd w:val="clear" w:color="auto" w:fill="FFFFFF"/>
        <w:spacing w:before="0" w:beforeAutospacing="0" w:after="0" w:afterAutospacing="0" w:line="500" w:lineRule="exact"/>
        <w:ind w:firstLine="567"/>
        <w:textAlignment w:val="baseline"/>
        <w:rPr>
          <w:rFonts w:ascii="仿宋" w:hAnsi="仿宋" w:eastAsia="仿宋"/>
          <w:b/>
          <w:bCs/>
          <w:iCs/>
          <w:color w:val="auto"/>
          <w:sz w:val="28"/>
          <w:szCs w:val="28"/>
          <w:highlight w:val="none"/>
        </w:rPr>
      </w:pPr>
      <w:r>
        <w:rPr>
          <w:rFonts w:hint="eastAsia" w:ascii="仿宋" w:hAnsi="仿宋" w:eastAsia="仿宋"/>
          <w:b/>
          <w:bCs/>
          <w:iCs/>
          <w:color w:val="auto"/>
          <w:sz w:val="28"/>
          <w:szCs w:val="28"/>
          <w:highlight w:val="none"/>
        </w:rPr>
        <w:t>（2）车辆方面：提供车辆归属响应供应商单位的相关证明材料。如为租赁车辆须提供租赁合同（协议）和租赁费支付证明材料；如固定使用单位内部员工车辆，需提供相关证明材料。以上材料加盖公章。未按要求提供相关材料的视为无效响应文件。</w:t>
      </w:r>
    </w:p>
    <w:p w14:paraId="7C81F5BE">
      <w:pPr>
        <w:spacing w:line="500" w:lineRule="exact"/>
        <w:ind w:left="420" w:leftChars="200"/>
        <w:outlineLvl w:val="1"/>
        <w:rPr>
          <w:rFonts w:eastAsia="方正仿宋_GBK" w:cs="方正仿宋_GBK"/>
          <w:color w:val="auto"/>
          <w:highlight w:val="none"/>
        </w:rPr>
      </w:pPr>
      <w:bookmarkStart w:id="61" w:name="_Toc24043"/>
      <w:r>
        <w:rPr>
          <w:rFonts w:hint="eastAsia" w:ascii="黑体" w:hAnsi="黑体" w:eastAsia="黑体"/>
          <w:color w:val="auto"/>
          <w:sz w:val="28"/>
          <w:szCs w:val="28"/>
          <w:highlight w:val="none"/>
        </w:rPr>
        <w:t>三、基本服务要求</w:t>
      </w:r>
      <w:bookmarkEnd w:id="61"/>
    </w:p>
    <w:p w14:paraId="6AED5F4E">
      <w:pPr>
        <w:numPr>
          <w:ilvl w:val="0"/>
          <w:numId w:val="2"/>
        </w:numPr>
        <w:spacing w:line="500" w:lineRule="exact"/>
        <w:ind w:left="420" w:leftChars="200"/>
        <w:rPr>
          <w:rFonts w:ascii="仿宋" w:hAnsi="仿宋" w:eastAsia="仿宋" w:cs="仿宋"/>
          <w:color w:val="auto"/>
          <w:sz w:val="28"/>
          <w:szCs w:val="28"/>
          <w:highlight w:val="none"/>
        </w:rPr>
      </w:pPr>
      <w:bookmarkStart w:id="62" w:name="OLE_LINK4"/>
      <w:r>
        <w:rPr>
          <w:rFonts w:hint="eastAsia" w:ascii="仿宋" w:hAnsi="仿宋" w:eastAsia="仿宋" w:cs="仿宋"/>
          <w:color w:val="auto"/>
          <w:sz w:val="28"/>
          <w:szCs w:val="28"/>
          <w:highlight w:val="none"/>
        </w:rPr>
        <w:t>网格化微站数据服务</w:t>
      </w:r>
    </w:p>
    <w:bookmarkEnd w:id="62"/>
    <w:p w14:paraId="55648C20">
      <w:pPr>
        <w:spacing w:line="500" w:lineRule="exact"/>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省控站周边重点区域加密监测数据服务，监测指标包括PM2.5、PM10、SO2、NO2、O3、CO；省控站周边重点企业监测数据服务，监测指标包括TVOC。加密布设并适时调整微站27台，包括21台重点区域重点企业监测微站，监测指标包括TVOC；6台省控站周边重点区域监测微站，监测指标包括PM2.5、PM10、NO2、SO2、O3、CO，提供微站数据可视化网页。</w:t>
      </w:r>
    </w:p>
    <w:p w14:paraId="12E3E03D">
      <w:pPr>
        <w:numPr>
          <w:ilvl w:val="0"/>
          <w:numId w:val="2"/>
        </w:numPr>
        <w:spacing w:line="500" w:lineRule="exact"/>
        <w:ind w:left="420" w:left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大气精准管控综合驻场服务</w:t>
      </w:r>
    </w:p>
    <w:p w14:paraId="756E3526">
      <w:pPr>
        <w:spacing w:line="500" w:lineRule="exact"/>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1.日常污染源巡查服务</w:t>
      </w:r>
    </w:p>
    <w:p w14:paraId="10F2BEEE">
      <w:pPr>
        <w:spacing w:line="500" w:lineRule="exact"/>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包括省控站点周边污染源现场排查、辖区内重点源排查、典型时段专项巡查、高值乡镇站溯源帮扶等。对辖区内工业源、扬尘源、交通源等重点污染源开展定期和不定期的督查服务，并根据督查结果给出现场措施建议。</w:t>
      </w:r>
    </w:p>
    <w:p w14:paraId="38305C32">
      <w:pPr>
        <w:spacing w:line="500" w:lineRule="exact"/>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2.空气质量预报预警服务</w:t>
      </w:r>
    </w:p>
    <w:p w14:paraId="4E7EE4E6">
      <w:pPr>
        <w:spacing w:line="500" w:lineRule="exact"/>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做好空气质量预测预报服务，根据污染源排放清单，实现精准预测预报。参考模型预报结果每日提供未来3天的精准预报，每周提供一次未来7天当地环境空气质量预报，对未来的污染形势进行研判分析，污染天实时更新预测情况，为大气污染管控和重污染应急提供技术支持。</w:t>
      </w:r>
    </w:p>
    <w:p w14:paraId="0B82C6D5">
      <w:pPr>
        <w:spacing w:line="500" w:lineRule="exact"/>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3.数据报告服务</w:t>
      </w:r>
    </w:p>
    <w:p w14:paraId="6EF3360A">
      <w:pPr>
        <w:spacing w:line="500" w:lineRule="exact"/>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利用现有的监控平台数据，结合乡镇数据、网格化微型站监测数据等多源数据，通过对历史数据分析、区域排名变化分析，结合气象条件、污染源分布情况，运用多种技术手段，对监测数据进行综合分析，对城市环境空气质量进行研判并提供数据综合分析报告服务，包括日报、年报、污染过程分析报告和各专项分析报告等。</w:t>
      </w:r>
    </w:p>
    <w:p w14:paraId="7CABD93F">
      <w:pPr>
        <w:spacing w:line="500" w:lineRule="exact"/>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4.污染天应急管控服务</w:t>
      </w:r>
    </w:p>
    <w:p w14:paraId="0E426E38">
      <w:pPr>
        <w:spacing w:line="500" w:lineRule="exact"/>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跟踪解读污染过程，规划应急管控流程，总结管控问题。应急管控期间支撑应急会商、污染提前预警、污染应急管控建议和措施、管控期间问题核查，污染结束后提供溯源报告，评估管控成效。</w:t>
      </w:r>
      <w:bookmarkStart w:id="63" w:name="OLE_LINK9"/>
    </w:p>
    <w:p w14:paraId="62E58464">
      <w:pPr>
        <w:spacing w:line="500" w:lineRule="exact"/>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5.数据监控分析服务</w:t>
      </w:r>
      <w:bookmarkEnd w:id="63"/>
    </w:p>
    <w:p w14:paraId="236B27AA">
      <w:pPr>
        <w:spacing w:line="500" w:lineRule="exact"/>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重点监控如皋现有空气自动监测站点，包括省控站、乡镇站、微型站，及时播报异常突高点位，提供每日空气质量目标完成情况、逐月空气质量达标规划、污染天余量测算等工作，针对企业源，提供固定污染源平台相关数据监控与计算。</w:t>
      </w:r>
      <w:bookmarkStart w:id="64" w:name="OLE_LINK11"/>
    </w:p>
    <w:p w14:paraId="11C1C525">
      <w:pPr>
        <w:spacing w:line="500" w:lineRule="exact"/>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6.焚烧源铁塔数据监控服务</w:t>
      </w:r>
      <w:bookmarkEnd w:id="64"/>
    </w:p>
    <w:p w14:paraId="5378612A">
      <w:pPr>
        <w:spacing w:line="500" w:lineRule="exact"/>
        <w:ind w:left="559" w:leftChars="266"/>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秸秆禁烧期重点对每日铁塔、现场巡查发现的秸秆问题及处置情况报送。7.污染源信息库更新服务</w:t>
      </w:r>
    </w:p>
    <w:p w14:paraId="78C5ADF9">
      <w:pPr>
        <w:spacing w:line="500" w:lineRule="exact"/>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动态更新站点精细化清单（3公里范围内），污染源分类包括：工业企业、扬尘源、餐饮、汽修、加油站等；台账清单信息包括：污染源所属辖区、污染源类别、现状等，扬尘源每月更新一次，其他源每半年更新一次。</w:t>
      </w:r>
      <w:bookmarkStart w:id="65" w:name="OLE_LINK12"/>
    </w:p>
    <w:p w14:paraId="0FD47253">
      <w:pPr>
        <w:numPr>
          <w:ilvl w:val="0"/>
          <w:numId w:val="2"/>
        </w:numPr>
        <w:spacing w:line="500" w:lineRule="exact"/>
        <w:ind w:left="420" w:leftChars="200"/>
        <w:rPr>
          <w:rFonts w:ascii="仿宋" w:hAnsi="仿宋" w:eastAsia="仿宋" w:cs="仿宋"/>
          <w:color w:val="auto"/>
          <w:sz w:val="28"/>
          <w:szCs w:val="28"/>
          <w:highlight w:val="none"/>
        </w:rPr>
      </w:pPr>
      <w:bookmarkStart w:id="66" w:name="OLE_LINK5"/>
      <w:r>
        <w:rPr>
          <w:rFonts w:hint="eastAsia" w:ascii="仿宋" w:hAnsi="仿宋" w:eastAsia="仿宋" w:cs="仿宋"/>
          <w:color w:val="auto"/>
          <w:sz w:val="28"/>
          <w:szCs w:val="28"/>
          <w:highlight w:val="none"/>
        </w:rPr>
        <w:t>臭氧及颗粒物监测服务</w:t>
      </w:r>
      <w:bookmarkEnd w:id="65"/>
      <w:bookmarkEnd w:id="66"/>
    </w:p>
    <w:p w14:paraId="071F2E6C">
      <w:pPr>
        <w:numPr>
          <w:ilvl w:val="0"/>
          <w:numId w:val="3"/>
        </w:numPr>
        <w:spacing w:line="500" w:lineRule="exact"/>
        <w:ind w:left="420" w:left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尘负荷走航监测服务</w:t>
      </w:r>
    </w:p>
    <w:p w14:paraId="5512A6DD">
      <w:pPr>
        <w:spacing w:line="500" w:lineRule="exact"/>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每月开展1次主城区尘负荷走航，每次1天，共12天；每季度开展1次各乡镇尘负荷走航，每次3天，共12天。</w:t>
      </w:r>
    </w:p>
    <w:p w14:paraId="089EC31B">
      <w:pPr>
        <w:spacing w:line="500" w:lineRule="exact"/>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2.PM2.5颗粒物激光雷达服务</w:t>
      </w:r>
    </w:p>
    <w:p w14:paraId="32FAEF82">
      <w:pPr>
        <w:spacing w:line="500" w:lineRule="exact"/>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开展颗粒物走航不少于10次（天），每次走航距离不少于80公里。</w:t>
      </w:r>
    </w:p>
    <w:p w14:paraId="7A946C64">
      <w:pPr>
        <w:spacing w:line="500" w:lineRule="exact"/>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3.臭氧来源解析</w:t>
      </w:r>
    </w:p>
    <w:p w14:paraId="735F04F8">
      <w:pPr>
        <w:spacing w:line="500" w:lineRule="exact"/>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使用受体模型PMF判断主要污染来源及各污染源对大气VOCs污染的相对贡献，累计监测10天，对VOCs进行来源解析，对O3污染现状和特征开展深入研究，弄清O3污染的关键成因，并提出O3污染治理建议。</w:t>
      </w:r>
    </w:p>
    <w:p w14:paraId="629B7186">
      <w:pPr>
        <w:spacing w:line="500" w:lineRule="exact"/>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（四）</w:t>
      </w:r>
      <w:bookmarkStart w:id="67" w:name="OLE_LINK6"/>
      <w:r>
        <w:rPr>
          <w:rFonts w:hint="eastAsia" w:ascii="仿宋" w:hAnsi="仿宋" w:eastAsia="仿宋" w:cs="仿宋"/>
          <w:color w:val="auto"/>
          <w:sz w:val="28"/>
          <w:szCs w:val="28"/>
          <w:highlight w:val="none"/>
        </w:rPr>
        <w:t>无人机监测服务</w:t>
      </w:r>
      <w:bookmarkEnd w:id="67"/>
    </w:p>
    <w:p w14:paraId="7FF8AD98">
      <w:pPr>
        <w:spacing w:line="500" w:lineRule="exact"/>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提供1台红外无人机，开展全市范围内飞航工作。秸秆禁烧期间，利用红外无人机每日开展夜查工作。</w:t>
      </w:r>
    </w:p>
    <w:p w14:paraId="12E20FA9">
      <w:pPr>
        <w:spacing w:line="500" w:lineRule="exact"/>
        <w:ind w:left="420" w:leftChars="200"/>
        <w:outlineLvl w:val="1"/>
        <w:rPr>
          <w:rFonts w:ascii="黑体" w:hAnsi="黑体" w:eastAsia="黑体"/>
          <w:color w:val="auto"/>
          <w:sz w:val="28"/>
          <w:szCs w:val="28"/>
          <w:highlight w:val="none"/>
        </w:rPr>
      </w:pPr>
      <w:bookmarkStart w:id="68" w:name="_Toc6560"/>
      <w:r>
        <w:rPr>
          <w:rFonts w:hint="eastAsia" w:ascii="黑体" w:hAnsi="黑体" w:eastAsia="黑体"/>
          <w:color w:val="auto"/>
          <w:sz w:val="28"/>
          <w:szCs w:val="28"/>
          <w:highlight w:val="none"/>
        </w:rPr>
        <w:t>四、服务标准</w:t>
      </w:r>
      <w:bookmarkEnd w:id="68"/>
    </w:p>
    <w:p w14:paraId="118AA55E">
      <w:pPr>
        <w:spacing w:line="50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一）响应供应商不能简单照搬竞争性磋商文件提供的需求，必须按竞争性磋商文件技术规格逐项作出实质性应答，如照搬照抄项目需求中的技术的，成交后成交人在同采购人签订合同和履约环节中不得提出异议，一切后果和损失由成交人承担。</w:t>
      </w:r>
    </w:p>
    <w:p w14:paraId="54491485">
      <w:pPr>
        <w:spacing w:line="50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（二）成交人应保证提供的产品不得侵犯第三方专利权、商标权和设计权、版权等。否则，成交人应负全部责任，并承担由此引起的一切后果。</w:t>
      </w:r>
    </w:p>
    <w:p w14:paraId="30FAC597">
      <w:pPr>
        <w:spacing w:line="50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三）所有成交产品的技术标准按国家标准执行，无国家标准的，按行业标准执行，无国家和行业标准的，按企业标准执行；但在采购文件中有特别要求的，按采购文件中规定的要求执行，并且符合相关法律、法规规定的要求。</w:t>
      </w:r>
    </w:p>
    <w:p w14:paraId="7F2764DA">
      <w:pPr>
        <w:spacing w:line="50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四）在项目采购或实施过程中，如国家标准修改，应按照新国家标准实施；如本竞争性磋商文件规定高于国家标准，无论新旧标准，均按本竞争性磋商文件规定实施；如本竞争性磋商文件规定低于国家标准，无论新旧标准，均按国家标准规定实施。如本竞争性磋商文件内有内容相互矛盾，以高标准高要求的为准。以上有关风险等由供应商自行考虑并承担。</w:t>
      </w:r>
    </w:p>
    <w:p w14:paraId="74B44052">
      <w:pPr>
        <w:spacing w:line="500" w:lineRule="exact"/>
        <w:ind w:firstLine="560" w:firstLineChars="200"/>
        <w:outlineLvl w:val="1"/>
        <w:rPr>
          <w:rFonts w:ascii="黑体" w:hAnsi="黑体" w:eastAsia="黑体"/>
          <w:color w:val="auto"/>
          <w:sz w:val="28"/>
          <w:szCs w:val="28"/>
          <w:highlight w:val="none"/>
        </w:rPr>
      </w:pPr>
      <w:bookmarkStart w:id="69" w:name="_Toc13575"/>
      <w:r>
        <w:rPr>
          <w:rFonts w:hint="eastAsia" w:ascii="黑体" w:hAnsi="黑体" w:eastAsia="黑体"/>
          <w:color w:val="auto"/>
          <w:sz w:val="28"/>
          <w:szCs w:val="28"/>
          <w:highlight w:val="none"/>
        </w:rPr>
        <w:t>五、服务期限和地点</w:t>
      </w:r>
      <w:bookmarkEnd w:id="69"/>
    </w:p>
    <w:p w14:paraId="5C81A8AB">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服务期限：自签订合同之日起一年，具体时间以采购人通知为准。</w:t>
      </w:r>
    </w:p>
    <w:p w14:paraId="68FF0BBB">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地点：采购人指定地点</w:t>
      </w:r>
    </w:p>
    <w:p w14:paraId="1B12A1F5">
      <w:pPr>
        <w:spacing w:line="500" w:lineRule="exact"/>
        <w:ind w:firstLine="560" w:firstLineChars="200"/>
        <w:outlineLvl w:val="1"/>
        <w:rPr>
          <w:rFonts w:ascii="黑体" w:hAnsi="黑体" w:eastAsia="黑体"/>
          <w:color w:val="auto"/>
          <w:sz w:val="28"/>
          <w:szCs w:val="28"/>
          <w:highlight w:val="none"/>
        </w:rPr>
      </w:pPr>
      <w:bookmarkStart w:id="70" w:name="_Toc28010"/>
      <w:r>
        <w:rPr>
          <w:rFonts w:hint="eastAsia" w:ascii="黑体" w:hAnsi="黑体" w:eastAsia="黑体"/>
          <w:color w:val="auto"/>
          <w:sz w:val="28"/>
          <w:szCs w:val="28"/>
          <w:highlight w:val="none"/>
        </w:rPr>
        <w:t>六、考核方案</w:t>
      </w:r>
      <w:bookmarkEnd w:id="70"/>
    </w:p>
    <w:p w14:paraId="7DBB715C">
      <w:pPr>
        <w:spacing w:line="500" w:lineRule="exact"/>
        <w:ind w:firstLine="560" w:firstLineChars="200"/>
        <w:rPr>
          <w:rFonts w:ascii="仿宋" w:hAnsi="仿宋" w:eastAsia="仿宋"/>
          <w:color w:val="auto"/>
          <w:sz w:val="28"/>
          <w:szCs w:val="28"/>
          <w:highlight w:val="none"/>
        </w:rPr>
      </w:pPr>
      <w:bookmarkStart w:id="71" w:name="OLE_LINK8"/>
      <w:r>
        <w:rPr>
          <w:rFonts w:hint="eastAsia" w:ascii="仿宋" w:hAnsi="仿宋" w:eastAsia="仿宋"/>
          <w:color w:val="auto"/>
          <w:sz w:val="28"/>
          <w:szCs w:val="28"/>
          <w:highlight w:val="none"/>
        </w:rPr>
        <w:t>合同签订3个月内，</w:t>
      </w:r>
      <w:bookmarkStart w:id="72" w:name="OLE_LINK17"/>
      <w:r>
        <w:rPr>
          <w:rFonts w:hint="eastAsia" w:ascii="仿宋" w:hAnsi="仿宋" w:eastAsia="仿宋"/>
          <w:color w:val="auto"/>
          <w:sz w:val="28"/>
          <w:szCs w:val="28"/>
          <w:highlight w:val="none"/>
        </w:rPr>
        <w:t>采购人支付成交人合同总价的30%；</w:t>
      </w:r>
      <w:bookmarkEnd w:id="72"/>
      <w:r>
        <w:rPr>
          <w:rFonts w:hint="eastAsia" w:ascii="仿宋" w:hAnsi="仿宋" w:eastAsia="仿宋"/>
          <w:color w:val="auto"/>
          <w:sz w:val="28"/>
          <w:szCs w:val="28"/>
          <w:highlight w:val="none"/>
        </w:rPr>
        <w:t>2026年9月30日前，采购人支付成交人合同总价的40%；剩余合同总价的30%作为考核款，待项目服务期限结束后，根据最终考核结果支付余款。具体考核细则和扣款细则如下：</w:t>
      </w:r>
    </w:p>
    <w:p w14:paraId="70BEA2E3">
      <w:pPr>
        <w:spacing w:line="500" w:lineRule="exact"/>
        <w:ind w:firstLine="560" w:firstLineChars="200"/>
        <w:jc w:val="center"/>
        <w:rPr>
          <w:rFonts w:ascii="仿宋" w:hAnsi="仿宋" w:eastAsia="仿宋"/>
          <w:color w:val="auto"/>
          <w:sz w:val="28"/>
          <w:szCs w:val="28"/>
          <w:highlight w:val="none"/>
        </w:rPr>
      </w:pPr>
      <w:r>
        <w:rPr>
          <w:rFonts w:hint="eastAsia" w:ascii="仿宋" w:hAnsi="仿宋" w:eastAsia="仿宋"/>
          <w:color w:val="auto"/>
          <w:sz w:val="28"/>
          <w:szCs w:val="28"/>
          <w:highlight w:val="none"/>
        </w:rPr>
        <w:t>表1 目标考核细则</w:t>
      </w:r>
    </w:p>
    <w:bookmarkEnd w:id="71"/>
    <w:tbl>
      <w:tblPr>
        <w:tblStyle w:val="23"/>
        <w:tblW w:w="98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9"/>
        <w:gridCol w:w="1717"/>
        <w:gridCol w:w="1217"/>
        <w:gridCol w:w="5815"/>
      </w:tblGrid>
      <w:tr w14:paraId="0493D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 w:hRule="atLeast"/>
        </w:trPr>
        <w:tc>
          <w:tcPr>
            <w:tcW w:w="1109" w:type="dxa"/>
          </w:tcPr>
          <w:p w14:paraId="46810416">
            <w:pPr>
              <w:spacing w:line="400" w:lineRule="exact"/>
              <w:jc w:val="center"/>
              <w:rPr>
                <w:rFonts w:ascii="仿宋" w:hAnsi="仿宋" w:eastAsia="仿宋"/>
                <w:color w:val="auto"/>
                <w:sz w:val="28"/>
                <w:szCs w:val="28"/>
                <w:highlight w:val="none"/>
              </w:rPr>
            </w:pPr>
            <w:bookmarkStart w:id="73" w:name="OLE_LINK10"/>
            <w:r>
              <w:rPr>
                <w:rFonts w:hint="eastAsia" w:ascii="仿宋" w:hAnsi="仿宋" w:eastAsia="仿宋"/>
                <w:color w:val="auto"/>
                <w:sz w:val="28"/>
                <w:szCs w:val="28"/>
                <w:highlight w:val="none"/>
              </w:rPr>
              <w:t>序号</w:t>
            </w:r>
          </w:p>
        </w:tc>
        <w:tc>
          <w:tcPr>
            <w:tcW w:w="1717" w:type="dxa"/>
          </w:tcPr>
          <w:p w14:paraId="06974638">
            <w:pPr>
              <w:spacing w:line="400" w:lineRule="exact"/>
              <w:jc w:val="center"/>
              <w:rPr>
                <w:rFonts w:ascii="仿宋" w:hAnsi="仿宋" w:eastAsia="仿宋"/>
                <w:color w:val="auto"/>
                <w:sz w:val="28"/>
                <w:szCs w:val="28"/>
                <w:highlight w:val="none"/>
              </w:rPr>
            </w:pPr>
            <w:r>
              <w:rPr>
                <w:rFonts w:hint="eastAsia" w:ascii="仿宋" w:hAnsi="仿宋" w:eastAsia="仿宋"/>
                <w:color w:val="auto"/>
                <w:sz w:val="28"/>
                <w:szCs w:val="28"/>
                <w:highlight w:val="none"/>
              </w:rPr>
              <w:t>考核内容</w:t>
            </w:r>
          </w:p>
        </w:tc>
        <w:tc>
          <w:tcPr>
            <w:tcW w:w="1217" w:type="dxa"/>
          </w:tcPr>
          <w:p w14:paraId="3D41EC2B">
            <w:pPr>
              <w:spacing w:line="400" w:lineRule="exact"/>
              <w:jc w:val="center"/>
              <w:rPr>
                <w:rFonts w:ascii="仿宋" w:hAnsi="仿宋" w:eastAsia="仿宋"/>
                <w:color w:val="auto"/>
                <w:sz w:val="28"/>
                <w:szCs w:val="28"/>
                <w:highlight w:val="none"/>
              </w:rPr>
            </w:pPr>
            <w:r>
              <w:rPr>
                <w:rFonts w:hint="eastAsia" w:ascii="仿宋" w:hAnsi="仿宋" w:eastAsia="仿宋"/>
                <w:color w:val="auto"/>
                <w:sz w:val="28"/>
                <w:szCs w:val="28"/>
                <w:highlight w:val="none"/>
              </w:rPr>
              <w:t>分值</w:t>
            </w:r>
          </w:p>
        </w:tc>
        <w:tc>
          <w:tcPr>
            <w:tcW w:w="5815" w:type="dxa"/>
          </w:tcPr>
          <w:p w14:paraId="74C7C852">
            <w:pPr>
              <w:spacing w:line="400" w:lineRule="exact"/>
              <w:jc w:val="center"/>
              <w:rPr>
                <w:rFonts w:ascii="仿宋" w:hAnsi="仿宋" w:eastAsia="仿宋"/>
                <w:color w:val="auto"/>
                <w:sz w:val="28"/>
                <w:szCs w:val="28"/>
                <w:highlight w:val="none"/>
              </w:rPr>
            </w:pPr>
            <w:r>
              <w:rPr>
                <w:rFonts w:hint="eastAsia" w:ascii="仿宋" w:hAnsi="仿宋" w:eastAsia="仿宋"/>
                <w:color w:val="auto"/>
                <w:sz w:val="28"/>
                <w:szCs w:val="28"/>
                <w:highlight w:val="none"/>
              </w:rPr>
              <w:t>评分细则</w:t>
            </w:r>
          </w:p>
        </w:tc>
      </w:tr>
      <w:tr w14:paraId="3D5A1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2" w:hRule="atLeast"/>
        </w:trPr>
        <w:tc>
          <w:tcPr>
            <w:tcW w:w="1109" w:type="dxa"/>
            <w:vAlign w:val="center"/>
          </w:tcPr>
          <w:p w14:paraId="7225DF77">
            <w:pPr>
              <w:spacing w:line="400" w:lineRule="exact"/>
              <w:jc w:val="center"/>
              <w:rPr>
                <w:rFonts w:ascii="仿宋" w:hAnsi="仿宋" w:eastAsia="仿宋"/>
                <w:color w:val="auto"/>
                <w:sz w:val="28"/>
                <w:szCs w:val="28"/>
                <w:highlight w:val="none"/>
              </w:rPr>
            </w:pPr>
            <w:r>
              <w:rPr>
                <w:rFonts w:hint="eastAsia" w:ascii="仿宋" w:hAnsi="仿宋" w:eastAsia="仿宋"/>
                <w:color w:val="auto"/>
                <w:sz w:val="28"/>
                <w:szCs w:val="28"/>
                <w:highlight w:val="none"/>
              </w:rPr>
              <w:t>1</w:t>
            </w:r>
          </w:p>
        </w:tc>
        <w:tc>
          <w:tcPr>
            <w:tcW w:w="1717" w:type="dxa"/>
            <w:vAlign w:val="center"/>
          </w:tcPr>
          <w:p w14:paraId="3406A20C">
            <w:pPr>
              <w:spacing w:line="400" w:lineRule="exact"/>
              <w:jc w:val="center"/>
              <w:rPr>
                <w:rFonts w:ascii="仿宋" w:hAnsi="仿宋" w:eastAsia="仿宋"/>
                <w:color w:val="auto"/>
                <w:sz w:val="28"/>
                <w:szCs w:val="28"/>
                <w:highlight w:val="none"/>
              </w:rPr>
            </w:pPr>
            <w:r>
              <w:rPr>
                <w:rFonts w:hint="eastAsia" w:ascii="仿宋" w:hAnsi="仿宋" w:eastAsia="仿宋"/>
                <w:color w:val="auto"/>
                <w:sz w:val="28"/>
                <w:szCs w:val="28"/>
                <w:highlight w:val="none"/>
              </w:rPr>
              <w:t>服务内容完成情况</w:t>
            </w:r>
          </w:p>
        </w:tc>
        <w:tc>
          <w:tcPr>
            <w:tcW w:w="1217" w:type="dxa"/>
            <w:vAlign w:val="center"/>
          </w:tcPr>
          <w:p w14:paraId="1548934D">
            <w:pPr>
              <w:spacing w:line="400" w:lineRule="exact"/>
              <w:jc w:val="center"/>
              <w:rPr>
                <w:rFonts w:ascii="仿宋" w:hAnsi="仿宋" w:eastAsia="仿宋"/>
                <w:color w:val="auto"/>
                <w:sz w:val="28"/>
                <w:szCs w:val="28"/>
                <w:highlight w:val="none"/>
              </w:rPr>
            </w:pPr>
            <w:r>
              <w:rPr>
                <w:rFonts w:hint="eastAsia" w:ascii="仿宋" w:hAnsi="仿宋" w:eastAsia="仿宋"/>
                <w:color w:val="auto"/>
                <w:sz w:val="28"/>
                <w:szCs w:val="28"/>
                <w:highlight w:val="none"/>
              </w:rPr>
              <w:t>50分</w:t>
            </w:r>
          </w:p>
        </w:tc>
        <w:tc>
          <w:tcPr>
            <w:tcW w:w="5815" w:type="dxa"/>
          </w:tcPr>
          <w:p w14:paraId="2F803E46">
            <w:pPr>
              <w:spacing w:line="4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采购方根据成交单位综合服务情况进行打分，完成网格化微站数据服务9分（每个小项3分）、大气精准管控综合驻场服务21分（每个小项3分）、臭氧及颗粒物监测服务12分（每个小项3分）、无人机监测服务8分。得分=单项总分数×完成任务数比例（保留1位有效数字）</w:t>
            </w:r>
          </w:p>
        </w:tc>
      </w:tr>
      <w:tr w14:paraId="3F40D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7" w:hRule="atLeast"/>
        </w:trPr>
        <w:tc>
          <w:tcPr>
            <w:tcW w:w="1109" w:type="dxa"/>
            <w:vAlign w:val="center"/>
          </w:tcPr>
          <w:p w14:paraId="2C277D2D">
            <w:pPr>
              <w:spacing w:line="400" w:lineRule="exact"/>
              <w:jc w:val="center"/>
              <w:rPr>
                <w:rFonts w:ascii="仿宋" w:hAnsi="仿宋" w:eastAsia="仿宋"/>
                <w:color w:val="auto"/>
                <w:sz w:val="28"/>
                <w:szCs w:val="28"/>
                <w:highlight w:val="none"/>
              </w:rPr>
            </w:pPr>
            <w:bookmarkStart w:id="74" w:name="OLE_LINK18"/>
            <w:r>
              <w:rPr>
                <w:rFonts w:hint="eastAsia" w:ascii="仿宋" w:hAnsi="仿宋" w:eastAsia="仿宋"/>
                <w:color w:val="auto"/>
                <w:sz w:val="28"/>
                <w:szCs w:val="28"/>
                <w:highlight w:val="none"/>
              </w:rPr>
              <w:t>2</w:t>
            </w:r>
          </w:p>
        </w:tc>
        <w:tc>
          <w:tcPr>
            <w:tcW w:w="1717" w:type="dxa"/>
            <w:vAlign w:val="center"/>
          </w:tcPr>
          <w:p w14:paraId="6E587103">
            <w:pPr>
              <w:spacing w:line="400" w:lineRule="exact"/>
              <w:jc w:val="center"/>
              <w:rPr>
                <w:rFonts w:ascii="仿宋" w:hAnsi="仿宋" w:eastAsia="仿宋"/>
                <w:color w:val="auto"/>
                <w:sz w:val="28"/>
                <w:szCs w:val="28"/>
                <w:highlight w:val="none"/>
              </w:rPr>
            </w:pPr>
            <w:r>
              <w:rPr>
                <w:rFonts w:hint="eastAsia" w:ascii="仿宋" w:hAnsi="仿宋" w:eastAsia="仿宋"/>
                <w:color w:val="auto"/>
                <w:sz w:val="28"/>
                <w:szCs w:val="28"/>
                <w:highlight w:val="none"/>
              </w:rPr>
              <w:t>省定目标完成情况</w:t>
            </w:r>
          </w:p>
        </w:tc>
        <w:tc>
          <w:tcPr>
            <w:tcW w:w="1217" w:type="dxa"/>
            <w:vAlign w:val="center"/>
          </w:tcPr>
          <w:p w14:paraId="53B3D67B">
            <w:pPr>
              <w:spacing w:line="400" w:lineRule="exact"/>
              <w:jc w:val="center"/>
              <w:rPr>
                <w:rFonts w:ascii="仿宋" w:hAnsi="仿宋" w:eastAsia="仿宋"/>
                <w:color w:val="auto"/>
                <w:sz w:val="28"/>
                <w:szCs w:val="28"/>
                <w:highlight w:val="none"/>
              </w:rPr>
            </w:pPr>
            <w:r>
              <w:rPr>
                <w:rFonts w:hint="eastAsia" w:ascii="仿宋" w:hAnsi="仿宋" w:eastAsia="仿宋"/>
                <w:color w:val="auto"/>
                <w:sz w:val="28"/>
                <w:szCs w:val="28"/>
                <w:highlight w:val="none"/>
              </w:rPr>
              <w:t>30分</w:t>
            </w:r>
          </w:p>
        </w:tc>
        <w:tc>
          <w:tcPr>
            <w:tcW w:w="5815" w:type="dxa"/>
          </w:tcPr>
          <w:p w14:paraId="374FAF47">
            <w:pPr>
              <w:spacing w:line="4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1.完成PM2.5省定目标，得20分，每超出1微克/立方米扣10分，扣完为止。</w:t>
            </w:r>
          </w:p>
          <w:p w14:paraId="04558A04">
            <w:pPr>
              <w:spacing w:line="4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2.完成优良率省定目标，得10分，每少1天，扣0.5分，扣完为止</w:t>
            </w:r>
          </w:p>
          <w:p w14:paraId="77AC6625">
            <w:pPr>
              <w:spacing w:line="4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2项指标均完成任务免除本项所有扣款，完成其中1项指标本项扣分减少50%。</w:t>
            </w:r>
          </w:p>
        </w:tc>
      </w:tr>
      <w:bookmarkEnd w:id="74"/>
      <w:tr w14:paraId="65BEE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7" w:hRule="atLeast"/>
        </w:trPr>
        <w:tc>
          <w:tcPr>
            <w:tcW w:w="1109" w:type="dxa"/>
            <w:vAlign w:val="center"/>
          </w:tcPr>
          <w:p w14:paraId="3836D7A9">
            <w:pPr>
              <w:spacing w:line="400" w:lineRule="exact"/>
              <w:jc w:val="center"/>
              <w:rPr>
                <w:rFonts w:ascii="仿宋" w:hAnsi="仿宋" w:eastAsia="仿宋"/>
                <w:color w:val="auto"/>
                <w:sz w:val="28"/>
                <w:szCs w:val="28"/>
                <w:highlight w:val="none"/>
              </w:rPr>
            </w:pPr>
            <w:r>
              <w:rPr>
                <w:rFonts w:hint="eastAsia" w:ascii="仿宋" w:hAnsi="仿宋" w:eastAsia="仿宋"/>
                <w:color w:val="auto"/>
                <w:sz w:val="28"/>
                <w:szCs w:val="28"/>
                <w:highlight w:val="none"/>
              </w:rPr>
              <w:t>3</w:t>
            </w:r>
          </w:p>
        </w:tc>
        <w:tc>
          <w:tcPr>
            <w:tcW w:w="1717" w:type="dxa"/>
            <w:vAlign w:val="center"/>
          </w:tcPr>
          <w:p w14:paraId="3A9EB0C9">
            <w:pPr>
              <w:spacing w:line="400" w:lineRule="exact"/>
              <w:jc w:val="center"/>
              <w:rPr>
                <w:rFonts w:ascii="仿宋" w:hAnsi="仿宋" w:eastAsia="仿宋"/>
                <w:color w:val="auto"/>
                <w:sz w:val="28"/>
                <w:szCs w:val="28"/>
                <w:highlight w:val="none"/>
              </w:rPr>
            </w:pPr>
            <w:r>
              <w:rPr>
                <w:rFonts w:hint="eastAsia" w:ascii="仿宋" w:hAnsi="仿宋" w:eastAsia="仿宋"/>
                <w:color w:val="auto"/>
                <w:sz w:val="28"/>
                <w:szCs w:val="28"/>
                <w:highlight w:val="none"/>
              </w:rPr>
              <w:t>南通市年度排名情况</w:t>
            </w:r>
          </w:p>
        </w:tc>
        <w:tc>
          <w:tcPr>
            <w:tcW w:w="1217" w:type="dxa"/>
            <w:vAlign w:val="center"/>
          </w:tcPr>
          <w:p w14:paraId="7A83BF72">
            <w:pPr>
              <w:spacing w:line="400" w:lineRule="exact"/>
              <w:jc w:val="center"/>
              <w:rPr>
                <w:rFonts w:ascii="仿宋" w:hAnsi="仿宋" w:eastAsia="仿宋"/>
                <w:color w:val="auto"/>
                <w:sz w:val="28"/>
                <w:szCs w:val="28"/>
                <w:highlight w:val="none"/>
              </w:rPr>
            </w:pPr>
            <w:r>
              <w:rPr>
                <w:rFonts w:hint="eastAsia" w:ascii="仿宋" w:hAnsi="仿宋" w:eastAsia="仿宋"/>
                <w:color w:val="auto"/>
                <w:sz w:val="28"/>
                <w:szCs w:val="28"/>
                <w:highlight w:val="none"/>
              </w:rPr>
              <w:t>20分</w:t>
            </w:r>
          </w:p>
        </w:tc>
        <w:tc>
          <w:tcPr>
            <w:tcW w:w="5815" w:type="dxa"/>
          </w:tcPr>
          <w:p w14:paraId="3DF28F00">
            <w:pPr>
              <w:spacing w:line="4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1.PM2.5平均浓度或优良率任一项指标排名非末位，得5分，该项最高得10分，否则该项不得分。</w:t>
            </w:r>
          </w:p>
          <w:p w14:paraId="69FD5452">
            <w:pPr>
              <w:spacing w:line="4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2.PM2.5平均浓度或优良率</w:t>
            </w:r>
            <w:bookmarkStart w:id="75" w:name="OLE_LINK15"/>
            <w:r>
              <w:rPr>
                <w:rFonts w:hint="eastAsia" w:ascii="仿宋" w:hAnsi="仿宋" w:eastAsia="仿宋"/>
                <w:color w:val="auto"/>
                <w:sz w:val="28"/>
                <w:szCs w:val="28"/>
                <w:highlight w:val="none"/>
              </w:rPr>
              <w:t>任一项同比改善（保留一位小数），得5分，</w:t>
            </w:r>
            <w:bookmarkEnd w:id="75"/>
            <w:r>
              <w:rPr>
                <w:rFonts w:hint="eastAsia" w:ascii="仿宋" w:hAnsi="仿宋" w:eastAsia="仿宋"/>
                <w:color w:val="auto"/>
                <w:sz w:val="28"/>
                <w:szCs w:val="28"/>
                <w:highlight w:val="none"/>
              </w:rPr>
              <w:t>改善幅度位于南通市前三位，得10分，该项最高得10分，否则该项不得分。</w:t>
            </w:r>
          </w:p>
        </w:tc>
      </w:tr>
      <w:tr w14:paraId="23296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1109" w:type="dxa"/>
          </w:tcPr>
          <w:p w14:paraId="7BE3439B">
            <w:pPr>
              <w:spacing w:line="400" w:lineRule="exact"/>
              <w:jc w:val="center"/>
              <w:rPr>
                <w:rFonts w:ascii="仿宋" w:hAnsi="仿宋" w:eastAsia="仿宋"/>
                <w:color w:val="auto"/>
                <w:sz w:val="28"/>
                <w:szCs w:val="28"/>
                <w:highlight w:val="none"/>
              </w:rPr>
            </w:pPr>
            <w:r>
              <w:rPr>
                <w:rFonts w:hint="eastAsia" w:ascii="仿宋" w:hAnsi="仿宋" w:eastAsia="仿宋"/>
                <w:color w:val="auto"/>
                <w:sz w:val="28"/>
                <w:szCs w:val="28"/>
                <w:highlight w:val="none"/>
              </w:rPr>
              <w:t>总分</w:t>
            </w:r>
          </w:p>
        </w:tc>
        <w:tc>
          <w:tcPr>
            <w:tcW w:w="8749" w:type="dxa"/>
            <w:gridSpan w:val="3"/>
          </w:tcPr>
          <w:p w14:paraId="1D6E49BA">
            <w:pPr>
              <w:spacing w:line="400" w:lineRule="exact"/>
              <w:jc w:val="center"/>
              <w:rPr>
                <w:rFonts w:ascii="仿宋" w:hAnsi="仿宋" w:eastAsia="仿宋"/>
                <w:color w:val="auto"/>
                <w:sz w:val="28"/>
                <w:szCs w:val="28"/>
                <w:highlight w:val="none"/>
              </w:rPr>
            </w:pPr>
            <w:r>
              <w:rPr>
                <w:rFonts w:hint="eastAsia" w:ascii="仿宋" w:hAnsi="仿宋" w:eastAsia="仿宋"/>
                <w:color w:val="auto"/>
                <w:sz w:val="28"/>
                <w:szCs w:val="28"/>
                <w:highlight w:val="none"/>
              </w:rPr>
              <w:t>100分</w:t>
            </w:r>
          </w:p>
        </w:tc>
      </w:tr>
      <w:bookmarkEnd w:id="73"/>
    </w:tbl>
    <w:p w14:paraId="66F2D971">
      <w:pPr>
        <w:spacing w:line="500" w:lineRule="exact"/>
        <w:ind w:firstLine="560" w:firstLineChars="200"/>
        <w:jc w:val="center"/>
        <w:rPr>
          <w:rFonts w:ascii="仿宋" w:hAnsi="仿宋" w:eastAsia="仿宋"/>
          <w:color w:val="auto"/>
          <w:sz w:val="28"/>
          <w:szCs w:val="28"/>
          <w:highlight w:val="none"/>
        </w:rPr>
      </w:pPr>
      <w:r>
        <w:rPr>
          <w:rFonts w:hint="eastAsia" w:ascii="仿宋" w:hAnsi="仿宋" w:eastAsia="仿宋"/>
          <w:color w:val="auto"/>
          <w:sz w:val="28"/>
          <w:szCs w:val="28"/>
          <w:highlight w:val="none"/>
        </w:rPr>
        <w:t>表2 扣款细则</w:t>
      </w:r>
    </w:p>
    <w:tbl>
      <w:tblPr>
        <w:tblStyle w:val="23"/>
        <w:tblW w:w="515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27"/>
        <w:gridCol w:w="3510"/>
        <w:gridCol w:w="3620"/>
      </w:tblGrid>
      <w:tr w14:paraId="63C39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83" w:type="pct"/>
          </w:tcPr>
          <w:p w14:paraId="0C3D8345">
            <w:pPr>
              <w:spacing w:line="500" w:lineRule="exact"/>
              <w:jc w:val="center"/>
              <w:rPr>
                <w:rFonts w:ascii="仿宋" w:hAnsi="仿宋" w:eastAsia="仿宋"/>
                <w:color w:val="auto"/>
                <w:sz w:val="28"/>
                <w:szCs w:val="28"/>
                <w:highlight w:val="none"/>
              </w:rPr>
            </w:pPr>
            <w:r>
              <w:rPr>
                <w:rFonts w:hint="eastAsia" w:ascii="仿宋" w:hAnsi="仿宋" w:eastAsia="仿宋"/>
                <w:color w:val="auto"/>
                <w:sz w:val="28"/>
                <w:szCs w:val="28"/>
                <w:highlight w:val="none"/>
              </w:rPr>
              <w:t>序号</w:t>
            </w:r>
          </w:p>
        </w:tc>
        <w:tc>
          <w:tcPr>
            <w:tcW w:w="1780" w:type="pct"/>
          </w:tcPr>
          <w:p w14:paraId="593659C4">
            <w:pPr>
              <w:spacing w:line="500" w:lineRule="exact"/>
              <w:jc w:val="center"/>
              <w:rPr>
                <w:rFonts w:ascii="仿宋" w:hAnsi="仿宋" w:eastAsia="仿宋"/>
                <w:color w:val="auto"/>
                <w:sz w:val="28"/>
                <w:szCs w:val="28"/>
                <w:highlight w:val="none"/>
              </w:rPr>
            </w:pPr>
            <w:r>
              <w:rPr>
                <w:rFonts w:hint="eastAsia" w:ascii="仿宋" w:hAnsi="仿宋" w:eastAsia="仿宋"/>
                <w:color w:val="auto"/>
                <w:sz w:val="28"/>
                <w:szCs w:val="28"/>
                <w:highlight w:val="none"/>
              </w:rPr>
              <w:t>得分</w:t>
            </w:r>
          </w:p>
        </w:tc>
        <w:tc>
          <w:tcPr>
            <w:tcW w:w="1836" w:type="pct"/>
          </w:tcPr>
          <w:p w14:paraId="5DF79BAF">
            <w:pPr>
              <w:spacing w:line="500" w:lineRule="exact"/>
              <w:jc w:val="center"/>
              <w:rPr>
                <w:rFonts w:ascii="仿宋" w:hAnsi="仿宋" w:eastAsia="仿宋"/>
                <w:color w:val="auto"/>
                <w:sz w:val="28"/>
                <w:szCs w:val="28"/>
                <w:highlight w:val="none"/>
              </w:rPr>
            </w:pPr>
            <w:r>
              <w:rPr>
                <w:rFonts w:hint="eastAsia" w:ascii="仿宋" w:hAnsi="仿宋" w:eastAsia="仿宋"/>
                <w:color w:val="auto"/>
                <w:sz w:val="28"/>
                <w:szCs w:val="28"/>
                <w:highlight w:val="none"/>
              </w:rPr>
              <w:t>扣款规则</w:t>
            </w:r>
          </w:p>
        </w:tc>
      </w:tr>
      <w:tr w14:paraId="39D1F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3" w:type="pct"/>
          </w:tcPr>
          <w:p w14:paraId="6CC2A091">
            <w:pPr>
              <w:spacing w:line="500" w:lineRule="exact"/>
              <w:jc w:val="center"/>
              <w:rPr>
                <w:rFonts w:ascii="仿宋" w:hAnsi="仿宋" w:eastAsia="仿宋"/>
                <w:color w:val="auto"/>
                <w:sz w:val="28"/>
                <w:szCs w:val="28"/>
                <w:highlight w:val="none"/>
              </w:rPr>
            </w:pPr>
            <w:r>
              <w:rPr>
                <w:rFonts w:hint="eastAsia" w:ascii="仿宋" w:hAnsi="仿宋" w:eastAsia="仿宋"/>
                <w:color w:val="auto"/>
                <w:sz w:val="28"/>
                <w:szCs w:val="28"/>
                <w:highlight w:val="none"/>
              </w:rPr>
              <w:t>1</w:t>
            </w:r>
          </w:p>
        </w:tc>
        <w:tc>
          <w:tcPr>
            <w:tcW w:w="1780" w:type="pct"/>
          </w:tcPr>
          <w:p w14:paraId="26CE120D">
            <w:pPr>
              <w:spacing w:line="500" w:lineRule="exact"/>
              <w:jc w:val="center"/>
              <w:rPr>
                <w:rFonts w:ascii="仿宋" w:hAnsi="仿宋" w:eastAsia="仿宋"/>
                <w:color w:val="auto"/>
                <w:sz w:val="28"/>
                <w:szCs w:val="28"/>
                <w:highlight w:val="none"/>
              </w:rPr>
            </w:pPr>
            <w:bookmarkStart w:id="76" w:name="OLE_LINK13"/>
            <w:r>
              <w:rPr>
                <w:rFonts w:hint="eastAsia" w:ascii="仿宋" w:hAnsi="仿宋" w:eastAsia="仿宋"/>
                <w:color w:val="auto"/>
                <w:sz w:val="28"/>
                <w:szCs w:val="28"/>
                <w:highlight w:val="none"/>
              </w:rPr>
              <w:t>总得分≥90分</w:t>
            </w:r>
            <w:bookmarkEnd w:id="76"/>
          </w:p>
        </w:tc>
        <w:tc>
          <w:tcPr>
            <w:tcW w:w="1836" w:type="pct"/>
          </w:tcPr>
          <w:p w14:paraId="73AC53BB">
            <w:pPr>
              <w:spacing w:line="500" w:lineRule="exact"/>
              <w:jc w:val="center"/>
              <w:rPr>
                <w:rFonts w:ascii="仿宋" w:hAnsi="仿宋" w:eastAsia="仿宋"/>
                <w:color w:val="auto"/>
                <w:sz w:val="28"/>
                <w:szCs w:val="28"/>
                <w:highlight w:val="none"/>
              </w:rPr>
            </w:pPr>
            <w:r>
              <w:rPr>
                <w:rFonts w:hint="eastAsia" w:ascii="仿宋" w:hAnsi="仿宋" w:eastAsia="仿宋"/>
                <w:color w:val="auto"/>
                <w:sz w:val="28"/>
                <w:szCs w:val="28"/>
                <w:highlight w:val="none"/>
              </w:rPr>
              <w:t>不扣除考核款</w:t>
            </w:r>
          </w:p>
        </w:tc>
      </w:tr>
      <w:tr w14:paraId="20284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3" w:type="pct"/>
          </w:tcPr>
          <w:p w14:paraId="4536941D">
            <w:pPr>
              <w:spacing w:line="500" w:lineRule="exact"/>
              <w:jc w:val="center"/>
              <w:rPr>
                <w:rFonts w:ascii="仿宋" w:hAnsi="仿宋" w:eastAsia="仿宋"/>
                <w:color w:val="auto"/>
                <w:sz w:val="28"/>
                <w:szCs w:val="28"/>
                <w:highlight w:val="none"/>
              </w:rPr>
            </w:pPr>
            <w:r>
              <w:rPr>
                <w:rFonts w:hint="eastAsia" w:ascii="仿宋" w:hAnsi="仿宋" w:eastAsia="仿宋"/>
                <w:color w:val="auto"/>
                <w:sz w:val="28"/>
                <w:szCs w:val="28"/>
                <w:highlight w:val="none"/>
              </w:rPr>
              <w:t>2</w:t>
            </w:r>
          </w:p>
        </w:tc>
        <w:tc>
          <w:tcPr>
            <w:tcW w:w="1780" w:type="pct"/>
          </w:tcPr>
          <w:p w14:paraId="292844E0">
            <w:pPr>
              <w:spacing w:line="500" w:lineRule="exact"/>
              <w:jc w:val="center"/>
              <w:rPr>
                <w:rFonts w:ascii="仿宋" w:hAnsi="仿宋" w:eastAsia="仿宋"/>
                <w:color w:val="auto"/>
                <w:sz w:val="28"/>
                <w:szCs w:val="28"/>
                <w:highlight w:val="none"/>
              </w:rPr>
            </w:pPr>
            <w:bookmarkStart w:id="77" w:name="OLE_LINK14"/>
            <w:r>
              <w:rPr>
                <w:rFonts w:hint="eastAsia" w:ascii="仿宋" w:hAnsi="仿宋" w:eastAsia="仿宋"/>
                <w:color w:val="auto"/>
                <w:sz w:val="28"/>
                <w:szCs w:val="28"/>
                <w:highlight w:val="none"/>
              </w:rPr>
              <w:t>80≤总得分＜90分</w:t>
            </w:r>
            <w:bookmarkEnd w:id="77"/>
          </w:p>
        </w:tc>
        <w:tc>
          <w:tcPr>
            <w:tcW w:w="1836" w:type="pct"/>
          </w:tcPr>
          <w:p w14:paraId="25D87B26">
            <w:pPr>
              <w:spacing w:line="500" w:lineRule="exact"/>
              <w:jc w:val="center"/>
              <w:rPr>
                <w:rFonts w:ascii="仿宋" w:hAnsi="仿宋" w:eastAsia="仿宋"/>
                <w:color w:val="auto"/>
                <w:sz w:val="28"/>
                <w:szCs w:val="28"/>
                <w:highlight w:val="none"/>
              </w:rPr>
            </w:pPr>
            <w:r>
              <w:rPr>
                <w:rFonts w:hint="eastAsia" w:ascii="仿宋" w:hAnsi="仿宋" w:eastAsia="仿宋"/>
                <w:color w:val="auto"/>
                <w:sz w:val="28"/>
                <w:szCs w:val="28"/>
                <w:highlight w:val="none"/>
              </w:rPr>
              <w:t>扣除考核款5%</w:t>
            </w:r>
          </w:p>
        </w:tc>
      </w:tr>
      <w:tr w14:paraId="1B8E3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3" w:type="pct"/>
          </w:tcPr>
          <w:p w14:paraId="33083B3E">
            <w:pPr>
              <w:spacing w:line="500" w:lineRule="exact"/>
              <w:jc w:val="center"/>
              <w:rPr>
                <w:rFonts w:ascii="仿宋" w:hAnsi="仿宋" w:eastAsia="仿宋"/>
                <w:color w:val="auto"/>
                <w:sz w:val="28"/>
                <w:szCs w:val="28"/>
                <w:highlight w:val="none"/>
              </w:rPr>
            </w:pPr>
            <w:r>
              <w:rPr>
                <w:rFonts w:hint="eastAsia" w:ascii="仿宋" w:hAnsi="仿宋" w:eastAsia="仿宋"/>
                <w:color w:val="auto"/>
                <w:sz w:val="28"/>
                <w:szCs w:val="28"/>
                <w:highlight w:val="none"/>
              </w:rPr>
              <w:t>3</w:t>
            </w:r>
          </w:p>
        </w:tc>
        <w:tc>
          <w:tcPr>
            <w:tcW w:w="1780" w:type="pct"/>
          </w:tcPr>
          <w:p w14:paraId="782274AC">
            <w:pPr>
              <w:spacing w:line="500" w:lineRule="exact"/>
              <w:jc w:val="center"/>
              <w:rPr>
                <w:rFonts w:ascii="仿宋" w:hAnsi="仿宋" w:eastAsia="仿宋"/>
                <w:color w:val="auto"/>
                <w:sz w:val="28"/>
                <w:szCs w:val="28"/>
                <w:highlight w:val="none"/>
              </w:rPr>
            </w:pPr>
            <w:r>
              <w:rPr>
                <w:rFonts w:hint="eastAsia" w:ascii="仿宋" w:hAnsi="仿宋" w:eastAsia="仿宋"/>
                <w:color w:val="auto"/>
                <w:sz w:val="28"/>
                <w:szCs w:val="28"/>
                <w:highlight w:val="none"/>
              </w:rPr>
              <w:t>70≤总得分＜80分</w:t>
            </w:r>
          </w:p>
        </w:tc>
        <w:tc>
          <w:tcPr>
            <w:tcW w:w="1836" w:type="pct"/>
          </w:tcPr>
          <w:p w14:paraId="22AD6F4D">
            <w:pPr>
              <w:spacing w:line="500" w:lineRule="exact"/>
              <w:jc w:val="center"/>
              <w:rPr>
                <w:rFonts w:ascii="仿宋" w:hAnsi="仿宋" w:eastAsia="仿宋"/>
                <w:color w:val="auto"/>
                <w:sz w:val="28"/>
                <w:szCs w:val="28"/>
                <w:highlight w:val="none"/>
              </w:rPr>
            </w:pPr>
            <w:r>
              <w:rPr>
                <w:rFonts w:hint="eastAsia" w:ascii="仿宋" w:hAnsi="仿宋" w:eastAsia="仿宋"/>
                <w:color w:val="auto"/>
                <w:sz w:val="28"/>
                <w:szCs w:val="28"/>
                <w:highlight w:val="none"/>
              </w:rPr>
              <w:t>扣除考核款10%</w:t>
            </w:r>
          </w:p>
        </w:tc>
      </w:tr>
      <w:tr w14:paraId="6B8B9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3" w:type="pct"/>
          </w:tcPr>
          <w:p w14:paraId="73CAF499">
            <w:pPr>
              <w:spacing w:line="500" w:lineRule="exact"/>
              <w:jc w:val="center"/>
              <w:rPr>
                <w:rFonts w:ascii="仿宋" w:hAnsi="仿宋" w:eastAsia="仿宋"/>
                <w:color w:val="auto"/>
                <w:sz w:val="28"/>
                <w:szCs w:val="28"/>
                <w:highlight w:val="none"/>
              </w:rPr>
            </w:pPr>
            <w:r>
              <w:rPr>
                <w:rFonts w:hint="eastAsia" w:ascii="仿宋" w:hAnsi="仿宋" w:eastAsia="仿宋"/>
                <w:color w:val="auto"/>
                <w:sz w:val="28"/>
                <w:szCs w:val="28"/>
                <w:highlight w:val="none"/>
              </w:rPr>
              <w:t>4</w:t>
            </w:r>
          </w:p>
        </w:tc>
        <w:tc>
          <w:tcPr>
            <w:tcW w:w="1780" w:type="pct"/>
          </w:tcPr>
          <w:p w14:paraId="616FEC3C">
            <w:pPr>
              <w:spacing w:line="500" w:lineRule="exact"/>
              <w:jc w:val="center"/>
              <w:rPr>
                <w:rFonts w:ascii="仿宋" w:hAnsi="仿宋" w:eastAsia="仿宋"/>
                <w:color w:val="auto"/>
                <w:sz w:val="28"/>
                <w:szCs w:val="28"/>
                <w:highlight w:val="none"/>
              </w:rPr>
            </w:pPr>
            <w:r>
              <w:rPr>
                <w:rFonts w:hint="eastAsia" w:ascii="仿宋" w:hAnsi="仿宋" w:eastAsia="仿宋"/>
                <w:color w:val="auto"/>
                <w:sz w:val="28"/>
                <w:szCs w:val="28"/>
                <w:highlight w:val="none"/>
              </w:rPr>
              <w:t>60≤总得分＜70分</w:t>
            </w:r>
          </w:p>
        </w:tc>
        <w:tc>
          <w:tcPr>
            <w:tcW w:w="1836" w:type="pct"/>
          </w:tcPr>
          <w:p w14:paraId="461A81E6">
            <w:pPr>
              <w:spacing w:line="500" w:lineRule="exact"/>
              <w:jc w:val="center"/>
              <w:rPr>
                <w:rFonts w:ascii="仿宋" w:hAnsi="仿宋" w:eastAsia="仿宋"/>
                <w:color w:val="auto"/>
                <w:sz w:val="28"/>
                <w:szCs w:val="28"/>
                <w:highlight w:val="none"/>
              </w:rPr>
            </w:pPr>
            <w:bookmarkStart w:id="78" w:name="OLE_LINK16"/>
            <w:r>
              <w:rPr>
                <w:rFonts w:hint="eastAsia" w:ascii="仿宋" w:hAnsi="仿宋" w:eastAsia="仿宋"/>
                <w:color w:val="auto"/>
                <w:sz w:val="28"/>
                <w:szCs w:val="28"/>
                <w:highlight w:val="none"/>
              </w:rPr>
              <w:t>扣除考核款20%</w:t>
            </w:r>
            <w:bookmarkEnd w:id="78"/>
          </w:p>
        </w:tc>
      </w:tr>
      <w:tr w14:paraId="49049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3" w:type="pct"/>
          </w:tcPr>
          <w:p w14:paraId="081300F3">
            <w:pPr>
              <w:spacing w:line="500" w:lineRule="exact"/>
              <w:jc w:val="center"/>
              <w:rPr>
                <w:rFonts w:ascii="仿宋" w:hAnsi="仿宋" w:eastAsia="仿宋"/>
                <w:color w:val="auto"/>
                <w:sz w:val="28"/>
                <w:szCs w:val="28"/>
                <w:highlight w:val="none"/>
              </w:rPr>
            </w:pPr>
            <w:r>
              <w:rPr>
                <w:rFonts w:hint="eastAsia" w:ascii="仿宋" w:hAnsi="仿宋" w:eastAsia="仿宋"/>
                <w:color w:val="auto"/>
                <w:sz w:val="28"/>
                <w:szCs w:val="28"/>
                <w:highlight w:val="none"/>
              </w:rPr>
              <w:t>5</w:t>
            </w:r>
          </w:p>
        </w:tc>
        <w:tc>
          <w:tcPr>
            <w:tcW w:w="1780" w:type="pct"/>
          </w:tcPr>
          <w:p w14:paraId="6827038E">
            <w:pPr>
              <w:spacing w:line="500" w:lineRule="exact"/>
              <w:jc w:val="center"/>
              <w:rPr>
                <w:rFonts w:ascii="仿宋" w:hAnsi="仿宋" w:eastAsia="仿宋"/>
                <w:color w:val="auto"/>
                <w:sz w:val="28"/>
                <w:szCs w:val="28"/>
                <w:highlight w:val="none"/>
              </w:rPr>
            </w:pPr>
            <w:r>
              <w:rPr>
                <w:rFonts w:hint="eastAsia" w:ascii="仿宋" w:hAnsi="仿宋" w:eastAsia="仿宋"/>
                <w:color w:val="auto"/>
                <w:sz w:val="28"/>
                <w:szCs w:val="28"/>
                <w:highlight w:val="none"/>
              </w:rPr>
              <w:t>50≤总得分＜60分</w:t>
            </w:r>
          </w:p>
        </w:tc>
        <w:tc>
          <w:tcPr>
            <w:tcW w:w="1836" w:type="pct"/>
          </w:tcPr>
          <w:p w14:paraId="62BB9C2B">
            <w:pPr>
              <w:spacing w:line="500" w:lineRule="exact"/>
              <w:jc w:val="center"/>
              <w:rPr>
                <w:rFonts w:ascii="仿宋" w:hAnsi="仿宋" w:eastAsia="仿宋"/>
                <w:color w:val="auto"/>
                <w:sz w:val="28"/>
                <w:szCs w:val="28"/>
                <w:highlight w:val="none"/>
              </w:rPr>
            </w:pPr>
            <w:r>
              <w:rPr>
                <w:rFonts w:hint="eastAsia" w:ascii="仿宋" w:hAnsi="仿宋" w:eastAsia="仿宋"/>
                <w:color w:val="auto"/>
                <w:sz w:val="28"/>
                <w:szCs w:val="28"/>
                <w:highlight w:val="none"/>
              </w:rPr>
              <w:t>扣除考核款30%</w:t>
            </w:r>
          </w:p>
        </w:tc>
      </w:tr>
    </w:tbl>
    <w:p w14:paraId="3E831DC9">
      <w:pPr>
        <w:spacing w:line="500" w:lineRule="exact"/>
        <w:ind w:firstLine="560" w:firstLineChars="200"/>
        <w:outlineLvl w:val="1"/>
        <w:rPr>
          <w:rFonts w:ascii="黑体" w:hAnsi="黑体" w:eastAsia="黑体"/>
          <w:color w:val="auto"/>
          <w:sz w:val="28"/>
          <w:szCs w:val="28"/>
          <w:highlight w:val="none"/>
        </w:rPr>
      </w:pPr>
      <w:bookmarkStart w:id="79" w:name="_Toc488"/>
      <w:r>
        <w:rPr>
          <w:rFonts w:hint="eastAsia" w:ascii="黑体" w:hAnsi="黑体" w:eastAsia="黑体"/>
          <w:color w:val="auto"/>
          <w:sz w:val="28"/>
          <w:szCs w:val="28"/>
          <w:highlight w:val="none"/>
        </w:rPr>
        <w:t>七、付款方式</w:t>
      </w:r>
      <w:bookmarkEnd w:id="79"/>
    </w:p>
    <w:p w14:paraId="58FC40BE">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合同签订3个月内，采购人支付成交人合同总价的30%；2026年9月30日前，采购人支付成交人合同总价的40%；剩余合同总价的30%作为考核款，待项目服务期限结束后，根据最终考核结果支付余款。</w:t>
      </w:r>
      <w:r>
        <w:rPr>
          <w:rFonts w:hint="eastAsia" w:ascii="仿宋" w:hAnsi="仿宋" w:eastAsia="仿宋"/>
          <w:b/>
          <w:color w:val="auto"/>
          <w:sz w:val="28"/>
          <w:szCs w:val="28"/>
          <w:highlight w:val="none"/>
        </w:rPr>
        <w:t>每次</w:t>
      </w:r>
      <w:r>
        <w:rPr>
          <w:rFonts w:hint="eastAsia" w:ascii="仿宋" w:hAnsi="仿宋" w:eastAsia="仿宋"/>
          <w:b/>
          <w:color w:val="auto"/>
          <w:sz w:val="28"/>
          <w:szCs w:val="28"/>
          <w:highlight w:val="none"/>
          <w:lang w:val="zh-CN"/>
        </w:rPr>
        <w:t>支付前，成交人均应出具在税务部门开具的正式税票。</w:t>
      </w:r>
    </w:p>
    <w:p w14:paraId="524274DB">
      <w:pPr>
        <w:spacing w:line="500" w:lineRule="exact"/>
        <w:ind w:firstLine="560" w:firstLineChars="200"/>
        <w:outlineLvl w:val="1"/>
        <w:rPr>
          <w:rFonts w:ascii="仿宋" w:hAnsi="仿宋" w:eastAsia="仿宋"/>
          <w:color w:val="auto"/>
          <w:sz w:val="28"/>
          <w:szCs w:val="28"/>
          <w:highlight w:val="none"/>
        </w:rPr>
      </w:pPr>
      <w:bookmarkStart w:id="80" w:name="_Toc13101"/>
      <w:r>
        <w:rPr>
          <w:rFonts w:hint="eastAsia" w:ascii="黑体" w:hAnsi="黑体" w:eastAsia="黑体"/>
          <w:color w:val="auto"/>
          <w:sz w:val="28"/>
          <w:szCs w:val="28"/>
          <w:highlight w:val="none"/>
        </w:rPr>
        <w:t>八、磋商过程中可能会实质性变动的内容</w:t>
      </w:r>
      <w:bookmarkEnd w:id="80"/>
    </w:p>
    <w:p w14:paraId="448352B5">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采购需求中的技术、服务要求以及合同草案条款，但不得变动磋商文件中的其他内容。</w:t>
      </w:r>
    </w:p>
    <w:p w14:paraId="7470549E">
      <w:pPr>
        <w:spacing w:line="500" w:lineRule="exact"/>
        <w:ind w:firstLine="560" w:firstLineChars="200"/>
        <w:outlineLvl w:val="1"/>
        <w:rPr>
          <w:rFonts w:ascii="黑体" w:hAnsi="黑体" w:eastAsia="黑体"/>
          <w:color w:val="auto"/>
          <w:sz w:val="28"/>
          <w:szCs w:val="28"/>
          <w:highlight w:val="none"/>
        </w:rPr>
      </w:pPr>
      <w:bookmarkStart w:id="81" w:name="_Toc7187"/>
      <w:r>
        <w:rPr>
          <w:rFonts w:hint="eastAsia" w:ascii="黑体" w:hAnsi="黑体" w:eastAsia="黑体"/>
          <w:color w:val="auto"/>
          <w:sz w:val="28"/>
          <w:szCs w:val="28"/>
          <w:highlight w:val="none"/>
        </w:rPr>
        <w:t>九、报价要求</w:t>
      </w:r>
      <w:bookmarkEnd w:id="81"/>
    </w:p>
    <w:p w14:paraId="671F240E">
      <w:pPr>
        <w:widowControl/>
        <w:spacing w:line="500" w:lineRule="exact"/>
        <w:ind w:firstLine="560"/>
        <w:contextualSpacing/>
        <w:rPr>
          <w:rFonts w:ascii="仿宋" w:hAnsi="仿宋" w:eastAsia="仿宋"/>
          <w:color w:val="auto"/>
          <w:sz w:val="28"/>
          <w:szCs w:val="28"/>
          <w:highlight w:val="none"/>
        </w:rPr>
      </w:pPr>
      <w:r>
        <w:rPr>
          <w:rFonts w:hint="eastAsia" w:ascii="仿宋" w:hAnsi="仿宋" w:eastAsia="仿宋"/>
          <w:b/>
          <w:bCs/>
          <w:color w:val="auto"/>
          <w:sz w:val="28"/>
          <w:szCs w:val="28"/>
          <w:highlight w:val="none"/>
        </w:rPr>
        <w:t>本项目为总价报价。</w:t>
      </w:r>
      <w:r>
        <w:rPr>
          <w:rFonts w:hint="eastAsia" w:ascii="仿宋" w:hAnsi="仿宋" w:eastAsia="仿宋"/>
          <w:color w:val="auto"/>
          <w:sz w:val="28"/>
          <w:szCs w:val="28"/>
          <w:highlight w:val="none"/>
        </w:rPr>
        <w:t>响应报价应包括完成本项目所需的人工费、差旅费、伙食费、住宿费、设备费、管理费、利润、税金等全部费用，结合本项目实际情况并综合考虑与服务成果相关的踏勘、会议、评审、咨询、验收、资料收集装订、政策性文件规定及合同包含的所有风险、责任等所有费用。成交后不允许擅自改变服务内容、质量标准、期限与追加项目预算。凡供应商在报价中未列明但又为本次采购所必备的项目或遗漏项目，采购人将一律视为已包括在其报价中，在合同执行中将不予考虑。</w:t>
      </w:r>
    </w:p>
    <w:p w14:paraId="1D1B48BA">
      <w:pPr>
        <w:widowControl/>
        <w:spacing w:line="500" w:lineRule="exact"/>
        <w:ind w:firstLine="560"/>
        <w:contextualSpacing/>
        <w:rPr>
          <w:rFonts w:ascii="仿宋" w:hAnsi="仿宋" w:eastAsia="仿宋"/>
          <w:color w:val="auto"/>
          <w:sz w:val="28"/>
          <w:szCs w:val="28"/>
          <w:highlight w:val="none"/>
        </w:rPr>
      </w:pPr>
      <w:r>
        <w:rPr>
          <w:rFonts w:hint="eastAsia" w:ascii="仿宋" w:hAnsi="仿宋" w:eastAsia="仿宋"/>
          <w:color w:val="auto"/>
          <w:sz w:val="28"/>
          <w:szCs w:val="28"/>
          <w:highlight w:val="none"/>
        </w:rPr>
        <w:t>响应供应商应对竞争性磋商文件内的全部内容进行报价，竞争性磋商文件未列明，而供应商认为其他必需的费用也需列入报价。在合同实施时，采购方将不予支付成交供应商任何其他增项费用。</w:t>
      </w:r>
    </w:p>
    <w:p w14:paraId="6A7BD53C">
      <w:pPr>
        <w:spacing w:line="500" w:lineRule="exact"/>
        <w:ind w:firstLine="560"/>
        <w:outlineLvl w:val="1"/>
        <w:rPr>
          <w:rFonts w:ascii="黑体" w:hAnsi="黑体" w:eastAsia="黑体"/>
          <w:color w:val="auto"/>
          <w:sz w:val="28"/>
          <w:szCs w:val="28"/>
          <w:highlight w:val="none"/>
        </w:rPr>
      </w:pPr>
      <w:bookmarkStart w:id="82" w:name="_Toc25572"/>
      <w:bookmarkStart w:id="83" w:name="_Toc20586"/>
      <w:r>
        <w:rPr>
          <w:rFonts w:hint="eastAsia" w:ascii="黑体" w:hAnsi="黑体" w:eastAsia="黑体"/>
          <w:color w:val="auto"/>
          <w:sz w:val="28"/>
          <w:szCs w:val="28"/>
          <w:highlight w:val="none"/>
        </w:rPr>
        <w:t>十、其他要求</w:t>
      </w:r>
      <w:bookmarkEnd w:id="82"/>
      <w:bookmarkEnd w:id="83"/>
    </w:p>
    <w:p w14:paraId="24D4DA7E">
      <w:pPr>
        <w:widowControl/>
        <w:spacing w:line="500" w:lineRule="exact"/>
        <w:ind w:firstLine="560"/>
        <w:contextualSpacing/>
        <w:rPr>
          <w:rFonts w:ascii="仿宋" w:hAnsi="仿宋" w:eastAsia="仿宋"/>
          <w:color w:val="auto"/>
          <w:sz w:val="28"/>
          <w:szCs w:val="28"/>
          <w:highlight w:val="none"/>
        </w:rPr>
      </w:pPr>
      <w:r>
        <w:rPr>
          <w:rFonts w:hint="eastAsia" w:ascii="仿宋" w:hAnsi="仿宋" w:eastAsia="仿宋"/>
          <w:color w:val="auto"/>
          <w:sz w:val="28"/>
          <w:szCs w:val="28"/>
          <w:highlight w:val="none"/>
        </w:rPr>
        <w:t>1.本项目成交后不允许转包。</w:t>
      </w:r>
    </w:p>
    <w:p w14:paraId="432AE8BA">
      <w:pPr>
        <w:widowControl/>
        <w:spacing w:line="500" w:lineRule="exact"/>
        <w:ind w:firstLine="560"/>
        <w:contextualSpacing/>
        <w:rPr>
          <w:rFonts w:ascii="仿宋" w:hAnsi="仿宋" w:eastAsia="仿宋"/>
          <w:b/>
          <w:bCs/>
          <w:color w:val="auto"/>
          <w:sz w:val="28"/>
          <w:szCs w:val="28"/>
          <w:highlight w:val="none"/>
        </w:rPr>
      </w:pPr>
      <w:r>
        <w:rPr>
          <w:rFonts w:hint="eastAsia" w:ascii="仿宋" w:hAnsi="仿宋" w:eastAsia="仿宋"/>
          <w:color w:val="auto"/>
          <w:sz w:val="28"/>
          <w:szCs w:val="28"/>
          <w:highlight w:val="none"/>
        </w:rPr>
        <w:t>2.</w:t>
      </w:r>
      <w:r>
        <w:rPr>
          <w:rFonts w:hint="eastAsia" w:ascii="仿宋" w:hAnsi="仿宋" w:eastAsia="仿宋"/>
          <w:b/>
          <w:bCs/>
          <w:color w:val="auto"/>
          <w:sz w:val="28"/>
          <w:szCs w:val="28"/>
          <w:highlight w:val="none"/>
        </w:rPr>
        <w:t>本项目所有条款均为实质性响应条款，不可负偏离响应，如负偏离响应或未按要求提供相关材料的认定为无效响应文件。</w:t>
      </w:r>
    </w:p>
    <w:p w14:paraId="5C4C33AA">
      <w:pPr>
        <w:widowControl/>
        <w:shd w:val="clear" w:color="auto" w:fill="FFFFFF"/>
        <w:snapToGrid w:val="0"/>
        <w:ind w:firstLine="560" w:firstLineChars="200"/>
        <w:contextualSpacing/>
        <w:rPr>
          <w:rFonts w:ascii="仿宋" w:hAnsi="仿宋" w:eastAsia="仿宋"/>
          <w:color w:val="auto"/>
          <w:sz w:val="28"/>
          <w:szCs w:val="28"/>
          <w:highlight w:val="none"/>
          <w:u w:val="single"/>
        </w:rPr>
      </w:pPr>
    </w:p>
    <w:p w14:paraId="293A96E4">
      <w:pPr>
        <w:pStyle w:val="44"/>
        <w:spacing w:line="240" w:lineRule="auto"/>
        <w:ind w:firstLine="0"/>
        <w:jc w:val="center"/>
        <w:outlineLvl w:val="0"/>
        <w:rPr>
          <w:rFonts w:ascii="方正小标宋简体" w:eastAsia="方正小标宋简体"/>
          <w:bCs/>
          <w:color w:val="auto"/>
          <w:sz w:val="32"/>
          <w:szCs w:val="32"/>
          <w:highlight w:val="none"/>
        </w:rPr>
      </w:pPr>
      <w:r>
        <w:rPr>
          <w:rFonts w:ascii="方正小标宋简体" w:eastAsia="方正小标宋简体"/>
          <w:bCs/>
          <w:color w:val="auto"/>
          <w:sz w:val="32"/>
          <w:szCs w:val="32"/>
          <w:highlight w:val="none"/>
        </w:rPr>
        <w:br w:type="page"/>
      </w:r>
      <w:bookmarkStart w:id="84" w:name="_Toc30393"/>
      <w:r>
        <w:rPr>
          <w:rFonts w:hint="eastAsia" w:ascii="方正小标宋简体" w:eastAsia="方正小标宋简体"/>
          <w:bCs/>
          <w:color w:val="auto"/>
          <w:sz w:val="32"/>
          <w:szCs w:val="32"/>
          <w:highlight w:val="none"/>
        </w:rPr>
        <w:t>第4章 合同文本</w:t>
      </w:r>
      <w:bookmarkEnd w:id="84"/>
    </w:p>
    <w:p w14:paraId="42CEC1E4">
      <w:pPr>
        <w:widowControl/>
        <w:snapToGrid w:val="0"/>
        <w:spacing w:before="19"/>
        <w:jc w:val="center"/>
        <w:rPr>
          <w:rFonts w:ascii="方正小标宋简体" w:eastAsia="方正小标宋简体"/>
          <w:color w:val="auto"/>
          <w:sz w:val="32"/>
          <w:szCs w:val="32"/>
          <w:highlight w:val="none"/>
        </w:rPr>
      </w:pPr>
      <w:r>
        <w:rPr>
          <w:rFonts w:hint="eastAsia" w:ascii="方正小标宋简体" w:eastAsia="方正小标宋简体"/>
          <w:color w:val="auto"/>
          <w:sz w:val="32"/>
          <w:szCs w:val="32"/>
          <w:highlight w:val="none"/>
        </w:rPr>
        <w:t>如皋市政府采购合同</w:t>
      </w:r>
    </w:p>
    <w:p w14:paraId="727825FF">
      <w:pPr>
        <w:ind w:firstLine="640" w:firstLineChars="200"/>
        <w:rPr>
          <w:rFonts w:ascii="仿宋" w:hAnsi="仿宋" w:eastAsia="仿宋"/>
          <w:color w:val="auto"/>
          <w:sz w:val="32"/>
          <w:szCs w:val="32"/>
          <w:highlight w:val="none"/>
        </w:rPr>
      </w:pPr>
      <w:r>
        <w:rPr>
          <w:rFonts w:hint="eastAsia" w:ascii="仿宋" w:hAnsi="仿宋" w:eastAsia="仿宋"/>
          <w:color w:val="auto"/>
          <w:sz w:val="32"/>
          <w:szCs w:val="32"/>
          <w:highlight w:val="none"/>
        </w:rPr>
        <w:t>项目名称：</w:t>
      </w:r>
    </w:p>
    <w:p w14:paraId="2397A921">
      <w:pPr>
        <w:ind w:firstLine="640" w:firstLineChars="200"/>
        <w:rPr>
          <w:rFonts w:ascii="仿宋" w:hAnsi="仿宋" w:eastAsia="仿宋"/>
          <w:color w:val="auto"/>
          <w:sz w:val="32"/>
          <w:szCs w:val="32"/>
          <w:highlight w:val="none"/>
          <w:u w:val="single"/>
        </w:rPr>
      </w:pPr>
      <w:r>
        <w:rPr>
          <w:rFonts w:hint="eastAsia" w:ascii="仿宋" w:hAnsi="仿宋" w:eastAsia="仿宋"/>
          <w:color w:val="auto"/>
          <w:sz w:val="32"/>
          <w:szCs w:val="32"/>
          <w:highlight w:val="none"/>
        </w:rPr>
        <w:t>项目编号：</w:t>
      </w:r>
    </w:p>
    <w:p w14:paraId="038D3F26">
      <w:pPr>
        <w:ind w:firstLine="640" w:firstLineChars="200"/>
        <w:rPr>
          <w:rFonts w:ascii="仿宋" w:hAnsi="仿宋" w:eastAsia="仿宋"/>
          <w:color w:val="auto"/>
          <w:sz w:val="32"/>
          <w:szCs w:val="32"/>
          <w:highlight w:val="none"/>
          <w:u w:val="single"/>
        </w:rPr>
      </w:pPr>
      <w:r>
        <w:rPr>
          <w:rFonts w:hint="eastAsia" w:ascii="仿宋" w:hAnsi="仿宋" w:eastAsia="仿宋"/>
          <w:color w:val="auto"/>
          <w:sz w:val="32"/>
          <w:szCs w:val="32"/>
          <w:highlight w:val="none"/>
        </w:rPr>
        <w:t>甲方：</w:t>
      </w:r>
    </w:p>
    <w:p w14:paraId="477E777D">
      <w:pPr>
        <w:ind w:firstLine="640" w:firstLineChars="200"/>
        <w:rPr>
          <w:rFonts w:ascii="仿宋" w:hAnsi="仿宋" w:eastAsia="仿宋"/>
          <w:color w:val="auto"/>
          <w:sz w:val="32"/>
          <w:szCs w:val="32"/>
          <w:highlight w:val="none"/>
        </w:rPr>
      </w:pPr>
      <w:r>
        <w:rPr>
          <w:rFonts w:hint="eastAsia" w:ascii="仿宋" w:hAnsi="仿宋" w:eastAsia="仿宋"/>
          <w:color w:val="auto"/>
          <w:sz w:val="32"/>
          <w:szCs w:val="32"/>
          <w:highlight w:val="none"/>
        </w:rPr>
        <w:t>乙方：</w:t>
      </w:r>
    </w:p>
    <w:p w14:paraId="7B767CF4">
      <w:pPr>
        <w:rPr>
          <w:rFonts w:ascii="仿宋_GB2312" w:hAnsi="宋体" w:eastAsia="仿宋_GB2312"/>
          <w:color w:val="auto"/>
          <w:sz w:val="32"/>
          <w:szCs w:val="32"/>
          <w:highlight w:val="none"/>
        </w:rPr>
      </w:pPr>
    </w:p>
    <w:p w14:paraId="4384BA76">
      <w:pPr>
        <w:jc w:val="center"/>
        <w:rPr>
          <w:rFonts w:ascii="仿宋" w:hAnsi="仿宋" w:eastAsia="仿宋"/>
          <w:color w:val="auto"/>
          <w:sz w:val="32"/>
          <w:szCs w:val="32"/>
          <w:highlight w:val="none"/>
        </w:rPr>
      </w:pPr>
      <w:r>
        <w:rPr>
          <w:rFonts w:hint="eastAsia" w:ascii="仿宋" w:hAnsi="仿宋" w:eastAsia="仿宋"/>
          <w:color w:val="auto"/>
          <w:sz w:val="32"/>
          <w:szCs w:val="32"/>
          <w:highlight w:val="none"/>
        </w:rPr>
        <w:t>签订时间：      年    月    日</w:t>
      </w:r>
    </w:p>
    <w:p w14:paraId="42F0FE9B">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（甲方）（××项目）委托（代理机构名称，如有）进行了政府采购。按照评委会评审推荐、甲方确定乙方为成交单位。现甲乙双方协商同意签订本合同。</w:t>
      </w:r>
    </w:p>
    <w:p w14:paraId="789E9644">
      <w:pPr>
        <w:numPr>
          <w:ilvl w:val="0"/>
          <w:numId w:val="4"/>
        </w:numPr>
        <w:tabs>
          <w:tab w:val="left" w:pos="0"/>
          <w:tab w:val="clear" w:pos="720"/>
        </w:tabs>
        <w:ind w:left="0" w:firstLine="482" w:firstLineChars="200"/>
        <w:rPr>
          <w:rFonts w:ascii="仿宋" w:hAnsi="仿宋" w:eastAsia="仿宋"/>
          <w:b/>
          <w:color w:val="auto"/>
          <w:sz w:val="24"/>
          <w:highlight w:val="none"/>
        </w:rPr>
      </w:pPr>
      <w:r>
        <w:rPr>
          <w:rFonts w:hint="eastAsia" w:ascii="仿宋" w:hAnsi="仿宋" w:eastAsia="仿宋"/>
          <w:b/>
          <w:color w:val="auto"/>
          <w:sz w:val="24"/>
          <w:highlight w:val="none"/>
        </w:rPr>
        <w:t xml:space="preserve"> 合同文件</w:t>
      </w:r>
    </w:p>
    <w:p w14:paraId="5CC095D7">
      <w:pPr>
        <w:ind w:firstLine="480" w:firstLineChars="200"/>
        <w:rPr>
          <w:rFonts w:ascii="仿宋" w:hAnsi="仿宋" w:eastAsia="仿宋"/>
          <w:color w:val="auto"/>
          <w:sz w:val="24"/>
          <w:highlight w:val="none"/>
        </w:rPr>
      </w:pPr>
      <w:r>
        <w:rPr>
          <w:rFonts w:ascii="仿宋" w:hAnsi="仿宋" w:eastAsia="仿宋"/>
          <w:color w:val="auto"/>
          <w:sz w:val="24"/>
          <w:highlight w:val="none"/>
        </w:rPr>
        <w:t>下列与本次采购活动</w:t>
      </w:r>
      <w:r>
        <w:rPr>
          <w:rFonts w:hint="eastAsia" w:ascii="仿宋" w:hAnsi="仿宋" w:eastAsia="仿宋"/>
          <w:color w:val="auto"/>
          <w:sz w:val="24"/>
          <w:highlight w:val="none"/>
        </w:rPr>
        <w:t>有关</w:t>
      </w:r>
      <w:r>
        <w:rPr>
          <w:rFonts w:ascii="仿宋" w:hAnsi="仿宋" w:eastAsia="仿宋"/>
          <w:color w:val="auto"/>
          <w:sz w:val="24"/>
          <w:highlight w:val="none"/>
        </w:rPr>
        <w:t>的文件及附件是本合同不可分割的组成部分，与本合同具有同等法律效力，这些文件包括但不限于：</w:t>
      </w:r>
    </w:p>
    <w:p w14:paraId="34CF36AE">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1.（××号）采购文件；</w:t>
      </w:r>
    </w:p>
    <w:p w14:paraId="4788CA81">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2.竞争性磋商响应文件；</w:t>
      </w:r>
    </w:p>
    <w:p w14:paraId="74D803A7">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3.乙方在参加采购活动时的书面承诺；</w:t>
      </w:r>
    </w:p>
    <w:p w14:paraId="3B88C405">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4.（××号）中标（成交）通知书；</w:t>
      </w:r>
    </w:p>
    <w:p w14:paraId="43018D7D">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5.合同补充条款或说明；</w:t>
      </w:r>
    </w:p>
    <w:p w14:paraId="1E0EAA4B">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6.保密协议或条款；</w:t>
      </w:r>
    </w:p>
    <w:p w14:paraId="01BB9D88">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7.相关附件、图纸及电子版资料。</w:t>
      </w:r>
    </w:p>
    <w:p w14:paraId="1F7637D1">
      <w:pPr>
        <w:ind w:left="482"/>
        <w:rPr>
          <w:rFonts w:ascii="仿宋" w:hAnsi="仿宋" w:eastAsia="仿宋"/>
          <w:b/>
          <w:color w:val="auto"/>
          <w:sz w:val="24"/>
          <w:highlight w:val="none"/>
        </w:rPr>
      </w:pPr>
      <w:r>
        <w:rPr>
          <w:rFonts w:hint="eastAsia" w:ascii="仿宋" w:hAnsi="仿宋" w:eastAsia="仿宋"/>
          <w:b/>
          <w:color w:val="auto"/>
          <w:sz w:val="24"/>
          <w:highlight w:val="none"/>
        </w:rPr>
        <w:t>第二条  合同内容</w:t>
      </w:r>
    </w:p>
    <w:p w14:paraId="22C6845A">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 xml:space="preserve">服务名称：详见合同附件中《服务一览表》  </w:t>
      </w:r>
    </w:p>
    <w:p w14:paraId="4910AF97">
      <w:pPr>
        <w:ind w:left="482"/>
        <w:rPr>
          <w:rFonts w:ascii="仿宋" w:hAnsi="仿宋" w:eastAsia="仿宋"/>
          <w:b/>
          <w:color w:val="auto"/>
          <w:sz w:val="24"/>
          <w:highlight w:val="none"/>
        </w:rPr>
      </w:pPr>
      <w:r>
        <w:rPr>
          <w:rFonts w:hint="eastAsia" w:ascii="仿宋" w:hAnsi="仿宋" w:eastAsia="仿宋"/>
          <w:b/>
          <w:color w:val="auto"/>
          <w:sz w:val="24"/>
          <w:highlight w:val="none"/>
        </w:rPr>
        <w:t>第三条  合同总金额</w:t>
      </w:r>
    </w:p>
    <w:p w14:paraId="5A2D4287">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本合同服务总金额：￥元。</w:t>
      </w:r>
    </w:p>
    <w:p w14:paraId="0C9E6506">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大写：元。</w:t>
      </w:r>
    </w:p>
    <w:p w14:paraId="3AE01BA9">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分项价款在《服务一览表》中有明确规定。</w:t>
      </w:r>
    </w:p>
    <w:p w14:paraId="50883771">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本合同总价款包括服务期间必须的日常易耗品、工具、调试费、培训费等相关费用。</w:t>
      </w:r>
    </w:p>
    <w:p w14:paraId="4A58BB1C">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本合同执行期内因工作量变化而引起的服务费用的变动，在双方事先协商一致的前提下签订补充合同，但因此而增加的服务费用不得超过原成交金额的10%。</w:t>
      </w:r>
    </w:p>
    <w:p w14:paraId="54F52716">
      <w:pPr>
        <w:ind w:left="482"/>
        <w:rPr>
          <w:rFonts w:ascii="仿宋" w:hAnsi="仿宋" w:eastAsia="仿宋"/>
          <w:b/>
          <w:color w:val="auto"/>
          <w:sz w:val="24"/>
          <w:highlight w:val="none"/>
        </w:rPr>
      </w:pPr>
      <w:r>
        <w:rPr>
          <w:rFonts w:hint="eastAsia" w:ascii="仿宋" w:hAnsi="仿宋" w:eastAsia="仿宋"/>
          <w:b/>
          <w:color w:val="auto"/>
          <w:sz w:val="24"/>
          <w:highlight w:val="none"/>
        </w:rPr>
        <w:t>第四条  权利义务和质量保证</w:t>
      </w:r>
    </w:p>
    <w:p w14:paraId="1C615BB2">
      <w:pPr>
        <w:pStyle w:val="11"/>
        <w:tabs>
          <w:tab w:val="left" w:pos="0"/>
        </w:tabs>
        <w:spacing w:line="240" w:lineRule="auto"/>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1.甲方保证服务期间，对乙方工作给予支持，提供水、电、场地等必须的基础工作条件。如乙方有需要，还要提供履行合同所必需的有关图纸、数据、资料等。没有甲方事先同意，乙方不得将甲方资料提供给与履行本合同无关的任何其他人。即使向履行本合同有关的人员提供，也应注意保密并限于履行合同的必需范围内。</w:t>
      </w:r>
    </w:p>
    <w:p w14:paraId="06D418DC">
      <w:pPr>
        <w:pStyle w:val="11"/>
        <w:spacing w:line="240" w:lineRule="auto"/>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2.乙方保证所提供的服务或其任何一部分均不会侵犯任何第三方的专利权、商标权或著作权。</w:t>
      </w:r>
      <w:r>
        <w:rPr>
          <w:rFonts w:ascii="仿宋" w:hAnsi="仿宋" w:eastAsia="仿宋"/>
          <w:color w:val="auto"/>
          <w:sz w:val="24"/>
          <w:szCs w:val="24"/>
          <w:highlight w:val="none"/>
        </w:rPr>
        <w:t>一旦出现侵权，</w:t>
      </w:r>
      <w:r>
        <w:rPr>
          <w:rFonts w:hint="eastAsia" w:ascii="仿宋" w:hAnsi="仿宋" w:eastAsia="仿宋"/>
          <w:color w:val="auto"/>
          <w:sz w:val="24"/>
          <w:szCs w:val="24"/>
          <w:highlight w:val="none"/>
        </w:rPr>
        <w:t>索赔或诉讼</w:t>
      </w:r>
      <w:r>
        <w:rPr>
          <w:rFonts w:ascii="仿宋" w:hAnsi="仿宋" w:eastAsia="仿宋"/>
          <w:color w:val="auto"/>
          <w:sz w:val="24"/>
          <w:szCs w:val="24"/>
          <w:highlight w:val="none"/>
        </w:rPr>
        <w:t>，乙方应承担全部责任。</w:t>
      </w:r>
      <w:r>
        <w:rPr>
          <w:rFonts w:hint="eastAsia" w:ascii="仿宋" w:hAnsi="仿宋" w:eastAsia="仿宋"/>
          <w:color w:val="auto"/>
          <w:sz w:val="24"/>
          <w:szCs w:val="24"/>
          <w:highlight w:val="none"/>
        </w:rPr>
        <w:t>乙方保证服务不存在危及人身及财产安全的隐患，不存在违反国家法规、法令、法律以及行业规范所要求的有关安全条款，否则应承担全部法律责任。</w:t>
      </w:r>
    </w:p>
    <w:p w14:paraId="4B045EEF">
      <w:pPr>
        <w:ind w:left="482"/>
        <w:rPr>
          <w:rFonts w:ascii="仿宋" w:hAnsi="仿宋" w:eastAsia="仿宋"/>
          <w:b/>
          <w:color w:val="auto"/>
          <w:sz w:val="24"/>
          <w:highlight w:val="none"/>
        </w:rPr>
      </w:pPr>
      <w:r>
        <w:rPr>
          <w:rFonts w:hint="eastAsia" w:ascii="仿宋" w:hAnsi="仿宋" w:eastAsia="仿宋"/>
          <w:b/>
          <w:color w:val="auto"/>
          <w:sz w:val="24"/>
          <w:highlight w:val="none"/>
        </w:rPr>
        <w:t>第五条  付款方式</w:t>
      </w:r>
    </w:p>
    <w:p w14:paraId="3B3C663B">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1.本合同项下所有款项均以人民币支付。</w:t>
      </w:r>
    </w:p>
    <w:p w14:paraId="6080407A">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2.乙方向甲方提交下列文件材料，经甲方审核无误后支付采购资金：</w:t>
      </w:r>
    </w:p>
    <w:p w14:paraId="3B546B1A">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（1）经甲方确认的发票；</w:t>
      </w:r>
    </w:p>
    <w:p w14:paraId="6C03C1DF">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（2）经甲乙双方确认签订的《验收报告》（或按项目进度阶段性《验收报告》）；</w:t>
      </w:r>
    </w:p>
    <w:p w14:paraId="58FCD872">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（3）其他材料。</w:t>
      </w:r>
    </w:p>
    <w:p w14:paraId="6DD332FD">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3.款项的支付进度以招标采购文件的有关规定为准。如招标采购文件未作特别规定，则付款进度应符合如下约定：</w:t>
      </w:r>
    </w:p>
    <w:p w14:paraId="18FE6733">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合同签订3个月内，甲方支付乙方合同总价的30%；2026年9月30日前，甲方支付乙方合同总价的40%；剩余合同总价的30%作为考核款，待项目服务期限结束后，根据最终考核结果支付余款。每次</w:t>
      </w:r>
      <w:r>
        <w:rPr>
          <w:rFonts w:hint="eastAsia" w:ascii="仿宋" w:hAnsi="仿宋" w:eastAsia="仿宋"/>
          <w:color w:val="auto"/>
          <w:sz w:val="24"/>
          <w:highlight w:val="none"/>
          <w:lang w:val="zh-CN"/>
        </w:rPr>
        <w:t>支付前，</w:t>
      </w:r>
      <w:r>
        <w:rPr>
          <w:rFonts w:hint="eastAsia" w:ascii="仿宋" w:hAnsi="仿宋" w:eastAsia="仿宋"/>
          <w:color w:val="auto"/>
          <w:sz w:val="24"/>
          <w:highlight w:val="none"/>
        </w:rPr>
        <w:t>乙方</w:t>
      </w:r>
      <w:r>
        <w:rPr>
          <w:rFonts w:hint="eastAsia" w:ascii="仿宋" w:hAnsi="仿宋" w:eastAsia="仿宋"/>
          <w:color w:val="auto"/>
          <w:sz w:val="24"/>
          <w:highlight w:val="none"/>
          <w:lang w:val="zh-CN"/>
        </w:rPr>
        <w:t>均应出具在税务部门开具的正式税票，否则甲方有权顺延支付，且不承担违约责任。</w:t>
      </w:r>
    </w:p>
    <w:p w14:paraId="53F6BB01">
      <w:pPr>
        <w:ind w:left="482"/>
        <w:rPr>
          <w:rFonts w:ascii="仿宋" w:hAnsi="仿宋" w:eastAsia="仿宋"/>
          <w:b/>
          <w:color w:val="auto"/>
          <w:sz w:val="24"/>
          <w:highlight w:val="none"/>
        </w:rPr>
      </w:pPr>
      <w:r>
        <w:rPr>
          <w:rFonts w:hint="eastAsia" w:ascii="仿宋" w:hAnsi="仿宋" w:eastAsia="仿宋"/>
          <w:b/>
          <w:color w:val="auto"/>
          <w:sz w:val="24"/>
          <w:highlight w:val="none"/>
        </w:rPr>
        <w:t>第六条  验收</w:t>
      </w:r>
    </w:p>
    <w:p w14:paraId="66A6F9E2">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1.服务期限：  至 。</w:t>
      </w:r>
    </w:p>
    <w:p w14:paraId="303A85B1">
      <w:pPr>
        <w:ind w:firstLine="720" w:firstLineChars="300"/>
        <w:rPr>
          <w:rFonts w:ascii="仿宋" w:hAnsi="仿宋" w:eastAsia="仿宋"/>
          <w:color w:val="auto"/>
          <w:sz w:val="24"/>
          <w:highlight w:val="none"/>
        </w:rPr>
      </w:pPr>
      <w:r>
        <w:rPr>
          <w:rFonts w:hint="eastAsia" w:ascii="仿宋" w:hAnsi="仿宋" w:eastAsia="仿宋"/>
          <w:color w:val="auto"/>
          <w:sz w:val="24"/>
          <w:highlight w:val="none"/>
        </w:rPr>
        <w:t>服务地点： 。</w:t>
      </w:r>
    </w:p>
    <w:p w14:paraId="74A7034B">
      <w:pPr>
        <w:ind w:firstLine="720" w:firstLineChars="300"/>
        <w:rPr>
          <w:rFonts w:ascii="仿宋" w:hAnsi="仿宋" w:eastAsia="仿宋"/>
          <w:color w:val="auto"/>
          <w:sz w:val="24"/>
          <w:highlight w:val="none"/>
          <w:u w:val="single"/>
        </w:rPr>
      </w:pPr>
      <w:r>
        <w:rPr>
          <w:rFonts w:hint="eastAsia" w:ascii="仿宋" w:hAnsi="仿宋" w:eastAsia="仿宋"/>
          <w:color w:val="auto"/>
          <w:sz w:val="24"/>
          <w:highlight w:val="none"/>
        </w:rPr>
        <w:t>验收时间： 。</w:t>
      </w:r>
    </w:p>
    <w:p w14:paraId="4E92DF06">
      <w:pPr>
        <w:ind w:firstLine="720" w:firstLineChars="300"/>
        <w:rPr>
          <w:rFonts w:ascii="仿宋" w:hAnsi="仿宋" w:eastAsia="仿宋"/>
          <w:color w:val="auto"/>
          <w:sz w:val="24"/>
          <w:highlight w:val="none"/>
        </w:rPr>
      </w:pPr>
      <w:r>
        <w:rPr>
          <w:rFonts w:hint="eastAsia" w:ascii="仿宋" w:hAnsi="仿宋" w:eastAsia="仿宋"/>
          <w:color w:val="auto"/>
          <w:sz w:val="24"/>
          <w:highlight w:val="none"/>
        </w:rPr>
        <w:t>验收地点： 。</w:t>
      </w:r>
    </w:p>
    <w:p w14:paraId="7B803BDE">
      <w:pPr>
        <w:pStyle w:val="11"/>
        <w:tabs>
          <w:tab w:val="left" w:pos="0"/>
        </w:tabs>
        <w:spacing w:line="240" w:lineRule="auto"/>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2. 乙方应对提供的服务成果作出全面自查和整理，并列出清单，作为甲方验收和使用的服务条件依据，清单应随提供的服务成果交给甲方。</w:t>
      </w:r>
    </w:p>
    <w:p w14:paraId="2D3E325A">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3.验收时，甲乙双方必须同时在场，</w:t>
      </w:r>
      <w:r>
        <w:rPr>
          <w:rFonts w:ascii="仿宋" w:hAnsi="仿宋" w:eastAsia="仿宋"/>
          <w:color w:val="auto"/>
          <w:sz w:val="24"/>
          <w:highlight w:val="none"/>
        </w:rPr>
        <w:t>乙方所</w:t>
      </w:r>
      <w:r>
        <w:rPr>
          <w:rFonts w:hint="eastAsia" w:ascii="仿宋" w:hAnsi="仿宋" w:eastAsia="仿宋"/>
          <w:color w:val="auto"/>
          <w:sz w:val="24"/>
          <w:highlight w:val="none"/>
        </w:rPr>
        <w:t>提供</w:t>
      </w:r>
      <w:r>
        <w:rPr>
          <w:rFonts w:ascii="仿宋" w:hAnsi="仿宋" w:eastAsia="仿宋"/>
          <w:color w:val="auto"/>
          <w:sz w:val="24"/>
          <w:highlight w:val="none"/>
        </w:rPr>
        <w:t>的</w:t>
      </w:r>
      <w:r>
        <w:rPr>
          <w:rFonts w:hint="eastAsia" w:ascii="仿宋" w:hAnsi="仿宋" w:eastAsia="仿宋"/>
          <w:color w:val="auto"/>
          <w:sz w:val="24"/>
          <w:highlight w:val="none"/>
        </w:rPr>
        <w:t>服务</w:t>
      </w:r>
      <w:r>
        <w:rPr>
          <w:rFonts w:ascii="仿宋" w:hAnsi="仿宋" w:eastAsia="仿宋"/>
          <w:color w:val="auto"/>
          <w:sz w:val="24"/>
          <w:highlight w:val="none"/>
        </w:rPr>
        <w:t>不符合合同</w:t>
      </w:r>
      <w:r>
        <w:rPr>
          <w:rFonts w:hint="eastAsia" w:ascii="仿宋" w:hAnsi="仿宋" w:eastAsia="仿宋"/>
          <w:color w:val="auto"/>
          <w:sz w:val="24"/>
          <w:highlight w:val="none"/>
        </w:rPr>
        <w:t>内容</w:t>
      </w:r>
      <w:r>
        <w:rPr>
          <w:rFonts w:ascii="仿宋" w:hAnsi="仿宋" w:eastAsia="仿宋"/>
          <w:color w:val="auto"/>
          <w:sz w:val="24"/>
          <w:highlight w:val="none"/>
        </w:rPr>
        <w:t>规定的，甲方有权</w:t>
      </w:r>
      <w:r>
        <w:rPr>
          <w:rFonts w:hint="eastAsia" w:ascii="仿宋" w:hAnsi="仿宋" w:eastAsia="仿宋"/>
          <w:color w:val="auto"/>
          <w:sz w:val="24"/>
          <w:highlight w:val="none"/>
        </w:rPr>
        <w:t>拒绝验收。乙方应及时按本合同内容规定和甲方要求免费进行整改，直至验收合格，方视为乙方按本合同规定完成服务</w:t>
      </w:r>
      <w:r>
        <w:rPr>
          <w:rFonts w:ascii="仿宋" w:hAnsi="仿宋" w:eastAsia="仿宋"/>
          <w:color w:val="auto"/>
          <w:sz w:val="24"/>
          <w:highlight w:val="none"/>
        </w:rPr>
        <w:t>。</w:t>
      </w:r>
      <w:r>
        <w:rPr>
          <w:rFonts w:hint="eastAsia" w:ascii="仿宋" w:hAnsi="仿宋" w:eastAsia="仿宋"/>
          <w:color w:val="auto"/>
          <w:sz w:val="24"/>
          <w:highlight w:val="none"/>
        </w:rPr>
        <w:t>验收合格的，填写《履约验收报告》。在经过两次限期整改后，服务仍达不到合同文件规定内容的，甲方有权拒收，并可以解除合同；由此引起甲方损失及赔偿责任由乙方承担。</w:t>
      </w:r>
    </w:p>
    <w:p w14:paraId="00A5A126">
      <w:pPr>
        <w:snapToGrid w:val="0"/>
        <w:ind w:firstLine="482"/>
        <w:textAlignment w:val="baseline"/>
        <w:rPr>
          <w:rFonts w:ascii="仿宋" w:hAnsi="仿宋" w:eastAsia="仿宋"/>
          <w:color w:val="auto"/>
          <w:sz w:val="24"/>
          <w:highlight w:val="none"/>
        </w:rPr>
      </w:pPr>
      <w:r>
        <w:rPr>
          <w:rFonts w:hint="eastAsia" w:ascii="仿宋" w:hAnsi="仿宋" w:eastAsia="仿宋"/>
          <w:color w:val="auto"/>
          <w:sz w:val="24"/>
          <w:highlight w:val="none"/>
        </w:rPr>
        <w:t>4.甲方可以视项目规模或复杂情况聘请专业人员参与验收，</w:t>
      </w:r>
      <w:r>
        <w:rPr>
          <w:rFonts w:ascii="仿宋" w:hAnsi="仿宋" w:eastAsia="仿宋"/>
          <w:color w:val="auto"/>
          <w:sz w:val="24"/>
          <w:highlight w:val="none"/>
        </w:rPr>
        <w:t>大型或复杂项目</w:t>
      </w:r>
      <w:r>
        <w:rPr>
          <w:rFonts w:hint="eastAsia" w:ascii="仿宋" w:hAnsi="仿宋" w:eastAsia="仿宋"/>
          <w:color w:val="auto"/>
          <w:sz w:val="24"/>
          <w:highlight w:val="none"/>
        </w:rPr>
        <w:t>，以及涉及专业服务内容的应当</w:t>
      </w:r>
      <w:r>
        <w:rPr>
          <w:rFonts w:ascii="仿宋" w:hAnsi="仿宋" w:eastAsia="仿宋"/>
          <w:color w:val="auto"/>
          <w:sz w:val="24"/>
          <w:highlight w:val="none"/>
        </w:rPr>
        <w:t>邀请国家认可的第三方质量检测机构参与验收。</w:t>
      </w:r>
    </w:p>
    <w:p w14:paraId="12C1D3A2">
      <w:pPr>
        <w:snapToGrid w:val="0"/>
        <w:ind w:firstLine="482"/>
        <w:textAlignment w:val="baseline"/>
        <w:rPr>
          <w:rFonts w:ascii="仿宋" w:hAnsi="仿宋" w:eastAsia="仿宋"/>
          <w:color w:val="auto"/>
          <w:sz w:val="24"/>
          <w:highlight w:val="none"/>
        </w:rPr>
      </w:pPr>
      <w:r>
        <w:rPr>
          <w:rFonts w:hint="eastAsia" w:ascii="仿宋" w:hAnsi="仿宋" w:eastAsia="仿宋"/>
          <w:color w:val="auto"/>
          <w:sz w:val="24"/>
          <w:highlight w:val="none"/>
        </w:rPr>
        <w:t>5.如项目实施情况需要分阶段验收，则根据实际情况分阶段出具《履约验收报告》。</w:t>
      </w:r>
    </w:p>
    <w:p w14:paraId="658F2020">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6.如果合同双方对《履约验收报告》有分歧，双方须于出现分歧后天内给对方书面声明，以陈述己方的理由及要求，并附有关证据。分歧应通过协商解决。</w:t>
      </w:r>
    </w:p>
    <w:p w14:paraId="6E4D3E72">
      <w:pPr>
        <w:ind w:left="482"/>
        <w:rPr>
          <w:rFonts w:ascii="仿宋" w:hAnsi="仿宋" w:eastAsia="仿宋"/>
          <w:b/>
          <w:color w:val="auto"/>
          <w:sz w:val="24"/>
          <w:highlight w:val="none"/>
        </w:rPr>
      </w:pPr>
      <w:r>
        <w:rPr>
          <w:rFonts w:hint="eastAsia" w:ascii="仿宋" w:hAnsi="仿宋" w:eastAsia="仿宋"/>
          <w:b/>
          <w:color w:val="auto"/>
          <w:sz w:val="24"/>
          <w:highlight w:val="none"/>
        </w:rPr>
        <w:t>第七条  项目管理服务</w:t>
      </w:r>
    </w:p>
    <w:p w14:paraId="42C22ADF">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甲乙方要指定不少于一人全权全程负责本项目服务的落实，包括服务的咨询、执行和后续工作。</w:t>
      </w:r>
    </w:p>
    <w:p w14:paraId="00EC84FD">
      <w:pPr>
        <w:snapToGrid w:val="0"/>
        <w:ind w:firstLine="481"/>
        <w:textAlignment w:val="baseline"/>
        <w:rPr>
          <w:rFonts w:ascii="仿宋" w:hAnsi="仿宋" w:eastAsia="仿宋"/>
          <w:color w:val="auto"/>
          <w:sz w:val="24"/>
          <w:highlight w:val="none"/>
        </w:rPr>
      </w:pPr>
      <w:r>
        <w:rPr>
          <w:rFonts w:hint="eastAsia" w:ascii="仿宋" w:hAnsi="仿宋" w:eastAsia="仿宋"/>
          <w:color w:val="auto"/>
          <w:sz w:val="24"/>
          <w:highlight w:val="none"/>
        </w:rPr>
        <w:t>甲方</w:t>
      </w:r>
      <w:r>
        <w:rPr>
          <w:rFonts w:ascii="仿宋" w:hAnsi="仿宋" w:eastAsia="仿宋"/>
          <w:color w:val="auto"/>
          <w:sz w:val="24"/>
          <w:highlight w:val="none"/>
        </w:rPr>
        <w:t>项目负责人</w:t>
      </w:r>
      <w:r>
        <w:rPr>
          <w:rFonts w:hint="eastAsia" w:ascii="仿宋" w:hAnsi="仿宋" w:eastAsia="仿宋"/>
          <w:color w:val="auto"/>
          <w:sz w:val="24"/>
          <w:highlight w:val="none"/>
        </w:rPr>
        <w:t>姓名</w:t>
      </w:r>
      <w:r>
        <w:rPr>
          <w:rFonts w:ascii="仿宋" w:hAnsi="仿宋" w:eastAsia="仿宋"/>
          <w:color w:val="auto"/>
          <w:sz w:val="24"/>
          <w:highlight w:val="none"/>
        </w:rPr>
        <w:t>：； 联系电话：。</w:t>
      </w:r>
    </w:p>
    <w:p w14:paraId="4AF0C91D">
      <w:pPr>
        <w:snapToGrid w:val="0"/>
        <w:ind w:firstLine="481"/>
        <w:textAlignment w:val="baseline"/>
        <w:rPr>
          <w:rFonts w:ascii="仿宋" w:hAnsi="仿宋" w:eastAsia="仿宋"/>
          <w:color w:val="auto"/>
          <w:sz w:val="24"/>
          <w:highlight w:val="none"/>
        </w:rPr>
      </w:pPr>
      <w:r>
        <w:rPr>
          <w:rFonts w:hint="eastAsia" w:ascii="仿宋" w:hAnsi="仿宋" w:eastAsia="仿宋"/>
          <w:color w:val="auto"/>
          <w:sz w:val="24"/>
          <w:highlight w:val="none"/>
        </w:rPr>
        <w:t>乙方</w:t>
      </w:r>
      <w:r>
        <w:rPr>
          <w:rFonts w:ascii="仿宋" w:hAnsi="仿宋" w:eastAsia="仿宋"/>
          <w:color w:val="auto"/>
          <w:sz w:val="24"/>
          <w:highlight w:val="none"/>
        </w:rPr>
        <w:t>项目负责人</w:t>
      </w:r>
      <w:r>
        <w:rPr>
          <w:rFonts w:hint="eastAsia" w:ascii="仿宋" w:hAnsi="仿宋" w:eastAsia="仿宋"/>
          <w:color w:val="auto"/>
          <w:sz w:val="24"/>
          <w:highlight w:val="none"/>
        </w:rPr>
        <w:t>姓名</w:t>
      </w:r>
      <w:r>
        <w:rPr>
          <w:rFonts w:ascii="仿宋" w:hAnsi="仿宋" w:eastAsia="仿宋"/>
          <w:color w:val="auto"/>
          <w:sz w:val="24"/>
          <w:highlight w:val="none"/>
        </w:rPr>
        <w:t>：； 联系电话：。</w:t>
      </w:r>
    </w:p>
    <w:p w14:paraId="5F730A6A">
      <w:pPr>
        <w:ind w:firstLine="472" w:firstLineChars="196"/>
        <w:rPr>
          <w:rFonts w:ascii="仿宋" w:hAnsi="仿宋" w:eastAsia="仿宋"/>
          <w:b/>
          <w:color w:val="auto"/>
          <w:sz w:val="24"/>
          <w:highlight w:val="none"/>
        </w:rPr>
      </w:pPr>
      <w:r>
        <w:rPr>
          <w:rFonts w:hint="eastAsia" w:ascii="仿宋" w:hAnsi="仿宋" w:eastAsia="仿宋"/>
          <w:b/>
          <w:color w:val="auto"/>
          <w:sz w:val="24"/>
          <w:highlight w:val="none"/>
        </w:rPr>
        <w:t>第八条  售后服务</w:t>
      </w:r>
    </w:p>
    <w:p w14:paraId="480D66EB">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1.乙方提供服务的质量保证期为自服务通过最终验收起个月。若国家有明确规定的质量保证期高于此质量保证期的，执行国家规定。</w:t>
      </w:r>
    </w:p>
    <w:p w14:paraId="2F5368CD">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2.服务期内，乙方应提供相关服务支持。对甲方所反映的任何服务问题在</w:t>
      </w:r>
      <w:r>
        <w:rPr>
          <w:rFonts w:hint="eastAsia" w:ascii="仿宋" w:hAnsi="仿宋" w:eastAsia="仿宋"/>
          <w:color w:val="auto"/>
          <w:sz w:val="24"/>
          <w:highlight w:val="none"/>
          <w:u w:val="single"/>
        </w:rPr>
        <w:t>××</w:t>
      </w:r>
      <w:r>
        <w:rPr>
          <w:rFonts w:hint="eastAsia" w:ascii="仿宋" w:hAnsi="仿宋" w:eastAsia="仿宋"/>
          <w:color w:val="auto"/>
          <w:sz w:val="24"/>
          <w:highlight w:val="none"/>
        </w:rPr>
        <w:t>日（小时）之内做出及时响应，在日（小时）之内赶到现场实地解决问题。若问题在工作日（小时）后仍无法解决，乙方应在日（小时）内免费提供服务的补偿、替换方案，直至服务恢复正常。</w:t>
      </w:r>
    </w:p>
    <w:p w14:paraId="1B94F3EE">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3.乙方必须遵守甲方的有关管理制度、操作规程。对于乙方违规操作造成甲方损失的，由乙方按照本合同第十二条的约定承担赔偿责任。</w:t>
      </w:r>
    </w:p>
    <w:p w14:paraId="328E4EEC">
      <w:pPr>
        <w:ind w:left="482"/>
        <w:rPr>
          <w:rFonts w:ascii="仿宋" w:hAnsi="仿宋" w:eastAsia="仿宋"/>
          <w:b/>
          <w:color w:val="auto"/>
          <w:sz w:val="24"/>
          <w:highlight w:val="none"/>
        </w:rPr>
      </w:pPr>
      <w:r>
        <w:rPr>
          <w:rFonts w:hint="eastAsia" w:ascii="仿宋" w:hAnsi="仿宋" w:eastAsia="仿宋"/>
          <w:b/>
          <w:color w:val="auto"/>
          <w:sz w:val="24"/>
          <w:highlight w:val="none"/>
        </w:rPr>
        <w:t>第九条  分包</w:t>
      </w:r>
    </w:p>
    <w:p w14:paraId="27B7FB25">
      <w:pPr>
        <w:ind w:firstLine="480" w:firstLineChars="200"/>
        <w:rPr>
          <w:rFonts w:ascii="仿宋" w:hAnsi="仿宋" w:eastAsia="仿宋"/>
          <w:strike/>
          <w:color w:val="auto"/>
          <w:sz w:val="24"/>
          <w:highlight w:val="none"/>
        </w:rPr>
      </w:pPr>
      <w:r>
        <w:rPr>
          <w:rFonts w:hint="eastAsia" w:ascii="仿宋" w:hAnsi="仿宋" w:eastAsia="仿宋"/>
          <w:color w:val="auto"/>
          <w:sz w:val="24"/>
          <w:highlight w:val="none"/>
        </w:rPr>
        <w:t>除采购文件事先说明、且经甲方事先书面同意外，乙方不得分包、转包其应履行的合同义务。</w:t>
      </w:r>
    </w:p>
    <w:p w14:paraId="262D0EC3">
      <w:pPr>
        <w:ind w:firstLine="482" w:firstLineChars="200"/>
        <w:rPr>
          <w:rFonts w:ascii="仿宋" w:hAnsi="仿宋" w:eastAsia="仿宋"/>
          <w:b/>
          <w:color w:val="auto"/>
          <w:sz w:val="24"/>
          <w:highlight w:val="none"/>
        </w:rPr>
      </w:pPr>
      <w:r>
        <w:rPr>
          <w:rFonts w:hint="eastAsia" w:ascii="仿宋" w:hAnsi="仿宋" w:eastAsia="仿宋"/>
          <w:b/>
          <w:color w:val="auto"/>
          <w:sz w:val="24"/>
          <w:highlight w:val="none"/>
        </w:rPr>
        <w:t>第十条  合同的生效</w:t>
      </w:r>
    </w:p>
    <w:p w14:paraId="0787736F">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1.本合同经甲乙双方授权代表签字并加盖公章或合同专用章后生效。</w:t>
      </w:r>
    </w:p>
    <w:p w14:paraId="4210C353">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2.生效后，除《政府采购法》第49条、第50条第二款规定的情形外，甲乙双方不得擅自变更、中止或终止合同。</w:t>
      </w:r>
    </w:p>
    <w:p w14:paraId="74FB5451">
      <w:pPr>
        <w:ind w:left="482"/>
        <w:rPr>
          <w:rFonts w:ascii="仿宋" w:hAnsi="仿宋" w:eastAsia="仿宋"/>
          <w:b/>
          <w:color w:val="auto"/>
          <w:sz w:val="24"/>
          <w:highlight w:val="none"/>
        </w:rPr>
      </w:pPr>
      <w:r>
        <w:rPr>
          <w:rFonts w:hint="eastAsia" w:ascii="仿宋" w:hAnsi="仿宋" w:eastAsia="仿宋"/>
          <w:b/>
          <w:color w:val="auto"/>
          <w:sz w:val="24"/>
          <w:highlight w:val="none"/>
        </w:rPr>
        <w:t>第十一条  违约责任</w:t>
      </w:r>
    </w:p>
    <w:p w14:paraId="3D716B3C">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1.</w:t>
      </w:r>
      <w:r>
        <w:rPr>
          <w:rFonts w:ascii="仿宋" w:hAnsi="仿宋" w:eastAsia="仿宋"/>
          <w:color w:val="auto"/>
          <w:sz w:val="24"/>
          <w:highlight w:val="none"/>
        </w:rPr>
        <w:t>乙方所</w:t>
      </w:r>
      <w:r>
        <w:rPr>
          <w:rFonts w:hint="eastAsia" w:ascii="仿宋" w:hAnsi="仿宋" w:eastAsia="仿宋"/>
          <w:color w:val="auto"/>
          <w:sz w:val="24"/>
          <w:highlight w:val="none"/>
        </w:rPr>
        <w:t>提供</w:t>
      </w:r>
      <w:r>
        <w:rPr>
          <w:rFonts w:ascii="仿宋" w:hAnsi="仿宋" w:eastAsia="仿宋"/>
          <w:color w:val="auto"/>
          <w:sz w:val="24"/>
          <w:highlight w:val="none"/>
        </w:rPr>
        <w:t>的</w:t>
      </w:r>
      <w:r>
        <w:rPr>
          <w:rFonts w:hint="eastAsia" w:ascii="仿宋" w:hAnsi="仿宋" w:eastAsia="仿宋"/>
          <w:color w:val="auto"/>
          <w:sz w:val="24"/>
          <w:highlight w:val="none"/>
        </w:rPr>
        <w:t>服务成果</w:t>
      </w:r>
      <w:r>
        <w:rPr>
          <w:rFonts w:ascii="仿宋" w:hAnsi="仿宋" w:eastAsia="仿宋"/>
          <w:color w:val="auto"/>
          <w:sz w:val="24"/>
          <w:highlight w:val="none"/>
        </w:rPr>
        <w:t>不符合</w:t>
      </w:r>
      <w:r>
        <w:rPr>
          <w:rFonts w:hint="eastAsia" w:ascii="仿宋" w:hAnsi="仿宋" w:eastAsia="仿宋"/>
          <w:color w:val="auto"/>
          <w:sz w:val="24"/>
          <w:highlight w:val="none"/>
        </w:rPr>
        <w:t>本</w:t>
      </w:r>
      <w:r>
        <w:rPr>
          <w:rFonts w:ascii="仿宋" w:hAnsi="仿宋" w:eastAsia="仿宋"/>
          <w:color w:val="auto"/>
          <w:sz w:val="24"/>
          <w:highlight w:val="none"/>
        </w:rPr>
        <w:t>合同规定的，甲方有权拒收</w:t>
      </w:r>
      <w:r>
        <w:rPr>
          <w:rFonts w:hint="eastAsia" w:ascii="仿宋" w:hAnsi="仿宋" w:eastAsia="仿宋"/>
          <w:color w:val="auto"/>
          <w:sz w:val="24"/>
          <w:highlight w:val="none"/>
        </w:rPr>
        <w:t>，乙方在得到甲方通知之日起个工作日内采取补救措施，逾期仍未采取有效措施的，乙方应向甲方支付合同总价％的违约金。</w:t>
      </w:r>
    </w:p>
    <w:p w14:paraId="3948CB38">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2.</w:t>
      </w:r>
      <w:r>
        <w:rPr>
          <w:rFonts w:ascii="仿宋" w:hAnsi="仿宋" w:eastAsia="仿宋"/>
          <w:color w:val="auto"/>
          <w:sz w:val="24"/>
          <w:highlight w:val="none"/>
        </w:rPr>
        <w:t>乙方无正当理由逾期</w:t>
      </w:r>
      <w:r>
        <w:rPr>
          <w:rFonts w:hint="eastAsia" w:ascii="仿宋" w:hAnsi="仿宋" w:eastAsia="仿宋"/>
          <w:color w:val="auto"/>
          <w:sz w:val="24"/>
          <w:highlight w:val="none"/>
        </w:rPr>
        <w:t>提供服务</w:t>
      </w:r>
      <w:r>
        <w:rPr>
          <w:rFonts w:ascii="仿宋" w:hAnsi="仿宋" w:eastAsia="仿宋"/>
          <w:color w:val="auto"/>
          <w:sz w:val="24"/>
          <w:highlight w:val="none"/>
        </w:rPr>
        <w:t>的，每逾期1天，乙方向甲方偿付</w:t>
      </w:r>
      <w:r>
        <w:rPr>
          <w:rFonts w:hint="eastAsia" w:ascii="仿宋" w:hAnsi="仿宋" w:eastAsia="仿宋"/>
          <w:color w:val="auto"/>
          <w:sz w:val="24"/>
          <w:highlight w:val="none"/>
        </w:rPr>
        <w:t>合同</w:t>
      </w:r>
      <w:r>
        <w:rPr>
          <w:rFonts w:ascii="仿宋" w:hAnsi="仿宋" w:eastAsia="仿宋"/>
          <w:color w:val="auto"/>
          <w:sz w:val="24"/>
          <w:highlight w:val="none"/>
        </w:rPr>
        <w:t>总额的‰的</w:t>
      </w:r>
      <w:r>
        <w:rPr>
          <w:rFonts w:hint="eastAsia" w:ascii="仿宋" w:hAnsi="仿宋" w:eastAsia="仿宋"/>
          <w:color w:val="auto"/>
          <w:sz w:val="24"/>
          <w:highlight w:val="none"/>
        </w:rPr>
        <w:t>违约</w:t>
      </w:r>
      <w:r>
        <w:rPr>
          <w:rFonts w:ascii="仿宋" w:hAnsi="仿宋" w:eastAsia="仿宋"/>
          <w:color w:val="auto"/>
          <w:sz w:val="24"/>
          <w:highlight w:val="none"/>
        </w:rPr>
        <w:t>金</w:t>
      </w:r>
      <w:r>
        <w:rPr>
          <w:rFonts w:hint="eastAsia" w:ascii="仿宋" w:hAnsi="仿宋" w:eastAsia="仿宋"/>
          <w:color w:val="auto"/>
          <w:sz w:val="24"/>
          <w:highlight w:val="none"/>
        </w:rPr>
        <w:t>。如乙方逾期达天，甲方有权解除合同，甲方解除合同的通知自到达乙方时生效。在此情况下，乙方给甲方造成的实际损失高于违约金的，对高出违约金的部分乙方应予以赔偿。</w:t>
      </w:r>
    </w:p>
    <w:p w14:paraId="244175BA">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3.其它未尽事宜，以《民法典》和《政府采购法》等有关法律法规规定为准，无相关规定的，双方协商解决。</w:t>
      </w:r>
    </w:p>
    <w:p w14:paraId="1F3FE24F">
      <w:pPr>
        <w:ind w:left="482"/>
        <w:rPr>
          <w:rFonts w:ascii="仿宋" w:hAnsi="仿宋" w:eastAsia="仿宋"/>
          <w:b/>
          <w:color w:val="auto"/>
          <w:sz w:val="24"/>
          <w:highlight w:val="none"/>
        </w:rPr>
      </w:pPr>
      <w:r>
        <w:rPr>
          <w:rFonts w:hint="eastAsia" w:ascii="仿宋" w:hAnsi="仿宋" w:eastAsia="仿宋"/>
          <w:b/>
          <w:color w:val="auto"/>
          <w:sz w:val="24"/>
          <w:highlight w:val="none"/>
        </w:rPr>
        <w:t>第十二条  不可抗力</w:t>
      </w:r>
    </w:p>
    <w:p w14:paraId="08E83DAF">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甲、乙方中任何一方，因不可抗力不能按时或完全履行合同的，应及时通知对方，并在个工作日内提供相应证明，结算服务费用。未履行的部分是否继续履行、如何履行等问题，可由双方初步协商，并向主管部门和政府采购管理部门报告。确定为不可抗力原因造成的损失，免予承担责任。</w:t>
      </w:r>
    </w:p>
    <w:p w14:paraId="00BB941F">
      <w:pPr>
        <w:ind w:left="482"/>
        <w:rPr>
          <w:rFonts w:ascii="仿宋" w:hAnsi="仿宋" w:eastAsia="仿宋"/>
          <w:b/>
          <w:color w:val="auto"/>
          <w:sz w:val="24"/>
          <w:highlight w:val="none"/>
        </w:rPr>
      </w:pPr>
      <w:r>
        <w:rPr>
          <w:rFonts w:hint="eastAsia" w:ascii="仿宋" w:hAnsi="仿宋" w:eastAsia="仿宋"/>
          <w:b/>
          <w:color w:val="auto"/>
          <w:sz w:val="24"/>
          <w:highlight w:val="none"/>
        </w:rPr>
        <w:t>第十三条  争议的解决方式</w:t>
      </w:r>
    </w:p>
    <w:p w14:paraId="0BF85E70">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1.因服务质量问题发生争议的，应当邀请国家认可的质量检测机构对服务进行鉴定。服务符合标准的，鉴定费由甲方承担；不符合质量标准的，鉴定费由乙方承担。</w:t>
      </w:r>
    </w:p>
    <w:p w14:paraId="761393D0">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2.在解释或者执行本合同的过程中发生争议时，双方应通过协商方式解决。</w:t>
      </w:r>
    </w:p>
    <w:p w14:paraId="700F019C">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3.经协商不能解决的争议，双方可选择以下第</w:t>
      </w:r>
      <w:r>
        <w:rPr>
          <w:rFonts w:hint="eastAsia" w:ascii="仿宋" w:hAnsi="仿宋" w:eastAsia="仿宋" w:cs="仿宋_GB2312"/>
          <w:color w:val="auto"/>
          <w:sz w:val="24"/>
          <w:highlight w:val="none"/>
          <w:u w:val="single"/>
        </w:rPr>
        <w:t>①</w:t>
      </w:r>
      <w:r>
        <w:rPr>
          <w:rFonts w:hint="eastAsia" w:ascii="仿宋" w:hAnsi="仿宋" w:eastAsia="仿宋"/>
          <w:color w:val="auto"/>
          <w:sz w:val="24"/>
          <w:highlight w:val="none"/>
        </w:rPr>
        <w:t>种方式解决：</w:t>
      </w:r>
    </w:p>
    <w:p w14:paraId="4757E03F">
      <w:pPr>
        <w:ind w:firstLine="480" w:firstLineChars="200"/>
        <w:rPr>
          <w:rFonts w:ascii="仿宋" w:hAnsi="仿宋" w:eastAsia="仿宋"/>
          <w:color w:val="auto"/>
          <w:sz w:val="24"/>
          <w:highlight w:val="none"/>
        </w:rPr>
      </w:pPr>
      <w:r>
        <w:rPr>
          <w:rFonts w:hint="eastAsia" w:ascii="仿宋" w:hAnsi="仿宋" w:eastAsia="仿宋" w:cs="仿宋_GB2312"/>
          <w:color w:val="auto"/>
          <w:sz w:val="24"/>
          <w:highlight w:val="none"/>
        </w:rPr>
        <w:t>①</w:t>
      </w:r>
      <w:r>
        <w:rPr>
          <w:rFonts w:hint="eastAsia" w:ascii="仿宋" w:hAnsi="仿宋" w:eastAsia="仿宋"/>
          <w:color w:val="auto"/>
          <w:sz w:val="24"/>
          <w:highlight w:val="none"/>
        </w:rPr>
        <w:t>向甲方所在地人民法院提起诉讼；</w:t>
      </w:r>
    </w:p>
    <w:p w14:paraId="187D0B51">
      <w:pPr>
        <w:ind w:firstLine="480" w:firstLineChars="200"/>
        <w:rPr>
          <w:rFonts w:ascii="仿宋" w:hAnsi="仿宋" w:eastAsia="仿宋"/>
          <w:color w:val="auto"/>
          <w:sz w:val="24"/>
          <w:highlight w:val="none"/>
        </w:rPr>
      </w:pPr>
      <w:r>
        <w:rPr>
          <w:rFonts w:hint="eastAsia" w:ascii="仿宋" w:hAnsi="仿宋" w:eastAsia="仿宋" w:cs="仿宋_GB2312"/>
          <w:color w:val="auto"/>
          <w:sz w:val="24"/>
          <w:highlight w:val="none"/>
        </w:rPr>
        <w:t>②</w:t>
      </w:r>
      <w:r>
        <w:rPr>
          <w:rFonts w:hint="eastAsia" w:ascii="仿宋" w:hAnsi="仿宋" w:eastAsia="仿宋"/>
          <w:color w:val="auto"/>
          <w:sz w:val="24"/>
          <w:highlight w:val="none"/>
        </w:rPr>
        <w:t>向南通市仲裁委员会提出仲裁。</w:t>
      </w:r>
    </w:p>
    <w:p w14:paraId="6A074A14">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4.在法院审理和仲裁期间，除有争议部分外，本合同其他部分可以履行的仍应按合同条款继续履行。</w:t>
      </w:r>
    </w:p>
    <w:p w14:paraId="2789CA88">
      <w:pPr>
        <w:ind w:left="482"/>
        <w:rPr>
          <w:rFonts w:ascii="仿宋" w:hAnsi="仿宋" w:eastAsia="仿宋"/>
          <w:b/>
          <w:color w:val="auto"/>
          <w:sz w:val="24"/>
          <w:highlight w:val="none"/>
        </w:rPr>
      </w:pPr>
      <w:r>
        <w:rPr>
          <w:rFonts w:hint="eastAsia" w:ascii="仿宋" w:hAnsi="仿宋" w:eastAsia="仿宋"/>
          <w:b/>
          <w:color w:val="auto"/>
          <w:sz w:val="24"/>
          <w:highlight w:val="none"/>
        </w:rPr>
        <w:t>第十四条  其他</w:t>
      </w:r>
    </w:p>
    <w:p w14:paraId="78837DED">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符合《政府采购法》第49条规定的，经双方协商，办理政府采购手续后，可签订补充合同，所签订的补充合同与本合同具有同等法律效力。</w:t>
      </w:r>
    </w:p>
    <w:p w14:paraId="4B5D3A39">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本合同一式份，甲、乙双方各执份。</w:t>
      </w:r>
    </w:p>
    <w:p w14:paraId="34618844">
      <w:pPr>
        <w:ind w:firstLine="480" w:firstLineChars="200"/>
        <w:rPr>
          <w:rFonts w:ascii="仿宋" w:hAnsi="仿宋" w:eastAsia="仿宋"/>
          <w:color w:val="auto"/>
          <w:sz w:val="24"/>
          <w:highlight w:val="none"/>
        </w:rPr>
      </w:pPr>
    </w:p>
    <w:tbl>
      <w:tblPr>
        <w:tblStyle w:val="22"/>
        <w:tblW w:w="0" w:type="auto"/>
        <w:tblInd w:w="0" w:type="dxa"/>
        <w:tblLayout w:type="autofit"/>
        <w:tblCellMar>
          <w:top w:w="0" w:type="dxa"/>
          <w:left w:w="108" w:type="dxa"/>
          <w:bottom w:w="0" w:type="dxa"/>
          <w:right w:w="108" w:type="dxa"/>
        </w:tblCellMar>
      </w:tblPr>
      <w:tblGrid>
        <w:gridCol w:w="4261"/>
        <w:gridCol w:w="4261"/>
      </w:tblGrid>
      <w:tr w14:paraId="43FABC08">
        <w:tblPrEx>
          <w:tblCellMar>
            <w:top w:w="0" w:type="dxa"/>
            <w:left w:w="108" w:type="dxa"/>
            <w:bottom w:w="0" w:type="dxa"/>
            <w:right w:w="108" w:type="dxa"/>
          </w:tblCellMar>
        </w:tblPrEx>
        <w:tc>
          <w:tcPr>
            <w:tcW w:w="4261" w:type="dxa"/>
          </w:tcPr>
          <w:p w14:paraId="17934A83">
            <w:pPr>
              <w:rPr>
                <w:rFonts w:ascii="仿宋" w:hAnsi="仿宋" w:eastAsia="仿宋"/>
                <w:color w:val="auto"/>
                <w:sz w:val="24"/>
                <w:highlight w:val="none"/>
              </w:rPr>
            </w:pPr>
            <w:r>
              <w:rPr>
                <w:rFonts w:hint="eastAsia" w:ascii="仿宋" w:hAnsi="仿宋" w:eastAsia="仿宋"/>
                <w:color w:val="auto"/>
                <w:sz w:val="24"/>
                <w:highlight w:val="none"/>
              </w:rPr>
              <w:t>甲方（公章）：</w:t>
            </w:r>
          </w:p>
          <w:p w14:paraId="0CC4D03E">
            <w:pPr>
              <w:rPr>
                <w:rFonts w:ascii="仿宋" w:hAnsi="仿宋" w:eastAsia="仿宋"/>
                <w:color w:val="auto"/>
                <w:sz w:val="24"/>
                <w:highlight w:val="none"/>
              </w:rPr>
            </w:pPr>
            <w:r>
              <w:rPr>
                <w:rFonts w:hint="eastAsia" w:ascii="仿宋" w:hAnsi="仿宋" w:eastAsia="仿宋"/>
                <w:color w:val="auto"/>
                <w:sz w:val="24"/>
                <w:highlight w:val="none"/>
              </w:rPr>
              <w:t>地址：</w:t>
            </w:r>
          </w:p>
          <w:p w14:paraId="5B3D84D3">
            <w:pPr>
              <w:rPr>
                <w:rFonts w:ascii="仿宋" w:hAnsi="仿宋" w:eastAsia="仿宋"/>
                <w:color w:val="auto"/>
                <w:sz w:val="24"/>
                <w:highlight w:val="none"/>
              </w:rPr>
            </w:pPr>
            <w:r>
              <w:rPr>
                <w:rFonts w:hint="eastAsia" w:ascii="仿宋" w:hAnsi="仿宋" w:eastAsia="仿宋"/>
                <w:color w:val="auto"/>
                <w:sz w:val="24"/>
                <w:highlight w:val="none"/>
              </w:rPr>
              <w:t>法定代表人（授权人）：</w:t>
            </w:r>
          </w:p>
          <w:p w14:paraId="7D7191DE">
            <w:pPr>
              <w:rPr>
                <w:rFonts w:ascii="仿宋" w:hAnsi="仿宋" w:eastAsia="仿宋"/>
                <w:color w:val="auto"/>
                <w:sz w:val="24"/>
                <w:highlight w:val="none"/>
              </w:rPr>
            </w:pPr>
          </w:p>
          <w:p w14:paraId="5BAE565E">
            <w:pPr>
              <w:rPr>
                <w:rFonts w:ascii="仿宋" w:hAnsi="仿宋" w:eastAsia="仿宋"/>
                <w:color w:val="auto"/>
                <w:sz w:val="24"/>
                <w:highlight w:val="none"/>
              </w:rPr>
            </w:pPr>
          </w:p>
          <w:p w14:paraId="58A51B89">
            <w:pPr>
              <w:jc w:val="right"/>
              <w:rPr>
                <w:rFonts w:ascii="仿宋" w:hAnsi="仿宋" w:eastAsia="仿宋"/>
                <w:color w:val="auto"/>
                <w:sz w:val="24"/>
                <w:highlight w:val="none"/>
              </w:rPr>
            </w:pPr>
            <w:r>
              <w:rPr>
                <w:rFonts w:hint="eastAsia" w:ascii="仿宋" w:hAnsi="仿宋" w:eastAsia="仿宋"/>
                <w:color w:val="auto"/>
                <w:sz w:val="24"/>
                <w:highlight w:val="none"/>
              </w:rPr>
              <w:t>年  月  日</w:t>
            </w:r>
          </w:p>
        </w:tc>
        <w:tc>
          <w:tcPr>
            <w:tcW w:w="4261" w:type="dxa"/>
          </w:tcPr>
          <w:p w14:paraId="728393C1">
            <w:pPr>
              <w:rPr>
                <w:rFonts w:ascii="仿宋" w:hAnsi="仿宋" w:eastAsia="仿宋"/>
                <w:color w:val="auto"/>
                <w:sz w:val="24"/>
                <w:highlight w:val="none"/>
              </w:rPr>
            </w:pPr>
            <w:r>
              <w:rPr>
                <w:rFonts w:hint="eastAsia" w:ascii="仿宋" w:hAnsi="仿宋" w:eastAsia="仿宋"/>
                <w:color w:val="auto"/>
                <w:sz w:val="24"/>
                <w:highlight w:val="none"/>
              </w:rPr>
              <w:t>乙方（公章）：</w:t>
            </w:r>
          </w:p>
          <w:p w14:paraId="561D3E0E">
            <w:pPr>
              <w:rPr>
                <w:rFonts w:ascii="仿宋" w:hAnsi="仿宋" w:eastAsia="仿宋"/>
                <w:color w:val="auto"/>
                <w:sz w:val="24"/>
                <w:highlight w:val="none"/>
              </w:rPr>
            </w:pPr>
            <w:r>
              <w:rPr>
                <w:rFonts w:hint="eastAsia" w:ascii="仿宋" w:hAnsi="仿宋" w:eastAsia="仿宋"/>
                <w:color w:val="auto"/>
                <w:sz w:val="24"/>
                <w:highlight w:val="none"/>
              </w:rPr>
              <w:t>地址：</w:t>
            </w:r>
          </w:p>
          <w:p w14:paraId="2E3D1767">
            <w:pPr>
              <w:rPr>
                <w:rFonts w:ascii="仿宋" w:hAnsi="仿宋" w:eastAsia="仿宋"/>
                <w:color w:val="auto"/>
                <w:sz w:val="24"/>
                <w:highlight w:val="none"/>
              </w:rPr>
            </w:pPr>
            <w:r>
              <w:rPr>
                <w:rFonts w:hint="eastAsia" w:ascii="仿宋" w:hAnsi="仿宋" w:eastAsia="仿宋"/>
                <w:color w:val="auto"/>
                <w:sz w:val="24"/>
                <w:highlight w:val="none"/>
              </w:rPr>
              <w:t>法定代表人（授权人）：</w:t>
            </w:r>
          </w:p>
          <w:p w14:paraId="6681DDF7">
            <w:pPr>
              <w:rPr>
                <w:rFonts w:ascii="仿宋" w:hAnsi="仿宋" w:eastAsia="仿宋"/>
                <w:color w:val="auto"/>
                <w:sz w:val="24"/>
                <w:highlight w:val="none"/>
              </w:rPr>
            </w:pPr>
            <w:r>
              <w:rPr>
                <w:rFonts w:hint="eastAsia" w:ascii="仿宋" w:hAnsi="仿宋" w:eastAsia="仿宋"/>
                <w:color w:val="auto"/>
                <w:sz w:val="24"/>
                <w:highlight w:val="none"/>
              </w:rPr>
              <w:t>开户行：</w:t>
            </w:r>
          </w:p>
          <w:p w14:paraId="0F486B71">
            <w:pPr>
              <w:rPr>
                <w:rFonts w:ascii="仿宋" w:hAnsi="仿宋" w:eastAsia="仿宋"/>
                <w:color w:val="auto"/>
                <w:sz w:val="24"/>
                <w:highlight w:val="none"/>
              </w:rPr>
            </w:pPr>
            <w:r>
              <w:rPr>
                <w:rFonts w:hint="eastAsia" w:ascii="仿宋" w:hAnsi="仿宋" w:eastAsia="仿宋"/>
                <w:color w:val="auto"/>
                <w:sz w:val="24"/>
                <w:highlight w:val="none"/>
              </w:rPr>
              <w:t>银行账号：</w:t>
            </w:r>
          </w:p>
          <w:p w14:paraId="0122A9EA">
            <w:pPr>
              <w:jc w:val="right"/>
              <w:rPr>
                <w:rFonts w:ascii="仿宋" w:hAnsi="仿宋" w:eastAsia="仿宋"/>
                <w:color w:val="auto"/>
                <w:sz w:val="24"/>
                <w:highlight w:val="none"/>
              </w:rPr>
            </w:pPr>
            <w:r>
              <w:rPr>
                <w:rFonts w:hint="eastAsia" w:ascii="仿宋" w:hAnsi="仿宋" w:eastAsia="仿宋"/>
                <w:color w:val="auto"/>
                <w:sz w:val="24"/>
                <w:highlight w:val="none"/>
              </w:rPr>
              <w:t xml:space="preserve">        年  月  日</w:t>
            </w:r>
          </w:p>
        </w:tc>
      </w:tr>
    </w:tbl>
    <w:p w14:paraId="2E3E70E0">
      <w:pPr>
        <w:ind w:firstLine="480" w:firstLineChars="200"/>
        <w:rPr>
          <w:rFonts w:ascii="仿宋_GB2312" w:hAnsi="宋体" w:eastAsia="仿宋_GB2312"/>
          <w:color w:val="auto"/>
          <w:sz w:val="24"/>
          <w:highlight w:val="none"/>
        </w:rPr>
      </w:pPr>
    </w:p>
    <w:p w14:paraId="7A6A9C9E">
      <w:pPr>
        <w:rPr>
          <w:rFonts w:ascii="仿宋" w:hAnsi="仿宋" w:eastAsia="仿宋"/>
          <w:color w:val="auto"/>
          <w:sz w:val="24"/>
          <w:highlight w:val="none"/>
        </w:rPr>
      </w:pPr>
      <w:r>
        <w:rPr>
          <w:rFonts w:hint="eastAsia" w:ascii="仿宋" w:hAnsi="仿宋" w:eastAsia="仿宋"/>
          <w:color w:val="auto"/>
          <w:sz w:val="24"/>
          <w:highlight w:val="none"/>
        </w:rPr>
        <w:t>附件</w:t>
      </w:r>
    </w:p>
    <w:p w14:paraId="18F42539">
      <w:pPr>
        <w:jc w:val="center"/>
        <w:rPr>
          <w:rFonts w:ascii="仿宋" w:hAnsi="仿宋" w:eastAsia="仿宋"/>
          <w:color w:val="auto"/>
          <w:sz w:val="24"/>
          <w:highlight w:val="none"/>
        </w:rPr>
      </w:pPr>
      <w:r>
        <w:rPr>
          <w:rFonts w:hint="eastAsia" w:ascii="仿宋" w:hAnsi="仿宋" w:eastAsia="仿宋"/>
          <w:color w:val="auto"/>
          <w:sz w:val="24"/>
          <w:highlight w:val="none"/>
        </w:rPr>
        <w:t>服务明细项目一览表</w:t>
      </w:r>
    </w:p>
    <w:tbl>
      <w:tblPr>
        <w:tblStyle w:val="2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4"/>
        <w:gridCol w:w="1426"/>
        <w:gridCol w:w="2891"/>
        <w:gridCol w:w="555"/>
        <w:gridCol w:w="555"/>
        <w:gridCol w:w="961"/>
        <w:gridCol w:w="1014"/>
        <w:gridCol w:w="1384"/>
      </w:tblGrid>
      <w:tr w14:paraId="292B4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vAlign w:val="center"/>
          </w:tcPr>
          <w:p w14:paraId="50B412B6">
            <w:pPr>
              <w:pStyle w:val="11"/>
              <w:snapToGrid w:val="0"/>
              <w:spacing w:after="0"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序号</w:t>
            </w:r>
          </w:p>
        </w:tc>
        <w:tc>
          <w:tcPr>
            <w:tcW w:w="1270" w:type="dxa"/>
            <w:vAlign w:val="center"/>
          </w:tcPr>
          <w:p w14:paraId="137D512F">
            <w:pPr>
              <w:pStyle w:val="11"/>
              <w:snapToGrid w:val="0"/>
              <w:spacing w:after="0" w:line="24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服务名称</w:t>
            </w:r>
          </w:p>
        </w:tc>
        <w:tc>
          <w:tcPr>
            <w:tcW w:w="2574" w:type="dxa"/>
            <w:vAlign w:val="center"/>
          </w:tcPr>
          <w:p w14:paraId="312B5AE2">
            <w:pPr>
              <w:pStyle w:val="11"/>
              <w:snapToGrid w:val="0"/>
              <w:spacing w:after="0" w:line="24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服务内容</w:t>
            </w:r>
          </w:p>
        </w:tc>
        <w:tc>
          <w:tcPr>
            <w:tcW w:w="494" w:type="dxa"/>
            <w:vAlign w:val="center"/>
          </w:tcPr>
          <w:p w14:paraId="1EA8850C">
            <w:pPr>
              <w:pStyle w:val="11"/>
              <w:snapToGrid w:val="0"/>
              <w:spacing w:after="0" w:line="24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计量单位</w:t>
            </w:r>
          </w:p>
        </w:tc>
        <w:tc>
          <w:tcPr>
            <w:tcW w:w="494" w:type="dxa"/>
            <w:vAlign w:val="center"/>
          </w:tcPr>
          <w:p w14:paraId="7135442F">
            <w:pPr>
              <w:pStyle w:val="11"/>
              <w:snapToGrid w:val="0"/>
              <w:spacing w:after="0" w:line="24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工作量</w:t>
            </w:r>
          </w:p>
        </w:tc>
        <w:tc>
          <w:tcPr>
            <w:tcW w:w="856" w:type="dxa"/>
            <w:vAlign w:val="center"/>
          </w:tcPr>
          <w:p w14:paraId="6FDF50C4">
            <w:pPr>
              <w:pStyle w:val="11"/>
              <w:snapToGrid w:val="0"/>
              <w:spacing w:after="0" w:line="24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单 价</w:t>
            </w:r>
          </w:p>
          <w:p w14:paraId="012382C2">
            <w:pPr>
              <w:pStyle w:val="11"/>
              <w:snapToGrid w:val="0"/>
              <w:spacing w:after="0" w:line="24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（元）</w:t>
            </w:r>
          </w:p>
        </w:tc>
        <w:tc>
          <w:tcPr>
            <w:tcW w:w="903" w:type="dxa"/>
            <w:vAlign w:val="center"/>
          </w:tcPr>
          <w:p w14:paraId="27BE3407">
            <w:pPr>
              <w:pStyle w:val="11"/>
              <w:snapToGrid w:val="0"/>
              <w:spacing w:after="0" w:line="24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总 价</w:t>
            </w:r>
          </w:p>
          <w:p w14:paraId="0A4F1181">
            <w:pPr>
              <w:pStyle w:val="11"/>
              <w:snapToGrid w:val="0"/>
              <w:spacing w:after="0" w:line="24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（元）</w:t>
            </w:r>
          </w:p>
        </w:tc>
        <w:tc>
          <w:tcPr>
            <w:tcW w:w="1232" w:type="dxa"/>
            <w:vAlign w:val="center"/>
          </w:tcPr>
          <w:p w14:paraId="1C29AAB8">
            <w:pPr>
              <w:pStyle w:val="11"/>
              <w:snapToGrid w:val="0"/>
              <w:spacing w:after="0" w:line="24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备注</w:t>
            </w:r>
          </w:p>
        </w:tc>
      </w:tr>
      <w:tr w14:paraId="4BAE8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tcPr>
          <w:p w14:paraId="2687FE1E">
            <w:pPr>
              <w:pStyle w:val="11"/>
              <w:snapToGrid w:val="0"/>
              <w:spacing w:after="0" w:line="240" w:lineRule="auto"/>
              <w:rPr>
                <w:rFonts w:ascii="仿宋" w:hAnsi="仿宋" w:eastAsia="仿宋"/>
                <w:color w:val="auto"/>
                <w:sz w:val="24"/>
                <w:szCs w:val="24"/>
                <w:highlight w:val="none"/>
              </w:rPr>
            </w:pPr>
          </w:p>
        </w:tc>
        <w:tc>
          <w:tcPr>
            <w:tcW w:w="1270" w:type="dxa"/>
          </w:tcPr>
          <w:p w14:paraId="370230EB">
            <w:pPr>
              <w:pStyle w:val="11"/>
              <w:snapToGrid w:val="0"/>
              <w:spacing w:after="0" w:line="240" w:lineRule="auto"/>
              <w:rPr>
                <w:rFonts w:ascii="仿宋" w:hAnsi="仿宋" w:eastAsia="仿宋"/>
                <w:color w:val="auto"/>
                <w:sz w:val="24"/>
                <w:szCs w:val="24"/>
                <w:highlight w:val="none"/>
              </w:rPr>
            </w:pPr>
          </w:p>
        </w:tc>
        <w:tc>
          <w:tcPr>
            <w:tcW w:w="2574" w:type="dxa"/>
          </w:tcPr>
          <w:p w14:paraId="3B737AF4">
            <w:pPr>
              <w:pStyle w:val="11"/>
              <w:snapToGrid w:val="0"/>
              <w:spacing w:after="0"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（视明细项目加行）</w:t>
            </w:r>
          </w:p>
        </w:tc>
        <w:tc>
          <w:tcPr>
            <w:tcW w:w="494" w:type="dxa"/>
          </w:tcPr>
          <w:p w14:paraId="6E3D136E">
            <w:pPr>
              <w:pStyle w:val="11"/>
              <w:snapToGrid w:val="0"/>
              <w:spacing w:after="0" w:line="240" w:lineRule="auto"/>
              <w:rPr>
                <w:rFonts w:ascii="仿宋" w:hAnsi="仿宋" w:eastAsia="仿宋"/>
                <w:color w:val="auto"/>
                <w:sz w:val="24"/>
                <w:szCs w:val="24"/>
                <w:highlight w:val="none"/>
              </w:rPr>
            </w:pPr>
          </w:p>
        </w:tc>
        <w:tc>
          <w:tcPr>
            <w:tcW w:w="494" w:type="dxa"/>
          </w:tcPr>
          <w:p w14:paraId="1A799E6C">
            <w:pPr>
              <w:pStyle w:val="11"/>
              <w:snapToGrid w:val="0"/>
              <w:spacing w:after="0" w:line="240" w:lineRule="auto"/>
              <w:jc w:val="center"/>
              <w:rPr>
                <w:rFonts w:ascii="仿宋" w:hAnsi="仿宋" w:eastAsia="仿宋"/>
                <w:color w:val="auto"/>
                <w:sz w:val="24"/>
                <w:szCs w:val="24"/>
                <w:highlight w:val="none"/>
              </w:rPr>
            </w:pPr>
          </w:p>
        </w:tc>
        <w:tc>
          <w:tcPr>
            <w:tcW w:w="856" w:type="dxa"/>
          </w:tcPr>
          <w:p w14:paraId="4F336CFA">
            <w:pPr>
              <w:pStyle w:val="11"/>
              <w:snapToGrid w:val="0"/>
              <w:spacing w:after="0" w:line="240" w:lineRule="auto"/>
              <w:rPr>
                <w:rFonts w:ascii="仿宋" w:hAnsi="仿宋" w:eastAsia="仿宋"/>
                <w:color w:val="auto"/>
                <w:sz w:val="24"/>
                <w:szCs w:val="24"/>
                <w:highlight w:val="none"/>
              </w:rPr>
            </w:pPr>
          </w:p>
        </w:tc>
        <w:tc>
          <w:tcPr>
            <w:tcW w:w="903" w:type="dxa"/>
          </w:tcPr>
          <w:p w14:paraId="1709A6DD">
            <w:pPr>
              <w:pStyle w:val="11"/>
              <w:snapToGrid w:val="0"/>
              <w:spacing w:after="0" w:line="240" w:lineRule="auto"/>
              <w:rPr>
                <w:rFonts w:ascii="仿宋" w:hAnsi="仿宋" w:eastAsia="仿宋"/>
                <w:color w:val="auto"/>
                <w:sz w:val="24"/>
                <w:szCs w:val="24"/>
                <w:highlight w:val="none"/>
              </w:rPr>
            </w:pPr>
          </w:p>
        </w:tc>
        <w:tc>
          <w:tcPr>
            <w:tcW w:w="1232" w:type="dxa"/>
          </w:tcPr>
          <w:p w14:paraId="56D3DF87">
            <w:pPr>
              <w:pStyle w:val="11"/>
              <w:snapToGrid w:val="0"/>
              <w:spacing w:after="0" w:line="240" w:lineRule="auto"/>
              <w:rPr>
                <w:rFonts w:ascii="仿宋" w:hAnsi="仿宋" w:eastAsia="仿宋"/>
                <w:color w:val="auto"/>
                <w:sz w:val="24"/>
                <w:szCs w:val="24"/>
                <w:highlight w:val="none"/>
              </w:rPr>
            </w:pPr>
          </w:p>
        </w:tc>
      </w:tr>
      <w:tr w14:paraId="5668C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tcPr>
          <w:p w14:paraId="0FC2C8AF">
            <w:pPr>
              <w:pStyle w:val="11"/>
              <w:snapToGrid w:val="0"/>
              <w:spacing w:after="0" w:line="240" w:lineRule="auto"/>
              <w:rPr>
                <w:rFonts w:ascii="仿宋" w:hAnsi="仿宋" w:eastAsia="仿宋"/>
                <w:color w:val="auto"/>
                <w:sz w:val="24"/>
                <w:szCs w:val="24"/>
                <w:highlight w:val="none"/>
              </w:rPr>
            </w:pPr>
          </w:p>
        </w:tc>
        <w:tc>
          <w:tcPr>
            <w:tcW w:w="1270" w:type="dxa"/>
          </w:tcPr>
          <w:p w14:paraId="44EEC538">
            <w:pPr>
              <w:pStyle w:val="11"/>
              <w:snapToGrid w:val="0"/>
              <w:spacing w:after="0" w:line="240" w:lineRule="auto"/>
              <w:rPr>
                <w:rFonts w:ascii="仿宋" w:hAnsi="仿宋" w:eastAsia="仿宋"/>
                <w:color w:val="auto"/>
                <w:sz w:val="24"/>
                <w:szCs w:val="24"/>
                <w:highlight w:val="none"/>
              </w:rPr>
            </w:pPr>
          </w:p>
        </w:tc>
        <w:tc>
          <w:tcPr>
            <w:tcW w:w="2574" w:type="dxa"/>
          </w:tcPr>
          <w:p w14:paraId="22CBB786">
            <w:pPr>
              <w:pStyle w:val="11"/>
              <w:snapToGrid w:val="0"/>
              <w:spacing w:after="0" w:line="240" w:lineRule="auto"/>
              <w:rPr>
                <w:rFonts w:ascii="仿宋" w:hAnsi="仿宋" w:eastAsia="仿宋"/>
                <w:color w:val="auto"/>
                <w:sz w:val="24"/>
                <w:szCs w:val="24"/>
                <w:highlight w:val="none"/>
              </w:rPr>
            </w:pPr>
          </w:p>
        </w:tc>
        <w:tc>
          <w:tcPr>
            <w:tcW w:w="494" w:type="dxa"/>
          </w:tcPr>
          <w:p w14:paraId="7BB21019">
            <w:pPr>
              <w:pStyle w:val="11"/>
              <w:snapToGrid w:val="0"/>
              <w:spacing w:after="0" w:line="240" w:lineRule="auto"/>
              <w:rPr>
                <w:rFonts w:ascii="仿宋" w:hAnsi="仿宋" w:eastAsia="仿宋"/>
                <w:color w:val="auto"/>
                <w:sz w:val="24"/>
                <w:szCs w:val="24"/>
                <w:highlight w:val="none"/>
              </w:rPr>
            </w:pPr>
          </w:p>
        </w:tc>
        <w:tc>
          <w:tcPr>
            <w:tcW w:w="494" w:type="dxa"/>
          </w:tcPr>
          <w:p w14:paraId="5E587BFB">
            <w:pPr>
              <w:pStyle w:val="11"/>
              <w:snapToGrid w:val="0"/>
              <w:spacing w:after="0" w:line="240" w:lineRule="auto"/>
              <w:rPr>
                <w:rFonts w:ascii="仿宋" w:hAnsi="仿宋" w:eastAsia="仿宋"/>
                <w:color w:val="auto"/>
                <w:sz w:val="24"/>
                <w:szCs w:val="24"/>
                <w:highlight w:val="none"/>
              </w:rPr>
            </w:pPr>
          </w:p>
        </w:tc>
        <w:tc>
          <w:tcPr>
            <w:tcW w:w="856" w:type="dxa"/>
          </w:tcPr>
          <w:p w14:paraId="02222D50">
            <w:pPr>
              <w:pStyle w:val="11"/>
              <w:snapToGrid w:val="0"/>
              <w:spacing w:after="0" w:line="240" w:lineRule="auto"/>
              <w:rPr>
                <w:rFonts w:ascii="仿宋" w:hAnsi="仿宋" w:eastAsia="仿宋"/>
                <w:color w:val="auto"/>
                <w:sz w:val="24"/>
                <w:szCs w:val="24"/>
                <w:highlight w:val="none"/>
              </w:rPr>
            </w:pPr>
          </w:p>
        </w:tc>
        <w:tc>
          <w:tcPr>
            <w:tcW w:w="903" w:type="dxa"/>
          </w:tcPr>
          <w:p w14:paraId="5CCCDC35">
            <w:pPr>
              <w:pStyle w:val="11"/>
              <w:snapToGrid w:val="0"/>
              <w:spacing w:after="0" w:line="240" w:lineRule="auto"/>
              <w:rPr>
                <w:rFonts w:ascii="仿宋" w:hAnsi="仿宋" w:eastAsia="仿宋"/>
                <w:color w:val="auto"/>
                <w:sz w:val="24"/>
                <w:szCs w:val="24"/>
                <w:highlight w:val="none"/>
              </w:rPr>
            </w:pPr>
          </w:p>
        </w:tc>
        <w:tc>
          <w:tcPr>
            <w:tcW w:w="1232" w:type="dxa"/>
          </w:tcPr>
          <w:p w14:paraId="1213C3E4">
            <w:pPr>
              <w:pStyle w:val="11"/>
              <w:snapToGrid w:val="0"/>
              <w:spacing w:after="0" w:line="240" w:lineRule="auto"/>
              <w:rPr>
                <w:rFonts w:ascii="仿宋" w:hAnsi="仿宋" w:eastAsia="仿宋"/>
                <w:color w:val="auto"/>
                <w:sz w:val="24"/>
                <w:szCs w:val="24"/>
                <w:highlight w:val="none"/>
              </w:rPr>
            </w:pPr>
          </w:p>
        </w:tc>
      </w:tr>
      <w:tr w14:paraId="7BED5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tcPr>
          <w:p w14:paraId="39B9F0D2">
            <w:pPr>
              <w:pStyle w:val="11"/>
              <w:snapToGrid w:val="0"/>
              <w:spacing w:after="0" w:line="240" w:lineRule="auto"/>
              <w:rPr>
                <w:rFonts w:ascii="仿宋" w:hAnsi="仿宋" w:eastAsia="仿宋"/>
                <w:color w:val="auto"/>
                <w:sz w:val="24"/>
                <w:szCs w:val="24"/>
                <w:highlight w:val="none"/>
              </w:rPr>
            </w:pPr>
          </w:p>
        </w:tc>
        <w:tc>
          <w:tcPr>
            <w:tcW w:w="1270" w:type="dxa"/>
          </w:tcPr>
          <w:p w14:paraId="34155791">
            <w:pPr>
              <w:pStyle w:val="11"/>
              <w:snapToGrid w:val="0"/>
              <w:spacing w:after="0" w:line="240" w:lineRule="auto"/>
              <w:rPr>
                <w:rFonts w:ascii="仿宋" w:hAnsi="仿宋" w:eastAsia="仿宋"/>
                <w:color w:val="auto"/>
                <w:sz w:val="24"/>
                <w:szCs w:val="24"/>
                <w:highlight w:val="none"/>
              </w:rPr>
            </w:pPr>
          </w:p>
        </w:tc>
        <w:tc>
          <w:tcPr>
            <w:tcW w:w="2574" w:type="dxa"/>
          </w:tcPr>
          <w:p w14:paraId="1B4B4147">
            <w:pPr>
              <w:pStyle w:val="11"/>
              <w:snapToGrid w:val="0"/>
              <w:spacing w:after="0" w:line="240" w:lineRule="auto"/>
              <w:rPr>
                <w:rFonts w:ascii="仿宋" w:hAnsi="仿宋" w:eastAsia="仿宋"/>
                <w:color w:val="auto"/>
                <w:sz w:val="24"/>
                <w:szCs w:val="24"/>
                <w:highlight w:val="none"/>
              </w:rPr>
            </w:pPr>
          </w:p>
        </w:tc>
        <w:tc>
          <w:tcPr>
            <w:tcW w:w="494" w:type="dxa"/>
          </w:tcPr>
          <w:p w14:paraId="391D9D57">
            <w:pPr>
              <w:pStyle w:val="11"/>
              <w:snapToGrid w:val="0"/>
              <w:spacing w:after="0" w:line="240" w:lineRule="auto"/>
              <w:rPr>
                <w:rFonts w:ascii="仿宋" w:hAnsi="仿宋" w:eastAsia="仿宋"/>
                <w:color w:val="auto"/>
                <w:sz w:val="24"/>
                <w:szCs w:val="24"/>
                <w:highlight w:val="none"/>
              </w:rPr>
            </w:pPr>
          </w:p>
        </w:tc>
        <w:tc>
          <w:tcPr>
            <w:tcW w:w="494" w:type="dxa"/>
          </w:tcPr>
          <w:p w14:paraId="1C9FC5B4">
            <w:pPr>
              <w:pStyle w:val="11"/>
              <w:snapToGrid w:val="0"/>
              <w:spacing w:after="0" w:line="240" w:lineRule="auto"/>
              <w:rPr>
                <w:rFonts w:ascii="仿宋" w:hAnsi="仿宋" w:eastAsia="仿宋"/>
                <w:color w:val="auto"/>
                <w:sz w:val="24"/>
                <w:szCs w:val="24"/>
                <w:highlight w:val="none"/>
              </w:rPr>
            </w:pPr>
          </w:p>
        </w:tc>
        <w:tc>
          <w:tcPr>
            <w:tcW w:w="856" w:type="dxa"/>
          </w:tcPr>
          <w:p w14:paraId="5D77F619">
            <w:pPr>
              <w:pStyle w:val="11"/>
              <w:snapToGrid w:val="0"/>
              <w:spacing w:after="0" w:line="240" w:lineRule="auto"/>
              <w:rPr>
                <w:rFonts w:ascii="仿宋" w:hAnsi="仿宋" w:eastAsia="仿宋"/>
                <w:color w:val="auto"/>
                <w:sz w:val="24"/>
                <w:szCs w:val="24"/>
                <w:highlight w:val="none"/>
              </w:rPr>
            </w:pPr>
          </w:p>
        </w:tc>
        <w:tc>
          <w:tcPr>
            <w:tcW w:w="903" w:type="dxa"/>
          </w:tcPr>
          <w:p w14:paraId="16758192">
            <w:pPr>
              <w:pStyle w:val="11"/>
              <w:snapToGrid w:val="0"/>
              <w:spacing w:after="0" w:line="240" w:lineRule="auto"/>
              <w:rPr>
                <w:rFonts w:ascii="仿宋" w:hAnsi="仿宋" w:eastAsia="仿宋"/>
                <w:color w:val="auto"/>
                <w:sz w:val="24"/>
                <w:szCs w:val="24"/>
                <w:highlight w:val="none"/>
              </w:rPr>
            </w:pPr>
          </w:p>
        </w:tc>
        <w:tc>
          <w:tcPr>
            <w:tcW w:w="1232" w:type="dxa"/>
          </w:tcPr>
          <w:p w14:paraId="4A3F945A">
            <w:pPr>
              <w:pStyle w:val="11"/>
              <w:snapToGrid w:val="0"/>
              <w:spacing w:after="0" w:line="240" w:lineRule="auto"/>
              <w:rPr>
                <w:rFonts w:ascii="仿宋" w:hAnsi="仿宋" w:eastAsia="仿宋"/>
                <w:color w:val="auto"/>
                <w:sz w:val="24"/>
                <w:szCs w:val="24"/>
                <w:highlight w:val="none"/>
              </w:rPr>
            </w:pPr>
          </w:p>
        </w:tc>
      </w:tr>
      <w:tr w14:paraId="4EDE7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tcPr>
          <w:p w14:paraId="487E7E7A">
            <w:pPr>
              <w:pStyle w:val="11"/>
              <w:snapToGrid w:val="0"/>
              <w:spacing w:after="0" w:line="240" w:lineRule="auto"/>
              <w:rPr>
                <w:rFonts w:ascii="仿宋" w:hAnsi="仿宋" w:eastAsia="仿宋"/>
                <w:color w:val="auto"/>
                <w:sz w:val="24"/>
                <w:szCs w:val="24"/>
                <w:highlight w:val="none"/>
              </w:rPr>
            </w:pPr>
          </w:p>
        </w:tc>
        <w:tc>
          <w:tcPr>
            <w:tcW w:w="1270" w:type="dxa"/>
          </w:tcPr>
          <w:p w14:paraId="38A9AE44">
            <w:pPr>
              <w:pStyle w:val="11"/>
              <w:snapToGrid w:val="0"/>
              <w:spacing w:after="0" w:line="240" w:lineRule="auto"/>
              <w:rPr>
                <w:rFonts w:ascii="仿宋" w:hAnsi="仿宋" w:eastAsia="仿宋"/>
                <w:color w:val="auto"/>
                <w:sz w:val="24"/>
                <w:szCs w:val="24"/>
                <w:highlight w:val="none"/>
              </w:rPr>
            </w:pPr>
          </w:p>
        </w:tc>
        <w:tc>
          <w:tcPr>
            <w:tcW w:w="2574" w:type="dxa"/>
          </w:tcPr>
          <w:p w14:paraId="49E2C338">
            <w:pPr>
              <w:pStyle w:val="11"/>
              <w:snapToGrid w:val="0"/>
              <w:spacing w:after="0" w:line="240" w:lineRule="auto"/>
              <w:rPr>
                <w:rFonts w:ascii="仿宋" w:hAnsi="仿宋" w:eastAsia="仿宋"/>
                <w:color w:val="auto"/>
                <w:sz w:val="24"/>
                <w:szCs w:val="24"/>
                <w:highlight w:val="none"/>
              </w:rPr>
            </w:pPr>
          </w:p>
        </w:tc>
        <w:tc>
          <w:tcPr>
            <w:tcW w:w="494" w:type="dxa"/>
          </w:tcPr>
          <w:p w14:paraId="3595F7F6">
            <w:pPr>
              <w:pStyle w:val="11"/>
              <w:snapToGrid w:val="0"/>
              <w:spacing w:after="0" w:line="240" w:lineRule="auto"/>
              <w:rPr>
                <w:rFonts w:ascii="仿宋" w:hAnsi="仿宋" w:eastAsia="仿宋"/>
                <w:color w:val="auto"/>
                <w:sz w:val="24"/>
                <w:szCs w:val="24"/>
                <w:highlight w:val="none"/>
              </w:rPr>
            </w:pPr>
          </w:p>
        </w:tc>
        <w:tc>
          <w:tcPr>
            <w:tcW w:w="494" w:type="dxa"/>
          </w:tcPr>
          <w:p w14:paraId="65E6717C">
            <w:pPr>
              <w:pStyle w:val="11"/>
              <w:snapToGrid w:val="0"/>
              <w:spacing w:after="0" w:line="240" w:lineRule="auto"/>
              <w:rPr>
                <w:rFonts w:ascii="仿宋" w:hAnsi="仿宋" w:eastAsia="仿宋"/>
                <w:color w:val="auto"/>
                <w:sz w:val="24"/>
                <w:szCs w:val="24"/>
                <w:highlight w:val="none"/>
              </w:rPr>
            </w:pPr>
          </w:p>
        </w:tc>
        <w:tc>
          <w:tcPr>
            <w:tcW w:w="856" w:type="dxa"/>
          </w:tcPr>
          <w:p w14:paraId="3018BDBA">
            <w:pPr>
              <w:pStyle w:val="11"/>
              <w:snapToGrid w:val="0"/>
              <w:spacing w:after="0" w:line="240" w:lineRule="auto"/>
              <w:rPr>
                <w:rFonts w:ascii="仿宋" w:hAnsi="仿宋" w:eastAsia="仿宋"/>
                <w:color w:val="auto"/>
                <w:sz w:val="24"/>
                <w:szCs w:val="24"/>
                <w:highlight w:val="none"/>
              </w:rPr>
            </w:pPr>
          </w:p>
        </w:tc>
        <w:tc>
          <w:tcPr>
            <w:tcW w:w="903" w:type="dxa"/>
          </w:tcPr>
          <w:p w14:paraId="141E5A1C">
            <w:pPr>
              <w:pStyle w:val="11"/>
              <w:snapToGrid w:val="0"/>
              <w:spacing w:after="0" w:line="240" w:lineRule="auto"/>
              <w:rPr>
                <w:rFonts w:ascii="仿宋" w:hAnsi="仿宋" w:eastAsia="仿宋"/>
                <w:color w:val="auto"/>
                <w:sz w:val="24"/>
                <w:szCs w:val="24"/>
                <w:highlight w:val="none"/>
              </w:rPr>
            </w:pPr>
          </w:p>
        </w:tc>
        <w:tc>
          <w:tcPr>
            <w:tcW w:w="1232" w:type="dxa"/>
          </w:tcPr>
          <w:p w14:paraId="7AC4F852">
            <w:pPr>
              <w:pStyle w:val="11"/>
              <w:snapToGrid w:val="0"/>
              <w:spacing w:after="0" w:line="240" w:lineRule="auto"/>
              <w:rPr>
                <w:rFonts w:ascii="仿宋" w:hAnsi="仿宋" w:eastAsia="仿宋"/>
                <w:color w:val="auto"/>
                <w:sz w:val="24"/>
                <w:szCs w:val="24"/>
                <w:highlight w:val="none"/>
              </w:rPr>
            </w:pPr>
          </w:p>
        </w:tc>
      </w:tr>
      <w:tr w14:paraId="769B2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tcPr>
          <w:p w14:paraId="6FEBC06A">
            <w:pPr>
              <w:pStyle w:val="11"/>
              <w:snapToGrid w:val="0"/>
              <w:spacing w:after="0" w:line="240" w:lineRule="auto"/>
              <w:rPr>
                <w:rFonts w:ascii="仿宋" w:hAnsi="仿宋" w:eastAsia="仿宋"/>
                <w:color w:val="auto"/>
                <w:sz w:val="24"/>
                <w:szCs w:val="24"/>
                <w:highlight w:val="none"/>
              </w:rPr>
            </w:pPr>
          </w:p>
        </w:tc>
        <w:tc>
          <w:tcPr>
            <w:tcW w:w="1270" w:type="dxa"/>
          </w:tcPr>
          <w:p w14:paraId="550BC3AB">
            <w:pPr>
              <w:pStyle w:val="11"/>
              <w:snapToGrid w:val="0"/>
              <w:spacing w:after="0" w:line="240" w:lineRule="auto"/>
              <w:rPr>
                <w:rFonts w:ascii="仿宋" w:hAnsi="仿宋" w:eastAsia="仿宋"/>
                <w:color w:val="auto"/>
                <w:sz w:val="24"/>
                <w:szCs w:val="24"/>
                <w:highlight w:val="none"/>
              </w:rPr>
            </w:pPr>
          </w:p>
        </w:tc>
        <w:tc>
          <w:tcPr>
            <w:tcW w:w="2574" w:type="dxa"/>
          </w:tcPr>
          <w:p w14:paraId="0507B89C">
            <w:pPr>
              <w:pStyle w:val="11"/>
              <w:snapToGrid w:val="0"/>
              <w:spacing w:after="0" w:line="240" w:lineRule="auto"/>
              <w:rPr>
                <w:rFonts w:ascii="仿宋" w:hAnsi="仿宋" w:eastAsia="仿宋"/>
                <w:color w:val="auto"/>
                <w:sz w:val="24"/>
                <w:szCs w:val="24"/>
                <w:highlight w:val="none"/>
              </w:rPr>
            </w:pPr>
          </w:p>
        </w:tc>
        <w:tc>
          <w:tcPr>
            <w:tcW w:w="494" w:type="dxa"/>
          </w:tcPr>
          <w:p w14:paraId="26A98B96">
            <w:pPr>
              <w:pStyle w:val="11"/>
              <w:snapToGrid w:val="0"/>
              <w:spacing w:after="0" w:line="240" w:lineRule="auto"/>
              <w:rPr>
                <w:rFonts w:ascii="仿宋" w:hAnsi="仿宋" w:eastAsia="仿宋"/>
                <w:color w:val="auto"/>
                <w:sz w:val="24"/>
                <w:szCs w:val="24"/>
                <w:highlight w:val="none"/>
              </w:rPr>
            </w:pPr>
          </w:p>
        </w:tc>
        <w:tc>
          <w:tcPr>
            <w:tcW w:w="494" w:type="dxa"/>
          </w:tcPr>
          <w:p w14:paraId="3BADE3A4">
            <w:pPr>
              <w:pStyle w:val="11"/>
              <w:snapToGrid w:val="0"/>
              <w:spacing w:after="0" w:line="240" w:lineRule="auto"/>
              <w:rPr>
                <w:rFonts w:ascii="仿宋" w:hAnsi="仿宋" w:eastAsia="仿宋"/>
                <w:color w:val="auto"/>
                <w:sz w:val="24"/>
                <w:szCs w:val="24"/>
                <w:highlight w:val="none"/>
              </w:rPr>
            </w:pPr>
          </w:p>
        </w:tc>
        <w:tc>
          <w:tcPr>
            <w:tcW w:w="856" w:type="dxa"/>
          </w:tcPr>
          <w:p w14:paraId="7A22C3E3">
            <w:pPr>
              <w:pStyle w:val="11"/>
              <w:snapToGrid w:val="0"/>
              <w:spacing w:after="0" w:line="240" w:lineRule="auto"/>
              <w:rPr>
                <w:rFonts w:ascii="仿宋" w:hAnsi="仿宋" w:eastAsia="仿宋"/>
                <w:color w:val="auto"/>
                <w:sz w:val="24"/>
                <w:szCs w:val="24"/>
                <w:highlight w:val="none"/>
              </w:rPr>
            </w:pPr>
          </w:p>
        </w:tc>
        <w:tc>
          <w:tcPr>
            <w:tcW w:w="903" w:type="dxa"/>
          </w:tcPr>
          <w:p w14:paraId="33D67228">
            <w:pPr>
              <w:pStyle w:val="11"/>
              <w:snapToGrid w:val="0"/>
              <w:spacing w:after="0" w:line="240" w:lineRule="auto"/>
              <w:rPr>
                <w:rFonts w:ascii="仿宋" w:hAnsi="仿宋" w:eastAsia="仿宋"/>
                <w:color w:val="auto"/>
                <w:sz w:val="24"/>
                <w:szCs w:val="24"/>
                <w:highlight w:val="none"/>
              </w:rPr>
            </w:pPr>
          </w:p>
        </w:tc>
        <w:tc>
          <w:tcPr>
            <w:tcW w:w="1232" w:type="dxa"/>
          </w:tcPr>
          <w:p w14:paraId="4F5E1646">
            <w:pPr>
              <w:pStyle w:val="11"/>
              <w:snapToGrid w:val="0"/>
              <w:spacing w:after="0" w:line="240" w:lineRule="auto"/>
              <w:rPr>
                <w:rFonts w:ascii="仿宋" w:hAnsi="仿宋" w:eastAsia="仿宋"/>
                <w:color w:val="auto"/>
                <w:sz w:val="24"/>
                <w:szCs w:val="24"/>
                <w:highlight w:val="none"/>
              </w:rPr>
            </w:pPr>
          </w:p>
        </w:tc>
      </w:tr>
      <w:tr w14:paraId="2FACF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tcPr>
          <w:p w14:paraId="427129FB">
            <w:pPr>
              <w:pStyle w:val="11"/>
              <w:snapToGrid w:val="0"/>
              <w:spacing w:after="0" w:line="240" w:lineRule="auto"/>
              <w:rPr>
                <w:rFonts w:ascii="仿宋" w:hAnsi="仿宋" w:eastAsia="仿宋"/>
                <w:color w:val="auto"/>
                <w:sz w:val="24"/>
                <w:szCs w:val="24"/>
                <w:highlight w:val="none"/>
              </w:rPr>
            </w:pPr>
          </w:p>
        </w:tc>
        <w:tc>
          <w:tcPr>
            <w:tcW w:w="1270" w:type="dxa"/>
          </w:tcPr>
          <w:p w14:paraId="34FC674F">
            <w:pPr>
              <w:pStyle w:val="11"/>
              <w:snapToGrid w:val="0"/>
              <w:spacing w:after="0" w:line="240" w:lineRule="auto"/>
              <w:rPr>
                <w:rFonts w:ascii="仿宋" w:hAnsi="仿宋" w:eastAsia="仿宋"/>
                <w:color w:val="auto"/>
                <w:sz w:val="24"/>
                <w:szCs w:val="24"/>
                <w:highlight w:val="none"/>
              </w:rPr>
            </w:pPr>
          </w:p>
        </w:tc>
        <w:tc>
          <w:tcPr>
            <w:tcW w:w="2574" w:type="dxa"/>
          </w:tcPr>
          <w:p w14:paraId="7F6B6D03">
            <w:pPr>
              <w:pStyle w:val="11"/>
              <w:snapToGrid w:val="0"/>
              <w:spacing w:after="0" w:line="240" w:lineRule="auto"/>
              <w:rPr>
                <w:rFonts w:ascii="仿宋" w:hAnsi="仿宋" w:eastAsia="仿宋"/>
                <w:color w:val="auto"/>
                <w:sz w:val="24"/>
                <w:szCs w:val="24"/>
                <w:highlight w:val="none"/>
              </w:rPr>
            </w:pPr>
          </w:p>
        </w:tc>
        <w:tc>
          <w:tcPr>
            <w:tcW w:w="494" w:type="dxa"/>
          </w:tcPr>
          <w:p w14:paraId="6B963D45">
            <w:pPr>
              <w:pStyle w:val="11"/>
              <w:snapToGrid w:val="0"/>
              <w:spacing w:after="0" w:line="240" w:lineRule="auto"/>
              <w:rPr>
                <w:rFonts w:ascii="仿宋" w:hAnsi="仿宋" w:eastAsia="仿宋"/>
                <w:color w:val="auto"/>
                <w:sz w:val="24"/>
                <w:szCs w:val="24"/>
                <w:highlight w:val="none"/>
              </w:rPr>
            </w:pPr>
          </w:p>
        </w:tc>
        <w:tc>
          <w:tcPr>
            <w:tcW w:w="494" w:type="dxa"/>
          </w:tcPr>
          <w:p w14:paraId="4F91BE0C">
            <w:pPr>
              <w:pStyle w:val="11"/>
              <w:snapToGrid w:val="0"/>
              <w:spacing w:after="0" w:line="240" w:lineRule="auto"/>
              <w:rPr>
                <w:rFonts w:ascii="仿宋" w:hAnsi="仿宋" w:eastAsia="仿宋"/>
                <w:color w:val="auto"/>
                <w:sz w:val="24"/>
                <w:szCs w:val="24"/>
                <w:highlight w:val="none"/>
              </w:rPr>
            </w:pPr>
          </w:p>
        </w:tc>
        <w:tc>
          <w:tcPr>
            <w:tcW w:w="856" w:type="dxa"/>
          </w:tcPr>
          <w:p w14:paraId="1C2E6967">
            <w:pPr>
              <w:pStyle w:val="11"/>
              <w:snapToGrid w:val="0"/>
              <w:spacing w:after="0" w:line="240" w:lineRule="auto"/>
              <w:rPr>
                <w:rFonts w:ascii="仿宋" w:hAnsi="仿宋" w:eastAsia="仿宋"/>
                <w:color w:val="auto"/>
                <w:sz w:val="24"/>
                <w:szCs w:val="24"/>
                <w:highlight w:val="none"/>
              </w:rPr>
            </w:pPr>
          </w:p>
        </w:tc>
        <w:tc>
          <w:tcPr>
            <w:tcW w:w="903" w:type="dxa"/>
          </w:tcPr>
          <w:p w14:paraId="32219A49">
            <w:pPr>
              <w:pStyle w:val="11"/>
              <w:snapToGrid w:val="0"/>
              <w:spacing w:after="0" w:line="240" w:lineRule="auto"/>
              <w:rPr>
                <w:rFonts w:ascii="仿宋" w:hAnsi="仿宋" w:eastAsia="仿宋"/>
                <w:color w:val="auto"/>
                <w:sz w:val="24"/>
                <w:szCs w:val="24"/>
                <w:highlight w:val="none"/>
              </w:rPr>
            </w:pPr>
          </w:p>
        </w:tc>
        <w:tc>
          <w:tcPr>
            <w:tcW w:w="1232" w:type="dxa"/>
          </w:tcPr>
          <w:p w14:paraId="0A0659A7">
            <w:pPr>
              <w:pStyle w:val="11"/>
              <w:snapToGrid w:val="0"/>
              <w:spacing w:after="0" w:line="240" w:lineRule="auto"/>
              <w:rPr>
                <w:rFonts w:ascii="仿宋" w:hAnsi="仿宋" w:eastAsia="仿宋"/>
                <w:color w:val="auto"/>
                <w:sz w:val="24"/>
                <w:szCs w:val="24"/>
                <w:highlight w:val="none"/>
              </w:rPr>
            </w:pPr>
          </w:p>
        </w:tc>
      </w:tr>
      <w:tr w14:paraId="45D2E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tcPr>
          <w:p w14:paraId="5851971C">
            <w:pPr>
              <w:pStyle w:val="11"/>
              <w:snapToGrid w:val="0"/>
              <w:spacing w:after="0" w:line="240" w:lineRule="auto"/>
              <w:rPr>
                <w:rFonts w:ascii="仿宋" w:hAnsi="仿宋" w:eastAsia="仿宋"/>
                <w:color w:val="auto"/>
                <w:sz w:val="24"/>
                <w:szCs w:val="24"/>
                <w:highlight w:val="none"/>
              </w:rPr>
            </w:pPr>
          </w:p>
        </w:tc>
        <w:tc>
          <w:tcPr>
            <w:tcW w:w="1270" w:type="dxa"/>
          </w:tcPr>
          <w:p w14:paraId="2FB521A5">
            <w:pPr>
              <w:pStyle w:val="11"/>
              <w:snapToGrid w:val="0"/>
              <w:spacing w:after="0" w:line="240" w:lineRule="auto"/>
              <w:rPr>
                <w:rFonts w:ascii="仿宋" w:hAnsi="仿宋" w:eastAsia="仿宋"/>
                <w:color w:val="auto"/>
                <w:sz w:val="24"/>
                <w:szCs w:val="24"/>
                <w:highlight w:val="none"/>
              </w:rPr>
            </w:pPr>
          </w:p>
        </w:tc>
        <w:tc>
          <w:tcPr>
            <w:tcW w:w="4418" w:type="dxa"/>
            <w:gridSpan w:val="4"/>
          </w:tcPr>
          <w:p w14:paraId="6BE35FC7">
            <w:pPr>
              <w:pStyle w:val="11"/>
              <w:snapToGrid w:val="0"/>
              <w:spacing w:after="0"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易耗品</w:t>
            </w:r>
          </w:p>
        </w:tc>
        <w:tc>
          <w:tcPr>
            <w:tcW w:w="903" w:type="dxa"/>
          </w:tcPr>
          <w:p w14:paraId="13879A60">
            <w:pPr>
              <w:pStyle w:val="11"/>
              <w:snapToGrid w:val="0"/>
              <w:spacing w:after="0" w:line="240" w:lineRule="auto"/>
              <w:rPr>
                <w:rFonts w:ascii="仿宋" w:hAnsi="仿宋" w:eastAsia="仿宋"/>
                <w:color w:val="auto"/>
                <w:sz w:val="24"/>
                <w:szCs w:val="24"/>
                <w:highlight w:val="none"/>
              </w:rPr>
            </w:pPr>
          </w:p>
        </w:tc>
        <w:tc>
          <w:tcPr>
            <w:tcW w:w="1232" w:type="dxa"/>
          </w:tcPr>
          <w:p w14:paraId="62F9199F">
            <w:pPr>
              <w:pStyle w:val="11"/>
              <w:snapToGrid w:val="0"/>
              <w:spacing w:after="0" w:line="240" w:lineRule="auto"/>
              <w:rPr>
                <w:rFonts w:ascii="仿宋" w:hAnsi="仿宋" w:eastAsia="仿宋"/>
                <w:color w:val="auto"/>
                <w:sz w:val="24"/>
                <w:szCs w:val="24"/>
                <w:highlight w:val="none"/>
              </w:rPr>
            </w:pPr>
          </w:p>
        </w:tc>
      </w:tr>
      <w:tr w14:paraId="7B6BB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tcPr>
          <w:p w14:paraId="1243DF48">
            <w:pPr>
              <w:pStyle w:val="11"/>
              <w:snapToGrid w:val="0"/>
              <w:spacing w:after="0" w:line="240" w:lineRule="auto"/>
              <w:rPr>
                <w:rFonts w:ascii="仿宋" w:hAnsi="仿宋" w:eastAsia="仿宋"/>
                <w:color w:val="auto"/>
                <w:sz w:val="24"/>
                <w:szCs w:val="24"/>
                <w:highlight w:val="none"/>
              </w:rPr>
            </w:pPr>
          </w:p>
        </w:tc>
        <w:tc>
          <w:tcPr>
            <w:tcW w:w="1270" w:type="dxa"/>
          </w:tcPr>
          <w:p w14:paraId="0189A4A5">
            <w:pPr>
              <w:pStyle w:val="11"/>
              <w:snapToGrid w:val="0"/>
              <w:spacing w:after="0" w:line="240" w:lineRule="auto"/>
              <w:rPr>
                <w:rFonts w:ascii="仿宋" w:hAnsi="仿宋" w:eastAsia="仿宋"/>
                <w:color w:val="auto"/>
                <w:sz w:val="24"/>
                <w:szCs w:val="24"/>
                <w:highlight w:val="none"/>
              </w:rPr>
            </w:pPr>
          </w:p>
        </w:tc>
        <w:tc>
          <w:tcPr>
            <w:tcW w:w="4418" w:type="dxa"/>
            <w:gridSpan w:val="4"/>
          </w:tcPr>
          <w:p w14:paraId="57886386">
            <w:pPr>
              <w:pStyle w:val="11"/>
              <w:snapToGrid w:val="0"/>
              <w:spacing w:after="0"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专用工具</w:t>
            </w:r>
          </w:p>
        </w:tc>
        <w:tc>
          <w:tcPr>
            <w:tcW w:w="903" w:type="dxa"/>
          </w:tcPr>
          <w:p w14:paraId="55114388">
            <w:pPr>
              <w:pStyle w:val="11"/>
              <w:snapToGrid w:val="0"/>
              <w:spacing w:after="0" w:line="240" w:lineRule="auto"/>
              <w:rPr>
                <w:rFonts w:ascii="仿宋" w:hAnsi="仿宋" w:eastAsia="仿宋"/>
                <w:color w:val="auto"/>
                <w:sz w:val="24"/>
                <w:szCs w:val="24"/>
                <w:highlight w:val="none"/>
              </w:rPr>
            </w:pPr>
          </w:p>
        </w:tc>
        <w:tc>
          <w:tcPr>
            <w:tcW w:w="1232" w:type="dxa"/>
          </w:tcPr>
          <w:p w14:paraId="1F39B978">
            <w:pPr>
              <w:pStyle w:val="11"/>
              <w:snapToGrid w:val="0"/>
              <w:spacing w:after="0" w:line="240" w:lineRule="auto"/>
              <w:rPr>
                <w:rFonts w:ascii="仿宋" w:hAnsi="仿宋" w:eastAsia="仿宋"/>
                <w:color w:val="auto"/>
                <w:sz w:val="24"/>
                <w:szCs w:val="24"/>
                <w:highlight w:val="none"/>
              </w:rPr>
            </w:pPr>
          </w:p>
        </w:tc>
      </w:tr>
      <w:tr w14:paraId="17C22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tcPr>
          <w:p w14:paraId="267B7D9F">
            <w:pPr>
              <w:pStyle w:val="11"/>
              <w:snapToGrid w:val="0"/>
              <w:spacing w:after="0" w:line="240" w:lineRule="auto"/>
              <w:rPr>
                <w:rFonts w:ascii="仿宋" w:hAnsi="仿宋" w:eastAsia="仿宋"/>
                <w:color w:val="auto"/>
                <w:sz w:val="24"/>
                <w:szCs w:val="24"/>
                <w:highlight w:val="none"/>
              </w:rPr>
            </w:pPr>
          </w:p>
        </w:tc>
        <w:tc>
          <w:tcPr>
            <w:tcW w:w="1270" w:type="dxa"/>
          </w:tcPr>
          <w:p w14:paraId="0F1B0767">
            <w:pPr>
              <w:pStyle w:val="11"/>
              <w:snapToGrid w:val="0"/>
              <w:spacing w:after="0" w:line="240" w:lineRule="auto"/>
              <w:rPr>
                <w:rFonts w:ascii="仿宋" w:hAnsi="仿宋" w:eastAsia="仿宋"/>
                <w:color w:val="auto"/>
                <w:sz w:val="24"/>
                <w:szCs w:val="24"/>
                <w:highlight w:val="none"/>
              </w:rPr>
            </w:pPr>
          </w:p>
        </w:tc>
        <w:tc>
          <w:tcPr>
            <w:tcW w:w="4418" w:type="dxa"/>
            <w:gridSpan w:val="4"/>
          </w:tcPr>
          <w:p w14:paraId="5BF0E06E">
            <w:pPr>
              <w:pStyle w:val="11"/>
              <w:snapToGrid w:val="0"/>
              <w:spacing w:after="0"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调试费</w:t>
            </w:r>
          </w:p>
        </w:tc>
        <w:tc>
          <w:tcPr>
            <w:tcW w:w="903" w:type="dxa"/>
          </w:tcPr>
          <w:p w14:paraId="198880CA">
            <w:pPr>
              <w:pStyle w:val="11"/>
              <w:snapToGrid w:val="0"/>
              <w:spacing w:after="0" w:line="240" w:lineRule="auto"/>
              <w:rPr>
                <w:rFonts w:ascii="仿宋" w:hAnsi="仿宋" w:eastAsia="仿宋"/>
                <w:color w:val="auto"/>
                <w:sz w:val="24"/>
                <w:szCs w:val="24"/>
                <w:highlight w:val="none"/>
              </w:rPr>
            </w:pPr>
          </w:p>
        </w:tc>
        <w:tc>
          <w:tcPr>
            <w:tcW w:w="1232" w:type="dxa"/>
          </w:tcPr>
          <w:p w14:paraId="0FA2EDB5">
            <w:pPr>
              <w:pStyle w:val="11"/>
              <w:snapToGrid w:val="0"/>
              <w:spacing w:after="0" w:line="240" w:lineRule="auto"/>
              <w:rPr>
                <w:rFonts w:ascii="仿宋" w:hAnsi="仿宋" w:eastAsia="仿宋"/>
                <w:color w:val="auto"/>
                <w:sz w:val="24"/>
                <w:szCs w:val="24"/>
                <w:highlight w:val="none"/>
              </w:rPr>
            </w:pPr>
          </w:p>
        </w:tc>
      </w:tr>
      <w:tr w14:paraId="2B9CC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tcPr>
          <w:p w14:paraId="5B88EB18">
            <w:pPr>
              <w:pStyle w:val="11"/>
              <w:snapToGrid w:val="0"/>
              <w:spacing w:after="0" w:line="240" w:lineRule="auto"/>
              <w:rPr>
                <w:rFonts w:ascii="仿宋" w:hAnsi="仿宋" w:eastAsia="仿宋"/>
                <w:color w:val="auto"/>
                <w:sz w:val="24"/>
                <w:szCs w:val="24"/>
                <w:highlight w:val="none"/>
              </w:rPr>
            </w:pPr>
          </w:p>
        </w:tc>
        <w:tc>
          <w:tcPr>
            <w:tcW w:w="1270" w:type="dxa"/>
          </w:tcPr>
          <w:p w14:paraId="4B8E5ECD">
            <w:pPr>
              <w:pStyle w:val="11"/>
              <w:snapToGrid w:val="0"/>
              <w:spacing w:after="0" w:line="240" w:lineRule="auto"/>
              <w:rPr>
                <w:rFonts w:ascii="仿宋" w:hAnsi="仿宋" w:eastAsia="仿宋"/>
                <w:color w:val="auto"/>
                <w:sz w:val="24"/>
                <w:szCs w:val="24"/>
                <w:highlight w:val="none"/>
              </w:rPr>
            </w:pPr>
          </w:p>
        </w:tc>
        <w:tc>
          <w:tcPr>
            <w:tcW w:w="4418" w:type="dxa"/>
            <w:gridSpan w:val="4"/>
          </w:tcPr>
          <w:p w14:paraId="76E87F80">
            <w:pPr>
              <w:pStyle w:val="11"/>
              <w:snapToGrid w:val="0"/>
              <w:spacing w:after="0"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培训费</w:t>
            </w:r>
          </w:p>
        </w:tc>
        <w:tc>
          <w:tcPr>
            <w:tcW w:w="903" w:type="dxa"/>
          </w:tcPr>
          <w:p w14:paraId="30D34E39">
            <w:pPr>
              <w:pStyle w:val="11"/>
              <w:snapToGrid w:val="0"/>
              <w:spacing w:after="0" w:line="240" w:lineRule="auto"/>
              <w:rPr>
                <w:rFonts w:ascii="仿宋" w:hAnsi="仿宋" w:eastAsia="仿宋"/>
                <w:color w:val="auto"/>
                <w:sz w:val="24"/>
                <w:szCs w:val="24"/>
                <w:highlight w:val="none"/>
              </w:rPr>
            </w:pPr>
          </w:p>
        </w:tc>
        <w:tc>
          <w:tcPr>
            <w:tcW w:w="1232" w:type="dxa"/>
          </w:tcPr>
          <w:p w14:paraId="38F1858D">
            <w:pPr>
              <w:pStyle w:val="11"/>
              <w:snapToGrid w:val="0"/>
              <w:spacing w:after="0" w:line="240" w:lineRule="auto"/>
              <w:rPr>
                <w:rFonts w:ascii="仿宋" w:hAnsi="仿宋" w:eastAsia="仿宋"/>
                <w:color w:val="auto"/>
                <w:sz w:val="24"/>
                <w:szCs w:val="24"/>
                <w:highlight w:val="none"/>
              </w:rPr>
            </w:pPr>
          </w:p>
        </w:tc>
      </w:tr>
      <w:tr w14:paraId="39D59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jc w:val="center"/>
        </w:trPr>
        <w:tc>
          <w:tcPr>
            <w:tcW w:w="699" w:type="dxa"/>
          </w:tcPr>
          <w:p w14:paraId="11480DB9">
            <w:pPr>
              <w:pStyle w:val="11"/>
              <w:snapToGrid w:val="0"/>
              <w:spacing w:after="0" w:line="240" w:lineRule="auto"/>
              <w:rPr>
                <w:rFonts w:ascii="仿宋" w:hAnsi="仿宋" w:eastAsia="仿宋"/>
                <w:color w:val="auto"/>
                <w:sz w:val="24"/>
                <w:szCs w:val="24"/>
                <w:highlight w:val="none"/>
              </w:rPr>
            </w:pPr>
          </w:p>
        </w:tc>
        <w:tc>
          <w:tcPr>
            <w:tcW w:w="1270" w:type="dxa"/>
          </w:tcPr>
          <w:p w14:paraId="79D33853">
            <w:pPr>
              <w:pStyle w:val="11"/>
              <w:snapToGrid w:val="0"/>
              <w:spacing w:after="0" w:line="240" w:lineRule="auto"/>
              <w:rPr>
                <w:rFonts w:ascii="仿宋" w:hAnsi="仿宋" w:eastAsia="仿宋"/>
                <w:color w:val="auto"/>
                <w:sz w:val="24"/>
                <w:szCs w:val="24"/>
                <w:highlight w:val="none"/>
              </w:rPr>
            </w:pPr>
          </w:p>
        </w:tc>
        <w:tc>
          <w:tcPr>
            <w:tcW w:w="4418" w:type="dxa"/>
            <w:gridSpan w:val="4"/>
          </w:tcPr>
          <w:p w14:paraId="530AB00C">
            <w:pPr>
              <w:pStyle w:val="11"/>
              <w:snapToGrid w:val="0"/>
              <w:spacing w:after="0"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其他</w:t>
            </w:r>
          </w:p>
        </w:tc>
        <w:tc>
          <w:tcPr>
            <w:tcW w:w="903" w:type="dxa"/>
          </w:tcPr>
          <w:p w14:paraId="3EA29ED2">
            <w:pPr>
              <w:pStyle w:val="11"/>
              <w:snapToGrid w:val="0"/>
              <w:spacing w:after="0" w:line="240" w:lineRule="auto"/>
              <w:rPr>
                <w:rFonts w:ascii="仿宋" w:hAnsi="仿宋" w:eastAsia="仿宋"/>
                <w:color w:val="auto"/>
                <w:sz w:val="24"/>
                <w:szCs w:val="24"/>
                <w:highlight w:val="none"/>
              </w:rPr>
            </w:pPr>
          </w:p>
        </w:tc>
        <w:tc>
          <w:tcPr>
            <w:tcW w:w="1232" w:type="dxa"/>
          </w:tcPr>
          <w:p w14:paraId="52C9FAF1">
            <w:pPr>
              <w:pStyle w:val="11"/>
              <w:snapToGrid w:val="0"/>
              <w:spacing w:after="0" w:line="240" w:lineRule="auto"/>
              <w:rPr>
                <w:rFonts w:ascii="仿宋" w:hAnsi="仿宋" w:eastAsia="仿宋"/>
                <w:color w:val="auto"/>
                <w:sz w:val="24"/>
                <w:szCs w:val="24"/>
                <w:highlight w:val="none"/>
              </w:rPr>
            </w:pPr>
          </w:p>
        </w:tc>
      </w:tr>
      <w:tr w14:paraId="5D9FA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522" w:type="dxa"/>
            <w:gridSpan w:val="8"/>
          </w:tcPr>
          <w:p w14:paraId="1979A265">
            <w:pPr>
              <w:pStyle w:val="11"/>
              <w:snapToGrid w:val="0"/>
              <w:spacing w:after="0"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大写：                                           合同价：      元</w:t>
            </w:r>
          </w:p>
        </w:tc>
      </w:tr>
    </w:tbl>
    <w:p w14:paraId="3A79CAED">
      <w:pPr>
        <w:pStyle w:val="44"/>
        <w:spacing w:line="240" w:lineRule="auto"/>
        <w:ind w:firstLine="560" w:firstLineChars="200"/>
        <w:rPr>
          <w:rFonts w:ascii="黑体" w:hAnsi="黑体" w:eastAsia="黑体"/>
          <w:color w:val="auto"/>
          <w:kern w:val="2"/>
          <w:sz w:val="28"/>
          <w:szCs w:val="28"/>
          <w:highlight w:val="none"/>
        </w:rPr>
      </w:pPr>
    </w:p>
    <w:p w14:paraId="3A06E66D">
      <w:pPr>
        <w:pStyle w:val="44"/>
        <w:spacing w:line="240" w:lineRule="auto"/>
        <w:ind w:firstLine="0"/>
        <w:jc w:val="center"/>
        <w:outlineLvl w:val="0"/>
        <w:rPr>
          <w:b/>
          <w:color w:val="auto"/>
          <w:highlight w:val="none"/>
        </w:rPr>
      </w:pPr>
      <w:r>
        <w:rPr>
          <w:rFonts w:ascii="黑体" w:hAnsi="黑体" w:eastAsia="黑体"/>
          <w:color w:val="auto"/>
          <w:kern w:val="2"/>
          <w:sz w:val="28"/>
          <w:szCs w:val="28"/>
          <w:highlight w:val="none"/>
        </w:rPr>
        <w:br w:type="page"/>
      </w:r>
      <w:bookmarkStart w:id="85" w:name="_Toc18561"/>
      <w:r>
        <w:rPr>
          <w:rFonts w:hint="eastAsia" w:ascii="方正小标宋简体" w:eastAsia="方正小标宋简体"/>
          <w:bCs/>
          <w:color w:val="auto"/>
          <w:sz w:val="32"/>
          <w:szCs w:val="32"/>
          <w:highlight w:val="none"/>
        </w:rPr>
        <w:t>第5章 评审标准和方法</w:t>
      </w:r>
      <w:bookmarkEnd w:id="85"/>
    </w:p>
    <w:p w14:paraId="7D8E28EE">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1. 评审方法为综合评分法，即磋商响应文件能够最大限度的满足磋商文件规定的各项综合评价标准且经评审得分最高的供应商为成交候选人的评标方法。</w:t>
      </w:r>
    </w:p>
    <w:p w14:paraId="00E3C825">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磋商小组将对通过资格及符合性检查的各合格磋商人根据磋商响应文件和磋商货物的性能、价格、商务等因素进行评分，总分为100分(不含清单内产品加分)。磋商人的最终得分是所有评委给其的评分(不含报价得分)的算术平均值加价格分和清单内产品加分，分数计算取至小数点后2位。</w:t>
      </w:r>
    </w:p>
    <w:p w14:paraId="0675F60C">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2. 评审因素：价格、技术、商务、财务状况、信誉、业绩、服务、对磋商文件的响应程度，以及相应的比重或者权值等。</w:t>
      </w:r>
    </w:p>
    <w:p w14:paraId="16E5ABD2">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3. 价格分应当采用低价优先法计算，即满足磋商文件要求且最后报价中最低报价为评审基准价，其价格分为满分。其他响应供应商的价格分统一按照下列公式计算：</w:t>
      </w:r>
    </w:p>
    <w:p w14:paraId="480D1B65">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最后报价得分=(评审基准价／最后报价)×价格分分值</w:t>
      </w:r>
    </w:p>
    <w:p w14:paraId="4FBEB8A0">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磋商过程中，不得去掉报价中的最高报价和最低报价。因落实政府采购政策进行价格调整的，以调整后的价格计算评审基准价和最后报价。</w:t>
      </w:r>
    </w:p>
    <w:p w14:paraId="717B5572">
      <w:pPr>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4. 评分表</w:t>
      </w:r>
    </w:p>
    <w:tbl>
      <w:tblPr>
        <w:tblStyle w:val="22"/>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92"/>
        <w:gridCol w:w="1393"/>
        <w:gridCol w:w="850"/>
        <w:gridCol w:w="5766"/>
        <w:gridCol w:w="869"/>
      </w:tblGrid>
      <w:tr w14:paraId="1231D9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92" w:type="dxa"/>
            <w:vAlign w:val="center"/>
          </w:tcPr>
          <w:p w14:paraId="5BFF4923">
            <w:pPr>
              <w:adjustRightInd w:val="0"/>
              <w:snapToGrid w:val="0"/>
              <w:jc w:val="center"/>
              <w:rPr>
                <w:rFonts w:ascii="仿宋" w:hAnsi="仿宋" w:eastAsia="仿宋" w:cs="仿宋"/>
                <w:color w:val="auto"/>
                <w:sz w:val="24"/>
                <w:highlight w:val="none"/>
              </w:rPr>
            </w:pPr>
            <w:r>
              <w:rPr>
                <w:rFonts w:hint="eastAsia" w:ascii="仿宋" w:hAnsi="仿宋" w:eastAsia="仿宋" w:cs="仿宋"/>
                <w:color w:val="auto"/>
                <w:sz w:val="24"/>
                <w:highlight w:val="none"/>
              </w:rPr>
              <w:t>序号</w:t>
            </w:r>
          </w:p>
        </w:tc>
        <w:tc>
          <w:tcPr>
            <w:tcW w:w="1393" w:type="dxa"/>
            <w:vAlign w:val="center"/>
          </w:tcPr>
          <w:p w14:paraId="22528CAA">
            <w:pPr>
              <w:adjustRightInd w:val="0"/>
              <w:snapToGrid w:val="0"/>
              <w:jc w:val="center"/>
              <w:rPr>
                <w:rFonts w:ascii="仿宋" w:hAnsi="仿宋" w:eastAsia="仿宋" w:cs="仿宋"/>
                <w:color w:val="auto"/>
                <w:sz w:val="24"/>
                <w:highlight w:val="none"/>
              </w:rPr>
            </w:pPr>
            <w:r>
              <w:rPr>
                <w:rFonts w:hint="eastAsia" w:ascii="仿宋" w:hAnsi="仿宋" w:eastAsia="仿宋" w:cs="仿宋"/>
                <w:color w:val="auto"/>
                <w:sz w:val="24"/>
                <w:highlight w:val="none"/>
              </w:rPr>
              <w:t>评审因素</w:t>
            </w:r>
          </w:p>
        </w:tc>
        <w:tc>
          <w:tcPr>
            <w:tcW w:w="850" w:type="dxa"/>
            <w:vAlign w:val="center"/>
          </w:tcPr>
          <w:p w14:paraId="65257518">
            <w:pPr>
              <w:adjustRightInd w:val="0"/>
              <w:snapToGrid w:val="0"/>
              <w:jc w:val="center"/>
              <w:rPr>
                <w:rFonts w:ascii="仿宋" w:hAnsi="仿宋" w:eastAsia="仿宋" w:cs="仿宋"/>
                <w:color w:val="auto"/>
                <w:sz w:val="24"/>
                <w:highlight w:val="none"/>
              </w:rPr>
            </w:pPr>
            <w:r>
              <w:rPr>
                <w:rFonts w:hint="eastAsia" w:ascii="仿宋" w:hAnsi="仿宋" w:eastAsia="仿宋" w:cs="仿宋"/>
                <w:color w:val="auto"/>
                <w:sz w:val="24"/>
                <w:highlight w:val="none"/>
              </w:rPr>
              <w:t>分值</w:t>
            </w:r>
          </w:p>
        </w:tc>
        <w:tc>
          <w:tcPr>
            <w:tcW w:w="5766" w:type="dxa"/>
            <w:vAlign w:val="center"/>
          </w:tcPr>
          <w:p w14:paraId="422D0D5C">
            <w:pPr>
              <w:adjustRightInd w:val="0"/>
              <w:snapToGrid w:val="0"/>
              <w:jc w:val="center"/>
              <w:rPr>
                <w:rFonts w:ascii="仿宋" w:hAnsi="仿宋" w:eastAsia="仿宋" w:cs="仿宋"/>
                <w:color w:val="auto"/>
                <w:sz w:val="24"/>
                <w:highlight w:val="none"/>
              </w:rPr>
            </w:pPr>
            <w:r>
              <w:rPr>
                <w:rFonts w:hint="eastAsia" w:ascii="仿宋" w:hAnsi="仿宋" w:eastAsia="仿宋" w:cs="仿宋"/>
                <w:color w:val="auto"/>
                <w:sz w:val="24"/>
                <w:highlight w:val="none"/>
              </w:rPr>
              <w:t>评审要求或标准</w:t>
            </w:r>
          </w:p>
        </w:tc>
        <w:tc>
          <w:tcPr>
            <w:tcW w:w="869" w:type="dxa"/>
            <w:vAlign w:val="center"/>
          </w:tcPr>
          <w:p w14:paraId="02A700E8">
            <w:pPr>
              <w:adjustRightInd w:val="0"/>
              <w:snapToGrid w:val="0"/>
              <w:jc w:val="center"/>
              <w:rPr>
                <w:rFonts w:ascii="仿宋" w:hAnsi="仿宋" w:eastAsia="仿宋" w:cs="仿宋"/>
                <w:color w:val="auto"/>
                <w:sz w:val="24"/>
                <w:highlight w:val="none"/>
              </w:rPr>
            </w:pPr>
            <w:r>
              <w:rPr>
                <w:rFonts w:hint="eastAsia" w:ascii="仿宋" w:hAnsi="仿宋" w:eastAsia="仿宋" w:cs="仿宋"/>
                <w:color w:val="auto"/>
                <w:sz w:val="24"/>
                <w:highlight w:val="none"/>
              </w:rPr>
              <w:t>得分</w:t>
            </w:r>
          </w:p>
        </w:tc>
      </w:tr>
      <w:tr w14:paraId="7F1D8F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9" w:hRule="atLeast"/>
        </w:trPr>
        <w:tc>
          <w:tcPr>
            <w:tcW w:w="692" w:type="dxa"/>
            <w:vAlign w:val="center"/>
          </w:tcPr>
          <w:p w14:paraId="5D6FB362">
            <w:pPr>
              <w:adjustRightInd w:val="0"/>
              <w:snapToGrid w:val="0"/>
              <w:jc w:val="center"/>
              <w:rPr>
                <w:rFonts w:ascii="仿宋" w:hAnsi="仿宋" w:eastAsia="仿宋" w:cs="仿宋"/>
                <w:color w:val="auto"/>
                <w:sz w:val="24"/>
                <w:highlight w:val="none"/>
              </w:rPr>
            </w:pPr>
            <w:r>
              <w:rPr>
                <w:rFonts w:hint="eastAsia" w:ascii="仿宋" w:hAnsi="仿宋" w:eastAsia="仿宋" w:cs="仿宋"/>
                <w:color w:val="auto"/>
                <w:sz w:val="24"/>
                <w:highlight w:val="none"/>
              </w:rPr>
              <w:t>1</w:t>
            </w:r>
          </w:p>
        </w:tc>
        <w:tc>
          <w:tcPr>
            <w:tcW w:w="1393" w:type="dxa"/>
            <w:vAlign w:val="center"/>
          </w:tcPr>
          <w:p w14:paraId="3245DA68">
            <w:pPr>
              <w:spacing w:line="32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企业实力</w:t>
            </w:r>
          </w:p>
        </w:tc>
        <w:tc>
          <w:tcPr>
            <w:tcW w:w="850" w:type="dxa"/>
            <w:vAlign w:val="center"/>
          </w:tcPr>
          <w:p w14:paraId="2DCB2D8A">
            <w:pPr>
              <w:spacing w:line="32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7</w:t>
            </w:r>
          </w:p>
        </w:tc>
        <w:tc>
          <w:tcPr>
            <w:tcW w:w="5766" w:type="dxa"/>
            <w:vAlign w:val="center"/>
          </w:tcPr>
          <w:p w14:paraId="6B431A4A">
            <w:pPr>
              <w:spacing w:line="320" w:lineRule="exact"/>
              <w:ind w:firstLine="480" w:firstLineChars="200"/>
              <w:jc w:val="left"/>
              <w:rPr>
                <w:rFonts w:ascii="仿宋" w:hAnsi="仿宋" w:eastAsia="仿宋"/>
                <w:b/>
                <w:bCs/>
                <w:color w:val="auto"/>
                <w:sz w:val="22"/>
                <w:highlight w:val="none"/>
              </w:rPr>
            </w:pPr>
            <w:r>
              <w:rPr>
                <w:rFonts w:hint="eastAsia" w:ascii="仿宋" w:hAnsi="仿宋" w:eastAsia="仿宋" w:cs="仿宋"/>
                <w:color w:val="auto"/>
                <w:sz w:val="24"/>
                <w:highlight w:val="none"/>
              </w:rPr>
              <w:t>1.响应供应商具有有效的ISO9001质量管理体系认证证书、ISO14001环境管理体系认证证书、ISO45001职业健康安全管理体系认证证书，每有一项得1分，最高得3分。</w:t>
            </w:r>
            <w:r>
              <w:rPr>
                <w:rFonts w:hint="eastAsia" w:ascii="仿宋" w:hAnsi="仿宋" w:eastAsia="仿宋"/>
                <w:b/>
                <w:bCs/>
                <w:color w:val="auto"/>
                <w:sz w:val="22"/>
                <w:highlight w:val="none"/>
              </w:rPr>
              <w:t>须在响应文件中提供相关证书扫描件及国家认可监督管理委员会官网查询截图。不提供或提供不全不得分。</w:t>
            </w:r>
          </w:p>
          <w:p w14:paraId="37DB7F92">
            <w:pPr>
              <w:spacing w:line="320" w:lineRule="exact"/>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2.自2023年1月1日以来，响应供应商在生态环境领域</w:t>
            </w:r>
            <w:bookmarkStart w:id="86" w:name="OLE_LINK22"/>
            <w:r>
              <w:rPr>
                <w:rFonts w:hint="eastAsia" w:ascii="仿宋" w:hAnsi="仿宋" w:eastAsia="仿宋" w:cs="仿宋"/>
                <w:color w:val="auto"/>
                <w:sz w:val="24"/>
                <w:highlight w:val="none"/>
              </w:rPr>
              <w:t>获得过</w:t>
            </w:r>
            <w:bookmarkEnd w:id="86"/>
            <w:r>
              <w:rPr>
                <w:rFonts w:hint="eastAsia" w:ascii="仿宋" w:hAnsi="仿宋" w:eastAsia="仿宋" w:cs="仿宋"/>
                <w:color w:val="auto"/>
                <w:sz w:val="24"/>
                <w:highlight w:val="none"/>
              </w:rPr>
              <w:t>省级</w:t>
            </w:r>
            <w:bookmarkStart w:id="87" w:name="OLE_LINK23"/>
            <w:r>
              <w:rPr>
                <w:rFonts w:hint="eastAsia" w:ascii="仿宋" w:hAnsi="仿宋" w:eastAsia="仿宋" w:cs="仿宋"/>
                <w:color w:val="auto"/>
                <w:sz w:val="24"/>
                <w:highlight w:val="none"/>
              </w:rPr>
              <w:t>以上行政主管部门颁发的奖励或奖项</w:t>
            </w:r>
            <w:bookmarkEnd w:id="87"/>
            <w:r>
              <w:rPr>
                <w:rFonts w:hint="eastAsia" w:ascii="仿宋" w:hAnsi="仿宋" w:eastAsia="仿宋" w:cs="仿宋"/>
                <w:color w:val="auto"/>
                <w:sz w:val="24"/>
                <w:highlight w:val="none"/>
              </w:rPr>
              <w:t>，</w:t>
            </w:r>
            <w:bookmarkStart w:id="88" w:name="OLE_LINK25"/>
            <w:r>
              <w:rPr>
                <w:rFonts w:hint="eastAsia" w:ascii="仿宋" w:hAnsi="仿宋" w:eastAsia="仿宋" w:cs="仿宋"/>
                <w:color w:val="auto"/>
                <w:sz w:val="24"/>
                <w:highlight w:val="none"/>
              </w:rPr>
              <w:t>每提供一项得2分</w:t>
            </w:r>
            <w:bookmarkEnd w:id="88"/>
            <w:r>
              <w:rPr>
                <w:rFonts w:hint="eastAsia" w:ascii="仿宋" w:hAnsi="仿宋" w:eastAsia="仿宋" w:cs="仿宋"/>
                <w:color w:val="auto"/>
                <w:sz w:val="24"/>
                <w:highlight w:val="none"/>
              </w:rPr>
              <w:t>；</w:t>
            </w:r>
            <w:bookmarkStart w:id="89" w:name="OLE_LINK26"/>
            <w:r>
              <w:rPr>
                <w:rFonts w:hint="eastAsia" w:ascii="仿宋" w:hAnsi="仿宋" w:eastAsia="仿宋" w:cs="仿宋"/>
                <w:color w:val="auto"/>
                <w:sz w:val="24"/>
                <w:highlight w:val="none"/>
              </w:rPr>
              <w:t>获</w:t>
            </w:r>
            <w:bookmarkStart w:id="90" w:name="OLE_LINK24"/>
            <w:r>
              <w:rPr>
                <w:rFonts w:hint="eastAsia" w:ascii="仿宋" w:hAnsi="仿宋" w:eastAsia="仿宋" w:cs="仿宋"/>
                <w:color w:val="auto"/>
                <w:sz w:val="24"/>
                <w:highlight w:val="none"/>
              </w:rPr>
              <w:t>得过市级（设区市）以上行政主管部门颁发的奖励或奖项</w:t>
            </w:r>
            <w:bookmarkEnd w:id="90"/>
            <w:r>
              <w:rPr>
                <w:rFonts w:hint="eastAsia" w:ascii="仿宋" w:hAnsi="仿宋" w:eastAsia="仿宋" w:cs="仿宋"/>
                <w:color w:val="auto"/>
                <w:sz w:val="24"/>
                <w:highlight w:val="none"/>
              </w:rPr>
              <w:t>，每提供一个得1分</w:t>
            </w:r>
            <w:bookmarkEnd w:id="89"/>
            <w:r>
              <w:rPr>
                <w:rFonts w:hint="eastAsia" w:ascii="仿宋" w:hAnsi="仿宋" w:eastAsia="仿宋" w:cs="仿宋"/>
                <w:color w:val="auto"/>
                <w:sz w:val="24"/>
                <w:highlight w:val="none"/>
              </w:rPr>
              <w:t>；获得过县级以上行政主管部门颁发的奖励或奖项，每提供一个得0.5分；本项最多得4分。</w:t>
            </w:r>
            <w:r>
              <w:rPr>
                <w:rFonts w:hint="eastAsia" w:ascii="仿宋" w:hAnsi="仿宋" w:eastAsia="仿宋" w:cs="仿宋"/>
                <w:b/>
                <w:bCs/>
                <w:color w:val="auto"/>
                <w:sz w:val="24"/>
                <w:highlight w:val="none"/>
              </w:rPr>
              <w:t>须提供相关证明材料扫描件加盖响应供应商公章。</w:t>
            </w:r>
          </w:p>
        </w:tc>
        <w:tc>
          <w:tcPr>
            <w:tcW w:w="869" w:type="dxa"/>
          </w:tcPr>
          <w:p w14:paraId="5129E956">
            <w:pPr>
              <w:adjustRightInd w:val="0"/>
              <w:snapToGrid w:val="0"/>
              <w:jc w:val="center"/>
              <w:rPr>
                <w:rFonts w:ascii="仿宋" w:hAnsi="仿宋" w:eastAsia="仿宋" w:cs="仿宋"/>
                <w:color w:val="auto"/>
                <w:sz w:val="24"/>
                <w:highlight w:val="none"/>
              </w:rPr>
            </w:pPr>
          </w:p>
        </w:tc>
      </w:tr>
      <w:tr w14:paraId="51338B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92" w:type="dxa"/>
            <w:vAlign w:val="center"/>
          </w:tcPr>
          <w:p w14:paraId="13FEEEE8">
            <w:pPr>
              <w:adjustRightInd w:val="0"/>
              <w:snapToGrid w:val="0"/>
              <w:jc w:val="center"/>
              <w:rPr>
                <w:rFonts w:ascii="仿宋" w:hAnsi="仿宋" w:eastAsia="仿宋" w:cs="仿宋"/>
                <w:color w:val="auto"/>
                <w:sz w:val="24"/>
                <w:highlight w:val="none"/>
              </w:rPr>
            </w:pPr>
            <w:r>
              <w:rPr>
                <w:rFonts w:hint="eastAsia" w:ascii="仿宋" w:hAnsi="仿宋" w:eastAsia="仿宋" w:cs="仿宋"/>
                <w:color w:val="auto"/>
                <w:sz w:val="24"/>
                <w:highlight w:val="none"/>
              </w:rPr>
              <w:t>2</w:t>
            </w:r>
          </w:p>
        </w:tc>
        <w:tc>
          <w:tcPr>
            <w:tcW w:w="1393" w:type="dxa"/>
            <w:vAlign w:val="center"/>
          </w:tcPr>
          <w:p w14:paraId="5DAF8D91">
            <w:pPr>
              <w:spacing w:line="32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业绩</w:t>
            </w:r>
          </w:p>
        </w:tc>
        <w:tc>
          <w:tcPr>
            <w:tcW w:w="850" w:type="dxa"/>
            <w:vAlign w:val="center"/>
          </w:tcPr>
          <w:p w14:paraId="77F7372D">
            <w:pPr>
              <w:spacing w:line="32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18</w:t>
            </w:r>
          </w:p>
        </w:tc>
        <w:tc>
          <w:tcPr>
            <w:tcW w:w="5766" w:type="dxa"/>
            <w:vAlign w:val="center"/>
          </w:tcPr>
          <w:p w14:paraId="01DC1606">
            <w:pPr>
              <w:spacing w:line="320" w:lineRule="exact"/>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1.自2023年1月1日（以合同签订时间为准）以来，响应供应商承担过VOC（环境空气挥发性有机物）监测类项目的，每提供一个得2分，本项最高得4分。</w:t>
            </w:r>
            <w:r>
              <w:rPr>
                <w:rFonts w:hint="eastAsia" w:ascii="仿宋" w:hAnsi="仿宋" w:eastAsia="仿宋" w:cs="仿宋"/>
                <w:b/>
                <w:bCs/>
                <w:color w:val="auto"/>
                <w:sz w:val="24"/>
                <w:highlight w:val="none"/>
              </w:rPr>
              <w:t>须提供相关业绩中标通知书及合同扫描件并加盖响应供应商公章。</w:t>
            </w:r>
          </w:p>
          <w:p w14:paraId="47B6D143">
            <w:pPr>
              <w:spacing w:line="320" w:lineRule="exact"/>
              <w:ind w:firstLine="480" w:firstLineChars="200"/>
              <w:jc w:val="left"/>
              <w:rPr>
                <w:rFonts w:ascii="仿宋" w:hAnsi="仿宋" w:eastAsia="仿宋" w:cs="仿宋"/>
                <w:b/>
                <w:bCs/>
                <w:color w:val="auto"/>
                <w:sz w:val="24"/>
                <w:highlight w:val="none"/>
              </w:rPr>
            </w:pPr>
            <w:r>
              <w:rPr>
                <w:rFonts w:hint="eastAsia" w:ascii="仿宋" w:hAnsi="仿宋" w:eastAsia="仿宋" w:cs="仿宋"/>
                <w:color w:val="auto"/>
                <w:sz w:val="24"/>
                <w:highlight w:val="none"/>
              </w:rPr>
              <w:t>2.自2023年1月1日（以合同签订时间为准）以来，响应供应商承担过政府部门大气污染精准排查溯源类综合服务项目的，每有一个得2分，本项最高得8分。</w:t>
            </w:r>
            <w:r>
              <w:rPr>
                <w:rFonts w:hint="eastAsia" w:ascii="仿宋" w:hAnsi="仿宋" w:eastAsia="仿宋" w:cs="仿宋"/>
                <w:b/>
                <w:bCs/>
                <w:color w:val="auto"/>
                <w:sz w:val="24"/>
                <w:highlight w:val="none"/>
              </w:rPr>
              <w:t>须提供相关业绩中标通知书及合同扫描件并加盖响应供应商公章。</w:t>
            </w:r>
          </w:p>
          <w:p w14:paraId="702970E2">
            <w:pPr>
              <w:spacing w:line="320" w:lineRule="exact"/>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3.自2023年1月1日（以合同签订时间为准）以来，响应供应商承担过生态环境信息化平台建设项目，每提供1个案例合同得1分，最高得3分。</w:t>
            </w:r>
            <w:r>
              <w:rPr>
                <w:rFonts w:hint="eastAsia" w:ascii="仿宋" w:hAnsi="仿宋" w:eastAsia="仿宋" w:cs="仿宋"/>
                <w:b/>
                <w:bCs/>
                <w:color w:val="auto"/>
                <w:sz w:val="24"/>
                <w:highlight w:val="none"/>
              </w:rPr>
              <w:t>须提供相关合同扫描件并加盖响应供应商公章。</w:t>
            </w:r>
          </w:p>
          <w:p w14:paraId="3B268F0A">
            <w:pPr>
              <w:spacing w:line="320" w:lineRule="exact"/>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4.自2023年1月1日（以合同签订时间为准）以来，响应供应商承担过空气质量自动监测运维服务项目业绩，每提供1份合同得1分，最高得3分。</w:t>
            </w:r>
            <w:r>
              <w:rPr>
                <w:rFonts w:hint="eastAsia" w:ascii="仿宋" w:hAnsi="仿宋" w:eastAsia="仿宋" w:cs="仿宋"/>
                <w:b/>
                <w:bCs/>
                <w:color w:val="auto"/>
                <w:sz w:val="24"/>
                <w:highlight w:val="none"/>
              </w:rPr>
              <w:t>须提供相关合同扫描件并加盖响应供应商公章。</w:t>
            </w:r>
          </w:p>
        </w:tc>
        <w:tc>
          <w:tcPr>
            <w:tcW w:w="869" w:type="dxa"/>
          </w:tcPr>
          <w:p w14:paraId="0511ABE5">
            <w:pPr>
              <w:adjustRightInd w:val="0"/>
              <w:snapToGrid w:val="0"/>
              <w:jc w:val="center"/>
              <w:rPr>
                <w:rFonts w:ascii="仿宋" w:hAnsi="仿宋" w:eastAsia="仿宋" w:cs="仿宋"/>
                <w:color w:val="auto"/>
                <w:sz w:val="24"/>
                <w:highlight w:val="none"/>
              </w:rPr>
            </w:pPr>
          </w:p>
        </w:tc>
      </w:tr>
      <w:tr w14:paraId="3B62CE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92" w:type="dxa"/>
            <w:vAlign w:val="center"/>
          </w:tcPr>
          <w:p w14:paraId="5D0B5C44">
            <w:pPr>
              <w:adjustRightInd w:val="0"/>
              <w:snapToGrid w:val="0"/>
              <w:jc w:val="center"/>
              <w:rPr>
                <w:rFonts w:ascii="仿宋" w:hAnsi="仿宋" w:eastAsia="仿宋" w:cs="仿宋"/>
                <w:color w:val="auto"/>
                <w:sz w:val="24"/>
                <w:highlight w:val="none"/>
              </w:rPr>
            </w:pPr>
            <w:r>
              <w:rPr>
                <w:rFonts w:hint="eastAsia" w:ascii="仿宋" w:hAnsi="仿宋" w:eastAsia="仿宋" w:cs="仿宋"/>
                <w:color w:val="auto"/>
                <w:sz w:val="24"/>
                <w:highlight w:val="none"/>
              </w:rPr>
              <w:t>3</w:t>
            </w:r>
          </w:p>
        </w:tc>
        <w:tc>
          <w:tcPr>
            <w:tcW w:w="1393" w:type="dxa"/>
            <w:vAlign w:val="center"/>
          </w:tcPr>
          <w:p w14:paraId="2A04D57D">
            <w:pPr>
              <w:spacing w:line="32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设备及实验室保障能力</w:t>
            </w:r>
          </w:p>
        </w:tc>
        <w:tc>
          <w:tcPr>
            <w:tcW w:w="850" w:type="dxa"/>
            <w:vAlign w:val="center"/>
          </w:tcPr>
          <w:p w14:paraId="5939B7DA">
            <w:pPr>
              <w:spacing w:line="32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10</w:t>
            </w:r>
          </w:p>
        </w:tc>
        <w:tc>
          <w:tcPr>
            <w:tcW w:w="5766" w:type="dxa"/>
            <w:vAlign w:val="center"/>
          </w:tcPr>
          <w:p w14:paraId="0446AEB0">
            <w:pPr>
              <w:spacing w:line="320" w:lineRule="exact"/>
              <w:ind w:firstLine="480" w:firstLineChars="200"/>
              <w:jc w:val="left"/>
              <w:rPr>
                <w:rFonts w:ascii="仿宋" w:hAnsi="仿宋" w:eastAsia="仿宋" w:cs="仿宋"/>
                <w:b/>
                <w:bCs/>
                <w:color w:val="auto"/>
                <w:sz w:val="24"/>
                <w:highlight w:val="none"/>
              </w:rPr>
            </w:pPr>
            <w:r>
              <w:rPr>
                <w:rFonts w:hint="eastAsia" w:ascii="仿宋" w:hAnsi="仿宋" w:eastAsia="仿宋" w:cs="仿宋"/>
                <w:color w:val="auto"/>
                <w:sz w:val="24"/>
                <w:highlight w:val="none"/>
              </w:rPr>
              <w:t>1.响应供应商拥有无人机数量在满足项目需求中要求的1台基础上，增加1台得2分，本项最高2分。</w:t>
            </w:r>
            <w:r>
              <w:rPr>
                <w:rFonts w:hint="eastAsia" w:ascii="仿宋" w:hAnsi="仿宋" w:eastAsia="仿宋" w:cs="仿宋"/>
                <w:b/>
                <w:bCs/>
                <w:color w:val="auto"/>
                <w:sz w:val="24"/>
                <w:highlight w:val="none"/>
              </w:rPr>
              <w:t>须提供响应供应商设备购买合同或发票或其他相关证明材料。</w:t>
            </w:r>
          </w:p>
          <w:p w14:paraId="0E237244">
            <w:pPr>
              <w:widowControl/>
              <w:ind w:firstLine="480" w:firstLineChars="200"/>
              <w:jc w:val="left"/>
              <w:textAlignment w:val="center"/>
              <w:rPr>
                <w:rFonts w:ascii="仿宋" w:hAnsi="仿宋" w:eastAsia="仿宋" w:cs="仿宋"/>
                <w:color w:val="auto"/>
                <w:sz w:val="24"/>
                <w:highlight w:val="none"/>
              </w:rPr>
            </w:pPr>
            <w:r>
              <w:rPr>
                <w:rFonts w:hint="eastAsia" w:ascii="仿宋" w:hAnsi="仿宋" w:eastAsia="仿宋" w:cs="仿宋"/>
                <w:color w:val="auto"/>
                <w:sz w:val="24"/>
                <w:highlight w:val="none"/>
              </w:rPr>
              <w:t>2.响应供应商具有颗粒物走航监测车，有1辆得2分，最高得4分。</w:t>
            </w:r>
            <w:r>
              <w:rPr>
                <w:rFonts w:hint="eastAsia" w:ascii="仿宋" w:hAnsi="仿宋" w:eastAsia="仿宋" w:cs="仿宋"/>
                <w:b/>
                <w:bCs/>
                <w:color w:val="auto"/>
                <w:sz w:val="24"/>
                <w:highlight w:val="none"/>
              </w:rPr>
              <w:t>须提供整车照片、购车发票、行驶证（车主须与响应供应商名称一致）扫描件，未提供或提供不符要求不得分。</w:t>
            </w:r>
          </w:p>
          <w:p w14:paraId="1693E8BB">
            <w:pPr>
              <w:spacing w:line="320" w:lineRule="exact"/>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3.响应供应商具备实验室仪器保障能力，拥有用于质量控制的CMA实验室（认证范围需包含二氧化硫、二氧化氮、PM</w:t>
            </w:r>
            <w:r>
              <w:rPr>
                <w:rFonts w:hint="eastAsia" w:ascii="仿宋" w:hAnsi="仿宋" w:eastAsia="仿宋" w:cs="仿宋"/>
                <w:color w:val="auto"/>
                <w:sz w:val="24"/>
                <w:highlight w:val="none"/>
                <w:vertAlign w:val="subscript"/>
              </w:rPr>
              <w:t>2.5</w:t>
            </w:r>
            <w:r>
              <w:rPr>
                <w:rFonts w:hint="eastAsia" w:ascii="仿宋" w:hAnsi="仿宋" w:eastAsia="仿宋" w:cs="仿宋"/>
                <w:color w:val="auto"/>
                <w:sz w:val="24"/>
                <w:highlight w:val="none"/>
              </w:rPr>
              <w:t>、O</w:t>
            </w:r>
            <w:r>
              <w:rPr>
                <w:rFonts w:hint="eastAsia" w:ascii="仿宋" w:hAnsi="仿宋" w:eastAsia="仿宋" w:cs="仿宋"/>
                <w:color w:val="auto"/>
                <w:sz w:val="24"/>
                <w:highlight w:val="none"/>
                <w:vertAlign w:val="subscript"/>
              </w:rPr>
              <w:t>3</w:t>
            </w:r>
            <w:r>
              <w:rPr>
                <w:rFonts w:hint="eastAsia" w:ascii="仿宋" w:hAnsi="仿宋" w:eastAsia="仿宋" w:cs="仿宋"/>
                <w:color w:val="auto"/>
                <w:sz w:val="24"/>
                <w:highlight w:val="none"/>
              </w:rPr>
              <w:t>、挥发性有机物）且在省级“社会环境检测机构信息管理平台”登记、公开检测能力的，完全满足得4分，不满足不得分。</w:t>
            </w:r>
            <w:r>
              <w:rPr>
                <w:rFonts w:hint="eastAsia" w:ascii="仿宋" w:hAnsi="仿宋" w:eastAsia="仿宋" w:cs="仿宋"/>
                <w:b/>
                <w:bCs/>
                <w:color w:val="auto"/>
                <w:sz w:val="24"/>
                <w:highlight w:val="none"/>
              </w:rPr>
              <w:t>须提供平台登记证明、实验室资质证书及涵盖本项目指标的计量认证证书扫描件，不提供或提供不全不得分。</w:t>
            </w:r>
          </w:p>
        </w:tc>
        <w:tc>
          <w:tcPr>
            <w:tcW w:w="869" w:type="dxa"/>
          </w:tcPr>
          <w:p w14:paraId="70D33050">
            <w:pPr>
              <w:adjustRightInd w:val="0"/>
              <w:snapToGrid w:val="0"/>
              <w:jc w:val="center"/>
              <w:rPr>
                <w:rFonts w:ascii="仿宋" w:hAnsi="仿宋" w:eastAsia="仿宋" w:cs="仿宋"/>
                <w:color w:val="auto"/>
                <w:sz w:val="24"/>
                <w:highlight w:val="none"/>
              </w:rPr>
            </w:pPr>
          </w:p>
        </w:tc>
      </w:tr>
      <w:tr w14:paraId="1CC3A1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92" w:type="dxa"/>
            <w:vAlign w:val="center"/>
          </w:tcPr>
          <w:p w14:paraId="7DA54ED4">
            <w:pPr>
              <w:adjustRightInd w:val="0"/>
              <w:snapToGrid w:val="0"/>
              <w:jc w:val="center"/>
              <w:rPr>
                <w:rFonts w:ascii="仿宋" w:hAnsi="仿宋" w:eastAsia="仿宋" w:cs="仿宋"/>
                <w:color w:val="auto"/>
                <w:sz w:val="24"/>
                <w:highlight w:val="none"/>
              </w:rPr>
            </w:pPr>
            <w:r>
              <w:rPr>
                <w:rFonts w:hint="eastAsia" w:ascii="仿宋" w:hAnsi="仿宋" w:eastAsia="仿宋" w:cs="仿宋"/>
                <w:color w:val="auto"/>
                <w:sz w:val="24"/>
                <w:highlight w:val="none"/>
              </w:rPr>
              <w:t>4</w:t>
            </w:r>
          </w:p>
        </w:tc>
        <w:tc>
          <w:tcPr>
            <w:tcW w:w="1393" w:type="dxa"/>
            <w:vAlign w:val="center"/>
          </w:tcPr>
          <w:p w14:paraId="5F177C80">
            <w:pPr>
              <w:spacing w:line="32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人员配置</w:t>
            </w:r>
          </w:p>
        </w:tc>
        <w:tc>
          <w:tcPr>
            <w:tcW w:w="850" w:type="dxa"/>
            <w:vAlign w:val="center"/>
          </w:tcPr>
          <w:p w14:paraId="42785ACA">
            <w:pPr>
              <w:spacing w:line="32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14</w:t>
            </w:r>
          </w:p>
        </w:tc>
        <w:tc>
          <w:tcPr>
            <w:tcW w:w="5766" w:type="dxa"/>
            <w:vAlign w:val="center"/>
          </w:tcPr>
          <w:p w14:paraId="36714696">
            <w:pPr>
              <w:spacing w:line="320" w:lineRule="exact"/>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1.拟派本项目负责人具备环境类硕士研究生及以上学历得1.5分，具有环境类高级及以上职称的得1.5分，本项最高得3分。</w:t>
            </w:r>
          </w:p>
          <w:p w14:paraId="3E45ADA2">
            <w:pPr>
              <w:spacing w:line="320" w:lineRule="exact"/>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2.拟投入本项目的成员（项目负责人除外）具有环境类高级及以上职称的，每有1名得3分，本项最高得6分。</w:t>
            </w:r>
          </w:p>
          <w:p w14:paraId="2B4C2944">
            <w:pPr>
              <w:spacing w:line="320" w:lineRule="exact"/>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3.拟投入本项目的负责人和成员参加过省级及以上环保部门下属环境监测机构培训的，有1个人得1分，须提供有效期内的培训合格证书，本项最高5分。</w:t>
            </w:r>
          </w:p>
          <w:p w14:paraId="5B8889BB">
            <w:pPr>
              <w:spacing w:line="320" w:lineRule="exact"/>
              <w:ind w:firstLine="482" w:firstLineChars="200"/>
              <w:jc w:val="left"/>
              <w:rPr>
                <w:rFonts w:ascii="仿宋" w:hAnsi="仿宋" w:eastAsia="仿宋" w:cs="仿宋"/>
                <w:color w:val="auto"/>
                <w:sz w:val="24"/>
                <w:highlight w:val="none"/>
              </w:rPr>
            </w:pPr>
            <w:r>
              <w:rPr>
                <w:rFonts w:hint="eastAsia" w:ascii="仿宋" w:hAnsi="仿宋" w:eastAsia="仿宋" w:cs="仿宋"/>
                <w:b/>
                <w:bCs/>
                <w:color w:val="auto"/>
                <w:sz w:val="24"/>
                <w:highlight w:val="none"/>
              </w:rPr>
              <w:t>注：须提供上述相关人员学历证书、职称证书、培训合格证明等相关证明材料扫描件加盖公章。上述人员须为项目需求中所列的项目团队人员中成员，否则不得分。</w:t>
            </w:r>
          </w:p>
        </w:tc>
        <w:tc>
          <w:tcPr>
            <w:tcW w:w="869" w:type="dxa"/>
          </w:tcPr>
          <w:p w14:paraId="5AA5A23D">
            <w:pPr>
              <w:adjustRightInd w:val="0"/>
              <w:snapToGrid w:val="0"/>
              <w:jc w:val="center"/>
              <w:rPr>
                <w:rFonts w:ascii="仿宋" w:hAnsi="仿宋" w:eastAsia="仿宋" w:cs="仿宋"/>
                <w:color w:val="auto"/>
                <w:sz w:val="24"/>
                <w:highlight w:val="none"/>
              </w:rPr>
            </w:pPr>
          </w:p>
        </w:tc>
      </w:tr>
      <w:tr w14:paraId="1E8517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92" w:type="dxa"/>
            <w:vAlign w:val="center"/>
          </w:tcPr>
          <w:p w14:paraId="2118801C">
            <w:pPr>
              <w:adjustRightInd w:val="0"/>
              <w:snapToGrid w:val="0"/>
              <w:jc w:val="center"/>
              <w:rPr>
                <w:rFonts w:ascii="仿宋" w:hAnsi="仿宋" w:eastAsia="仿宋" w:cs="仿宋"/>
                <w:color w:val="auto"/>
                <w:sz w:val="24"/>
                <w:highlight w:val="none"/>
              </w:rPr>
            </w:pPr>
            <w:r>
              <w:rPr>
                <w:rFonts w:hint="eastAsia" w:ascii="仿宋" w:hAnsi="仿宋" w:eastAsia="仿宋" w:cs="仿宋"/>
                <w:color w:val="auto"/>
                <w:sz w:val="24"/>
                <w:highlight w:val="none"/>
              </w:rPr>
              <w:t>5</w:t>
            </w:r>
          </w:p>
        </w:tc>
        <w:tc>
          <w:tcPr>
            <w:tcW w:w="1393" w:type="dxa"/>
            <w:vAlign w:val="center"/>
          </w:tcPr>
          <w:p w14:paraId="1140BBAB">
            <w:pPr>
              <w:spacing w:line="32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网格化微站服务方案</w:t>
            </w:r>
          </w:p>
        </w:tc>
        <w:tc>
          <w:tcPr>
            <w:tcW w:w="850" w:type="dxa"/>
            <w:vAlign w:val="center"/>
          </w:tcPr>
          <w:p w14:paraId="209E6E50">
            <w:pPr>
              <w:spacing w:line="32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5</w:t>
            </w:r>
          </w:p>
        </w:tc>
        <w:tc>
          <w:tcPr>
            <w:tcW w:w="5766" w:type="dxa"/>
            <w:vAlign w:val="center"/>
          </w:tcPr>
          <w:p w14:paraId="555883AF">
            <w:pPr>
              <w:spacing w:line="320" w:lineRule="exact"/>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响应供应商提供完整的微站监测服务方案，内容包含点位选址、微站建设安装、运维、质控、数据平台等。</w:t>
            </w:r>
          </w:p>
          <w:p w14:paraId="5577C405">
            <w:pPr>
              <w:spacing w:line="320" w:lineRule="exact"/>
              <w:ind w:firstLine="482" w:firstLineChars="200"/>
              <w:jc w:val="left"/>
              <w:rPr>
                <w:rFonts w:ascii="仿宋" w:hAnsi="仿宋" w:eastAsia="仿宋" w:cs="仿宋"/>
                <w:b/>
                <w:bCs/>
                <w:color w:val="auto"/>
                <w:sz w:val="24"/>
                <w:highlight w:val="none"/>
              </w:rPr>
            </w:pPr>
            <w:r>
              <w:rPr>
                <w:rFonts w:hint="eastAsia" w:ascii="仿宋" w:hAnsi="仿宋" w:eastAsia="仿宋" w:cs="仿宋"/>
                <w:b/>
                <w:bCs/>
                <w:color w:val="auto"/>
                <w:sz w:val="24"/>
                <w:highlight w:val="none"/>
              </w:rPr>
              <w:t>上述5个方面内容中每缺少一项内容扣1分，每有一处需求分析内容存在缺陷或不足的扣0.5分，扣完为止。本项满分5分。</w:t>
            </w:r>
          </w:p>
          <w:p w14:paraId="56B641C5">
            <w:pPr>
              <w:spacing w:line="320" w:lineRule="exact"/>
              <w:ind w:firstLine="482" w:firstLineChars="200"/>
              <w:jc w:val="left"/>
              <w:rPr>
                <w:rFonts w:ascii="仿宋" w:hAnsi="仿宋" w:eastAsia="仿宋" w:cs="仿宋"/>
                <w:b/>
                <w:bCs/>
                <w:color w:val="auto"/>
                <w:sz w:val="24"/>
                <w:highlight w:val="none"/>
              </w:rPr>
            </w:pPr>
            <w:r>
              <w:rPr>
                <w:rFonts w:hint="eastAsia" w:ascii="仿宋" w:hAnsi="仿宋" w:eastAsia="仿宋" w:cs="仿宋"/>
                <w:b/>
                <w:bCs/>
                <w:color w:val="auto"/>
                <w:sz w:val="24"/>
                <w:highlight w:val="none"/>
              </w:rPr>
              <w:t>注：服务方案内容存在缺陷或不足是指以下任意一种情形：</w:t>
            </w:r>
          </w:p>
          <w:p w14:paraId="642AA97F">
            <w:pPr>
              <w:spacing w:line="320" w:lineRule="exact"/>
              <w:ind w:firstLine="482" w:firstLineChars="200"/>
              <w:jc w:val="left"/>
              <w:rPr>
                <w:rFonts w:ascii="仿宋" w:hAnsi="仿宋" w:eastAsia="仿宋" w:cs="仿宋"/>
                <w:color w:val="auto"/>
                <w:sz w:val="24"/>
                <w:highlight w:val="none"/>
              </w:rPr>
            </w:pPr>
            <w:r>
              <w:rPr>
                <w:rFonts w:hint="eastAsia" w:ascii="仿宋" w:hAnsi="仿宋" w:eastAsia="仿宋" w:cs="仿宋"/>
                <w:b/>
                <w:bCs/>
                <w:color w:val="auto"/>
                <w:sz w:val="24"/>
                <w:highlight w:val="none"/>
              </w:rPr>
              <w:t>方案内容不切合行业实际、不符合国家法规政策；或方案内容生搬硬造，与实际情况不符，存在偏差；或方案内容过于简略；或存在与项目无关的文字内容；或内容不适用项目实际情况；或内容逻辑漏洞或原理错误。</w:t>
            </w:r>
          </w:p>
        </w:tc>
        <w:tc>
          <w:tcPr>
            <w:tcW w:w="869" w:type="dxa"/>
          </w:tcPr>
          <w:p w14:paraId="3640E22C">
            <w:pPr>
              <w:adjustRightInd w:val="0"/>
              <w:snapToGrid w:val="0"/>
              <w:jc w:val="center"/>
              <w:rPr>
                <w:rFonts w:ascii="仿宋" w:hAnsi="仿宋" w:eastAsia="仿宋" w:cs="仿宋"/>
                <w:color w:val="auto"/>
                <w:sz w:val="24"/>
                <w:highlight w:val="none"/>
              </w:rPr>
            </w:pPr>
          </w:p>
          <w:p w14:paraId="2198EB23">
            <w:pPr>
              <w:adjustRightInd w:val="0"/>
              <w:snapToGrid w:val="0"/>
              <w:jc w:val="center"/>
              <w:rPr>
                <w:rFonts w:ascii="仿宋" w:hAnsi="仿宋" w:eastAsia="仿宋" w:cs="仿宋"/>
                <w:color w:val="auto"/>
                <w:sz w:val="24"/>
                <w:highlight w:val="none"/>
              </w:rPr>
            </w:pPr>
          </w:p>
        </w:tc>
      </w:tr>
      <w:tr w14:paraId="3A918E9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92" w:type="dxa"/>
            <w:vAlign w:val="center"/>
          </w:tcPr>
          <w:p w14:paraId="2C98462D">
            <w:pPr>
              <w:adjustRightInd w:val="0"/>
              <w:snapToGrid w:val="0"/>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6</w:t>
            </w:r>
          </w:p>
        </w:tc>
        <w:tc>
          <w:tcPr>
            <w:tcW w:w="1393" w:type="dxa"/>
            <w:vAlign w:val="center"/>
          </w:tcPr>
          <w:p w14:paraId="6ED75B80">
            <w:pPr>
              <w:spacing w:line="320" w:lineRule="exact"/>
              <w:jc w:val="left"/>
              <w:rPr>
                <w:rFonts w:ascii="仿宋" w:hAnsi="仿宋" w:eastAsia="仿宋" w:cs="仿宋"/>
                <w:color w:val="auto"/>
                <w:sz w:val="24"/>
                <w:highlight w:val="none"/>
              </w:rPr>
            </w:pPr>
            <w:r>
              <w:rPr>
                <w:rFonts w:hint="eastAsia" w:ascii="仿宋" w:hAnsi="仿宋" w:eastAsia="仿宋" w:cs="仿宋"/>
                <w:color w:val="auto"/>
                <w:sz w:val="24"/>
                <w:highlight w:val="none"/>
              </w:rPr>
              <w:t>综合驻场服务方案</w:t>
            </w:r>
          </w:p>
        </w:tc>
        <w:tc>
          <w:tcPr>
            <w:tcW w:w="850" w:type="dxa"/>
            <w:vAlign w:val="center"/>
          </w:tcPr>
          <w:p w14:paraId="31D98854">
            <w:pPr>
              <w:spacing w:line="32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16</w:t>
            </w:r>
          </w:p>
        </w:tc>
        <w:tc>
          <w:tcPr>
            <w:tcW w:w="5766" w:type="dxa"/>
            <w:vAlign w:val="center"/>
          </w:tcPr>
          <w:p w14:paraId="5B6A51BB">
            <w:pPr>
              <w:spacing w:line="320" w:lineRule="exact"/>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响应供应商提供驻场服务方案，方案能够结合国家、省、市以及本地大气污染防治需求综合考量，结合问题难点进行梳理并形成技术路线；服务方案结合本地实际理清服务思路，内容包括：①驻场工作机制；②服务方向内容；③污染源巡查；④空气质量预报预警；⑤数据分析；⑥数据监控；⑦污染源信息库更新；⑧污染天应急应对等。</w:t>
            </w:r>
          </w:p>
          <w:p w14:paraId="43982340">
            <w:pPr>
              <w:spacing w:line="320" w:lineRule="exact"/>
              <w:ind w:firstLine="482" w:firstLineChars="200"/>
              <w:jc w:val="left"/>
              <w:rPr>
                <w:rFonts w:ascii="仿宋" w:hAnsi="仿宋" w:eastAsia="仿宋" w:cs="仿宋"/>
                <w:b/>
                <w:bCs/>
                <w:color w:val="auto"/>
                <w:sz w:val="24"/>
                <w:highlight w:val="none"/>
              </w:rPr>
            </w:pPr>
            <w:r>
              <w:rPr>
                <w:rFonts w:hint="eastAsia" w:ascii="仿宋" w:hAnsi="仿宋" w:eastAsia="仿宋" w:cs="仿宋"/>
                <w:b/>
                <w:bCs/>
                <w:color w:val="auto"/>
                <w:sz w:val="24"/>
                <w:highlight w:val="none"/>
              </w:rPr>
              <w:t>上述8个方面内容中每缺少一项内容扣2分，每有一处需求分析内容存在缺陷或不足的扣1分，扣完为止。本项满分16分。</w:t>
            </w:r>
          </w:p>
          <w:p w14:paraId="5652B483">
            <w:pPr>
              <w:spacing w:line="320" w:lineRule="exact"/>
              <w:ind w:firstLine="482" w:firstLineChars="200"/>
              <w:jc w:val="left"/>
              <w:rPr>
                <w:rFonts w:ascii="仿宋" w:hAnsi="仿宋" w:eastAsia="仿宋" w:cs="仿宋"/>
                <w:b/>
                <w:bCs/>
                <w:color w:val="auto"/>
                <w:sz w:val="24"/>
                <w:highlight w:val="none"/>
              </w:rPr>
            </w:pPr>
            <w:r>
              <w:rPr>
                <w:rFonts w:hint="eastAsia" w:ascii="仿宋" w:hAnsi="仿宋" w:eastAsia="仿宋" w:cs="仿宋"/>
                <w:b/>
                <w:bCs/>
                <w:color w:val="auto"/>
                <w:sz w:val="24"/>
                <w:highlight w:val="none"/>
              </w:rPr>
              <w:t>注：实施方案内容存在缺陷或不足是指以下任意一种情形：</w:t>
            </w:r>
          </w:p>
          <w:p w14:paraId="22856C2B">
            <w:pPr>
              <w:spacing w:line="320" w:lineRule="exact"/>
              <w:ind w:firstLine="482" w:firstLineChars="200"/>
              <w:jc w:val="left"/>
              <w:rPr>
                <w:rFonts w:ascii="仿宋" w:hAnsi="仿宋" w:eastAsia="仿宋" w:cs="仿宋"/>
                <w:color w:val="auto"/>
                <w:sz w:val="24"/>
                <w:highlight w:val="none"/>
              </w:rPr>
            </w:pPr>
            <w:r>
              <w:rPr>
                <w:rFonts w:hint="eastAsia" w:ascii="仿宋" w:hAnsi="仿宋" w:eastAsia="仿宋" w:cs="仿宋"/>
                <w:b/>
                <w:bCs/>
                <w:color w:val="auto"/>
                <w:sz w:val="24"/>
                <w:highlight w:val="none"/>
              </w:rPr>
              <w:t>方案内容不切合行业实际、不符合国家法规政策；或方案内容生搬硬造，与实际情况不符，存在偏差；或方案内容过于简略；或存在与项目无关的文字内容；或内容不适用项目实际情况；或内容逻辑漏洞或原理错误。</w:t>
            </w:r>
          </w:p>
        </w:tc>
        <w:tc>
          <w:tcPr>
            <w:tcW w:w="869" w:type="dxa"/>
          </w:tcPr>
          <w:p w14:paraId="1B49A8F8">
            <w:pPr>
              <w:adjustRightInd w:val="0"/>
              <w:snapToGrid w:val="0"/>
              <w:jc w:val="center"/>
              <w:rPr>
                <w:rFonts w:ascii="仿宋" w:hAnsi="仿宋" w:eastAsia="仿宋" w:cs="仿宋"/>
                <w:color w:val="auto"/>
                <w:sz w:val="24"/>
                <w:highlight w:val="none"/>
              </w:rPr>
            </w:pPr>
          </w:p>
        </w:tc>
      </w:tr>
      <w:tr w14:paraId="5C59E0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92" w:type="dxa"/>
            <w:vAlign w:val="center"/>
          </w:tcPr>
          <w:p w14:paraId="1089C7D3">
            <w:pPr>
              <w:adjustRightInd w:val="0"/>
              <w:snapToGrid w:val="0"/>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7</w:t>
            </w:r>
          </w:p>
        </w:tc>
        <w:tc>
          <w:tcPr>
            <w:tcW w:w="1393" w:type="dxa"/>
            <w:vAlign w:val="center"/>
          </w:tcPr>
          <w:p w14:paraId="5E8E9B3D">
            <w:pPr>
              <w:spacing w:line="32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臭氧/颗粒物监测服务</w:t>
            </w:r>
          </w:p>
        </w:tc>
        <w:tc>
          <w:tcPr>
            <w:tcW w:w="850" w:type="dxa"/>
            <w:vAlign w:val="center"/>
          </w:tcPr>
          <w:p w14:paraId="3694C46D">
            <w:pPr>
              <w:spacing w:line="32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5</w:t>
            </w:r>
          </w:p>
        </w:tc>
        <w:tc>
          <w:tcPr>
            <w:tcW w:w="5766" w:type="dxa"/>
            <w:vAlign w:val="center"/>
          </w:tcPr>
          <w:p w14:paraId="0942D0DD">
            <w:pPr>
              <w:spacing w:line="320" w:lineRule="exact"/>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响应供应商提供臭氧/颗粒物监测溯源服务方案，方案中包含①采样方法；②数据分析方案；③源解析方案；④臭氧源解析案例报告展示；⑤颗粒物源解析案例报告展示等。</w:t>
            </w:r>
          </w:p>
          <w:p w14:paraId="69C6679C">
            <w:pPr>
              <w:spacing w:line="320" w:lineRule="exact"/>
              <w:ind w:firstLine="482" w:firstLineChars="200"/>
              <w:jc w:val="left"/>
              <w:rPr>
                <w:rFonts w:ascii="仿宋" w:hAnsi="仿宋" w:eastAsia="仿宋" w:cs="仿宋"/>
                <w:b/>
                <w:bCs/>
                <w:color w:val="auto"/>
                <w:sz w:val="24"/>
                <w:highlight w:val="none"/>
              </w:rPr>
            </w:pPr>
            <w:r>
              <w:rPr>
                <w:rFonts w:hint="eastAsia" w:ascii="仿宋" w:hAnsi="仿宋" w:eastAsia="仿宋" w:cs="仿宋"/>
                <w:b/>
                <w:bCs/>
                <w:color w:val="auto"/>
                <w:sz w:val="24"/>
                <w:highlight w:val="none"/>
              </w:rPr>
              <w:t>上述5个方面内容中每缺少一项内容扣1分，每有一处需求分析内容存在缺陷或不足的扣</w:t>
            </w:r>
            <w:r>
              <w:rPr>
                <w:rFonts w:hint="eastAsia" w:ascii="仿宋" w:hAnsi="仿宋" w:eastAsia="仿宋" w:cs="仿宋"/>
                <w:b/>
                <w:bCs/>
                <w:color w:val="auto"/>
                <w:sz w:val="24"/>
                <w:highlight w:val="none"/>
                <w:lang w:val="en-US" w:eastAsia="zh-CN"/>
              </w:rPr>
              <w:t>0.5</w:t>
            </w:r>
            <w:r>
              <w:rPr>
                <w:rFonts w:hint="eastAsia" w:ascii="仿宋" w:hAnsi="仿宋" w:eastAsia="仿宋" w:cs="仿宋"/>
                <w:b/>
                <w:bCs/>
                <w:color w:val="auto"/>
                <w:sz w:val="24"/>
                <w:highlight w:val="none"/>
              </w:rPr>
              <w:t>分，扣完为止。本项满分5分。</w:t>
            </w:r>
          </w:p>
          <w:p w14:paraId="2E6D64D7">
            <w:pPr>
              <w:spacing w:line="320" w:lineRule="exact"/>
              <w:ind w:firstLine="482" w:firstLineChars="200"/>
              <w:jc w:val="left"/>
              <w:rPr>
                <w:rFonts w:ascii="仿宋" w:hAnsi="仿宋" w:eastAsia="仿宋" w:cs="仿宋"/>
                <w:b/>
                <w:bCs/>
                <w:color w:val="auto"/>
                <w:sz w:val="24"/>
                <w:highlight w:val="none"/>
              </w:rPr>
            </w:pPr>
            <w:r>
              <w:rPr>
                <w:rFonts w:hint="eastAsia" w:ascii="仿宋" w:hAnsi="仿宋" w:eastAsia="仿宋" w:cs="仿宋"/>
                <w:b/>
                <w:bCs/>
                <w:color w:val="auto"/>
                <w:sz w:val="24"/>
                <w:highlight w:val="none"/>
              </w:rPr>
              <w:t>注：实施方案内容存在缺陷或不足是指以下任意一种情形：</w:t>
            </w:r>
          </w:p>
          <w:p w14:paraId="67556611">
            <w:pPr>
              <w:spacing w:line="320" w:lineRule="exact"/>
              <w:ind w:firstLine="482" w:firstLineChars="200"/>
              <w:jc w:val="left"/>
              <w:rPr>
                <w:rFonts w:ascii="仿宋" w:hAnsi="仿宋" w:eastAsia="仿宋" w:cs="仿宋"/>
                <w:color w:val="auto"/>
                <w:sz w:val="24"/>
                <w:highlight w:val="none"/>
              </w:rPr>
            </w:pPr>
            <w:r>
              <w:rPr>
                <w:rFonts w:hint="eastAsia" w:ascii="仿宋" w:hAnsi="仿宋" w:eastAsia="仿宋" w:cs="仿宋"/>
                <w:b/>
                <w:bCs/>
                <w:color w:val="auto"/>
                <w:sz w:val="24"/>
                <w:highlight w:val="none"/>
              </w:rPr>
              <w:t>方案内容不切合行业实际、不符合国家法规政策；或方案内容生搬硬造，与实际情况不符，存在偏差；或方案内容过于简略；或存在与项目无关的文字内容；或内容不适用项目实际情况；或内容逻辑漏洞或原理错误。</w:t>
            </w:r>
          </w:p>
        </w:tc>
        <w:tc>
          <w:tcPr>
            <w:tcW w:w="869" w:type="dxa"/>
          </w:tcPr>
          <w:p w14:paraId="5885140B">
            <w:pPr>
              <w:adjustRightInd w:val="0"/>
              <w:snapToGrid w:val="0"/>
              <w:jc w:val="center"/>
              <w:rPr>
                <w:rFonts w:ascii="仿宋" w:hAnsi="仿宋" w:eastAsia="仿宋" w:cs="仿宋"/>
                <w:color w:val="auto"/>
                <w:sz w:val="24"/>
                <w:highlight w:val="none"/>
              </w:rPr>
            </w:pPr>
          </w:p>
        </w:tc>
      </w:tr>
      <w:tr w14:paraId="691C64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92" w:type="dxa"/>
            <w:vAlign w:val="center"/>
          </w:tcPr>
          <w:p w14:paraId="24F296E6">
            <w:pPr>
              <w:adjustRightInd w:val="0"/>
              <w:snapToGrid w:val="0"/>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8</w:t>
            </w:r>
          </w:p>
        </w:tc>
        <w:tc>
          <w:tcPr>
            <w:tcW w:w="1393" w:type="dxa"/>
            <w:vAlign w:val="center"/>
          </w:tcPr>
          <w:p w14:paraId="14EEAC55">
            <w:pPr>
              <w:adjustRightInd w:val="0"/>
              <w:snapToGrid w:val="0"/>
              <w:jc w:val="center"/>
              <w:rPr>
                <w:rFonts w:ascii="仿宋" w:hAnsi="仿宋" w:eastAsia="仿宋" w:cs="仿宋"/>
                <w:color w:val="auto"/>
                <w:sz w:val="24"/>
                <w:highlight w:val="none"/>
              </w:rPr>
            </w:pPr>
            <w:r>
              <w:rPr>
                <w:rFonts w:hint="eastAsia" w:ascii="仿宋" w:hAnsi="仿宋" w:eastAsia="仿宋" w:cs="仿宋"/>
                <w:color w:val="auto"/>
                <w:sz w:val="24"/>
                <w:highlight w:val="none"/>
              </w:rPr>
              <w:t>价格</w:t>
            </w:r>
          </w:p>
        </w:tc>
        <w:tc>
          <w:tcPr>
            <w:tcW w:w="850" w:type="dxa"/>
            <w:vAlign w:val="center"/>
          </w:tcPr>
          <w:p w14:paraId="141920E9">
            <w:pPr>
              <w:adjustRightInd w:val="0"/>
              <w:snapToGrid w:val="0"/>
              <w:jc w:val="center"/>
              <w:rPr>
                <w:rFonts w:ascii="仿宋" w:hAnsi="仿宋" w:eastAsia="仿宋" w:cs="仿宋"/>
                <w:color w:val="auto"/>
                <w:sz w:val="24"/>
                <w:highlight w:val="none"/>
              </w:rPr>
            </w:pPr>
            <w:r>
              <w:rPr>
                <w:rFonts w:hint="eastAsia" w:ascii="仿宋" w:hAnsi="仿宋" w:eastAsia="仿宋" w:cs="仿宋"/>
                <w:color w:val="auto"/>
                <w:sz w:val="24"/>
                <w:highlight w:val="none"/>
              </w:rPr>
              <w:t>25</w:t>
            </w:r>
          </w:p>
        </w:tc>
        <w:tc>
          <w:tcPr>
            <w:tcW w:w="5766" w:type="dxa"/>
            <w:vAlign w:val="center"/>
          </w:tcPr>
          <w:p w14:paraId="24459750">
            <w:pPr>
              <w:adjustRightInd w:val="0"/>
              <w:snapToGrid w:val="0"/>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价格分采用低价优先法计算，即满足磋商文件要求且最后报价中最低报价为评审基准价，其价格分为满分。其他响应供应商的价格分统一按照下列公式计算：</w:t>
            </w:r>
          </w:p>
          <w:p w14:paraId="2569BA0C">
            <w:pPr>
              <w:adjustRightInd w:val="0"/>
              <w:snapToGrid w:val="0"/>
              <w:jc w:val="left"/>
              <w:rPr>
                <w:rFonts w:ascii="仿宋" w:hAnsi="仿宋" w:eastAsia="仿宋" w:cs="仿宋"/>
                <w:color w:val="auto"/>
                <w:sz w:val="24"/>
                <w:highlight w:val="none"/>
              </w:rPr>
            </w:pPr>
            <w:r>
              <w:rPr>
                <w:rFonts w:hint="eastAsia" w:ascii="仿宋" w:hAnsi="仿宋" w:eastAsia="仿宋" w:cs="仿宋"/>
                <w:color w:val="auto"/>
                <w:sz w:val="24"/>
                <w:highlight w:val="none"/>
              </w:rPr>
              <w:t>最后报价得分=(评审基准价／最后报价)×价格分分值</w:t>
            </w:r>
          </w:p>
          <w:p w14:paraId="132447A0">
            <w:pPr>
              <w:adjustRightInd w:val="0"/>
              <w:snapToGrid w:val="0"/>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磋商过程中，不得去掉报价中的最高报价和最低报价。因落实政府采购政策进行价格调整的，以调整后的价格计算评审基准价和最后报价。</w:t>
            </w:r>
          </w:p>
        </w:tc>
        <w:tc>
          <w:tcPr>
            <w:tcW w:w="869" w:type="dxa"/>
          </w:tcPr>
          <w:p w14:paraId="734BB5A4">
            <w:pPr>
              <w:adjustRightInd w:val="0"/>
              <w:snapToGrid w:val="0"/>
              <w:jc w:val="center"/>
              <w:rPr>
                <w:rFonts w:ascii="仿宋" w:hAnsi="仿宋" w:eastAsia="仿宋" w:cs="仿宋"/>
                <w:color w:val="auto"/>
                <w:sz w:val="24"/>
                <w:highlight w:val="none"/>
              </w:rPr>
            </w:pPr>
          </w:p>
        </w:tc>
      </w:tr>
      <w:tr w14:paraId="681BDC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2085" w:type="dxa"/>
            <w:gridSpan w:val="2"/>
            <w:vAlign w:val="center"/>
          </w:tcPr>
          <w:p w14:paraId="017C8917">
            <w:pPr>
              <w:adjustRightInd w:val="0"/>
              <w:snapToGrid w:val="0"/>
              <w:jc w:val="center"/>
              <w:rPr>
                <w:rFonts w:ascii="仿宋" w:hAnsi="仿宋" w:eastAsia="仿宋" w:cs="仿宋"/>
                <w:color w:val="auto"/>
                <w:sz w:val="24"/>
                <w:highlight w:val="none"/>
              </w:rPr>
            </w:pPr>
            <w:r>
              <w:rPr>
                <w:rFonts w:hint="eastAsia" w:ascii="仿宋" w:hAnsi="仿宋" w:eastAsia="仿宋" w:cs="仿宋"/>
                <w:color w:val="auto"/>
                <w:sz w:val="24"/>
                <w:highlight w:val="none"/>
              </w:rPr>
              <w:t>合计</w:t>
            </w:r>
          </w:p>
        </w:tc>
        <w:tc>
          <w:tcPr>
            <w:tcW w:w="850" w:type="dxa"/>
            <w:vAlign w:val="center"/>
          </w:tcPr>
          <w:p w14:paraId="7B0EAE15">
            <w:pPr>
              <w:adjustRightInd w:val="0"/>
              <w:snapToGrid w:val="0"/>
              <w:jc w:val="center"/>
              <w:rPr>
                <w:rFonts w:ascii="仿宋" w:hAnsi="仿宋" w:eastAsia="仿宋" w:cs="仿宋"/>
                <w:color w:val="auto"/>
                <w:sz w:val="24"/>
                <w:highlight w:val="none"/>
              </w:rPr>
            </w:pPr>
            <w:r>
              <w:rPr>
                <w:rFonts w:hint="eastAsia" w:ascii="仿宋" w:hAnsi="仿宋" w:eastAsia="仿宋" w:cs="仿宋"/>
                <w:color w:val="auto"/>
                <w:sz w:val="24"/>
                <w:highlight w:val="none"/>
              </w:rPr>
              <w:t>100</w:t>
            </w:r>
          </w:p>
        </w:tc>
        <w:tc>
          <w:tcPr>
            <w:tcW w:w="5766" w:type="dxa"/>
            <w:vAlign w:val="center"/>
          </w:tcPr>
          <w:p w14:paraId="75A19131">
            <w:pPr>
              <w:adjustRightInd w:val="0"/>
              <w:snapToGrid w:val="0"/>
              <w:jc w:val="center"/>
              <w:rPr>
                <w:rFonts w:ascii="仿宋" w:hAnsi="仿宋" w:eastAsia="仿宋" w:cs="仿宋"/>
                <w:color w:val="auto"/>
                <w:sz w:val="24"/>
                <w:highlight w:val="none"/>
              </w:rPr>
            </w:pPr>
          </w:p>
        </w:tc>
        <w:tc>
          <w:tcPr>
            <w:tcW w:w="869" w:type="dxa"/>
          </w:tcPr>
          <w:p w14:paraId="68DEAE0E">
            <w:pPr>
              <w:adjustRightInd w:val="0"/>
              <w:snapToGrid w:val="0"/>
              <w:jc w:val="center"/>
              <w:rPr>
                <w:rFonts w:ascii="仿宋" w:hAnsi="仿宋" w:eastAsia="仿宋" w:cs="仿宋"/>
                <w:color w:val="auto"/>
                <w:sz w:val="24"/>
                <w:highlight w:val="none"/>
              </w:rPr>
            </w:pPr>
          </w:p>
        </w:tc>
      </w:tr>
    </w:tbl>
    <w:p w14:paraId="3829E536">
      <w:pPr>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备注：</w:t>
      </w:r>
    </w:p>
    <w:p w14:paraId="27284247">
      <w:pPr>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1.上述响应文件中所提供的相关证书等证明材料如有有效期的均须在有效期内。</w:t>
      </w:r>
    </w:p>
    <w:p w14:paraId="70747084">
      <w:pPr>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2.上述响应文件中所提供的相关合同业绩、获奖证书、获奖文件、证明及报告等必须与原件一致。采购结束后，在确认采购结果之前，采购人将对成交供应商响应文件中所提供的证明文件进行核实，如发现不一致，则另行确定成交结果。</w:t>
      </w:r>
    </w:p>
    <w:p w14:paraId="2B98BEF2">
      <w:pPr>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3.本项目商务技术评分标准中须提供的相关得分佐证材料较多，响应供应商需有序放置于相应响应文件中，并注明如评分点 1，评分点 2……，条理清晰，对重点部分着重标注标识，便于评委检索。若因错放，漏放造成的不得分情况由响应供应商自行承担。</w:t>
      </w:r>
    </w:p>
    <w:p w14:paraId="7F5763D3">
      <w:pPr>
        <w:ind w:firstLine="880" w:firstLineChars="200"/>
        <w:rPr>
          <w:rFonts w:ascii="仿宋" w:hAnsi="仿宋" w:eastAsia="仿宋"/>
          <w:color w:val="auto"/>
          <w:sz w:val="28"/>
          <w:szCs w:val="28"/>
          <w:highlight w:val="none"/>
        </w:rPr>
      </w:pPr>
      <w:r>
        <w:rPr>
          <w:rFonts w:ascii="方正小标宋简体" w:eastAsia="方正小标宋简体"/>
          <w:bCs/>
          <w:color w:val="auto"/>
          <w:sz w:val="44"/>
          <w:szCs w:val="28"/>
          <w:highlight w:val="none"/>
        </w:rPr>
        <w:br w:type="page"/>
      </w:r>
    </w:p>
    <w:p w14:paraId="3408291A">
      <w:pPr>
        <w:pStyle w:val="44"/>
        <w:spacing w:line="240" w:lineRule="auto"/>
        <w:ind w:firstLine="0"/>
        <w:jc w:val="center"/>
        <w:outlineLvl w:val="0"/>
        <w:rPr>
          <w:rFonts w:ascii="方正小标宋简体" w:eastAsia="方正小标宋简体"/>
          <w:bCs/>
          <w:color w:val="auto"/>
          <w:sz w:val="32"/>
          <w:szCs w:val="32"/>
          <w:highlight w:val="none"/>
        </w:rPr>
      </w:pPr>
      <w:bookmarkStart w:id="91" w:name="_Toc6397"/>
      <w:r>
        <w:rPr>
          <w:rFonts w:hint="eastAsia" w:ascii="方正小标宋简体" w:eastAsia="方正小标宋简体"/>
          <w:bCs/>
          <w:color w:val="auto"/>
          <w:sz w:val="32"/>
          <w:szCs w:val="32"/>
          <w:highlight w:val="none"/>
        </w:rPr>
        <w:t>第6章 竞争性磋商响应文件组成</w:t>
      </w:r>
      <w:bookmarkEnd w:id="91"/>
    </w:p>
    <w:p w14:paraId="05F371F0">
      <w:pPr>
        <w:pStyle w:val="44"/>
        <w:spacing w:line="240" w:lineRule="auto"/>
        <w:ind w:firstLine="0"/>
        <w:jc w:val="center"/>
        <w:rPr>
          <w:rFonts w:ascii="方正小标宋简体" w:eastAsia="方正小标宋简体"/>
          <w:bCs/>
          <w:color w:val="auto"/>
          <w:sz w:val="32"/>
          <w:szCs w:val="32"/>
          <w:highlight w:val="none"/>
        </w:rPr>
      </w:pPr>
    </w:p>
    <w:p w14:paraId="7201638A">
      <w:pPr>
        <w:ind w:firstLine="880" w:firstLineChars="200"/>
        <w:jc w:val="center"/>
        <w:rPr>
          <w:rFonts w:ascii="方正小标宋简体" w:hAnsi="仿宋" w:eastAsia="方正小标宋简体"/>
          <w:color w:val="auto"/>
          <w:sz w:val="44"/>
          <w:szCs w:val="44"/>
          <w:highlight w:val="none"/>
        </w:rPr>
      </w:pPr>
      <w:r>
        <w:rPr>
          <w:rFonts w:hint="eastAsia" w:ascii="方正小标宋简体" w:hAnsi="仿宋" w:eastAsia="方正小标宋简体"/>
          <w:color w:val="auto"/>
          <w:sz w:val="44"/>
          <w:szCs w:val="44"/>
          <w:highlight w:val="none"/>
        </w:rPr>
        <w:t>如皋市政府采购竞争性磋商响应文件</w:t>
      </w:r>
    </w:p>
    <w:p w14:paraId="561818EA">
      <w:pPr>
        <w:ind w:firstLine="1434" w:firstLineChars="595"/>
        <w:rPr>
          <w:rFonts w:ascii="宋体" w:hAnsi="宋体"/>
          <w:b/>
          <w:color w:val="auto"/>
          <w:sz w:val="24"/>
          <w:highlight w:val="none"/>
        </w:rPr>
      </w:pPr>
    </w:p>
    <w:p w14:paraId="1CBE43F3">
      <w:pPr>
        <w:ind w:firstLine="2072" w:firstLineChars="645"/>
        <w:rPr>
          <w:rFonts w:ascii="宋体" w:hAnsi="宋体"/>
          <w:b/>
          <w:color w:val="auto"/>
          <w:sz w:val="32"/>
          <w:szCs w:val="32"/>
          <w:highlight w:val="none"/>
        </w:rPr>
      </w:pPr>
    </w:p>
    <w:p w14:paraId="0622D95B">
      <w:pPr>
        <w:ind w:firstLine="2072" w:firstLineChars="645"/>
        <w:rPr>
          <w:rFonts w:ascii="宋体" w:hAnsi="宋体"/>
          <w:b/>
          <w:color w:val="auto"/>
          <w:sz w:val="32"/>
          <w:szCs w:val="32"/>
          <w:highlight w:val="none"/>
        </w:rPr>
      </w:pPr>
      <w:r>
        <w:rPr>
          <w:rFonts w:hint="eastAsia" w:ascii="宋体" w:hAnsi="宋体"/>
          <w:b/>
          <w:color w:val="auto"/>
          <w:sz w:val="32"/>
          <w:szCs w:val="32"/>
          <w:highlight w:val="none"/>
        </w:rPr>
        <w:t>项目名称：</w:t>
      </w:r>
    </w:p>
    <w:p w14:paraId="76B649D0">
      <w:pPr>
        <w:ind w:firstLine="2072" w:firstLineChars="645"/>
        <w:rPr>
          <w:rFonts w:ascii="宋体" w:hAnsi="宋体"/>
          <w:b/>
          <w:color w:val="auto"/>
          <w:sz w:val="32"/>
          <w:szCs w:val="32"/>
          <w:highlight w:val="none"/>
          <w:u w:val="single"/>
        </w:rPr>
      </w:pPr>
      <w:r>
        <w:rPr>
          <w:rFonts w:hint="eastAsia" w:ascii="宋体" w:hAnsi="宋体"/>
          <w:b/>
          <w:color w:val="auto"/>
          <w:sz w:val="32"/>
          <w:szCs w:val="32"/>
          <w:highlight w:val="none"/>
        </w:rPr>
        <w:t>项目编号：</w:t>
      </w:r>
    </w:p>
    <w:p w14:paraId="5D294818">
      <w:pPr>
        <w:jc w:val="center"/>
        <w:rPr>
          <w:rFonts w:ascii="宋体" w:hAnsi="宋体"/>
          <w:b/>
          <w:color w:val="auto"/>
          <w:sz w:val="32"/>
          <w:szCs w:val="32"/>
          <w:highlight w:val="none"/>
          <w:u w:val="single"/>
        </w:rPr>
      </w:pPr>
    </w:p>
    <w:p w14:paraId="290B3B8B">
      <w:pPr>
        <w:jc w:val="center"/>
        <w:rPr>
          <w:rFonts w:ascii="宋体" w:hAnsi="宋体"/>
          <w:b/>
          <w:color w:val="auto"/>
          <w:sz w:val="32"/>
          <w:szCs w:val="32"/>
          <w:highlight w:val="none"/>
          <w:u w:val="single"/>
        </w:rPr>
      </w:pPr>
    </w:p>
    <w:p w14:paraId="39533EFF">
      <w:pPr>
        <w:jc w:val="center"/>
        <w:rPr>
          <w:rFonts w:ascii="宋体" w:hAnsi="宋体"/>
          <w:b/>
          <w:color w:val="auto"/>
          <w:sz w:val="32"/>
          <w:szCs w:val="32"/>
          <w:highlight w:val="none"/>
          <w:u w:val="single"/>
        </w:rPr>
      </w:pPr>
    </w:p>
    <w:p w14:paraId="37175A13">
      <w:pPr>
        <w:jc w:val="center"/>
        <w:rPr>
          <w:rFonts w:ascii="宋体" w:hAnsi="宋体"/>
          <w:b/>
          <w:color w:val="auto"/>
          <w:sz w:val="32"/>
          <w:szCs w:val="32"/>
          <w:highlight w:val="none"/>
          <w:u w:val="single"/>
        </w:rPr>
      </w:pPr>
    </w:p>
    <w:p w14:paraId="6FBA5A8E">
      <w:pPr>
        <w:jc w:val="center"/>
        <w:rPr>
          <w:rFonts w:ascii="宋体" w:hAnsi="宋体"/>
          <w:b/>
          <w:color w:val="auto"/>
          <w:sz w:val="32"/>
          <w:szCs w:val="32"/>
          <w:highlight w:val="none"/>
          <w:u w:val="single"/>
        </w:rPr>
      </w:pPr>
    </w:p>
    <w:p w14:paraId="6A3740C0">
      <w:pPr>
        <w:jc w:val="center"/>
        <w:rPr>
          <w:rFonts w:ascii="宋体" w:hAnsi="宋体"/>
          <w:b/>
          <w:color w:val="auto"/>
          <w:sz w:val="32"/>
          <w:szCs w:val="32"/>
          <w:highlight w:val="none"/>
          <w:u w:val="single"/>
        </w:rPr>
      </w:pPr>
    </w:p>
    <w:p w14:paraId="5D74ECFC">
      <w:pPr>
        <w:jc w:val="center"/>
        <w:rPr>
          <w:rFonts w:ascii="宋体" w:hAnsi="宋体"/>
          <w:b/>
          <w:color w:val="auto"/>
          <w:sz w:val="32"/>
          <w:szCs w:val="32"/>
          <w:highlight w:val="none"/>
          <w:u w:val="single"/>
        </w:rPr>
      </w:pPr>
    </w:p>
    <w:p w14:paraId="10314432">
      <w:pPr>
        <w:jc w:val="center"/>
        <w:rPr>
          <w:rFonts w:ascii="宋体" w:hAnsi="宋体"/>
          <w:b/>
          <w:color w:val="auto"/>
          <w:sz w:val="32"/>
          <w:szCs w:val="32"/>
          <w:highlight w:val="none"/>
          <w:u w:val="single"/>
        </w:rPr>
      </w:pPr>
    </w:p>
    <w:p w14:paraId="7942E3C4">
      <w:pPr>
        <w:jc w:val="center"/>
        <w:rPr>
          <w:rFonts w:ascii="宋体" w:hAnsi="宋体"/>
          <w:b/>
          <w:color w:val="auto"/>
          <w:sz w:val="32"/>
          <w:szCs w:val="32"/>
          <w:highlight w:val="none"/>
          <w:u w:val="single"/>
        </w:rPr>
      </w:pPr>
    </w:p>
    <w:p w14:paraId="134842BC">
      <w:pPr>
        <w:pStyle w:val="11"/>
        <w:spacing w:line="240" w:lineRule="auto"/>
        <w:rPr>
          <w:rFonts w:ascii="文鼎CS楷体" w:eastAsia="文鼎CS楷体"/>
          <w:b/>
          <w:bCs/>
          <w:color w:val="auto"/>
          <w:sz w:val="32"/>
          <w:szCs w:val="32"/>
          <w:highlight w:val="none"/>
        </w:rPr>
      </w:pPr>
    </w:p>
    <w:p w14:paraId="3755B3AC">
      <w:pPr>
        <w:pStyle w:val="11"/>
        <w:spacing w:line="240" w:lineRule="auto"/>
        <w:rPr>
          <w:rFonts w:ascii="文鼎CS楷体" w:eastAsia="文鼎CS楷体"/>
          <w:b/>
          <w:bCs/>
          <w:color w:val="auto"/>
          <w:sz w:val="32"/>
          <w:szCs w:val="32"/>
          <w:highlight w:val="none"/>
        </w:rPr>
      </w:pPr>
    </w:p>
    <w:p w14:paraId="1AF1BA83">
      <w:pPr>
        <w:rPr>
          <w:color w:val="auto"/>
          <w:sz w:val="32"/>
          <w:szCs w:val="32"/>
          <w:highlight w:val="none"/>
          <w:u w:val="single"/>
        </w:rPr>
      </w:pPr>
      <w:r>
        <w:rPr>
          <w:rFonts w:hint="eastAsia"/>
          <w:b/>
          <w:color w:val="auto"/>
          <w:sz w:val="32"/>
          <w:szCs w:val="32"/>
          <w:highlight w:val="none"/>
        </w:rPr>
        <w:t>供应商名称：</w:t>
      </w:r>
    </w:p>
    <w:p w14:paraId="32B2A0FA">
      <w:pPr>
        <w:snapToGrid w:val="0"/>
        <w:rPr>
          <w:rFonts w:ascii="宋体" w:hAnsi="宋体"/>
          <w:b/>
          <w:color w:val="auto"/>
          <w:sz w:val="32"/>
          <w:szCs w:val="32"/>
          <w:highlight w:val="none"/>
        </w:rPr>
      </w:pPr>
      <w:r>
        <w:rPr>
          <w:rFonts w:hint="eastAsia" w:ascii="宋体" w:hAnsi="宋体"/>
          <w:b/>
          <w:color w:val="auto"/>
          <w:sz w:val="32"/>
          <w:szCs w:val="32"/>
          <w:highlight w:val="none"/>
        </w:rPr>
        <w:t xml:space="preserve">地址： </w:t>
      </w:r>
    </w:p>
    <w:p w14:paraId="47BC6F05">
      <w:pPr>
        <w:snapToGrid w:val="0"/>
        <w:rPr>
          <w:rFonts w:ascii="宋体" w:hAnsi="宋体"/>
          <w:b/>
          <w:color w:val="auto"/>
          <w:sz w:val="32"/>
          <w:szCs w:val="32"/>
          <w:highlight w:val="none"/>
        </w:rPr>
      </w:pPr>
      <w:r>
        <w:rPr>
          <w:rFonts w:hint="eastAsia"/>
          <w:b/>
          <w:color w:val="auto"/>
          <w:sz w:val="32"/>
          <w:szCs w:val="32"/>
          <w:highlight w:val="none"/>
        </w:rPr>
        <w:t>联系</w:t>
      </w:r>
      <w:r>
        <w:rPr>
          <w:rFonts w:hint="eastAsia" w:ascii="宋体" w:hAnsi="宋体"/>
          <w:b/>
          <w:color w:val="auto"/>
          <w:sz w:val="32"/>
          <w:szCs w:val="32"/>
          <w:highlight w:val="none"/>
        </w:rPr>
        <w:t xml:space="preserve">电话： </w:t>
      </w:r>
    </w:p>
    <w:p w14:paraId="51E7548E">
      <w:pPr>
        <w:snapToGrid w:val="0"/>
        <w:jc w:val="center"/>
        <w:rPr>
          <w:rFonts w:ascii="宋体" w:hAnsi="宋体"/>
          <w:b/>
          <w:color w:val="auto"/>
          <w:sz w:val="32"/>
          <w:szCs w:val="32"/>
          <w:highlight w:val="none"/>
        </w:rPr>
      </w:pPr>
      <w:r>
        <w:rPr>
          <w:rFonts w:hint="eastAsia" w:ascii="宋体" w:hAnsi="宋体"/>
          <w:b/>
          <w:color w:val="auto"/>
          <w:sz w:val="32"/>
          <w:szCs w:val="32"/>
          <w:highlight w:val="none"/>
        </w:rPr>
        <w:t>年月日</w:t>
      </w:r>
    </w:p>
    <w:p w14:paraId="5DEF81D0">
      <w:pPr>
        <w:ind w:firstLine="954" w:firstLineChars="396"/>
        <w:rPr>
          <w:rFonts w:ascii="宋体" w:hAnsi="宋体"/>
          <w:b/>
          <w:color w:val="auto"/>
          <w:sz w:val="24"/>
          <w:highlight w:val="none"/>
        </w:rPr>
      </w:pPr>
    </w:p>
    <w:p w14:paraId="1FBF54D4">
      <w:pPr>
        <w:ind w:firstLine="560" w:firstLineChars="200"/>
        <w:outlineLvl w:val="1"/>
        <w:rPr>
          <w:rFonts w:ascii="仿宋" w:hAnsi="仿宋" w:eastAsia="仿宋"/>
          <w:color w:val="auto"/>
          <w:sz w:val="28"/>
          <w:szCs w:val="28"/>
          <w:highlight w:val="none"/>
        </w:rPr>
      </w:pPr>
      <w:bookmarkStart w:id="92" w:name="_Toc23104"/>
      <w:r>
        <w:rPr>
          <w:rFonts w:hint="eastAsia" w:ascii="黑体" w:hAnsi="黑体" w:eastAsia="黑体"/>
          <w:color w:val="auto"/>
          <w:sz w:val="28"/>
          <w:szCs w:val="28"/>
          <w:highlight w:val="none"/>
        </w:rPr>
        <w:t>一、资格证明文件</w:t>
      </w:r>
      <w:bookmarkEnd w:id="92"/>
    </w:p>
    <w:p w14:paraId="59AB2125">
      <w:pPr>
        <w:ind w:firstLine="560" w:firstLineChars="200"/>
        <w:rPr>
          <w:rFonts w:ascii="仿宋" w:hAnsi="仿宋" w:eastAsia="仿宋" w:cs="Arial"/>
          <w:color w:val="auto"/>
          <w:sz w:val="28"/>
          <w:szCs w:val="28"/>
          <w:highlight w:val="none"/>
        </w:rPr>
      </w:pPr>
      <w:r>
        <w:rPr>
          <w:rFonts w:hint="eastAsia" w:ascii="仿宋" w:hAnsi="仿宋" w:eastAsia="仿宋"/>
          <w:color w:val="auto"/>
          <w:sz w:val="28"/>
          <w:szCs w:val="28"/>
          <w:highlight w:val="none"/>
        </w:rPr>
        <w:t>（一）</w:t>
      </w:r>
      <w:r>
        <w:rPr>
          <w:rFonts w:hint="eastAsia" w:ascii="仿宋" w:hAnsi="仿宋" w:eastAsia="仿宋" w:cs="Arial"/>
          <w:color w:val="auto"/>
          <w:sz w:val="28"/>
          <w:szCs w:val="28"/>
          <w:highlight w:val="none"/>
        </w:rPr>
        <w:t>法人或者其他组织的营业执照，自然人的身份证（复印件）。</w:t>
      </w:r>
    </w:p>
    <w:p w14:paraId="60ABA2DD">
      <w:pPr>
        <w:spacing w:before="50" w:afterLines="50"/>
        <w:ind w:firstLine="560" w:firstLineChars="200"/>
        <w:jc w:val="left"/>
        <w:rPr>
          <w:rFonts w:ascii="仿宋" w:hAnsi="仿宋" w:eastAsia="仿宋"/>
          <w:color w:val="auto"/>
          <w:sz w:val="28"/>
          <w:szCs w:val="28"/>
          <w:highlight w:val="none"/>
        </w:rPr>
      </w:pPr>
      <w:r>
        <w:rPr>
          <w:rFonts w:hint="eastAsia" w:ascii="仿宋" w:hAnsi="仿宋" w:eastAsia="仿宋"/>
          <w:color w:val="auto"/>
          <w:sz w:val="28"/>
          <w:szCs w:val="28"/>
          <w:highlight w:val="none"/>
        </w:rPr>
        <w:t>（二）参加本次政府采购活动前的会计报表</w:t>
      </w:r>
      <w:r>
        <w:rPr>
          <w:rFonts w:hint="eastAsia" w:ascii="仿宋" w:hAnsi="仿宋" w:eastAsia="仿宋" w:cs="Arial"/>
          <w:color w:val="auto"/>
          <w:sz w:val="28"/>
          <w:szCs w:val="28"/>
          <w:highlight w:val="none"/>
        </w:rPr>
        <w:t>（复印件，成立不满一年不需提供）。</w:t>
      </w:r>
    </w:p>
    <w:p w14:paraId="16782BF5">
      <w:pPr>
        <w:ind w:firstLine="560" w:firstLineChars="200"/>
        <w:rPr>
          <w:rFonts w:ascii="仿宋" w:hAnsi="仿宋" w:eastAsia="仿宋" w:cs="Arial"/>
          <w:color w:val="auto"/>
          <w:sz w:val="28"/>
          <w:szCs w:val="28"/>
          <w:highlight w:val="none"/>
        </w:rPr>
      </w:pPr>
      <w:r>
        <w:rPr>
          <w:rFonts w:hint="eastAsia" w:ascii="仿宋" w:hAnsi="仿宋" w:eastAsia="仿宋"/>
          <w:color w:val="auto"/>
          <w:sz w:val="28"/>
          <w:szCs w:val="28"/>
          <w:highlight w:val="none"/>
        </w:rPr>
        <w:t>（三）参加本次政府采购活动前一年内至少一个月缴纳增值税、营业税或者企业所得税的凭据，以及缴纳社会保险的凭据（专用收据或者社会保险缴纳清单）</w:t>
      </w:r>
      <w:r>
        <w:rPr>
          <w:rFonts w:hint="eastAsia" w:ascii="仿宋" w:hAnsi="仿宋" w:eastAsia="仿宋" w:cs="Arial"/>
          <w:color w:val="auto"/>
          <w:sz w:val="28"/>
          <w:szCs w:val="28"/>
          <w:highlight w:val="none"/>
        </w:rPr>
        <w:t>（复印件）。</w:t>
      </w:r>
    </w:p>
    <w:p w14:paraId="709F9295">
      <w:pPr>
        <w:spacing w:before="50" w:afterLines="50"/>
        <w:ind w:firstLine="560" w:firstLineChars="200"/>
        <w:jc w:val="left"/>
        <w:rPr>
          <w:rFonts w:ascii="仿宋" w:hAnsi="仿宋" w:eastAsia="仿宋" w:cs="Arial"/>
          <w:color w:val="auto"/>
          <w:sz w:val="28"/>
          <w:szCs w:val="28"/>
          <w:highlight w:val="none"/>
        </w:rPr>
      </w:pPr>
      <w:r>
        <w:rPr>
          <w:rFonts w:ascii="仿宋" w:hAnsi="仿宋" w:eastAsia="仿宋"/>
          <w:color w:val="auto"/>
          <w:sz w:val="28"/>
          <w:szCs w:val="28"/>
          <w:highlight w:val="none"/>
        </w:rPr>
        <w:br w:type="page"/>
      </w:r>
      <w:r>
        <w:rPr>
          <w:rFonts w:hint="eastAsia" w:ascii="仿宋" w:hAnsi="仿宋" w:eastAsia="仿宋"/>
          <w:color w:val="auto"/>
          <w:sz w:val="28"/>
          <w:szCs w:val="28"/>
          <w:highlight w:val="none"/>
        </w:rPr>
        <w:t>（四）根据项目需求提供履行合同</w:t>
      </w:r>
      <w:r>
        <w:rPr>
          <w:rFonts w:hint="eastAsia" w:ascii="仿宋" w:hAnsi="仿宋" w:eastAsia="仿宋" w:cs="Arial"/>
          <w:color w:val="auto"/>
          <w:sz w:val="28"/>
          <w:szCs w:val="28"/>
          <w:highlight w:val="none"/>
        </w:rPr>
        <w:t>必需的设备和专业技术能力的声明及证明材料。</w:t>
      </w:r>
    </w:p>
    <w:p w14:paraId="157A353D">
      <w:pPr>
        <w:jc w:val="center"/>
        <w:rPr>
          <w:rFonts w:ascii="方正小标宋简体" w:hAnsi="仿宋" w:eastAsia="方正小标宋简体"/>
          <w:color w:val="auto"/>
          <w:sz w:val="36"/>
          <w:szCs w:val="36"/>
          <w:highlight w:val="none"/>
        </w:rPr>
      </w:pPr>
      <w:r>
        <w:rPr>
          <w:rFonts w:hint="eastAsia" w:ascii="方正小标宋简体" w:hAnsi="仿宋" w:eastAsia="方正小标宋简体"/>
          <w:color w:val="auto"/>
          <w:sz w:val="36"/>
          <w:szCs w:val="36"/>
          <w:highlight w:val="none"/>
        </w:rPr>
        <w:t>声  明</w:t>
      </w:r>
    </w:p>
    <w:p w14:paraId="1EFA3BFE">
      <w:pPr>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我公司郑重声明：我公司具备履行本项采购合同所必需的设备和专业技术能力，为履行本项采购合同我公司具备如下主要设备和主要专业技术能力：</w:t>
      </w:r>
    </w:p>
    <w:p w14:paraId="40E36863">
      <w:pPr>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主要设备有：________。</w:t>
      </w:r>
    </w:p>
    <w:p w14:paraId="34224A74">
      <w:pPr>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主要专业技术能力有：________。</w:t>
      </w:r>
    </w:p>
    <w:p w14:paraId="4A53C95D">
      <w:pPr>
        <w:ind w:firstLine="560" w:firstLineChars="200"/>
        <w:rPr>
          <w:rFonts w:ascii="仿宋" w:hAnsi="仿宋" w:eastAsia="仿宋"/>
          <w:color w:val="auto"/>
          <w:sz w:val="28"/>
          <w:szCs w:val="28"/>
          <w:highlight w:val="none"/>
        </w:rPr>
      </w:pPr>
    </w:p>
    <w:p w14:paraId="2E3E1754">
      <w:pPr>
        <w:ind w:firstLine="2520" w:firstLineChars="900"/>
        <w:rPr>
          <w:rFonts w:ascii="仿宋" w:hAnsi="仿宋" w:eastAsia="仿宋"/>
          <w:color w:val="auto"/>
          <w:sz w:val="28"/>
          <w:szCs w:val="28"/>
          <w:highlight w:val="none"/>
        </w:rPr>
      </w:pPr>
      <w:r>
        <w:rPr>
          <w:rFonts w:hint="eastAsia" w:ascii="仿宋" w:hAnsi="仿宋" w:eastAsia="仿宋"/>
          <w:color w:val="auto"/>
          <w:sz w:val="28"/>
          <w:szCs w:val="28"/>
          <w:highlight w:val="none"/>
        </w:rPr>
        <w:t>供应商名称（公章）：</w:t>
      </w:r>
    </w:p>
    <w:p w14:paraId="06FE94B4">
      <w:pP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授权代表签字：_________________</w:t>
      </w:r>
    </w:p>
    <w:p w14:paraId="0229B042">
      <w:pPr>
        <w:spacing w:before="50" w:afterLines="50"/>
        <w:ind w:firstLine="560" w:firstLineChars="200"/>
        <w:jc w:val="left"/>
        <w:rPr>
          <w:rFonts w:ascii="仿宋" w:hAnsi="仿宋" w:eastAsia="仿宋"/>
          <w:b/>
          <w:color w:val="auto"/>
          <w:sz w:val="28"/>
          <w:szCs w:val="28"/>
          <w:highlight w:val="none"/>
        </w:rPr>
      </w:pPr>
      <w:r>
        <w:rPr>
          <w:rFonts w:hint="eastAsia" w:ascii="仿宋" w:hAnsi="仿宋" w:eastAsia="仿宋"/>
          <w:color w:val="auto"/>
          <w:sz w:val="28"/>
          <w:szCs w:val="28"/>
          <w:highlight w:val="none"/>
        </w:rPr>
        <w:t xml:space="preserve">                           日期：______年 月日</w:t>
      </w:r>
    </w:p>
    <w:p w14:paraId="3ADAA3B6">
      <w:pPr>
        <w:ind w:firstLine="560" w:firstLineChars="200"/>
        <w:rPr>
          <w:rFonts w:ascii="仿宋" w:hAnsi="仿宋" w:eastAsia="仿宋" w:cs="Arial"/>
          <w:color w:val="auto"/>
          <w:sz w:val="28"/>
          <w:szCs w:val="28"/>
          <w:highlight w:val="none"/>
        </w:rPr>
      </w:pPr>
      <w:r>
        <w:rPr>
          <w:rFonts w:ascii="仿宋" w:hAnsi="仿宋" w:eastAsia="仿宋"/>
          <w:color w:val="auto"/>
          <w:sz w:val="28"/>
          <w:szCs w:val="28"/>
          <w:highlight w:val="none"/>
        </w:rPr>
        <w:br w:type="page"/>
      </w:r>
      <w:r>
        <w:rPr>
          <w:rFonts w:hint="eastAsia" w:ascii="仿宋" w:hAnsi="仿宋" w:eastAsia="仿宋"/>
          <w:color w:val="auto"/>
          <w:sz w:val="28"/>
          <w:szCs w:val="28"/>
          <w:highlight w:val="none"/>
        </w:rPr>
        <w:t>（五）</w:t>
      </w:r>
      <w:r>
        <w:rPr>
          <w:rFonts w:hint="eastAsia" w:ascii="仿宋" w:hAnsi="仿宋" w:eastAsia="仿宋" w:cs="Arial"/>
          <w:color w:val="auto"/>
          <w:sz w:val="28"/>
          <w:szCs w:val="28"/>
          <w:highlight w:val="none"/>
        </w:rPr>
        <w:t>参加本次政府采购活动前 3 年内在经营活动中没有重大违法记录的书面声明。</w:t>
      </w:r>
    </w:p>
    <w:p w14:paraId="1C4B4EFA">
      <w:pPr>
        <w:jc w:val="center"/>
        <w:rPr>
          <w:rFonts w:ascii="方正小标宋简体" w:hAnsi="仿宋" w:eastAsia="方正小标宋简体"/>
          <w:color w:val="auto"/>
          <w:sz w:val="36"/>
          <w:szCs w:val="36"/>
          <w:highlight w:val="none"/>
        </w:rPr>
      </w:pPr>
      <w:r>
        <w:rPr>
          <w:rFonts w:hint="eastAsia" w:ascii="方正小标宋简体" w:hAnsi="仿宋" w:eastAsia="方正小标宋简体"/>
          <w:color w:val="auto"/>
          <w:sz w:val="36"/>
          <w:szCs w:val="36"/>
          <w:highlight w:val="none"/>
        </w:rPr>
        <w:t>声  明</w:t>
      </w:r>
    </w:p>
    <w:p w14:paraId="68D5BAB0">
      <w:pPr>
        <w:ind w:firstLine="482"/>
        <w:rPr>
          <w:rFonts w:ascii="仿宋" w:hAnsi="仿宋" w:eastAsia="仿宋"/>
          <w:color w:val="auto"/>
          <w:sz w:val="28"/>
          <w:szCs w:val="28"/>
          <w:highlight w:val="none"/>
        </w:rPr>
      </w:pPr>
      <w:r>
        <w:rPr>
          <w:rFonts w:hint="eastAsia" w:ascii="仿宋" w:hAnsi="仿宋" w:eastAsia="仿宋"/>
          <w:color w:val="auto"/>
          <w:sz w:val="28"/>
          <w:szCs w:val="28"/>
          <w:highlight w:val="none"/>
        </w:rPr>
        <w:t>我公司郑重声明：参加本次政府采购活动前 3 年内，我公司在经营活动中没有因违法经营受到刑事处罚或者责令停产停业、吊销许可证或者执照、较大数额罚款等行政处罚。</w:t>
      </w:r>
    </w:p>
    <w:p w14:paraId="6C158D25">
      <w:pPr>
        <w:ind w:firstLine="482"/>
        <w:rPr>
          <w:rFonts w:ascii="仿宋" w:hAnsi="仿宋" w:eastAsia="仿宋"/>
          <w:color w:val="auto"/>
          <w:sz w:val="28"/>
          <w:szCs w:val="28"/>
          <w:highlight w:val="none"/>
        </w:rPr>
      </w:pPr>
      <w:r>
        <w:rPr>
          <w:rFonts w:hint="eastAsia" w:ascii="仿宋" w:hAnsi="仿宋" w:eastAsia="仿宋"/>
          <w:color w:val="auto"/>
          <w:sz w:val="28"/>
          <w:szCs w:val="28"/>
          <w:highlight w:val="none"/>
        </w:rPr>
        <w:t>在响应文件提交截止时间前，没有被“信用中国”（</w:t>
      </w:r>
      <w:r>
        <w:rPr>
          <w:rFonts w:ascii="仿宋" w:hAnsi="仿宋" w:eastAsia="仿宋"/>
          <w:color w:val="auto"/>
          <w:sz w:val="28"/>
          <w:szCs w:val="28"/>
          <w:highlight w:val="none"/>
        </w:rPr>
        <w:t>www.creditchina.gov.cn</w:t>
      </w:r>
      <w:r>
        <w:rPr>
          <w:rFonts w:hint="eastAsia" w:ascii="仿宋" w:hAnsi="仿宋" w:eastAsia="仿宋"/>
          <w:color w:val="auto"/>
          <w:sz w:val="28"/>
          <w:szCs w:val="28"/>
          <w:highlight w:val="none"/>
        </w:rPr>
        <w:t>）、“中国政府采购网”（</w:t>
      </w:r>
      <w:r>
        <w:rPr>
          <w:rFonts w:ascii="仿宋" w:hAnsi="仿宋" w:eastAsia="仿宋"/>
          <w:color w:val="auto"/>
          <w:sz w:val="28"/>
          <w:szCs w:val="28"/>
          <w:highlight w:val="none"/>
        </w:rPr>
        <w:t>www.ccgp.gov.cn</w:t>
      </w:r>
      <w:r>
        <w:rPr>
          <w:rFonts w:hint="eastAsia" w:ascii="仿宋" w:hAnsi="仿宋" w:eastAsia="仿宋"/>
          <w:color w:val="auto"/>
          <w:sz w:val="28"/>
          <w:szCs w:val="28"/>
          <w:highlight w:val="none"/>
        </w:rPr>
        <w:t>）、“信用江苏”（</w:t>
      </w:r>
      <w:r>
        <w:rPr>
          <w:rFonts w:ascii="仿宋" w:hAnsi="仿宋" w:eastAsia="仿宋"/>
          <w:color w:val="auto"/>
          <w:sz w:val="28"/>
          <w:szCs w:val="28"/>
          <w:highlight w:val="none"/>
        </w:rPr>
        <w:t>www.jscredit.cn/index.htm</w:t>
      </w:r>
      <w:r>
        <w:rPr>
          <w:rFonts w:hint="eastAsia" w:ascii="仿宋" w:hAnsi="仿宋" w:eastAsia="仿宋"/>
          <w:color w:val="auto"/>
          <w:sz w:val="28"/>
          <w:szCs w:val="28"/>
          <w:highlight w:val="none"/>
        </w:rPr>
        <w:t>）网站列入失信被执行人、重大税收违法案件当事人名单、政府采购严重违法失信行为记录名单。</w:t>
      </w:r>
    </w:p>
    <w:p w14:paraId="5AE453F3">
      <w:pP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供应商名称（公章）：</w:t>
      </w:r>
    </w:p>
    <w:p w14:paraId="3CD7D8EF">
      <w:pP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授权代表签字：_________________</w:t>
      </w:r>
    </w:p>
    <w:p w14:paraId="465F53F8">
      <w:pPr>
        <w:ind w:firstLine="560" w:firstLineChars="200"/>
        <w:rPr>
          <w:rFonts w:ascii="仿宋" w:hAnsi="仿宋" w:eastAsia="仿宋" w:cs="Arial"/>
          <w:color w:val="auto"/>
          <w:sz w:val="28"/>
          <w:szCs w:val="28"/>
          <w:highlight w:val="none"/>
        </w:rPr>
      </w:pPr>
      <w:r>
        <w:rPr>
          <w:rFonts w:hint="eastAsia" w:ascii="仿宋" w:hAnsi="仿宋" w:eastAsia="仿宋"/>
          <w:color w:val="auto"/>
          <w:sz w:val="28"/>
          <w:szCs w:val="28"/>
          <w:highlight w:val="none"/>
        </w:rPr>
        <w:t xml:space="preserve">                           日期：______年 月日</w:t>
      </w:r>
    </w:p>
    <w:p w14:paraId="64195A1A">
      <w:pPr>
        <w:numPr>
          <w:ilvl w:val="0"/>
          <w:numId w:val="5"/>
        </w:numPr>
        <w:spacing w:before="50" w:afterLines="50"/>
        <w:ind w:firstLine="560" w:firstLineChars="200"/>
        <w:jc w:val="left"/>
        <w:rPr>
          <w:rFonts w:ascii="仿宋" w:hAnsi="仿宋" w:eastAsia="仿宋"/>
          <w:color w:val="auto"/>
          <w:sz w:val="28"/>
          <w:szCs w:val="28"/>
          <w:highlight w:val="none"/>
        </w:rPr>
      </w:pPr>
      <w:r>
        <w:rPr>
          <w:rFonts w:hint="eastAsia" w:ascii="仿宋" w:hAnsi="仿宋" w:eastAsia="仿宋"/>
          <w:color w:val="auto"/>
          <w:sz w:val="28"/>
          <w:szCs w:val="28"/>
          <w:highlight w:val="none"/>
        </w:rPr>
        <w:t>项目实施所必须的许可资质证明材料</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lang w:val="en-US" w:eastAsia="zh-CN"/>
        </w:rPr>
        <w:t>如有</w:t>
      </w:r>
      <w:r>
        <w:rPr>
          <w:rFonts w:hint="eastAsia" w:ascii="仿宋" w:hAnsi="仿宋" w:eastAsia="仿宋"/>
          <w:color w:val="auto"/>
          <w:sz w:val="28"/>
          <w:szCs w:val="28"/>
          <w:highlight w:val="none"/>
          <w:lang w:eastAsia="zh-CN"/>
        </w:rPr>
        <w:t>）</w:t>
      </w:r>
    </w:p>
    <w:p w14:paraId="1DECBE8E">
      <w:pPr>
        <w:rPr>
          <w:rFonts w:ascii="仿宋" w:hAnsi="仿宋" w:eastAsia="仿宋"/>
          <w:color w:val="auto"/>
          <w:sz w:val="28"/>
          <w:szCs w:val="28"/>
          <w:highlight w:val="none"/>
        </w:rPr>
      </w:pPr>
      <w:r>
        <w:rPr>
          <w:rFonts w:hint="eastAsia" w:ascii="仿宋" w:hAnsi="仿宋" w:eastAsia="仿宋"/>
          <w:color w:val="auto"/>
          <w:sz w:val="28"/>
          <w:szCs w:val="28"/>
          <w:highlight w:val="none"/>
        </w:rPr>
        <w:br w:type="page"/>
      </w:r>
    </w:p>
    <w:p w14:paraId="058A69BD">
      <w:pPr>
        <w:spacing w:before="50" w:afterLines="50"/>
        <w:ind w:firstLine="560" w:firstLineChars="200"/>
        <w:jc w:val="left"/>
        <w:rPr>
          <w:rFonts w:ascii="仿宋" w:hAnsi="仿宋" w:eastAsia="仿宋"/>
          <w:color w:val="auto"/>
          <w:sz w:val="28"/>
          <w:szCs w:val="28"/>
          <w:highlight w:val="none"/>
        </w:rPr>
      </w:pPr>
      <w:r>
        <w:rPr>
          <w:rFonts w:hint="eastAsia" w:ascii="仿宋" w:hAnsi="仿宋" w:eastAsia="仿宋"/>
          <w:color w:val="auto"/>
          <w:sz w:val="28"/>
          <w:szCs w:val="28"/>
          <w:highlight w:val="none"/>
        </w:rPr>
        <w:t>（七）法定代表人身份证明及身份证复印件</w:t>
      </w:r>
    </w:p>
    <w:p w14:paraId="782A98F0">
      <w:pPr>
        <w:spacing w:before="50" w:after="156"/>
        <w:ind w:firstLine="562"/>
        <w:jc w:val="center"/>
        <w:rPr>
          <w:rFonts w:ascii="仿宋" w:hAnsi="仿宋" w:eastAsia="仿宋"/>
          <w:color w:val="auto"/>
          <w:sz w:val="28"/>
          <w:szCs w:val="28"/>
          <w:highlight w:val="none"/>
        </w:rPr>
      </w:pPr>
      <w:r>
        <w:rPr>
          <w:rFonts w:hint="eastAsia" w:ascii="仿宋" w:hAnsi="仿宋" w:eastAsia="仿宋"/>
          <w:b/>
          <w:bCs/>
          <w:color w:val="auto"/>
          <w:sz w:val="28"/>
          <w:szCs w:val="28"/>
          <w:highlight w:val="none"/>
        </w:rPr>
        <w:t>法定代表人身份证明</w:t>
      </w:r>
    </w:p>
    <w:p w14:paraId="50E5653B">
      <w:pPr>
        <w:spacing w:before="50" w:after="156"/>
        <w:ind w:firstLine="560"/>
        <w:jc w:val="lef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 </w:t>
      </w:r>
    </w:p>
    <w:p w14:paraId="462CC044">
      <w:pPr>
        <w:spacing w:before="50" w:after="156"/>
        <w:ind w:firstLine="560"/>
        <w:jc w:val="lef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单位性质： </w:t>
      </w:r>
    </w:p>
    <w:p w14:paraId="30D1A659">
      <w:pPr>
        <w:spacing w:before="50" w:after="156"/>
        <w:ind w:firstLine="560"/>
        <w:jc w:val="left"/>
        <w:rPr>
          <w:rFonts w:ascii="仿宋" w:hAnsi="仿宋" w:eastAsia="仿宋"/>
          <w:color w:val="auto"/>
          <w:sz w:val="28"/>
          <w:szCs w:val="28"/>
          <w:highlight w:val="none"/>
        </w:rPr>
      </w:pPr>
      <w:r>
        <w:rPr>
          <w:rFonts w:hint="eastAsia" w:ascii="仿宋" w:hAnsi="仿宋" w:eastAsia="仿宋"/>
          <w:color w:val="auto"/>
          <w:sz w:val="28"/>
          <w:szCs w:val="28"/>
          <w:highlight w:val="none"/>
        </w:rPr>
        <w:t>地址：</w:t>
      </w:r>
    </w:p>
    <w:p w14:paraId="7F04844F">
      <w:pPr>
        <w:spacing w:before="50" w:after="156"/>
        <w:ind w:firstLine="560"/>
        <w:jc w:val="lef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成立时间：年月日 </w:t>
      </w:r>
    </w:p>
    <w:p w14:paraId="632188AA">
      <w:pPr>
        <w:spacing w:before="50" w:after="156"/>
        <w:ind w:firstLine="560"/>
        <w:jc w:val="left"/>
        <w:rPr>
          <w:rFonts w:ascii="仿宋" w:hAnsi="仿宋" w:eastAsia="仿宋"/>
          <w:color w:val="auto"/>
          <w:sz w:val="28"/>
          <w:szCs w:val="28"/>
          <w:highlight w:val="none"/>
        </w:rPr>
      </w:pPr>
      <w:r>
        <w:rPr>
          <w:rFonts w:hint="eastAsia" w:ascii="仿宋" w:hAnsi="仿宋" w:eastAsia="仿宋"/>
          <w:color w:val="auto"/>
          <w:sz w:val="28"/>
          <w:szCs w:val="28"/>
          <w:highlight w:val="none"/>
        </w:rPr>
        <w:t>经营期限：</w:t>
      </w:r>
    </w:p>
    <w:p w14:paraId="1636B556">
      <w:pPr>
        <w:spacing w:before="50" w:after="156"/>
        <w:ind w:firstLine="560"/>
        <w:jc w:val="lef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姓名：     性别： </w:t>
      </w:r>
    </w:p>
    <w:p w14:paraId="32A51650">
      <w:pPr>
        <w:spacing w:before="50" w:after="156"/>
        <w:ind w:firstLine="560"/>
        <w:jc w:val="left"/>
        <w:rPr>
          <w:rFonts w:ascii="仿宋" w:hAnsi="仿宋" w:eastAsia="仿宋"/>
          <w:color w:val="auto"/>
          <w:sz w:val="28"/>
          <w:szCs w:val="28"/>
          <w:highlight w:val="none"/>
        </w:rPr>
      </w:pPr>
      <w:r>
        <w:rPr>
          <w:rFonts w:hint="eastAsia" w:ascii="仿宋" w:hAnsi="仿宋" w:eastAsia="仿宋"/>
          <w:color w:val="auto"/>
          <w:sz w:val="28"/>
          <w:szCs w:val="28"/>
          <w:highlight w:val="none"/>
        </w:rPr>
        <w:t>年龄：     职务：</w:t>
      </w:r>
    </w:p>
    <w:p w14:paraId="319D229B">
      <w:pPr>
        <w:spacing w:before="50" w:after="156"/>
        <w:ind w:firstLine="560"/>
        <w:jc w:val="lef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系（供应商名称）的法定代表人。 特此证明。 </w:t>
      </w:r>
    </w:p>
    <w:p w14:paraId="503AE5D8">
      <w:pPr>
        <w:spacing w:before="50" w:after="156"/>
        <w:ind w:firstLine="560"/>
        <w:jc w:val="left"/>
        <w:rPr>
          <w:rFonts w:ascii="仿宋" w:hAnsi="仿宋" w:eastAsia="仿宋"/>
          <w:color w:val="auto"/>
          <w:sz w:val="28"/>
          <w:szCs w:val="28"/>
          <w:highlight w:val="none"/>
        </w:rPr>
      </w:pPr>
    </w:p>
    <w:p w14:paraId="237D2CAF">
      <w:pPr>
        <w:spacing w:before="50" w:after="156"/>
        <w:ind w:firstLine="560"/>
        <w:jc w:val="left"/>
        <w:rPr>
          <w:rFonts w:ascii="仿宋" w:hAnsi="仿宋" w:eastAsia="仿宋"/>
          <w:color w:val="auto"/>
          <w:sz w:val="28"/>
          <w:szCs w:val="28"/>
          <w:highlight w:val="none"/>
        </w:rPr>
      </w:pPr>
      <w:r>
        <w:rPr>
          <w:rFonts w:hint="eastAsia" w:ascii="仿宋" w:hAnsi="仿宋" w:eastAsia="仿宋"/>
          <w:color w:val="auto"/>
          <w:sz w:val="28"/>
          <w:szCs w:val="28"/>
          <w:highlight w:val="none"/>
        </w:rPr>
        <w:t>法定代表人身份证</w:t>
      </w:r>
    </w:p>
    <w:p w14:paraId="4C116849">
      <w:pPr>
        <w:spacing w:before="50" w:after="156"/>
        <w:ind w:firstLine="560"/>
        <w:jc w:val="right"/>
        <w:rPr>
          <w:rFonts w:ascii="仿宋" w:hAnsi="仿宋" w:eastAsia="仿宋"/>
          <w:color w:val="auto"/>
          <w:sz w:val="28"/>
          <w:szCs w:val="28"/>
          <w:highlight w:val="none"/>
        </w:rPr>
      </w:pPr>
    </w:p>
    <w:p w14:paraId="4C895267">
      <w:pPr>
        <w:spacing w:before="50" w:after="156"/>
        <w:ind w:firstLine="560"/>
        <w:jc w:val="righ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供应商名称（公章）：</w:t>
      </w:r>
    </w:p>
    <w:p w14:paraId="1C009BBE">
      <w:pPr>
        <w:widowControl/>
        <w:jc w:val="lef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日期：年 月日</w:t>
      </w:r>
    </w:p>
    <w:p w14:paraId="383997A1">
      <w:pPr>
        <w:rPr>
          <w:rFonts w:ascii="仿宋" w:hAnsi="仿宋" w:eastAsia="仿宋"/>
          <w:color w:val="auto"/>
          <w:sz w:val="28"/>
          <w:szCs w:val="28"/>
          <w:highlight w:val="none"/>
        </w:rPr>
      </w:pPr>
      <w:r>
        <w:rPr>
          <w:rFonts w:hint="eastAsia" w:ascii="仿宋" w:hAnsi="仿宋" w:eastAsia="仿宋"/>
          <w:color w:val="auto"/>
          <w:sz w:val="28"/>
          <w:szCs w:val="28"/>
          <w:highlight w:val="none"/>
        </w:rPr>
        <w:br w:type="page"/>
      </w:r>
    </w:p>
    <w:p w14:paraId="277691A9">
      <w:pPr>
        <w:spacing w:before="50" w:afterLines="50"/>
        <w:ind w:firstLine="560" w:firstLineChars="200"/>
        <w:jc w:val="left"/>
        <w:rPr>
          <w:rFonts w:ascii="仿宋" w:hAnsi="仿宋" w:eastAsia="仿宋"/>
          <w:color w:val="auto"/>
          <w:sz w:val="28"/>
          <w:szCs w:val="28"/>
          <w:highlight w:val="none"/>
        </w:rPr>
      </w:pPr>
      <w:r>
        <w:rPr>
          <w:rFonts w:hint="eastAsia" w:ascii="仿宋" w:hAnsi="仿宋" w:eastAsia="仿宋"/>
          <w:color w:val="auto"/>
          <w:sz w:val="28"/>
          <w:szCs w:val="28"/>
          <w:highlight w:val="none"/>
        </w:rPr>
        <w:t>（八）法定代表人</w:t>
      </w:r>
      <w:r>
        <w:rPr>
          <w:rFonts w:ascii="仿宋" w:hAnsi="仿宋" w:eastAsia="仿宋"/>
          <w:color w:val="auto"/>
          <w:sz w:val="28"/>
          <w:szCs w:val="28"/>
          <w:highlight w:val="none"/>
        </w:rPr>
        <w:t>授权</w:t>
      </w:r>
      <w:r>
        <w:rPr>
          <w:rFonts w:hint="eastAsia" w:ascii="仿宋" w:hAnsi="仿宋" w:eastAsia="仿宋"/>
          <w:color w:val="auto"/>
          <w:sz w:val="28"/>
          <w:szCs w:val="28"/>
          <w:highlight w:val="none"/>
        </w:rPr>
        <w:t>委托</w:t>
      </w:r>
      <w:r>
        <w:rPr>
          <w:rFonts w:ascii="仿宋" w:hAnsi="仿宋" w:eastAsia="仿宋"/>
          <w:color w:val="auto"/>
          <w:sz w:val="28"/>
          <w:szCs w:val="28"/>
          <w:highlight w:val="none"/>
        </w:rPr>
        <w:t>书</w:t>
      </w:r>
      <w:r>
        <w:rPr>
          <w:rFonts w:hint="eastAsia" w:ascii="仿宋" w:hAnsi="仿宋" w:eastAsia="仿宋"/>
          <w:color w:val="auto"/>
          <w:sz w:val="28"/>
          <w:szCs w:val="28"/>
          <w:highlight w:val="none"/>
        </w:rPr>
        <w:t>。（法定代表人参加磋商采购活动的，无需提供）</w:t>
      </w:r>
    </w:p>
    <w:p w14:paraId="4E61ADBB">
      <w:pPr>
        <w:jc w:val="center"/>
        <w:rPr>
          <w:rFonts w:ascii="方正小标宋简体" w:eastAsia="方正小标宋简体"/>
          <w:i/>
          <w:color w:val="auto"/>
          <w:sz w:val="36"/>
          <w:szCs w:val="36"/>
          <w:highlight w:val="none"/>
        </w:rPr>
      </w:pPr>
      <w:r>
        <w:rPr>
          <w:rFonts w:hint="eastAsia" w:ascii="方正小标宋简体" w:eastAsia="方正小标宋简体"/>
          <w:color w:val="auto"/>
          <w:sz w:val="36"/>
          <w:szCs w:val="36"/>
          <w:highlight w:val="none"/>
        </w:rPr>
        <w:t>法定代表人授权委托书</w:t>
      </w:r>
    </w:p>
    <w:p w14:paraId="327EFD7E">
      <w:pPr>
        <w:pStyle w:val="46"/>
        <w:spacing w:line="500" w:lineRule="exact"/>
        <w:ind w:firstLine="480"/>
        <w:rPr>
          <w:rFonts w:ascii="仿宋" w:hAnsi="仿宋" w:eastAsia="仿宋"/>
          <w:color w:val="auto"/>
          <w:sz w:val="28"/>
          <w:szCs w:val="28"/>
          <w:highlight w:val="none"/>
        </w:rPr>
      </w:pPr>
      <w:r>
        <w:rPr>
          <w:rFonts w:hint="eastAsia" w:ascii="仿宋" w:hAnsi="仿宋" w:eastAsia="仿宋"/>
          <w:color w:val="auto"/>
          <w:sz w:val="28"/>
          <w:szCs w:val="28"/>
          <w:highlight w:val="none"/>
        </w:rPr>
        <w:t>本授权书声明：_____________（供应商名称）授权________________（代理人的姓名）为我方就项目名称：____________项目编号:____________采购活动的合法代理人，以本公司名义全权处理一切与该项目采购有关的事务。</w:t>
      </w:r>
    </w:p>
    <w:p w14:paraId="55C8F416">
      <w:pPr>
        <w:pStyle w:val="46"/>
        <w:spacing w:line="500" w:lineRule="exact"/>
        <w:ind w:firstLine="480"/>
        <w:rPr>
          <w:rFonts w:ascii="仿宋" w:hAnsi="仿宋" w:eastAsia="仿宋"/>
          <w:color w:val="auto"/>
          <w:sz w:val="28"/>
          <w:szCs w:val="28"/>
          <w:highlight w:val="none"/>
        </w:rPr>
      </w:pPr>
      <w:r>
        <w:rPr>
          <w:rFonts w:hint="eastAsia" w:ascii="仿宋" w:hAnsi="仿宋" w:eastAsia="仿宋"/>
          <w:color w:val="auto"/>
          <w:sz w:val="28"/>
          <w:szCs w:val="28"/>
          <w:highlight w:val="none"/>
        </w:rPr>
        <w:t>本授权书于______年____月____日起生效，特此声明。</w:t>
      </w:r>
    </w:p>
    <w:p w14:paraId="687217FA">
      <w:pPr>
        <w:pStyle w:val="46"/>
        <w:spacing w:line="500" w:lineRule="exact"/>
        <w:ind w:firstLine="480"/>
        <w:rPr>
          <w:rFonts w:ascii="仿宋" w:hAnsi="仿宋" w:eastAsia="仿宋"/>
          <w:color w:val="auto"/>
          <w:sz w:val="28"/>
          <w:szCs w:val="28"/>
          <w:highlight w:val="none"/>
        </w:rPr>
      </w:pPr>
    </w:p>
    <w:p w14:paraId="748EBC65">
      <w:pPr>
        <w:pStyle w:val="46"/>
        <w:spacing w:line="500" w:lineRule="exact"/>
        <w:ind w:firstLine="480"/>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法定代表人（签字）： </w:t>
      </w:r>
    </w:p>
    <w:p w14:paraId="16AA05C2">
      <w:pPr>
        <w:pStyle w:val="46"/>
        <w:spacing w:line="500" w:lineRule="exact"/>
        <w:ind w:firstLine="480"/>
        <w:rPr>
          <w:rFonts w:ascii="仿宋" w:hAnsi="仿宋" w:eastAsia="仿宋"/>
          <w:color w:val="auto"/>
          <w:sz w:val="28"/>
          <w:szCs w:val="28"/>
          <w:highlight w:val="none"/>
        </w:rPr>
      </w:pPr>
      <w:r>
        <w:rPr>
          <w:rFonts w:hint="eastAsia" w:ascii="仿宋" w:hAnsi="仿宋" w:eastAsia="仿宋"/>
          <w:color w:val="auto"/>
          <w:sz w:val="28"/>
          <w:szCs w:val="28"/>
          <w:highlight w:val="none"/>
        </w:rPr>
        <w:t>身份证号码：</w:t>
      </w:r>
    </w:p>
    <w:p w14:paraId="54B0A11C">
      <w:pPr>
        <w:pStyle w:val="46"/>
        <w:spacing w:line="500" w:lineRule="exact"/>
        <w:ind w:firstLine="232" w:firstLineChars="83"/>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联系电话（手机）：</w:t>
      </w:r>
    </w:p>
    <w:p w14:paraId="3C6DB26A">
      <w:pPr>
        <w:pStyle w:val="46"/>
        <w:spacing w:line="500" w:lineRule="exact"/>
        <w:ind w:firstLine="480"/>
        <w:rPr>
          <w:rFonts w:ascii="仿宋" w:hAnsi="仿宋" w:eastAsia="仿宋"/>
          <w:color w:val="auto"/>
          <w:sz w:val="28"/>
          <w:szCs w:val="28"/>
          <w:highlight w:val="none"/>
        </w:rPr>
      </w:pPr>
    </w:p>
    <w:p w14:paraId="7D8F9415">
      <w:pPr>
        <w:pStyle w:val="46"/>
        <w:spacing w:line="500" w:lineRule="exact"/>
        <w:ind w:firstLine="480"/>
        <w:rPr>
          <w:rFonts w:ascii="仿宋" w:hAnsi="仿宋" w:eastAsia="仿宋"/>
          <w:color w:val="auto"/>
          <w:sz w:val="28"/>
          <w:szCs w:val="28"/>
          <w:highlight w:val="none"/>
        </w:rPr>
      </w:pPr>
      <w:r>
        <w:rPr>
          <w:rFonts w:hint="eastAsia" w:ascii="仿宋" w:hAnsi="仿宋" w:eastAsia="仿宋"/>
          <w:color w:val="auto"/>
          <w:sz w:val="28"/>
          <w:szCs w:val="28"/>
          <w:highlight w:val="none"/>
        </w:rPr>
        <w:t>代理人姓名：</w:t>
      </w:r>
    </w:p>
    <w:p w14:paraId="2BB73590">
      <w:pPr>
        <w:pStyle w:val="46"/>
        <w:spacing w:line="500" w:lineRule="exact"/>
        <w:ind w:firstLine="48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身份证号码：                         </w:t>
      </w:r>
    </w:p>
    <w:p w14:paraId="5C62D2A4">
      <w:pPr>
        <w:pStyle w:val="46"/>
        <w:spacing w:line="500" w:lineRule="exact"/>
        <w:ind w:firstLine="48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联系电话（手机）：                    </w:t>
      </w:r>
    </w:p>
    <w:p w14:paraId="30934C50">
      <w:pPr>
        <w:pStyle w:val="46"/>
        <w:spacing w:line="500" w:lineRule="exact"/>
        <w:ind w:firstLine="480"/>
        <w:rPr>
          <w:rFonts w:ascii="仿宋" w:hAnsi="仿宋" w:eastAsia="仿宋"/>
          <w:color w:val="auto"/>
          <w:sz w:val="28"/>
          <w:szCs w:val="28"/>
          <w:highlight w:val="none"/>
        </w:rPr>
      </w:pPr>
    </w:p>
    <w:p w14:paraId="0565E22B">
      <w:pPr>
        <w:pStyle w:val="46"/>
        <w:spacing w:line="500" w:lineRule="exact"/>
        <w:ind w:firstLine="1260" w:firstLineChars="450"/>
        <w:rPr>
          <w:rFonts w:ascii="仿宋" w:hAnsi="仿宋" w:eastAsia="仿宋"/>
          <w:color w:val="auto"/>
          <w:sz w:val="28"/>
          <w:szCs w:val="28"/>
          <w:highlight w:val="none"/>
        </w:rPr>
      </w:pPr>
      <w:r>
        <w:rPr>
          <w:rFonts w:hint="eastAsia" w:ascii="仿宋" w:hAnsi="仿宋" w:eastAsia="仿宋"/>
          <w:color w:val="auto"/>
          <w:sz w:val="28"/>
          <w:szCs w:val="28"/>
          <w:highlight w:val="none"/>
        </w:rPr>
        <w:t>供应商名称（加盖公章）：</w:t>
      </w:r>
    </w:p>
    <w:p w14:paraId="65DF8D02">
      <w:pPr>
        <w:pStyle w:val="46"/>
        <w:spacing w:line="500" w:lineRule="exact"/>
        <w:ind w:firstLine="6020" w:firstLineChars="215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年   月   日</w:t>
      </w:r>
    </w:p>
    <w:p w14:paraId="0BED39F5">
      <w:pPr>
        <w:pStyle w:val="46"/>
        <w:spacing w:line="500" w:lineRule="exact"/>
        <w:ind w:firstLine="480"/>
        <w:rPr>
          <w:rFonts w:ascii="仿宋" w:hAnsi="仿宋" w:eastAsia="仿宋"/>
          <w:color w:val="auto"/>
          <w:sz w:val="28"/>
          <w:szCs w:val="28"/>
          <w:highlight w:val="none"/>
        </w:rPr>
      </w:pPr>
      <w:bookmarkStart w:id="93" w:name="_格式3__银行出具的资信证明"/>
      <w:bookmarkEnd w:id="93"/>
      <w:bookmarkStart w:id="94" w:name="_Hlt26955070"/>
      <w:bookmarkEnd w:id="94"/>
      <w:bookmarkStart w:id="95" w:name="_Hlt26671380"/>
      <w:bookmarkEnd w:id="95"/>
    </w:p>
    <w:p w14:paraId="7F39E3E7">
      <w:pPr>
        <w:pStyle w:val="5"/>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法定代表人身份证复印件</w:t>
      </w:r>
    </w:p>
    <w:p w14:paraId="72CA9BD4">
      <w:pPr>
        <w:pStyle w:val="5"/>
        <w:spacing w:line="500" w:lineRule="exact"/>
        <w:ind w:firstLine="1400" w:firstLineChars="500"/>
        <w:rPr>
          <w:rFonts w:ascii="仿宋" w:hAnsi="仿宋" w:eastAsia="仿宋"/>
          <w:color w:val="auto"/>
          <w:sz w:val="28"/>
          <w:szCs w:val="28"/>
          <w:highlight w:val="none"/>
        </w:rPr>
      </w:pPr>
    </w:p>
    <w:p w14:paraId="05E51ECD">
      <w:pPr>
        <w:pStyle w:val="5"/>
        <w:spacing w:line="500" w:lineRule="exact"/>
        <w:ind w:firstLine="560"/>
        <w:rPr>
          <w:rFonts w:ascii="仿宋" w:hAnsi="仿宋" w:eastAsia="仿宋"/>
          <w:color w:val="auto"/>
          <w:sz w:val="28"/>
          <w:szCs w:val="28"/>
          <w:highlight w:val="none"/>
        </w:rPr>
      </w:pPr>
    </w:p>
    <w:p w14:paraId="58B86104">
      <w:pPr>
        <w:pStyle w:val="5"/>
        <w:spacing w:line="500" w:lineRule="exact"/>
        <w:ind w:firstLine="490" w:firstLineChars="175"/>
        <w:rPr>
          <w:rFonts w:ascii="仿宋" w:hAnsi="仿宋" w:eastAsia="仿宋"/>
          <w:color w:val="auto"/>
          <w:sz w:val="28"/>
          <w:szCs w:val="28"/>
          <w:highlight w:val="none"/>
        </w:rPr>
      </w:pPr>
      <w:r>
        <w:rPr>
          <w:rFonts w:hint="eastAsia" w:ascii="仿宋" w:hAnsi="仿宋" w:eastAsia="仿宋"/>
          <w:color w:val="auto"/>
          <w:sz w:val="28"/>
          <w:szCs w:val="28"/>
          <w:highlight w:val="none"/>
        </w:rPr>
        <w:t>代理人身份证复印件</w:t>
      </w:r>
    </w:p>
    <w:p w14:paraId="2F25B550">
      <w:pPr>
        <w:pStyle w:val="5"/>
        <w:ind w:firstLineChars="175"/>
        <w:rPr>
          <w:rFonts w:ascii="宋体" w:hAnsi="宋体"/>
          <w:color w:val="auto"/>
          <w:sz w:val="24"/>
          <w:highlight w:val="none"/>
        </w:rPr>
      </w:pPr>
    </w:p>
    <w:p w14:paraId="19B2D8DA">
      <w:pPr>
        <w:spacing w:before="50" w:afterLines="50"/>
        <w:ind w:firstLine="480" w:firstLineChars="200"/>
        <w:jc w:val="left"/>
        <w:rPr>
          <w:rFonts w:ascii="仿宋" w:hAnsi="仿宋" w:eastAsia="仿宋"/>
          <w:color w:val="auto"/>
          <w:sz w:val="24"/>
          <w:highlight w:val="none"/>
        </w:rPr>
      </w:pPr>
    </w:p>
    <w:p w14:paraId="637656CD">
      <w:pPr>
        <w:spacing w:before="50" w:afterLines="50"/>
        <w:ind w:firstLine="480"/>
        <w:jc w:val="left"/>
        <w:rPr>
          <w:rFonts w:ascii="仿宋" w:hAnsi="仿宋" w:eastAsia="仿宋" w:cs="Arial"/>
          <w:color w:val="auto"/>
          <w:sz w:val="28"/>
          <w:szCs w:val="28"/>
          <w:highlight w:val="none"/>
        </w:rPr>
      </w:pPr>
      <w:r>
        <w:rPr>
          <w:rFonts w:ascii="仿宋" w:hAnsi="仿宋" w:eastAsia="仿宋"/>
          <w:bCs/>
          <w:color w:val="auto"/>
          <w:sz w:val="28"/>
          <w:szCs w:val="28"/>
          <w:highlight w:val="none"/>
        </w:rPr>
        <w:br w:type="page"/>
      </w:r>
      <w:r>
        <w:rPr>
          <w:rFonts w:hint="eastAsia" w:ascii="仿宋" w:hAnsi="仿宋" w:eastAsia="仿宋"/>
          <w:bCs/>
          <w:color w:val="auto"/>
          <w:sz w:val="28"/>
          <w:szCs w:val="28"/>
          <w:highlight w:val="none"/>
        </w:rPr>
        <w:t>（九）</w:t>
      </w:r>
      <w:r>
        <w:rPr>
          <w:rFonts w:hint="eastAsia" w:ascii="仿宋" w:hAnsi="仿宋" w:eastAsia="仿宋" w:cs="Arial"/>
          <w:color w:val="auto"/>
          <w:sz w:val="28"/>
          <w:szCs w:val="28"/>
          <w:highlight w:val="none"/>
        </w:rPr>
        <w:t>磋商响应函</w:t>
      </w:r>
    </w:p>
    <w:p w14:paraId="2A2788E6">
      <w:pPr>
        <w:spacing w:before="50" w:afterLines="50"/>
        <w:jc w:val="center"/>
        <w:rPr>
          <w:rFonts w:ascii="方正小标宋简体" w:eastAsia="方正小标宋简体"/>
          <w:color w:val="auto"/>
          <w:sz w:val="36"/>
          <w:szCs w:val="36"/>
          <w:highlight w:val="none"/>
        </w:rPr>
      </w:pPr>
      <w:r>
        <w:rPr>
          <w:rFonts w:hint="eastAsia" w:ascii="方正小标宋简体" w:eastAsia="方正小标宋简体"/>
          <w:color w:val="auto"/>
          <w:sz w:val="36"/>
          <w:szCs w:val="36"/>
          <w:highlight w:val="none"/>
        </w:rPr>
        <w:t>竞争性磋商响应函</w:t>
      </w:r>
    </w:p>
    <w:p w14:paraId="616628A6">
      <w:pPr>
        <w:pStyle w:val="46"/>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致：</w:t>
      </w:r>
      <w:r>
        <w:rPr>
          <w:rFonts w:hint="eastAsia" w:ascii="仿宋" w:hAnsi="仿宋" w:eastAsia="仿宋"/>
          <w:color w:val="auto"/>
          <w:sz w:val="28"/>
          <w:szCs w:val="28"/>
          <w:highlight w:val="none"/>
          <w:u w:val="single"/>
        </w:rPr>
        <w:t>南通市如皋生态环境局</w:t>
      </w:r>
    </w:p>
    <w:p w14:paraId="29CA988B">
      <w:pPr>
        <w:pStyle w:val="46"/>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根据贵方的</w:t>
      </w:r>
      <w:r>
        <w:rPr>
          <w:rFonts w:hint="eastAsia" w:ascii="仿宋" w:hAnsi="仿宋" w:eastAsia="仿宋"/>
          <w:color w:val="auto"/>
          <w:sz w:val="28"/>
          <w:szCs w:val="28"/>
          <w:highlight w:val="none"/>
          <w:u w:val="single"/>
        </w:rPr>
        <w:t>如皋市2026年大气污染精准溯源服务项目</w:t>
      </w:r>
      <w:r>
        <w:rPr>
          <w:rFonts w:hint="eastAsia" w:ascii="仿宋" w:hAnsi="仿宋" w:eastAsia="仿宋"/>
          <w:color w:val="auto"/>
          <w:sz w:val="28"/>
          <w:szCs w:val="28"/>
          <w:highlight w:val="none"/>
        </w:rPr>
        <w:t>（项目编号：</w:t>
      </w:r>
      <w:r>
        <w:rPr>
          <w:rFonts w:hint="eastAsia" w:ascii="仿宋" w:hAnsi="仿宋" w:eastAsia="仿宋"/>
          <w:color w:val="auto"/>
          <w:sz w:val="28"/>
          <w:szCs w:val="28"/>
          <w:highlight w:val="none"/>
          <w:u w:val="single"/>
          <w:lang w:eastAsia="zh-CN"/>
        </w:rPr>
        <w:t>JSZC-320682-NTZJ-C2026-0006</w:t>
      </w:r>
      <w:r>
        <w:rPr>
          <w:rFonts w:hint="eastAsia" w:ascii="仿宋" w:hAnsi="仿宋" w:eastAsia="仿宋"/>
          <w:color w:val="auto"/>
          <w:sz w:val="28"/>
          <w:szCs w:val="28"/>
          <w:highlight w:val="none"/>
        </w:rPr>
        <w:t>）竞争性磋商文件，正式授权下述签字人_________ (姓名和职务)代表我方______________（供应商的名称），全权处理本次项目磋商采购的有关事宜。</w:t>
      </w:r>
    </w:p>
    <w:p w14:paraId="39E64EE8">
      <w:pPr>
        <w:pStyle w:val="46"/>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据此函，__________（签字人）兹宣布同意如下：</w:t>
      </w:r>
    </w:p>
    <w:p w14:paraId="2105947D">
      <w:pPr>
        <w:pStyle w:val="46"/>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1.按磋商文件规定的各项要求，向买方提供所需货物、服务。</w:t>
      </w:r>
    </w:p>
    <w:p w14:paraId="00E19293">
      <w:pPr>
        <w:pStyle w:val="46"/>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2.我们已详细审核全部磋商文件及其有效补充文件，我们知道必须放弃提出含糊不清或误解问题的权利。</w:t>
      </w:r>
    </w:p>
    <w:p w14:paraId="5DCCC392">
      <w:pPr>
        <w:pStyle w:val="46"/>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3.我们同意从规定的响应文件接收截止时间起遵循本响应文件，并在规定的磋商有效期期满之前均具有约束力。</w:t>
      </w:r>
    </w:p>
    <w:p w14:paraId="0C527D5B">
      <w:pPr>
        <w:pStyle w:val="46"/>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4.同意向贵方提供贵方可能另外要求的与竞争性磋商活动有关的任何证据或资料，并保证我方已提供和将要提供的文件是真实的、准确的。</w:t>
      </w:r>
    </w:p>
    <w:p w14:paraId="6BAF4A06">
      <w:pPr>
        <w:pStyle w:val="46"/>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5.如果我方成交，我方将在法定期限内签订合同，否则将承担相应法律责任。</w:t>
      </w:r>
    </w:p>
    <w:p w14:paraId="67713EB5">
      <w:pPr>
        <w:pStyle w:val="46"/>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6.我方将根据竞争性磋商文件的规定，严格履行合同的责任和义务，并保证在磋商文件规定的时间完成项目。</w:t>
      </w:r>
    </w:p>
    <w:p w14:paraId="4B720FF7">
      <w:pPr>
        <w:pStyle w:val="46"/>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7.遵守竞争性磋商文件中要求的收费项目和标准。</w:t>
      </w:r>
    </w:p>
    <w:p w14:paraId="664E334E">
      <w:pPr>
        <w:pStyle w:val="46"/>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8.与本次竞争性磋商活动有关的正式通讯地址为：</w:t>
      </w:r>
    </w:p>
    <w:p w14:paraId="2F735D6A">
      <w:pPr>
        <w:pStyle w:val="46"/>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地 址：                         邮 编：</w:t>
      </w:r>
    </w:p>
    <w:p w14:paraId="19D9BD3C">
      <w:pPr>
        <w:pStyle w:val="46"/>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电 话：                         传 真：</w:t>
      </w:r>
    </w:p>
    <w:p w14:paraId="5BAC17DF">
      <w:pPr>
        <w:pStyle w:val="46"/>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供应商开户行：                  账 户： </w:t>
      </w:r>
    </w:p>
    <w:p w14:paraId="68F1D1C3">
      <w:pPr>
        <w:pStyle w:val="46"/>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供应商名称（公章）：            </w:t>
      </w:r>
    </w:p>
    <w:p w14:paraId="39CAF02B">
      <w:pPr>
        <w:pStyle w:val="46"/>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日 期：________年____月____日</w:t>
      </w:r>
    </w:p>
    <w:p w14:paraId="49DB8A5E">
      <w:pPr>
        <w:widowControl/>
        <w:jc w:val="left"/>
        <w:rPr>
          <w:rFonts w:ascii="Calibri" w:hAnsi="Calibri" w:eastAsia="等线"/>
          <w:color w:val="auto"/>
          <w:szCs w:val="22"/>
          <w:highlight w:val="none"/>
        </w:rPr>
      </w:pPr>
      <w:r>
        <w:rPr>
          <w:rFonts w:ascii="仿宋" w:hAnsi="仿宋" w:eastAsia="仿宋"/>
          <w:bCs/>
          <w:color w:val="auto"/>
          <w:sz w:val="28"/>
          <w:szCs w:val="28"/>
          <w:highlight w:val="none"/>
        </w:rPr>
        <w:br w:type="page"/>
      </w:r>
      <w:r>
        <w:rPr>
          <w:rFonts w:hint="eastAsia" w:ascii="仿宋" w:hAnsi="仿宋" w:eastAsia="仿宋"/>
          <w:bCs/>
          <w:color w:val="auto"/>
          <w:sz w:val="28"/>
          <w:szCs w:val="28"/>
          <w:highlight w:val="none"/>
        </w:rPr>
        <w:t>（十）中小企业声明函</w:t>
      </w:r>
    </w:p>
    <w:p w14:paraId="73D82B12">
      <w:pPr>
        <w:jc w:val="center"/>
        <w:rPr>
          <w:rFonts w:ascii="方正小标宋简体" w:eastAsia="方正小标宋简体"/>
          <w:color w:val="auto"/>
          <w:sz w:val="36"/>
          <w:szCs w:val="36"/>
          <w:highlight w:val="none"/>
        </w:rPr>
      </w:pPr>
      <w:r>
        <w:rPr>
          <w:rFonts w:hint="eastAsia" w:ascii="方正小标宋简体" w:eastAsia="方正小标宋简体"/>
          <w:color w:val="auto"/>
          <w:sz w:val="36"/>
          <w:szCs w:val="36"/>
          <w:highlight w:val="none"/>
        </w:rPr>
        <w:t>中小企业声明函（工程、服务）</w:t>
      </w:r>
    </w:p>
    <w:p w14:paraId="3ADA0DAC">
      <w:pPr>
        <w:spacing w:line="500" w:lineRule="exact"/>
        <w:ind w:firstLine="640" w:firstLineChars="200"/>
        <w:rPr>
          <w:rFonts w:ascii="仿宋" w:hAnsi="仿宋" w:eastAsia="仿宋"/>
          <w:color w:val="auto"/>
          <w:sz w:val="32"/>
          <w:szCs w:val="32"/>
          <w:highlight w:val="none"/>
        </w:rPr>
      </w:pPr>
      <w:r>
        <w:rPr>
          <w:rFonts w:hint="eastAsia" w:ascii="仿宋" w:hAnsi="仿宋" w:eastAsia="仿宋"/>
          <w:color w:val="auto"/>
          <w:sz w:val="32"/>
          <w:szCs w:val="32"/>
          <w:highlight w:val="none"/>
        </w:rPr>
        <w:t>本公司（联合体）郑重声明，根据《政府采购促进中小企业发展管理办法》（财库﹝2020﹞46 号）的规定，本公司（联合体）参加</w:t>
      </w:r>
      <w:r>
        <w:rPr>
          <w:rFonts w:hint="eastAsia" w:ascii="仿宋" w:hAnsi="仿宋" w:eastAsia="仿宋"/>
          <w:i/>
          <w:color w:val="auto"/>
          <w:sz w:val="32"/>
          <w:szCs w:val="32"/>
          <w:highlight w:val="none"/>
          <w:u w:val="single"/>
        </w:rPr>
        <w:t>（南通市如皋生态环境局）</w:t>
      </w:r>
      <w:r>
        <w:rPr>
          <w:rFonts w:hint="eastAsia" w:ascii="仿宋" w:hAnsi="仿宋" w:eastAsia="仿宋"/>
          <w:color w:val="auto"/>
          <w:sz w:val="32"/>
          <w:szCs w:val="32"/>
          <w:highlight w:val="none"/>
        </w:rPr>
        <w:t xml:space="preserve"> 的</w:t>
      </w:r>
      <w:r>
        <w:rPr>
          <w:rFonts w:hint="eastAsia" w:ascii="仿宋" w:hAnsi="仿宋" w:eastAsia="仿宋"/>
          <w:i/>
          <w:color w:val="auto"/>
          <w:sz w:val="32"/>
          <w:szCs w:val="32"/>
          <w:highlight w:val="none"/>
          <w:u w:val="single"/>
        </w:rPr>
        <w:t>（如皋市2026年大气污染精准溯源服务项目）</w:t>
      </w:r>
      <w:r>
        <w:rPr>
          <w:rFonts w:hint="eastAsia" w:ascii="仿宋" w:hAnsi="仿宋" w:eastAsia="仿宋"/>
          <w:color w:val="auto"/>
          <w:sz w:val="32"/>
          <w:szCs w:val="32"/>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3E067ADA">
      <w:pPr>
        <w:spacing w:line="500" w:lineRule="exact"/>
        <w:ind w:firstLine="640" w:firstLineChars="200"/>
        <w:rPr>
          <w:rFonts w:ascii="仿宋" w:hAnsi="仿宋" w:eastAsia="仿宋"/>
          <w:color w:val="auto"/>
          <w:sz w:val="32"/>
          <w:szCs w:val="32"/>
          <w:highlight w:val="none"/>
        </w:rPr>
      </w:pPr>
      <w:r>
        <w:rPr>
          <w:rFonts w:hint="eastAsia" w:ascii="仿宋" w:hAnsi="仿宋" w:eastAsia="仿宋"/>
          <w:color w:val="auto"/>
          <w:sz w:val="32"/>
          <w:szCs w:val="32"/>
          <w:highlight w:val="none"/>
        </w:rPr>
        <w:t>1.</w:t>
      </w:r>
      <w:r>
        <w:rPr>
          <w:rFonts w:hint="eastAsia" w:ascii="仿宋" w:hAnsi="仿宋" w:eastAsia="仿宋"/>
          <w:i/>
          <w:color w:val="auto"/>
          <w:sz w:val="32"/>
          <w:szCs w:val="32"/>
          <w:highlight w:val="none"/>
          <w:u w:val="single"/>
        </w:rPr>
        <w:t>（如皋市2026年大气污染精准溯源服务项目）</w:t>
      </w:r>
      <w:r>
        <w:rPr>
          <w:rFonts w:hint="eastAsia" w:ascii="仿宋" w:hAnsi="仿宋" w:eastAsia="仿宋"/>
          <w:color w:val="auto"/>
          <w:sz w:val="32"/>
          <w:szCs w:val="32"/>
          <w:highlight w:val="none"/>
        </w:rPr>
        <w:t>，属于</w:t>
      </w:r>
      <w:r>
        <w:rPr>
          <w:rFonts w:hint="eastAsia" w:ascii="仿宋" w:hAnsi="仿宋" w:eastAsia="仿宋"/>
          <w:i/>
          <w:color w:val="auto"/>
          <w:sz w:val="32"/>
          <w:szCs w:val="32"/>
          <w:highlight w:val="none"/>
          <w:u w:val="single"/>
        </w:rPr>
        <w:t>（其他未列明行业）</w:t>
      </w:r>
      <w:r>
        <w:rPr>
          <w:rFonts w:hint="eastAsia" w:ascii="仿宋" w:hAnsi="仿宋" w:eastAsia="仿宋"/>
          <w:color w:val="auto"/>
          <w:sz w:val="32"/>
          <w:szCs w:val="32"/>
          <w:highlight w:val="none"/>
        </w:rPr>
        <w:t xml:space="preserve"> ；承建（承接）企业为 </w:t>
      </w:r>
      <w:r>
        <w:rPr>
          <w:rFonts w:hint="eastAsia" w:ascii="仿宋" w:hAnsi="仿宋" w:eastAsia="仿宋"/>
          <w:i/>
          <w:color w:val="auto"/>
          <w:sz w:val="32"/>
          <w:szCs w:val="32"/>
          <w:highlight w:val="none"/>
          <w:u w:val="single"/>
        </w:rPr>
        <w:t>（企业名称）</w:t>
      </w:r>
      <w:r>
        <w:rPr>
          <w:rFonts w:hint="eastAsia" w:ascii="仿宋" w:hAnsi="仿宋" w:eastAsia="仿宋"/>
          <w:color w:val="auto"/>
          <w:sz w:val="32"/>
          <w:szCs w:val="32"/>
          <w:highlight w:val="none"/>
        </w:rPr>
        <w:t xml:space="preserve"> ，从业人员人，营业收入为万元，资产总额为万元</w:t>
      </w:r>
      <w:r>
        <w:rPr>
          <w:rFonts w:hint="eastAsia" w:ascii="仿宋" w:hAnsi="仿宋" w:eastAsia="仿宋"/>
          <w:color w:val="auto"/>
          <w:sz w:val="32"/>
          <w:szCs w:val="32"/>
          <w:highlight w:val="none"/>
          <w:vertAlign w:val="superscript"/>
        </w:rPr>
        <w:t>1</w:t>
      </w:r>
      <w:r>
        <w:rPr>
          <w:rFonts w:hint="eastAsia" w:ascii="仿宋" w:hAnsi="仿宋" w:eastAsia="仿宋"/>
          <w:color w:val="auto"/>
          <w:sz w:val="32"/>
          <w:szCs w:val="32"/>
          <w:highlight w:val="none"/>
        </w:rPr>
        <w:t xml:space="preserve"> ，属于</w:t>
      </w:r>
      <w:r>
        <w:rPr>
          <w:rFonts w:hint="eastAsia" w:ascii="仿宋" w:hAnsi="仿宋" w:eastAsia="仿宋"/>
          <w:i/>
          <w:color w:val="auto"/>
          <w:sz w:val="32"/>
          <w:szCs w:val="32"/>
          <w:highlight w:val="none"/>
          <w:u w:val="single"/>
        </w:rPr>
        <w:t xml:space="preserve"> （中型企业、小型企业、微型企业） </w:t>
      </w:r>
      <w:r>
        <w:rPr>
          <w:rFonts w:hint="eastAsia" w:ascii="仿宋" w:hAnsi="仿宋" w:eastAsia="仿宋"/>
          <w:color w:val="auto"/>
          <w:sz w:val="32"/>
          <w:szCs w:val="32"/>
          <w:highlight w:val="none"/>
        </w:rPr>
        <w:t>；</w:t>
      </w:r>
    </w:p>
    <w:p w14:paraId="27E95C5A">
      <w:pPr>
        <w:spacing w:line="500" w:lineRule="exact"/>
        <w:ind w:firstLine="640" w:firstLineChars="200"/>
        <w:rPr>
          <w:rFonts w:ascii="仿宋" w:hAnsi="仿宋" w:eastAsia="仿宋"/>
          <w:color w:val="auto"/>
          <w:sz w:val="32"/>
          <w:szCs w:val="32"/>
          <w:highlight w:val="none"/>
        </w:rPr>
      </w:pPr>
    </w:p>
    <w:p w14:paraId="23E02A74">
      <w:pPr>
        <w:spacing w:line="500" w:lineRule="exact"/>
        <w:ind w:firstLine="640" w:firstLineChars="200"/>
        <w:rPr>
          <w:rFonts w:ascii="仿宋" w:hAnsi="仿宋" w:eastAsia="仿宋"/>
          <w:color w:val="auto"/>
          <w:sz w:val="32"/>
          <w:szCs w:val="32"/>
          <w:highlight w:val="none"/>
        </w:rPr>
      </w:pPr>
      <w:r>
        <w:rPr>
          <w:rFonts w:hint="eastAsia" w:ascii="仿宋" w:hAnsi="仿宋" w:eastAsia="仿宋"/>
          <w:color w:val="auto"/>
          <w:sz w:val="32"/>
          <w:szCs w:val="32"/>
          <w:highlight w:val="none"/>
        </w:rPr>
        <w:t>……</w:t>
      </w:r>
    </w:p>
    <w:p w14:paraId="0D47564A">
      <w:pPr>
        <w:spacing w:line="500" w:lineRule="exact"/>
        <w:ind w:firstLine="640" w:firstLineChars="200"/>
        <w:rPr>
          <w:rFonts w:ascii="仿宋" w:hAnsi="仿宋" w:eastAsia="仿宋"/>
          <w:color w:val="auto"/>
          <w:sz w:val="32"/>
          <w:szCs w:val="32"/>
          <w:highlight w:val="none"/>
        </w:rPr>
      </w:pPr>
      <w:r>
        <w:rPr>
          <w:rFonts w:hint="eastAsia" w:ascii="仿宋" w:hAnsi="仿宋" w:eastAsia="仿宋"/>
          <w:color w:val="auto"/>
          <w:sz w:val="32"/>
          <w:szCs w:val="32"/>
          <w:highlight w:val="none"/>
        </w:rPr>
        <w:t>以上企业，不属于大企业的分支机构，不存在控股股东为大企业的情形，也不存在与大企业的负责人为同一人的情形。</w:t>
      </w:r>
    </w:p>
    <w:p w14:paraId="6F8B282A">
      <w:pPr>
        <w:spacing w:line="500" w:lineRule="exact"/>
        <w:ind w:firstLine="640" w:firstLineChars="200"/>
        <w:rPr>
          <w:rFonts w:ascii="仿宋" w:hAnsi="仿宋" w:eastAsia="仿宋"/>
          <w:color w:val="auto"/>
          <w:sz w:val="32"/>
          <w:szCs w:val="32"/>
          <w:highlight w:val="none"/>
        </w:rPr>
      </w:pPr>
      <w:r>
        <w:rPr>
          <w:rFonts w:hint="eastAsia" w:ascii="仿宋" w:hAnsi="仿宋" w:eastAsia="仿宋"/>
          <w:color w:val="auto"/>
          <w:sz w:val="32"/>
          <w:szCs w:val="32"/>
          <w:highlight w:val="none"/>
        </w:rPr>
        <w:t>本企业对上述声明内容的真实性负责。如有虚假，将依法承担相应责任。</w:t>
      </w:r>
    </w:p>
    <w:p w14:paraId="6542B8FE">
      <w:pPr>
        <w:spacing w:line="500" w:lineRule="exact"/>
        <w:ind w:firstLine="640" w:firstLineChars="200"/>
        <w:jc w:val="righ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企业名称（盖章）：          </w:t>
      </w:r>
    </w:p>
    <w:p w14:paraId="15F8E375">
      <w:pPr>
        <w:spacing w:line="500" w:lineRule="exact"/>
        <w:ind w:firstLine="640" w:firstLineChars="200"/>
        <w:jc w:val="righ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日 期：             </w:t>
      </w:r>
    </w:p>
    <w:p w14:paraId="0F951DBB">
      <w:pPr>
        <w:spacing w:line="500" w:lineRule="exact"/>
        <w:ind w:right="560"/>
        <w:rPr>
          <w:rFonts w:ascii="仿宋" w:hAnsi="仿宋" w:eastAsia="仿宋"/>
          <w:color w:val="auto"/>
          <w:sz w:val="28"/>
          <w:szCs w:val="28"/>
          <w:highlight w:val="none"/>
        </w:rPr>
      </w:pPr>
      <w:r>
        <w:rPr>
          <w:rFonts w:hint="eastAsia" w:ascii="仿宋" w:hAnsi="仿宋" w:eastAsia="仿宋"/>
          <w:color w:val="auto"/>
          <w:sz w:val="28"/>
          <w:szCs w:val="28"/>
          <w:highlight w:val="none"/>
        </w:rPr>
        <w:t>注</w:t>
      </w:r>
      <w:r>
        <w:rPr>
          <w:rFonts w:ascii="仿宋" w:hAnsi="仿宋" w:eastAsia="仿宋"/>
          <w:color w:val="auto"/>
          <w:sz w:val="28"/>
          <w:szCs w:val="28"/>
          <w:highlight w:val="none"/>
        </w:rPr>
        <w:t>1</w:t>
      </w:r>
      <w:r>
        <w:rPr>
          <w:rFonts w:hint="eastAsia" w:ascii="仿宋" w:hAnsi="仿宋" w:eastAsia="仿宋"/>
          <w:color w:val="auto"/>
          <w:sz w:val="28"/>
          <w:szCs w:val="28"/>
          <w:highlight w:val="none"/>
        </w:rPr>
        <w:t>：从业人员、营业收入、资产总额填报上一年度数据，无上一年度数据的新成立企业可不填报。</w:t>
      </w:r>
    </w:p>
    <w:p w14:paraId="1CE2BB8E">
      <w:pPr>
        <w:widowControl/>
        <w:jc w:val="left"/>
      </w:pPr>
      <w:r>
        <w:rPr>
          <w:rFonts w:ascii="仿宋" w:hAnsi="仿宋" w:eastAsia="仿宋"/>
          <w:bCs/>
          <w:color w:val="auto"/>
          <w:sz w:val="28"/>
          <w:szCs w:val="28"/>
          <w:highlight w:val="none"/>
        </w:rPr>
        <w:br w:type="page"/>
      </w:r>
      <w:r>
        <w:rPr>
          <w:rFonts w:hint="eastAsia" w:ascii="仿宋" w:hAnsi="仿宋" w:eastAsia="仿宋"/>
          <w:bCs/>
          <w:color w:val="auto"/>
          <w:sz w:val="28"/>
          <w:szCs w:val="28"/>
          <w:highlight w:val="none"/>
          <w:lang w:eastAsia="zh-CN"/>
        </w:rPr>
        <w:t>（</w:t>
      </w:r>
      <w:r>
        <w:rPr>
          <w:rFonts w:hint="eastAsia" w:ascii="仿宋" w:hAnsi="仿宋" w:eastAsia="仿宋"/>
          <w:bCs/>
          <w:color w:val="auto"/>
          <w:sz w:val="28"/>
          <w:szCs w:val="28"/>
          <w:highlight w:val="none"/>
          <w:lang w:val="en-US" w:eastAsia="zh-CN"/>
        </w:rPr>
        <w:t>十一</w:t>
      </w:r>
      <w:r>
        <w:rPr>
          <w:rFonts w:hint="eastAsia" w:ascii="仿宋" w:hAnsi="仿宋" w:eastAsia="仿宋"/>
          <w:bCs/>
          <w:color w:val="auto"/>
          <w:sz w:val="28"/>
          <w:szCs w:val="28"/>
          <w:highlight w:val="none"/>
          <w:lang w:eastAsia="zh-CN"/>
        </w:rPr>
        <w:t>）</w:t>
      </w:r>
      <w:r>
        <w:rPr>
          <w:rFonts w:hint="eastAsia" w:ascii="仿宋" w:hAnsi="仿宋" w:eastAsia="仿宋" w:cs="Times New Roman"/>
          <w:bCs/>
          <w:color w:val="auto"/>
          <w:sz w:val="28"/>
          <w:szCs w:val="28"/>
          <w:highlight w:val="none"/>
        </w:rPr>
        <w:t>其他资格证明材料</w:t>
      </w:r>
    </w:p>
    <w:p w14:paraId="16A7E300">
      <w:pPr>
        <w:numPr>
          <w:ilvl w:val="0"/>
          <w:numId w:val="0"/>
        </w:numPr>
        <w:spacing w:before="50" w:afterLines="50"/>
        <w:ind w:firstLine="560" w:firstLineChars="200"/>
        <w:jc w:val="left"/>
      </w:pPr>
      <w:r>
        <w:rPr>
          <w:rFonts w:hint="eastAsia" w:ascii="仿宋" w:hAnsi="仿宋" w:eastAsia="仿宋" w:cs="Times New Roman"/>
          <w:color w:val="auto"/>
          <w:kern w:val="2"/>
          <w:sz w:val="28"/>
          <w:szCs w:val="28"/>
          <w:highlight w:val="none"/>
        </w:rPr>
        <w:t>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rPr>
          <w:rFonts w:hint="eastAsia" w:ascii="仿宋" w:hAnsi="仿宋" w:eastAsia="仿宋" w:cs="Times New Roman"/>
          <w:b/>
          <w:bCs/>
          <w:color w:val="auto"/>
          <w:kern w:val="2"/>
          <w:sz w:val="28"/>
          <w:szCs w:val="28"/>
          <w:highlight w:val="none"/>
          <w:lang w:val="en-US" w:eastAsia="zh-CN"/>
        </w:rPr>
        <w:t>响应供应商须</w:t>
      </w:r>
      <w:r>
        <w:rPr>
          <w:rFonts w:hint="eastAsia" w:ascii="仿宋" w:hAnsi="仿宋" w:eastAsia="仿宋" w:cs="Times New Roman"/>
          <w:b/>
          <w:bCs/>
          <w:color w:val="auto"/>
          <w:kern w:val="2"/>
          <w:sz w:val="28"/>
          <w:szCs w:val="28"/>
          <w:highlight w:val="none"/>
          <w:lang w:eastAsia="zh-CN"/>
        </w:rPr>
        <w:t>提供承诺函，格式自拟。</w:t>
      </w:r>
      <w:r>
        <w:rPr>
          <w:rFonts w:hint="eastAsia" w:ascii="仿宋" w:hAnsi="仿宋" w:eastAsia="仿宋" w:cs="Times New Roman"/>
          <w:b/>
          <w:bCs/>
          <w:color w:val="auto"/>
          <w:kern w:val="2"/>
          <w:sz w:val="28"/>
          <w:szCs w:val="28"/>
          <w:highlight w:val="none"/>
          <w:lang w:val="en-US" w:eastAsia="zh-CN"/>
        </w:rPr>
        <w:t>不提供视为无效响应。</w:t>
      </w:r>
    </w:p>
    <w:p w14:paraId="2FB7A02C">
      <w:pPr>
        <w:ind w:firstLine="562" w:firstLineChars="200"/>
        <w:rPr>
          <w:rFonts w:hint="eastAsia" w:ascii="仿宋" w:hAnsi="仿宋" w:eastAsia="仿宋"/>
          <w:b/>
          <w:color w:val="auto"/>
          <w:sz w:val="28"/>
          <w:szCs w:val="28"/>
          <w:highlight w:val="none"/>
        </w:rPr>
      </w:pPr>
    </w:p>
    <w:p w14:paraId="09F5778A">
      <w:pPr>
        <w:ind w:firstLine="562" w:firstLineChars="200"/>
        <w:rPr>
          <w:rFonts w:ascii="仿宋" w:hAnsi="仿宋" w:eastAsia="仿宋"/>
          <w:b/>
          <w:color w:val="auto"/>
          <w:sz w:val="28"/>
          <w:szCs w:val="28"/>
          <w:highlight w:val="none"/>
        </w:rPr>
      </w:pPr>
      <w:r>
        <w:rPr>
          <w:rFonts w:hint="eastAsia" w:ascii="仿宋" w:hAnsi="仿宋" w:eastAsia="仿宋"/>
          <w:b/>
          <w:color w:val="auto"/>
          <w:sz w:val="28"/>
          <w:szCs w:val="28"/>
          <w:highlight w:val="none"/>
        </w:rPr>
        <w:t>注意：以上资格证明文件中要求加盖公章的，必须加盖公章；如供应商组成联合体参加磋商，则联合体各方均须加盖公章，否则视为无效磋商响应文件。</w:t>
      </w:r>
    </w:p>
    <w:p w14:paraId="78C27A9F">
      <w:pPr>
        <w:ind w:firstLine="560" w:firstLineChars="200"/>
        <w:outlineLvl w:val="1"/>
        <w:rPr>
          <w:rFonts w:ascii="黑体" w:hAnsi="黑体" w:eastAsia="黑体"/>
          <w:bCs/>
          <w:color w:val="auto"/>
          <w:sz w:val="28"/>
          <w:szCs w:val="28"/>
          <w:highlight w:val="none"/>
        </w:rPr>
      </w:pPr>
      <w:r>
        <w:rPr>
          <w:rFonts w:ascii="黑体" w:hAnsi="黑体" w:eastAsia="黑体"/>
          <w:color w:val="auto"/>
          <w:sz w:val="28"/>
          <w:szCs w:val="28"/>
          <w:highlight w:val="none"/>
        </w:rPr>
        <w:br w:type="page"/>
      </w:r>
      <w:bookmarkStart w:id="96" w:name="_Toc12740"/>
      <w:r>
        <w:rPr>
          <w:rFonts w:hint="eastAsia" w:ascii="黑体" w:hAnsi="黑体" w:eastAsia="黑体"/>
          <w:color w:val="auto"/>
          <w:sz w:val="28"/>
          <w:szCs w:val="28"/>
          <w:highlight w:val="none"/>
        </w:rPr>
        <w:t>二、商务技术文件</w:t>
      </w:r>
      <w:bookmarkEnd w:id="96"/>
    </w:p>
    <w:p w14:paraId="143DB89A">
      <w:pPr>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（一）评分索引表</w:t>
      </w:r>
    </w:p>
    <w:p w14:paraId="60D7C2C5">
      <w:pPr>
        <w:ind w:firstLine="641"/>
        <w:jc w:val="center"/>
        <w:rPr>
          <w:rFonts w:ascii="方正小标宋简体" w:hAnsi="宋体" w:eastAsia="方正小标宋简体"/>
          <w:color w:val="auto"/>
          <w:sz w:val="32"/>
          <w:szCs w:val="32"/>
          <w:highlight w:val="none"/>
        </w:rPr>
      </w:pPr>
      <w:r>
        <w:rPr>
          <w:rFonts w:hint="eastAsia" w:ascii="方正小标宋简体" w:hAnsi="宋体" w:eastAsia="方正小标宋简体"/>
          <w:color w:val="auto"/>
          <w:sz w:val="32"/>
          <w:szCs w:val="32"/>
          <w:highlight w:val="none"/>
        </w:rPr>
        <w:t>评分索引表</w:t>
      </w:r>
    </w:p>
    <w:p w14:paraId="64956F0C">
      <w:pPr>
        <w:ind w:firstLine="641"/>
        <w:jc w:val="center"/>
        <w:rPr>
          <w:rFonts w:ascii="仿宋" w:hAnsi="仿宋" w:eastAsia="仿宋"/>
          <w:color w:val="auto"/>
          <w:sz w:val="28"/>
          <w:szCs w:val="28"/>
          <w:highlight w:val="none"/>
        </w:rPr>
      </w:pPr>
      <w:r>
        <w:rPr>
          <w:rFonts w:hint="eastAsia" w:ascii="方正小标宋简体" w:hAnsi="宋体" w:eastAsia="方正小标宋简体"/>
          <w:color w:val="auto"/>
          <w:sz w:val="32"/>
          <w:szCs w:val="32"/>
          <w:highlight w:val="none"/>
        </w:rPr>
        <w:t>（线上评审无需提供）</w:t>
      </w:r>
    </w:p>
    <w:tbl>
      <w:tblPr>
        <w:tblStyle w:val="22"/>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30"/>
        <w:gridCol w:w="1900"/>
        <w:gridCol w:w="739"/>
        <w:gridCol w:w="2582"/>
        <w:gridCol w:w="2252"/>
        <w:gridCol w:w="1467"/>
      </w:tblGrid>
      <w:tr w14:paraId="23BD1B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30" w:type="dxa"/>
            <w:tcBorders>
              <w:top w:val="single" w:color="auto" w:sz="12" w:space="0"/>
              <w:left w:val="single" w:color="auto" w:sz="12" w:space="0"/>
              <w:bottom w:val="single" w:color="auto" w:sz="6" w:space="0"/>
              <w:right w:val="single" w:color="auto" w:sz="6" w:space="0"/>
            </w:tcBorders>
            <w:vAlign w:val="center"/>
          </w:tcPr>
          <w:p w14:paraId="3C546002">
            <w:pPr>
              <w:adjustRightInd w:val="0"/>
              <w:snapToGrid w:val="0"/>
              <w:jc w:val="center"/>
              <w:rPr>
                <w:rFonts w:ascii="仿宋" w:hAnsi="仿宋" w:eastAsia="仿宋"/>
                <w:color w:val="auto"/>
                <w:sz w:val="24"/>
                <w:highlight w:val="none"/>
              </w:rPr>
            </w:pPr>
            <w:r>
              <w:rPr>
                <w:rFonts w:hint="eastAsia" w:ascii="仿宋" w:hAnsi="仿宋" w:eastAsia="仿宋"/>
                <w:color w:val="auto"/>
                <w:sz w:val="24"/>
                <w:highlight w:val="none"/>
              </w:rPr>
              <w:t>序号</w:t>
            </w:r>
          </w:p>
        </w:tc>
        <w:tc>
          <w:tcPr>
            <w:tcW w:w="1900" w:type="dxa"/>
            <w:tcBorders>
              <w:top w:val="single" w:color="auto" w:sz="12" w:space="0"/>
              <w:left w:val="single" w:color="auto" w:sz="6" w:space="0"/>
              <w:bottom w:val="single" w:color="auto" w:sz="6" w:space="0"/>
              <w:right w:val="single" w:color="auto" w:sz="6" w:space="0"/>
            </w:tcBorders>
            <w:vAlign w:val="center"/>
          </w:tcPr>
          <w:p w14:paraId="335BCCA7">
            <w:pPr>
              <w:adjustRightInd w:val="0"/>
              <w:snapToGrid w:val="0"/>
              <w:jc w:val="center"/>
              <w:rPr>
                <w:rFonts w:ascii="仿宋" w:hAnsi="仿宋" w:eastAsia="仿宋"/>
                <w:color w:val="auto"/>
                <w:sz w:val="24"/>
                <w:highlight w:val="none"/>
              </w:rPr>
            </w:pPr>
            <w:r>
              <w:rPr>
                <w:rFonts w:hint="eastAsia" w:ascii="仿宋" w:hAnsi="仿宋" w:eastAsia="仿宋"/>
                <w:color w:val="auto"/>
                <w:sz w:val="24"/>
                <w:highlight w:val="none"/>
              </w:rPr>
              <w:t>评审因素</w:t>
            </w:r>
          </w:p>
        </w:tc>
        <w:tc>
          <w:tcPr>
            <w:tcW w:w="739" w:type="dxa"/>
            <w:tcBorders>
              <w:top w:val="single" w:color="auto" w:sz="12" w:space="0"/>
              <w:left w:val="single" w:color="auto" w:sz="6" w:space="0"/>
              <w:bottom w:val="single" w:color="auto" w:sz="6" w:space="0"/>
              <w:right w:val="single" w:color="auto" w:sz="6" w:space="0"/>
            </w:tcBorders>
            <w:vAlign w:val="center"/>
          </w:tcPr>
          <w:p w14:paraId="169E217C">
            <w:pPr>
              <w:adjustRightInd w:val="0"/>
              <w:snapToGrid w:val="0"/>
              <w:jc w:val="center"/>
              <w:rPr>
                <w:rFonts w:ascii="仿宋" w:hAnsi="仿宋" w:eastAsia="仿宋"/>
                <w:color w:val="auto"/>
                <w:sz w:val="24"/>
                <w:highlight w:val="none"/>
              </w:rPr>
            </w:pPr>
            <w:r>
              <w:rPr>
                <w:rFonts w:hint="eastAsia" w:ascii="仿宋" w:hAnsi="仿宋" w:eastAsia="仿宋"/>
                <w:color w:val="auto"/>
                <w:sz w:val="24"/>
                <w:highlight w:val="none"/>
              </w:rPr>
              <w:t>分值</w:t>
            </w:r>
          </w:p>
        </w:tc>
        <w:tc>
          <w:tcPr>
            <w:tcW w:w="2582" w:type="dxa"/>
            <w:tcBorders>
              <w:top w:val="single" w:color="auto" w:sz="12" w:space="0"/>
              <w:left w:val="single" w:color="auto" w:sz="6" w:space="0"/>
              <w:bottom w:val="single" w:color="auto" w:sz="6" w:space="0"/>
              <w:right w:val="single" w:color="auto" w:sz="6" w:space="0"/>
            </w:tcBorders>
            <w:vAlign w:val="center"/>
          </w:tcPr>
          <w:p w14:paraId="6443A2F0">
            <w:pPr>
              <w:adjustRightInd w:val="0"/>
              <w:snapToGrid w:val="0"/>
              <w:jc w:val="center"/>
              <w:rPr>
                <w:rFonts w:ascii="仿宋" w:hAnsi="仿宋" w:eastAsia="仿宋"/>
                <w:color w:val="auto"/>
                <w:sz w:val="24"/>
                <w:highlight w:val="none"/>
              </w:rPr>
            </w:pPr>
            <w:r>
              <w:rPr>
                <w:rFonts w:hint="eastAsia" w:ascii="仿宋" w:hAnsi="仿宋" w:eastAsia="仿宋"/>
                <w:color w:val="auto"/>
                <w:sz w:val="24"/>
                <w:highlight w:val="none"/>
              </w:rPr>
              <w:t>评审要求或标准</w:t>
            </w:r>
          </w:p>
        </w:tc>
        <w:tc>
          <w:tcPr>
            <w:tcW w:w="2252" w:type="dxa"/>
            <w:tcBorders>
              <w:top w:val="single" w:color="auto" w:sz="12" w:space="0"/>
              <w:left w:val="single" w:color="auto" w:sz="6" w:space="0"/>
              <w:bottom w:val="single" w:color="auto" w:sz="6" w:space="0"/>
              <w:right w:val="single" w:color="auto" w:sz="6" w:space="0"/>
            </w:tcBorders>
            <w:vAlign w:val="center"/>
          </w:tcPr>
          <w:p w14:paraId="123F7877">
            <w:pPr>
              <w:adjustRightInd w:val="0"/>
              <w:snapToGrid w:val="0"/>
              <w:jc w:val="center"/>
              <w:rPr>
                <w:rFonts w:ascii="仿宋" w:hAnsi="仿宋" w:eastAsia="仿宋"/>
                <w:color w:val="auto"/>
                <w:sz w:val="24"/>
                <w:highlight w:val="none"/>
              </w:rPr>
            </w:pPr>
            <w:r>
              <w:rPr>
                <w:rFonts w:hint="eastAsia" w:ascii="仿宋" w:hAnsi="仿宋" w:eastAsia="仿宋"/>
                <w:color w:val="auto"/>
                <w:sz w:val="24"/>
                <w:highlight w:val="none"/>
              </w:rPr>
              <w:t>供应商提供的材料名称</w:t>
            </w:r>
          </w:p>
        </w:tc>
        <w:tc>
          <w:tcPr>
            <w:tcW w:w="1467" w:type="dxa"/>
            <w:tcBorders>
              <w:top w:val="single" w:color="auto" w:sz="12" w:space="0"/>
              <w:left w:val="single" w:color="auto" w:sz="6" w:space="0"/>
              <w:bottom w:val="single" w:color="auto" w:sz="6" w:space="0"/>
              <w:right w:val="single" w:color="auto" w:sz="12" w:space="0"/>
            </w:tcBorders>
            <w:vAlign w:val="center"/>
          </w:tcPr>
          <w:p w14:paraId="6FEF47FE">
            <w:pPr>
              <w:adjustRightInd w:val="0"/>
              <w:snapToGrid w:val="0"/>
              <w:jc w:val="center"/>
              <w:rPr>
                <w:rFonts w:ascii="仿宋" w:hAnsi="仿宋" w:eastAsia="仿宋"/>
                <w:color w:val="auto"/>
                <w:sz w:val="24"/>
                <w:highlight w:val="none"/>
              </w:rPr>
            </w:pPr>
            <w:r>
              <w:rPr>
                <w:rFonts w:hint="eastAsia" w:ascii="仿宋" w:hAnsi="仿宋" w:eastAsia="仿宋"/>
                <w:color w:val="auto"/>
                <w:sz w:val="24"/>
                <w:highlight w:val="none"/>
              </w:rPr>
              <w:t>页码</w:t>
            </w:r>
          </w:p>
        </w:tc>
      </w:tr>
      <w:tr w14:paraId="7C6691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9" w:hRule="atLeast"/>
        </w:trPr>
        <w:tc>
          <w:tcPr>
            <w:tcW w:w="630" w:type="dxa"/>
            <w:tcBorders>
              <w:top w:val="single" w:color="auto" w:sz="6" w:space="0"/>
              <w:left w:val="single" w:color="auto" w:sz="12" w:space="0"/>
              <w:bottom w:val="single" w:color="auto" w:sz="6" w:space="0"/>
              <w:right w:val="single" w:color="auto" w:sz="6" w:space="0"/>
            </w:tcBorders>
            <w:vAlign w:val="center"/>
          </w:tcPr>
          <w:p w14:paraId="7461A22E">
            <w:pPr>
              <w:adjustRightInd w:val="0"/>
              <w:snapToGrid w:val="0"/>
              <w:jc w:val="center"/>
              <w:rPr>
                <w:rFonts w:ascii="仿宋" w:hAnsi="仿宋" w:eastAsia="仿宋"/>
                <w:color w:val="auto"/>
                <w:sz w:val="24"/>
                <w:highlight w:val="none"/>
              </w:rPr>
            </w:pPr>
            <w:r>
              <w:rPr>
                <w:rFonts w:hint="eastAsia" w:ascii="仿宋" w:hAnsi="仿宋" w:eastAsia="仿宋"/>
                <w:color w:val="auto"/>
                <w:sz w:val="24"/>
                <w:highlight w:val="none"/>
              </w:rPr>
              <w:t>1</w:t>
            </w:r>
          </w:p>
        </w:tc>
        <w:tc>
          <w:tcPr>
            <w:tcW w:w="1900" w:type="dxa"/>
            <w:tcBorders>
              <w:top w:val="single" w:color="auto" w:sz="6" w:space="0"/>
              <w:left w:val="single" w:color="auto" w:sz="6" w:space="0"/>
              <w:bottom w:val="single" w:color="auto" w:sz="6" w:space="0"/>
              <w:right w:val="single" w:color="auto" w:sz="6" w:space="0"/>
            </w:tcBorders>
            <w:vAlign w:val="center"/>
          </w:tcPr>
          <w:p w14:paraId="06F1B2B9">
            <w:pPr>
              <w:adjustRightInd w:val="0"/>
              <w:snapToGrid w:val="0"/>
              <w:jc w:val="center"/>
              <w:rPr>
                <w:rFonts w:ascii="仿宋" w:hAnsi="仿宋" w:eastAsia="仿宋"/>
                <w:color w:val="auto"/>
                <w:sz w:val="24"/>
                <w:highlight w:val="none"/>
              </w:rPr>
            </w:pPr>
          </w:p>
        </w:tc>
        <w:tc>
          <w:tcPr>
            <w:tcW w:w="739" w:type="dxa"/>
            <w:tcBorders>
              <w:top w:val="single" w:color="auto" w:sz="6" w:space="0"/>
              <w:left w:val="single" w:color="auto" w:sz="6" w:space="0"/>
              <w:bottom w:val="single" w:color="auto" w:sz="6" w:space="0"/>
              <w:right w:val="single" w:color="auto" w:sz="6" w:space="0"/>
            </w:tcBorders>
            <w:vAlign w:val="center"/>
          </w:tcPr>
          <w:p w14:paraId="12DC2913">
            <w:pPr>
              <w:adjustRightInd w:val="0"/>
              <w:snapToGrid w:val="0"/>
              <w:jc w:val="center"/>
              <w:rPr>
                <w:rFonts w:ascii="仿宋" w:hAnsi="仿宋" w:eastAsia="仿宋"/>
                <w:color w:val="auto"/>
                <w:sz w:val="24"/>
                <w:highlight w:val="none"/>
              </w:rPr>
            </w:pPr>
          </w:p>
        </w:tc>
        <w:tc>
          <w:tcPr>
            <w:tcW w:w="2582" w:type="dxa"/>
            <w:tcBorders>
              <w:top w:val="single" w:color="auto" w:sz="6" w:space="0"/>
              <w:left w:val="single" w:color="auto" w:sz="6" w:space="0"/>
              <w:bottom w:val="single" w:color="auto" w:sz="6" w:space="0"/>
              <w:right w:val="single" w:color="auto" w:sz="6" w:space="0"/>
            </w:tcBorders>
            <w:vAlign w:val="center"/>
          </w:tcPr>
          <w:p w14:paraId="45710A91">
            <w:pPr>
              <w:adjustRightInd w:val="0"/>
              <w:snapToGrid w:val="0"/>
              <w:jc w:val="center"/>
              <w:rPr>
                <w:rFonts w:ascii="仿宋" w:hAnsi="仿宋" w:eastAsia="仿宋"/>
                <w:color w:val="auto"/>
                <w:sz w:val="24"/>
                <w:highlight w:val="none"/>
              </w:rPr>
            </w:pPr>
          </w:p>
        </w:tc>
        <w:tc>
          <w:tcPr>
            <w:tcW w:w="2252" w:type="dxa"/>
            <w:tcBorders>
              <w:top w:val="single" w:color="auto" w:sz="6" w:space="0"/>
              <w:left w:val="single" w:color="auto" w:sz="6" w:space="0"/>
              <w:bottom w:val="single" w:color="auto" w:sz="6" w:space="0"/>
              <w:right w:val="single" w:color="auto" w:sz="6" w:space="0"/>
            </w:tcBorders>
          </w:tcPr>
          <w:p w14:paraId="54DE5981">
            <w:pPr>
              <w:adjustRightInd w:val="0"/>
              <w:snapToGrid w:val="0"/>
              <w:jc w:val="center"/>
              <w:rPr>
                <w:rFonts w:ascii="仿宋" w:hAnsi="仿宋" w:eastAsia="仿宋"/>
                <w:color w:val="auto"/>
                <w:sz w:val="24"/>
                <w:highlight w:val="none"/>
              </w:rPr>
            </w:pPr>
          </w:p>
        </w:tc>
        <w:tc>
          <w:tcPr>
            <w:tcW w:w="1467" w:type="dxa"/>
            <w:tcBorders>
              <w:top w:val="single" w:color="auto" w:sz="6" w:space="0"/>
              <w:left w:val="single" w:color="auto" w:sz="6" w:space="0"/>
              <w:bottom w:val="single" w:color="auto" w:sz="6" w:space="0"/>
              <w:right w:val="single" w:color="auto" w:sz="12" w:space="0"/>
            </w:tcBorders>
          </w:tcPr>
          <w:p w14:paraId="01207FD0">
            <w:pPr>
              <w:adjustRightInd w:val="0"/>
              <w:snapToGrid w:val="0"/>
              <w:jc w:val="center"/>
              <w:rPr>
                <w:rFonts w:ascii="仿宋" w:hAnsi="仿宋" w:eastAsia="仿宋"/>
                <w:color w:val="auto"/>
                <w:sz w:val="24"/>
                <w:highlight w:val="none"/>
              </w:rPr>
            </w:pPr>
          </w:p>
        </w:tc>
      </w:tr>
      <w:tr w14:paraId="61CECC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30" w:type="dxa"/>
            <w:tcBorders>
              <w:top w:val="single" w:color="auto" w:sz="6" w:space="0"/>
              <w:left w:val="single" w:color="auto" w:sz="12" w:space="0"/>
              <w:bottom w:val="single" w:color="auto" w:sz="6" w:space="0"/>
              <w:right w:val="single" w:color="auto" w:sz="6" w:space="0"/>
            </w:tcBorders>
            <w:vAlign w:val="center"/>
          </w:tcPr>
          <w:p w14:paraId="79F1F6A8">
            <w:pPr>
              <w:adjustRightInd w:val="0"/>
              <w:snapToGrid w:val="0"/>
              <w:jc w:val="center"/>
              <w:rPr>
                <w:rFonts w:ascii="仿宋" w:hAnsi="仿宋" w:eastAsia="仿宋"/>
                <w:color w:val="auto"/>
                <w:sz w:val="24"/>
                <w:highlight w:val="none"/>
              </w:rPr>
            </w:pPr>
            <w:r>
              <w:rPr>
                <w:rFonts w:hint="eastAsia" w:ascii="仿宋" w:hAnsi="仿宋" w:eastAsia="仿宋"/>
                <w:color w:val="auto"/>
                <w:sz w:val="24"/>
                <w:highlight w:val="none"/>
              </w:rPr>
              <w:t>2</w:t>
            </w:r>
          </w:p>
        </w:tc>
        <w:tc>
          <w:tcPr>
            <w:tcW w:w="1900" w:type="dxa"/>
            <w:tcBorders>
              <w:top w:val="single" w:color="auto" w:sz="6" w:space="0"/>
              <w:left w:val="single" w:color="auto" w:sz="6" w:space="0"/>
              <w:bottom w:val="single" w:color="auto" w:sz="6" w:space="0"/>
              <w:right w:val="single" w:color="auto" w:sz="6" w:space="0"/>
            </w:tcBorders>
            <w:vAlign w:val="center"/>
          </w:tcPr>
          <w:p w14:paraId="72DAB917">
            <w:pPr>
              <w:adjustRightInd w:val="0"/>
              <w:snapToGrid w:val="0"/>
              <w:jc w:val="center"/>
              <w:rPr>
                <w:rFonts w:ascii="仿宋" w:hAnsi="仿宋" w:eastAsia="仿宋"/>
                <w:color w:val="auto"/>
                <w:sz w:val="24"/>
                <w:highlight w:val="none"/>
              </w:rPr>
            </w:pPr>
          </w:p>
        </w:tc>
        <w:tc>
          <w:tcPr>
            <w:tcW w:w="739" w:type="dxa"/>
            <w:tcBorders>
              <w:top w:val="single" w:color="auto" w:sz="6" w:space="0"/>
              <w:left w:val="single" w:color="auto" w:sz="6" w:space="0"/>
              <w:bottom w:val="single" w:color="auto" w:sz="6" w:space="0"/>
              <w:right w:val="single" w:color="auto" w:sz="6" w:space="0"/>
            </w:tcBorders>
            <w:vAlign w:val="center"/>
          </w:tcPr>
          <w:p w14:paraId="530312BA">
            <w:pPr>
              <w:adjustRightInd w:val="0"/>
              <w:snapToGrid w:val="0"/>
              <w:jc w:val="center"/>
              <w:rPr>
                <w:rFonts w:ascii="仿宋" w:hAnsi="仿宋" w:eastAsia="仿宋"/>
                <w:color w:val="auto"/>
                <w:sz w:val="24"/>
                <w:highlight w:val="none"/>
              </w:rPr>
            </w:pPr>
          </w:p>
        </w:tc>
        <w:tc>
          <w:tcPr>
            <w:tcW w:w="2582" w:type="dxa"/>
            <w:tcBorders>
              <w:top w:val="single" w:color="auto" w:sz="6" w:space="0"/>
              <w:left w:val="single" w:color="auto" w:sz="6" w:space="0"/>
              <w:bottom w:val="single" w:color="auto" w:sz="6" w:space="0"/>
              <w:right w:val="single" w:color="auto" w:sz="6" w:space="0"/>
            </w:tcBorders>
            <w:vAlign w:val="center"/>
          </w:tcPr>
          <w:p w14:paraId="4FBB0555">
            <w:pPr>
              <w:adjustRightInd w:val="0"/>
              <w:snapToGrid w:val="0"/>
              <w:jc w:val="center"/>
              <w:rPr>
                <w:rFonts w:ascii="仿宋" w:hAnsi="仿宋" w:eastAsia="仿宋"/>
                <w:color w:val="auto"/>
                <w:sz w:val="24"/>
                <w:highlight w:val="none"/>
              </w:rPr>
            </w:pPr>
          </w:p>
        </w:tc>
        <w:tc>
          <w:tcPr>
            <w:tcW w:w="2252" w:type="dxa"/>
            <w:tcBorders>
              <w:top w:val="single" w:color="auto" w:sz="6" w:space="0"/>
              <w:left w:val="single" w:color="auto" w:sz="6" w:space="0"/>
              <w:bottom w:val="single" w:color="auto" w:sz="6" w:space="0"/>
              <w:right w:val="single" w:color="auto" w:sz="6" w:space="0"/>
            </w:tcBorders>
          </w:tcPr>
          <w:p w14:paraId="79F5FB0B">
            <w:pPr>
              <w:adjustRightInd w:val="0"/>
              <w:snapToGrid w:val="0"/>
              <w:jc w:val="center"/>
              <w:rPr>
                <w:rFonts w:ascii="仿宋" w:hAnsi="仿宋" w:eastAsia="仿宋"/>
                <w:color w:val="auto"/>
                <w:sz w:val="24"/>
                <w:highlight w:val="none"/>
              </w:rPr>
            </w:pPr>
          </w:p>
        </w:tc>
        <w:tc>
          <w:tcPr>
            <w:tcW w:w="1467" w:type="dxa"/>
            <w:tcBorders>
              <w:top w:val="single" w:color="auto" w:sz="6" w:space="0"/>
              <w:left w:val="single" w:color="auto" w:sz="6" w:space="0"/>
              <w:bottom w:val="single" w:color="auto" w:sz="6" w:space="0"/>
              <w:right w:val="single" w:color="auto" w:sz="12" w:space="0"/>
            </w:tcBorders>
          </w:tcPr>
          <w:p w14:paraId="61594A82">
            <w:pPr>
              <w:adjustRightInd w:val="0"/>
              <w:snapToGrid w:val="0"/>
              <w:jc w:val="center"/>
              <w:rPr>
                <w:rFonts w:ascii="仿宋" w:hAnsi="仿宋" w:eastAsia="仿宋"/>
                <w:color w:val="auto"/>
                <w:sz w:val="24"/>
                <w:highlight w:val="none"/>
              </w:rPr>
            </w:pPr>
          </w:p>
        </w:tc>
      </w:tr>
      <w:tr w14:paraId="3436E4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30" w:type="dxa"/>
            <w:tcBorders>
              <w:top w:val="single" w:color="auto" w:sz="6" w:space="0"/>
              <w:left w:val="single" w:color="auto" w:sz="12" w:space="0"/>
              <w:bottom w:val="single" w:color="auto" w:sz="6" w:space="0"/>
              <w:right w:val="single" w:color="auto" w:sz="6" w:space="0"/>
            </w:tcBorders>
            <w:vAlign w:val="center"/>
          </w:tcPr>
          <w:p w14:paraId="32152CAC">
            <w:pPr>
              <w:adjustRightInd w:val="0"/>
              <w:snapToGrid w:val="0"/>
              <w:jc w:val="center"/>
              <w:rPr>
                <w:rFonts w:ascii="仿宋" w:hAnsi="仿宋" w:eastAsia="仿宋"/>
                <w:color w:val="auto"/>
                <w:sz w:val="24"/>
                <w:highlight w:val="none"/>
              </w:rPr>
            </w:pPr>
            <w:r>
              <w:rPr>
                <w:rFonts w:hint="eastAsia" w:ascii="仿宋" w:hAnsi="仿宋" w:eastAsia="仿宋"/>
                <w:color w:val="auto"/>
                <w:sz w:val="24"/>
                <w:highlight w:val="none"/>
              </w:rPr>
              <w:t>3</w:t>
            </w:r>
          </w:p>
        </w:tc>
        <w:tc>
          <w:tcPr>
            <w:tcW w:w="1900" w:type="dxa"/>
            <w:tcBorders>
              <w:top w:val="single" w:color="auto" w:sz="6" w:space="0"/>
              <w:left w:val="single" w:color="auto" w:sz="6" w:space="0"/>
              <w:bottom w:val="single" w:color="auto" w:sz="6" w:space="0"/>
              <w:right w:val="single" w:color="auto" w:sz="6" w:space="0"/>
            </w:tcBorders>
            <w:vAlign w:val="center"/>
          </w:tcPr>
          <w:p w14:paraId="074FAB12">
            <w:pPr>
              <w:adjustRightInd w:val="0"/>
              <w:snapToGrid w:val="0"/>
              <w:jc w:val="center"/>
              <w:rPr>
                <w:rFonts w:ascii="仿宋" w:hAnsi="仿宋" w:eastAsia="仿宋"/>
                <w:color w:val="auto"/>
                <w:sz w:val="24"/>
                <w:highlight w:val="none"/>
              </w:rPr>
            </w:pPr>
          </w:p>
        </w:tc>
        <w:tc>
          <w:tcPr>
            <w:tcW w:w="739" w:type="dxa"/>
            <w:tcBorders>
              <w:top w:val="single" w:color="auto" w:sz="6" w:space="0"/>
              <w:left w:val="single" w:color="auto" w:sz="6" w:space="0"/>
              <w:bottom w:val="single" w:color="auto" w:sz="6" w:space="0"/>
              <w:right w:val="single" w:color="auto" w:sz="6" w:space="0"/>
            </w:tcBorders>
            <w:vAlign w:val="center"/>
          </w:tcPr>
          <w:p w14:paraId="5AF63DA0">
            <w:pPr>
              <w:adjustRightInd w:val="0"/>
              <w:snapToGrid w:val="0"/>
              <w:jc w:val="center"/>
              <w:rPr>
                <w:rFonts w:ascii="仿宋" w:hAnsi="仿宋" w:eastAsia="仿宋"/>
                <w:color w:val="auto"/>
                <w:sz w:val="24"/>
                <w:highlight w:val="none"/>
              </w:rPr>
            </w:pPr>
          </w:p>
        </w:tc>
        <w:tc>
          <w:tcPr>
            <w:tcW w:w="2582" w:type="dxa"/>
            <w:tcBorders>
              <w:top w:val="single" w:color="auto" w:sz="6" w:space="0"/>
              <w:left w:val="single" w:color="auto" w:sz="6" w:space="0"/>
              <w:bottom w:val="single" w:color="auto" w:sz="6" w:space="0"/>
              <w:right w:val="single" w:color="auto" w:sz="6" w:space="0"/>
            </w:tcBorders>
            <w:vAlign w:val="center"/>
          </w:tcPr>
          <w:p w14:paraId="70E78202">
            <w:pPr>
              <w:adjustRightInd w:val="0"/>
              <w:snapToGrid w:val="0"/>
              <w:jc w:val="center"/>
              <w:rPr>
                <w:rFonts w:ascii="仿宋" w:hAnsi="仿宋" w:eastAsia="仿宋"/>
                <w:color w:val="auto"/>
                <w:sz w:val="24"/>
                <w:highlight w:val="none"/>
              </w:rPr>
            </w:pPr>
          </w:p>
        </w:tc>
        <w:tc>
          <w:tcPr>
            <w:tcW w:w="2252" w:type="dxa"/>
            <w:tcBorders>
              <w:top w:val="single" w:color="auto" w:sz="6" w:space="0"/>
              <w:left w:val="single" w:color="auto" w:sz="6" w:space="0"/>
              <w:bottom w:val="single" w:color="auto" w:sz="6" w:space="0"/>
              <w:right w:val="single" w:color="auto" w:sz="6" w:space="0"/>
            </w:tcBorders>
          </w:tcPr>
          <w:p w14:paraId="57BA07CB">
            <w:pPr>
              <w:adjustRightInd w:val="0"/>
              <w:snapToGrid w:val="0"/>
              <w:jc w:val="center"/>
              <w:rPr>
                <w:rFonts w:ascii="仿宋" w:hAnsi="仿宋" w:eastAsia="仿宋"/>
                <w:color w:val="auto"/>
                <w:sz w:val="24"/>
                <w:highlight w:val="none"/>
              </w:rPr>
            </w:pPr>
          </w:p>
        </w:tc>
        <w:tc>
          <w:tcPr>
            <w:tcW w:w="1467" w:type="dxa"/>
            <w:tcBorders>
              <w:top w:val="single" w:color="auto" w:sz="6" w:space="0"/>
              <w:left w:val="single" w:color="auto" w:sz="6" w:space="0"/>
              <w:bottom w:val="single" w:color="auto" w:sz="6" w:space="0"/>
              <w:right w:val="single" w:color="auto" w:sz="12" w:space="0"/>
            </w:tcBorders>
          </w:tcPr>
          <w:p w14:paraId="424109BA">
            <w:pPr>
              <w:adjustRightInd w:val="0"/>
              <w:snapToGrid w:val="0"/>
              <w:jc w:val="center"/>
              <w:rPr>
                <w:rFonts w:ascii="仿宋" w:hAnsi="仿宋" w:eastAsia="仿宋"/>
                <w:color w:val="auto"/>
                <w:sz w:val="24"/>
                <w:highlight w:val="none"/>
              </w:rPr>
            </w:pPr>
          </w:p>
        </w:tc>
      </w:tr>
      <w:tr w14:paraId="433F9C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30" w:type="dxa"/>
            <w:tcBorders>
              <w:top w:val="single" w:color="auto" w:sz="6" w:space="0"/>
              <w:left w:val="single" w:color="auto" w:sz="12" w:space="0"/>
              <w:bottom w:val="single" w:color="auto" w:sz="6" w:space="0"/>
              <w:right w:val="single" w:color="auto" w:sz="6" w:space="0"/>
            </w:tcBorders>
            <w:vAlign w:val="center"/>
          </w:tcPr>
          <w:p w14:paraId="39758D88">
            <w:pPr>
              <w:adjustRightInd w:val="0"/>
              <w:snapToGrid w:val="0"/>
              <w:jc w:val="center"/>
              <w:rPr>
                <w:rFonts w:ascii="仿宋" w:hAnsi="仿宋" w:eastAsia="仿宋"/>
                <w:color w:val="auto"/>
                <w:sz w:val="24"/>
                <w:highlight w:val="none"/>
              </w:rPr>
            </w:pPr>
            <w:r>
              <w:rPr>
                <w:rFonts w:hint="eastAsia" w:ascii="仿宋" w:hAnsi="仿宋" w:eastAsia="仿宋"/>
                <w:color w:val="auto"/>
                <w:sz w:val="24"/>
                <w:highlight w:val="none"/>
              </w:rPr>
              <w:t>4</w:t>
            </w:r>
          </w:p>
        </w:tc>
        <w:tc>
          <w:tcPr>
            <w:tcW w:w="1900" w:type="dxa"/>
            <w:tcBorders>
              <w:top w:val="single" w:color="auto" w:sz="6" w:space="0"/>
              <w:left w:val="single" w:color="auto" w:sz="6" w:space="0"/>
              <w:bottom w:val="single" w:color="auto" w:sz="6" w:space="0"/>
              <w:right w:val="single" w:color="auto" w:sz="6" w:space="0"/>
            </w:tcBorders>
            <w:vAlign w:val="center"/>
          </w:tcPr>
          <w:p w14:paraId="001C95A8">
            <w:pPr>
              <w:adjustRightInd w:val="0"/>
              <w:snapToGrid w:val="0"/>
              <w:jc w:val="center"/>
              <w:rPr>
                <w:rFonts w:ascii="仿宋" w:hAnsi="仿宋" w:eastAsia="仿宋"/>
                <w:color w:val="auto"/>
                <w:sz w:val="24"/>
                <w:highlight w:val="none"/>
              </w:rPr>
            </w:pPr>
          </w:p>
        </w:tc>
        <w:tc>
          <w:tcPr>
            <w:tcW w:w="739" w:type="dxa"/>
            <w:tcBorders>
              <w:top w:val="single" w:color="auto" w:sz="6" w:space="0"/>
              <w:left w:val="single" w:color="auto" w:sz="6" w:space="0"/>
              <w:bottom w:val="single" w:color="auto" w:sz="6" w:space="0"/>
              <w:right w:val="single" w:color="auto" w:sz="6" w:space="0"/>
            </w:tcBorders>
            <w:vAlign w:val="center"/>
          </w:tcPr>
          <w:p w14:paraId="3A11C8EB">
            <w:pPr>
              <w:adjustRightInd w:val="0"/>
              <w:snapToGrid w:val="0"/>
              <w:jc w:val="center"/>
              <w:rPr>
                <w:rFonts w:ascii="仿宋" w:hAnsi="仿宋" w:eastAsia="仿宋"/>
                <w:color w:val="auto"/>
                <w:sz w:val="24"/>
                <w:highlight w:val="none"/>
              </w:rPr>
            </w:pPr>
          </w:p>
        </w:tc>
        <w:tc>
          <w:tcPr>
            <w:tcW w:w="2582" w:type="dxa"/>
            <w:tcBorders>
              <w:top w:val="single" w:color="auto" w:sz="6" w:space="0"/>
              <w:left w:val="single" w:color="auto" w:sz="6" w:space="0"/>
              <w:bottom w:val="single" w:color="auto" w:sz="6" w:space="0"/>
              <w:right w:val="single" w:color="auto" w:sz="6" w:space="0"/>
            </w:tcBorders>
            <w:vAlign w:val="center"/>
          </w:tcPr>
          <w:p w14:paraId="5EA18173">
            <w:pPr>
              <w:adjustRightInd w:val="0"/>
              <w:snapToGrid w:val="0"/>
              <w:jc w:val="center"/>
              <w:rPr>
                <w:rFonts w:ascii="仿宋" w:hAnsi="仿宋" w:eastAsia="仿宋"/>
                <w:color w:val="auto"/>
                <w:sz w:val="24"/>
                <w:highlight w:val="none"/>
              </w:rPr>
            </w:pPr>
          </w:p>
        </w:tc>
        <w:tc>
          <w:tcPr>
            <w:tcW w:w="2252" w:type="dxa"/>
            <w:tcBorders>
              <w:top w:val="single" w:color="auto" w:sz="6" w:space="0"/>
              <w:left w:val="single" w:color="auto" w:sz="6" w:space="0"/>
              <w:bottom w:val="single" w:color="auto" w:sz="6" w:space="0"/>
              <w:right w:val="single" w:color="auto" w:sz="6" w:space="0"/>
            </w:tcBorders>
          </w:tcPr>
          <w:p w14:paraId="4E812B53">
            <w:pPr>
              <w:adjustRightInd w:val="0"/>
              <w:snapToGrid w:val="0"/>
              <w:jc w:val="center"/>
              <w:rPr>
                <w:rFonts w:ascii="仿宋" w:hAnsi="仿宋" w:eastAsia="仿宋"/>
                <w:color w:val="auto"/>
                <w:sz w:val="24"/>
                <w:highlight w:val="none"/>
              </w:rPr>
            </w:pPr>
          </w:p>
        </w:tc>
        <w:tc>
          <w:tcPr>
            <w:tcW w:w="1467" w:type="dxa"/>
            <w:tcBorders>
              <w:top w:val="single" w:color="auto" w:sz="6" w:space="0"/>
              <w:left w:val="single" w:color="auto" w:sz="6" w:space="0"/>
              <w:bottom w:val="single" w:color="auto" w:sz="6" w:space="0"/>
              <w:right w:val="single" w:color="auto" w:sz="12" w:space="0"/>
            </w:tcBorders>
          </w:tcPr>
          <w:p w14:paraId="49C5C126">
            <w:pPr>
              <w:adjustRightInd w:val="0"/>
              <w:snapToGrid w:val="0"/>
              <w:jc w:val="center"/>
              <w:rPr>
                <w:rFonts w:ascii="仿宋" w:hAnsi="仿宋" w:eastAsia="仿宋"/>
                <w:color w:val="auto"/>
                <w:sz w:val="24"/>
                <w:highlight w:val="none"/>
              </w:rPr>
            </w:pPr>
          </w:p>
        </w:tc>
      </w:tr>
      <w:tr w14:paraId="35D128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30" w:type="dxa"/>
            <w:tcBorders>
              <w:top w:val="single" w:color="auto" w:sz="6" w:space="0"/>
              <w:left w:val="single" w:color="auto" w:sz="12" w:space="0"/>
              <w:bottom w:val="single" w:color="auto" w:sz="6" w:space="0"/>
              <w:right w:val="single" w:color="auto" w:sz="6" w:space="0"/>
            </w:tcBorders>
            <w:vAlign w:val="center"/>
          </w:tcPr>
          <w:p w14:paraId="331438C5">
            <w:pPr>
              <w:adjustRightInd w:val="0"/>
              <w:snapToGrid w:val="0"/>
              <w:jc w:val="center"/>
              <w:rPr>
                <w:rFonts w:ascii="仿宋" w:hAnsi="仿宋" w:eastAsia="仿宋"/>
                <w:color w:val="auto"/>
                <w:sz w:val="24"/>
                <w:highlight w:val="none"/>
              </w:rPr>
            </w:pPr>
            <w:r>
              <w:rPr>
                <w:rFonts w:hint="eastAsia" w:ascii="仿宋" w:hAnsi="仿宋" w:eastAsia="仿宋"/>
                <w:color w:val="auto"/>
                <w:sz w:val="24"/>
                <w:highlight w:val="none"/>
              </w:rPr>
              <w:t>5</w:t>
            </w:r>
          </w:p>
        </w:tc>
        <w:tc>
          <w:tcPr>
            <w:tcW w:w="1900" w:type="dxa"/>
            <w:tcBorders>
              <w:top w:val="single" w:color="auto" w:sz="6" w:space="0"/>
              <w:left w:val="single" w:color="auto" w:sz="6" w:space="0"/>
              <w:bottom w:val="single" w:color="auto" w:sz="6" w:space="0"/>
              <w:right w:val="single" w:color="auto" w:sz="6" w:space="0"/>
            </w:tcBorders>
            <w:vAlign w:val="center"/>
          </w:tcPr>
          <w:p w14:paraId="7737F63D">
            <w:pPr>
              <w:adjustRightInd w:val="0"/>
              <w:snapToGrid w:val="0"/>
              <w:jc w:val="center"/>
              <w:rPr>
                <w:rFonts w:ascii="仿宋" w:hAnsi="仿宋" w:eastAsia="仿宋"/>
                <w:color w:val="auto"/>
                <w:sz w:val="24"/>
                <w:highlight w:val="none"/>
              </w:rPr>
            </w:pPr>
          </w:p>
        </w:tc>
        <w:tc>
          <w:tcPr>
            <w:tcW w:w="739" w:type="dxa"/>
            <w:tcBorders>
              <w:top w:val="single" w:color="auto" w:sz="6" w:space="0"/>
              <w:left w:val="single" w:color="auto" w:sz="6" w:space="0"/>
              <w:bottom w:val="single" w:color="auto" w:sz="6" w:space="0"/>
              <w:right w:val="single" w:color="auto" w:sz="6" w:space="0"/>
            </w:tcBorders>
            <w:vAlign w:val="center"/>
          </w:tcPr>
          <w:p w14:paraId="3C335E2C">
            <w:pPr>
              <w:adjustRightInd w:val="0"/>
              <w:snapToGrid w:val="0"/>
              <w:jc w:val="center"/>
              <w:rPr>
                <w:rFonts w:ascii="仿宋" w:hAnsi="仿宋" w:eastAsia="仿宋"/>
                <w:color w:val="auto"/>
                <w:sz w:val="24"/>
                <w:highlight w:val="none"/>
              </w:rPr>
            </w:pPr>
          </w:p>
        </w:tc>
        <w:tc>
          <w:tcPr>
            <w:tcW w:w="2582" w:type="dxa"/>
            <w:tcBorders>
              <w:top w:val="single" w:color="auto" w:sz="6" w:space="0"/>
              <w:left w:val="single" w:color="auto" w:sz="6" w:space="0"/>
              <w:bottom w:val="single" w:color="auto" w:sz="6" w:space="0"/>
              <w:right w:val="single" w:color="auto" w:sz="6" w:space="0"/>
            </w:tcBorders>
            <w:vAlign w:val="center"/>
          </w:tcPr>
          <w:p w14:paraId="7DE53F48">
            <w:pPr>
              <w:adjustRightInd w:val="0"/>
              <w:snapToGrid w:val="0"/>
              <w:jc w:val="center"/>
              <w:rPr>
                <w:rFonts w:ascii="仿宋" w:hAnsi="仿宋" w:eastAsia="仿宋"/>
                <w:color w:val="auto"/>
                <w:sz w:val="24"/>
                <w:highlight w:val="none"/>
              </w:rPr>
            </w:pPr>
          </w:p>
        </w:tc>
        <w:tc>
          <w:tcPr>
            <w:tcW w:w="2252" w:type="dxa"/>
            <w:tcBorders>
              <w:top w:val="single" w:color="auto" w:sz="6" w:space="0"/>
              <w:left w:val="single" w:color="auto" w:sz="6" w:space="0"/>
              <w:bottom w:val="single" w:color="auto" w:sz="6" w:space="0"/>
              <w:right w:val="single" w:color="auto" w:sz="6" w:space="0"/>
            </w:tcBorders>
          </w:tcPr>
          <w:p w14:paraId="634886CA">
            <w:pPr>
              <w:adjustRightInd w:val="0"/>
              <w:snapToGrid w:val="0"/>
              <w:jc w:val="center"/>
              <w:rPr>
                <w:rFonts w:ascii="仿宋" w:hAnsi="仿宋" w:eastAsia="仿宋"/>
                <w:color w:val="auto"/>
                <w:sz w:val="24"/>
                <w:highlight w:val="none"/>
              </w:rPr>
            </w:pPr>
          </w:p>
        </w:tc>
        <w:tc>
          <w:tcPr>
            <w:tcW w:w="1467" w:type="dxa"/>
            <w:tcBorders>
              <w:top w:val="single" w:color="auto" w:sz="6" w:space="0"/>
              <w:left w:val="single" w:color="auto" w:sz="6" w:space="0"/>
              <w:bottom w:val="single" w:color="auto" w:sz="6" w:space="0"/>
              <w:right w:val="single" w:color="auto" w:sz="12" w:space="0"/>
            </w:tcBorders>
          </w:tcPr>
          <w:p w14:paraId="189020CB">
            <w:pPr>
              <w:adjustRightInd w:val="0"/>
              <w:snapToGrid w:val="0"/>
              <w:jc w:val="center"/>
              <w:rPr>
                <w:rFonts w:ascii="仿宋" w:hAnsi="仿宋" w:eastAsia="仿宋"/>
                <w:color w:val="auto"/>
                <w:sz w:val="24"/>
                <w:highlight w:val="none"/>
              </w:rPr>
            </w:pPr>
          </w:p>
        </w:tc>
      </w:tr>
      <w:tr w14:paraId="22A47A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30" w:type="dxa"/>
            <w:tcBorders>
              <w:top w:val="single" w:color="auto" w:sz="6" w:space="0"/>
              <w:left w:val="single" w:color="auto" w:sz="12" w:space="0"/>
              <w:bottom w:val="single" w:color="auto" w:sz="6" w:space="0"/>
              <w:right w:val="single" w:color="auto" w:sz="6" w:space="0"/>
            </w:tcBorders>
            <w:vAlign w:val="center"/>
          </w:tcPr>
          <w:p w14:paraId="0E56A13F">
            <w:pPr>
              <w:adjustRightInd w:val="0"/>
              <w:snapToGrid w:val="0"/>
              <w:jc w:val="center"/>
              <w:rPr>
                <w:rFonts w:ascii="仿宋" w:hAnsi="仿宋" w:eastAsia="仿宋"/>
                <w:color w:val="auto"/>
                <w:sz w:val="24"/>
                <w:highlight w:val="none"/>
              </w:rPr>
            </w:pPr>
            <w:r>
              <w:rPr>
                <w:rFonts w:hint="eastAsia" w:ascii="仿宋" w:hAnsi="仿宋" w:eastAsia="仿宋"/>
                <w:color w:val="auto"/>
                <w:sz w:val="24"/>
                <w:highlight w:val="none"/>
              </w:rPr>
              <w:t>6</w:t>
            </w:r>
          </w:p>
        </w:tc>
        <w:tc>
          <w:tcPr>
            <w:tcW w:w="1900" w:type="dxa"/>
            <w:tcBorders>
              <w:top w:val="single" w:color="auto" w:sz="6" w:space="0"/>
              <w:left w:val="single" w:color="auto" w:sz="6" w:space="0"/>
              <w:bottom w:val="single" w:color="auto" w:sz="6" w:space="0"/>
              <w:right w:val="single" w:color="auto" w:sz="6" w:space="0"/>
            </w:tcBorders>
            <w:vAlign w:val="center"/>
          </w:tcPr>
          <w:p w14:paraId="4018DD2F">
            <w:pPr>
              <w:adjustRightInd w:val="0"/>
              <w:snapToGrid w:val="0"/>
              <w:jc w:val="center"/>
              <w:rPr>
                <w:rFonts w:ascii="仿宋" w:hAnsi="仿宋" w:eastAsia="仿宋"/>
                <w:color w:val="auto"/>
                <w:sz w:val="24"/>
                <w:highlight w:val="none"/>
              </w:rPr>
            </w:pPr>
          </w:p>
        </w:tc>
        <w:tc>
          <w:tcPr>
            <w:tcW w:w="739" w:type="dxa"/>
            <w:tcBorders>
              <w:top w:val="single" w:color="auto" w:sz="6" w:space="0"/>
              <w:left w:val="single" w:color="auto" w:sz="6" w:space="0"/>
              <w:bottom w:val="single" w:color="auto" w:sz="6" w:space="0"/>
              <w:right w:val="single" w:color="auto" w:sz="6" w:space="0"/>
            </w:tcBorders>
            <w:vAlign w:val="center"/>
          </w:tcPr>
          <w:p w14:paraId="423463D6">
            <w:pPr>
              <w:adjustRightInd w:val="0"/>
              <w:snapToGrid w:val="0"/>
              <w:jc w:val="center"/>
              <w:rPr>
                <w:rFonts w:ascii="仿宋" w:hAnsi="仿宋" w:eastAsia="仿宋"/>
                <w:color w:val="auto"/>
                <w:sz w:val="24"/>
                <w:highlight w:val="none"/>
              </w:rPr>
            </w:pPr>
          </w:p>
        </w:tc>
        <w:tc>
          <w:tcPr>
            <w:tcW w:w="2582" w:type="dxa"/>
            <w:tcBorders>
              <w:top w:val="single" w:color="auto" w:sz="6" w:space="0"/>
              <w:left w:val="single" w:color="auto" w:sz="6" w:space="0"/>
              <w:bottom w:val="single" w:color="auto" w:sz="6" w:space="0"/>
              <w:right w:val="single" w:color="auto" w:sz="6" w:space="0"/>
            </w:tcBorders>
            <w:vAlign w:val="center"/>
          </w:tcPr>
          <w:p w14:paraId="0D330B5E">
            <w:pPr>
              <w:adjustRightInd w:val="0"/>
              <w:snapToGrid w:val="0"/>
              <w:jc w:val="center"/>
              <w:rPr>
                <w:rFonts w:ascii="仿宋" w:hAnsi="仿宋" w:eastAsia="仿宋"/>
                <w:color w:val="auto"/>
                <w:sz w:val="24"/>
                <w:highlight w:val="none"/>
              </w:rPr>
            </w:pPr>
          </w:p>
        </w:tc>
        <w:tc>
          <w:tcPr>
            <w:tcW w:w="2252" w:type="dxa"/>
            <w:tcBorders>
              <w:top w:val="single" w:color="auto" w:sz="6" w:space="0"/>
              <w:left w:val="single" w:color="auto" w:sz="6" w:space="0"/>
              <w:bottom w:val="single" w:color="auto" w:sz="6" w:space="0"/>
              <w:right w:val="single" w:color="auto" w:sz="6" w:space="0"/>
            </w:tcBorders>
          </w:tcPr>
          <w:p w14:paraId="647681B4">
            <w:pPr>
              <w:adjustRightInd w:val="0"/>
              <w:snapToGrid w:val="0"/>
              <w:jc w:val="center"/>
              <w:rPr>
                <w:rFonts w:ascii="仿宋" w:hAnsi="仿宋" w:eastAsia="仿宋"/>
                <w:color w:val="auto"/>
                <w:sz w:val="24"/>
                <w:highlight w:val="none"/>
              </w:rPr>
            </w:pPr>
          </w:p>
        </w:tc>
        <w:tc>
          <w:tcPr>
            <w:tcW w:w="1467" w:type="dxa"/>
            <w:tcBorders>
              <w:top w:val="single" w:color="auto" w:sz="6" w:space="0"/>
              <w:left w:val="single" w:color="auto" w:sz="6" w:space="0"/>
              <w:bottom w:val="single" w:color="auto" w:sz="6" w:space="0"/>
              <w:right w:val="single" w:color="auto" w:sz="12" w:space="0"/>
            </w:tcBorders>
          </w:tcPr>
          <w:p w14:paraId="5DFC74D8">
            <w:pPr>
              <w:adjustRightInd w:val="0"/>
              <w:snapToGrid w:val="0"/>
              <w:jc w:val="center"/>
              <w:rPr>
                <w:rFonts w:ascii="仿宋" w:hAnsi="仿宋" w:eastAsia="仿宋"/>
                <w:color w:val="auto"/>
                <w:sz w:val="24"/>
                <w:highlight w:val="none"/>
              </w:rPr>
            </w:pPr>
          </w:p>
        </w:tc>
      </w:tr>
      <w:tr w14:paraId="377299C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30" w:type="dxa"/>
            <w:tcBorders>
              <w:top w:val="single" w:color="auto" w:sz="6" w:space="0"/>
              <w:left w:val="single" w:color="auto" w:sz="12" w:space="0"/>
              <w:bottom w:val="single" w:color="auto" w:sz="6" w:space="0"/>
              <w:right w:val="single" w:color="auto" w:sz="6" w:space="0"/>
            </w:tcBorders>
            <w:vAlign w:val="center"/>
          </w:tcPr>
          <w:p w14:paraId="620D0198">
            <w:pPr>
              <w:adjustRightInd w:val="0"/>
              <w:snapToGrid w:val="0"/>
              <w:jc w:val="center"/>
              <w:rPr>
                <w:rFonts w:ascii="仿宋" w:hAnsi="仿宋" w:eastAsia="仿宋"/>
                <w:color w:val="auto"/>
                <w:sz w:val="24"/>
                <w:highlight w:val="none"/>
              </w:rPr>
            </w:pPr>
          </w:p>
        </w:tc>
        <w:tc>
          <w:tcPr>
            <w:tcW w:w="1900" w:type="dxa"/>
            <w:tcBorders>
              <w:top w:val="single" w:color="auto" w:sz="6" w:space="0"/>
              <w:left w:val="single" w:color="auto" w:sz="6" w:space="0"/>
              <w:bottom w:val="single" w:color="auto" w:sz="6" w:space="0"/>
              <w:right w:val="single" w:color="auto" w:sz="6" w:space="0"/>
            </w:tcBorders>
            <w:vAlign w:val="center"/>
          </w:tcPr>
          <w:p w14:paraId="3DB76D1E">
            <w:pPr>
              <w:adjustRightInd w:val="0"/>
              <w:snapToGrid w:val="0"/>
              <w:jc w:val="center"/>
              <w:rPr>
                <w:rFonts w:ascii="仿宋" w:hAnsi="仿宋" w:eastAsia="仿宋"/>
                <w:color w:val="auto"/>
                <w:sz w:val="24"/>
                <w:highlight w:val="none"/>
              </w:rPr>
            </w:pPr>
          </w:p>
        </w:tc>
        <w:tc>
          <w:tcPr>
            <w:tcW w:w="739" w:type="dxa"/>
            <w:tcBorders>
              <w:top w:val="single" w:color="auto" w:sz="6" w:space="0"/>
              <w:left w:val="single" w:color="auto" w:sz="6" w:space="0"/>
              <w:bottom w:val="single" w:color="auto" w:sz="6" w:space="0"/>
              <w:right w:val="single" w:color="auto" w:sz="6" w:space="0"/>
            </w:tcBorders>
            <w:vAlign w:val="center"/>
          </w:tcPr>
          <w:p w14:paraId="751A9FD7">
            <w:pPr>
              <w:adjustRightInd w:val="0"/>
              <w:snapToGrid w:val="0"/>
              <w:jc w:val="center"/>
              <w:rPr>
                <w:rFonts w:ascii="仿宋" w:hAnsi="仿宋" w:eastAsia="仿宋"/>
                <w:color w:val="auto"/>
                <w:sz w:val="24"/>
                <w:highlight w:val="none"/>
              </w:rPr>
            </w:pPr>
          </w:p>
        </w:tc>
        <w:tc>
          <w:tcPr>
            <w:tcW w:w="2582" w:type="dxa"/>
            <w:tcBorders>
              <w:top w:val="single" w:color="auto" w:sz="6" w:space="0"/>
              <w:left w:val="single" w:color="auto" w:sz="6" w:space="0"/>
              <w:bottom w:val="single" w:color="auto" w:sz="6" w:space="0"/>
              <w:right w:val="single" w:color="auto" w:sz="6" w:space="0"/>
            </w:tcBorders>
            <w:vAlign w:val="center"/>
          </w:tcPr>
          <w:p w14:paraId="4A9AC224">
            <w:pPr>
              <w:adjustRightInd w:val="0"/>
              <w:snapToGrid w:val="0"/>
              <w:jc w:val="center"/>
              <w:rPr>
                <w:rFonts w:ascii="仿宋" w:hAnsi="仿宋" w:eastAsia="仿宋"/>
                <w:color w:val="auto"/>
                <w:sz w:val="24"/>
                <w:highlight w:val="none"/>
              </w:rPr>
            </w:pPr>
          </w:p>
        </w:tc>
        <w:tc>
          <w:tcPr>
            <w:tcW w:w="2252" w:type="dxa"/>
            <w:tcBorders>
              <w:top w:val="single" w:color="auto" w:sz="6" w:space="0"/>
              <w:left w:val="single" w:color="auto" w:sz="6" w:space="0"/>
              <w:bottom w:val="single" w:color="auto" w:sz="6" w:space="0"/>
              <w:right w:val="single" w:color="auto" w:sz="6" w:space="0"/>
            </w:tcBorders>
          </w:tcPr>
          <w:p w14:paraId="091878AA">
            <w:pPr>
              <w:adjustRightInd w:val="0"/>
              <w:snapToGrid w:val="0"/>
              <w:jc w:val="center"/>
              <w:rPr>
                <w:rFonts w:ascii="仿宋" w:hAnsi="仿宋" w:eastAsia="仿宋"/>
                <w:color w:val="auto"/>
                <w:sz w:val="24"/>
                <w:highlight w:val="none"/>
              </w:rPr>
            </w:pPr>
          </w:p>
        </w:tc>
        <w:tc>
          <w:tcPr>
            <w:tcW w:w="1467" w:type="dxa"/>
            <w:tcBorders>
              <w:top w:val="single" w:color="auto" w:sz="6" w:space="0"/>
              <w:left w:val="single" w:color="auto" w:sz="6" w:space="0"/>
              <w:bottom w:val="single" w:color="auto" w:sz="6" w:space="0"/>
              <w:right w:val="single" w:color="auto" w:sz="12" w:space="0"/>
            </w:tcBorders>
          </w:tcPr>
          <w:p w14:paraId="5A30592A">
            <w:pPr>
              <w:adjustRightInd w:val="0"/>
              <w:snapToGrid w:val="0"/>
              <w:jc w:val="center"/>
              <w:rPr>
                <w:rFonts w:ascii="仿宋" w:hAnsi="仿宋" w:eastAsia="仿宋"/>
                <w:color w:val="auto"/>
                <w:sz w:val="24"/>
                <w:highlight w:val="none"/>
              </w:rPr>
            </w:pPr>
          </w:p>
        </w:tc>
      </w:tr>
    </w:tbl>
    <w:p w14:paraId="666E640B">
      <w:pPr>
        <w:ind w:firstLine="420" w:firstLineChars="200"/>
        <w:rPr>
          <w:rFonts w:ascii="仿宋" w:hAnsi="仿宋" w:eastAsia="仿宋"/>
          <w:bCs/>
          <w:color w:val="auto"/>
          <w:sz w:val="28"/>
          <w:szCs w:val="28"/>
          <w:highlight w:val="none"/>
        </w:rPr>
      </w:pPr>
      <w:r>
        <w:rPr>
          <w:rFonts w:hint="eastAsia" w:ascii="仿宋" w:hAnsi="仿宋" w:eastAsia="仿宋"/>
          <w:color w:val="auto"/>
          <w:szCs w:val="21"/>
          <w:highlight w:val="none"/>
        </w:rPr>
        <w:t>注：按照竞争性磋商文件要求详细填列，可增减行。</w:t>
      </w:r>
    </w:p>
    <w:p w14:paraId="3B32598A">
      <w:pPr>
        <w:ind w:firstLine="560" w:firstLineChars="200"/>
        <w:rPr>
          <w:rFonts w:ascii="仿宋" w:hAnsi="仿宋" w:eastAsia="仿宋"/>
          <w:bCs/>
          <w:color w:val="auto"/>
          <w:sz w:val="28"/>
          <w:szCs w:val="28"/>
          <w:highlight w:val="none"/>
        </w:rPr>
      </w:pPr>
      <w:r>
        <w:rPr>
          <w:rFonts w:ascii="仿宋" w:hAnsi="仿宋" w:eastAsia="仿宋"/>
          <w:bCs/>
          <w:color w:val="auto"/>
          <w:sz w:val="28"/>
          <w:szCs w:val="28"/>
          <w:highlight w:val="none"/>
        </w:rPr>
        <w:br w:type="page"/>
      </w:r>
    </w:p>
    <w:p w14:paraId="24FCBF38">
      <w:pPr>
        <w:numPr>
          <w:ilvl w:val="0"/>
          <w:numId w:val="6"/>
        </w:numPr>
        <w:ind w:firstLine="560" w:firstLineChars="200"/>
        <w:rPr>
          <w:rFonts w:ascii="仿宋" w:hAnsi="仿宋" w:eastAsia="仿宋"/>
          <w:bCs/>
          <w:color w:val="auto"/>
          <w:sz w:val="28"/>
          <w:szCs w:val="28"/>
          <w:highlight w:val="none"/>
        </w:rPr>
      </w:pPr>
      <w:r>
        <w:rPr>
          <w:rFonts w:hint="eastAsia" w:ascii="仿宋" w:hAnsi="仿宋" w:eastAsia="仿宋"/>
          <w:bCs/>
          <w:color w:val="auto"/>
          <w:sz w:val="28"/>
          <w:szCs w:val="28"/>
          <w:highlight w:val="none"/>
        </w:rPr>
        <w:t>符合技术要求或者服务要求的相关证明材料</w:t>
      </w:r>
    </w:p>
    <w:p w14:paraId="79F04772">
      <w:pPr>
        <w:spacing w:line="560" w:lineRule="exact"/>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rPr>
        <w:t>项目人员配置要求</w:t>
      </w:r>
    </w:p>
    <w:tbl>
      <w:tblPr>
        <w:tblStyle w:val="22"/>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08" w:type="dxa"/>
          <w:bottom w:w="0" w:type="dxa"/>
          <w:right w:w="108" w:type="dxa"/>
        </w:tblCellMar>
      </w:tblPr>
      <w:tblGrid>
        <w:gridCol w:w="975"/>
        <w:gridCol w:w="1547"/>
        <w:gridCol w:w="891"/>
        <w:gridCol w:w="6146"/>
      </w:tblGrid>
      <w:tr w14:paraId="2B635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603" w:hRule="atLeast"/>
          <w:jc w:val="center"/>
        </w:trPr>
        <w:tc>
          <w:tcPr>
            <w:tcW w:w="510" w:type="pct"/>
            <w:vAlign w:val="center"/>
          </w:tcPr>
          <w:p w14:paraId="7778AF89">
            <w:pPr>
              <w:spacing w:line="300" w:lineRule="exact"/>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序号</w:t>
            </w:r>
          </w:p>
        </w:tc>
        <w:tc>
          <w:tcPr>
            <w:tcW w:w="809" w:type="pct"/>
            <w:vAlign w:val="center"/>
          </w:tcPr>
          <w:p w14:paraId="04E515BD">
            <w:pPr>
              <w:spacing w:line="300" w:lineRule="exact"/>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项目</w:t>
            </w:r>
          </w:p>
        </w:tc>
        <w:tc>
          <w:tcPr>
            <w:tcW w:w="466" w:type="pct"/>
            <w:vAlign w:val="center"/>
          </w:tcPr>
          <w:p w14:paraId="0B134126">
            <w:pPr>
              <w:spacing w:line="300" w:lineRule="exact"/>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数量</w:t>
            </w:r>
          </w:p>
        </w:tc>
        <w:tc>
          <w:tcPr>
            <w:tcW w:w="3214" w:type="pct"/>
            <w:vAlign w:val="center"/>
          </w:tcPr>
          <w:p w14:paraId="5AA3C772">
            <w:pPr>
              <w:spacing w:line="300" w:lineRule="exact"/>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职责</w:t>
            </w:r>
          </w:p>
        </w:tc>
      </w:tr>
      <w:tr w14:paraId="028A2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1014" w:hRule="atLeast"/>
          <w:jc w:val="center"/>
        </w:trPr>
        <w:tc>
          <w:tcPr>
            <w:tcW w:w="510" w:type="pct"/>
            <w:vAlign w:val="center"/>
          </w:tcPr>
          <w:p w14:paraId="2BF3BAB5">
            <w:pPr>
              <w:spacing w:line="300" w:lineRule="exact"/>
              <w:jc w:val="center"/>
              <w:rPr>
                <w:rFonts w:ascii="仿宋" w:hAnsi="仿宋" w:eastAsia="仿宋" w:cs="仿宋"/>
                <w:color w:val="auto"/>
                <w:highlight w:val="none"/>
              </w:rPr>
            </w:pPr>
            <w:r>
              <w:rPr>
                <w:rFonts w:hint="eastAsia" w:ascii="仿宋" w:hAnsi="仿宋" w:eastAsia="仿宋" w:cs="仿宋"/>
                <w:color w:val="auto"/>
                <w:highlight w:val="none"/>
              </w:rPr>
              <w:t>1</w:t>
            </w:r>
          </w:p>
        </w:tc>
        <w:tc>
          <w:tcPr>
            <w:tcW w:w="809" w:type="pct"/>
            <w:vAlign w:val="center"/>
          </w:tcPr>
          <w:p w14:paraId="4B2519E3">
            <w:pPr>
              <w:spacing w:line="300" w:lineRule="exact"/>
              <w:jc w:val="center"/>
              <w:rPr>
                <w:rFonts w:ascii="仿宋" w:hAnsi="仿宋" w:eastAsia="仿宋" w:cs="仿宋"/>
                <w:color w:val="auto"/>
                <w:highlight w:val="none"/>
              </w:rPr>
            </w:pPr>
            <w:r>
              <w:rPr>
                <w:rFonts w:hint="eastAsia" w:ascii="仿宋" w:hAnsi="仿宋" w:eastAsia="仿宋" w:cs="仿宋"/>
                <w:color w:val="auto"/>
                <w:highlight w:val="none"/>
              </w:rPr>
              <w:t>项目经理</w:t>
            </w:r>
          </w:p>
        </w:tc>
        <w:tc>
          <w:tcPr>
            <w:tcW w:w="466" w:type="pct"/>
            <w:vAlign w:val="center"/>
          </w:tcPr>
          <w:p w14:paraId="62C64957">
            <w:pPr>
              <w:spacing w:line="300" w:lineRule="exact"/>
              <w:jc w:val="center"/>
              <w:rPr>
                <w:rFonts w:ascii="仿宋" w:hAnsi="仿宋" w:eastAsia="仿宋" w:cs="仿宋"/>
                <w:color w:val="auto"/>
                <w:highlight w:val="none"/>
              </w:rPr>
            </w:pPr>
            <w:r>
              <w:rPr>
                <w:rFonts w:hint="eastAsia" w:ascii="仿宋" w:hAnsi="仿宋" w:eastAsia="仿宋" w:cs="仿宋"/>
                <w:color w:val="auto"/>
                <w:highlight w:val="none"/>
              </w:rPr>
              <w:t>1人</w:t>
            </w:r>
          </w:p>
        </w:tc>
        <w:tc>
          <w:tcPr>
            <w:tcW w:w="3214" w:type="pct"/>
            <w:vAlign w:val="center"/>
          </w:tcPr>
          <w:p w14:paraId="72D9F3A1">
            <w:pPr>
              <w:spacing w:line="300" w:lineRule="exact"/>
              <w:jc w:val="left"/>
              <w:rPr>
                <w:rFonts w:ascii="仿宋" w:hAnsi="仿宋" w:eastAsia="仿宋" w:cs="仿宋"/>
                <w:color w:val="auto"/>
                <w:highlight w:val="none"/>
              </w:rPr>
            </w:pPr>
            <w:r>
              <w:rPr>
                <w:rFonts w:hint="eastAsia" w:ascii="仿宋" w:hAnsi="仿宋" w:eastAsia="仿宋" w:cs="仿宋"/>
                <w:color w:val="auto"/>
                <w:highlight w:val="none"/>
              </w:rPr>
              <w:t>负责项目日常管理，配合政府部门组织并参加大气污染防治研判及专家讨论等会议，为本项目提供技术支持。</w:t>
            </w:r>
          </w:p>
        </w:tc>
      </w:tr>
      <w:tr w14:paraId="5F1D0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772" w:hRule="atLeast"/>
          <w:jc w:val="center"/>
        </w:trPr>
        <w:tc>
          <w:tcPr>
            <w:tcW w:w="510" w:type="pct"/>
            <w:vAlign w:val="center"/>
          </w:tcPr>
          <w:p w14:paraId="32612962">
            <w:pPr>
              <w:spacing w:line="300" w:lineRule="exact"/>
              <w:jc w:val="center"/>
              <w:rPr>
                <w:rFonts w:ascii="仿宋" w:hAnsi="仿宋" w:eastAsia="仿宋" w:cs="仿宋"/>
                <w:color w:val="auto"/>
                <w:highlight w:val="none"/>
              </w:rPr>
            </w:pPr>
            <w:r>
              <w:rPr>
                <w:rFonts w:hint="eastAsia" w:ascii="仿宋" w:hAnsi="仿宋" w:eastAsia="仿宋" w:cs="仿宋"/>
                <w:color w:val="auto"/>
                <w:highlight w:val="none"/>
              </w:rPr>
              <w:t>2</w:t>
            </w:r>
          </w:p>
        </w:tc>
        <w:tc>
          <w:tcPr>
            <w:tcW w:w="809" w:type="pct"/>
            <w:vAlign w:val="center"/>
          </w:tcPr>
          <w:p w14:paraId="3EF03EEE">
            <w:pPr>
              <w:spacing w:line="300" w:lineRule="exact"/>
              <w:jc w:val="center"/>
              <w:rPr>
                <w:rFonts w:ascii="仿宋" w:hAnsi="仿宋" w:eastAsia="仿宋" w:cs="仿宋"/>
                <w:color w:val="auto"/>
                <w:highlight w:val="none"/>
              </w:rPr>
            </w:pPr>
            <w:r>
              <w:rPr>
                <w:rFonts w:hint="eastAsia" w:ascii="仿宋" w:hAnsi="仿宋" w:eastAsia="仿宋" w:cs="仿宋"/>
                <w:color w:val="auto"/>
                <w:highlight w:val="none"/>
              </w:rPr>
              <w:t>数据分析人员</w:t>
            </w:r>
          </w:p>
        </w:tc>
        <w:tc>
          <w:tcPr>
            <w:tcW w:w="466" w:type="pct"/>
            <w:vAlign w:val="center"/>
          </w:tcPr>
          <w:p w14:paraId="14F0806C">
            <w:pPr>
              <w:spacing w:line="300" w:lineRule="exact"/>
              <w:jc w:val="center"/>
              <w:rPr>
                <w:rFonts w:ascii="仿宋" w:hAnsi="仿宋" w:eastAsia="仿宋" w:cs="仿宋"/>
                <w:color w:val="auto"/>
                <w:highlight w:val="none"/>
              </w:rPr>
            </w:pPr>
            <w:r>
              <w:rPr>
                <w:rFonts w:hint="eastAsia" w:ascii="仿宋" w:hAnsi="仿宋" w:eastAsia="仿宋" w:cs="仿宋"/>
                <w:color w:val="auto"/>
                <w:highlight w:val="none"/>
              </w:rPr>
              <w:t>2人</w:t>
            </w:r>
          </w:p>
        </w:tc>
        <w:tc>
          <w:tcPr>
            <w:tcW w:w="3214" w:type="pct"/>
            <w:vAlign w:val="center"/>
          </w:tcPr>
          <w:p w14:paraId="0BB24013">
            <w:pPr>
              <w:spacing w:line="300" w:lineRule="exact"/>
              <w:rPr>
                <w:rFonts w:ascii="仿宋" w:hAnsi="仿宋" w:eastAsia="仿宋" w:cs="仿宋"/>
                <w:color w:val="auto"/>
                <w:highlight w:val="none"/>
              </w:rPr>
            </w:pPr>
            <w:r>
              <w:rPr>
                <w:rFonts w:hint="eastAsia" w:ascii="仿宋" w:hAnsi="仿宋" w:eastAsia="仿宋" w:cs="仿宋"/>
                <w:color w:val="auto"/>
                <w:highlight w:val="none"/>
              </w:rPr>
              <w:t>结合省/市空气站、在线污染源、网格化监测、气象等数据进行综合分析，对城区空气质量进行分析及研判，提出环境管控建议并提供相应专题报告。</w:t>
            </w:r>
          </w:p>
        </w:tc>
      </w:tr>
      <w:tr w14:paraId="1ECEC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823" w:hRule="atLeast"/>
          <w:jc w:val="center"/>
        </w:trPr>
        <w:tc>
          <w:tcPr>
            <w:tcW w:w="510" w:type="pct"/>
            <w:vAlign w:val="center"/>
          </w:tcPr>
          <w:p w14:paraId="0B2A1023">
            <w:pPr>
              <w:spacing w:line="300" w:lineRule="exact"/>
              <w:jc w:val="center"/>
              <w:rPr>
                <w:rFonts w:ascii="仿宋" w:hAnsi="仿宋" w:eastAsia="仿宋" w:cs="仿宋"/>
                <w:color w:val="auto"/>
                <w:highlight w:val="none"/>
              </w:rPr>
            </w:pPr>
            <w:r>
              <w:rPr>
                <w:rFonts w:hint="eastAsia" w:ascii="仿宋" w:hAnsi="仿宋" w:eastAsia="仿宋" w:cs="仿宋"/>
                <w:color w:val="auto"/>
                <w:highlight w:val="none"/>
              </w:rPr>
              <w:t>3</w:t>
            </w:r>
          </w:p>
        </w:tc>
        <w:tc>
          <w:tcPr>
            <w:tcW w:w="809" w:type="pct"/>
            <w:vAlign w:val="center"/>
          </w:tcPr>
          <w:p w14:paraId="7994D336">
            <w:pPr>
              <w:spacing w:line="300" w:lineRule="exact"/>
              <w:jc w:val="center"/>
              <w:rPr>
                <w:rFonts w:ascii="仿宋" w:hAnsi="仿宋" w:eastAsia="仿宋" w:cs="仿宋"/>
                <w:color w:val="auto"/>
                <w:highlight w:val="none"/>
              </w:rPr>
            </w:pPr>
            <w:r>
              <w:rPr>
                <w:rFonts w:hint="eastAsia" w:ascii="仿宋" w:hAnsi="仿宋" w:eastAsia="仿宋" w:cs="仿宋"/>
                <w:color w:val="auto"/>
                <w:highlight w:val="none"/>
              </w:rPr>
              <w:t>巡查人员</w:t>
            </w:r>
          </w:p>
        </w:tc>
        <w:tc>
          <w:tcPr>
            <w:tcW w:w="466" w:type="pct"/>
            <w:vAlign w:val="center"/>
          </w:tcPr>
          <w:p w14:paraId="69330448">
            <w:pPr>
              <w:spacing w:line="300" w:lineRule="exact"/>
              <w:jc w:val="center"/>
              <w:rPr>
                <w:rFonts w:ascii="仿宋" w:hAnsi="仿宋" w:eastAsia="仿宋" w:cs="仿宋"/>
                <w:color w:val="auto"/>
                <w:highlight w:val="none"/>
              </w:rPr>
            </w:pPr>
            <w:r>
              <w:rPr>
                <w:rFonts w:hint="eastAsia" w:ascii="仿宋" w:hAnsi="仿宋" w:eastAsia="仿宋" w:cs="仿宋"/>
                <w:color w:val="auto"/>
                <w:highlight w:val="none"/>
              </w:rPr>
              <w:t>2人</w:t>
            </w:r>
          </w:p>
        </w:tc>
        <w:tc>
          <w:tcPr>
            <w:tcW w:w="3214" w:type="pct"/>
            <w:vAlign w:val="center"/>
          </w:tcPr>
          <w:p w14:paraId="4FFC871C">
            <w:pPr>
              <w:spacing w:line="300" w:lineRule="exact"/>
              <w:rPr>
                <w:rFonts w:ascii="仿宋" w:hAnsi="仿宋" w:eastAsia="仿宋" w:cs="仿宋"/>
                <w:color w:val="auto"/>
                <w:highlight w:val="none"/>
              </w:rPr>
            </w:pPr>
            <w:r>
              <w:rPr>
                <w:rFonts w:hint="eastAsia" w:ascii="仿宋" w:hAnsi="仿宋" w:eastAsia="仿宋" w:cs="仿宋"/>
                <w:color w:val="auto"/>
                <w:highlight w:val="none"/>
              </w:rPr>
              <w:t>完成日常及污染事件巡查任务，对现场进行拍照取证并提交巡查报告。需提供用于巡查人员驾驶的车辆1辆，便携式六参数、VOC手持设备各1台。</w:t>
            </w:r>
          </w:p>
        </w:tc>
      </w:tr>
      <w:tr w14:paraId="385C5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762" w:hRule="atLeast"/>
          <w:jc w:val="center"/>
        </w:trPr>
        <w:tc>
          <w:tcPr>
            <w:tcW w:w="510" w:type="pct"/>
            <w:vAlign w:val="center"/>
          </w:tcPr>
          <w:p w14:paraId="6D2EE45B">
            <w:pPr>
              <w:jc w:val="center"/>
              <w:rPr>
                <w:rFonts w:ascii="仿宋" w:hAnsi="仿宋" w:eastAsia="仿宋" w:cs="仿宋"/>
                <w:color w:val="auto"/>
                <w:highlight w:val="none"/>
              </w:rPr>
            </w:pPr>
            <w:r>
              <w:rPr>
                <w:rFonts w:hint="eastAsia" w:ascii="仿宋" w:hAnsi="仿宋" w:eastAsia="仿宋" w:cs="仿宋"/>
                <w:color w:val="auto"/>
                <w:highlight w:val="none"/>
              </w:rPr>
              <w:t>4</w:t>
            </w:r>
          </w:p>
        </w:tc>
        <w:tc>
          <w:tcPr>
            <w:tcW w:w="809" w:type="pct"/>
            <w:vAlign w:val="center"/>
          </w:tcPr>
          <w:p w14:paraId="5FCF774E">
            <w:pPr>
              <w:jc w:val="center"/>
              <w:rPr>
                <w:rFonts w:ascii="仿宋" w:hAnsi="仿宋" w:eastAsia="仿宋" w:cs="仿宋"/>
                <w:color w:val="auto"/>
                <w:highlight w:val="none"/>
              </w:rPr>
            </w:pPr>
            <w:r>
              <w:rPr>
                <w:rFonts w:hint="eastAsia" w:ascii="仿宋" w:hAnsi="仿宋" w:eastAsia="仿宋" w:cs="仿宋"/>
                <w:color w:val="auto"/>
                <w:highlight w:val="none"/>
              </w:rPr>
              <w:t>其他人员</w:t>
            </w:r>
          </w:p>
        </w:tc>
        <w:tc>
          <w:tcPr>
            <w:tcW w:w="466" w:type="pct"/>
            <w:vAlign w:val="center"/>
          </w:tcPr>
          <w:p w14:paraId="16B217FA">
            <w:pPr>
              <w:jc w:val="center"/>
              <w:rPr>
                <w:rFonts w:ascii="仿宋" w:hAnsi="仿宋" w:eastAsia="仿宋" w:cs="仿宋"/>
                <w:color w:val="auto"/>
                <w:highlight w:val="none"/>
              </w:rPr>
            </w:pPr>
            <w:r>
              <w:rPr>
                <w:rFonts w:hint="eastAsia" w:ascii="仿宋" w:hAnsi="仿宋" w:eastAsia="仿宋" w:cs="仿宋"/>
                <w:color w:val="auto"/>
                <w:highlight w:val="none"/>
              </w:rPr>
              <w:t>2人</w:t>
            </w:r>
          </w:p>
        </w:tc>
        <w:tc>
          <w:tcPr>
            <w:tcW w:w="3214" w:type="pct"/>
            <w:vAlign w:val="center"/>
          </w:tcPr>
          <w:p w14:paraId="4F96B336">
            <w:pPr>
              <w:spacing w:line="300" w:lineRule="exact"/>
              <w:rPr>
                <w:rFonts w:ascii="仿宋" w:hAnsi="仿宋" w:eastAsia="仿宋" w:cs="仿宋"/>
                <w:color w:val="auto"/>
                <w:highlight w:val="none"/>
              </w:rPr>
            </w:pPr>
            <w:r>
              <w:rPr>
                <w:rFonts w:hint="eastAsia" w:ascii="仿宋" w:hAnsi="仿宋" w:eastAsia="仿宋" w:cs="仿宋"/>
                <w:color w:val="auto"/>
                <w:highlight w:val="none"/>
              </w:rPr>
              <w:t>根据项目需要，派遣专业工程师开展颗粒物及臭氧源解析工作，辅助开展大气精准管控项目实施，相关人员结合服务要求按需在场。</w:t>
            </w:r>
          </w:p>
        </w:tc>
      </w:tr>
    </w:tbl>
    <w:p w14:paraId="69D76CFF">
      <w:pPr>
        <w:spacing w:line="560" w:lineRule="exact"/>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基础设施</w:t>
      </w:r>
    </w:p>
    <w:tbl>
      <w:tblPr>
        <w:tblStyle w:val="23"/>
        <w:tblW w:w="50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85"/>
        <w:gridCol w:w="3484"/>
        <w:gridCol w:w="1532"/>
        <w:gridCol w:w="2871"/>
      </w:tblGrid>
      <w:tr w14:paraId="244E3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880" w:type="pct"/>
            <w:vAlign w:val="center"/>
          </w:tcPr>
          <w:p w14:paraId="0B51E776">
            <w:pPr>
              <w:jc w:val="center"/>
              <w:rPr>
                <w:rFonts w:ascii="仿宋" w:hAnsi="仿宋" w:eastAsia="仿宋" w:cs="仿宋"/>
                <w:color w:val="auto"/>
                <w:sz w:val="24"/>
                <w:highlight w:val="none"/>
              </w:rPr>
            </w:pPr>
            <w:r>
              <w:rPr>
                <w:rFonts w:hint="eastAsia" w:ascii="仿宋" w:hAnsi="仿宋" w:eastAsia="仿宋" w:cs="仿宋"/>
                <w:color w:val="auto"/>
                <w:sz w:val="24"/>
                <w:highlight w:val="none"/>
              </w:rPr>
              <w:t>序号</w:t>
            </w:r>
          </w:p>
        </w:tc>
        <w:tc>
          <w:tcPr>
            <w:tcW w:w="1819" w:type="pct"/>
            <w:vAlign w:val="center"/>
          </w:tcPr>
          <w:p w14:paraId="4F924F0B">
            <w:pPr>
              <w:jc w:val="center"/>
              <w:rPr>
                <w:rFonts w:ascii="仿宋" w:hAnsi="仿宋" w:eastAsia="仿宋" w:cs="仿宋"/>
                <w:color w:val="auto"/>
                <w:sz w:val="24"/>
                <w:highlight w:val="none"/>
              </w:rPr>
            </w:pPr>
            <w:r>
              <w:rPr>
                <w:rFonts w:hint="eastAsia" w:ascii="仿宋" w:hAnsi="仿宋" w:eastAsia="仿宋" w:cs="仿宋"/>
                <w:color w:val="auto"/>
                <w:sz w:val="24"/>
                <w:highlight w:val="none"/>
              </w:rPr>
              <w:t>设备名称</w:t>
            </w:r>
          </w:p>
        </w:tc>
        <w:tc>
          <w:tcPr>
            <w:tcW w:w="800" w:type="pct"/>
            <w:vAlign w:val="center"/>
          </w:tcPr>
          <w:p w14:paraId="2F0F7BE7">
            <w:pPr>
              <w:jc w:val="center"/>
              <w:rPr>
                <w:rFonts w:ascii="仿宋" w:hAnsi="仿宋" w:eastAsia="仿宋" w:cs="仿宋"/>
                <w:color w:val="auto"/>
                <w:sz w:val="24"/>
                <w:highlight w:val="none"/>
              </w:rPr>
            </w:pPr>
            <w:r>
              <w:rPr>
                <w:rFonts w:hint="eastAsia" w:ascii="仿宋" w:hAnsi="仿宋" w:eastAsia="仿宋" w:cs="仿宋"/>
                <w:color w:val="auto"/>
                <w:sz w:val="24"/>
                <w:highlight w:val="none"/>
              </w:rPr>
              <w:t>数量</w:t>
            </w:r>
          </w:p>
        </w:tc>
        <w:tc>
          <w:tcPr>
            <w:tcW w:w="1499" w:type="pct"/>
            <w:vAlign w:val="center"/>
          </w:tcPr>
          <w:p w14:paraId="7AB55043">
            <w:pPr>
              <w:jc w:val="center"/>
              <w:rPr>
                <w:rFonts w:ascii="仿宋" w:hAnsi="仿宋" w:eastAsia="仿宋" w:cs="仿宋"/>
                <w:color w:val="auto"/>
                <w:sz w:val="24"/>
                <w:highlight w:val="none"/>
              </w:rPr>
            </w:pPr>
            <w:r>
              <w:rPr>
                <w:rFonts w:hint="eastAsia" w:ascii="仿宋" w:hAnsi="仿宋" w:eastAsia="仿宋" w:cs="仿宋"/>
                <w:color w:val="auto"/>
                <w:sz w:val="24"/>
                <w:highlight w:val="none"/>
              </w:rPr>
              <w:t>备注</w:t>
            </w:r>
          </w:p>
        </w:tc>
      </w:tr>
      <w:tr w14:paraId="24398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880" w:type="pct"/>
            <w:vAlign w:val="center"/>
          </w:tcPr>
          <w:p w14:paraId="4C3E148F">
            <w:pPr>
              <w:jc w:val="center"/>
              <w:rPr>
                <w:rFonts w:ascii="仿宋" w:hAnsi="仿宋" w:eastAsia="仿宋" w:cs="仿宋"/>
                <w:color w:val="auto"/>
                <w:sz w:val="24"/>
                <w:highlight w:val="none"/>
              </w:rPr>
            </w:pPr>
            <w:r>
              <w:rPr>
                <w:rFonts w:hint="eastAsia" w:ascii="仿宋" w:hAnsi="仿宋" w:eastAsia="仿宋" w:cs="仿宋"/>
                <w:color w:val="auto"/>
                <w:sz w:val="24"/>
                <w:highlight w:val="none"/>
              </w:rPr>
              <w:t>1</w:t>
            </w:r>
          </w:p>
        </w:tc>
        <w:tc>
          <w:tcPr>
            <w:tcW w:w="1819" w:type="pct"/>
            <w:vAlign w:val="center"/>
          </w:tcPr>
          <w:p w14:paraId="17F81F50">
            <w:pPr>
              <w:jc w:val="center"/>
              <w:rPr>
                <w:rFonts w:ascii="仿宋" w:hAnsi="仿宋" w:eastAsia="仿宋" w:cs="仿宋"/>
                <w:color w:val="auto"/>
                <w:sz w:val="24"/>
                <w:highlight w:val="none"/>
              </w:rPr>
            </w:pPr>
            <w:r>
              <w:rPr>
                <w:rFonts w:hint="eastAsia" w:ascii="仿宋" w:hAnsi="仿宋" w:eastAsia="仿宋" w:cs="仿宋"/>
                <w:color w:val="auto"/>
                <w:sz w:val="24"/>
                <w:highlight w:val="none"/>
              </w:rPr>
              <w:t>提供巡查用车</w:t>
            </w:r>
          </w:p>
        </w:tc>
        <w:tc>
          <w:tcPr>
            <w:tcW w:w="800" w:type="pct"/>
            <w:vAlign w:val="center"/>
          </w:tcPr>
          <w:p w14:paraId="0A438D9C">
            <w:pPr>
              <w:jc w:val="center"/>
              <w:rPr>
                <w:rFonts w:ascii="仿宋" w:hAnsi="仿宋" w:eastAsia="仿宋" w:cs="仿宋"/>
                <w:color w:val="auto"/>
                <w:sz w:val="24"/>
                <w:highlight w:val="none"/>
              </w:rPr>
            </w:pPr>
            <w:r>
              <w:rPr>
                <w:rFonts w:hint="eastAsia" w:ascii="仿宋" w:hAnsi="仿宋" w:eastAsia="仿宋" w:cs="仿宋"/>
                <w:color w:val="auto"/>
                <w:sz w:val="24"/>
                <w:highlight w:val="none"/>
              </w:rPr>
              <w:t>1辆</w:t>
            </w:r>
          </w:p>
        </w:tc>
        <w:tc>
          <w:tcPr>
            <w:tcW w:w="1499" w:type="pct"/>
            <w:vAlign w:val="center"/>
          </w:tcPr>
          <w:p w14:paraId="6550F13A">
            <w:pPr>
              <w:jc w:val="center"/>
              <w:rPr>
                <w:rFonts w:ascii="仿宋" w:hAnsi="仿宋" w:eastAsia="仿宋" w:cs="仿宋"/>
                <w:color w:val="auto"/>
                <w:sz w:val="24"/>
                <w:highlight w:val="none"/>
              </w:rPr>
            </w:pPr>
          </w:p>
        </w:tc>
      </w:tr>
      <w:tr w14:paraId="49221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880" w:type="pct"/>
            <w:vAlign w:val="center"/>
          </w:tcPr>
          <w:p w14:paraId="62CC7383">
            <w:pPr>
              <w:jc w:val="center"/>
              <w:rPr>
                <w:rFonts w:ascii="仿宋" w:hAnsi="仿宋" w:eastAsia="仿宋" w:cs="仿宋"/>
                <w:color w:val="auto"/>
                <w:sz w:val="24"/>
                <w:highlight w:val="none"/>
              </w:rPr>
            </w:pPr>
            <w:r>
              <w:rPr>
                <w:rFonts w:hint="eastAsia" w:ascii="仿宋" w:hAnsi="仿宋" w:eastAsia="仿宋" w:cs="仿宋"/>
                <w:color w:val="auto"/>
                <w:sz w:val="24"/>
                <w:highlight w:val="none"/>
              </w:rPr>
              <w:t>2</w:t>
            </w:r>
          </w:p>
        </w:tc>
        <w:tc>
          <w:tcPr>
            <w:tcW w:w="1819" w:type="pct"/>
            <w:vAlign w:val="center"/>
          </w:tcPr>
          <w:p w14:paraId="593C91A2">
            <w:pPr>
              <w:jc w:val="center"/>
              <w:rPr>
                <w:rFonts w:ascii="仿宋" w:hAnsi="仿宋" w:eastAsia="仿宋" w:cs="仿宋"/>
                <w:color w:val="auto"/>
                <w:sz w:val="24"/>
                <w:highlight w:val="none"/>
              </w:rPr>
            </w:pPr>
            <w:r>
              <w:rPr>
                <w:rFonts w:hint="eastAsia" w:ascii="仿宋" w:hAnsi="仿宋" w:eastAsia="仿宋" w:cs="仿宋"/>
                <w:color w:val="auto"/>
                <w:sz w:val="24"/>
                <w:highlight w:val="none"/>
              </w:rPr>
              <w:t>手持VOC设备</w:t>
            </w:r>
          </w:p>
        </w:tc>
        <w:tc>
          <w:tcPr>
            <w:tcW w:w="800" w:type="pct"/>
            <w:vAlign w:val="center"/>
          </w:tcPr>
          <w:p w14:paraId="793DA2C8">
            <w:pPr>
              <w:jc w:val="center"/>
              <w:rPr>
                <w:rFonts w:ascii="仿宋" w:hAnsi="仿宋" w:eastAsia="仿宋" w:cs="仿宋"/>
                <w:color w:val="auto"/>
                <w:sz w:val="24"/>
                <w:highlight w:val="none"/>
              </w:rPr>
            </w:pPr>
            <w:r>
              <w:rPr>
                <w:rFonts w:hint="eastAsia" w:ascii="仿宋" w:hAnsi="仿宋" w:eastAsia="仿宋" w:cs="仿宋"/>
                <w:color w:val="auto"/>
                <w:sz w:val="24"/>
                <w:highlight w:val="none"/>
              </w:rPr>
              <w:t>1台</w:t>
            </w:r>
          </w:p>
        </w:tc>
        <w:tc>
          <w:tcPr>
            <w:tcW w:w="1499" w:type="pct"/>
            <w:vAlign w:val="center"/>
          </w:tcPr>
          <w:p w14:paraId="278B9BF4">
            <w:pPr>
              <w:jc w:val="center"/>
              <w:rPr>
                <w:rFonts w:ascii="仿宋" w:hAnsi="仿宋" w:eastAsia="仿宋" w:cs="仿宋"/>
                <w:color w:val="auto"/>
                <w:sz w:val="24"/>
                <w:highlight w:val="none"/>
              </w:rPr>
            </w:pPr>
          </w:p>
        </w:tc>
      </w:tr>
      <w:tr w14:paraId="5BFDD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880" w:type="pct"/>
            <w:vAlign w:val="center"/>
          </w:tcPr>
          <w:p w14:paraId="388DDD92">
            <w:pPr>
              <w:jc w:val="center"/>
              <w:rPr>
                <w:rFonts w:ascii="仿宋" w:hAnsi="仿宋" w:eastAsia="仿宋" w:cs="仿宋"/>
                <w:color w:val="auto"/>
                <w:sz w:val="24"/>
                <w:highlight w:val="none"/>
              </w:rPr>
            </w:pPr>
            <w:r>
              <w:rPr>
                <w:rFonts w:hint="eastAsia" w:ascii="仿宋" w:hAnsi="仿宋" w:eastAsia="仿宋" w:cs="仿宋"/>
                <w:color w:val="auto"/>
                <w:sz w:val="24"/>
                <w:highlight w:val="none"/>
              </w:rPr>
              <w:t>3</w:t>
            </w:r>
          </w:p>
        </w:tc>
        <w:tc>
          <w:tcPr>
            <w:tcW w:w="1819" w:type="pct"/>
            <w:vAlign w:val="center"/>
          </w:tcPr>
          <w:p w14:paraId="3C8AF528">
            <w:pPr>
              <w:jc w:val="center"/>
              <w:rPr>
                <w:rFonts w:ascii="仿宋" w:hAnsi="仿宋" w:eastAsia="仿宋" w:cs="仿宋"/>
                <w:color w:val="auto"/>
                <w:sz w:val="24"/>
                <w:highlight w:val="none"/>
              </w:rPr>
            </w:pPr>
            <w:r>
              <w:rPr>
                <w:rFonts w:hint="eastAsia" w:ascii="仿宋" w:hAnsi="仿宋" w:eastAsia="仿宋" w:cs="仿宋"/>
                <w:color w:val="auto"/>
                <w:sz w:val="24"/>
                <w:highlight w:val="none"/>
              </w:rPr>
              <w:t>便携式六参</w:t>
            </w:r>
          </w:p>
        </w:tc>
        <w:tc>
          <w:tcPr>
            <w:tcW w:w="800" w:type="pct"/>
            <w:vAlign w:val="center"/>
          </w:tcPr>
          <w:p w14:paraId="32666828">
            <w:pPr>
              <w:jc w:val="center"/>
              <w:rPr>
                <w:rFonts w:ascii="仿宋" w:hAnsi="仿宋" w:eastAsia="仿宋" w:cs="仿宋"/>
                <w:color w:val="auto"/>
                <w:sz w:val="24"/>
                <w:highlight w:val="none"/>
              </w:rPr>
            </w:pPr>
            <w:r>
              <w:rPr>
                <w:rFonts w:hint="eastAsia" w:ascii="仿宋" w:hAnsi="仿宋" w:eastAsia="仿宋" w:cs="仿宋"/>
                <w:color w:val="auto"/>
                <w:sz w:val="24"/>
                <w:highlight w:val="none"/>
              </w:rPr>
              <w:t>1台</w:t>
            </w:r>
          </w:p>
        </w:tc>
        <w:tc>
          <w:tcPr>
            <w:tcW w:w="1499" w:type="pct"/>
            <w:vAlign w:val="center"/>
          </w:tcPr>
          <w:p w14:paraId="7BDFC2FB">
            <w:pPr>
              <w:jc w:val="center"/>
              <w:rPr>
                <w:rFonts w:ascii="仿宋" w:hAnsi="仿宋" w:eastAsia="仿宋" w:cs="仿宋"/>
                <w:color w:val="auto"/>
                <w:sz w:val="24"/>
                <w:highlight w:val="none"/>
              </w:rPr>
            </w:pPr>
            <w:r>
              <w:rPr>
                <w:rFonts w:hint="eastAsia" w:ascii="仿宋" w:hAnsi="仿宋" w:eastAsia="仿宋" w:cs="仿宋"/>
                <w:color w:val="auto"/>
                <w:sz w:val="24"/>
                <w:highlight w:val="none"/>
              </w:rPr>
              <w:t>可实时查看空间分布数据</w:t>
            </w:r>
          </w:p>
        </w:tc>
      </w:tr>
    </w:tbl>
    <w:p w14:paraId="5FD56B4D">
      <w:pPr>
        <w:pStyle w:val="20"/>
        <w:shd w:val="clear" w:color="auto" w:fill="FFFFFF"/>
        <w:spacing w:before="0" w:beforeAutospacing="0" w:after="0" w:afterAutospacing="0" w:line="500" w:lineRule="exact"/>
        <w:ind w:firstLine="562" w:firstLineChars="200"/>
        <w:textAlignment w:val="baseline"/>
        <w:rPr>
          <w:rFonts w:ascii="仿宋" w:hAnsi="仿宋" w:eastAsia="仿宋"/>
          <w:b/>
          <w:bCs/>
          <w:iCs/>
          <w:color w:val="auto"/>
          <w:sz w:val="28"/>
          <w:szCs w:val="28"/>
          <w:highlight w:val="none"/>
        </w:rPr>
      </w:pPr>
      <w:r>
        <w:rPr>
          <w:rFonts w:hint="eastAsia" w:ascii="仿宋" w:hAnsi="仿宋" w:eastAsia="仿宋"/>
          <w:b/>
          <w:bCs/>
          <w:iCs/>
          <w:color w:val="auto"/>
          <w:sz w:val="28"/>
          <w:szCs w:val="28"/>
          <w:highlight w:val="none"/>
        </w:rPr>
        <w:t>注:1.上述人员数量为供应商响应本项目拟派的最低人员数量标准，响应文件中提供人员名录（包括不限于姓名、身份证号码、人员岗位职务等），并提供响应文件提交截止日前最近1个月响应供应商为其缴纳社保的证明；新成立企业距响应文件提交截止日期不足30日的，可不提供缴纳社保的证明（以新办企业营业执照发放日期为准）。未按要求提供的视为无效响应文件。</w:t>
      </w:r>
    </w:p>
    <w:p w14:paraId="0C6A376F">
      <w:pPr>
        <w:pStyle w:val="20"/>
        <w:shd w:val="clear" w:color="auto" w:fill="FFFFFF"/>
        <w:spacing w:before="0" w:beforeAutospacing="0" w:after="0" w:afterAutospacing="0" w:line="500" w:lineRule="exact"/>
        <w:ind w:firstLine="562" w:firstLineChars="200"/>
        <w:textAlignment w:val="baseline"/>
        <w:rPr>
          <w:rFonts w:ascii="仿宋" w:hAnsi="仿宋" w:eastAsia="仿宋"/>
          <w:b/>
          <w:bCs/>
          <w:iCs/>
          <w:color w:val="auto"/>
          <w:sz w:val="28"/>
          <w:szCs w:val="28"/>
          <w:highlight w:val="none"/>
        </w:rPr>
      </w:pPr>
      <w:r>
        <w:rPr>
          <w:rFonts w:hint="eastAsia" w:ascii="仿宋" w:hAnsi="仿宋" w:eastAsia="仿宋"/>
          <w:b/>
          <w:bCs/>
          <w:iCs/>
          <w:color w:val="auto"/>
          <w:sz w:val="28"/>
          <w:szCs w:val="28"/>
          <w:highlight w:val="none"/>
        </w:rPr>
        <w:t>2.上述设备为供应商完成本项目所必须的，所须设备须提供以下材料：</w:t>
      </w:r>
    </w:p>
    <w:p w14:paraId="5258EC08">
      <w:pPr>
        <w:pStyle w:val="20"/>
        <w:shd w:val="clear" w:color="auto" w:fill="FFFFFF"/>
        <w:spacing w:before="0" w:beforeAutospacing="0" w:after="0" w:afterAutospacing="0" w:line="500" w:lineRule="exact"/>
        <w:ind w:firstLine="567"/>
        <w:textAlignment w:val="baseline"/>
        <w:rPr>
          <w:rFonts w:ascii="仿宋" w:hAnsi="仿宋" w:eastAsia="仿宋"/>
          <w:b/>
          <w:bCs/>
          <w:iCs/>
          <w:color w:val="auto"/>
          <w:sz w:val="28"/>
          <w:szCs w:val="28"/>
          <w:highlight w:val="none"/>
        </w:rPr>
      </w:pPr>
      <w:r>
        <w:rPr>
          <w:rFonts w:hint="eastAsia" w:ascii="仿宋" w:hAnsi="仿宋" w:eastAsia="仿宋"/>
          <w:b/>
          <w:bCs/>
          <w:iCs/>
          <w:color w:val="auto"/>
          <w:sz w:val="28"/>
          <w:szCs w:val="28"/>
          <w:highlight w:val="none"/>
        </w:rPr>
        <w:t>（1）设备方面：①如供应商为设备制造商的须提供库存设备清单；②如供应商为非设备制造商的需提供以下证明材料：已经购买设备的须提供购置发票或采购合同扫描件；已经租赁的，提供租赁合同扫描件和租赁费支付证明材料；③暂未购买或租赁的须提供承诺书，承诺成交后提供上述设备服务于本项目。</w:t>
      </w:r>
    </w:p>
    <w:p w14:paraId="50742339">
      <w:pPr>
        <w:pStyle w:val="20"/>
        <w:shd w:val="clear" w:color="auto" w:fill="FFFFFF"/>
        <w:spacing w:before="0" w:beforeAutospacing="0" w:after="0" w:afterAutospacing="0" w:line="500" w:lineRule="exact"/>
        <w:ind w:firstLine="567"/>
        <w:textAlignment w:val="baseline"/>
        <w:rPr>
          <w:rFonts w:ascii="仿宋" w:hAnsi="仿宋" w:eastAsia="仿宋"/>
          <w:b/>
          <w:bCs/>
          <w:iCs/>
          <w:color w:val="auto"/>
          <w:sz w:val="28"/>
          <w:szCs w:val="28"/>
          <w:highlight w:val="none"/>
        </w:rPr>
      </w:pPr>
      <w:r>
        <w:rPr>
          <w:rFonts w:hint="eastAsia" w:ascii="仿宋" w:hAnsi="仿宋" w:eastAsia="仿宋"/>
          <w:b/>
          <w:bCs/>
          <w:iCs/>
          <w:color w:val="auto"/>
          <w:sz w:val="28"/>
          <w:szCs w:val="28"/>
          <w:highlight w:val="none"/>
        </w:rPr>
        <w:t>（2）车辆方面：提供车辆归属响应供应商单位的相关证明材料。如为租赁车辆须提供租赁合同（协议）和租赁费支付证明材料；如固定使用单位内部员工车辆，需提供相关证明材料。以上材料加盖公章。未按要求提供相关材料的视为无效响应文件。</w:t>
      </w:r>
    </w:p>
    <w:p w14:paraId="2AE28999">
      <w:pPr>
        <w:rPr>
          <w:rFonts w:ascii="仿宋" w:hAnsi="仿宋" w:eastAsia="仿宋"/>
          <w:bCs/>
          <w:color w:val="auto"/>
          <w:sz w:val="28"/>
          <w:szCs w:val="28"/>
          <w:highlight w:val="none"/>
        </w:rPr>
      </w:pPr>
      <w:r>
        <w:rPr>
          <w:rFonts w:hint="eastAsia" w:ascii="仿宋" w:hAnsi="仿宋" w:eastAsia="仿宋"/>
          <w:bCs/>
          <w:color w:val="auto"/>
          <w:sz w:val="28"/>
          <w:szCs w:val="28"/>
          <w:highlight w:val="none"/>
        </w:rPr>
        <w:br w:type="page"/>
      </w:r>
    </w:p>
    <w:p w14:paraId="57FEEBF2">
      <w:pPr>
        <w:ind w:firstLine="560" w:firstLineChars="200"/>
        <w:rPr>
          <w:rFonts w:ascii="仿宋" w:hAnsi="仿宋" w:eastAsia="仿宋"/>
          <w:bCs/>
          <w:color w:val="auto"/>
          <w:sz w:val="28"/>
          <w:szCs w:val="28"/>
          <w:highlight w:val="none"/>
        </w:rPr>
      </w:pPr>
      <w:r>
        <w:rPr>
          <w:rFonts w:hint="eastAsia" w:ascii="仿宋" w:hAnsi="仿宋" w:eastAsia="仿宋"/>
          <w:bCs/>
          <w:color w:val="auto"/>
          <w:sz w:val="28"/>
          <w:szCs w:val="28"/>
          <w:highlight w:val="none"/>
        </w:rPr>
        <w:t>（三）商务部分正负偏离表</w:t>
      </w:r>
    </w:p>
    <w:p w14:paraId="1C66F3F0">
      <w:pPr>
        <w:jc w:val="center"/>
        <w:rPr>
          <w:rFonts w:ascii="方正小标宋简体" w:hAnsi="宋体" w:eastAsia="方正小标宋简体"/>
          <w:color w:val="auto"/>
          <w:sz w:val="32"/>
          <w:szCs w:val="32"/>
          <w:highlight w:val="none"/>
        </w:rPr>
      </w:pPr>
      <w:r>
        <w:rPr>
          <w:rFonts w:hint="eastAsia" w:ascii="方正小标宋简体" w:hAnsi="宋体" w:eastAsia="方正小标宋简体"/>
          <w:color w:val="auto"/>
          <w:sz w:val="32"/>
          <w:szCs w:val="32"/>
          <w:highlight w:val="none"/>
        </w:rPr>
        <w:t>商务部分正负偏离表</w:t>
      </w:r>
    </w:p>
    <w:tbl>
      <w:tblPr>
        <w:tblStyle w:val="22"/>
        <w:tblW w:w="4999"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92"/>
        <w:gridCol w:w="1275"/>
        <w:gridCol w:w="4100"/>
        <w:gridCol w:w="1417"/>
        <w:gridCol w:w="1366"/>
        <w:gridCol w:w="718"/>
      </w:tblGrid>
      <w:tr w14:paraId="72BD85E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93" w:type="dxa"/>
            <w:tcBorders>
              <w:top w:val="single" w:color="auto" w:sz="4" w:space="0"/>
              <w:left w:val="single" w:color="auto" w:sz="4" w:space="0"/>
              <w:bottom w:val="single" w:color="auto" w:sz="4" w:space="0"/>
              <w:right w:val="single" w:color="auto" w:sz="4" w:space="0"/>
            </w:tcBorders>
            <w:vAlign w:val="center"/>
          </w:tcPr>
          <w:p w14:paraId="512755AB">
            <w:pPr>
              <w:snapToGrid w:val="0"/>
              <w:spacing w:beforeLines="50"/>
              <w:jc w:val="center"/>
              <w:rPr>
                <w:rFonts w:ascii="仿宋" w:hAnsi="仿宋" w:eastAsia="仿宋" w:cs="仿宋"/>
                <w:color w:val="auto"/>
                <w:sz w:val="24"/>
                <w:highlight w:val="none"/>
              </w:rPr>
            </w:pPr>
            <w:r>
              <w:rPr>
                <w:rFonts w:hint="eastAsia" w:ascii="仿宋" w:hAnsi="仿宋" w:eastAsia="仿宋" w:cs="仿宋"/>
                <w:color w:val="auto"/>
                <w:sz w:val="24"/>
                <w:highlight w:val="none"/>
              </w:rPr>
              <w:t>序号</w:t>
            </w:r>
          </w:p>
        </w:tc>
        <w:tc>
          <w:tcPr>
            <w:tcW w:w="1275" w:type="dxa"/>
            <w:tcBorders>
              <w:top w:val="single" w:color="auto" w:sz="4" w:space="0"/>
              <w:left w:val="single" w:color="auto" w:sz="4" w:space="0"/>
              <w:bottom w:val="single" w:color="auto" w:sz="4" w:space="0"/>
              <w:right w:val="single" w:color="auto" w:sz="4" w:space="0"/>
            </w:tcBorders>
            <w:vAlign w:val="center"/>
          </w:tcPr>
          <w:p w14:paraId="36D9F1D6">
            <w:pPr>
              <w:snapToGrid w:val="0"/>
              <w:spacing w:beforeLines="50"/>
              <w:jc w:val="center"/>
              <w:rPr>
                <w:rFonts w:ascii="仿宋" w:hAnsi="仿宋" w:eastAsia="仿宋" w:cs="仿宋"/>
                <w:color w:val="auto"/>
                <w:sz w:val="24"/>
                <w:highlight w:val="none"/>
              </w:rPr>
            </w:pPr>
            <w:r>
              <w:rPr>
                <w:rFonts w:hint="eastAsia" w:ascii="仿宋" w:hAnsi="仿宋" w:eastAsia="仿宋" w:cs="仿宋"/>
                <w:color w:val="auto"/>
                <w:sz w:val="24"/>
                <w:highlight w:val="none"/>
              </w:rPr>
              <w:t>商务条款</w:t>
            </w:r>
          </w:p>
        </w:tc>
        <w:tc>
          <w:tcPr>
            <w:tcW w:w="4100" w:type="dxa"/>
            <w:tcBorders>
              <w:top w:val="single" w:color="auto" w:sz="4" w:space="0"/>
              <w:left w:val="single" w:color="auto" w:sz="4" w:space="0"/>
              <w:bottom w:val="single" w:color="auto" w:sz="4" w:space="0"/>
              <w:right w:val="single" w:color="auto" w:sz="4" w:space="0"/>
            </w:tcBorders>
            <w:vAlign w:val="center"/>
          </w:tcPr>
          <w:p w14:paraId="7DD692DD">
            <w:pPr>
              <w:snapToGrid w:val="0"/>
              <w:spacing w:beforeLines="50"/>
              <w:jc w:val="center"/>
              <w:rPr>
                <w:rFonts w:ascii="仿宋" w:hAnsi="仿宋" w:eastAsia="仿宋" w:cs="仿宋"/>
                <w:color w:val="auto"/>
                <w:sz w:val="24"/>
                <w:highlight w:val="none"/>
              </w:rPr>
            </w:pPr>
            <w:r>
              <w:rPr>
                <w:rFonts w:hint="eastAsia" w:ascii="仿宋" w:hAnsi="仿宋" w:eastAsia="仿宋" w:cs="仿宋"/>
                <w:color w:val="auto"/>
                <w:sz w:val="24"/>
                <w:highlight w:val="none"/>
              </w:rPr>
              <w:t>竞争性磋商文件要求</w:t>
            </w:r>
          </w:p>
        </w:tc>
        <w:tc>
          <w:tcPr>
            <w:tcW w:w="1417" w:type="dxa"/>
            <w:tcBorders>
              <w:top w:val="single" w:color="auto" w:sz="4" w:space="0"/>
              <w:left w:val="single" w:color="auto" w:sz="4" w:space="0"/>
              <w:bottom w:val="single" w:color="auto" w:sz="4" w:space="0"/>
              <w:right w:val="single" w:color="auto" w:sz="4" w:space="0"/>
            </w:tcBorders>
            <w:vAlign w:val="center"/>
          </w:tcPr>
          <w:p w14:paraId="1FCCD5F2">
            <w:pPr>
              <w:snapToGrid w:val="0"/>
              <w:spacing w:beforeLines="50"/>
              <w:jc w:val="center"/>
              <w:rPr>
                <w:rFonts w:ascii="仿宋" w:hAnsi="仿宋" w:eastAsia="仿宋" w:cs="仿宋"/>
                <w:color w:val="auto"/>
                <w:sz w:val="24"/>
                <w:highlight w:val="none"/>
              </w:rPr>
            </w:pPr>
            <w:r>
              <w:rPr>
                <w:rFonts w:hint="eastAsia" w:ascii="仿宋" w:hAnsi="仿宋" w:eastAsia="仿宋" w:cs="仿宋"/>
                <w:color w:val="auto"/>
                <w:sz w:val="24"/>
                <w:highlight w:val="none"/>
              </w:rPr>
              <w:t>供应商响应具体情况</w:t>
            </w:r>
          </w:p>
        </w:tc>
        <w:tc>
          <w:tcPr>
            <w:tcW w:w="1366" w:type="dxa"/>
            <w:tcBorders>
              <w:top w:val="single" w:color="auto" w:sz="4" w:space="0"/>
              <w:left w:val="single" w:color="auto" w:sz="4" w:space="0"/>
              <w:bottom w:val="single" w:color="auto" w:sz="4" w:space="0"/>
              <w:right w:val="single" w:color="auto" w:sz="4" w:space="0"/>
            </w:tcBorders>
            <w:vAlign w:val="center"/>
          </w:tcPr>
          <w:p w14:paraId="6973D7C7">
            <w:pPr>
              <w:jc w:val="center"/>
              <w:rPr>
                <w:rFonts w:ascii="仿宋" w:hAnsi="仿宋" w:eastAsia="仿宋" w:cs="仿宋"/>
                <w:color w:val="auto"/>
                <w:sz w:val="24"/>
                <w:highlight w:val="none"/>
              </w:rPr>
            </w:pPr>
            <w:r>
              <w:rPr>
                <w:rFonts w:hint="eastAsia" w:ascii="仿宋" w:hAnsi="仿宋" w:eastAsia="仿宋" w:cs="仿宋"/>
                <w:color w:val="auto"/>
                <w:sz w:val="24"/>
                <w:highlight w:val="none"/>
              </w:rPr>
              <w:t>结论（正偏离、符合或负偏离）</w:t>
            </w:r>
          </w:p>
        </w:tc>
        <w:tc>
          <w:tcPr>
            <w:tcW w:w="718" w:type="dxa"/>
            <w:tcBorders>
              <w:top w:val="single" w:color="auto" w:sz="4" w:space="0"/>
              <w:left w:val="single" w:color="auto" w:sz="4" w:space="0"/>
              <w:bottom w:val="single" w:color="auto" w:sz="4" w:space="0"/>
              <w:right w:val="single" w:color="auto" w:sz="4" w:space="0"/>
            </w:tcBorders>
            <w:vAlign w:val="center"/>
          </w:tcPr>
          <w:p w14:paraId="6E8BA535">
            <w:pPr>
              <w:jc w:val="center"/>
              <w:rPr>
                <w:rFonts w:ascii="仿宋" w:hAnsi="仿宋" w:eastAsia="仿宋" w:cs="仿宋"/>
                <w:color w:val="auto"/>
                <w:sz w:val="24"/>
                <w:highlight w:val="none"/>
              </w:rPr>
            </w:pPr>
            <w:r>
              <w:rPr>
                <w:rFonts w:hint="eastAsia" w:ascii="仿宋" w:hAnsi="仿宋" w:eastAsia="仿宋" w:cs="仿宋"/>
                <w:color w:val="auto"/>
                <w:sz w:val="24"/>
                <w:highlight w:val="none"/>
              </w:rPr>
              <w:t>备注</w:t>
            </w:r>
          </w:p>
        </w:tc>
      </w:tr>
      <w:tr w14:paraId="775F02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93" w:type="dxa"/>
            <w:tcBorders>
              <w:top w:val="single" w:color="auto" w:sz="4" w:space="0"/>
              <w:left w:val="single" w:color="auto" w:sz="4" w:space="0"/>
              <w:bottom w:val="single" w:color="auto" w:sz="4" w:space="0"/>
              <w:right w:val="single" w:color="auto" w:sz="4" w:space="0"/>
            </w:tcBorders>
            <w:vAlign w:val="center"/>
          </w:tcPr>
          <w:p w14:paraId="259DC419">
            <w:pPr>
              <w:snapToGrid w:val="0"/>
              <w:spacing w:beforeLines="50"/>
              <w:jc w:val="center"/>
              <w:rPr>
                <w:rFonts w:ascii="仿宋" w:hAnsi="仿宋" w:eastAsia="仿宋" w:cs="仿宋"/>
                <w:color w:val="auto"/>
                <w:sz w:val="24"/>
                <w:highlight w:val="none"/>
              </w:rPr>
            </w:pPr>
            <w:r>
              <w:rPr>
                <w:rFonts w:hint="eastAsia" w:ascii="仿宋" w:hAnsi="仿宋" w:eastAsia="仿宋" w:cs="仿宋"/>
                <w:color w:val="auto"/>
                <w:sz w:val="24"/>
                <w:highlight w:val="none"/>
              </w:rPr>
              <w:t>1</w:t>
            </w:r>
          </w:p>
        </w:tc>
        <w:tc>
          <w:tcPr>
            <w:tcW w:w="1275" w:type="dxa"/>
            <w:tcBorders>
              <w:top w:val="single" w:color="auto" w:sz="4" w:space="0"/>
              <w:left w:val="single" w:color="auto" w:sz="4" w:space="0"/>
              <w:bottom w:val="single" w:color="auto" w:sz="4" w:space="0"/>
              <w:right w:val="single" w:color="auto" w:sz="4" w:space="0"/>
            </w:tcBorders>
            <w:vAlign w:val="center"/>
          </w:tcPr>
          <w:p w14:paraId="083256F8">
            <w:pPr>
              <w:snapToGrid w:val="0"/>
              <w:spacing w:beforeLines="50"/>
              <w:jc w:val="center"/>
              <w:rPr>
                <w:rFonts w:ascii="仿宋" w:hAnsi="仿宋" w:eastAsia="仿宋" w:cs="仿宋"/>
                <w:color w:val="auto"/>
                <w:sz w:val="24"/>
                <w:highlight w:val="none"/>
              </w:rPr>
            </w:pPr>
            <w:r>
              <w:rPr>
                <w:rFonts w:hint="eastAsia" w:ascii="仿宋" w:hAnsi="仿宋" w:eastAsia="仿宋" w:cs="仿宋"/>
                <w:color w:val="auto"/>
                <w:sz w:val="24"/>
                <w:highlight w:val="none"/>
              </w:rPr>
              <w:t>服务期限</w:t>
            </w:r>
          </w:p>
        </w:tc>
        <w:tc>
          <w:tcPr>
            <w:tcW w:w="4100" w:type="dxa"/>
            <w:tcBorders>
              <w:top w:val="single" w:color="auto" w:sz="4" w:space="0"/>
              <w:left w:val="single" w:color="auto" w:sz="4" w:space="0"/>
              <w:bottom w:val="single" w:color="auto" w:sz="4" w:space="0"/>
              <w:right w:val="single" w:color="auto" w:sz="4" w:space="0"/>
            </w:tcBorders>
          </w:tcPr>
          <w:p w14:paraId="3C20A985">
            <w:pPr>
              <w:snapToGrid w:val="0"/>
              <w:spacing w:beforeLines="50"/>
              <w:rPr>
                <w:rFonts w:ascii="仿宋" w:hAnsi="仿宋" w:eastAsia="仿宋" w:cs="仿宋"/>
                <w:color w:val="auto"/>
                <w:sz w:val="24"/>
                <w:highlight w:val="none"/>
              </w:rPr>
            </w:pPr>
            <w:r>
              <w:rPr>
                <w:rFonts w:hint="eastAsia" w:ascii="仿宋" w:hAnsi="仿宋" w:eastAsia="仿宋" w:cs="仿宋"/>
                <w:color w:val="auto"/>
                <w:sz w:val="24"/>
                <w:highlight w:val="none"/>
              </w:rPr>
              <w:t>自签订合同之日起一年，具体时间以采购人通知为准。</w:t>
            </w:r>
          </w:p>
        </w:tc>
        <w:tc>
          <w:tcPr>
            <w:tcW w:w="1417" w:type="dxa"/>
            <w:tcBorders>
              <w:top w:val="single" w:color="auto" w:sz="4" w:space="0"/>
              <w:left w:val="single" w:color="auto" w:sz="4" w:space="0"/>
              <w:bottom w:val="single" w:color="auto" w:sz="4" w:space="0"/>
              <w:right w:val="single" w:color="auto" w:sz="4" w:space="0"/>
            </w:tcBorders>
          </w:tcPr>
          <w:p w14:paraId="083EDF89">
            <w:pPr>
              <w:snapToGrid w:val="0"/>
              <w:spacing w:beforeLines="50"/>
              <w:rPr>
                <w:rFonts w:ascii="仿宋" w:hAnsi="仿宋" w:eastAsia="仿宋" w:cs="仿宋"/>
                <w:color w:val="auto"/>
                <w:sz w:val="24"/>
                <w:highlight w:val="none"/>
              </w:rPr>
            </w:pPr>
          </w:p>
        </w:tc>
        <w:tc>
          <w:tcPr>
            <w:tcW w:w="1366" w:type="dxa"/>
            <w:tcBorders>
              <w:top w:val="single" w:color="auto" w:sz="4" w:space="0"/>
              <w:left w:val="single" w:color="auto" w:sz="4" w:space="0"/>
              <w:bottom w:val="single" w:color="auto" w:sz="4" w:space="0"/>
              <w:right w:val="single" w:color="auto" w:sz="4" w:space="0"/>
            </w:tcBorders>
          </w:tcPr>
          <w:p w14:paraId="792489B2">
            <w:pPr>
              <w:snapToGrid w:val="0"/>
              <w:spacing w:beforeLines="50"/>
              <w:rPr>
                <w:rFonts w:ascii="仿宋" w:hAnsi="仿宋" w:eastAsia="仿宋" w:cs="仿宋"/>
                <w:color w:val="auto"/>
                <w:sz w:val="24"/>
                <w:highlight w:val="none"/>
              </w:rPr>
            </w:pPr>
          </w:p>
        </w:tc>
        <w:tc>
          <w:tcPr>
            <w:tcW w:w="718" w:type="dxa"/>
            <w:tcBorders>
              <w:top w:val="single" w:color="auto" w:sz="4" w:space="0"/>
              <w:left w:val="single" w:color="auto" w:sz="4" w:space="0"/>
              <w:bottom w:val="single" w:color="auto" w:sz="4" w:space="0"/>
              <w:right w:val="single" w:color="auto" w:sz="4" w:space="0"/>
            </w:tcBorders>
          </w:tcPr>
          <w:p w14:paraId="11FCA99E">
            <w:pPr>
              <w:snapToGrid w:val="0"/>
              <w:spacing w:beforeLines="50"/>
              <w:rPr>
                <w:rFonts w:ascii="仿宋" w:hAnsi="仿宋" w:eastAsia="仿宋" w:cs="仿宋"/>
                <w:color w:val="auto"/>
                <w:sz w:val="24"/>
                <w:highlight w:val="none"/>
              </w:rPr>
            </w:pPr>
          </w:p>
        </w:tc>
      </w:tr>
      <w:tr w14:paraId="2C673A8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93" w:type="dxa"/>
            <w:tcBorders>
              <w:top w:val="single" w:color="auto" w:sz="4" w:space="0"/>
              <w:left w:val="single" w:color="auto" w:sz="4" w:space="0"/>
              <w:bottom w:val="single" w:color="auto" w:sz="4" w:space="0"/>
              <w:right w:val="single" w:color="auto" w:sz="4" w:space="0"/>
            </w:tcBorders>
            <w:vAlign w:val="center"/>
          </w:tcPr>
          <w:p w14:paraId="18365C54">
            <w:pPr>
              <w:snapToGrid w:val="0"/>
              <w:spacing w:beforeLines="50"/>
              <w:jc w:val="center"/>
              <w:rPr>
                <w:rFonts w:ascii="仿宋" w:hAnsi="仿宋" w:eastAsia="仿宋" w:cs="仿宋"/>
                <w:color w:val="auto"/>
                <w:sz w:val="24"/>
                <w:highlight w:val="none"/>
              </w:rPr>
            </w:pPr>
            <w:r>
              <w:rPr>
                <w:rFonts w:hint="eastAsia" w:ascii="仿宋" w:hAnsi="仿宋" w:eastAsia="仿宋" w:cs="仿宋"/>
                <w:color w:val="auto"/>
                <w:sz w:val="24"/>
                <w:highlight w:val="none"/>
              </w:rPr>
              <w:t>2</w:t>
            </w:r>
          </w:p>
        </w:tc>
        <w:tc>
          <w:tcPr>
            <w:tcW w:w="1275" w:type="dxa"/>
            <w:tcBorders>
              <w:top w:val="single" w:color="auto" w:sz="4" w:space="0"/>
              <w:left w:val="single" w:color="auto" w:sz="4" w:space="0"/>
              <w:bottom w:val="single" w:color="auto" w:sz="4" w:space="0"/>
              <w:right w:val="single" w:color="auto" w:sz="4" w:space="0"/>
            </w:tcBorders>
            <w:vAlign w:val="center"/>
          </w:tcPr>
          <w:p w14:paraId="7E2BD916">
            <w:pPr>
              <w:snapToGrid w:val="0"/>
              <w:spacing w:beforeLines="50"/>
              <w:jc w:val="center"/>
              <w:rPr>
                <w:rFonts w:ascii="仿宋" w:hAnsi="仿宋" w:eastAsia="仿宋" w:cs="仿宋"/>
                <w:color w:val="auto"/>
                <w:sz w:val="24"/>
                <w:highlight w:val="none"/>
              </w:rPr>
            </w:pPr>
            <w:r>
              <w:rPr>
                <w:rFonts w:hint="eastAsia" w:ascii="仿宋" w:hAnsi="仿宋" w:eastAsia="仿宋" w:cs="仿宋"/>
                <w:color w:val="auto"/>
                <w:sz w:val="24"/>
                <w:highlight w:val="none"/>
              </w:rPr>
              <w:t>地点</w:t>
            </w:r>
          </w:p>
        </w:tc>
        <w:tc>
          <w:tcPr>
            <w:tcW w:w="4100" w:type="dxa"/>
            <w:tcBorders>
              <w:top w:val="single" w:color="auto" w:sz="4" w:space="0"/>
              <w:left w:val="single" w:color="auto" w:sz="4" w:space="0"/>
              <w:bottom w:val="single" w:color="auto" w:sz="4" w:space="0"/>
              <w:right w:val="single" w:color="auto" w:sz="4" w:space="0"/>
            </w:tcBorders>
          </w:tcPr>
          <w:p w14:paraId="66D12BD1">
            <w:pPr>
              <w:snapToGrid w:val="0"/>
              <w:spacing w:beforeLines="50"/>
              <w:rPr>
                <w:rFonts w:ascii="仿宋" w:hAnsi="仿宋" w:eastAsia="仿宋" w:cs="仿宋"/>
                <w:color w:val="auto"/>
                <w:sz w:val="24"/>
                <w:highlight w:val="none"/>
              </w:rPr>
            </w:pPr>
            <w:r>
              <w:rPr>
                <w:rFonts w:hint="eastAsia" w:ascii="仿宋" w:hAnsi="仿宋" w:eastAsia="仿宋" w:cs="仿宋"/>
                <w:color w:val="auto"/>
                <w:sz w:val="24"/>
                <w:highlight w:val="none"/>
              </w:rPr>
              <w:t>采购人指定地点</w:t>
            </w:r>
          </w:p>
        </w:tc>
        <w:tc>
          <w:tcPr>
            <w:tcW w:w="1417" w:type="dxa"/>
            <w:tcBorders>
              <w:top w:val="single" w:color="auto" w:sz="4" w:space="0"/>
              <w:left w:val="single" w:color="auto" w:sz="4" w:space="0"/>
              <w:bottom w:val="single" w:color="auto" w:sz="4" w:space="0"/>
              <w:right w:val="single" w:color="auto" w:sz="4" w:space="0"/>
            </w:tcBorders>
          </w:tcPr>
          <w:p w14:paraId="45C4535A">
            <w:pPr>
              <w:snapToGrid w:val="0"/>
              <w:spacing w:beforeLines="50"/>
              <w:rPr>
                <w:rFonts w:ascii="仿宋" w:hAnsi="仿宋" w:eastAsia="仿宋" w:cs="仿宋"/>
                <w:color w:val="auto"/>
                <w:sz w:val="24"/>
                <w:highlight w:val="none"/>
              </w:rPr>
            </w:pPr>
          </w:p>
        </w:tc>
        <w:tc>
          <w:tcPr>
            <w:tcW w:w="1366" w:type="dxa"/>
            <w:tcBorders>
              <w:top w:val="single" w:color="auto" w:sz="4" w:space="0"/>
              <w:left w:val="single" w:color="auto" w:sz="4" w:space="0"/>
              <w:bottom w:val="single" w:color="auto" w:sz="4" w:space="0"/>
              <w:right w:val="single" w:color="auto" w:sz="4" w:space="0"/>
            </w:tcBorders>
          </w:tcPr>
          <w:p w14:paraId="51504843">
            <w:pPr>
              <w:snapToGrid w:val="0"/>
              <w:spacing w:beforeLines="50"/>
              <w:rPr>
                <w:rFonts w:ascii="仿宋" w:hAnsi="仿宋" w:eastAsia="仿宋" w:cs="仿宋"/>
                <w:color w:val="auto"/>
                <w:sz w:val="24"/>
                <w:highlight w:val="none"/>
              </w:rPr>
            </w:pPr>
          </w:p>
        </w:tc>
        <w:tc>
          <w:tcPr>
            <w:tcW w:w="718" w:type="dxa"/>
            <w:tcBorders>
              <w:top w:val="single" w:color="auto" w:sz="4" w:space="0"/>
              <w:left w:val="single" w:color="auto" w:sz="4" w:space="0"/>
              <w:bottom w:val="single" w:color="auto" w:sz="4" w:space="0"/>
              <w:right w:val="single" w:color="auto" w:sz="4" w:space="0"/>
            </w:tcBorders>
          </w:tcPr>
          <w:p w14:paraId="3524EED0">
            <w:pPr>
              <w:snapToGrid w:val="0"/>
              <w:spacing w:beforeLines="50"/>
              <w:rPr>
                <w:rFonts w:ascii="仿宋" w:hAnsi="仿宋" w:eastAsia="仿宋" w:cs="仿宋"/>
                <w:color w:val="auto"/>
                <w:sz w:val="24"/>
                <w:highlight w:val="none"/>
              </w:rPr>
            </w:pPr>
          </w:p>
        </w:tc>
      </w:tr>
      <w:tr w14:paraId="33E8D07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93" w:type="dxa"/>
            <w:tcBorders>
              <w:top w:val="single" w:color="auto" w:sz="4" w:space="0"/>
              <w:left w:val="single" w:color="auto" w:sz="4" w:space="0"/>
              <w:bottom w:val="single" w:color="auto" w:sz="4" w:space="0"/>
              <w:right w:val="single" w:color="auto" w:sz="4" w:space="0"/>
            </w:tcBorders>
            <w:vAlign w:val="center"/>
          </w:tcPr>
          <w:p w14:paraId="32390B3E">
            <w:pPr>
              <w:snapToGrid w:val="0"/>
              <w:spacing w:beforeLines="50"/>
              <w:jc w:val="center"/>
              <w:rPr>
                <w:rFonts w:ascii="仿宋" w:hAnsi="仿宋" w:eastAsia="仿宋" w:cs="仿宋"/>
                <w:color w:val="auto"/>
                <w:sz w:val="24"/>
                <w:highlight w:val="none"/>
              </w:rPr>
            </w:pPr>
            <w:r>
              <w:rPr>
                <w:rFonts w:hint="eastAsia" w:ascii="仿宋" w:hAnsi="仿宋" w:eastAsia="仿宋" w:cs="仿宋"/>
                <w:color w:val="auto"/>
                <w:sz w:val="24"/>
                <w:highlight w:val="none"/>
              </w:rPr>
              <w:t>3</w:t>
            </w:r>
          </w:p>
        </w:tc>
        <w:tc>
          <w:tcPr>
            <w:tcW w:w="1275" w:type="dxa"/>
            <w:tcBorders>
              <w:top w:val="single" w:color="auto" w:sz="4" w:space="0"/>
              <w:left w:val="single" w:color="auto" w:sz="4" w:space="0"/>
              <w:bottom w:val="single" w:color="auto" w:sz="4" w:space="0"/>
              <w:right w:val="single" w:color="auto" w:sz="4" w:space="0"/>
            </w:tcBorders>
            <w:vAlign w:val="center"/>
          </w:tcPr>
          <w:p w14:paraId="72D5F165">
            <w:pPr>
              <w:snapToGrid w:val="0"/>
              <w:spacing w:beforeLines="50"/>
              <w:jc w:val="center"/>
              <w:rPr>
                <w:rFonts w:ascii="仿宋" w:hAnsi="仿宋" w:eastAsia="仿宋" w:cs="仿宋"/>
                <w:color w:val="auto"/>
                <w:sz w:val="24"/>
                <w:highlight w:val="none"/>
              </w:rPr>
            </w:pPr>
            <w:r>
              <w:rPr>
                <w:rFonts w:hint="eastAsia" w:ascii="仿宋" w:hAnsi="仿宋" w:eastAsia="仿宋" w:cs="仿宋"/>
                <w:color w:val="auto"/>
                <w:sz w:val="24"/>
                <w:highlight w:val="none"/>
              </w:rPr>
              <w:t>考核方案</w:t>
            </w:r>
          </w:p>
        </w:tc>
        <w:tc>
          <w:tcPr>
            <w:tcW w:w="4100" w:type="dxa"/>
            <w:tcBorders>
              <w:top w:val="single" w:color="auto" w:sz="4" w:space="0"/>
              <w:left w:val="single" w:color="auto" w:sz="4" w:space="0"/>
              <w:bottom w:val="single" w:color="auto" w:sz="4" w:space="0"/>
              <w:right w:val="single" w:color="auto" w:sz="4" w:space="0"/>
            </w:tcBorders>
          </w:tcPr>
          <w:p w14:paraId="169A54A3">
            <w:pPr>
              <w:snapToGrid w:val="0"/>
              <w:spacing w:beforeLines="50"/>
              <w:rPr>
                <w:rFonts w:ascii="仿宋" w:hAnsi="仿宋" w:eastAsia="仿宋" w:cs="仿宋"/>
                <w:color w:val="auto"/>
                <w:sz w:val="24"/>
                <w:highlight w:val="none"/>
              </w:rPr>
            </w:pPr>
            <w:r>
              <w:rPr>
                <w:rFonts w:hint="eastAsia" w:ascii="仿宋" w:hAnsi="仿宋" w:eastAsia="仿宋" w:cs="仿宋"/>
                <w:color w:val="auto"/>
                <w:sz w:val="24"/>
                <w:highlight w:val="none"/>
              </w:rPr>
              <w:t>合同签订3个月内，采购人支付成交人合同总价的30%；2026年9月30日前，采购人支付成交人合同总价的40%；剩余合同总价的30%作为考核款，待项目服务期限结束后，根据最终考核结果支付余款。具体考核细则和扣款细则</w:t>
            </w:r>
            <w:r>
              <w:rPr>
                <w:rFonts w:hint="eastAsia" w:ascii="仿宋" w:hAnsi="仿宋" w:eastAsia="仿宋" w:cs="仿宋"/>
                <w:color w:val="auto"/>
                <w:sz w:val="24"/>
                <w:highlight w:val="none"/>
                <w:lang w:val="en-US" w:eastAsia="zh-CN"/>
              </w:rPr>
              <w:t>见采购文件。</w:t>
            </w:r>
          </w:p>
        </w:tc>
        <w:tc>
          <w:tcPr>
            <w:tcW w:w="1417" w:type="dxa"/>
            <w:tcBorders>
              <w:top w:val="single" w:color="auto" w:sz="4" w:space="0"/>
              <w:left w:val="single" w:color="auto" w:sz="4" w:space="0"/>
              <w:bottom w:val="single" w:color="auto" w:sz="4" w:space="0"/>
              <w:right w:val="single" w:color="auto" w:sz="4" w:space="0"/>
            </w:tcBorders>
          </w:tcPr>
          <w:p w14:paraId="4D6607DE">
            <w:pPr>
              <w:snapToGrid w:val="0"/>
              <w:spacing w:beforeLines="50"/>
              <w:ind w:left="43"/>
              <w:rPr>
                <w:rFonts w:ascii="仿宋" w:hAnsi="仿宋" w:eastAsia="仿宋" w:cs="仿宋"/>
                <w:color w:val="auto"/>
                <w:sz w:val="24"/>
                <w:highlight w:val="none"/>
              </w:rPr>
            </w:pPr>
          </w:p>
        </w:tc>
        <w:tc>
          <w:tcPr>
            <w:tcW w:w="1366" w:type="dxa"/>
            <w:tcBorders>
              <w:top w:val="single" w:color="auto" w:sz="4" w:space="0"/>
              <w:left w:val="single" w:color="auto" w:sz="4" w:space="0"/>
              <w:bottom w:val="single" w:color="auto" w:sz="4" w:space="0"/>
              <w:right w:val="single" w:color="auto" w:sz="4" w:space="0"/>
            </w:tcBorders>
          </w:tcPr>
          <w:p w14:paraId="72E770F3">
            <w:pPr>
              <w:snapToGrid w:val="0"/>
              <w:spacing w:beforeLines="50"/>
              <w:ind w:left="43"/>
              <w:rPr>
                <w:rFonts w:ascii="仿宋" w:hAnsi="仿宋" w:eastAsia="仿宋" w:cs="仿宋"/>
                <w:color w:val="auto"/>
                <w:sz w:val="24"/>
                <w:highlight w:val="none"/>
              </w:rPr>
            </w:pPr>
          </w:p>
        </w:tc>
        <w:tc>
          <w:tcPr>
            <w:tcW w:w="718" w:type="dxa"/>
            <w:tcBorders>
              <w:top w:val="single" w:color="auto" w:sz="4" w:space="0"/>
              <w:left w:val="single" w:color="auto" w:sz="4" w:space="0"/>
              <w:bottom w:val="single" w:color="auto" w:sz="4" w:space="0"/>
              <w:right w:val="single" w:color="auto" w:sz="4" w:space="0"/>
            </w:tcBorders>
          </w:tcPr>
          <w:p w14:paraId="40F4642D">
            <w:pPr>
              <w:snapToGrid w:val="0"/>
              <w:spacing w:beforeLines="50"/>
              <w:ind w:left="43"/>
              <w:rPr>
                <w:rFonts w:ascii="仿宋" w:hAnsi="仿宋" w:eastAsia="仿宋" w:cs="仿宋"/>
                <w:color w:val="auto"/>
                <w:sz w:val="24"/>
                <w:highlight w:val="none"/>
              </w:rPr>
            </w:pPr>
          </w:p>
        </w:tc>
      </w:tr>
      <w:tr w14:paraId="3D66C32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93" w:type="dxa"/>
            <w:tcBorders>
              <w:top w:val="single" w:color="auto" w:sz="4" w:space="0"/>
              <w:left w:val="single" w:color="auto" w:sz="4" w:space="0"/>
              <w:bottom w:val="single" w:color="auto" w:sz="4" w:space="0"/>
              <w:right w:val="single" w:color="auto" w:sz="4" w:space="0"/>
            </w:tcBorders>
            <w:vAlign w:val="center"/>
          </w:tcPr>
          <w:p w14:paraId="66499ED2">
            <w:pPr>
              <w:snapToGrid w:val="0"/>
              <w:spacing w:beforeLines="50"/>
              <w:jc w:val="center"/>
              <w:rPr>
                <w:rFonts w:ascii="仿宋" w:hAnsi="仿宋" w:eastAsia="仿宋" w:cs="仿宋"/>
                <w:color w:val="auto"/>
                <w:sz w:val="24"/>
                <w:highlight w:val="none"/>
              </w:rPr>
            </w:pPr>
            <w:r>
              <w:rPr>
                <w:rFonts w:hint="eastAsia" w:ascii="仿宋" w:hAnsi="仿宋" w:eastAsia="仿宋" w:cs="仿宋"/>
                <w:color w:val="auto"/>
                <w:sz w:val="24"/>
                <w:highlight w:val="none"/>
              </w:rPr>
              <w:t>4</w:t>
            </w:r>
          </w:p>
        </w:tc>
        <w:tc>
          <w:tcPr>
            <w:tcW w:w="1275" w:type="dxa"/>
            <w:tcBorders>
              <w:top w:val="single" w:color="auto" w:sz="4" w:space="0"/>
              <w:left w:val="single" w:color="auto" w:sz="4" w:space="0"/>
              <w:bottom w:val="single" w:color="auto" w:sz="4" w:space="0"/>
              <w:right w:val="single" w:color="auto" w:sz="4" w:space="0"/>
            </w:tcBorders>
            <w:vAlign w:val="center"/>
          </w:tcPr>
          <w:p w14:paraId="53994A2B">
            <w:pPr>
              <w:snapToGrid w:val="0"/>
              <w:spacing w:beforeLines="50"/>
              <w:jc w:val="center"/>
              <w:rPr>
                <w:rFonts w:ascii="仿宋" w:hAnsi="仿宋" w:eastAsia="仿宋" w:cs="仿宋"/>
                <w:color w:val="auto"/>
                <w:sz w:val="24"/>
                <w:highlight w:val="none"/>
              </w:rPr>
            </w:pPr>
            <w:r>
              <w:rPr>
                <w:rFonts w:hint="eastAsia" w:ascii="仿宋" w:hAnsi="仿宋" w:eastAsia="仿宋" w:cs="仿宋"/>
                <w:color w:val="auto"/>
                <w:sz w:val="24"/>
                <w:highlight w:val="none"/>
              </w:rPr>
              <w:t>付款方式</w:t>
            </w:r>
          </w:p>
        </w:tc>
        <w:tc>
          <w:tcPr>
            <w:tcW w:w="4100" w:type="dxa"/>
            <w:tcBorders>
              <w:top w:val="single" w:color="auto" w:sz="4" w:space="0"/>
              <w:left w:val="single" w:color="auto" w:sz="4" w:space="0"/>
              <w:bottom w:val="single" w:color="auto" w:sz="4" w:space="0"/>
              <w:right w:val="single" w:color="auto" w:sz="4" w:space="0"/>
            </w:tcBorders>
          </w:tcPr>
          <w:p w14:paraId="1D09F95C">
            <w:pPr>
              <w:snapToGrid w:val="0"/>
              <w:spacing w:beforeLines="50"/>
              <w:rPr>
                <w:rFonts w:ascii="仿宋" w:hAnsi="仿宋" w:eastAsia="仿宋" w:cs="仿宋"/>
                <w:color w:val="auto"/>
                <w:sz w:val="24"/>
                <w:highlight w:val="none"/>
              </w:rPr>
            </w:pPr>
            <w:r>
              <w:rPr>
                <w:rFonts w:hint="eastAsia" w:ascii="仿宋" w:hAnsi="仿宋" w:eastAsia="仿宋" w:cs="仿宋"/>
                <w:color w:val="auto"/>
                <w:sz w:val="24"/>
                <w:highlight w:val="none"/>
              </w:rPr>
              <w:t>合同签订3个月内，采购人支付成交人合同总价的30%；2026年9月30日前，采购人支付成交人合同总价的40%；剩余合同总价的30%作为考核款，待项目服务期限结束后，根据最终考核结果支付余款。每次</w:t>
            </w:r>
            <w:r>
              <w:rPr>
                <w:rFonts w:hint="eastAsia" w:ascii="仿宋" w:hAnsi="仿宋" w:eastAsia="仿宋" w:cs="仿宋"/>
                <w:color w:val="auto"/>
                <w:sz w:val="24"/>
                <w:highlight w:val="none"/>
                <w:lang w:val="zh-CN"/>
              </w:rPr>
              <w:t>支付前，成交人均应出具在税务部门开具的正式税票。</w:t>
            </w:r>
          </w:p>
        </w:tc>
        <w:tc>
          <w:tcPr>
            <w:tcW w:w="1417" w:type="dxa"/>
            <w:tcBorders>
              <w:top w:val="single" w:color="auto" w:sz="4" w:space="0"/>
              <w:left w:val="single" w:color="auto" w:sz="4" w:space="0"/>
              <w:bottom w:val="single" w:color="auto" w:sz="4" w:space="0"/>
              <w:right w:val="single" w:color="auto" w:sz="4" w:space="0"/>
            </w:tcBorders>
          </w:tcPr>
          <w:p w14:paraId="3568B9B2">
            <w:pPr>
              <w:snapToGrid w:val="0"/>
              <w:spacing w:beforeLines="50"/>
              <w:ind w:left="43"/>
              <w:rPr>
                <w:rFonts w:ascii="仿宋" w:hAnsi="仿宋" w:eastAsia="仿宋" w:cs="仿宋"/>
                <w:color w:val="auto"/>
                <w:sz w:val="24"/>
                <w:highlight w:val="none"/>
              </w:rPr>
            </w:pPr>
          </w:p>
        </w:tc>
        <w:tc>
          <w:tcPr>
            <w:tcW w:w="1366" w:type="dxa"/>
            <w:tcBorders>
              <w:top w:val="single" w:color="auto" w:sz="4" w:space="0"/>
              <w:left w:val="single" w:color="auto" w:sz="4" w:space="0"/>
              <w:bottom w:val="single" w:color="auto" w:sz="4" w:space="0"/>
              <w:right w:val="single" w:color="auto" w:sz="4" w:space="0"/>
            </w:tcBorders>
          </w:tcPr>
          <w:p w14:paraId="074334D1">
            <w:pPr>
              <w:snapToGrid w:val="0"/>
              <w:spacing w:beforeLines="50"/>
              <w:ind w:left="43"/>
              <w:rPr>
                <w:rFonts w:ascii="仿宋" w:hAnsi="仿宋" w:eastAsia="仿宋" w:cs="仿宋"/>
                <w:color w:val="auto"/>
                <w:sz w:val="24"/>
                <w:highlight w:val="none"/>
              </w:rPr>
            </w:pPr>
          </w:p>
        </w:tc>
        <w:tc>
          <w:tcPr>
            <w:tcW w:w="718" w:type="dxa"/>
            <w:tcBorders>
              <w:top w:val="single" w:color="auto" w:sz="4" w:space="0"/>
              <w:left w:val="single" w:color="auto" w:sz="4" w:space="0"/>
              <w:bottom w:val="single" w:color="auto" w:sz="4" w:space="0"/>
              <w:right w:val="single" w:color="auto" w:sz="4" w:space="0"/>
            </w:tcBorders>
          </w:tcPr>
          <w:p w14:paraId="7A804811">
            <w:pPr>
              <w:snapToGrid w:val="0"/>
              <w:spacing w:beforeLines="50"/>
              <w:ind w:left="43"/>
              <w:rPr>
                <w:rFonts w:ascii="仿宋" w:hAnsi="仿宋" w:eastAsia="仿宋" w:cs="仿宋"/>
                <w:color w:val="auto"/>
                <w:sz w:val="24"/>
                <w:highlight w:val="none"/>
              </w:rPr>
            </w:pPr>
          </w:p>
        </w:tc>
      </w:tr>
      <w:tr w14:paraId="6B44D8B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75" w:hRule="atLeast"/>
        </w:trPr>
        <w:tc>
          <w:tcPr>
            <w:tcW w:w="693" w:type="dxa"/>
            <w:tcBorders>
              <w:top w:val="single" w:color="auto" w:sz="4" w:space="0"/>
              <w:left w:val="single" w:color="auto" w:sz="4" w:space="0"/>
              <w:bottom w:val="single" w:color="auto" w:sz="4" w:space="0"/>
              <w:right w:val="single" w:color="auto" w:sz="4" w:space="0"/>
            </w:tcBorders>
            <w:vAlign w:val="center"/>
          </w:tcPr>
          <w:p w14:paraId="07AD7D9C">
            <w:pPr>
              <w:snapToGrid w:val="0"/>
              <w:spacing w:beforeLines="50"/>
              <w:jc w:val="center"/>
              <w:rPr>
                <w:rFonts w:ascii="仿宋" w:hAnsi="仿宋" w:eastAsia="仿宋" w:cs="仿宋"/>
                <w:color w:val="auto"/>
                <w:sz w:val="24"/>
                <w:highlight w:val="none"/>
              </w:rPr>
            </w:pPr>
            <w:r>
              <w:rPr>
                <w:rFonts w:hint="eastAsia" w:ascii="仿宋" w:hAnsi="仿宋" w:eastAsia="仿宋" w:cs="仿宋"/>
                <w:color w:val="auto"/>
                <w:sz w:val="24"/>
                <w:highlight w:val="none"/>
              </w:rPr>
              <w:t>5</w:t>
            </w:r>
          </w:p>
        </w:tc>
        <w:tc>
          <w:tcPr>
            <w:tcW w:w="1275" w:type="dxa"/>
            <w:tcBorders>
              <w:top w:val="single" w:color="auto" w:sz="4" w:space="0"/>
              <w:left w:val="single" w:color="auto" w:sz="4" w:space="0"/>
              <w:bottom w:val="single" w:color="auto" w:sz="4" w:space="0"/>
              <w:right w:val="single" w:color="auto" w:sz="4" w:space="0"/>
            </w:tcBorders>
            <w:vAlign w:val="center"/>
          </w:tcPr>
          <w:p w14:paraId="23FCE1E2">
            <w:pPr>
              <w:snapToGrid w:val="0"/>
              <w:spacing w:beforeLines="50"/>
              <w:jc w:val="center"/>
              <w:rPr>
                <w:rFonts w:ascii="仿宋" w:hAnsi="仿宋" w:eastAsia="仿宋" w:cs="仿宋"/>
                <w:color w:val="auto"/>
                <w:sz w:val="24"/>
                <w:highlight w:val="none"/>
              </w:rPr>
            </w:pPr>
            <w:r>
              <w:rPr>
                <w:rFonts w:hint="eastAsia" w:ascii="仿宋" w:hAnsi="仿宋" w:eastAsia="仿宋" w:cs="仿宋"/>
                <w:color w:val="auto"/>
                <w:sz w:val="24"/>
                <w:highlight w:val="none"/>
              </w:rPr>
              <w:t>磋商过程中可能会实质性变动的内容</w:t>
            </w:r>
          </w:p>
        </w:tc>
        <w:tc>
          <w:tcPr>
            <w:tcW w:w="4100" w:type="dxa"/>
            <w:tcBorders>
              <w:top w:val="single" w:color="auto" w:sz="4" w:space="0"/>
              <w:left w:val="single" w:color="auto" w:sz="4" w:space="0"/>
              <w:bottom w:val="single" w:color="auto" w:sz="4" w:space="0"/>
              <w:right w:val="single" w:color="auto" w:sz="4" w:space="0"/>
            </w:tcBorders>
          </w:tcPr>
          <w:p w14:paraId="6FE80807">
            <w:pPr>
              <w:snapToGrid w:val="0"/>
              <w:spacing w:beforeLines="5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采购需求中的技术、服务要求以及合同草案条款，但不得变动磋商文件中的其他内容</w:t>
            </w:r>
            <w:r>
              <w:rPr>
                <w:rFonts w:hint="eastAsia" w:ascii="仿宋" w:hAnsi="仿宋" w:eastAsia="仿宋" w:cs="仿宋"/>
                <w:color w:val="auto"/>
                <w:sz w:val="24"/>
                <w:highlight w:val="none"/>
                <w:lang w:eastAsia="zh-CN"/>
              </w:rPr>
              <w:t>。</w:t>
            </w:r>
          </w:p>
        </w:tc>
        <w:tc>
          <w:tcPr>
            <w:tcW w:w="1417" w:type="dxa"/>
            <w:tcBorders>
              <w:top w:val="single" w:color="auto" w:sz="4" w:space="0"/>
              <w:left w:val="single" w:color="auto" w:sz="4" w:space="0"/>
              <w:bottom w:val="single" w:color="auto" w:sz="4" w:space="0"/>
              <w:right w:val="single" w:color="auto" w:sz="4" w:space="0"/>
            </w:tcBorders>
          </w:tcPr>
          <w:p w14:paraId="4F9EF33B">
            <w:pPr>
              <w:snapToGrid w:val="0"/>
              <w:spacing w:beforeLines="50"/>
              <w:ind w:left="43"/>
              <w:rPr>
                <w:rFonts w:ascii="仿宋" w:hAnsi="仿宋" w:eastAsia="仿宋" w:cs="仿宋"/>
                <w:color w:val="auto"/>
                <w:sz w:val="24"/>
                <w:highlight w:val="none"/>
              </w:rPr>
            </w:pPr>
          </w:p>
        </w:tc>
        <w:tc>
          <w:tcPr>
            <w:tcW w:w="1366" w:type="dxa"/>
            <w:tcBorders>
              <w:top w:val="single" w:color="auto" w:sz="4" w:space="0"/>
              <w:left w:val="single" w:color="auto" w:sz="4" w:space="0"/>
              <w:bottom w:val="single" w:color="auto" w:sz="4" w:space="0"/>
              <w:right w:val="single" w:color="auto" w:sz="4" w:space="0"/>
            </w:tcBorders>
          </w:tcPr>
          <w:p w14:paraId="28372E6F">
            <w:pPr>
              <w:snapToGrid w:val="0"/>
              <w:spacing w:beforeLines="50"/>
              <w:ind w:left="43"/>
              <w:rPr>
                <w:rFonts w:ascii="仿宋" w:hAnsi="仿宋" w:eastAsia="仿宋" w:cs="仿宋"/>
                <w:color w:val="auto"/>
                <w:sz w:val="24"/>
                <w:highlight w:val="none"/>
              </w:rPr>
            </w:pPr>
          </w:p>
        </w:tc>
        <w:tc>
          <w:tcPr>
            <w:tcW w:w="718" w:type="dxa"/>
            <w:tcBorders>
              <w:top w:val="single" w:color="auto" w:sz="4" w:space="0"/>
              <w:left w:val="single" w:color="auto" w:sz="4" w:space="0"/>
              <w:bottom w:val="single" w:color="auto" w:sz="4" w:space="0"/>
              <w:right w:val="single" w:color="auto" w:sz="4" w:space="0"/>
            </w:tcBorders>
          </w:tcPr>
          <w:p w14:paraId="48FA2D07">
            <w:pPr>
              <w:snapToGrid w:val="0"/>
              <w:spacing w:beforeLines="50"/>
              <w:ind w:left="43"/>
              <w:rPr>
                <w:rFonts w:ascii="仿宋" w:hAnsi="仿宋" w:eastAsia="仿宋" w:cs="仿宋"/>
                <w:color w:val="auto"/>
                <w:sz w:val="24"/>
                <w:highlight w:val="none"/>
              </w:rPr>
            </w:pPr>
          </w:p>
        </w:tc>
      </w:tr>
      <w:tr w14:paraId="04C89AE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93" w:type="dxa"/>
            <w:tcBorders>
              <w:top w:val="single" w:color="auto" w:sz="4" w:space="0"/>
              <w:left w:val="single" w:color="auto" w:sz="4" w:space="0"/>
              <w:bottom w:val="single" w:color="auto" w:sz="4" w:space="0"/>
              <w:right w:val="single" w:color="auto" w:sz="4" w:space="0"/>
            </w:tcBorders>
            <w:vAlign w:val="center"/>
          </w:tcPr>
          <w:p w14:paraId="7283A4A3">
            <w:pPr>
              <w:snapToGrid w:val="0"/>
              <w:spacing w:beforeLines="50"/>
              <w:jc w:val="center"/>
              <w:rPr>
                <w:rFonts w:ascii="仿宋" w:hAnsi="仿宋" w:eastAsia="仿宋" w:cs="仿宋"/>
                <w:color w:val="auto"/>
                <w:sz w:val="24"/>
                <w:highlight w:val="none"/>
              </w:rPr>
            </w:pPr>
            <w:r>
              <w:rPr>
                <w:rFonts w:hint="eastAsia" w:ascii="仿宋" w:hAnsi="仿宋" w:eastAsia="仿宋" w:cs="仿宋"/>
                <w:color w:val="auto"/>
                <w:sz w:val="24"/>
                <w:highlight w:val="none"/>
              </w:rPr>
              <w:t>6</w:t>
            </w:r>
          </w:p>
        </w:tc>
        <w:tc>
          <w:tcPr>
            <w:tcW w:w="1275" w:type="dxa"/>
            <w:tcBorders>
              <w:top w:val="single" w:color="auto" w:sz="4" w:space="0"/>
              <w:left w:val="single" w:color="auto" w:sz="4" w:space="0"/>
              <w:bottom w:val="single" w:color="auto" w:sz="4" w:space="0"/>
              <w:right w:val="single" w:color="auto" w:sz="4" w:space="0"/>
            </w:tcBorders>
            <w:vAlign w:val="center"/>
          </w:tcPr>
          <w:p w14:paraId="49A0A443">
            <w:pPr>
              <w:snapToGrid w:val="0"/>
              <w:spacing w:beforeLines="50"/>
              <w:jc w:val="center"/>
              <w:rPr>
                <w:rFonts w:ascii="仿宋" w:hAnsi="仿宋" w:eastAsia="仿宋" w:cs="仿宋"/>
                <w:color w:val="auto"/>
                <w:sz w:val="24"/>
                <w:highlight w:val="none"/>
              </w:rPr>
            </w:pPr>
            <w:r>
              <w:rPr>
                <w:rFonts w:hint="eastAsia" w:ascii="仿宋" w:hAnsi="仿宋" w:eastAsia="仿宋" w:cs="仿宋"/>
                <w:color w:val="auto"/>
                <w:sz w:val="24"/>
                <w:highlight w:val="none"/>
              </w:rPr>
              <w:t>报价要求</w:t>
            </w:r>
          </w:p>
        </w:tc>
        <w:tc>
          <w:tcPr>
            <w:tcW w:w="4100" w:type="dxa"/>
            <w:tcBorders>
              <w:top w:val="single" w:color="auto" w:sz="4" w:space="0"/>
              <w:left w:val="single" w:color="auto" w:sz="4" w:space="0"/>
              <w:bottom w:val="single" w:color="auto" w:sz="4" w:space="0"/>
              <w:right w:val="single" w:color="auto" w:sz="4" w:space="0"/>
            </w:tcBorders>
          </w:tcPr>
          <w:p w14:paraId="283154E5">
            <w:pPr>
              <w:snapToGrid w:val="0"/>
              <w:spacing w:beforeLines="50"/>
              <w:rPr>
                <w:rFonts w:ascii="仿宋" w:hAnsi="仿宋" w:eastAsia="仿宋" w:cs="仿宋"/>
                <w:color w:val="auto"/>
                <w:sz w:val="24"/>
                <w:highlight w:val="none"/>
              </w:rPr>
            </w:pPr>
            <w:r>
              <w:rPr>
                <w:rFonts w:hint="eastAsia" w:ascii="仿宋" w:hAnsi="仿宋" w:eastAsia="仿宋" w:cs="仿宋"/>
                <w:color w:val="auto"/>
                <w:sz w:val="24"/>
                <w:highlight w:val="none"/>
              </w:rPr>
              <w:t>本项目为总价报价。响应报价应包括完成本项目所需的人工费、差旅费、伙食费、住宿费、设备费、管理费、利润、税金等全部费用，结合本项目实际情况并综合考虑与服务成果相关的踏勘、会议、评审、咨询、验收、资料收集装订、政策性文件规定及合同包含的所有风险、责任等所有费用。成交后不允许擅自改变服务内容、质量标准、期限与追加项目预算。凡供应商在报价中未列明但又为本次采购所必备的项目或遗漏项目，采购人将一律视为已包括在其报价中，在合同执行中将不予考虑。</w:t>
            </w:r>
          </w:p>
          <w:p w14:paraId="1C195A9C">
            <w:pPr>
              <w:snapToGrid w:val="0"/>
              <w:spacing w:beforeLines="50"/>
              <w:rPr>
                <w:rFonts w:ascii="仿宋" w:hAnsi="仿宋" w:eastAsia="仿宋" w:cs="仿宋"/>
                <w:color w:val="auto"/>
                <w:sz w:val="24"/>
                <w:highlight w:val="none"/>
              </w:rPr>
            </w:pPr>
            <w:r>
              <w:rPr>
                <w:rFonts w:hint="eastAsia" w:ascii="仿宋" w:hAnsi="仿宋" w:eastAsia="仿宋" w:cs="仿宋"/>
                <w:color w:val="auto"/>
                <w:sz w:val="24"/>
                <w:highlight w:val="none"/>
              </w:rPr>
              <w:t>响应供应商应对竞争性磋商文件内的全部内容进行报价，竞争性磋商文件未列明，而供应商认为其他必需的费用也需列入报价。在合同实施时，采购方将不予支付成交供应商任何其他增项费用。</w:t>
            </w:r>
          </w:p>
        </w:tc>
        <w:tc>
          <w:tcPr>
            <w:tcW w:w="1417" w:type="dxa"/>
            <w:tcBorders>
              <w:top w:val="single" w:color="auto" w:sz="4" w:space="0"/>
              <w:left w:val="single" w:color="auto" w:sz="4" w:space="0"/>
              <w:bottom w:val="single" w:color="auto" w:sz="4" w:space="0"/>
              <w:right w:val="single" w:color="auto" w:sz="4" w:space="0"/>
            </w:tcBorders>
          </w:tcPr>
          <w:p w14:paraId="6D0CCA40">
            <w:pPr>
              <w:snapToGrid w:val="0"/>
              <w:spacing w:beforeLines="50"/>
              <w:ind w:left="43"/>
              <w:rPr>
                <w:rFonts w:ascii="仿宋" w:hAnsi="仿宋" w:eastAsia="仿宋" w:cs="仿宋"/>
                <w:color w:val="auto"/>
                <w:sz w:val="24"/>
                <w:highlight w:val="none"/>
              </w:rPr>
            </w:pPr>
          </w:p>
        </w:tc>
        <w:tc>
          <w:tcPr>
            <w:tcW w:w="1366" w:type="dxa"/>
            <w:tcBorders>
              <w:top w:val="single" w:color="auto" w:sz="4" w:space="0"/>
              <w:left w:val="single" w:color="auto" w:sz="4" w:space="0"/>
              <w:bottom w:val="single" w:color="auto" w:sz="4" w:space="0"/>
              <w:right w:val="single" w:color="auto" w:sz="4" w:space="0"/>
            </w:tcBorders>
          </w:tcPr>
          <w:p w14:paraId="67EDA828">
            <w:pPr>
              <w:snapToGrid w:val="0"/>
              <w:spacing w:beforeLines="50"/>
              <w:ind w:left="43"/>
              <w:rPr>
                <w:rFonts w:ascii="仿宋" w:hAnsi="仿宋" w:eastAsia="仿宋" w:cs="仿宋"/>
                <w:color w:val="auto"/>
                <w:sz w:val="24"/>
                <w:highlight w:val="none"/>
              </w:rPr>
            </w:pPr>
          </w:p>
        </w:tc>
        <w:tc>
          <w:tcPr>
            <w:tcW w:w="718" w:type="dxa"/>
            <w:tcBorders>
              <w:top w:val="single" w:color="auto" w:sz="4" w:space="0"/>
              <w:left w:val="single" w:color="auto" w:sz="4" w:space="0"/>
              <w:bottom w:val="single" w:color="auto" w:sz="4" w:space="0"/>
              <w:right w:val="single" w:color="auto" w:sz="4" w:space="0"/>
            </w:tcBorders>
          </w:tcPr>
          <w:p w14:paraId="4BC37F35">
            <w:pPr>
              <w:snapToGrid w:val="0"/>
              <w:spacing w:beforeLines="50"/>
              <w:ind w:left="43"/>
              <w:rPr>
                <w:rFonts w:ascii="仿宋" w:hAnsi="仿宋" w:eastAsia="仿宋" w:cs="仿宋"/>
                <w:color w:val="auto"/>
                <w:sz w:val="24"/>
                <w:highlight w:val="none"/>
              </w:rPr>
            </w:pPr>
          </w:p>
        </w:tc>
      </w:tr>
      <w:tr w14:paraId="16DDA70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93" w:type="dxa"/>
            <w:tcBorders>
              <w:top w:val="single" w:color="auto" w:sz="4" w:space="0"/>
              <w:left w:val="single" w:color="auto" w:sz="4" w:space="0"/>
              <w:bottom w:val="single" w:color="auto" w:sz="4" w:space="0"/>
              <w:right w:val="single" w:color="auto" w:sz="4" w:space="0"/>
            </w:tcBorders>
            <w:vAlign w:val="center"/>
          </w:tcPr>
          <w:p w14:paraId="02F8BEF0">
            <w:pPr>
              <w:snapToGrid w:val="0"/>
              <w:spacing w:beforeLines="50"/>
              <w:jc w:val="center"/>
              <w:rPr>
                <w:rFonts w:ascii="仿宋" w:hAnsi="仿宋" w:eastAsia="仿宋" w:cs="仿宋"/>
                <w:color w:val="auto"/>
                <w:sz w:val="24"/>
                <w:highlight w:val="none"/>
              </w:rPr>
            </w:pPr>
            <w:r>
              <w:rPr>
                <w:rFonts w:hint="eastAsia" w:ascii="仿宋" w:hAnsi="仿宋" w:eastAsia="仿宋" w:cs="仿宋"/>
                <w:color w:val="auto"/>
                <w:sz w:val="24"/>
                <w:highlight w:val="none"/>
              </w:rPr>
              <w:t>7</w:t>
            </w:r>
          </w:p>
        </w:tc>
        <w:tc>
          <w:tcPr>
            <w:tcW w:w="1275" w:type="dxa"/>
            <w:vMerge w:val="restart"/>
            <w:tcBorders>
              <w:top w:val="single" w:color="auto" w:sz="4" w:space="0"/>
              <w:left w:val="single" w:color="auto" w:sz="4" w:space="0"/>
              <w:right w:val="single" w:color="auto" w:sz="4" w:space="0"/>
            </w:tcBorders>
            <w:vAlign w:val="center"/>
          </w:tcPr>
          <w:p w14:paraId="0C546A54">
            <w:pPr>
              <w:snapToGrid w:val="0"/>
              <w:spacing w:beforeLines="50"/>
              <w:jc w:val="center"/>
              <w:rPr>
                <w:rFonts w:ascii="仿宋" w:hAnsi="仿宋" w:eastAsia="仿宋" w:cs="仿宋"/>
                <w:color w:val="auto"/>
                <w:sz w:val="24"/>
                <w:highlight w:val="none"/>
              </w:rPr>
            </w:pPr>
            <w:r>
              <w:rPr>
                <w:rFonts w:hint="eastAsia" w:ascii="仿宋" w:hAnsi="仿宋" w:eastAsia="仿宋" w:cs="仿宋"/>
                <w:color w:val="auto"/>
                <w:sz w:val="24"/>
                <w:highlight w:val="none"/>
              </w:rPr>
              <w:t>其他要求</w:t>
            </w:r>
          </w:p>
        </w:tc>
        <w:tc>
          <w:tcPr>
            <w:tcW w:w="4100" w:type="dxa"/>
            <w:tcBorders>
              <w:top w:val="single" w:color="auto" w:sz="4" w:space="0"/>
              <w:left w:val="single" w:color="auto" w:sz="4" w:space="0"/>
              <w:bottom w:val="single" w:color="auto" w:sz="4" w:space="0"/>
              <w:right w:val="single" w:color="auto" w:sz="4" w:space="0"/>
            </w:tcBorders>
          </w:tcPr>
          <w:p w14:paraId="1B0ED9B6">
            <w:pPr>
              <w:snapToGrid w:val="0"/>
              <w:spacing w:beforeLines="50"/>
              <w:rPr>
                <w:rFonts w:ascii="仿宋" w:hAnsi="仿宋" w:eastAsia="仿宋" w:cs="仿宋"/>
                <w:color w:val="auto"/>
                <w:sz w:val="24"/>
                <w:highlight w:val="none"/>
              </w:rPr>
            </w:pPr>
            <w:r>
              <w:rPr>
                <w:rFonts w:hint="eastAsia" w:ascii="仿宋" w:hAnsi="仿宋" w:eastAsia="仿宋" w:cs="仿宋"/>
                <w:color w:val="auto"/>
                <w:sz w:val="24"/>
                <w:highlight w:val="none"/>
              </w:rPr>
              <w:t>1.本项目成交后不允许转包。</w:t>
            </w:r>
          </w:p>
        </w:tc>
        <w:tc>
          <w:tcPr>
            <w:tcW w:w="1417" w:type="dxa"/>
            <w:tcBorders>
              <w:top w:val="single" w:color="auto" w:sz="4" w:space="0"/>
              <w:left w:val="single" w:color="auto" w:sz="4" w:space="0"/>
              <w:bottom w:val="single" w:color="auto" w:sz="4" w:space="0"/>
              <w:right w:val="single" w:color="auto" w:sz="4" w:space="0"/>
            </w:tcBorders>
          </w:tcPr>
          <w:p w14:paraId="5E2C47AE">
            <w:pPr>
              <w:snapToGrid w:val="0"/>
              <w:spacing w:beforeLines="50"/>
              <w:ind w:left="43"/>
              <w:rPr>
                <w:rFonts w:ascii="仿宋" w:hAnsi="仿宋" w:eastAsia="仿宋" w:cs="仿宋"/>
                <w:color w:val="auto"/>
                <w:sz w:val="24"/>
                <w:highlight w:val="none"/>
              </w:rPr>
            </w:pPr>
          </w:p>
        </w:tc>
        <w:tc>
          <w:tcPr>
            <w:tcW w:w="1366" w:type="dxa"/>
            <w:tcBorders>
              <w:top w:val="single" w:color="auto" w:sz="4" w:space="0"/>
              <w:left w:val="single" w:color="auto" w:sz="4" w:space="0"/>
              <w:bottom w:val="single" w:color="auto" w:sz="4" w:space="0"/>
              <w:right w:val="single" w:color="auto" w:sz="4" w:space="0"/>
            </w:tcBorders>
          </w:tcPr>
          <w:p w14:paraId="78C23101">
            <w:pPr>
              <w:snapToGrid w:val="0"/>
              <w:spacing w:beforeLines="50"/>
              <w:ind w:left="43"/>
              <w:rPr>
                <w:rFonts w:ascii="仿宋" w:hAnsi="仿宋" w:eastAsia="仿宋" w:cs="仿宋"/>
                <w:color w:val="auto"/>
                <w:sz w:val="24"/>
                <w:highlight w:val="none"/>
              </w:rPr>
            </w:pPr>
          </w:p>
        </w:tc>
        <w:tc>
          <w:tcPr>
            <w:tcW w:w="718" w:type="dxa"/>
            <w:tcBorders>
              <w:top w:val="single" w:color="auto" w:sz="4" w:space="0"/>
              <w:left w:val="single" w:color="auto" w:sz="4" w:space="0"/>
              <w:bottom w:val="single" w:color="auto" w:sz="4" w:space="0"/>
              <w:right w:val="single" w:color="auto" w:sz="4" w:space="0"/>
            </w:tcBorders>
          </w:tcPr>
          <w:p w14:paraId="33FC1CB2">
            <w:pPr>
              <w:snapToGrid w:val="0"/>
              <w:spacing w:beforeLines="50"/>
              <w:ind w:left="43"/>
              <w:rPr>
                <w:rFonts w:ascii="仿宋" w:hAnsi="仿宋" w:eastAsia="仿宋" w:cs="仿宋"/>
                <w:color w:val="auto"/>
                <w:sz w:val="24"/>
                <w:highlight w:val="none"/>
              </w:rPr>
            </w:pPr>
          </w:p>
        </w:tc>
      </w:tr>
      <w:tr w14:paraId="346391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93" w:type="dxa"/>
            <w:tcBorders>
              <w:top w:val="single" w:color="auto" w:sz="4" w:space="0"/>
              <w:left w:val="single" w:color="auto" w:sz="4" w:space="0"/>
              <w:bottom w:val="single" w:color="auto" w:sz="4" w:space="0"/>
              <w:right w:val="single" w:color="auto" w:sz="4" w:space="0"/>
            </w:tcBorders>
            <w:vAlign w:val="center"/>
          </w:tcPr>
          <w:p w14:paraId="6EBDB9B4">
            <w:pPr>
              <w:snapToGrid w:val="0"/>
              <w:spacing w:beforeLines="50"/>
              <w:jc w:val="center"/>
              <w:rPr>
                <w:rFonts w:ascii="仿宋" w:hAnsi="仿宋" w:eastAsia="仿宋" w:cs="仿宋"/>
                <w:color w:val="auto"/>
                <w:sz w:val="24"/>
                <w:highlight w:val="none"/>
              </w:rPr>
            </w:pPr>
            <w:r>
              <w:rPr>
                <w:rFonts w:hint="eastAsia" w:ascii="仿宋" w:hAnsi="仿宋" w:eastAsia="仿宋" w:cs="仿宋"/>
                <w:color w:val="auto"/>
                <w:sz w:val="24"/>
                <w:highlight w:val="none"/>
              </w:rPr>
              <w:t>8</w:t>
            </w:r>
          </w:p>
        </w:tc>
        <w:tc>
          <w:tcPr>
            <w:tcW w:w="1275" w:type="dxa"/>
            <w:vMerge w:val="continue"/>
            <w:tcBorders>
              <w:left w:val="single" w:color="auto" w:sz="4" w:space="0"/>
              <w:bottom w:val="single" w:color="auto" w:sz="4" w:space="0"/>
              <w:right w:val="single" w:color="auto" w:sz="4" w:space="0"/>
            </w:tcBorders>
          </w:tcPr>
          <w:p w14:paraId="3E731D0F">
            <w:pPr>
              <w:snapToGrid w:val="0"/>
              <w:spacing w:beforeLines="50"/>
              <w:rPr>
                <w:rFonts w:ascii="仿宋" w:hAnsi="仿宋" w:eastAsia="仿宋" w:cs="仿宋"/>
                <w:color w:val="auto"/>
                <w:sz w:val="24"/>
                <w:highlight w:val="none"/>
              </w:rPr>
            </w:pPr>
          </w:p>
        </w:tc>
        <w:tc>
          <w:tcPr>
            <w:tcW w:w="4100" w:type="dxa"/>
            <w:tcBorders>
              <w:top w:val="single" w:color="auto" w:sz="4" w:space="0"/>
              <w:left w:val="single" w:color="auto" w:sz="4" w:space="0"/>
              <w:bottom w:val="single" w:color="auto" w:sz="4" w:space="0"/>
              <w:right w:val="single" w:color="auto" w:sz="4" w:space="0"/>
            </w:tcBorders>
          </w:tcPr>
          <w:p w14:paraId="1982EE02">
            <w:pPr>
              <w:snapToGrid w:val="0"/>
              <w:spacing w:beforeLines="50"/>
              <w:rPr>
                <w:rFonts w:ascii="仿宋" w:hAnsi="仿宋" w:eastAsia="仿宋" w:cs="仿宋"/>
                <w:color w:val="auto"/>
                <w:sz w:val="24"/>
                <w:highlight w:val="none"/>
              </w:rPr>
            </w:pPr>
            <w:r>
              <w:rPr>
                <w:rFonts w:hint="eastAsia" w:ascii="仿宋" w:hAnsi="仿宋" w:eastAsia="仿宋" w:cs="仿宋"/>
                <w:color w:val="auto"/>
                <w:sz w:val="24"/>
                <w:highlight w:val="none"/>
              </w:rPr>
              <w:t>2.本项目所有条款均为实质性响应条款，不可负偏离响应，如负偏离响应或未按要求提供相关材料的认定为无效响应文件。</w:t>
            </w:r>
          </w:p>
        </w:tc>
        <w:tc>
          <w:tcPr>
            <w:tcW w:w="1417" w:type="dxa"/>
            <w:tcBorders>
              <w:top w:val="single" w:color="auto" w:sz="4" w:space="0"/>
              <w:left w:val="single" w:color="auto" w:sz="4" w:space="0"/>
              <w:bottom w:val="single" w:color="auto" w:sz="4" w:space="0"/>
              <w:right w:val="single" w:color="auto" w:sz="4" w:space="0"/>
            </w:tcBorders>
          </w:tcPr>
          <w:p w14:paraId="0E674DAC">
            <w:pPr>
              <w:snapToGrid w:val="0"/>
              <w:spacing w:beforeLines="50"/>
              <w:ind w:left="43"/>
              <w:rPr>
                <w:rFonts w:ascii="仿宋" w:hAnsi="仿宋" w:eastAsia="仿宋" w:cs="仿宋"/>
                <w:color w:val="auto"/>
                <w:sz w:val="24"/>
                <w:highlight w:val="none"/>
              </w:rPr>
            </w:pPr>
          </w:p>
        </w:tc>
        <w:tc>
          <w:tcPr>
            <w:tcW w:w="1366" w:type="dxa"/>
            <w:tcBorders>
              <w:top w:val="single" w:color="auto" w:sz="4" w:space="0"/>
              <w:left w:val="single" w:color="auto" w:sz="4" w:space="0"/>
              <w:bottom w:val="single" w:color="auto" w:sz="4" w:space="0"/>
              <w:right w:val="single" w:color="auto" w:sz="4" w:space="0"/>
            </w:tcBorders>
          </w:tcPr>
          <w:p w14:paraId="02BE8B71">
            <w:pPr>
              <w:snapToGrid w:val="0"/>
              <w:spacing w:beforeLines="50"/>
              <w:ind w:left="43"/>
              <w:rPr>
                <w:rFonts w:ascii="仿宋" w:hAnsi="仿宋" w:eastAsia="仿宋" w:cs="仿宋"/>
                <w:color w:val="auto"/>
                <w:sz w:val="24"/>
                <w:highlight w:val="none"/>
              </w:rPr>
            </w:pPr>
          </w:p>
        </w:tc>
        <w:tc>
          <w:tcPr>
            <w:tcW w:w="718" w:type="dxa"/>
            <w:tcBorders>
              <w:top w:val="single" w:color="auto" w:sz="4" w:space="0"/>
              <w:left w:val="single" w:color="auto" w:sz="4" w:space="0"/>
              <w:bottom w:val="single" w:color="auto" w:sz="4" w:space="0"/>
              <w:right w:val="single" w:color="auto" w:sz="4" w:space="0"/>
            </w:tcBorders>
          </w:tcPr>
          <w:p w14:paraId="1F4950D9">
            <w:pPr>
              <w:snapToGrid w:val="0"/>
              <w:spacing w:beforeLines="50"/>
              <w:ind w:left="43"/>
              <w:rPr>
                <w:rFonts w:ascii="仿宋" w:hAnsi="仿宋" w:eastAsia="仿宋" w:cs="仿宋"/>
                <w:color w:val="auto"/>
                <w:sz w:val="24"/>
                <w:highlight w:val="none"/>
              </w:rPr>
            </w:pPr>
          </w:p>
        </w:tc>
      </w:tr>
      <w:tr w14:paraId="05D6AA8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93" w:type="dxa"/>
            <w:tcBorders>
              <w:top w:val="single" w:color="auto" w:sz="4" w:space="0"/>
              <w:left w:val="single" w:color="auto" w:sz="4" w:space="0"/>
              <w:bottom w:val="single" w:color="auto" w:sz="4" w:space="0"/>
              <w:right w:val="single" w:color="auto" w:sz="4" w:space="0"/>
            </w:tcBorders>
            <w:vAlign w:val="center"/>
          </w:tcPr>
          <w:p w14:paraId="635183CF">
            <w:pPr>
              <w:snapToGrid w:val="0"/>
              <w:spacing w:beforeLines="50"/>
              <w:jc w:val="center"/>
              <w:rPr>
                <w:rFonts w:ascii="仿宋" w:hAnsi="仿宋" w:eastAsia="仿宋" w:cs="仿宋"/>
                <w:color w:val="auto"/>
                <w:sz w:val="24"/>
                <w:highlight w:val="none"/>
              </w:rPr>
            </w:pPr>
          </w:p>
        </w:tc>
        <w:tc>
          <w:tcPr>
            <w:tcW w:w="1275" w:type="dxa"/>
            <w:tcBorders>
              <w:top w:val="single" w:color="auto" w:sz="4" w:space="0"/>
              <w:left w:val="single" w:color="auto" w:sz="4" w:space="0"/>
              <w:bottom w:val="single" w:color="auto" w:sz="4" w:space="0"/>
              <w:right w:val="single" w:color="auto" w:sz="4" w:space="0"/>
            </w:tcBorders>
          </w:tcPr>
          <w:p w14:paraId="51E48BE6">
            <w:pPr>
              <w:snapToGrid w:val="0"/>
              <w:spacing w:beforeLines="50"/>
              <w:rPr>
                <w:rFonts w:ascii="仿宋" w:hAnsi="仿宋" w:eastAsia="仿宋" w:cs="仿宋"/>
                <w:color w:val="auto"/>
                <w:sz w:val="24"/>
                <w:highlight w:val="none"/>
              </w:rPr>
            </w:pPr>
          </w:p>
        </w:tc>
        <w:tc>
          <w:tcPr>
            <w:tcW w:w="4100" w:type="dxa"/>
            <w:tcBorders>
              <w:top w:val="single" w:color="auto" w:sz="4" w:space="0"/>
              <w:left w:val="single" w:color="auto" w:sz="4" w:space="0"/>
              <w:bottom w:val="single" w:color="auto" w:sz="4" w:space="0"/>
              <w:right w:val="single" w:color="auto" w:sz="4" w:space="0"/>
            </w:tcBorders>
          </w:tcPr>
          <w:p w14:paraId="62415B85">
            <w:pPr>
              <w:snapToGrid w:val="0"/>
              <w:spacing w:beforeLines="50"/>
              <w:rPr>
                <w:rFonts w:ascii="仿宋" w:hAnsi="仿宋" w:eastAsia="仿宋" w:cs="仿宋"/>
                <w:color w:val="auto"/>
                <w:sz w:val="24"/>
                <w:highlight w:val="none"/>
              </w:rPr>
            </w:pPr>
          </w:p>
        </w:tc>
        <w:tc>
          <w:tcPr>
            <w:tcW w:w="1417" w:type="dxa"/>
            <w:tcBorders>
              <w:top w:val="single" w:color="auto" w:sz="4" w:space="0"/>
              <w:left w:val="single" w:color="auto" w:sz="4" w:space="0"/>
              <w:bottom w:val="single" w:color="auto" w:sz="4" w:space="0"/>
              <w:right w:val="single" w:color="auto" w:sz="4" w:space="0"/>
            </w:tcBorders>
          </w:tcPr>
          <w:p w14:paraId="3D097C26">
            <w:pPr>
              <w:snapToGrid w:val="0"/>
              <w:spacing w:beforeLines="50"/>
              <w:ind w:left="43"/>
              <w:rPr>
                <w:rFonts w:ascii="仿宋" w:hAnsi="仿宋" w:eastAsia="仿宋" w:cs="仿宋"/>
                <w:color w:val="auto"/>
                <w:sz w:val="24"/>
                <w:highlight w:val="none"/>
              </w:rPr>
            </w:pPr>
          </w:p>
        </w:tc>
        <w:tc>
          <w:tcPr>
            <w:tcW w:w="1366" w:type="dxa"/>
            <w:tcBorders>
              <w:top w:val="single" w:color="auto" w:sz="4" w:space="0"/>
              <w:left w:val="single" w:color="auto" w:sz="4" w:space="0"/>
              <w:bottom w:val="single" w:color="auto" w:sz="4" w:space="0"/>
              <w:right w:val="single" w:color="auto" w:sz="4" w:space="0"/>
            </w:tcBorders>
          </w:tcPr>
          <w:p w14:paraId="02F52EDD">
            <w:pPr>
              <w:snapToGrid w:val="0"/>
              <w:spacing w:beforeLines="50"/>
              <w:ind w:left="43"/>
              <w:rPr>
                <w:rFonts w:ascii="仿宋" w:hAnsi="仿宋" w:eastAsia="仿宋" w:cs="仿宋"/>
                <w:color w:val="auto"/>
                <w:sz w:val="24"/>
                <w:highlight w:val="none"/>
              </w:rPr>
            </w:pPr>
          </w:p>
        </w:tc>
        <w:tc>
          <w:tcPr>
            <w:tcW w:w="718" w:type="dxa"/>
            <w:tcBorders>
              <w:top w:val="single" w:color="auto" w:sz="4" w:space="0"/>
              <w:left w:val="single" w:color="auto" w:sz="4" w:space="0"/>
              <w:bottom w:val="single" w:color="auto" w:sz="4" w:space="0"/>
              <w:right w:val="single" w:color="auto" w:sz="4" w:space="0"/>
            </w:tcBorders>
          </w:tcPr>
          <w:p w14:paraId="2C66D853">
            <w:pPr>
              <w:snapToGrid w:val="0"/>
              <w:spacing w:beforeLines="50"/>
              <w:ind w:left="43"/>
              <w:rPr>
                <w:rFonts w:ascii="仿宋" w:hAnsi="仿宋" w:eastAsia="仿宋" w:cs="仿宋"/>
                <w:color w:val="auto"/>
                <w:sz w:val="24"/>
                <w:highlight w:val="none"/>
              </w:rPr>
            </w:pPr>
          </w:p>
        </w:tc>
      </w:tr>
    </w:tbl>
    <w:p w14:paraId="6FA36E6F">
      <w:pPr>
        <w:rPr>
          <w:rFonts w:ascii="仿宋" w:hAnsi="仿宋" w:eastAsia="仿宋"/>
          <w:color w:val="auto"/>
          <w:szCs w:val="21"/>
          <w:highlight w:val="none"/>
        </w:rPr>
      </w:pPr>
      <w:r>
        <w:rPr>
          <w:rFonts w:hint="eastAsia" w:ascii="仿宋" w:hAnsi="仿宋" w:eastAsia="仿宋"/>
          <w:color w:val="auto"/>
          <w:szCs w:val="21"/>
          <w:highlight w:val="none"/>
        </w:rPr>
        <w:t>注：按照竞争性磋商文件要求详细填列，可增减行。</w:t>
      </w:r>
    </w:p>
    <w:p w14:paraId="7EB24E4C">
      <w:pPr>
        <w:rPr>
          <w:rFonts w:ascii="仿宋" w:hAnsi="仿宋" w:eastAsia="仿宋"/>
          <w:color w:val="auto"/>
          <w:sz w:val="24"/>
          <w:highlight w:val="none"/>
        </w:rPr>
      </w:pPr>
    </w:p>
    <w:p w14:paraId="1BE4A073">
      <w:pPr>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（四）竞争性磋商文件规定提交的其他材料（如有）</w:t>
      </w:r>
    </w:p>
    <w:p w14:paraId="75E95C25">
      <w:pPr>
        <w:ind w:firstLine="560" w:firstLineChars="200"/>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lang w:val="en-US" w:eastAsia="zh-CN"/>
        </w:rPr>
        <w:t>1.</w:t>
      </w:r>
      <w:r>
        <w:rPr>
          <w:rFonts w:hint="eastAsia" w:ascii="仿宋" w:hAnsi="仿宋" w:eastAsia="仿宋"/>
          <w:color w:val="auto"/>
          <w:sz w:val="28"/>
          <w:szCs w:val="28"/>
          <w:highlight w:val="none"/>
        </w:rPr>
        <w:t>企业实力</w:t>
      </w:r>
      <w:r>
        <w:rPr>
          <w:rFonts w:hint="eastAsia" w:ascii="仿宋" w:hAnsi="仿宋" w:eastAsia="仿宋"/>
          <w:color w:val="auto"/>
          <w:sz w:val="28"/>
          <w:szCs w:val="28"/>
          <w:highlight w:val="none"/>
          <w:lang w:eastAsia="zh-CN"/>
        </w:rPr>
        <w:t>；</w:t>
      </w:r>
    </w:p>
    <w:p w14:paraId="7B5F80C8">
      <w:pPr>
        <w:ind w:firstLine="560" w:firstLineChars="200"/>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lang w:val="en-US" w:eastAsia="zh-CN"/>
        </w:rPr>
        <w:t>2.</w:t>
      </w:r>
      <w:r>
        <w:rPr>
          <w:rFonts w:hint="eastAsia" w:ascii="仿宋" w:hAnsi="仿宋" w:eastAsia="仿宋"/>
          <w:color w:val="auto"/>
          <w:sz w:val="28"/>
          <w:szCs w:val="28"/>
          <w:highlight w:val="none"/>
        </w:rPr>
        <w:t>业绩</w:t>
      </w:r>
      <w:r>
        <w:rPr>
          <w:rFonts w:hint="eastAsia" w:ascii="仿宋" w:hAnsi="仿宋" w:eastAsia="仿宋"/>
          <w:color w:val="auto"/>
          <w:sz w:val="28"/>
          <w:szCs w:val="28"/>
          <w:highlight w:val="none"/>
          <w:lang w:eastAsia="zh-CN"/>
        </w:rPr>
        <w:t>；</w:t>
      </w:r>
    </w:p>
    <w:p w14:paraId="0898D2EA">
      <w:pPr>
        <w:ind w:firstLine="560" w:firstLineChars="200"/>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lang w:val="en-US" w:eastAsia="zh-CN"/>
        </w:rPr>
        <w:t>3.</w:t>
      </w:r>
      <w:r>
        <w:rPr>
          <w:rFonts w:hint="eastAsia" w:ascii="仿宋" w:hAnsi="仿宋" w:eastAsia="仿宋"/>
          <w:color w:val="auto"/>
          <w:sz w:val="28"/>
          <w:szCs w:val="28"/>
          <w:highlight w:val="none"/>
        </w:rPr>
        <w:t>设备及实验室保障能力</w:t>
      </w:r>
      <w:r>
        <w:rPr>
          <w:rFonts w:hint="eastAsia" w:ascii="仿宋" w:hAnsi="仿宋" w:eastAsia="仿宋"/>
          <w:color w:val="auto"/>
          <w:sz w:val="28"/>
          <w:szCs w:val="28"/>
          <w:highlight w:val="none"/>
          <w:lang w:eastAsia="zh-CN"/>
        </w:rPr>
        <w:t>；</w:t>
      </w:r>
    </w:p>
    <w:p w14:paraId="66454DC9">
      <w:pPr>
        <w:ind w:firstLine="560" w:firstLineChars="200"/>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lang w:val="en-US" w:eastAsia="zh-CN"/>
        </w:rPr>
        <w:t>4.</w:t>
      </w:r>
      <w:r>
        <w:rPr>
          <w:rFonts w:hint="eastAsia" w:ascii="仿宋" w:hAnsi="仿宋" w:eastAsia="仿宋"/>
          <w:color w:val="auto"/>
          <w:sz w:val="28"/>
          <w:szCs w:val="28"/>
          <w:highlight w:val="none"/>
        </w:rPr>
        <w:t>人员配置</w:t>
      </w:r>
      <w:r>
        <w:rPr>
          <w:rFonts w:hint="eastAsia" w:ascii="仿宋" w:hAnsi="仿宋" w:eastAsia="仿宋"/>
          <w:color w:val="auto"/>
          <w:sz w:val="28"/>
          <w:szCs w:val="28"/>
          <w:highlight w:val="none"/>
          <w:lang w:eastAsia="zh-CN"/>
        </w:rPr>
        <w:t>；</w:t>
      </w:r>
    </w:p>
    <w:p w14:paraId="1F86F344">
      <w:pPr>
        <w:ind w:firstLine="560" w:firstLineChars="200"/>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lang w:val="en-US" w:eastAsia="zh-CN"/>
        </w:rPr>
        <w:t>5.</w:t>
      </w:r>
      <w:r>
        <w:rPr>
          <w:rFonts w:hint="eastAsia" w:ascii="仿宋" w:hAnsi="仿宋" w:eastAsia="仿宋"/>
          <w:color w:val="auto"/>
          <w:sz w:val="28"/>
          <w:szCs w:val="28"/>
          <w:highlight w:val="none"/>
        </w:rPr>
        <w:t>网格化微站服务方案</w:t>
      </w:r>
      <w:r>
        <w:rPr>
          <w:rFonts w:hint="eastAsia" w:ascii="仿宋" w:hAnsi="仿宋" w:eastAsia="仿宋"/>
          <w:color w:val="auto"/>
          <w:sz w:val="28"/>
          <w:szCs w:val="28"/>
          <w:highlight w:val="none"/>
          <w:lang w:eastAsia="zh-CN"/>
        </w:rPr>
        <w:t>；</w:t>
      </w:r>
    </w:p>
    <w:p w14:paraId="53A2D112">
      <w:pPr>
        <w:ind w:firstLine="560" w:firstLineChars="200"/>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lang w:val="en-US" w:eastAsia="zh-CN"/>
        </w:rPr>
        <w:t>6.</w:t>
      </w:r>
      <w:r>
        <w:rPr>
          <w:rFonts w:hint="eastAsia" w:ascii="仿宋" w:hAnsi="仿宋" w:eastAsia="仿宋"/>
          <w:color w:val="auto"/>
          <w:sz w:val="28"/>
          <w:szCs w:val="28"/>
          <w:highlight w:val="none"/>
        </w:rPr>
        <w:t>综合驻场服务方案</w:t>
      </w:r>
      <w:r>
        <w:rPr>
          <w:rFonts w:hint="eastAsia" w:ascii="仿宋" w:hAnsi="仿宋" w:eastAsia="仿宋"/>
          <w:color w:val="auto"/>
          <w:sz w:val="28"/>
          <w:szCs w:val="28"/>
          <w:highlight w:val="none"/>
          <w:lang w:eastAsia="zh-CN"/>
        </w:rPr>
        <w:t>；</w:t>
      </w:r>
    </w:p>
    <w:p w14:paraId="1E98B09B">
      <w:pPr>
        <w:ind w:firstLine="560" w:firstLineChars="200"/>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7.</w:t>
      </w:r>
      <w:r>
        <w:rPr>
          <w:rFonts w:hint="eastAsia" w:ascii="仿宋" w:hAnsi="仿宋" w:eastAsia="仿宋"/>
          <w:color w:val="auto"/>
          <w:sz w:val="28"/>
          <w:szCs w:val="28"/>
          <w:highlight w:val="none"/>
        </w:rPr>
        <w:t>臭氧/颗粒物监测服务</w:t>
      </w:r>
      <w:r>
        <w:rPr>
          <w:rFonts w:hint="eastAsia" w:ascii="仿宋" w:hAnsi="仿宋" w:eastAsia="仿宋"/>
          <w:color w:val="auto"/>
          <w:sz w:val="28"/>
          <w:szCs w:val="28"/>
          <w:highlight w:val="none"/>
          <w:lang w:eastAsia="zh-CN"/>
        </w:rPr>
        <w:t>。</w:t>
      </w:r>
    </w:p>
    <w:p w14:paraId="12CDC776">
      <w:pPr>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br w:type="page"/>
      </w:r>
    </w:p>
    <w:p w14:paraId="7DB49C7B">
      <w:pPr>
        <w:ind w:firstLine="560" w:firstLineChars="200"/>
        <w:outlineLvl w:val="1"/>
        <w:rPr>
          <w:rFonts w:ascii="黑体" w:hAnsi="黑体" w:eastAsia="黑体"/>
          <w:bCs/>
          <w:color w:val="auto"/>
          <w:sz w:val="28"/>
          <w:szCs w:val="28"/>
          <w:highlight w:val="none"/>
        </w:rPr>
      </w:pPr>
      <w:bookmarkStart w:id="97" w:name="_Toc32511"/>
      <w:r>
        <w:rPr>
          <w:rFonts w:hint="eastAsia" w:ascii="黑体" w:hAnsi="黑体" w:eastAsia="黑体"/>
          <w:color w:val="auto"/>
          <w:sz w:val="28"/>
          <w:szCs w:val="28"/>
          <w:highlight w:val="none"/>
        </w:rPr>
        <w:t>三、报价文件</w:t>
      </w:r>
      <w:bookmarkEnd w:id="97"/>
    </w:p>
    <w:p w14:paraId="6684A3D1">
      <w:pPr>
        <w:ind w:firstLine="560" w:firstLineChars="200"/>
        <w:rPr>
          <w:rFonts w:ascii="仿宋" w:hAnsi="仿宋" w:eastAsia="仿宋"/>
          <w:bCs/>
          <w:color w:val="auto"/>
          <w:sz w:val="28"/>
          <w:szCs w:val="28"/>
          <w:highlight w:val="none"/>
        </w:rPr>
      </w:pPr>
      <w:r>
        <w:rPr>
          <w:rFonts w:hint="eastAsia" w:ascii="仿宋" w:hAnsi="仿宋" w:eastAsia="仿宋"/>
          <w:bCs/>
          <w:color w:val="auto"/>
          <w:sz w:val="28"/>
          <w:szCs w:val="28"/>
          <w:highlight w:val="none"/>
        </w:rPr>
        <w:t>（一）竞争性磋商响应报价表</w:t>
      </w:r>
    </w:p>
    <w:p w14:paraId="63D4915E">
      <w:pPr>
        <w:ind w:firstLine="3040" w:firstLineChars="950"/>
        <w:rPr>
          <w:rFonts w:ascii="方正小标宋简体" w:hAnsi="宋体" w:eastAsia="方正小标宋简体"/>
          <w:color w:val="auto"/>
          <w:sz w:val="32"/>
          <w:szCs w:val="32"/>
          <w:highlight w:val="none"/>
        </w:rPr>
      </w:pPr>
      <w:r>
        <w:rPr>
          <w:rFonts w:hint="eastAsia" w:ascii="方正小标宋简体" w:hAnsi="宋体" w:eastAsia="方正小标宋简体"/>
          <w:color w:val="auto"/>
          <w:sz w:val="32"/>
          <w:szCs w:val="32"/>
          <w:highlight w:val="none"/>
        </w:rPr>
        <w:t>竞争性磋商响应报价表</w:t>
      </w:r>
    </w:p>
    <w:tbl>
      <w:tblPr>
        <w:tblStyle w:val="22"/>
        <w:tblW w:w="8807" w:type="dxa"/>
        <w:tblInd w:w="95" w:type="dxa"/>
        <w:tblLayout w:type="fixed"/>
        <w:tblCellMar>
          <w:top w:w="0" w:type="dxa"/>
          <w:left w:w="108" w:type="dxa"/>
          <w:bottom w:w="0" w:type="dxa"/>
          <w:right w:w="108" w:type="dxa"/>
        </w:tblCellMar>
      </w:tblPr>
      <w:tblGrid>
        <w:gridCol w:w="4087"/>
        <w:gridCol w:w="2220"/>
        <w:gridCol w:w="2500"/>
      </w:tblGrid>
      <w:tr w14:paraId="7B1165C8">
        <w:tblPrEx>
          <w:tblCellMar>
            <w:top w:w="0" w:type="dxa"/>
            <w:left w:w="108" w:type="dxa"/>
            <w:bottom w:w="0" w:type="dxa"/>
            <w:right w:w="108" w:type="dxa"/>
          </w:tblCellMar>
        </w:tblPrEx>
        <w:trPr>
          <w:trHeight w:val="436" w:hRule="atLeast"/>
        </w:trPr>
        <w:tc>
          <w:tcPr>
            <w:tcW w:w="8807" w:type="dxa"/>
            <w:gridSpan w:val="3"/>
            <w:tcBorders>
              <w:top w:val="nil"/>
              <w:left w:val="nil"/>
              <w:bottom w:val="nil"/>
              <w:right w:val="nil"/>
            </w:tcBorders>
            <w:vAlign w:val="center"/>
          </w:tcPr>
          <w:p w14:paraId="773DEDF2">
            <w:pPr>
              <w:widowControl/>
              <w:jc w:val="left"/>
              <w:rPr>
                <w:rFonts w:ascii="仿宋" w:hAnsi="仿宋" w:eastAsia="仿宋" w:cs="宋体"/>
                <w:color w:val="auto"/>
                <w:kern w:val="0"/>
                <w:sz w:val="24"/>
                <w:highlight w:val="none"/>
              </w:rPr>
            </w:pPr>
            <w:r>
              <w:rPr>
                <w:rFonts w:hint="eastAsia" w:ascii="仿宋" w:hAnsi="仿宋" w:eastAsia="仿宋" w:cs="宋体"/>
                <w:color w:val="auto"/>
                <w:kern w:val="0"/>
                <w:sz w:val="24"/>
                <w:highlight w:val="none"/>
              </w:rPr>
              <w:t>供应商名称（加盖公章）：</w:t>
            </w:r>
          </w:p>
        </w:tc>
      </w:tr>
      <w:tr w14:paraId="78034607">
        <w:tblPrEx>
          <w:tblCellMar>
            <w:top w:w="0" w:type="dxa"/>
            <w:left w:w="108" w:type="dxa"/>
            <w:bottom w:w="0" w:type="dxa"/>
            <w:right w:w="108" w:type="dxa"/>
          </w:tblCellMar>
        </w:tblPrEx>
        <w:trPr>
          <w:trHeight w:val="436" w:hRule="atLeast"/>
        </w:trPr>
        <w:tc>
          <w:tcPr>
            <w:tcW w:w="8807" w:type="dxa"/>
            <w:gridSpan w:val="3"/>
            <w:tcBorders>
              <w:top w:val="nil"/>
              <w:left w:val="nil"/>
              <w:bottom w:val="nil"/>
              <w:right w:val="nil"/>
            </w:tcBorders>
            <w:vAlign w:val="center"/>
          </w:tcPr>
          <w:p w14:paraId="1E50639D">
            <w:pPr>
              <w:widowControl/>
              <w:jc w:val="left"/>
              <w:rPr>
                <w:rFonts w:ascii="仿宋" w:hAnsi="仿宋" w:eastAsia="仿宋" w:cs="宋体"/>
                <w:color w:val="auto"/>
                <w:kern w:val="0"/>
                <w:sz w:val="24"/>
                <w:highlight w:val="none"/>
              </w:rPr>
            </w:pPr>
            <w:r>
              <w:rPr>
                <w:rFonts w:hint="eastAsia" w:ascii="仿宋" w:hAnsi="仿宋" w:eastAsia="仿宋" w:cs="宋体"/>
                <w:color w:val="auto"/>
                <w:kern w:val="0"/>
                <w:sz w:val="24"/>
                <w:highlight w:val="none"/>
              </w:rPr>
              <w:t>项目名称：</w:t>
            </w:r>
          </w:p>
        </w:tc>
      </w:tr>
      <w:tr w14:paraId="3F20DC14">
        <w:tblPrEx>
          <w:tblCellMar>
            <w:top w:w="0" w:type="dxa"/>
            <w:left w:w="108" w:type="dxa"/>
            <w:bottom w:w="0" w:type="dxa"/>
            <w:right w:w="108" w:type="dxa"/>
          </w:tblCellMar>
        </w:tblPrEx>
        <w:trPr>
          <w:trHeight w:val="420" w:hRule="atLeast"/>
        </w:trPr>
        <w:tc>
          <w:tcPr>
            <w:tcW w:w="6307" w:type="dxa"/>
            <w:gridSpan w:val="2"/>
            <w:tcBorders>
              <w:top w:val="nil"/>
              <w:left w:val="nil"/>
              <w:bottom w:val="nil"/>
              <w:right w:val="nil"/>
            </w:tcBorders>
            <w:noWrap/>
            <w:vAlign w:val="center"/>
          </w:tcPr>
          <w:p w14:paraId="5E667CAE">
            <w:pPr>
              <w:widowControl/>
              <w:jc w:val="left"/>
              <w:rPr>
                <w:rFonts w:ascii="仿宋" w:hAnsi="仿宋" w:eastAsia="仿宋" w:cs="宋体"/>
                <w:color w:val="auto"/>
                <w:kern w:val="0"/>
                <w:sz w:val="24"/>
                <w:highlight w:val="none"/>
              </w:rPr>
            </w:pPr>
            <w:r>
              <w:rPr>
                <w:rFonts w:hint="eastAsia" w:ascii="仿宋" w:hAnsi="仿宋" w:eastAsia="仿宋" w:cs="宋体"/>
                <w:color w:val="auto"/>
                <w:kern w:val="0"/>
                <w:sz w:val="24"/>
                <w:highlight w:val="none"/>
              </w:rPr>
              <w:t>项目编号：</w:t>
            </w:r>
          </w:p>
        </w:tc>
        <w:tc>
          <w:tcPr>
            <w:tcW w:w="2500" w:type="dxa"/>
            <w:tcBorders>
              <w:top w:val="nil"/>
              <w:left w:val="nil"/>
              <w:bottom w:val="nil"/>
              <w:right w:val="nil"/>
            </w:tcBorders>
            <w:noWrap/>
            <w:vAlign w:val="center"/>
          </w:tcPr>
          <w:p w14:paraId="2A711126">
            <w:pPr>
              <w:widowControl/>
              <w:jc w:val="left"/>
              <w:rPr>
                <w:rFonts w:ascii="仿宋" w:hAnsi="仿宋" w:eastAsia="仿宋" w:cs="宋体"/>
                <w:color w:val="auto"/>
                <w:kern w:val="0"/>
                <w:sz w:val="24"/>
                <w:highlight w:val="none"/>
              </w:rPr>
            </w:pPr>
            <w:r>
              <w:rPr>
                <w:rFonts w:hint="eastAsia" w:ascii="仿宋" w:hAnsi="仿宋" w:eastAsia="仿宋" w:cs="宋体"/>
                <w:color w:val="auto"/>
                <w:kern w:val="0"/>
                <w:sz w:val="24"/>
                <w:highlight w:val="none"/>
              </w:rPr>
              <w:t>分包号：</w:t>
            </w:r>
          </w:p>
        </w:tc>
      </w:tr>
      <w:tr w14:paraId="422566C0">
        <w:tblPrEx>
          <w:tblCellMar>
            <w:top w:w="0" w:type="dxa"/>
            <w:left w:w="108" w:type="dxa"/>
            <w:bottom w:w="0" w:type="dxa"/>
            <w:right w:w="108" w:type="dxa"/>
          </w:tblCellMar>
        </w:tblPrEx>
        <w:trPr>
          <w:trHeight w:val="525" w:hRule="atLeast"/>
        </w:trPr>
        <w:tc>
          <w:tcPr>
            <w:tcW w:w="4087" w:type="dxa"/>
            <w:vMerge w:val="restart"/>
            <w:tcBorders>
              <w:top w:val="single" w:color="auto" w:sz="4" w:space="0"/>
              <w:left w:val="single" w:color="auto" w:sz="4" w:space="0"/>
              <w:bottom w:val="single" w:color="auto" w:sz="4" w:space="0"/>
              <w:right w:val="single" w:color="auto" w:sz="4" w:space="0"/>
            </w:tcBorders>
            <w:noWrap/>
            <w:vAlign w:val="center"/>
          </w:tcPr>
          <w:p w14:paraId="78365674">
            <w:pPr>
              <w:widowControl/>
              <w:jc w:val="center"/>
              <w:rPr>
                <w:rFonts w:ascii="仿宋" w:hAnsi="仿宋" w:eastAsia="仿宋" w:cs="宋体"/>
                <w:color w:val="auto"/>
                <w:kern w:val="0"/>
                <w:sz w:val="24"/>
                <w:highlight w:val="none"/>
              </w:rPr>
            </w:pPr>
            <w:r>
              <w:rPr>
                <w:rFonts w:hint="eastAsia" w:ascii="仿宋" w:hAnsi="仿宋" w:eastAsia="仿宋" w:cs="宋体"/>
                <w:color w:val="auto"/>
                <w:kern w:val="0"/>
                <w:sz w:val="24"/>
                <w:highlight w:val="none"/>
              </w:rPr>
              <w:t>竞争性磋商响应报价（元）</w:t>
            </w:r>
          </w:p>
        </w:tc>
        <w:tc>
          <w:tcPr>
            <w:tcW w:w="4720" w:type="dxa"/>
            <w:gridSpan w:val="2"/>
            <w:tcBorders>
              <w:top w:val="single" w:color="auto" w:sz="4" w:space="0"/>
              <w:left w:val="nil"/>
              <w:bottom w:val="single" w:color="auto" w:sz="4" w:space="0"/>
              <w:right w:val="single" w:color="auto" w:sz="4" w:space="0"/>
            </w:tcBorders>
            <w:noWrap/>
            <w:vAlign w:val="center"/>
          </w:tcPr>
          <w:p w14:paraId="6F921025">
            <w:pPr>
              <w:widowControl/>
              <w:jc w:val="left"/>
              <w:rPr>
                <w:rFonts w:ascii="仿宋" w:hAnsi="仿宋" w:eastAsia="仿宋" w:cs="宋体"/>
                <w:color w:val="auto"/>
                <w:kern w:val="0"/>
                <w:sz w:val="24"/>
                <w:highlight w:val="none"/>
              </w:rPr>
            </w:pPr>
            <w:r>
              <w:rPr>
                <w:rFonts w:hint="eastAsia" w:ascii="仿宋" w:hAnsi="仿宋" w:eastAsia="仿宋" w:cs="宋体"/>
                <w:color w:val="auto"/>
                <w:kern w:val="0"/>
                <w:sz w:val="24"/>
                <w:highlight w:val="none"/>
              </w:rPr>
              <w:t>小写：</w:t>
            </w:r>
          </w:p>
        </w:tc>
      </w:tr>
      <w:tr w14:paraId="73A3B70F">
        <w:tblPrEx>
          <w:tblCellMar>
            <w:top w:w="0" w:type="dxa"/>
            <w:left w:w="108" w:type="dxa"/>
            <w:bottom w:w="0" w:type="dxa"/>
            <w:right w:w="108" w:type="dxa"/>
          </w:tblCellMar>
        </w:tblPrEx>
        <w:trPr>
          <w:trHeight w:val="525" w:hRule="atLeast"/>
        </w:trPr>
        <w:tc>
          <w:tcPr>
            <w:tcW w:w="4087" w:type="dxa"/>
            <w:vMerge w:val="continue"/>
            <w:tcBorders>
              <w:top w:val="single" w:color="auto" w:sz="4" w:space="0"/>
              <w:left w:val="single" w:color="auto" w:sz="4" w:space="0"/>
              <w:bottom w:val="single" w:color="auto" w:sz="4" w:space="0"/>
              <w:right w:val="single" w:color="auto" w:sz="4" w:space="0"/>
            </w:tcBorders>
            <w:vAlign w:val="center"/>
          </w:tcPr>
          <w:p w14:paraId="0E16D2D7">
            <w:pPr>
              <w:widowControl/>
              <w:jc w:val="left"/>
              <w:rPr>
                <w:rFonts w:ascii="仿宋" w:hAnsi="仿宋" w:eastAsia="仿宋" w:cs="宋体"/>
                <w:color w:val="auto"/>
                <w:kern w:val="0"/>
                <w:sz w:val="24"/>
                <w:highlight w:val="none"/>
              </w:rPr>
            </w:pPr>
          </w:p>
        </w:tc>
        <w:tc>
          <w:tcPr>
            <w:tcW w:w="4720" w:type="dxa"/>
            <w:gridSpan w:val="2"/>
            <w:tcBorders>
              <w:top w:val="single" w:color="auto" w:sz="4" w:space="0"/>
              <w:left w:val="nil"/>
              <w:bottom w:val="single" w:color="auto" w:sz="4" w:space="0"/>
              <w:right w:val="single" w:color="auto" w:sz="4" w:space="0"/>
            </w:tcBorders>
            <w:noWrap/>
            <w:vAlign w:val="center"/>
          </w:tcPr>
          <w:p w14:paraId="1F459F02">
            <w:pPr>
              <w:widowControl/>
              <w:jc w:val="left"/>
              <w:rPr>
                <w:rFonts w:ascii="仿宋" w:hAnsi="仿宋" w:eastAsia="仿宋" w:cs="宋体"/>
                <w:color w:val="auto"/>
                <w:kern w:val="0"/>
                <w:sz w:val="24"/>
                <w:highlight w:val="none"/>
              </w:rPr>
            </w:pPr>
            <w:r>
              <w:rPr>
                <w:rFonts w:hint="eastAsia" w:ascii="仿宋" w:hAnsi="仿宋" w:eastAsia="仿宋" w:cs="宋体"/>
                <w:color w:val="auto"/>
                <w:kern w:val="0"/>
                <w:sz w:val="24"/>
                <w:highlight w:val="none"/>
              </w:rPr>
              <w:t>大写：</w:t>
            </w:r>
          </w:p>
        </w:tc>
      </w:tr>
      <w:tr w14:paraId="3F7331FB">
        <w:tblPrEx>
          <w:tblCellMar>
            <w:top w:w="0" w:type="dxa"/>
            <w:left w:w="108" w:type="dxa"/>
            <w:bottom w:w="0" w:type="dxa"/>
            <w:right w:w="108" w:type="dxa"/>
          </w:tblCellMar>
        </w:tblPrEx>
        <w:trPr>
          <w:trHeight w:val="436" w:hRule="atLeast"/>
        </w:trPr>
        <w:tc>
          <w:tcPr>
            <w:tcW w:w="8807" w:type="dxa"/>
            <w:gridSpan w:val="3"/>
            <w:tcBorders>
              <w:top w:val="nil"/>
              <w:left w:val="nil"/>
              <w:bottom w:val="nil"/>
              <w:right w:val="nil"/>
            </w:tcBorders>
            <w:vAlign w:val="center"/>
          </w:tcPr>
          <w:p w14:paraId="2EEEBBA6">
            <w:pPr>
              <w:widowControl/>
              <w:ind w:firstLine="420" w:firstLineChars="200"/>
              <w:jc w:val="left"/>
              <w:rPr>
                <w:rFonts w:ascii="仿宋" w:hAnsi="仿宋" w:eastAsia="仿宋" w:cs="宋体"/>
                <w:color w:val="auto"/>
                <w:kern w:val="0"/>
                <w:szCs w:val="21"/>
                <w:highlight w:val="none"/>
              </w:rPr>
            </w:pPr>
          </w:p>
        </w:tc>
      </w:tr>
    </w:tbl>
    <w:p w14:paraId="4EF34E6E">
      <w:pPr>
        <w:ind w:firstLine="560" w:firstLineChars="200"/>
        <w:rPr>
          <w:rFonts w:ascii="仿宋" w:hAnsi="仿宋" w:eastAsia="仿宋"/>
          <w:bCs/>
          <w:color w:val="auto"/>
          <w:sz w:val="28"/>
          <w:szCs w:val="28"/>
          <w:highlight w:val="none"/>
        </w:rPr>
      </w:pPr>
    </w:p>
    <w:p w14:paraId="4CBCA744">
      <w:pPr>
        <w:ind w:firstLine="560" w:firstLineChars="200"/>
        <w:rPr>
          <w:rFonts w:ascii="仿宋" w:hAnsi="仿宋" w:eastAsia="仿宋"/>
          <w:bCs/>
          <w:color w:val="auto"/>
          <w:sz w:val="28"/>
          <w:szCs w:val="28"/>
          <w:highlight w:val="none"/>
        </w:rPr>
      </w:pPr>
      <w:r>
        <w:rPr>
          <w:rFonts w:ascii="仿宋" w:hAnsi="仿宋" w:eastAsia="仿宋"/>
          <w:bCs/>
          <w:color w:val="auto"/>
          <w:sz w:val="28"/>
          <w:szCs w:val="28"/>
          <w:highlight w:val="none"/>
        </w:rPr>
        <w:br w:type="page"/>
      </w:r>
      <w:r>
        <w:rPr>
          <w:rFonts w:hint="eastAsia" w:ascii="仿宋" w:hAnsi="仿宋" w:eastAsia="仿宋"/>
          <w:bCs/>
          <w:color w:val="auto"/>
          <w:sz w:val="28"/>
          <w:szCs w:val="28"/>
          <w:highlight w:val="none"/>
        </w:rPr>
        <w:t>（二）竞争性磋商响应报价明细表</w:t>
      </w:r>
    </w:p>
    <w:p w14:paraId="5BE58917">
      <w:pPr>
        <w:ind w:firstLine="3040" w:firstLineChars="950"/>
        <w:rPr>
          <w:rFonts w:ascii="宋体" w:hAnsi="宋体"/>
          <w:color w:val="auto"/>
          <w:sz w:val="24"/>
          <w:highlight w:val="none"/>
        </w:rPr>
      </w:pPr>
      <w:r>
        <w:rPr>
          <w:rFonts w:hint="eastAsia" w:ascii="方正小标宋简体" w:hAnsi="宋体" w:eastAsia="方正小标宋简体"/>
          <w:color w:val="auto"/>
          <w:sz w:val="32"/>
          <w:szCs w:val="32"/>
          <w:highlight w:val="none"/>
        </w:rPr>
        <w:t>竞争性磋商响应报价明细表</w:t>
      </w:r>
    </w:p>
    <w:p w14:paraId="05ACE982">
      <w:pPr>
        <w:rPr>
          <w:rFonts w:ascii="宋体" w:hAnsi="宋体"/>
          <w:color w:val="auto"/>
          <w:highlight w:val="none"/>
        </w:rPr>
      </w:pPr>
    </w:p>
    <w:p w14:paraId="36C61E28">
      <w:pPr>
        <w:pStyle w:val="12"/>
        <w:rPr>
          <w:rFonts w:ascii="仿宋" w:hAnsi="仿宋" w:eastAsia="仿宋"/>
          <w:color w:val="auto"/>
          <w:szCs w:val="24"/>
          <w:highlight w:val="none"/>
        </w:rPr>
      </w:pPr>
      <w:r>
        <w:rPr>
          <w:rFonts w:hint="eastAsia" w:ascii="仿宋" w:hAnsi="仿宋" w:eastAsia="仿宋"/>
          <w:color w:val="auto"/>
          <w:szCs w:val="24"/>
          <w:highlight w:val="none"/>
        </w:rPr>
        <w:t xml:space="preserve">项目名称： </w:t>
      </w:r>
    </w:p>
    <w:p w14:paraId="5B5DA7E2">
      <w:pPr>
        <w:rPr>
          <w:rFonts w:ascii="仿宋" w:hAnsi="仿宋" w:eastAsia="仿宋"/>
          <w:color w:val="auto"/>
          <w:sz w:val="24"/>
          <w:highlight w:val="none"/>
        </w:rPr>
      </w:pPr>
      <w:r>
        <w:rPr>
          <w:rFonts w:hint="eastAsia" w:ascii="仿宋" w:hAnsi="仿宋" w:eastAsia="仿宋"/>
          <w:color w:val="auto"/>
          <w:sz w:val="24"/>
          <w:highlight w:val="none"/>
        </w:rPr>
        <w:t xml:space="preserve">项目编号：                                      分包号：                   </w:t>
      </w:r>
    </w:p>
    <w:tbl>
      <w:tblPr>
        <w:tblStyle w:val="2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4"/>
        <w:gridCol w:w="1426"/>
        <w:gridCol w:w="2891"/>
        <w:gridCol w:w="555"/>
        <w:gridCol w:w="555"/>
        <w:gridCol w:w="961"/>
        <w:gridCol w:w="1014"/>
        <w:gridCol w:w="1384"/>
      </w:tblGrid>
      <w:tr w14:paraId="7EBDF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vAlign w:val="center"/>
          </w:tcPr>
          <w:p w14:paraId="1E3E3C9E">
            <w:pPr>
              <w:pStyle w:val="11"/>
              <w:snapToGrid w:val="0"/>
              <w:spacing w:after="0"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序号</w:t>
            </w:r>
          </w:p>
        </w:tc>
        <w:tc>
          <w:tcPr>
            <w:tcW w:w="1270" w:type="dxa"/>
            <w:vAlign w:val="center"/>
          </w:tcPr>
          <w:p w14:paraId="0048A7F4">
            <w:pPr>
              <w:pStyle w:val="11"/>
              <w:snapToGrid w:val="0"/>
              <w:spacing w:after="0" w:line="24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服务名称</w:t>
            </w:r>
          </w:p>
        </w:tc>
        <w:tc>
          <w:tcPr>
            <w:tcW w:w="2574" w:type="dxa"/>
            <w:vAlign w:val="center"/>
          </w:tcPr>
          <w:p w14:paraId="6CFFF172">
            <w:pPr>
              <w:pStyle w:val="11"/>
              <w:snapToGrid w:val="0"/>
              <w:spacing w:after="0" w:line="24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服务内容</w:t>
            </w:r>
          </w:p>
        </w:tc>
        <w:tc>
          <w:tcPr>
            <w:tcW w:w="494" w:type="dxa"/>
            <w:vAlign w:val="center"/>
          </w:tcPr>
          <w:p w14:paraId="72E46A96">
            <w:pPr>
              <w:pStyle w:val="11"/>
              <w:snapToGrid w:val="0"/>
              <w:spacing w:after="0" w:line="24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计量单位</w:t>
            </w:r>
          </w:p>
        </w:tc>
        <w:tc>
          <w:tcPr>
            <w:tcW w:w="494" w:type="dxa"/>
            <w:vAlign w:val="center"/>
          </w:tcPr>
          <w:p w14:paraId="0CCD1969">
            <w:pPr>
              <w:pStyle w:val="11"/>
              <w:snapToGrid w:val="0"/>
              <w:spacing w:after="0" w:line="24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工作量</w:t>
            </w:r>
          </w:p>
        </w:tc>
        <w:tc>
          <w:tcPr>
            <w:tcW w:w="856" w:type="dxa"/>
            <w:vAlign w:val="center"/>
          </w:tcPr>
          <w:p w14:paraId="25B514CC">
            <w:pPr>
              <w:pStyle w:val="11"/>
              <w:snapToGrid w:val="0"/>
              <w:spacing w:after="0" w:line="24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单 价</w:t>
            </w:r>
          </w:p>
          <w:p w14:paraId="6E99F555">
            <w:pPr>
              <w:pStyle w:val="11"/>
              <w:snapToGrid w:val="0"/>
              <w:spacing w:after="0" w:line="24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（元）</w:t>
            </w:r>
          </w:p>
        </w:tc>
        <w:tc>
          <w:tcPr>
            <w:tcW w:w="903" w:type="dxa"/>
            <w:vAlign w:val="center"/>
          </w:tcPr>
          <w:p w14:paraId="6B1733C4">
            <w:pPr>
              <w:pStyle w:val="11"/>
              <w:snapToGrid w:val="0"/>
              <w:spacing w:after="0" w:line="24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总 价</w:t>
            </w:r>
          </w:p>
          <w:p w14:paraId="1D51519C">
            <w:pPr>
              <w:pStyle w:val="11"/>
              <w:snapToGrid w:val="0"/>
              <w:spacing w:after="0" w:line="24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（元）</w:t>
            </w:r>
          </w:p>
        </w:tc>
        <w:tc>
          <w:tcPr>
            <w:tcW w:w="1232" w:type="dxa"/>
            <w:vAlign w:val="center"/>
          </w:tcPr>
          <w:p w14:paraId="187872FA">
            <w:pPr>
              <w:pStyle w:val="11"/>
              <w:snapToGrid w:val="0"/>
              <w:spacing w:after="0" w:line="24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备注</w:t>
            </w:r>
          </w:p>
        </w:tc>
      </w:tr>
      <w:tr w14:paraId="1F167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tcPr>
          <w:p w14:paraId="0051031B">
            <w:pPr>
              <w:pStyle w:val="11"/>
              <w:snapToGrid w:val="0"/>
              <w:spacing w:after="0" w:line="240" w:lineRule="auto"/>
              <w:rPr>
                <w:rFonts w:ascii="仿宋" w:hAnsi="仿宋" w:eastAsia="仿宋"/>
                <w:color w:val="auto"/>
                <w:sz w:val="24"/>
                <w:szCs w:val="24"/>
                <w:highlight w:val="none"/>
              </w:rPr>
            </w:pPr>
          </w:p>
        </w:tc>
        <w:tc>
          <w:tcPr>
            <w:tcW w:w="1270" w:type="dxa"/>
          </w:tcPr>
          <w:p w14:paraId="0BD58603">
            <w:pPr>
              <w:pStyle w:val="11"/>
              <w:snapToGrid w:val="0"/>
              <w:spacing w:after="0" w:line="240" w:lineRule="auto"/>
              <w:rPr>
                <w:rFonts w:ascii="仿宋" w:hAnsi="仿宋" w:eastAsia="仿宋"/>
                <w:color w:val="auto"/>
                <w:sz w:val="24"/>
                <w:szCs w:val="24"/>
                <w:highlight w:val="none"/>
              </w:rPr>
            </w:pPr>
          </w:p>
        </w:tc>
        <w:tc>
          <w:tcPr>
            <w:tcW w:w="2574" w:type="dxa"/>
          </w:tcPr>
          <w:p w14:paraId="118CCC07">
            <w:pPr>
              <w:pStyle w:val="11"/>
              <w:snapToGrid w:val="0"/>
              <w:spacing w:after="0"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（视明细项目加行）</w:t>
            </w:r>
          </w:p>
        </w:tc>
        <w:tc>
          <w:tcPr>
            <w:tcW w:w="494" w:type="dxa"/>
          </w:tcPr>
          <w:p w14:paraId="10CCAA2F">
            <w:pPr>
              <w:pStyle w:val="11"/>
              <w:snapToGrid w:val="0"/>
              <w:spacing w:after="0" w:line="240" w:lineRule="auto"/>
              <w:rPr>
                <w:rFonts w:ascii="仿宋" w:hAnsi="仿宋" w:eastAsia="仿宋"/>
                <w:color w:val="auto"/>
                <w:sz w:val="24"/>
                <w:szCs w:val="24"/>
                <w:highlight w:val="none"/>
              </w:rPr>
            </w:pPr>
          </w:p>
        </w:tc>
        <w:tc>
          <w:tcPr>
            <w:tcW w:w="494" w:type="dxa"/>
          </w:tcPr>
          <w:p w14:paraId="525DFCE3">
            <w:pPr>
              <w:pStyle w:val="11"/>
              <w:snapToGrid w:val="0"/>
              <w:spacing w:after="0" w:line="240" w:lineRule="auto"/>
              <w:jc w:val="center"/>
              <w:rPr>
                <w:rFonts w:ascii="仿宋" w:hAnsi="仿宋" w:eastAsia="仿宋"/>
                <w:color w:val="auto"/>
                <w:sz w:val="24"/>
                <w:szCs w:val="24"/>
                <w:highlight w:val="none"/>
              </w:rPr>
            </w:pPr>
          </w:p>
        </w:tc>
        <w:tc>
          <w:tcPr>
            <w:tcW w:w="856" w:type="dxa"/>
          </w:tcPr>
          <w:p w14:paraId="166425DB">
            <w:pPr>
              <w:pStyle w:val="11"/>
              <w:snapToGrid w:val="0"/>
              <w:spacing w:after="0" w:line="240" w:lineRule="auto"/>
              <w:rPr>
                <w:rFonts w:ascii="仿宋" w:hAnsi="仿宋" w:eastAsia="仿宋"/>
                <w:color w:val="auto"/>
                <w:sz w:val="24"/>
                <w:szCs w:val="24"/>
                <w:highlight w:val="none"/>
              </w:rPr>
            </w:pPr>
          </w:p>
        </w:tc>
        <w:tc>
          <w:tcPr>
            <w:tcW w:w="903" w:type="dxa"/>
          </w:tcPr>
          <w:p w14:paraId="03EFDB3E">
            <w:pPr>
              <w:pStyle w:val="11"/>
              <w:snapToGrid w:val="0"/>
              <w:spacing w:after="0" w:line="240" w:lineRule="auto"/>
              <w:rPr>
                <w:rFonts w:ascii="仿宋" w:hAnsi="仿宋" w:eastAsia="仿宋"/>
                <w:color w:val="auto"/>
                <w:sz w:val="24"/>
                <w:szCs w:val="24"/>
                <w:highlight w:val="none"/>
              </w:rPr>
            </w:pPr>
          </w:p>
        </w:tc>
        <w:tc>
          <w:tcPr>
            <w:tcW w:w="1232" w:type="dxa"/>
          </w:tcPr>
          <w:p w14:paraId="5D14095A">
            <w:pPr>
              <w:pStyle w:val="11"/>
              <w:snapToGrid w:val="0"/>
              <w:spacing w:after="0" w:line="240" w:lineRule="auto"/>
              <w:rPr>
                <w:rFonts w:ascii="仿宋" w:hAnsi="仿宋" w:eastAsia="仿宋"/>
                <w:color w:val="auto"/>
                <w:sz w:val="24"/>
                <w:szCs w:val="24"/>
                <w:highlight w:val="none"/>
              </w:rPr>
            </w:pPr>
          </w:p>
        </w:tc>
      </w:tr>
      <w:tr w14:paraId="1E227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tcPr>
          <w:p w14:paraId="19B73D04">
            <w:pPr>
              <w:pStyle w:val="11"/>
              <w:snapToGrid w:val="0"/>
              <w:spacing w:after="0" w:line="240" w:lineRule="auto"/>
              <w:rPr>
                <w:rFonts w:ascii="仿宋" w:hAnsi="仿宋" w:eastAsia="仿宋"/>
                <w:color w:val="auto"/>
                <w:sz w:val="24"/>
                <w:szCs w:val="24"/>
                <w:highlight w:val="none"/>
              </w:rPr>
            </w:pPr>
          </w:p>
        </w:tc>
        <w:tc>
          <w:tcPr>
            <w:tcW w:w="1270" w:type="dxa"/>
          </w:tcPr>
          <w:p w14:paraId="67E9A0D3">
            <w:pPr>
              <w:pStyle w:val="11"/>
              <w:snapToGrid w:val="0"/>
              <w:spacing w:after="0" w:line="240" w:lineRule="auto"/>
              <w:rPr>
                <w:rFonts w:ascii="仿宋" w:hAnsi="仿宋" w:eastAsia="仿宋"/>
                <w:color w:val="auto"/>
                <w:sz w:val="24"/>
                <w:szCs w:val="24"/>
                <w:highlight w:val="none"/>
              </w:rPr>
            </w:pPr>
          </w:p>
        </w:tc>
        <w:tc>
          <w:tcPr>
            <w:tcW w:w="2574" w:type="dxa"/>
          </w:tcPr>
          <w:p w14:paraId="13846D00">
            <w:pPr>
              <w:pStyle w:val="11"/>
              <w:snapToGrid w:val="0"/>
              <w:spacing w:after="0" w:line="240" w:lineRule="auto"/>
              <w:rPr>
                <w:rFonts w:ascii="仿宋" w:hAnsi="仿宋" w:eastAsia="仿宋"/>
                <w:color w:val="auto"/>
                <w:sz w:val="24"/>
                <w:szCs w:val="24"/>
                <w:highlight w:val="none"/>
              </w:rPr>
            </w:pPr>
          </w:p>
        </w:tc>
        <w:tc>
          <w:tcPr>
            <w:tcW w:w="494" w:type="dxa"/>
          </w:tcPr>
          <w:p w14:paraId="7FFBAC57">
            <w:pPr>
              <w:pStyle w:val="11"/>
              <w:snapToGrid w:val="0"/>
              <w:spacing w:after="0" w:line="240" w:lineRule="auto"/>
              <w:rPr>
                <w:rFonts w:ascii="仿宋" w:hAnsi="仿宋" w:eastAsia="仿宋"/>
                <w:color w:val="auto"/>
                <w:sz w:val="24"/>
                <w:szCs w:val="24"/>
                <w:highlight w:val="none"/>
              </w:rPr>
            </w:pPr>
          </w:p>
        </w:tc>
        <w:tc>
          <w:tcPr>
            <w:tcW w:w="494" w:type="dxa"/>
          </w:tcPr>
          <w:p w14:paraId="3FA35235">
            <w:pPr>
              <w:pStyle w:val="11"/>
              <w:snapToGrid w:val="0"/>
              <w:spacing w:after="0" w:line="240" w:lineRule="auto"/>
              <w:rPr>
                <w:rFonts w:ascii="仿宋" w:hAnsi="仿宋" w:eastAsia="仿宋"/>
                <w:color w:val="auto"/>
                <w:sz w:val="24"/>
                <w:szCs w:val="24"/>
                <w:highlight w:val="none"/>
              </w:rPr>
            </w:pPr>
          </w:p>
        </w:tc>
        <w:tc>
          <w:tcPr>
            <w:tcW w:w="856" w:type="dxa"/>
          </w:tcPr>
          <w:p w14:paraId="5412598A">
            <w:pPr>
              <w:pStyle w:val="11"/>
              <w:snapToGrid w:val="0"/>
              <w:spacing w:after="0" w:line="240" w:lineRule="auto"/>
              <w:rPr>
                <w:rFonts w:ascii="仿宋" w:hAnsi="仿宋" w:eastAsia="仿宋"/>
                <w:color w:val="auto"/>
                <w:sz w:val="24"/>
                <w:szCs w:val="24"/>
                <w:highlight w:val="none"/>
              </w:rPr>
            </w:pPr>
          </w:p>
        </w:tc>
        <w:tc>
          <w:tcPr>
            <w:tcW w:w="903" w:type="dxa"/>
          </w:tcPr>
          <w:p w14:paraId="683B42BD">
            <w:pPr>
              <w:pStyle w:val="11"/>
              <w:snapToGrid w:val="0"/>
              <w:spacing w:after="0" w:line="240" w:lineRule="auto"/>
              <w:rPr>
                <w:rFonts w:ascii="仿宋" w:hAnsi="仿宋" w:eastAsia="仿宋"/>
                <w:color w:val="auto"/>
                <w:sz w:val="24"/>
                <w:szCs w:val="24"/>
                <w:highlight w:val="none"/>
              </w:rPr>
            </w:pPr>
          </w:p>
        </w:tc>
        <w:tc>
          <w:tcPr>
            <w:tcW w:w="1232" w:type="dxa"/>
          </w:tcPr>
          <w:p w14:paraId="5685942E">
            <w:pPr>
              <w:pStyle w:val="11"/>
              <w:snapToGrid w:val="0"/>
              <w:spacing w:after="0" w:line="240" w:lineRule="auto"/>
              <w:rPr>
                <w:rFonts w:ascii="仿宋" w:hAnsi="仿宋" w:eastAsia="仿宋"/>
                <w:color w:val="auto"/>
                <w:sz w:val="24"/>
                <w:szCs w:val="24"/>
                <w:highlight w:val="none"/>
              </w:rPr>
            </w:pPr>
          </w:p>
        </w:tc>
      </w:tr>
      <w:tr w14:paraId="3980B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tcPr>
          <w:p w14:paraId="707DEA34">
            <w:pPr>
              <w:pStyle w:val="11"/>
              <w:snapToGrid w:val="0"/>
              <w:spacing w:after="0" w:line="240" w:lineRule="auto"/>
              <w:rPr>
                <w:rFonts w:ascii="仿宋" w:hAnsi="仿宋" w:eastAsia="仿宋"/>
                <w:color w:val="auto"/>
                <w:sz w:val="24"/>
                <w:szCs w:val="24"/>
                <w:highlight w:val="none"/>
              </w:rPr>
            </w:pPr>
          </w:p>
        </w:tc>
        <w:tc>
          <w:tcPr>
            <w:tcW w:w="1270" w:type="dxa"/>
          </w:tcPr>
          <w:p w14:paraId="5D9803B2">
            <w:pPr>
              <w:pStyle w:val="11"/>
              <w:snapToGrid w:val="0"/>
              <w:spacing w:after="0" w:line="240" w:lineRule="auto"/>
              <w:rPr>
                <w:rFonts w:ascii="仿宋" w:hAnsi="仿宋" w:eastAsia="仿宋"/>
                <w:color w:val="auto"/>
                <w:sz w:val="24"/>
                <w:szCs w:val="24"/>
                <w:highlight w:val="none"/>
              </w:rPr>
            </w:pPr>
          </w:p>
        </w:tc>
        <w:tc>
          <w:tcPr>
            <w:tcW w:w="2574" w:type="dxa"/>
          </w:tcPr>
          <w:p w14:paraId="6FCF3BDB">
            <w:pPr>
              <w:pStyle w:val="11"/>
              <w:snapToGrid w:val="0"/>
              <w:spacing w:after="0" w:line="240" w:lineRule="auto"/>
              <w:rPr>
                <w:rFonts w:ascii="仿宋" w:hAnsi="仿宋" w:eastAsia="仿宋"/>
                <w:color w:val="auto"/>
                <w:sz w:val="24"/>
                <w:szCs w:val="24"/>
                <w:highlight w:val="none"/>
              </w:rPr>
            </w:pPr>
          </w:p>
        </w:tc>
        <w:tc>
          <w:tcPr>
            <w:tcW w:w="494" w:type="dxa"/>
          </w:tcPr>
          <w:p w14:paraId="36418A6C">
            <w:pPr>
              <w:pStyle w:val="11"/>
              <w:snapToGrid w:val="0"/>
              <w:spacing w:after="0" w:line="240" w:lineRule="auto"/>
              <w:rPr>
                <w:rFonts w:ascii="仿宋" w:hAnsi="仿宋" w:eastAsia="仿宋"/>
                <w:color w:val="auto"/>
                <w:sz w:val="24"/>
                <w:szCs w:val="24"/>
                <w:highlight w:val="none"/>
              </w:rPr>
            </w:pPr>
          </w:p>
        </w:tc>
        <w:tc>
          <w:tcPr>
            <w:tcW w:w="494" w:type="dxa"/>
          </w:tcPr>
          <w:p w14:paraId="183C2FC7">
            <w:pPr>
              <w:pStyle w:val="11"/>
              <w:snapToGrid w:val="0"/>
              <w:spacing w:after="0" w:line="240" w:lineRule="auto"/>
              <w:rPr>
                <w:rFonts w:ascii="仿宋" w:hAnsi="仿宋" w:eastAsia="仿宋"/>
                <w:color w:val="auto"/>
                <w:sz w:val="24"/>
                <w:szCs w:val="24"/>
                <w:highlight w:val="none"/>
              </w:rPr>
            </w:pPr>
          </w:p>
        </w:tc>
        <w:tc>
          <w:tcPr>
            <w:tcW w:w="856" w:type="dxa"/>
          </w:tcPr>
          <w:p w14:paraId="506A2310">
            <w:pPr>
              <w:pStyle w:val="11"/>
              <w:snapToGrid w:val="0"/>
              <w:spacing w:after="0" w:line="240" w:lineRule="auto"/>
              <w:rPr>
                <w:rFonts w:ascii="仿宋" w:hAnsi="仿宋" w:eastAsia="仿宋"/>
                <w:color w:val="auto"/>
                <w:sz w:val="24"/>
                <w:szCs w:val="24"/>
                <w:highlight w:val="none"/>
              </w:rPr>
            </w:pPr>
          </w:p>
        </w:tc>
        <w:tc>
          <w:tcPr>
            <w:tcW w:w="903" w:type="dxa"/>
          </w:tcPr>
          <w:p w14:paraId="698DDB07">
            <w:pPr>
              <w:pStyle w:val="11"/>
              <w:snapToGrid w:val="0"/>
              <w:spacing w:after="0" w:line="240" w:lineRule="auto"/>
              <w:rPr>
                <w:rFonts w:ascii="仿宋" w:hAnsi="仿宋" w:eastAsia="仿宋"/>
                <w:color w:val="auto"/>
                <w:sz w:val="24"/>
                <w:szCs w:val="24"/>
                <w:highlight w:val="none"/>
              </w:rPr>
            </w:pPr>
          </w:p>
        </w:tc>
        <w:tc>
          <w:tcPr>
            <w:tcW w:w="1232" w:type="dxa"/>
          </w:tcPr>
          <w:p w14:paraId="53C25875">
            <w:pPr>
              <w:pStyle w:val="11"/>
              <w:snapToGrid w:val="0"/>
              <w:spacing w:after="0" w:line="240" w:lineRule="auto"/>
              <w:rPr>
                <w:rFonts w:ascii="仿宋" w:hAnsi="仿宋" w:eastAsia="仿宋"/>
                <w:color w:val="auto"/>
                <w:sz w:val="24"/>
                <w:szCs w:val="24"/>
                <w:highlight w:val="none"/>
              </w:rPr>
            </w:pPr>
          </w:p>
        </w:tc>
      </w:tr>
      <w:tr w14:paraId="46AE9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tcPr>
          <w:p w14:paraId="49CAB49D">
            <w:pPr>
              <w:pStyle w:val="11"/>
              <w:snapToGrid w:val="0"/>
              <w:spacing w:after="0" w:line="240" w:lineRule="auto"/>
              <w:rPr>
                <w:rFonts w:ascii="仿宋" w:hAnsi="仿宋" w:eastAsia="仿宋"/>
                <w:color w:val="auto"/>
                <w:sz w:val="24"/>
                <w:szCs w:val="24"/>
                <w:highlight w:val="none"/>
              </w:rPr>
            </w:pPr>
          </w:p>
        </w:tc>
        <w:tc>
          <w:tcPr>
            <w:tcW w:w="1270" w:type="dxa"/>
          </w:tcPr>
          <w:p w14:paraId="57FF61E7">
            <w:pPr>
              <w:pStyle w:val="11"/>
              <w:snapToGrid w:val="0"/>
              <w:spacing w:after="0" w:line="240" w:lineRule="auto"/>
              <w:rPr>
                <w:rFonts w:ascii="仿宋" w:hAnsi="仿宋" w:eastAsia="仿宋"/>
                <w:color w:val="auto"/>
                <w:sz w:val="24"/>
                <w:szCs w:val="24"/>
                <w:highlight w:val="none"/>
              </w:rPr>
            </w:pPr>
          </w:p>
        </w:tc>
        <w:tc>
          <w:tcPr>
            <w:tcW w:w="2574" w:type="dxa"/>
          </w:tcPr>
          <w:p w14:paraId="1386C74B">
            <w:pPr>
              <w:pStyle w:val="11"/>
              <w:snapToGrid w:val="0"/>
              <w:spacing w:after="0" w:line="240" w:lineRule="auto"/>
              <w:rPr>
                <w:rFonts w:ascii="仿宋" w:hAnsi="仿宋" w:eastAsia="仿宋"/>
                <w:color w:val="auto"/>
                <w:sz w:val="24"/>
                <w:szCs w:val="24"/>
                <w:highlight w:val="none"/>
              </w:rPr>
            </w:pPr>
          </w:p>
        </w:tc>
        <w:tc>
          <w:tcPr>
            <w:tcW w:w="494" w:type="dxa"/>
          </w:tcPr>
          <w:p w14:paraId="1823126E">
            <w:pPr>
              <w:pStyle w:val="11"/>
              <w:snapToGrid w:val="0"/>
              <w:spacing w:after="0" w:line="240" w:lineRule="auto"/>
              <w:rPr>
                <w:rFonts w:ascii="仿宋" w:hAnsi="仿宋" w:eastAsia="仿宋"/>
                <w:color w:val="auto"/>
                <w:sz w:val="24"/>
                <w:szCs w:val="24"/>
                <w:highlight w:val="none"/>
              </w:rPr>
            </w:pPr>
          </w:p>
        </w:tc>
        <w:tc>
          <w:tcPr>
            <w:tcW w:w="494" w:type="dxa"/>
          </w:tcPr>
          <w:p w14:paraId="64A1DACC">
            <w:pPr>
              <w:pStyle w:val="11"/>
              <w:snapToGrid w:val="0"/>
              <w:spacing w:after="0" w:line="240" w:lineRule="auto"/>
              <w:rPr>
                <w:rFonts w:ascii="仿宋" w:hAnsi="仿宋" w:eastAsia="仿宋"/>
                <w:color w:val="auto"/>
                <w:sz w:val="24"/>
                <w:szCs w:val="24"/>
                <w:highlight w:val="none"/>
              </w:rPr>
            </w:pPr>
          </w:p>
        </w:tc>
        <w:tc>
          <w:tcPr>
            <w:tcW w:w="856" w:type="dxa"/>
          </w:tcPr>
          <w:p w14:paraId="420BE460">
            <w:pPr>
              <w:pStyle w:val="11"/>
              <w:snapToGrid w:val="0"/>
              <w:spacing w:after="0" w:line="240" w:lineRule="auto"/>
              <w:rPr>
                <w:rFonts w:ascii="仿宋" w:hAnsi="仿宋" w:eastAsia="仿宋"/>
                <w:color w:val="auto"/>
                <w:sz w:val="24"/>
                <w:szCs w:val="24"/>
                <w:highlight w:val="none"/>
              </w:rPr>
            </w:pPr>
          </w:p>
        </w:tc>
        <w:tc>
          <w:tcPr>
            <w:tcW w:w="903" w:type="dxa"/>
          </w:tcPr>
          <w:p w14:paraId="55CFF9A2">
            <w:pPr>
              <w:pStyle w:val="11"/>
              <w:snapToGrid w:val="0"/>
              <w:spacing w:after="0" w:line="240" w:lineRule="auto"/>
              <w:rPr>
                <w:rFonts w:ascii="仿宋" w:hAnsi="仿宋" w:eastAsia="仿宋"/>
                <w:color w:val="auto"/>
                <w:sz w:val="24"/>
                <w:szCs w:val="24"/>
                <w:highlight w:val="none"/>
              </w:rPr>
            </w:pPr>
          </w:p>
        </w:tc>
        <w:tc>
          <w:tcPr>
            <w:tcW w:w="1232" w:type="dxa"/>
          </w:tcPr>
          <w:p w14:paraId="1B9292AA">
            <w:pPr>
              <w:pStyle w:val="11"/>
              <w:snapToGrid w:val="0"/>
              <w:spacing w:after="0" w:line="240" w:lineRule="auto"/>
              <w:rPr>
                <w:rFonts w:ascii="仿宋" w:hAnsi="仿宋" w:eastAsia="仿宋"/>
                <w:color w:val="auto"/>
                <w:sz w:val="24"/>
                <w:szCs w:val="24"/>
                <w:highlight w:val="none"/>
              </w:rPr>
            </w:pPr>
          </w:p>
        </w:tc>
      </w:tr>
      <w:tr w14:paraId="25234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tcPr>
          <w:p w14:paraId="7A84F673">
            <w:pPr>
              <w:pStyle w:val="11"/>
              <w:snapToGrid w:val="0"/>
              <w:spacing w:after="0" w:line="240" w:lineRule="auto"/>
              <w:rPr>
                <w:rFonts w:ascii="仿宋" w:hAnsi="仿宋" w:eastAsia="仿宋"/>
                <w:color w:val="auto"/>
                <w:sz w:val="24"/>
                <w:szCs w:val="24"/>
                <w:highlight w:val="none"/>
              </w:rPr>
            </w:pPr>
          </w:p>
        </w:tc>
        <w:tc>
          <w:tcPr>
            <w:tcW w:w="1270" w:type="dxa"/>
          </w:tcPr>
          <w:p w14:paraId="14C668C5">
            <w:pPr>
              <w:pStyle w:val="11"/>
              <w:snapToGrid w:val="0"/>
              <w:spacing w:after="0" w:line="240" w:lineRule="auto"/>
              <w:rPr>
                <w:rFonts w:ascii="仿宋" w:hAnsi="仿宋" w:eastAsia="仿宋"/>
                <w:color w:val="auto"/>
                <w:sz w:val="24"/>
                <w:szCs w:val="24"/>
                <w:highlight w:val="none"/>
              </w:rPr>
            </w:pPr>
          </w:p>
        </w:tc>
        <w:tc>
          <w:tcPr>
            <w:tcW w:w="2574" w:type="dxa"/>
          </w:tcPr>
          <w:p w14:paraId="7958D96D">
            <w:pPr>
              <w:pStyle w:val="11"/>
              <w:snapToGrid w:val="0"/>
              <w:spacing w:after="0" w:line="240" w:lineRule="auto"/>
              <w:rPr>
                <w:rFonts w:ascii="仿宋" w:hAnsi="仿宋" w:eastAsia="仿宋"/>
                <w:color w:val="auto"/>
                <w:sz w:val="24"/>
                <w:szCs w:val="24"/>
                <w:highlight w:val="none"/>
              </w:rPr>
            </w:pPr>
          </w:p>
        </w:tc>
        <w:tc>
          <w:tcPr>
            <w:tcW w:w="494" w:type="dxa"/>
          </w:tcPr>
          <w:p w14:paraId="3B4045CD">
            <w:pPr>
              <w:pStyle w:val="11"/>
              <w:snapToGrid w:val="0"/>
              <w:spacing w:after="0" w:line="240" w:lineRule="auto"/>
              <w:rPr>
                <w:rFonts w:ascii="仿宋" w:hAnsi="仿宋" w:eastAsia="仿宋"/>
                <w:color w:val="auto"/>
                <w:sz w:val="24"/>
                <w:szCs w:val="24"/>
                <w:highlight w:val="none"/>
              </w:rPr>
            </w:pPr>
          </w:p>
        </w:tc>
        <w:tc>
          <w:tcPr>
            <w:tcW w:w="494" w:type="dxa"/>
          </w:tcPr>
          <w:p w14:paraId="60B8C83F">
            <w:pPr>
              <w:pStyle w:val="11"/>
              <w:snapToGrid w:val="0"/>
              <w:spacing w:after="0" w:line="240" w:lineRule="auto"/>
              <w:rPr>
                <w:rFonts w:ascii="仿宋" w:hAnsi="仿宋" w:eastAsia="仿宋"/>
                <w:color w:val="auto"/>
                <w:sz w:val="24"/>
                <w:szCs w:val="24"/>
                <w:highlight w:val="none"/>
              </w:rPr>
            </w:pPr>
          </w:p>
        </w:tc>
        <w:tc>
          <w:tcPr>
            <w:tcW w:w="856" w:type="dxa"/>
          </w:tcPr>
          <w:p w14:paraId="527672E3">
            <w:pPr>
              <w:pStyle w:val="11"/>
              <w:snapToGrid w:val="0"/>
              <w:spacing w:after="0" w:line="240" w:lineRule="auto"/>
              <w:rPr>
                <w:rFonts w:ascii="仿宋" w:hAnsi="仿宋" w:eastAsia="仿宋"/>
                <w:color w:val="auto"/>
                <w:sz w:val="24"/>
                <w:szCs w:val="24"/>
                <w:highlight w:val="none"/>
              </w:rPr>
            </w:pPr>
          </w:p>
        </w:tc>
        <w:tc>
          <w:tcPr>
            <w:tcW w:w="903" w:type="dxa"/>
          </w:tcPr>
          <w:p w14:paraId="16F34995">
            <w:pPr>
              <w:pStyle w:val="11"/>
              <w:snapToGrid w:val="0"/>
              <w:spacing w:after="0" w:line="240" w:lineRule="auto"/>
              <w:rPr>
                <w:rFonts w:ascii="仿宋" w:hAnsi="仿宋" w:eastAsia="仿宋"/>
                <w:color w:val="auto"/>
                <w:sz w:val="24"/>
                <w:szCs w:val="24"/>
                <w:highlight w:val="none"/>
              </w:rPr>
            </w:pPr>
          </w:p>
        </w:tc>
        <w:tc>
          <w:tcPr>
            <w:tcW w:w="1232" w:type="dxa"/>
          </w:tcPr>
          <w:p w14:paraId="0C58A555">
            <w:pPr>
              <w:pStyle w:val="11"/>
              <w:snapToGrid w:val="0"/>
              <w:spacing w:after="0" w:line="240" w:lineRule="auto"/>
              <w:rPr>
                <w:rFonts w:ascii="仿宋" w:hAnsi="仿宋" w:eastAsia="仿宋"/>
                <w:color w:val="auto"/>
                <w:sz w:val="24"/>
                <w:szCs w:val="24"/>
                <w:highlight w:val="none"/>
              </w:rPr>
            </w:pPr>
          </w:p>
        </w:tc>
      </w:tr>
      <w:tr w14:paraId="76A24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tcPr>
          <w:p w14:paraId="41082159">
            <w:pPr>
              <w:pStyle w:val="11"/>
              <w:snapToGrid w:val="0"/>
              <w:spacing w:after="0" w:line="240" w:lineRule="auto"/>
              <w:rPr>
                <w:rFonts w:ascii="仿宋" w:hAnsi="仿宋" w:eastAsia="仿宋"/>
                <w:color w:val="auto"/>
                <w:sz w:val="24"/>
                <w:szCs w:val="24"/>
                <w:highlight w:val="none"/>
              </w:rPr>
            </w:pPr>
          </w:p>
        </w:tc>
        <w:tc>
          <w:tcPr>
            <w:tcW w:w="1270" w:type="dxa"/>
          </w:tcPr>
          <w:p w14:paraId="4F5737DE">
            <w:pPr>
              <w:pStyle w:val="11"/>
              <w:snapToGrid w:val="0"/>
              <w:spacing w:after="0" w:line="240" w:lineRule="auto"/>
              <w:rPr>
                <w:rFonts w:ascii="仿宋" w:hAnsi="仿宋" w:eastAsia="仿宋"/>
                <w:color w:val="auto"/>
                <w:sz w:val="24"/>
                <w:szCs w:val="24"/>
                <w:highlight w:val="none"/>
              </w:rPr>
            </w:pPr>
          </w:p>
        </w:tc>
        <w:tc>
          <w:tcPr>
            <w:tcW w:w="2574" w:type="dxa"/>
          </w:tcPr>
          <w:p w14:paraId="0990C13D">
            <w:pPr>
              <w:pStyle w:val="11"/>
              <w:snapToGrid w:val="0"/>
              <w:spacing w:after="0" w:line="240" w:lineRule="auto"/>
              <w:rPr>
                <w:rFonts w:ascii="仿宋" w:hAnsi="仿宋" w:eastAsia="仿宋"/>
                <w:color w:val="auto"/>
                <w:sz w:val="24"/>
                <w:szCs w:val="24"/>
                <w:highlight w:val="none"/>
              </w:rPr>
            </w:pPr>
          </w:p>
        </w:tc>
        <w:tc>
          <w:tcPr>
            <w:tcW w:w="494" w:type="dxa"/>
          </w:tcPr>
          <w:p w14:paraId="14F7C8AA">
            <w:pPr>
              <w:pStyle w:val="11"/>
              <w:snapToGrid w:val="0"/>
              <w:spacing w:after="0" w:line="240" w:lineRule="auto"/>
              <w:rPr>
                <w:rFonts w:ascii="仿宋" w:hAnsi="仿宋" w:eastAsia="仿宋"/>
                <w:color w:val="auto"/>
                <w:sz w:val="24"/>
                <w:szCs w:val="24"/>
                <w:highlight w:val="none"/>
              </w:rPr>
            </w:pPr>
          </w:p>
        </w:tc>
        <w:tc>
          <w:tcPr>
            <w:tcW w:w="494" w:type="dxa"/>
          </w:tcPr>
          <w:p w14:paraId="7AA68F63">
            <w:pPr>
              <w:pStyle w:val="11"/>
              <w:snapToGrid w:val="0"/>
              <w:spacing w:after="0" w:line="240" w:lineRule="auto"/>
              <w:rPr>
                <w:rFonts w:ascii="仿宋" w:hAnsi="仿宋" w:eastAsia="仿宋"/>
                <w:color w:val="auto"/>
                <w:sz w:val="24"/>
                <w:szCs w:val="24"/>
                <w:highlight w:val="none"/>
              </w:rPr>
            </w:pPr>
          </w:p>
        </w:tc>
        <w:tc>
          <w:tcPr>
            <w:tcW w:w="856" w:type="dxa"/>
          </w:tcPr>
          <w:p w14:paraId="5F09520A">
            <w:pPr>
              <w:pStyle w:val="11"/>
              <w:snapToGrid w:val="0"/>
              <w:spacing w:after="0" w:line="240" w:lineRule="auto"/>
              <w:rPr>
                <w:rFonts w:ascii="仿宋" w:hAnsi="仿宋" w:eastAsia="仿宋"/>
                <w:color w:val="auto"/>
                <w:sz w:val="24"/>
                <w:szCs w:val="24"/>
                <w:highlight w:val="none"/>
              </w:rPr>
            </w:pPr>
          </w:p>
        </w:tc>
        <w:tc>
          <w:tcPr>
            <w:tcW w:w="903" w:type="dxa"/>
          </w:tcPr>
          <w:p w14:paraId="5B176D4B">
            <w:pPr>
              <w:pStyle w:val="11"/>
              <w:snapToGrid w:val="0"/>
              <w:spacing w:after="0" w:line="240" w:lineRule="auto"/>
              <w:rPr>
                <w:rFonts w:ascii="仿宋" w:hAnsi="仿宋" w:eastAsia="仿宋"/>
                <w:color w:val="auto"/>
                <w:sz w:val="24"/>
                <w:szCs w:val="24"/>
                <w:highlight w:val="none"/>
              </w:rPr>
            </w:pPr>
          </w:p>
        </w:tc>
        <w:tc>
          <w:tcPr>
            <w:tcW w:w="1232" w:type="dxa"/>
          </w:tcPr>
          <w:p w14:paraId="4E5417A1">
            <w:pPr>
              <w:pStyle w:val="11"/>
              <w:snapToGrid w:val="0"/>
              <w:spacing w:after="0" w:line="240" w:lineRule="auto"/>
              <w:rPr>
                <w:rFonts w:ascii="仿宋" w:hAnsi="仿宋" w:eastAsia="仿宋"/>
                <w:color w:val="auto"/>
                <w:sz w:val="24"/>
                <w:szCs w:val="24"/>
                <w:highlight w:val="none"/>
              </w:rPr>
            </w:pPr>
          </w:p>
        </w:tc>
      </w:tr>
      <w:tr w14:paraId="2CEB1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tcPr>
          <w:p w14:paraId="0E99F4A4">
            <w:pPr>
              <w:pStyle w:val="11"/>
              <w:snapToGrid w:val="0"/>
              <w:spacing w:after="0" w:line="240" w:lineRule="auto"/>
              <w:rPr>
                <w:rFonts w:ascii="仿宋" w:hAnsi="仿宋" w:eastAsia="仿宋"/>
                <w:color w:val="auto"/>
                <w:sz w:val="24"/>
                <w:szCs w:val="24"/>
                <w:highlight w:val="none"/>
              </w:rPr>
            </w:pPr>
          </w:p>
        </w:tc>
        <w:tc>
          <w:tcPr>
            <w:tcW w:w="1270" w:type="dxa"/>
          </w:tcPr>
          <w:p w14:paraId="14C45B50">
            <w:pPr>
              <w:pStyle w:val="11"/>
              <w:snapToGrid w:val="0"/>
              <w:spacing w:after="0" w:line="240" w:lineRule="auto"/>
              <w:rPr>
                <w:rFonts w:ascii="仿宋" w:hAnsi="仿宋" w:eastAsia="仿宋"/>
                <w:color w:val="auto"/>
                <w:sz w:val="24"/>
                <w:szCs w:val="24"/>
                <w:highlight w:val="none"/>
              </w:rPr>
            </w:pPr>
          </w:p>
        </w:tc>
        <w:tc>
          <w:tcPr>
            <w:tcW w:w="4418" w:type="dxa"/>
            <w:gridSpan w:val="4"/>
          </w:tcPr>
          <w:p w14:paraId="3A41D4FE">
            <w:pPr>
              <w:pStyle w:val="11"/>
              <w:snapToGrid w:val="0"/>
              <w:spacing w:after="0" w:line="240" w:lineRule="auto"/>
              <w:rPr>
                <w:rFonts w:ascii="仿宋" w:hAnsi="仿宋" w:eastAsia="仿宋"/>
                <w:color w:val="auto"/>
                <w:sz w:val="24"/>
                <w:szCs w:val="24"/>
                <w:highlight w:val="none"/>
              </w:rPr>
            </w:pPr>
          </w:p>
        </w:tc>
        <w:tc>
          <w:tcPr>
            <w:tcW w:w="903" w:type="dxa"/>
          </w:tcPr>
          <w:p w14:paraId="0FC133AD">
            <w:pPr>
              <w:pStyle w:val="11"/>
              <w:snapToGrid w:val="0"/>
              <w:spacing w:after="0" w:line="240" w:lineRule="auto"/>
              <w:rPr>
                <w:rFonts w:ascii="仿宋" w:hAnsi="仿宋" w:eastAsia="仿宋"/>
                <w:color w:val="auto"/>
                <w:sz w:val="24"/>
                <w:szCs w:val="24"/>
                <w:highlight w:val="none"/>
              </w:rPr>
            </w:pPr>
          </w:p>
        </w:tc>
        <w:tc>
          <w:tcPr>
            <w:tcW w:w="1232" w:type="dxa"/>
          </w:tcPr>
          <w:p w14:paraId="3D040130">
            <w:pPr>
              <w:pStyle w:val="11"/>
              <w:snapToGrid w:val="0"/>
              <w:spacing w:after="0" w:line="240" w:lineRule="auto"/>
              <w:rPr>
                <w:rFonts w:ascii="仿宋" w:hAnsi="仿宋" w:eastAsia="仿宋"/>
                <w:color w:val="auto"/>
                <w:sz w:val="24"/>
                <w:szCs w:val="24"/>
                <w:highlight w:val="none"/>
              </w:rPr>
            </w:pPr>
          </w:p>
        </w:tc>
      </w:tr>
      <w:tr w14:paraId="5E6D6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tcPr>
          <w:p w14:paraId="204B0005">
            <w:pPr>
              <w:pStyle w:val="11"/>
              <w:snapToGrid w:val="0"/>
              <w:spacing w:after="0" w:line="240" w:lineRule="auto"/>
              <w:rPr>
                <w:rFonts w:ascii="仿宋" w:hAnsi="仿宋" w:eastAsia="仿宋"/>
                <w:color w:val="auto"/>
                <w:sz w:val="24"/>
                <w:szCs w:val="24"/>
                <w:highlight w:val="none"/>
              </w:rPr>
            </w:pPr>
          </w:p>
        </w:tc>
        <w:tc>
          <w:tcPr>
            <w:tcW w:w="1270" w:type="dxa"/>
          </w:tcPr>
          <w:p w14:paraId="5D74FAC5">
            <w:pPr>
              <w:pStyle w:val="11"/>
              <w:snapToGrid w:val="0"/>
              <w:spacing w:after="0" w:line="240" w:lineRule="auto"/>
              <w:rPr>
                <w:rFonts w:ascii="仿宋" w:hAnsi="仿宋" w:eastAsia="仿宋"/>
                <w:color w:val="auto"/>
                <w:sz w:val="24"/>
                <w:szCs w:val="24"/>
                <w:highlight w:val="none"/>
              </w:rPr>
            </w:pPr>
          </w:p>
        </w:tc>
        <w:tc>
          <w:tcPr>
            <w:tcW w:w="4418" w:type="dxa"/>
            <w:gridSpan w:val="4"/>
          </w:tcPr>
          <w:p w14:paraId="7B6683F0">
            <w:pPr>
              <w:pStyle w:val="11"/>
              <w:snapToGrid w:val="0"/>
              <w:spacing w:after="0" w:line="240" w:lineRule="auto"/>
              <w:rPr>
                <w:rFonts w:ascii="仿宋" w:hAnsi="仿宋" w:eastAsia="仿宋"/>
                <w:color w:val="auto"/>
                <w:sz w:val="24"/>
                <w:szCs w:val="24"/>
                <w:highlight w:val="none"/>
              </w:rPr>
            </w:pPr>
          </w:p>
        </w:tc>
        <w:tc>
          <w:tcPr>
            <w:tcW w:w="903" w:type="dxa"/>
          </w:tcPr>
          <w:p w14:paraId="33E5E2CC">
            <w:pPr>
              <w:pStyle w:val="11"/>
              <w:snapToGrid w:val="0"/>
              <w:spacing w:after="0" w:line="240" w:lineRule="auto"/>
              <w:rPr>
                <w:rFonts w:ascii="仿宋" w:hAnsi="仿宋" w:eastAsia="仿宋"/>
                <w:color w:val="auto"/>
                <w:sz w:val="24"/>
                <w:szCs w:val="24"/>
                <w:highlight w:val="none"/>
              </w:rPr>
            </w:pPr>
          </w:p>
        </w:tc>
        <w:tc>
          <w:tcPr>
            <w:tcW w:w="1232" w:type="dxa"/>
          </w:tcPr>
          <w:p w14:paraId="29F24F42">
            <w:pPr>
              <w:pStyle w:val="11"/>
              <w:snapToGrid w:val="0"/>
              <w:spacing w:after="0" w:line="240" w:lineRule="auto"/>
              <w:rPr>
                <w:rFonts w:ascii="仿宋" w:hAnsi="仿宋" w:eastAsia="仿宋"/>
                <w:color w:val="auto"/>
                <w:sz w:val="24"/>
                <w:szCs w:val="24"/>
                <w:highlight w:val="none"/>
              </w:rPr>
            </w:pPr>
          </w:p>
        </w:tc>
      </w:tr>
      <w:tr w14:paraId="69CCF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tcPr>
          <w:p w14:paraId="57DE5827">
            <w:pPr>
              <w:pStyle w:val="11"/>
              <w:snapToGrid w:val="0"/>
              <w:spacing w:after="0" w:line="240" w:lineRule="auto"/>
              <w:rPr>
                <w:rFonts w:ascii="仿宋" w:hAnsi="仿宋" w:eastAsia="仿宋"/>
                <w:color w:val="auto"/>
                <w:sz w:val="24"/>
                <w:szCs w:val="24"/>
                <w:highlight w:val="none"/>
              </w:rPr>
            </w:pPr>
          </w:p>
        </w:tc>
        <w:tc>
          <w:tcPr>
            <w:tcW w:w="1270" w:type="dxa"/>
          </w:tcPr>
          <w:p w14:paraId="2056E852">
            <w:pPr>
              <w:pStyle w:val="11"/>
              <w:snapToGrid w:val="0"/>
              <w:spacing w:after="0" w:line="240" w:lineRule="auto"/>
              <w:rPr>
                <w:rFonts w:ascii="仿宋" w:hAnsi="仿宋" w:eastAsia="仿宋"/>
                <w:color w:val="auto"/>
                <w:sz w:val="24"/>
                <w:szCs w:val="24"/>
                <w:highlight w:val="none"/>
              </w:rPr>
            </w:pPr>
          </w:p>
        </w:tc>
        <w:tc>
          <w:tcPr>
            <w:tcW w:w="4418" w:type="dxa"/>
            <w:gridSpan w:val="4"/>
          </w:tcPr>
          <w:p w14:paraId="1320AD36">
            <w:pPr>
              <w:pStyle w:val="11"/>
              <w:snapToGrid w:val="0"/>
              <w:spacing w:after="0" w:line="240" w:lineRule="auto"/>
              <w:rPr>
                <w:rFonts w:ascii="仿宋" w:hAnsi="仿宋" w:eastAsia="仿宋"/>
                <w:color w:val="auto"/>
                <w:sz w:val="24"/>
                <w:szCs w:val="24"/>
                <w:highlight w:val="none"/>
              </w:rPr>
            </w:pPr>
          </w:p>
        </w:tc>
        <w:tc>
          <w:tcPr>
            <w:tcW w:w="903" w:type="dxa"/>
          </w:tcPr>
          <w:p w14:paraId="793FD286">
            <w:pPr>
              <w:pStyle w:val="11"/>
              <w:snapToGrid w:val="0"/>
              <w:spacing w:after="0" w:line="240" w:lineRule="auto"/>
              <w:rPr>
                <w:rFonts w:ascii="仿宋" w:hAnsi="仿宋" w:eastAsia="仿宋"/>
                <w:color w:val="auto"/>
                <w:sz w:val="24"/>
                <w:szCs w:val="24"/>
                <w:highlight w:val="none"/>
              </w:rPr>
            </w:pPr>
          </w:p>
        </w:tc>
        <w:tc>
          <w:tcPr>
            <w:tcW w:w="1232" w:type="dxa"/>
          </w:tcPr>
          <w:p w14:paraId="6F7CF47D">
            <w:pPr>
              <w:pStyle w:val="11"/>
              <w:snapToGrid w:val="0"/>
              <w:spacing w:after="0" w:line="240" w:lineRule="auto"/>
              <w:rPr>
                <w:rFonts w:ascii="仿宋" w:hAnsi="仿宋" w:eastAsia="仿宋"/>
                <w:color w:val="auto"/>
                <w:sz w:val="24"/>
                <w:szCs w:val="24"/>
                <w:highlight w:val="none"/>
              </w:rPr>
            </w:pPr>
          </w:p>
        </w:tc>
      </w:tr>
      <w:tr w14:paraId="1565B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tcPr>
          <w:p w14:paraId="5D08B85D">
            <w:pPr>
              <w:pStyle w:val="11"/>
              <w:snapToGrid w:val="0"/>
              <w:spacing w:after="0" w:line="240" w:lineRule="auto"/>
              <w:rPr>
                <w:rFonts w:ascii="仿宋" w:hAnsi="仿宋" w:eastAsia="仿宋"/>
                <w:color w:val="auto"/>
                <w:sz w:val="24"/>
                <w:szCs w:val="24"/>
                <w:highlight w:val="none"/>
              </w:rPr>
            </w:pPr>
          </w:p>
        </w:tc>
        <w:tc>
          <w:tcPr>
            <w:tcW w:w="1270" w:type="dxa"/>
          </w:tcPr>
          <w:p w14:paraId="15A8D27A">
            <w:pPr>
              <w:pStyle w:val="11"/>
              <w:snapToGrid w:val="0"/>
              <w:spacing w:after="0" w:line="240" w:lineRule="auto"/>
              <w:rPr>
                <w:rFonts w:ascii="仿宋" w:hAnsi="仿宋" w:eastAsia="仿宋"/>
                <w:color w:val="auto"/>
                <w:sz w:val="24"/>
                <w:szCs w:val="24"/>
                <w:highlight w:val="none"/>
              </w:rPr>
            </w:pPr>
          </w:p>
        </w:tc>
        <w:tc>
          <w:tcPr>
            <w:tcW w:w="4418" w:type="dxa"/>
            <w:gridSpan w:val="4"/>
          </w:tcPr>
          <w:p w14:paraId="10B48C78">
            <w:pPr>
              <w:pStyle w:val="11"/>
              <w:snapToGrid w:val="0"/>
              <w:spacing w:after="0" w:line="240" w:lineRule="auto"/>
              <w:rPr>
                <w:rFonts w:ascii="仿宋" w:hAnsi="仿宋" w:eastAsia="仿宋"/>
                <w:color w:val="auto"/>
                <w:sz w:val="24"/>
                <w:szCs w:val="24"/>
                <w:highlight w:val="none"/>
              </w:rPr>
            </w:pPr>
          </w:p>
        </w:tc>
        <w:tc>
          <w:tcPr>
            <w:tcW w:w="903" w:type="dxa"/>
          </w:tcPr>
          <w:p w14:paraId="384F0A56">
            <w:pPr>
              <w:pStyle w:val="11"/>
              <w:snapToGrid w:val="0"/>
              <w:spacing w:after="0" w:line="240" w:lineRule="auto"/>
              <w:rPr>
                <w:rFonts w:ascii="仿宋" w:hAnsi="仿宋" w:eastAsia="仿宋"/>
                <w:color w:val="auto"/>
                <w:sz w:val="24"/>
                <w:szCs w:val="24"/>
                <w:highlight w:val="none"/>
              </w:rPr>
            </w:pPr>
          </w:p>
        </w:tc>
        <w:tc>
          <w:tcPr>
            <w:tcW w:w="1232" w:type="dxa"/>
          </w:tcPr>
          <w:p w14:paraId="0427186A">
            <w:pPr>
              <w:pStyle w:val="11"/>
              <w:snapToGrid w:val="0"/>
              <w:spacing w:after="0" w:line="240" w:lineRule="auto"/>
              <w:rPr>
                <w:rFonts w:ascii="仿宋" w:hAnsi="仿宋" w:eastAsia="仿宋"/>
                <w:color w:val="auto"/>
                <w:sz w:val="24"/>
                <w:szCs w:val="24"/>
                <w:highlight w:val="none"/>
              </w:rPr>
            </w:pPr>
          </w:p>
        </w:tc>
      </w:tr>
      <w:tr w14:paraId="45D0D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tcPr>
          <w:p w14:paraId="57751DFF">
            <w:pPr>
              <w:pStyle w:val="11"/>
              <w:snapToGrid w:val="0"/>
              <w:spacing w:after="0" w:line="240" w:lineRule="auto"/>
              <w:rPr>
                <w:rFonts w:ascii="仿宋" w:hAnsi="仿宋" w:eastAsia="仿宋"/>
                <w:color w:val="auto"/>
                <w:sz w:val="24"/>
                <w:szCs w:val="24"/>
                <w:highlight w:val="none"/>
              </w:rPr>
            </w:pPr>
          </w:p>
        </w:tc>
        <w:tc>
          <w:tcPr>
            <w:tcW w:w="1270" w:type="dxa"/>
          </w:tcPr>
          <w:p w14:paraId="7A04412B">
            <w:pPr>
              <w:pStyle w:val="11"/>
              <w:snapToGrid w:val="0"/>
              <w:spacing w:after="0" w:line="240" w:lineRule="auto"/>
              <w:rPr>
                <w:rFonts w:ascii="仿宋" w:hAnsi="仿宋" w:eastAsia="仿宋"/>
                <w:color w:val="auto"/>
                <w:sz w:val="24"/>
                <w:szCs w:val="24"/>
                <w:highlight w:val="none"/>
              </w:rPr>
            </w:pPr>
          </w:p>
        </w:tc>
        <w:tc>
          <w:tcPr>
            <w:tcW w:w="4418" w:type="dxa"/>
            <w:gridSpan w:val="4"/>
          </w:tcPr>
          <w:p w14:paraId="7E488DE7">
            <w:pPr>
              <w:pStyle w:val="11"/>
              <w:snapToGrid w:val="0"/>
              <w:spacing w:after="0"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其他</w:t>
            </w:r>
          </w:p>
        </w:tc>
        <w:tc>
          <w:tcPr>
            <w:tcW w:w="903" w:type="dxa"/>
          </w:tcPr>
          <w:p w14:paraId="2D805146">
            <w:pPr>
              <w:pStyle w:val="11"/>
              <w:snapToGrid w:val="0"/>
              <w:spacing w:after="0" w:line="240" w:lineRule="auto"/>
              <w:rPr>
                <w:rFonts w:ascii="仿宋" w:hAnsi="仿宋" w:eastAsia="仿宋"/>
                <w:color w:val="auto"/>
                <w:sz w:val="24"/>
                <w:szCs w:val="24"/>
                <w:highlight w:val="none"/>
              </w:rPr>
            </w:pPr>
          </w:p>
        </w:tc>
        <w:tc>
          <w:tcPr>
            <w:tcW w:w="1232" w:type="dxa"/>
          </w:tcPr>
          <w:p w14:paraId="77BFC26E">
            <w:pPr>
              <w:pStyle w:val="11"/>
              <w:snapToGrid w:val="0"/>
              <w:spacing w:after="0" w:line="240" w:lineRule="auto"/>
              <w:rPr>
                <w:rFonts w:ascii="仿宋" w:hAnsi="仿宋" w:eastAsia="仿宋"/>
                <w:color w:val="auto"/>
                <w:sz w:val="24"/>
                <w:szCs w:val="24"/>
                <w:highlight w:val="none"/>
              </w:rPr>
            </w:pPr>
          </w:p>
        </w:tc>
      </w:tr>
      <w:tr w14:paraId="6A2C4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522" w:type="dxa"/>
            <w:gridSpan w:val="8"/>
          </w:tcPr>
          <w:p w14:paraId="713083D4">
            <w:pPr>
              <w:pStyle w:val="11"/>
              <w:snapToGrid w:val="0"/>
              <w:spacing w:after="0"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大写：                                           小写：      元</w:t>
            </w:r>
          </w:p>
        </w:tc>
      </w:tr>
    </w:tbl>
    <w:p w14:paraId="38674A64">
      <w:pPr>
        <w:rPr>
          <w:rFonts w:ascii="仿宋" w:hAnsi="仿宋" w:eastAsia="仿宋"/>
          <w:color w:val="auto"/>
          <w:sz w:val="24"/>
          <w:highlight w:val="none"/>
        </w:rPr>
      </w:pPr>
    </w:p>
    <w:p w14:paraId="659BAFF4">
      <w:pPr>
        <w:rPr>
          <w:rFonts w:ascii="仿宋" w:hAnsi="仿宋" w:eastAsia="仿宋"/>
          <w:b/>
          <w:color w:val="auto"/>
          <w:szCs w:val="21"/>
          <w:highlight w:val="none"/>
        </w:rPr>
      </w:pPr>
      <w:r>
        <w:rPr>
          <w:rFonts w:hint="eastAsia" w:ascii="仿宋" w:hAnsi="仿宋" w:eastAsia="仿宋"/>
          <w:color w:val="auto"/>
          <w:szCs w:val="21"/>
          <w:highlight w:val="none"/>
        </w:rPr>
        <w:t>注：</w:t>
      </w:r>
    </w:p>
    <w:p w14:paraId="1E954098">
      <w:pPr>
        <w:rPr>
          <w:rFonts w:ascii="仿宋" w:hAnsi="仿宋" w:eastAsia="仿宋"/>
          <w:color w:val="auto"/>
          <w:szCs w:val="21"/>
          <w:highlight w:val="none"/>
        </w:rPr>
      </w:pPr>
      <w:r>
        <w:rPr>
          <w:rFonts w:hint="eastAsia" w:ascii="仿宋" w:hAnsi="仿宋" w:eastAsia="仿宋"/>
          <w:color w:val="auto"/>
          <w:szCs w:val="21"/>
          <w:highlight w:val="none"/>
        </w:rPr>
        <w:t>1、此表可以根据需要自行增减行数。</w:t>
      </w:r>
    </w:p>
    <w:p w14:paraId="59B61085">
      <w:pPr>
        <w:rPr>
          <w:rFonts w:ascii="仿宋" w:hAnsi="仿宋" w:eastAsia="仿宋"/>
          <w:color w:val="auto"/>
          <w:szCs w:val="21"/>
          <w:highlight w:val="none"/>
        </w:rPr>
      </w:pPr>
      <w:r>
        <w:rPr>
          <w:rFonts w:hint="eastAsia" w:ascii="仿宋" w:hAnsi="仿宋" w:eastAsia="仿宋"/>
          <w:color w:val="auto"/>
          <w:szCs w:val="21"/>
          <w:highlight w:val="none"/>
        </w:rPr>
        <w:t>2、项目如有分包，请各磋商供应商按投报的分包分别列表。</w:t>
      </w:r>
    </w:p>
    <w:p w14:paraId="1480BC6A">
      <w:pPr>
        <w:spacing w:line="500" w:lineRule="exact"/>
        <w:ind w:left="420" w:leftChars="200"/>
        <w:rPr>
          <w:rFonts w:ascii="仿宋" w:hAnsi="仿宋" w:eastAsia="仿宋" w:cs="Arial"/>
          <w:color w:val="auto"/>
          <w:sz w:val="28"/>
          <w:szCs w:val="28"/>
          <w:highlight w:val="none"/>
        </w:rPr>
      </w:pPr>
      <w:r>
        <w:rPr>
          <w:rFonts w:ascii="仿宋" w:hAnsi="仿宋" w:eastAsia="仿宋"/>
          <w:bCs/>
          <w:color w:val="auto"/>
          <w:sz w:val="28"/>
          <w:szCs w:val="28"/>
          <w:highlight w:val="none"/>
        </w:rPr>
        <w:br w:type="page"/>
      </w:r>
      <w:r>
        <w:rPr>
          <w:rFonts w:hint="eastAsia" w:ascii="仿宋" w:hAnsi="仿宋" w:eastAsia="仿宋"/>
          <w:bCs/>
          <w:color w:val="auto"/>
          <w:sz w:val="28"/>
          <w:szCs w:val="28"/>
          <w:highlight w:val="none"/>
        </w:rPr>
        <w:t>（三）</w:t>
      </w:r>
      <w:r>
        <w:rPr>
          <w:rFonts w:hint="eastAsia" w:ascii="仿宋" w:hAnsi="仿宋" w:eastAsia="仿宋" w:cs="Arial"/>
          <w:color w:val="auto"/>
          <w:sz w:val="28"/>
          <w:szCs w:val="28"/>
          <w:highlight w:val="none"/>
        </w:rPr>
        <w:t>残疾人福利性单位声明函</w:t>
      </w:r>
    </w:p>
    <w:p w14:paraId="73139A68">
      <w:pPr>
        <w:spacing w:line="500" w:lineRule="exact"/>
        <w:ind w:left="420" w:leftChars="200"/>
        <w:rPr>
          <w:rFonts w:ascii="仿宋" w:hAnsi="仿宋" w:eastAsia="仿宋" w:cs="Arial"/>
          <w:color w:val="auto"/>
          <w:sz w:val="28"/>
          <w:szCs w:val="28"/>
          <w:highlight w:val="none"/>
        </w:rPr>
      </w:pPr>
    </w:p>
    <w:p w14:paraId="621A8947">
      <w:pPr>
        <w:jc w:val="center"/>
        <w:rPr>
          <w:rFonts w:ascii="方正小标宋简体" w:eastAsia="方正小标宋简体"/>
          <w:i/>
          <w:color w:val="auto"/>
          <w:sz w:val="36"/>
          <w:szCs w:val="36"/>
          <w:highlight w:val="none"/>
        </w:rPr>
      </w:pPr>
      <w:r>
        <w:rPr>
          <w:rFonts w:hint="eastAsia" w:ascii="方正小标宋简体" w:eastAsia="方正小标宋简体"/>
          <w:color w:val="auto"/>
          <w:sz w:val="36"/>
          <w:szCs w:val="36"/>
          <w:highlight w:val="none"/>
        </w:rPr>
        <w:t>残疾人福利性单位声明函</w:t>
      </w:r>
    </w:p>
    <w:p w14:paraId="18F95024">
      <w:pPr>
        <w:spacing w:line="500" w:lineRule="exact"/>
        <w:ind w:firstLine="560" w:firstLineChars="200"/>
        <w:rPr>
          <w:rFonts w:ascii="仿宋" w:hAnsi="仿宋" w:eastAsia="仿宋"/>
          <w:color w:val="auto"/>
          <w:sz w:val="28"/>
          <w:szCs w:val="28"/>
          <w:highlight w:val="none"/>
        </w:rPr>
      </w:pPr>
    </w:p>
    <w:p w14:paraId="5CB7C382">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color w:val="auto"/>
          <w:sz w:val="28"/>
          <w:szCs w:val="28"/>
          <w:highlight w:val="none"/>
          <w:u w:val="single"/>
        </w:rPr>
        <w:t>南通市如皋生态环境局</w:t>
      </w:r>
      <w:r>
        <w:rPr>
          <w:rFonts w:hint="eastAsia" w:ascii="仿宋" w:hAnsi="仿宋" w:eastAsia="仿宋"/>
          <w:color w:val="auto"/>
          <w:sz w:val="28"/>
          <w:szCs w:val="28"/>
          <w:highlight w:val="none"/>
        </w:rPr>
        <w:t>单位的项目编号为</w:t>
      </w:r>
      <w:r>
        <w:rPr>
          <w:rFonts w:hint="eastAsia" w:ascii="仿宋" w:hAnsi="仿宋" w:eastAsia="仿宋"/>
          <w:color w:val="auto"/>
          <w:sz w:val="28"/>
          <w:szCs w:val="28"/>
          <w:highlight w:val="none"/>
          <w:u w:val="single"/>
          <w:lang w:eastAsia="zh-CN"/>
        </w:rPr>
        <w:t>JSZC-320682-NTZJ-C2026-0006</w:t>
      </w:r>
      <w:r>
        <w:rPr>
          <w:rFonts w:hint="eastAsia" w:ascii="仿宋" w:hAnsi="仿宋" w:eastAsia="仿宋"/>
          <w:color w:val="auto"/>
          <w:sz w:val="28"/>
          <w:szCs w:val="28"/>
          <w:highlight w:val="none"/>
        </w:rPr>
        <w:t>的</w:t>
      </w:r>
      <w:r>
        <w:rPr>
          <w:rFonts w:hint="eastAsia" w:ascii="仿宋" w:hAnsi="仿宋" w:eastAsia="仿宋"/>
          <w:color w:val="auto"/>
          <w:sz w:val="28"/>
          <w:szCs w:val="28"/>
          <w:highlight w:val="none"/>
          <w:u w:val="single"/>
        </w:rPr>
        <w:t>如皋市2026年大气污染精准溯源服务项目</w:t>
      </w:r>
      <w:r>
        <w:rPr>
          <w:rFonts w:hint="eastAsia" w:ascii="仿宋" w:hAnsi="仿宋" w:eastAsia="仿宋"/>
          <w:color w:val="auto"/>
          <w:sz w:val="28"/>
          <w:szCs w:val="28"/>
          <w:highlight w:val="none"/>
        </w:rPr>
        <w:t>采购活动提供本单位制造的货物（由本单位承担工程/提供服务），或者提供其他残疾人福利性单位制造的货物（不包括使用非残疾人福利性单位注册商标的货物）。</w:t>
      </w:r>
    </w:p>
    <w:p w14:paraId="004DF23A">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本单位在本次政府采购活动中提供的残疾人福利单位产品报价合计为人民币（大写）元整（￥：）。</w:t>
      </w:r>
    </w:p>
    <w:p w14:paraId="5C9877DC">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本单位对上述声明的真实性负责。如有虚假，将依法承担相应责任。</w:t>
      </w:r>
    </w:p>
    <w:p w14:paraId="3ADD8711">
      <w:pPr>
        <w:spacing w:line="500" w:lineRule="exact"/>
        <w:ind w:firstLine="560" w:firstLineChars="200"/>
        <w:rPr>
          <w:rFonts w:ascii="仿宋" w:hAnsi="仿宋" w:eastAsia="仿宋"/>
          <w:color w:val="auto"/>
          <w:sz w:val="28"/>
          <w:szCs w:val="28"/>
          <w:highlight w:val="none"/>
        </w:rPr>
      </w:pPr>
    </w:p>
    <w:p w14:paraId="27FED15A">
      <w:pPr>
        <w:tabs>
          <w:tab w:val="left" w:pos="4860"/>
        </w:tabs>
        <w:spacing w:line="500" w:lineRule="exact"/>
        <w:ind w:right="1560" w:firstLine="560" w:firstLineChars="200"/>
        <w:jc w:val="cente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供应商全称（盖章）：</w:t>
      </w:r>
    </w:p>
    <w:p w14:paraId="42EFEB1E">
      <w:pPr>
        <w:tabs>
          <w:tab w:val="left" w:pos="4860"/>
        </w:tabs>
        <w:spacing w:line="500" w:lineRule="exact"/>
        <w:ind w:right="1560" w:firstLine="560" w:firstLineChars="200"/>
        <w:jc w:val="cente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日  期：</w:t>
      </w:r>
    </w:p>
    <w:p w14:paraId="05C1AE73">
      <w:pPr>
        <w:spacing w:line="500" w:lineRule="exact"/>
        <w:ind w:firstLine="560" w:firstLineChars="200"/>
        <w:rPr>
          <w:rFonts w:ascii="仿宋" w:hAnsi="仿宋" w:eastAsia="仿宋"/>
          <w:color w:val="auto"/>
          <w:sz w:val="28"/>
          <w:szCs w:val="28"/>
          <w:highlight w:val="none"/>
        </w:rPr>
      </w:pPr>
    </w:p>
    <w:p w14:paraId="7A0EA176">
      <w:pPr>
        <w:spacing w:line="500" w:lineRule="exact"/>
        <w:ind w:firstLine="560" w:firstLineChars="200"/>
        <w:rPr>
          <w:rFonts w:ascii="仿宋" w:hAnsi="仿宋" w:eastAsia="仿宋"/>
          <w:color w:val="auto"/>
          <w:sz w:val="28"/>
          <w:szCs w:val="28"/>
          <w:highlight w:val="none"/>
        </w:rPr>
      </w:pPr>
    </w:p>
    <w:p w14:paraId="50EE1818">
      <w:pPr>
        <w:spacing w:line="500" w:lineRule="exact"/>
        <w:ind w:firstLine="562" w:firstLineChars="200"/>
        <w:rPr>
          <w:rFonts w:ascii="仿宋" w:hAnsi="仿宋" w:eastAsia="仿宋"/>
          <w:b/>
          <w:color w:val="auto"/>
          <w:sz w:val="28"/>
          <w:szCs w:val="28"/>
          <w:highlight w:val="none"/>
        </w:rPr>
      </w:pPr>
      <w:r>
        <w:rPr>
          <w:rFonts w:hint="eastAsia" w:ascii="仿宋" w:hAnsi="仿宋" w:eastAsia="仿宋"/>
          <w:b/>
          <w:color w:val="auto"/>
          <w:sz w:val="28"/>
          <w:szCs w:val="28"/>
          <w:highlight w:val="none"/>
        </w:rPr>
        <w:t>注意：成交供应商提供的《中小企业声明函》、《残疾人福利性单位声明函》将随成交结果同时公告，接受社会监督。</w:t>
      </w:r>
    </w:p>
    <w:p w14:paraId="12609F0D">
      <w:pPr>
        <w:rPr>
          <w:rFonts w:ascii="仿宋" w:hAnsi="仿宋" w:eastAsia="仿宋"/>
          <w:b/>
          <w:color w:val="auto"/>
          <w:sz w:val="28"/>
          <w:szCs w:val="28"/>
          <w:highlight w:val="none"/>
        </w:rPr>
      </w:pPr>
      <w:r>
        <w:rPr>
          <w:rFonts w:ascii="仿宋" w:hAnsi="仿宋" w:eastAsia="仿宋"/>
          <w:b/>
          <w:color w:val="auto"/>
          <w:sz w:val="28"/>
          <w:szCs w:val="28"/>
          <w:highlight w:val="none"/>
        </w:rPr>
        <w:br w:type="page"/>
      </w:r>
    </w:p>
    <w:p w14:paraId="785CBE4F">
      <w:pPr>
        <w:spacing w:line="500" w:lineRule="exact"/>
        <w:ind w:firstLine="560" w:firstLineChars="200"/>
        <w:rPr>
          <w:rFonts w:ascii="仿宋" w:hAnsi="仿宋" w:eastAsia="仿宋"/>
          <w:bCs/>
          <w:color w:val="auto"/>
          <w:sz w:val="28"/>
          <w:szCs w:val="28"/>
        </w:rPr>
      </w:pPr>
      <w:r>
        <w:rPr>
          <w:rFonts w:hint="eastAsia" w:ascii="仿宋" w:hAnsi="仿宋" w:eastAsia="仿宋"/>
          <w:bCs/>
          <w:color w:val="auto"/>
          <w:sz w:val="28"/>
          <w:szCs w:val="28"/>
        </w:rPr>
        <w:t>（</w:t>
      </w:r>
      <w:r>
        <w:rPr>
          <w:rFonts w:hint="eastAsia" w:ascii="仿宋" w:hAnsi="仿宋" w:eastAsia="仿宋"/>
          <w:bCs/>
          <w:color w:val="auto"/>
          <w:sz w:val="28"/>
          <w:szCs w:val="28"/>
          <w:lang w:val="en-US" w:eastAsia="zh-CN"/>
        </w:rPr>
        <w:t>四</w:t>
      </w:r>
      <w:r>
        <w:rPr>
          <w:rFonts w:hint="eastAsia" w:ascii="仿宋" w:hAnsi="仿宋" w:eastAsia="仿宋"/>
          <w:bCs/>
          <w:color w:val="auto"/>
          <w:sz w:val="28"/>
          <w:szCs w:val="28"/>
        </w:rPr>
        <w:t>）</w:t>
      </w:r>
      <w:r>
        <w:rPr>
          <w:rFonts w:ascii="仿宋" w:hAnsi="仿宋" w:eastAsia="仿宋"/>
          <w:bCs/>
          <w:color w:val="auto"/>
          <w:sz w:val="28"/>
          <w:szCs w:val="28"/>
        </w:rPr>
        <w:t>关于符合本国产品标准的声明函</w:t>
      </w:r>
    </w:p>
    <w:p w14:paraId="2027F602">
      <w:pPr>
        <w:jc w:val="center"/>
        <w:rPr>
          <w:rFonts w:ascii="方正小标宋简体" w:hAnsi="方正小标宋简体" w:eastAsia="方正小标宋简体"/>
          <w:b/>
          <w:color w:val="auto"/>
          <w:sz w:val="44"/>
          <w:szCs w:val="44"/>
        </w:rPr>
      </w:pPr>
      <w:r>
        <w:rPr>
          <w:rStyle w:val="25"/>
          <w:rFonts w:ascii="方正小标宋简体" w:hAnsi="方正小标宋简体" w:eastAsia="方正小标宋简体"/>
          <w:color w:val="auto"/>
          <w:sz w:val="44"/>
          <w:szCs w:val="44"/>
        </w:rPr>
        <w:t>关于符合本国产品标准的声明函</w:t>
      </w:r>
    </w:p>
    <w:p w14:paraId="27EE6FC2">
      <w:pPr>
        <w:spacing w:line="540" w:lineRule="exact"/>
        <w:ind w:firstLine="640" w:firstLineChars="200"/>
        <w:rPr>
          <w:rFonts w:ascii="仿宋" w:hAnsi="仿宋" w:eastAsia="仿宋"/>
          <w:color w:val="auto"/>
          <w:sz w:val="32"/>
          <w:szCs w:val="32"/>
        </w:rPr>
      </w:pPr>
      <w:r>
        <w:rPr>
          <w:rFonts w:hint="eastAsia" w:ascii="仿宋" w:hAnsi="仿宋" w:eastAsia="仿宋"/>
          <w:color w:val="auto"/>
          <w:sz w:val="32"/>
          <w:szCs w:val="32"/>
        </w:rPr>
        <w:t>本公司（单位）郑重声明，根据《国务院办公厅关于在政府采购中实施本国产品标准及相关政策的通知》（国办发〔2025〕34号）的规定，本公司（单位）提供的以下产品属于本国产品。具体情况如下：</w:t>
      </w:r>
    </w:p>
    <w:p w14:paraId="31EF1E95">
      <w:pPr>
        <w:spacing w:line="540" w:lineRule="exact"/>
        <w:ind w:firstLine="640" w:firstLineChars="200"/>
        <w:rPr>
          <w:rFonts w:ascii="仿宋" w:hAnsi="仿宋" w:eastAsia="仿宋"/>
          <w:color w:val="auto"/>
          <w:sz w:val="32"/>
          <w:szCs w:val="32"/>
        </w:rPr>
      </w:pPr>
      <w:r>
        <w:rPr>
          <w:rFonts w:hint="eastAsia" w:ascii="仿宋" w:hAnsi="仿宋" w:eastAsia="仿宋"/>
          <w:color w:val="auto"/>
          <w:sz w:val="32"/>
          <w:szCs w:val="32"/>
        </w:rPr>
        <w:t>1.</w:t>
      </w:r>
      <w:r>
        <w:rPr>
          <w:rStyle w:val="27"/>
          <w:rFonts w:hint="eastAsia" w:ascii="仿宋" w:hAnsi="仿宋" w:eastAsia="仿宋"/>
          <w:color w:val="auto"/>
          <w:sz w:val="32"/>
          <w:szCs w:val="32"/>
        </w:rPr>
        <w:t>（产品名称1）</w:t>
      </w:r>
      <w:r>
        <w:rPr>
          <w:rStyle w:val="27"/>
          <w:rFonts w:hint="eastAsia" w:ascii="仿宋" w:hAnsi="仿宋" w:eastAsia="仿宋"/>
          <w:color w:val="auto"/>
          <w:sz w:val="32"/>
          <w:szCs w:val="32"/>
          <w:vertAlign w:val="superscript"/>
        </w:rPr>
        <w:t>1</w:t>
      </w:r>
      <w:r>
        <w:rPr>
          <w:rFonts w:hint="eastAsia" w:ascii="仿宋" w:hAnsi="仿宋" w:eastAsia="仿宋"/>
          <w:color w:val="auto"/>
          <w:sz w:val="32"/>
          <w:szCs w:val="32"/>
        </w:rPr>
        <w:t>，生产厂为</w:t>
      </w:r>
      <w:r>
        <w:rPr>
          <w:rStyle w:val="27"/>
          <w:rFonts w:hint="eastAsia" w:ascii="仿宋" w:hAnsi="仿宋" w:eastAsia="仿宋"/>
          <w:color w:val="auto"/>
          <w:sz w:val="32"/>
          <w:szCs w:val="32"/>
        </w:rPr>
        <w:t>（厂名）</w:t>
      </w:r>
      <w:r>
        <w:rPr>
          <w:rStyle w:val="27"/>
          <w:rFonts w:hint="eastAsia" w:ascii="仿宋" w:hAnsi="仿宋" w:eastAsia="仿宋"/>
          <w:color w:val="auto"/>
          <w:sz w:val="32"/>
          <w:szCs w:val="32"/>
          <w:vertAlign w:val="superscript"/>
        </w:rPr>
        <w:t>2</w:t>
      </w:r>
      <w:r>
        <w:rPr>
          <w:rFonts w:hint="eastAsia" w:ascii="仿宋" w:hAnsi="仿宋" w:eastAsia="仿宋"/>
          <w:color w:val="auto"/>
          <w:sz w:val="32"/>
          <w:szCs w:val="32"/>
        </w:rPr>
        <w:t>，厂址为</w:t>
      </w:r>
      <w:r>
        <w:rPr>
          <w:rStyle w:val="27"/>
          <w:rFonts w:hint="eastAsia" w:ascii="仿宋" w:hAnsi="仿宋" w:eastAsia="仿宋"/>
          <w:color w:val="auto"/>
          <w:sz w:val="32"/>
          <w:szCs w:val="32"/>
        </w:rPr>
        <w:t>（生产厂址）</w:t>
      </w:r>
      <w:r>
        <w:rPr>
          <w:rFonts w:hint="eastAsia" w:ascii="仿宋" w:hAnsi="仿宋" w:eastAsia="仿宋"/>
          <w:color w:val="auto"/>
          <w:sz w:val="32"/>
          <w:szCs w:val="32"/>
        </w:rPr>
        <w:t>。</w:t>
      </w:r>
      <w:r>
        <w:rPr>
          <w:rStyle w:val="27"/>
          <w:rFonts w:hint="eastAsia" w:ascii="仿宋" w:hAnsi="仿宋" w:eastAsia="仿宋"/>
          <w:color w:val="auto"/>
          <w:sz w:val="32"/>
          <w:szCs w:val="32"/>
        </w:rPr>
        <w:t>（产品名称1）</w:t>
      </w:r>
      <w:r>
        <w:rPr>
          <w:rFonts w:hint="eastAsia" w:ascii="仿宋" w:hAnsi="仿宋" w:eastAsia="仿宋"/>
          <w:color w:val="auto"/>
          <w:sz w:val="32"/>
          <w:szCs w:val="32"/>
        </w:rPr>
        <w:t>的中国境内生产的组件成本占比≥</w:t>
      </w:r>
      <w:r>
        <w:rPr>
          <w:rStyle w:val="27"/>
          <w:rFonts w:hint="eastAsia" w:ascii="仿宋" w:hAnsi="仿宋" w:eastAsia="仿宋"/>
          <w:color w:val="auto"/>
          <w:sz w:val="32"/>
          <w:szCs w:val="32"/>
        </w:rPr>
        <w:t>（规定比例）</w:t>
      </w:r>
      <w:r>
        <w:rPr>
          <w:rStyle w:val="27"/>
          <w:rFonts w:hint="eastAsia" w:ascii="仿宋" w:hAnsi="仿宋" w:eastAsia="仿宋"/>
          <w:color w:val="auto"/>
          <w:sz w:val="32"/>
          <w:szCs w:val="32"/>
          <w:vertAlign w:val="superscript"/>
        </w:rPr>
        <w:t>3</w:t>
      </w:r>
      <w:r>
        <w:rPr>
          <w:rFonts w:hint="eastAsia" w:ascii="仿宋" w:hAnsi="仿宋" w:eastAsia="仿宋"/>
          <w:color w:val="auto"/>
          <w:sz w:val="32"/>
          <w:szCs w:val="32"/>
        </w:rPr>
        <w:t>。</w:t>
      </w:r>
      <w:r>
        <w:rPr>
          <w:rStyle w:val="27"/>
          <w:rFonts w:hint="eastAsia" w:ascii="仿宋" w:hAnsi="仿宋" w:eastAsia="仿宋"/>
          <w:color w:val="auto"/>
          <w:sz w:val="32"/>
          <w:szCs w:val="32"/>
        </w:rPr>
        <w:t>（产品名称1）</w:t>
      </w:r>
      <w:r>
        <w:rPr>
          <w:rFonts w:hint="eastAsia" w:ascii="仿宋" w:hAnsi="仿宋" w:eastAsia="仿宋"/>
          <w:color w:val="auto"/>
          <w:sz w:val="32"/>
          <w:szCs w:val="32"/>
        </w:rPr>
        <w:t>的</w:t>
      </w:r>
      <w:r>
        <w:rPr>
          <w:rStyle w:val="27"/>
          <w:rFonts w:hint="eastAsia" w:ascii="仿宋" w:hAnsi="仿宋" w:eastAsia="仿宋"/>
          <w:color w:val="auto"/>
          <w:sz w:val="32"/>
          <w:szCs w:val="32"/>
        </w:rPr>
        <w:t>（关键组件）</w:t>
      </w:r>
      <w:r>
        <w:rPr>
          <w:rStyle w:val="27"/>
          <w:rFonts w:hint="eastAsia" w:ascii="仿宋" w:hAnsi="仿宋" w:eastAsia="仿宋"/>
          <w:color w:val="auto"/>
          <w:sz w:val="32"/>
          <w:szCs w:val="32"/>
          <w:vertAlign w:val="superscript"/>
        </w:rPr>
        <w:t>4</w:t>
      </w:r>
      <w:r>
        <w:rPr>
          <w:rFonts w:hint="eastAsia" w:ascii="仿宋" w:hAnsi="仿宋" w:eastAsia="仿宋"/>
          <w:color w:val="auto"/>
          <w:sz w:val="32"/>
          <w:szCs w:val="32"/>
        </w:rPr>
        <w:t>在中国境内生产。</w:t>
      </w:r>
      <w:r>
        <w:rPr>
          <w:rStyle w:val="27"/>
          <w:rFonts w:hint="eastAsia" w:ascii="仿宋" w:hAnsi="仿宋" w:eastAsia="仿宋"/>
          <w:color w:val="auto"/>
          <w:sz w:val="32"/>
          <w:szCs w:val="32"/>
        </w:rPr>
        <w:t>（产品名称1）</w:t>
      </w:r>
      <w:r>
        <w:rPr>
          <w:rFonts w:hint="eastAsia" w:ascii="仿宋" w:hAnsi="仿宋" w:eastAsia="仿宋"/>
          <w:color w:val="auto"/>
          <w:sz w:val="32"/>
          <w:szCs w:val="32"/>
        </w:rPr>
        <w:t>的</w:t>
      </w:r>
      <w:r>
        <w:rPr>
          <w:rStyle w:val="27"/>
          <w:rFonts w:hint="eastAsia" w:ascii="仿宋" w:hAnsi="仿宋" w:eastAsia="仿宋"/>
          <w:color w:val="auto"/>
          <w:sz w:val="32"/>
          <w:szCs w:val="32"/>
        </w:rPr>
        <w:t>（关键工序）</w:t>
      </w:r>
      <w:r>
        <w:rPr>
          <w:rStyle w:val="27"/>
          <w:rFonts w:hint="eastAsia" w:ascii="仿宋" w:hAnsi="仿宋" w:eastAsia="仿宋"/>
          <w:color w:val="auto"/>
          <w:sz w:val="32"/>
          <w:szCs w:val="32"/>
          <w:vertAlign w:val="superscript"/>
        </w:rPr>
        <w:t>5</w:t>
      </w:r>
      <w:r>
        <w:rPr>
          <w:rFonts w:hint="eastAsia" w:ascii="仿宋" w:hAnsi="仿宋" w:eastAsia="仿宋"/>
          <w:color w:val="auto"/>
          <w:sz w:val="32"/>
          <w:szCs w:val="32"/>
        </w:rPr>
        <w:t>在中国境内完成。</w:t>
      </w:r>
    </w:p>
    <w:p w14:paraId="38946565">
      <w:pPr>
        <w:spacing w:line="540" w:lineRule="exact"/>
        <w:ind w:firstLine="640" w:firstLineChars="200"/>
        <w:rPr>
          <w:rFonts w:ascii="仿宋" w:hAnsi="仿宋" w:eastAsia="仿宋"/>
          <w:color w:val="auto"/>
          <w:sz w:val="32"/>
          <w:szCs w:val="32"/>
        </w:rPr>
      </w:pPr>
      <w:r>
        <w:rPr>
          <w:rFonts w:hint="eastAsia" w:ascii="仿宋" w:hAnsi="仿宋" w:eastAsia="仿宋"/>
          <w:color w:val="auto"/>
          <w:sz w:val="32"/>
          <w:szCs w:val="32"/>
        </w:rPr>
        <w:t>2.</w:t>
      </w:r>
      <w:r>
        <w:rPr>
          <w:rStyle w:val="27"/>
          <w:rFonts w:hint="eastAsia" w:ascii="仿宋" w:hAnsi="仿宋" w:eastAsia="仿宋"/>
          <w:color w:val="auto"/>
          <w:sz w:val="32"/>
          <w:szCs w:val="32"/>
        </w:rPr>
        <w:t>（产品名称2）</w:t>
      </w:r>
      <w:r>
        <w:rPr>
          <w:rFonts w:hint="eastAsia" w:ascii="仿宋" w:hAnsi="仿宋" w:eastAsia="仿宋"/>
          <w:color w:val="auto"/>
          <w:sz w:val="32"/>
          <w:szCs w:val="32"/>
        </w:rPr>
        <w:t>，生产厂为</w:t>
      </w:r>
      <w:r>
        <w:rPr>
          <w:rStyle w:val="27"/>
          <w:rFonts w:hint="eastAsia" w:ascii="仿宋" w:hAnsi="仿宋" w:eastAsia="仿宋"/>
          <w:color w:val="auto"/>
          <w:sz w:val="32"/>
          <w:szCs w:val="32"/>
        </w:rPr>
        <w:t>（厂名）</w:t>
      </w:r>
      <w:r>
        <w:rPr>
          <w:rFonts w:hint="eastAsia" w:ascii="仿宋" w:hAnsi="仿宋" w:eastAsia="仿宋"/>
          <w:color w:val="auto"/>
          <w:sz w:val="32"/>
          <w:szCs w:val="32"/>
        </w:rPr>
        <w:t>，厂址为</w:t>
      </w:r>
      <w:r>
        <w:rPr>
          <w:rStyle w:val="27"/>
          <w:rFonts w:hint="eastAsia" w:ascii="仿宋" w:hAnsi="仿宋" w:eastAsia="仿宋"/>
          <w:color w:val="auto"/>
          <w:sz w:val="32"/>
          <w:szCs w:val="32"/>
        </w:rPr>
        <w:t>（生产厂址）</w:t>
      </w:r>
      <w:r>
        <w:rPr>
          <w:rFonts w:hint="eastAsia" w:ascii="仿宋" w:hAnsi="仿宋" w:eastAsia="仿宋"/>
          <w:color w:val="auto"/>
          <w:sz w:val="32"/>
          <w:szCs w:val="32"/>
        </w:rPr>
        <w:t>。</w:t>
      </w:r>
      <w:r>
        <w:rPr>
          <w:rStyle w:val="27"/>
          <w:rFonts w:hint="eastAsia" w:ascii="仿宋" w:hAnsi="仿宋" w:eastAsia="仿宋"/>
          <w:color w:val="auto"/>
          <w:sz w:val="32"/>
          <w:szCs w:val="32"/>
        </w:rPr>
        <w:t>（产品名称2）</w:t>
      </w:r>
      <w:r>
        <w:rPr>
          <w:rFonts w:hint="eastAsia" w:ascii="仿宋" w:hAnsi="仿宋" w:eastAsia="仿宋"/>
          <w:color w:val="auto"/>
          <w:sz w:val="32"/>
          <w:szCs w:val="32"/>
        </w:rPr>
        <w:t>的中国境内生产的组件成本占比≥</w:t>
      </w:r>
      <w:r>
        <w:rPr>
          <w:rStyle w:val="27"/>
          <w:rFonts w:hint="eastAsia" w:ascii="仿宋" w:hAnsi="仿宋" w:eastAsia="仿宋"/>
          <w:color w:val="auto"/>
          <w:sz w:val="32"/>
          <w:szCs w:val="32"/>
        </w:rPr>
        <w:t>（规定比例）</w:t>
      </w:r>
      <w:r>
        <w:rPr>
          <w:rFonts w:hint="eastAsia" w:ascii="仿宋" w:hAnsi="仿宋" w:eastAsia="仿宋"/>
          <w:color w:val="auto"/>
          <w:sz w:val="32"/>
          <w:szCs w:val="32"/>
        </w:rPr>
        <w:t>。</w:t>
      </w:r>
      <w:r>
        <w:rPr>
          <w:rStyle w:val="27"/>
          <w:rFonts w:hint="eastAsia" w:ascii="仿宋" w:hAnsi="仿宋" w:eastAsia="仿宋"/>
          <w:color w:val="auto"/>
          <w:sz w:val="32"/>
          <w:szCs w:val="32"/>
        </w:rPr>
        <w:t>（产品名称2）</w:t>
      </w:r>
      <w:r>
        <w:rPr>
          <w:rFonts w:hint="eastAsia" w:ascii="仿宋" w:hAnsi="仿宋" w:eastAsia="仿宋"/>
          <w:color w:val="auto"/>
          <w:sz w:val="32"/>
          <w:szCs w:val="32"/>
        </w:rPr>
        <w:t>的</w:t>
      </w:r>
      <w:r>
        <w:rPr>
          <w:rStyle w:val="27"/>
          <w:rFonts w:hint="eastAsia" w:ascii="仿宋" w:hAnsi="仿宋" w:eastAsia="仿宋"/>
          <w:color w:val="auto"/>
          <w:sz w:val="32"/>
          <w:szCs w:val="32"/>
        </w:rPr>
        <w:t>（关键组件）</w:t>
      </w:r>
      <w:r>
        <w:rPr>
          <w:rFonts w:hint="eastAsia" w:ascii="仿宋" w:hAnsi="仿宋" w:eastAsia="仿宋"/>
          <w:color w:val="auto"/>
          <w:sz w:val="32"/>
          <w:szCs w:val="32"/>
        </w:rPr>
        <w:t>在中国境内生产。</w:t>
      </w:r>
      <w:r>
        <w:rPr>
          <w:rStyle w:val="27"/>
          <w:rFonts w:hint="eastAsia" w:ascii="仿宋" w:hAnsi="仿宋" w:eastAsia="仿宋"/>
          <w:color w:val="auto"/>
          <w:sz w:val="32"/>
          <w:szCs w:val="32"/>
        </w:rPr>
        <w:t>（产品名称2）</w:t>
      </w:r>
      <w:r>
        <w:rPr>
          <w:rFonts w:hint="eastAsia" w:ascii="仿宋" w:hAnsi="仿宋" w:eastAsia="仿宋"/>
          <w:color w:val="auto"/>
          <w:sz w:val="32"/>
          <w:szCs w:val="32"/>
        </w:rPr>
        <w:t>的</w:t>
      </w:r>
      <w:r>
        <w:rPr>
          <w:rStyle w:val="27"/>
          <w:rFonts w:hint="eastAsia" w:ascii="仿宋" w:hAnsi="仿宋" w:eastAsia="仿宋"/>
          <w:color w:val="auto"/>
          <w:sz w:val="32"/>
          <w:szCs w:val="32"/>
        </w:rPr>
        <w:t>（关键工序）</w:t>
      </w:r>
      <w:r>
        <w:rPr>
          <w:rFonts w:hint="eastAsia" w:ascii="仿宋" w:hAnsi="仿宋" w:eastAsia="仿宋"/>
          <w:color w:val="auto"/>
          <w:sz w:val="32"/>
          <w:szCs w:val="32"/>
        </w:rPr>
        <w:t>在中国境内完成。</w:t>
      </w:r>
    </w:p>
    <w:p w14:paraId="591AF8A5">
      <w:pPr>
        <w:spacing w:line="540" w:lineRule="exact"/>
        <w:ind w:firstLine="640" w:firstLineChars="200"/>
        <w:rPr>
          <w:rFonts w:ascii="仿宋" w:hAnsi="仿宋" w:eastAsia="仿宋"/>
          <w:color w:val="auto"/>
          <w:sz w:val="32"/>
          <w:szCs w:val="32"/>
        </w:rPr>
      </w:pPr>
      <w:r>
        <w:rPr>
          <w:rFonts w:hint="eastAsia" w:ascii="仿宋" w:hAnsi="仿宋" w:eastAsia="仿宋"/>
          <w:color w:val="auto"/>
          <w:sz w:val="32"/>
          <w:szCs w:val="32"/>
        </w:rPr>
        <w:t>……</w:t>
      </w:r>
    </w:p>
    <w:p w14:paraId="5E62C3E2">
      <w:pPr>
        <w:spacing w:line="540" w:lineRule="exact"/>
        <w:ind w:firstLine="640" w:firstLineChars="200"/>
        <w:rPr>
          <w:rFonts w:ascii="仿宋" w:hAnsi="仿宋" w:eastAsia="仿宋"/>
          <w:color w:val="auto"/>
          <w:sz w:val="32"/>
          <w:szCs w:val="32"/>
        </w:rPr>
      </w:pPr>
      <w:r>
        <w:rPr>
          <w:rFonts w:hint="eastAsia" w:ascii="仿宋" w:hAnsi="仿宋" w:eastAsia="仿宋"/>
          <w:color w:val="auto"/>
          <w:sz w:val="32"/>
          <w:szCs w:val="32"/>
        </w:rPr>
        <w:t>本公司（单位）对上述声明内容的真实性负责。如有虚假，愿承担相应法律责任。</w:t>
      </w:r>
    </w:p>
    <w:p w14:paraId="669FB743">
      <w:pPr>
        <w:spacing w:line="540" w:lineRule="exact"/>
        <w:ind w:firstLine="640" w:firstLineChars="200"/>
        <w:rPr>
          <w:rFonts w:ascii="仿宋" w:hAnsi="仿宋" w:eastAsia="仿宋"/>
          <w:color w:val="auto"/>
          <w:sz w:val="32"/>
          <w:szCs w:val="32"/>
        </w:rPr>
      </w:pPr>
      <w:r>
        <w:rPr>
          <w:rFonts w:hint="eastAsia" w:ascii="微软雅黑" w:hAnsi="微软雅黑" w:eastAsia="仿宋"/>
          <w:color w:val="auto"/>
          <w:sz w:val="32"/>
          <w:szCs w:val="32"/>
        </w:rPr>
        <w:t> </w:t>
      </w:r>
    </w:p>
    <w:p w14:paraId="21D5FAC5">
      <w:pPr>
        <w:spacing w:line="540" w:lineRule="exact"/>
        <w:ind w:firstLine="640" w:firstLineChars="200"/>
        <w:rPr>
          <w:rFonts w:ascii="仿宋" w:hAnsi="仿宋" w:eastAsia="仿宋"/>
          <w:color w:val="auto"/>
          <w:sz w:val="32"/>
          <w:szCs w:val="32"/>
        </w:rPr>
      </w:pPr>
      <w:r>
        <w:rPr>
          <w:rFonts w:hint="eastAsia" w:ascii="仿宋" w:hAnsi="MS Gothic" w:eastAsia="MS Gothic" w:cs="MS Gothic"/>
          <w:color w:val="auto"/>
          <w:sz w:val="32"/>
          <w:szCs w:val="32"/>
        </w:rPr>
        <w:t>        </w:t>
      </w:r>
      <w:r>
        <w:rPr>
          <w:rFonts w:hint="eastAsia" w:ascii="仿宋" w:hAnsi="仿宋" w:eastAsia="仿宋"/>
          <w:color w:val="auto"/>
          <w:sz w:val="32"/>
          <w:szCs w:val="32"/>
        </w:rPr>
        <w:t>公司（单位）名称（盖章）：　</w:t>
      </w:r>
    </w:p>
    <w:p w14:paraId="3F59550F">
      <w:pPr>
        <w:spacing w:line="540" w:lineRule="exact"/>
        <w:jc w:val="center"/>
        <w:rPr>
          <w:rFonts w:ascii="仿宋" w:hAnsi="仿宋" w:eastAsia="仿宋"/>
          <w:color w:val="auto"/>
          <w:sz w:val="32"/>
          <w:szCs w:val="32"/>
        </w:rPr>
      </w:pPr>
      <w:r>
        <w:rPr>
          <w:rFonts w:hint="eastAsia" w:ascii="仿宋" w:hAnsi="MS Gothic" w:eastAsia="MS Gothic" w:cs="MS Gothic"/>
          <w:color w:val="auto"/>
          <w:sz w:val="32"/>
          <w:szCs w:val="32"/>
        </w:rPr>
        <w:t>       </w:t>
      </w:r>
      <w:r>
        <w:rPr>
          <w:rFonts w:hint="eastAsia" w:ascii="仿宋" w:hAnsi="仿宋" w:eastAsia="仿宋"/>
          <w:color w:val="auto"/>
          <w:sz w:val="32"/>
          <w:szCs w:val="32"/>
        </w:rPr>
        <w:t>日期：　</w:t>
      </w:r>
    </w:p>
    <w:p w14:paraId="22665877">
      <w:pPr>
        <w:snapToGrid w:val="0"/>
        <w:ind w:firstLine="560" w:firstLineChars="200"/>
        <w:rPr>
          <w:rFonts w:ascii="仿宋" w:hAnsi="仿宋" w:eastAsia="仿宋"/>
          <w:color w:val="auto"/>
          <w:sz w:val="28"/>
          <w:szCs w:val="28"/>
        </w:rPr>
      </w:pPr>
      <w:r>
        <w:rPr>
          <w:rFonts w:hint="eastAsia" w:ascii="仿宋" w:hAnsi="仿宋" w:eastAsia="仿宋"/>
          <w:color w:val="auto"/>
          <w:sz w:val="28"/>
          <w:szCs w:val="28"/>
        </w:rPr>
        <w:t>1.产品如有型号，请在“产品名称”栏一并填写。</w:t>
      </w:r>
    </w:p>
    <w:p w14:paraId="4B1049ED">
      <w:pPr>
        <w:snapToGrid w:val="0"/>
        <w:ind w:firstLine="560" w:firstLineChars="200"/>
        <w:rPr>
          <w:rFonts w:ascii="仿宋" w:hAnsi="仿宋" w:eastAsia="仿宋"/>
          <w:color w:val="auto"/>
          <w:sz w:val="28"/>
          <w:szCs w:val="28"/>
        </w:rPr>
      </w:pPr>
      <w:r>
        <w:rPr>
          <w:rFonts w:hint="eastAsia" w:ascii="仿宋" w:hAnsi="仿宋" w:eastAsia="仿宋"/>
          <w:color w:val="auto"/>
          <w:sz w:val="28"/>
          <w:szCs w:val="28"/>
        </w:rPr>
        <w:t>2.生产厂名与厂址应与生产厂营业执照载明的相关信息保持一致。</w:t>
      </w:r>
    </w:p>
    <w:p w14:paraId="5B322569">
      <w:pPr>
        <w:snapToGrid w:val="0"/>
        <w:ind w:firstLine="560" w:firstLineChars="200"/>
        <w:rPr>
          <w:rFonts w:ascii="仿宋" w:hAnsi="仿宋" w:eastAsia="仿宋"/>
          <w:color w:val="auto"/>
          <w:sz w:val="28"/>
          <w:szCs w:val="28"/>
        </w:rPr>
      </w:pPr>
      <w:r>
        <w:rPr>
          <w:rFonts w:hint="eastAsia" w:ascii="仿宋" w:hAnsi="仿宋" w:eastAsia="仿宋"/>
          <w:color w:val="auto"/>
          <w:sz w:val="28"/>
          <w:szCs w:val="28"/>
        </w:rPr>
        <w:t>3.该产品的中国境内生产的组件成本占比相关要求实施前，“规定比例”栏可不填，下同。</w:t>
      </w:r>
    </w:p>
    <w:p w14:paraId="6CB20470">
      <w:pPr>
        <w:snapToGrid w:val="0"/>
        <w:ind w:firstLine="560" w:firstLineChars="200"/>
        <w:rPr>
          <w:rFonts w:ascii="仿宋" w:hAnsi="仿宋" w:eastAsia="仿宋"/>
          <w:color w:val="auto"/>
          <w:sz w:val="28"/>
          <w:szCs w:val="28"/>
        </w:rPr>
      </w:pPr>
      <w:r>
        <w:rPr>
          <w:rFonts w:hint="eastAsia" w:ascii="仿宋" w:hAnsi="仿宋" w:eastAsia="仿宋"/>
          <w:color w:val="auto"/>
          <w:sz w:val="28"/>
          <w:szCs w:val="28"/>
        </w:rPr>
        <w:t>4.该产品的关键组件要求实施前，“关键组件”栏可不填，下同。</w:t>
      </w:r>
    </w:p>
    <w:p w14:paraId="50F12431">
      <w:pPr>
        <w:spacing w:line="50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5.该产品的关键工序要求实施前，“关键工序”栏可不填，下同。</w:t>
      </w:r>
    </w:p>
    <w:p w14:paraId="72F7C4CF">
      <w:pPr>
        <w:pStyle w:val="17"/>
        <w:rPr>
          <w:color w:val="auto"/>
        </w:rPr>
      </w:pPr>
    </w:p>
    <w:sectPr>
      <w:footerReference r:id="rId5" w:type="default"/>
      <w:pgSz w:w="11906" w:h="16838"/>
      <w:pgMar w:top="1418" w:right="1134" w:bottom="1134" w:left="1418"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00A2142E-F3CE-4C2E-B474-B6B97317A596}"/>
  </w:font>
  <w:font w:name="黑体">
    <w:panose1 w:val="02010609060101010101"/>
    <w:charset w:val="86"/>
    <w:family w:val="auto"/>
    <w:pitch w:val="default"/>
    <w:sig w:usb0="800002BF" w:usb1="38CF7CFA" w:usb2="00000016" w:usb3="00000000" w:csb0="00040001" w:csb1="00000000"/>
    <w:embedRegular r:id="rId2" w:fontKey="{2EFCCD27-7C2E-4A48-818B-8FEFCDFBBA29}"/>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EEC0B378-B7E0-42F9-B18B-F98914E530C2}"/>
  </w:font>
  <w:font w:name="仿宋_GB2312">
    <w:panose1 w:val="02010609030101010101"/>
    <w:charset w:val="86"/>
    <w:family w:val="modern"/>
    <w:pitch w:val="default"/>
    <w:sig w:usb0="00000001" w:usb1="080E0000" w:usb2="00000000" w:usb3="00000000" w:csb0="00040000" w:csb1="00000000"/>
    <w:embedRegular r:id="rId4" w:fontKey="{BEEEF6B0-FE02-41D6-A07E-545A7B223F9A}"/>
  </w:font>
  <w:font w:name="Tahoma">
    <w:panose1 w:val="020B0604030504040204"/>
    <w:charset w:val="00"/>
    <w:family w:val="swiss"/>
    <w:pitch w:val="default"/>
    <w:sig w:usb0="E1002EFF" w:usb1="C000605B" w:usb2="00000029" w:usb3="00000000" w:csb0="200101FF" w:csb1="20280000"/>
  </w:font>
  <w:font w:name="方正小标宋简体">
    <w:panose1 w:val="02010600010101010101"/>
    <w:charset w:val="86"/>
    <w:family w:val="script"/>
    <w:pitch w:val="default"/>
    <w:sig w:usb0="00000001" w:usb1="080E0000" w:usb2="00000000" w:usb3="00000000" w:csb0="00040000" w:csb1="00000000"/>
    <w:embedRegular r:id="rId5" w:fontKey="{6A08BCE7-4A3F-4D66-ABC0-DB709F1D8EA5}"/>
  </w:font>
  <w:font w:name="仿宋">
    <w:panose1 w:val="02010609060101010101"/>
    <w:charset w:val="86"/>
    <w:family w:val="modern"/>
    <w:pitch w:val="default"/>
    <w:sig w:usb0="800002BF" w:usb1="38CF7CFA" w:usb2="00000016" w:usb3="00000000" w:csb0="00040001" w:csb1="00000000"/>
    <w:embedRegular r:id="rId6" w:fontKey="{8E4450FA-9CD8-48DE-B881-1B948FA02C17}"/>
  </w:font>
  <w:font w:name="方正仿宋_GBK">
    <w:altName w:val="Arial Unicode MS"/>
    <w:panose1 w:val="00000000000000000000"/>
    <w:charset w:val="86"/>
    <w:family w:val="script"/>
    <w:pitch w:val="default"/>
    <w:sig w:usb0="00000000" w:usb1="00000000" w:usb2="00000010" w:usb3="00000000" w:csb0="00040000" w:csb1="00000000"/>
    <w:embedRegular r:id="rId7" w:fontKey="{66D49EEB-A33A-49EA-9CD2-E11D743ED4C8}"/>
  </w:font>
  <w:font w:name="Arial Unicode MS">
    <w:panose1 w:val="020B0604020202020204"/>
    <w:charset w:val="86"/>
    <w:family w:val="auto"/>
    <w:pitch w:val="default"/>
    <w:sig w:usb0="FFFFFFFF" w:usb1="E9FFFFFF" w:usb2="0000003F" w:usb3="00000000" w:csb0="603F01FF" w:csb1="FFFF0000"/>
  </w:font>
  <w:font w:name="文鼎CS楷体">
    <w:panose1 w:val="02010609010101010101"/>
    <w:charset w:val="86"/>
    <w:family w:val="modern"/>
    <w:pitch w:val="default"/>
    <w:sig w:usb0="00000000" w:usb1="00000000" w:usb2="00000000" w:usb3="00000000" w:csb0="00000000" w:csb1="00000000"/>
    <w:embedRegular r:id="rId8" w:fontKey="{DA97418F-045A-4B54-A0CB-80191059D506}"/>
  </w:font>
  <w:font w:name="等线">
    <w:panose1 w:val="02010600030101010101"/>
    <w:charset w:val="86"/>
    <w:family w:val="auto"/>
    <w:pitch w:val="default"/>
    <w:sig w:usb0="A00002BF" w:usb1="38CF7CFA" w:usb2="00000016" w:usb3="00000000" w:csb0="0004000F" w:csb1="00000000"/>
    <w:embedRegular r:id="rId9" w:fontKey="{C3B47FE8-6014-426C-BFFC-1E2DDF5AFE8F}"/>
  </w:font>
  <w:font w:name="WPSEMBED1">
    <w:panose1 w:val="02010609030101010101"/>
    <w:charset w:val="86"/>
    <w:family w:val="auto"/>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embedRegular r:id="rId10" w:fontKey="{CEB0D6CD-2D50-43A7-9E26-775BF393D7C5}"/>
  </w:font>
  <w:font w:name="MS Gothic">
    <w:panose1 w:val="020B0609070205080204"/>
    <w:charset w:val="80"/>
    <w:family w:val="modern"/>
    <w:pitch w:val="default"/>
    <w:sig w:usb0="E00002FF" w:usb1="6AC7FDFB" w:usb2="08000012" w:usb3="00000000" w:csb0="4002009F" w:csb1="DFD70000"/>
    <w:embedRegular r:id="rId11" w:fontKey="{FEAAE856-10C6-43A8-A1B2-F5488AB574E5}"/>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BF391A">
    <w:pPr>
      <w:pStyle w:val="14"/>
      <w:framePr w:wrap="around" w:vAnchor="text" w:hAnchor="margin" w:xAlign="center" w:y="1"/>
      <w:rPr>
        <w:rStyle w:val="26"/>
      </w:rPr>
    </w:pPr>
    <w:r>
      <w:fldChar w:fldCharType="begin"/>
    </w:r>
    <w:r>
      <w:rPr>
        <w:rStyle w:val="26"/>
      </w:rPr>
      <w:instrText xml:space="preserve">PAGE  </w:instrText>
    </w:r>
    <w:r>
      <w:fldChar w:fldCharType="end"/>
    </w:r>
  </w:p>
  <w:p w14:paraId="26E00F12">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9BA7DF">
    <w:pPr>
      <w:pStyle w:val="14"/>
    </w:pPr>
    <w:r>
      <w:pict>
        <v:shape id="Text Box 1025" o:spid="_x0000_s1026" o:spt="202" type="#_x0000_t202" style="position:absolute;left:0pt;margin-top:0pt;height:10.35pt;width:4.55pt;mso-position-horizontal:center;mso-position-horizontal-relative:margin;mso-wrap-style:none;z-index:251659264;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">
          <v:path/>
          <v:fill on="f" focussize="0,0"/>
          <v:stroke on="f" joinstyle="miter"/>
          <v:imagedata o:title=""/>
          <o:lock v:ext="edit"/>
          <v:textbox inset="0mm,0mm,0mm,0mm" style="mso-fit-shape-to-text:t;">
            <w:txbxContent>
              <w:p w14:paraId="5AEE35CA">
                <w:pPr>
                  <w:pStyle w:val="14"/>
                </w:pPr>
                <w:r>
                  <w:fldChar w:fldCharType="begin"/>
                </w:r>
                <w:r>
                  <w:instrText xml:space="preserve"> PAGE  \* MERGEFORMAT </w:instrText>
                </w:r>
                <w:r>
                  <w:fldChar w:fldCharType="separate"/>
                </w:r>
                <w:r>
                  <w:t>40</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E1B625">
    <w:pPr>
      <w:pStyle w:val="15"/>
    </w:pPr>
    <w:r>
      <w:rPr>
        <w:rFonts w:hint="eastAsia"/>
      </w:rPr>
      <w:t>如</w:t>
    </w:r>
    <w:r>
      <w:t>皋市政府采购</w:t>
    </w:r>
    <w:r>
      <w:rPr>
        <w:rFonts w:hint="eastAsia"/>
      </w:rPr>
      <w:t>竞争性磋商</w:t>
    </w:r>
    <w:r>
      <w:t>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E3581B"/>
    <w:multiLevelType w:val="singleLevel"/>
    <w:tmpl w:val="87E3581B"/>
    <w:lvl w:ilvl="0" w:tentative="0">
      <w:start w:val="1"/>
      <w:numFmt w:val="chineseCounting"/>
      <w:suff w:val="nothing"/>
      <w:lvlText w:val="（%1）"/>
      <w:lvlJc w:val="left"/>
      <w:rPr>
        <w:rFonts w:hint="eastAsia"/>
      </w:rPr>
    </w:lvl>
  </w:abstractNum>
  <w:abstractNum w:abstractNumId="1">
    <w:nsid w:val="A6FBC1AB"/>
    <w:multiLevelType w:val="singleLevel"/>
    <w:tmpl w:val="A6FBC1AB"/>
    <w:lvl w:ilvl="0" w:tentative="0">
      <w:start w:val="1"/>
      <w:numFmt w:val="chineseCounting"/>
      <w:suff w:val="nothing"/>
      <w:lvlText w:val="%1、"/>
      <w:lvlJc w:val="left"/>
      <w:rPr>
        <w:rFonts w:hint="eastAsia"/>
      </w:rPr>
    </w:lvl>
  </w:abstractNum>
  <w:abstractNum w:abstractNumId="2">
    <w:nsid w:val="A90C9F93"/>
    <w:multiLevelType w:val="singleLevel"/>
    <w:tmpl w:val="A90C9F93"/>
    <w:lvl w:ilvl="0" w:tentative="0">
      <w:start w:val="6"/>
      <w:numFmt w:val="chineseCounting"/>
      <w:suff w:val="nothing"/>
      <w:lvlText w:val="（%1）"/>
      <w:lvlJc w:val="left"/>
      <w:rPr>
        <w:rFonts w:hint="eastAsia"/>
      </w:rPr>
    </w:lvl>
  </w:abstractNum>
  <w:abstractNum w:abstractNumId="3">
    <w:nsid w:val="AB422786"/>
    <w:multiLevelType w:val="singleLevel"/>
    <w:tmpl w:val="AB422786"/>
    <w:lvl w:ilvl="0" w:tentative="0">
      <w:start w:val="2"/>
      <w:numFmt w:val="chineseCounting"/>
      <w:suff w:val="nothing"/>
      <w:lvlText w:val="（%1）"/>
      <w:lvlJc w:val="left"/>
      <w:rPr>
        <w:rFonts w:hint="eastAsia"/>
      </w:rPr>
    </w:lvl>
  </w:abstractNum>
  <w:abstractNum w:abstractNumId="4">
    <w:nsid w:val="0E132214"/>
    <w:multiLevelType w:val="singleLevel"/>
    <w:tmpl w:val="0E132214"/>
    <w:lvl w:ilvl="0" w:tentative="0">
      <w:start w:val="1"/>
      <w:numFmt w:val="decimal"/>
      <w:lvlText w:val="%1."/>
      <w:lvlJc w:val="left"/>
      <w:pPr>
        <w:tabs>
          <w:tab w:val="left" w:pos="312"/>
        </w:tabs>
      </w:pPr>
    </w:lvl>
  </w:abstractNum>
  <w:abstractNum w:abstractNumId="5">
    <w:nsid w:val="16A32F38"/>
    <w:multiLevelType w:val="multilevel"/>
    <w:tmpl w:val="16A32F38"/>
    <w:lvl w:ilvl="0" w:tentative="0">
      <w:start w:val="1"/>
      <w:numFmt w:val="japaneseCounting"/>
      <w:lvlText w:val="第%1条"/>
      <w:lvlJc w:val="left"/>
      <w:pPr>
        <w:tabs>
          <w:tab w:val="left" w:pos="720"/>
        </w:tabs>
        <w:ind w:left="720"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
  </w:num>
  <w:num w:numId="2">
    <w:abstractNumId w:val="0"/>
  </w:num>
  <w:num w:numId="3">
    <w:abstractNumId w:val="4"/>
  </w:num>
  <w:num w:numId="4">
    <w:abstractNumId w:val="5"/>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1"/>
  <w:bordersDoNotSurroundFooter w:val="1"/>
  <w:documentProtection w:enforcement="0"/>
  <w:defaultTabStop w:val="420"/>
  <w:drawingGridVerticalSpacing w:val="156"/>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NGE2MTgwYzBkMTkzZDNjOGI1OWU1ZjZjODQwZWE5YWQifQ=="/>
  </w:docVars>
  <w:rsids>
    <w:rsidRoot w:val="00C8358F"/>
    <w:rsid w:val="0000078F"/>
    <w:rsid w:val="00002443"/>
    <w:rsid w:val="00003D0F"/>
    <w:rsid w:val="000056BE"/>
    <w:rsid w:val="00005C63"/>
    <w:rsid w:val="0000649A"/>
    <w:rsid w:val="000079E1"/>
    <w:rsid w:val="00007D0D"/>
    <w:rsid w:val="00010D73"/>
    <w:rsid w:val="00012515"/>
    <w:rsid w:val="000146E4"/>
    <w:rsid w:val="00017872"/>
    <w:rsid w:val="00020F3A"/>
    <w:rsid w:val="00021091"/>
    <w:rsid w:val="000224F2"/>
    <w:rsid w:val="00024B8A"/>
    <w:rsid w:val="00026B11"/>
    <w:rsid w:val="00027BB8"/>
    <w:rsid w:val="000302F1"/>
    <w:rsid w:val="00030326"/>
    <w:rsid w:val="00033AD2"/>
    <w:rsid w:val="00041B40"/>
    <w:rsid w:val="0004355C"/>
    <w:rsid w:val="00043965"/>
    <w:rsid w:val="00043C24"/>
    <w:rsid w:val="00045758"/>
    <w:rsid w:val="0004600C"/>
    <w:rsid w:val="00046680"/>
    <w:rsid w:val="00051A8F"/>
    <w:rsid w:val="000520C4"/>
    <w:rsid w:val="000521AA"/>
    <w:rsid w:val="0005552C"/>
    <w:rsid w:val="00057E57"/>
    <w:rsid w:val="0006367C"/>
    <w:rsid w:val="00064312"/>
    <w:rsid w:val="000649E6"/>
    <w:rsid w:val="00064FB2"/>
    <w:rsid w:val="000650E9"/>
    <w:rsid w:val="00065B58"/>
    <w:rsid w:val="00065E0B"/>
    <w:rsid w:val="0007487C"/>
    <w:rsid w:val="000748D7"/>
    <w:rsid w:val="00076998"/>
    <w:rsid w:val="000770D6"/>
    <w:rsid w:val="00077225"/>
    <w:rsid w:val="0008063C"/>
    <w:rsid w:val="00084764"/>
    <w:rsid w:val="00086F34"/>
    <w:rsid w:val="000871A8"/>
    <w:rsid w:val="00087229"/>
    <w:rsid w:val="000908B9"/>
    <w:rsid w:val="00090C10"/>
    <w:rsid w:val="00095630"/>
    <w:rsid w:val="000957D2"/>
    <w:rsid w:val="000958FB"/>
    <w:rsid w:val="00095E4C"/>
    <w:rsid w:val="000970E2"/>
    <w:rsid w:val="00097375"/>
    <w:rsid w:val="000A04A8"/>
    <w:rsid w:val="000A16E3"/>
    <w:rsid w:val="000A2DB2"/>
    <w:rsid w:val="000A3128"/>
    <w:rsid w:val="000A41F5"/>
    <w:rsid w:val="000A6601"/>
    <w:rsid w:val="000A720D"/>
    <w:rsid w:val="000A7870"/>
    <w:rsid w:val="000B0233"/>
    <w:rsid w:val="000B0986"/>
    <w:rsid w:val="000B0D4C"/>
    <w:rsid w:val="000B135A"/>
    <w:rsid w:val="000B40CC"/>
    <w:rsid w:val="000B46F3"/>
    <w:rsid w:val="000B486C"/>
    <w:rsid w:val="000B49C4"/>
    <w:rsid w:val="000B5023"/>
    <w:rsid w:val="000B60B5"/>
    <w:rsid w:val="000B627B"/>
    <w:rsid w:val="000B65BC"/>
    <w:rsid w:val="000B72C8"/>
    <w:rsid w:val="000B7662"/>
    <w:rsid w:val="000C1489"/>
    <w:rsid w:val="000C4860"/>
    <w:rsid w:val="000C62A7"/>
    <w:rsid w:val="000D1DDB"/>
    <w:rsid w:val="000D6381"/>
    <w:rsid w:val="000E08EF"/>
    <w:rsid w:val="000E10B3"/>
    <w:rsid w:val="000E165A"/>
    <w:rsid w:val="000E55E7"/>
    <w:rsid w:val="000E7622"/>
    <w:rsid w:val="000E7DA3"/>
    <w:rsid w:val="000F450C"/>
    <w:rsid w:val="000F454C"/>
    <w:rsid w:val="000F55AD"/>
    <w:rsid w:val="000F596B"/>
    <w:rsid w:val="000F695B"/>
    <w:rsid w:val="000F6C1F"/>
    <w:rsid w:val="000F6D86"/>
    <w:rsid w:val="000F7FA8"/>
    <w:rsid w:val="001000E4"/>
    <w:rsid w:val="00100830"/>
    <w:rsid w:val="00100E2C"/>
    <w:rsid w:val="0010140C"/>
    <w:rsid w:val="001024EA"/>
    <w:rsid w:val="0010362F"/>
    <w:rsid w:val="00103DBA"/>
    <w:rsid w:val="001041F0"/>
    <w:rsid w:val="00105A76"/>
    <w:rsid w:val="00105AD1"/>
    <w:rsid w:val="001064C9"/>
    <w:rsid w:val="0010677C"/>
    <w:rsid w:val="001100C9"/>
    <w:rsid w:val="00111314"/>
    <w:rsid w:val="0011156F"/>
    <w:rsid w:val="00111721"/>
    <w:rsid w:val="0011345C"/>
    <w:rsid w:val="00113765"/>
    <w:rsid w:val="00113A63"/>
    <w:rsid w:val="00113C7B"/>
    <w:rsid w:val="00114B25"/>
    <w:rsid w:val="00114F40"/>
    <w:rsid w:val="0012441A"/>
    <w:rsid w:val="00126D12"/>
    <w:rsid w:val="00127240"/>
    <w:rsid w:val="00127629"/>
    <w:rsid w:val="00130AF2"/>
    <w:rsid w:val="0013182C"/>
    <w:rsid w:val="001334A5"/>
    <w:rsid w:val="00133659"/>
    <w:rsid w:val="0013368E"/>
    <w:rsid w:val="00133D14"/>
    <w:rsid w:val="001345E5"/>
    <w:rsid w:val="001349F1"/>
    <w:rsid w:val="00140E70"/>
    <w:rsid w:val="001419AB"/>
    <w:rsid w:val="001454DE"/>
    <w:rsid w:val="00145860"/>
    <w:rsid w:val="0015216B"/>
    <w:rsid w:val="0015239E"/>
    <w:rsid w:val="00153255"/>
    <w:rsid w:val="00155DF2"/>
    <w:rsid w:val="00156777"/>
    <w:rsid w:val="00161510"/>
    <w:rsid w:val="00162EED"/>
    <w:rsid w:val="00163BF8"/>
    <w:rsid w:val="001644AF"/>
    <w:rsid w:val="001649F7"/>
    <w:rsid w:val="00165914"/>
    <w:rsid w:val="00167929"/>
    <w:rsid w:val="001705C6"/>
    <w:rsid w:val="001712E4"/>
    <w:rsid w:val="00173721"/>
    <w:rsid w:val="001740E6"/>
    <w:rsid w:val="00174153"/>
    <w:rsid w:val="0017589A"/>
    <w:rsid w:val="00175B69"/>
    <w:rsid w:val="00180865"/>
    <w:rsid w:val="001812CA"/>
    <w:rsid w:val="00181918"/>
    <w:rsid w:val="00184BCE"/>
    <w:rsid w:val="0019026D"/>
    <w:rsid w:val="00191574"/>
    <w:rsid w:val="001917E5"/>
    <w:rsid w:val="001938D6"/>
    <w:rsid w:val="00194D5C"/>
    <w:rsid w:val="00197451"/>
    <w:rsid w:val="001A122F"/>
    <w:rsid w:val="001A149F"/>
    <w:rsid w:val="001A39F9"/>
    <w:rsid w:val="001A4D58"/>
    <w:rsid w:val="001A5BBD"/>
    <w:rsid w:val="001A5E89"/>
    <w:rsid w:val="001A612C"/>
    <w:rsid w:val="001A73A2"/>
    <w:rsid w:val="001A7C78"/>
    <w:rsid w:val="001A7CD0"/>
    <w:rsid w:val="001B00E4"/>
    <w:rsid w:val="001B00EC"/>
    <w:rsid w:val="001B090C"/>
    <w:rsid w:val="001B0AF2"/>
    <w:rsid w:val="001B1841"/>
    <w:rsid w:val="001B4726"/>
    <w:rsid w:val="001B4841"/>
    <w:rsid w:val="001B4D60"/>
    <w:rsid w:val="001B4DEF"/>
    <w:rsid w:val="001B729E"/>
    <w:rsid w:val="001B7537"/>
    <w:rsid w:val="001B7C16"/>
    <w:rsid w:val="001C01F6"/>
    <w:rsid w:val="001C281A"/>
    <w:rsid w:val="001C34B9"/>
    <w:rsid w:val="001C3F69"/>
    <w:rsid w:val="001C48B7"/>
    <w:rsid w:val="001C5507"/>
    <w:rsid w:val="001C5F46"/>
    <w:rsid w:val="001D3753"/>
    <w:rsid w:val="001D42B3"/>
    <w:rsid w:val="001D6A95"/>
    <w:rsid w:val="001D73F3"/>
    <w:rsid w:val="001D7FC6"/>
    <w:rsid w:val="001E2B14"/>
    <w:rsid w:val="001E35A1"/>
    <w:rsid w:val="001E3D35"/>
    <w:rsid w:val="001E4CA5"/>
    <w:rsid w:val="001E6730"/>
    <w:rsid w:val="001E6DB0"/>
    <w:rsid w:val="001F24A9"/>
    <w:rsid w:val="001F2B35"/>
    <w:rsid w:val="001F6197"/>
    <w:rsid w:val="001F672D"/>
    <w:rsid w:val="001F6A0B"/>
    <w:rsid w:val="001F6DC3"/>
    <w:rsid w:val="001F78B2"/>
    <w:rsid w:val="001F7ED8"/>
    <w:rsid w:val="00202637"/>
    <w:rsid w:val="00204FF8"/>
    <w:rsid w:val="00206D9D"/>
    <w:rsid w:val="0020708E"/>
    <w:rsid w:val="00207577"/>
    <w:rsid w:val="002112C5"/>
    <w:rsid w:val="002120E9"/>
    <w:rsid w:val="00213AC8"/>
    <w:rsid w:val="00214D2E"/>
    <w:rsid w:val="00217A36"/>
    <w:rsid w:val="00222308"/>
    <w:rsid w:val="00223FE8"/>
    <w:rsid w:val="002248EF"/>
    <w:rsid w:val="00226BC6"/>
    <w:rsid w:val="00230887"/>
    <w:rsid w:val="0023204A"/>
    <w:rsid w:val="002341A3"/>
    <w:rsid w:val="00234AA1"/>
    <w:rsid w:val="00234FAA"/>
    <w:rsid w:val="00236047"/>
    <w:rsid w:val="002368D0"/>
    <w:rsid w:val="002408FF"/>
    <w:rsid w:val="00241D07"/>
    <w:rsid w:val="00242069"/>
    <w:rsid w:val="00242BDE"/>
    <w:rsid w:val="00244D82"/>
    <w:rsid w:val="00245739"/>
    <w:rsid w:val="00245AD7"/>
    <w:rsid w:val="00247711"/>
    <w:rsid w:val="00250F9F"/>
    <w:rsid w:val="002511D8"/>
    <w:rsid w:val="002512E6"/>
    <w:rsid w:val="00251494"/>
    <w:rsid w:val="002530FB"/>
    <w:rsid w:val="002533FB"/>
    <w:rsid w:val="00255ED0"/>
    <w:rsid w:val="00257822"/>
    <w:rsid w:val="00263E7B"/>
    <w:rsid w:val="00266AA3"/>
    <w:rsid w:val="00267CB5"/>
    <w:rsid w:val="00271AF8"/>
    <w:rsid w:val="002721FF"/>
    <w:rsid w:val="002748FD"/>
    <w:rsid w:val="00276B7A"/>
    <w:rsid w:val="00281501"/>
    <w:rsid w:val="00282304"/>
    <w:rsid w:val="0028486A"/>
    <w:rsid w:val="00285B89"/>
    <w:rsid w:val="00285C06"/>
    <w:rsid w:val="00286DC8"/>
    <w:rsid w:val="00287690"/>
    <w:rsid w:val="002925C0"/>
    <w:rsid w:val="002934C3"/>
    <w:rsid w:val="00296527"/>
    <w:rsid w:val="002967B2"/>
    <w:rsid w:val="002A111D"/>
    <w:rsid w:val="002A2030"/>
    <w:rsid w:val="002A2392"/>
    <w:rsid w:val="002A3079"/>
    <w:rsid w:val="002A33A7"/>
    <w:rsid w:val="002A47A2"/>
    <w:rsid w:val="002A6017"/>
    <w:rsid w:val="002A7835"/>
    <w:rsid w:val="002A7DA5"/>
    <w:rsid w:val="002B0F3D"/>
    <w:rsid w:val="002B137D"/>
    <w:rsid w:val="002B1D62"/>
    <w:rsid w:val="002B2754"/>
    <w:rsid w:val="002B37B5"/>
    <w:rsid w:val="002B3941"/>
    <w:rsid w:val="002B406D"/>
    <w:rsid w:val="002B505E"/>
    <w:rsid w:val="002B5EFD"/>
    <w:rsid w:val="002B6ED5"/>
    <w:rsid w:val="002B7F98"/>
    <w:rsid w:val="002C1210"/>
    <w:rsid w:val="002C1C9F"/>
    <w:rsid w:val="002C327B"/>
    <w:rsid w:val="002C4617"/>
    <w:rsid w:val="002C4CD8"/>
    <w:rsid w:val="002C6149"/>
    <w:rsid w:val="002D0A56"/>
    <w:rsid w:val="002D26DF"/>
    <w:rsid w:val="002D2CEA"/>
    <w:rsid w:val="002D3DD6"/>
    <w:rsid w:val="002E075A"/>
    <w:rsid w:val="002E38B2"/>
    <w:rsid w:val="002E4A16"/>
    <w:rsid w:val="002E5D7C"/>
    <w:rsid w:val="002F2AC6"/>
    <w:rsid w:val="002F3F72"/>
    <w:rsid w:val="003003E4"/>
    <w:rsid w:val="00300644"/>
    <w:rsid w:val="003015DA"/>
    <w:rsid w:val="003029DE"/>
    <w:rsid w:val="00303347"/>
    <w:rsid w:val="0030399E"/>
    <w:rsid w:val="00303BC3"/>
    <w:rsid w:val="003048FD"/>
    <w:rsid w:val="00304B26"/>
    <w:rsid w:val="00305477"/>
    <w:rsid w:val="003068B2"/>
    <w:rsid w:val="00311048"/>
    <w:rsid w:val="00311A60"/>
    <w:rsid w:val="00313F9C"/>
    <w:rsid w:val="003149B4"/>
    <w:rsid w:val="00315EFE"/>
    <w:rsid w:val="0031756A"/>
    <w:rsid w:val="00320F35"/>
    <w:rsid w:val="003210C3"/>
    <w:rsid w:val="003248D7"/>
    <w:rsid w:val="003250B4"/>
    <w:rsid w:val="003255A7"/>
    <w:rsid w:val="00325A77"/>
    <w:rsid w:val="0033131E"/>
    <w:rsid w:val="003318D5"/>
    <w:rsid w:val="00332315"/>
    <w:rsid w:val="003338C9"/>
    <w:rsid w:val="00333B0E"/>
    <w:rsid w:val="003362A6"/>
    <w:rsid w:val="003363D5"/>
    <w:rsid w:val="0033697A"/>
    <w:rsid w:val="00337283"/>
    <w:rsid w:val="00337736"/>
    <w:rsid w:val="00341ADB"/>
    <w:rsid w:val="00343298"/>
    <w:rsid w:val="0034458A"/>
    <w:rsid w:val="003451D0"/>
    <w:rsid w:val="00345375"/>
    <w:rsid w:val="00345CF9"/>
    <w:rsid w:val="00346A29"/>
    <w:rsid w:val="0034773F"/>
    <w:rsid w:val="003516AA"/>
    <w:rsid w:val="00353806"/>
    <w:rsid w:val="00354989"/>
    <w:rsid w:val="00357832"/>
    <w:rsid w:val="003612FE"/>
    <w:rsid w:val="00362041"/>
    <w:rsid w:val="003621BB"/>
    <w:rsid w:val="00362D37"/>
    <w:rsid w:val="00363534"/>
    <w:rsid w:val="003636A7"/>
    <w:rsid w:val="0036607A"/>
    <w:rsid w:val="00366540"/>
    <w:rsid w:val="00366D25"/>
    <w:rsid w:val="003672FB"/>
    <w:rsid w:val="003679FD"/>
    <w:rsid w:val="003710F9"/>
    <w:rsid w:val="00371196"/>
    <w:rsid w:val="00371570"/>
    <w:rsid w:val="003721CA"/>
    <w:rsid w:val="00373BBF"/>
    <w:rsid w:val="00375083"/>
    <w:rsid w:val="00375719"/>
    <w:rsid w:val="00375FDC"/>
    <w:rsid w:val="00382426"/>
    <w:rsid w:val="00385F5D"/>
    <w:rsid w:val="003867BC"/>
    <w:rsid w:val="0039188A"/>
    <w:rsid w:val="00392FB7"/>
    <w:rsid w:val="00394338"/>
    <w:rsid w:val="003944F5"/>
    <w:rsid w:val="00394BF9"/>
    <w:rsid w:val="003A2953"/>
    <w:rsid w:val="003A34C0"/>
    <w:rsid w:val="003A4183"/>
    <w:rsid w:val="003A4FE6"/>
    <w:rsid w:val="003A5E0F"/>
    <w:rsid w:val="003A6468"/>
    <w:rsid w:val="003A6FB7"/>
    <w:rsid w:val="003A71FF"/>
    <w:rsid w:val="003A72D7"/>
    <w:rsid w:val="003B16A7"/>
    <w:rsid w:val="003B5884"/>
    <w:rsid w:val="003B6BFE"/>
    <w:rsid w:val="003B6C5C"/>
    <w:rsid w:val="003C0F69"/>
    <w:rsid w:val="003C1128"/>
    <w:rsid w:val="003C6B90"/>
    <w:rsid w:val="003C75A1"/>
    <w:rsid w:val="003D09FC"/>
    <w:rsid w:val="003D3723"/>
    <w:rsid w:val="003D3A49"/>
    <w:rsid w:val="003D3E54"/>
    <w:rsid w:val="003D4183"/>
    <w:rsid w:val="003D4E38"/>
    <w:rsid w:val="003D68A7"/>
    <w:rsid w:val="003D77F0"/>
    <w:rsid w:val="003E0928"/>
    <w:rsid w:val="003E25B4"/>
    <w:rsid w:val="003E3AFE"/>
    <w:rsid w:val="003E3F16"/>
    <w:rsid w:val="003E41B3"/>
    <w:rsid w:val="003F09BB"/>
    <w:rsid w:val="003F1B7F"/>
    <w:rsid w:val="003F2D2B"/>
    <w:rsid w:val="003F31F1"/>
    <w:rsid w:val="003F40A5"/>
    <w:rsid w:val="003F6497"/>
    <w:rsid w:val="003F6C0D"/>
    <w:rsid w:val="00401FCA"/>
    <w:rsid w:val="004053DD"/>
    <w:rsid w:val="004064FC"/>
    <w:rsid w:val="00410A9D"/>
    <w:rsid w:val="00410B14"/>
    <w:rsid w:val="00410C7F"/>
    <w:rsid w:val="00411081"/>
    <w:rsid w:val="00413350"/>
    <w:rsid w:val="004155F4"/>
    <w:rsid w:val="00415D3C"/>
    <w:rsid w:val="00415EED"/>
    <w:rsid w:val="00416948"/>
    <w:rsid w:val="00417502"/>
    <w:rsid w:val="0042098E"/>
    <w:rsid w:val="00422129"/>
    <w:rsid w:val="00422CC9"/>
    <w:rsid w:val="004232C7"/>
    <w:rsid w:val="00423455"/>
    <w:rsid w:val="004234C5"/>
    <w:rsid w:val="00424021"/>
    <w:rsid w:val="00424A4D"/>
    <w:rsid w:val="00425C81"/>
    <w:rsid w:val="004264E0"/>
    <w:rsid w:val="00427191"/>
    <w:rsid w:val="0043055C"/>
    <w:rsid w:val="00433126"/>
    <w:rsid w:val="00434289"/>
    <w:rsid w:val="004375E0"/>
    <w:rsid w:val="00441291"/>
    <w:rsid w:val="004421E5"/>
    <w:rsid w:val="00442326"/>
    <w:rsid w:val="00442D98"/>
    <w:rsid w:val="004436C8"/>
    <w:rsid w:val="00443B43"/>
    <w:rsid w:val="00445047"/>
    <w:rsid w:val="0044567F"/>
    <w:rsid w:val="0044590C"/>
    <w:rsid w:val="0045043D"/>
    <w:rsid w:val="004505C5"/>
    <w:rsid w:val="00450BF1"/>
    <w:rsid w:val="0045479C"/>
    <w:rsid w:val="004554A4"/>
    <w:rsid w:val="00456385"/>
    <w:rsid w:val="00457182"/>
    <w:rsid w:val="00457587"/>
    <w:rsid w:val="004606EC"/>
    <w:rsid w:val="00460884"/>
    <w:rsid w:val="00466E69"/>
    <w:rsid w:val="0046782D"/>
    <w:rsid w:val="00472FCB"/>
    <w:rsid w:val="0047370E"/>
    <w:rsid w:val="00473D0C"/>
    <w:rsid w:val="00477522"/>
    <w:rsid w:val="00477EB5"/>
    <w:rsid w:val="00480C42"/>
    <w:rsid w:val="00481CFB"/>
    <w:rsid w:val="00482191"/>
    <w:rsid w:val="00486085"/>
    <w:rsid w:val="004870A9"/>
    <w:rsid w:val="004873AA"/>
    <w:rsid w:val="00487FB2"/>
    <w:rsid w:val="00490F01"/>
    <w:rsid w:val="00491832"/>
    <w:rsid w:val="0049217E"/>
    <w:rsid w:val="0049296A"/>
    <w:rsid w:val="00494667"/>
    <w:rsid w:val="004956DA"/>
    <w:rsid w:val="004961F1"/>
    <w:rsid w:val="00496680"/>
    <w:rsid w:val="00497431"/>
    <w:rsid w:val="004979C6"/>
    <w:rsid w:val="004A6D5B"/>
    <w:rsid w:val="004A7FCA"/>
    <w:rsid w:val="004B1B58"/>
    <w:rsid w:val="004B218B"/>
    <w:rsid w:val="004B4C91"/>
    <w:rsid w:val="004B65E1"/>
    <w:rsid w:val="004B6918"/>
    <w:rsid w:val="004B751D"/>
    <w:rsid w:val="004C0B06"/>
    <w:rsid w:val="004C138F"/>
    <w:rsid w:val="004C345A"/>
    <w:rsid w:val="004C3971"/>
    <w:rsid w:val="004C4437"/>
    <w:rsid w:val="004C472C"/>
    <w:rsid w:val="004C7416"/>
    <w:rsid w:val="004C745E"/>
    <w:rsid w:val="004C74DB"/>
    <w:rsid w:val="004D1FE1"/>
    <w:rsid w:val="004D2A30"/>
    <w:rsid w:val="004D4FD7"/>
    <w:rsid w:val="004D5A9E"/>
    <w:rsid w:val="004D6C03"/>
    <w:rsid w:val="004E1D13"/>
    <w:rsid w:val="004E1F1B"/>
    <w:rsid w:val="004E32BA"/>
    <w:rsid w:val="004E36D3"/>
    <w:rsid w:val="004E4141"/>
    <w:rsid w:val="004E576D"/>
    <w:rsid w:val="004E6687"/>
    <w:rsid w:val="004E72B4"/>
    <w:rsid w:val="004F409F"/>
    <w:rsid w:val="004F41EE"/>
    <w:rsid w:val="004F49AF"/>
    <w:rsid w:val="004F5731"/>
    <w:rsid w:val="005002F0"/>
    <w:rsid w:val="005007D1"/>
    <w:rsid w:val="0050098B"/>
    <w:rsid w:val="00502D5F"/>
    <w:rsid w:val="00504C4C"/>
    <w:rsid w:val="0050520F"/>
    <w:rsid w:val="005056F8"/>
    <w:rsid w:val="005069E6"/>
    <w:rsid w:val="0050766C"/>
    <w:rsid w:val="00507772"/>
    <w:rsid w:val="00507EB5"/>
    <w:rsid w:val="005107D4"/>
    <w:rsid w:val="005109F1"/>
    <w:rsid w:val="00511862"/>
    <w:rsid w:val="00513AD1"/>
    <w:rsid w:val="00514197"/>
    <w:rsid w:val="005159D7"/>
    <w:rsid w:val="005206F9"/>
    <w:rsid w:val="00520885"/>
    <w:rsid w:val="005212A8"/>
    <w:rsid w:val="005217C8"/>
    <w:rsid w:val="005249F2"/>
    <w:rsid w:val="005256B1"/>
    <w:rsid w:val="00525910"/>
    <w:rsid w:val="00525D82"/>
    <w:rsid w:val="0052633A"/>
    <w:rsid w:val="00527A3C"/>
    <w:rsid w:val="00527B03"/>
    <w:rsid w:val="00530BB3"/>
    <w:rsid w:val="00531DDD"/>
    <w:rsid w:val="00535858"/>
    <w:rsid w:val="005360D8"/>
    <w:rsid w:val="0053612C"/>
    <w:rsid w:val="005404D6"/>
    <w:rsid w:val="00540533"/>
    <w:rsid w:val="00540FA8"/>
    <w:rsid w:val="005422D5"/>
    <w:rsid w:val="005444CA"/>
    <w:rsid w:val="00544847"/>
    <w:rsid w:val="00552C0D"/>
    <w:rsid w:val="00553A6B"/>
    <w:rsid w:val="00557981"/>
    <w:rsid w:val="00560740"/>
    <w:rsid w:val="00560996"/>
    <w:rsid w:val="00561B47"/>
    <w:rsid w:val="00566563"/>
    <w:rsid w:val="00567203"/>
    <w:rsid w:val="005735C6"/>
    <w:rsid w:val="00573A38"/>
    <w:rsid w:val="00576F6E"/>
    <w:rsid w:val="00577C92"/>
    <w:rsid w:val="005809F8"/>
    <w:rsid w:val="0058140C"/>
    <w:rsid w:val="00582345"/>
    <w:rsid w:val="00583328"/>
    <w:rsid w:val="00585FBE"/>
    <w:rsid w:val="005864C5"/>
    <w:rsid w:val="00586512"/>
    <w:rsid w:val="005910D1"/>
    <w:rsid w:val="005965B5"/>
    <w:rsid w:val="005968E5"/>
    <w:rsid w:val="00597A44"/>
    <w:rsid w:val="005A02A7"/>
    <w:rsid w:val="005A045E"/>
    <w:rsid w:val="005A09F7"/>
    <w:rsid w:val="005A2282"/>
    <w:rsid w:val="005A2C5C"/>
    <w:rsid w:val="005A2D04"/>
    <w:rsid w:val="005A355B"/>
    <w:rsid w:val="005A4A9D"/>
    <w:rsid w:val="005A540E"/>
    <w:rsid w:val="005A5551"/>
    <w:rsid w:val="005A6069"/>
    <w:rsid w:val="005A7F3B"/>
    <w:rsid w:val="005B0A48"/>
    <w:rsid w:val="005B0F9A"/>
    <w:rsid w:val="005B163A"/>
    <w:rsid w:val="005B1CC5"/>
    <w:rsid w:val="005B1E67"/>
    <w:rsid w:val="005B3389"/>
    <w:rsid w:val="005B41B7"/>
    <w:rsid w:val="005B5547"/>
    <w:rsid w:val="005B6501"/>
    <w:rsid w:val="005B6CBD"/>
    <w:rsid w:val="005B6D90"/>
    <w:rsid w:val="005C1A96"/>
    <w:rsid w:val="005C3FA1"/>
    <w:rsid w:val="005C65BF"/>
    <w:rsid w:val="005C6A8F"/>
    <w:rsid w:val="005C6D22"/>
    <w:rsid w:val="005C7390"/>
    <w:rsid w:val="005D0832"/>
    <w:rsid w:val="005D0F8C"/>
    <w:rsid w:val="005D1A07"/>
    <w:rsid w:val="005D1EBA"/>
    <w:rsid w:val="005D2C8D"/>
    <w:rsid w:val="005D6540"/>
    <w:rsid w:val="005D6824"/>
    <w:rsid w:val="005D6E97"/>
    <w:rsid w:val="005E13DE"/>
    <w:rsid w:val="005E1B49"/>
    <w:rsid w:val="005E2A24"/>
    <w:rsid w:val="005E6266"/>
    <w:rsid w:val="005E68DA"/>
    <w:rsid w:val="005E71B2"/>
    <w:rsid w:val="005F125D"/>
    <w:rsid w:val="005F1E92"/>
    <w:rsid w:val="005F2D94"/>
    <w:rsid w:val="005F3CE9"/>
    <w:rsid w:val="005F592C"/>
    <w:rsid w:val="005F6C63"/>
    <w:rsid w:val="00600863"/>
    <w:rsid w:val="00603774"/>
    <w:rsid w:val="006039C3"/>
    <w:rsid w:val="00603CE6"/>
    <w:rsid w:val="00604A0E"/>
    <w:rsid w:val="00604CF7"/>
    <w:rsid w:val="00605CF1"/>
    <w:rsid w:val="0060675F"/>
    <w:rsid w:val="006077E3"/>
    <w:rsid w:val="006163F8"/>
    <w:rsid w:val="006178BE"/>
    <w:rsid w:val="00620CEA"/>
    <w:rsid w:val="00621656"/>
    <w:rsid w:val="00625485"/>
    <w:rsid w:val="00625842"/>
    <w:rsid w:val="00626F31"/>
    <w:rsid w:val="00627425"/>
    <w:rsid w:val="00630AC1"/>
    <w:rsid w:val="00633158"/>
    <w:rsid w:val="00633CDA"/>
    <w:rsid w:val="0063413D"/>
    <w:rsid w:val="006346F4"/>
    <w:rsid w:val="00635B08"/>
    <w:rsid w:val="00635FB6"/>
    <w:rsid w:val="00643BC1"/>
    <w:rsid w:val="0064501F"/>
    <w:rsid w:val="0064785F"/>
    <w:rsid w:val="006521CF"/>
    <w:rsid w:val="00653655"/>
    <w:rsid w:val="0065467A"/>
    <w:rsid w:val="0065479A"/>
    <w:rsid w:val="0065589C"/>
    <w:rsid w:val="00656A41"/>
    <w:rsid w:val="00660011"/>
    <w:rsid w:val="00661251"/>
    <w:rsid w:val="0066144A"/>
    <w:rsid w:val="00661AE6"/>
    <w:rsid w:val="0066267A"/>
    <w:rsid w:val="00663737"/>
    <w:rsid w:val="0066525D"/>
    <w:rsid w:val="006666DB"/>
    <w:rsid w:val="00671049"/>
    <w:rsid w:val="0067146B"/>
    <w:rsid w:val="00673A14"/>
    <w:rsid w:val="00673EEA"/>
    <w:rsid w:val="0067569A"/>
    <w:rsid w:val="006756F7"/>
    <w:rsid w:val="00676B2F"/>
    <w:rsid w:val="00676C31"/>
    <w:rsid w:val="00680007"/>
    <w:rsid w:val="006832CD"/>
    <w:rsid w:val="00685128"/>
    <w:rsid w:val="00685974"/>
    <w:rsid w:val="00687C76"/>
    <w:rsid w:val="00687F65"/>
    <w:rsid w:val="00690669"/>
    <w:rsid w:val="006913E4"/>
    <w:rsid w:val="006929CB"/>
    <w:rsid w:val="00693828"/>
    <w:rsid w:val="00694E56"/>
    <w:rsid w:val="00697286"/>
    <w:rsid w:val="006A0C8C"/>
    <w:rsid w:val="006A113B"/>
    <w:rsid w:val="006A1B4A"/>
    <w:rsid w:val="006A45A2"/>
    <w:rsid w:val="006A479D"/>
    <w:rsid w:val="006A53BC"/>
    <w:rsid w:val="006A5DD7"/>
    <w:rsid w:val="006A723F"/>
    <w:rsid w:val="006A72EA"/>
    <w:rsid w:val="006A7341"/>
    <w:rsid w:val="006B0FA5"/>
    <w:rsid w:val="006B1982"/>
    <w:rsid w:val="006B57D6"/>
    <w:rsid w:val="006B5F62"/>
    <w:rsid w:val="006C4A19"/>
    <w:rsid w:val="006C7682"/>
    <w:rsid w:val="006C76C3"/>
    <w:rsid w:val="006D1F24"/>
    <w:rsid w:val="006D2D87"/>
    <w:rsid w:val="006D3B83"/>
    <w:rsid w:val="006D6FED"/>
    <w:rsid w:val="006E37C2"/>
    <w:rsid w:val="006E41D2"/>
    <w:rsid w:val="006E46D7"/>
    <w:rsid w:val="006E4AC8"/>
    <w:rsid w:val="006E710B"/>
    <w:rsid w:val="006F1F3A"/>
    <w:rsid w:val="006F206F"/>
    <w:rsid w:val="006F20EA"/>
    <w:rsid w:val="006F4B62"/>
    <w:rsid w:val="006F53FC"/>
    <w:rsid w:val="006F7C71"/>
    <w:rsid w:val="0070025C"/>
    <w:rsid w:val="00701A5B"/>
    <w:rsid w:val="007022A3"/>
    <w:rsid w:val="00703646"/>
    <w:rsid w:val="007039B8"/>
    <w:rsid w:val="00704166"/>
    <w:rsid w:val="00704458"/>
    <w:rsid w:val="00706D61"/>
    <w:rsid w:val="00706DDD"/>
    <w:rsid w:val="00707147"/>
    <w:rsid w:val="00707764"/>
    <w:rsid w:val="00710B1A"/>
    <w:rsid w:val="00711996"/>
    <w:rsid w:val="00714A08"/>
    <w:rsid w:val="00715048"/>
    <w:rsid w:val="007156B9"/>
    <w:rsid w:val="007160C2"/>
    <w:rsid w:val="007164C0"/>
    <w:rsid w:val="007176F5"/>
    <w:rsid w:val="00722672"/>
    <w:rsid w:val="00722C39"/>
    <w:rsid w:val="00723763"/>
    <w:rsid w:val="00723B8D"/>
    <w:rsid w:val="007254CE"/>
    <w:rsid w:val="00726F91"/>
    <w:rsid w:val="00730296"/>
    <w:rsid w:val="00731C2D"/>
    <w:rsid w:val="00732B81"/>
    <w:rsid w:val="007406E3"/>
    <w:rsid w:val="00740ECE"/>
    <w:rsid w:val="00740EDE"/>
    <w:rsid w:val="00741CAC"/>
    <w:rsid w:val="007460E4"/>
    <w:rsid w:val="007469CD"/>
    <w:rsid w:val="00747873"/>
    <w:rsid w:val="00747F59"/>
    <w:rsid w:val="0075175B"/>
    <w:rsid w:val="00753CB1"/>
    <w:rsid w:val="0075569A"/>
    <w:rsid w:val="00756D14"/>
    <w:rsid w:val="007570C7"/>
    <w:rsid w:val="00761BCB"/>
    <w:rsid w:val="00762E34"/>
    <w:rsid w:val="007631D4"/>
    <w:rsid w:val="00763833"/>
    <w:rsid w:val="00763DC7"/>
    <w:rsid w:val="007656BB"/>
    <w:rsid w:val="00767ECE"/>
    <w:rsid w:val="007709E6"/>
    <w:rsid w:val="00770A02"/>
    <w:rsid w:val="00771932"/>
    <w:rsid w:val="00771935"/>
    <w:rsid w:val="00772EF3"/>
    <w:rsid w:val="00775011"/>
    <w:rsid w:val="00775DD8"/>
    <w:rsid w:val="00776BD2"/>
    <w:rsid w:val="007771B5"/>
    <w:rsid w:val="00780386"/>
    <w:rsid w:val="00780DFE"/>
    <w:rsid w:val="00780FA3"/>
    <w:rsid w:val="00783DCC"/>
    <w:rsid w:val="0078495D"/>
    <w:rsid w:val="007855C1"/>
    <w:rsid w:val="00786944"/>
    <w:rsid w:val="00787316"/>
    <w:rsid w:val="007900CC"/>
    <w:rsid w:val="00791FD3"/>
    <w:rsid w:val="00792375"/>
    <w:rsid w:val="0079314E"/>
    <w:rsid w:val="00793F9D"/>
    <w:rsid w:val="007948B7"/>
    <w:rsid w:val="00794CCA"/>
    <w:rsid w:val="007951E0"/>
    <w:rsid w:val="007959FE"/>
    <w:rsid w:val="00795A70"/>
    <w:rsid w:val="00797A10"/>
    <w:rsid w:val="00797FFD"/>
    <w:rsid w:val="007A13FA"/>
    <w:rsid w:val="007A1934"/>
    <w:rsid w:val="007A1EE3"/>
    <w:rsid w:val="007A1F3D"/>
    <w:rsid w:val="007A2116"/>
    <w:rsid w:val="007A2DA5"/>
    <w:rsid w:val="007A45E4"/>
    <w:rsid w:val="007A45E6"/>
    <w:rsid w:val="007A4C07"/>
    <w:rsid w:val="007A4D7A"/>
    <w:rsid w:val="007A69D3"/>
    <w:rsid w:val="007B2A53"/>
    <w:rsid w:val="007B34A8"/>
    <w:rsid w:val="007B37F0"/>
    <w:rsid w:val="007B677B"/>
    <w:rsid w:val="007B6986"/>
    <w:rsid w:val="007B6EF9"/>
    <w:rsid w:val="007B752A"/>
    <w:rsid w:val="007C0372"/>
    <w:rsid w:val="007C07F4"/>
    <w:rsid w:val="007C0C96"/>
    <w:rsid w:val="007C2F32"/>
    <w:rsid w:val="007C3699"/>
    <w:rsid w:val="007C4867"/>
    <w:rsid w:val="007C6046"/>
    <w:rsid w:val="007C75A3"/>
    <w:rsid w:val="007C7E20"/>
    <w:rsid w:val="007D188B"/>
    <w:rsid w:val="007D1DD6"/>
    <w:rsid w:val="007D5271"/>
    <w:rsid w:val="007D6C62"/>
    <w:rsid w:val="007D7955"/>
    <w:rsid w:val="007D7B0E"/>
    <w:rsid w:val="007E00FB"/>
    <w:rsid w:val="007E0298"/>
    <w:rsid w:val="007E0C9D"/>
    <w:rsid w:val="007E17B8"/>
    <w:rsid w:val="007E5C67"/>
    <w:rsid w:val="007E7C48"/>
    <w:rsid w:val="007F1CAC"/>
    <w:rsid w:val="007F58EE"/>
    <w:rsid w:val="0080047A"/>
    <w:rsid w:val="00800CD2"/>
    <w:rsid w:val="00802BA3"/>
    <w:rsid w:val="0080356D"/>
    <w:rsid w:val="0080503F"/>
    <w:rsid w:val="0080691D"/>
    <w:rsid w:val="00812A1D"/>
    <w:rsid w:val="00812CC4"/>
    <w:rsid w:val="00816468"/>
    <w:rsid w:val="00817133"/>
    <w:rsid w:val="00817D75"/>
    <w:rsid w:val="00821719"/>
    <w:rsid w:val="00823949"/>
    <w:rsid w:val="00824032"/>
    <w:rsid w:val="00824118"/>
    <w:rsid w:val="008249E6"/>
    <w:rsid w:val="008251A4"/>
    <w:rsid w:val="00827ABF"/>
    <w:rsid w:val="00827EA9"/>
    <w:rsid w:val="008309EE"/>
    <w:rsid w:val="00831582"/>
    <w:rsid w:val="00832567"/>
    <w:rsid w:val="00833345"/>
    <w:rsid w:val="008341A3"/>
    <w:rsid w:val="00834D6B"/>
    <w:rsid w:val="008357BF"/>
    <w:rsid w:val="00835F07"/>
    <w:rsid w:val="008365F8"/>
    <w:rsid w:val="008372B9"/>
    <w:rsid w:val="008379AC"/>
    <w:rsid w:val="00840519"/>
    <w:rsid w:val="008448AB"/>
    <w:rsid w:val="00850303"/>
    <w:rsid w:val="00850598"/>
    <w:rsid w:val="00850CBC"/>
    <w:rsid w:val="00851471"/>
    <w:rsid w:val="00852821"/>
    <w:rsid w:val="008549DA"/>
    <w:rsid w:val="00861757"/>
    <w:rsid w:val="0086357C"/>
    <w:rsid w:val="008665D1"/>
    <w:rsid w:val="00866983"/>
    <w:rsid w:val="0086740E"/>
    <w:rsid w:val="008737C2"/>
    <w:rsid w:val="00875772"/>
    <w:rsid w:val="00875C44"/>
    <w:rsid w:val="00881208"/>
    <w:rsid w:val="008904BF"/>
    <w:rsid w:val="00891938"/>
    <w:rsid w:val="008924DD"/>
    <w:rsid w:val="00893255"/>
    <w:rsid w:val="00895143"/>
    <w:rsid w:val="00895A7F"/>
    <w:rsid w:val="00896855"/>
    <w:rsid w:val="00896EE9"/>
    <w:rsid w:val="0089716A"/>
    <w:rsid w:val="008973D6"/>
    <w:rsid w:val="008A061A"/>
    <w:rsid w:val="008A19AA"/>
    <w:rsid w:val="008A3EB6"/>
    <w:rsid w:val="008A4F6B"/>
    <w:rsid w:val="008A618A"/>
    <w:rsid w:val="008A6457"/>
    <w:rsid w:val="008A71EA"/>
    <w:rsid w:val="008B1DDB"/>
    <w:rsid w:val="008B1FBF"/>
    <w:rsid w:val="008B324A"/>
    <w:rsid w:val="008B324B"/>
    <w:rsid w:val="008B3B46"/>
    <w:rsid w:val="008B59CA"/>
    <w:rsid w:val="008B6FBE"/>
    <w:rsid w:val="008B71C8"/>
    <w:rsid w:val="008C0A7A"/>
    <w:rsid w:val="008C3461"/>
    <w:rsid w:val="008C36BA"/>
    <w:rsid w:val="008C5E05"/>
    <w:rsid w:val="008C692D"/>
    <w:rsid w:val="008C7ED9"/>
    <w:rsid w:val="008D113F"/>
    <w:rsid w:val="008D271C"/>
    <w:rsid w:val="008D53DB"/>
    <w:rsid w:val="008D6341"/>
    <w:rsid w:val="008E0A4D"/>
    <w:rsid w:val="008E0B39"/>
    <w:rsid w:val="008E0F68"/>
    <w:rsid w:val="008E1128"/>
    <w:rsid w:val="008E112A"/>
    <w:rsid w:val="008E1141"/>
    <w:rsid w:val="008E1C48"/>
    <w:rsid w:val="008E1FFD"/>
    <w:rsid w:val="008E2B52"/>
    <w:rsid w:val="008E3B6F"/>
    <w:rsid w:val="008E48B7"/>
    <w:rsid w:val="008E7589"/>
    <w:rsid w:val="008F0817"/>
    <w:rsid w:val="008F09C4"/>
    <w:rsid w:val="008F1254"/>
    <w:rsid w:val="008F2017"/>
    <w:rsid w:val="008F2050"/>
    <w:rsid w:val="008F31B4"/>
    <w:rsid w:val="008F714E"/>
    <w:rsid w:val="008F7878"/>
    <w:rsid w:val="009007BC"/>
    <w:rsid w:val="00901445"/>
    <w:rsid w:val="00905121"/>
    <w:rsid w:val="0090558B"/>
    <w:rsid w:val="00905892"/>
    <w:rsid w:val="009068CA"/>
    <w:rsid w:val="00907CFD"/>
    <w:rsid w:val="00910187"/>
    <w:rsid w:val="00910297"/>
    <w:rsid w:val="00913A8F"/>
    <w:rsid w:val="00914137"/>
    <w:rsid w:val="00916B02"/>
    <w:rsid w:val="0092092A"/>
    <w:rsid w:val="00923006"/>
    <w:rsid w:val="009243D3"/>
    <w:rsid w:val="00924B70"/>
    <w:rsid w:val="00925174"/>
    <w:rsid w:val="00926C5D"/>
    <w:rsid w:val="00927691"/>
    <w:rsid w:val="009305A1"/>
    <w:rsid w:val="00930BC2"/>
    <w:rsid w:val="00931436"/>
    <w:rsid w:val="00931605"/>
    <w:rsid w:val="009321A8"/>
    <w:rsid w:val="009327ED"/>
    <w:rsid w:val="009332A5"/>
    <w:rsid w:val="009335EF"/>
    <w:rsid w:val="009346F5"/>
    <w:rsid w:val="00934FD7"/>
    <w:rsid w:val="00935573"/>
    <w:rsid w:val="00935E9E"/>
    <w:rsid w:val="00936DCE"/>
    <w:rsid w:val="00937C0B"/>
    <w:rsid w:val="00945DF0"/>
    <w:rsid w:val="00947855"/>
    <w:rsid w:val="00950BC0"/>
    <w:rsid w:val="00951514"/>
    <w:rsid w:val="00951F67"/>
    <w:rsid w:val="00952314"/>
    <w:rsid w:val="00952DB8"/>
    <w:rsid w:val="00953BFF"/>
    <w:rsid w:val="009547A9"/>
    <w:rsid w:val="009547E2"/>
    <w:rsid w:val="009559E3"/>
    <w:rsid w:val="00956B3C"/>
    <w:rsid w:val="00956C6F"/>
    <w:rsid w:val="00960332"/>
    <w:rsid w:val="00960D8D"/>
    <w:rsid w:val="0096291E"/>
    <w:rsid w:val="009637CB"/>
    <w:rsid w:val="00963E2D"/>
    <w:rsid w:val="00964A21"/>
    <w:rsid w:val="00971806"/>
    <w:rsid w:val="0097237C"/>
    <w:rsid w:val="0097312B"/>
    <w:rsid w:val="00975E69"/>
    <w:rsid w:val="00980598"/>
    <w:rsid w:val="00981485"/>
    <w:rsid w:val="0098213D"/>
    <w:rsid w:val="00982775"/>
    <w:rsid w:val="00983724"/>
    <w:rsid w:val="009858EA"/>
    <w:rsid w:val="00985A80"/>
    <w:rsid w:val="00985B1E"/>
    <w:rsid w:val="00987A7F"/>
    <w:rsid w:val="00987D51"/>
    <w:rsid w:val="009907E9"/>
    <w:rsid w:val="00990D00"/>
    <w:rsid w:val="009912E2"/>
    <w:rsid w:val="009923B2"/>
    <w:rsid w:val="00996840"/>
    <w:rsid w:val="009971D3"/>
    <w:rsid w:val="009A27AA"/>
    <w:rsid w:val="009A4D41"/>
    <w:rsid w:val="009A4FA9"/>
    <w:rsid w:val="009A6A5A"/>
    <w:rsid w:val="009A7084"/>
    <w:rsid w:val="009A736F"/>
    <w:rsid w:val="009B0DB5"/>
    <w:rsid w:val="009B259F"/>
    <w:rsid w:val="009B2B15"/>
    <w:rsid w:val="009B5F59"/>
    <w:rsid w:val="009B60A1"/>
    <w:rsid w:val="009B661B"/>
    <w:rsid w:val="009B703D"/>
    <w:rsid w:val="009B79D6"/>
    <w:rsid w:val="009C16CC"/>
    <w:rsid w:val="009C2C5E"/>
    <w:rsid w:val="009C72BD"/>
    <w:rsid w:val="009C73EF"/>
    <w:rsid w:val="009D2907"/>
    <w:rsid w:val="009D5FD1"/>
    <w:rsid w:val="009E06BF"/>
    <w:rsid w:val="009E0A07"/>
    <w:rsid w:val="009E2471"/>
    <w:rsid w:val="009E47B8"/>
    <w:rsid w:val="009E4827"/>
    <w:rsid w:val="009E70E3"/>
    <w:rsid w:val="009F297D"/>
    <w:rsid w:val="009F2B56"/>
    <w:rsid w:val="009F492E"/>
    <w:rsid w:val="009F5160"/>
    <w:rsid w:val="009F55B3"/>
    <w:rsid w:val="009F58C0"/>
    <w:rsid w:val="009F6869"/>
    <w:rsid w:val="009F7067"/>
    <w:rsid w:val="009F73C0"/>
    <w:rsid w:val="009F7D84"/>
    <w:rsid w:val="009F7F2E"/>
    <w:rsid w:val="00A0068E"/>
    <w:rsid w:val="00A020CF"/>
    <w:rsid w:val="00A02441"/>
    <w:rsid w:val="00A0247F"/>
    <w:rsid w:val="00A03729"/>
    <w:rsid w:val="00A0542C"/>
    <w:rsid w:val="00A057BF"/>
    <w:rsid w:val="00A068B1"/>
    <w:rsid w:val="00A06959"/>
    <w:rsid w:val="00A109D0"/>
    <w:rsid w:val="00A1499C"/>
    <w:rsid w:val="00A15E13"/>
    <w:rsid w:val="00A163D6"/>
    <w:rsid w:val="00A16E76"/>
    <w:rsid w:val="00A177A2"/>
    <w:rsid w:val="00A178EC"/>
    <w:rsid w:val="00A207A7"/>
    <w:rsid w:val="00A20F64"/>
    <w:rsid w:val="00A213D0"/>
    <w:rsid w:val="00A219D7"/>
    <w:rsid w:val="00A21B67"/>
    <w:rsid w:val="00A22E24"/>
    <w:rsid w:val="00A23200"/>
    <w:rsid w:val="00A2387F"/>
    <w:rsid w:val="00A2429B"/>
    <w:rsid w:val="00A2738F"/>
    <w:rsid w:val="00A3077A"/>
    <w:rsid w:val="00A30C66"/>
    <w:rsid w:val="00A331DF"/>
    <w:rsid w:val="00A344AA"/>
    <w:rsid w:val="00A35DB4"/>
    <w:rsid w:val="00A378D8"/>
    <w:rsid w:val="00A40CEA"/>
    <w:rsid w:val="00A41E82"/>
    <w:rsid w:val="00A44605"/>
    <w:rsid w:val="00A44B5B"/>
    <w:rsid w:val="00A44EE8"/>
    <w:rsid w:val="00A46AA4"/>
    <w:rsid w:val="00A505BC"/>
    <w:rsid w:val="00A518EA"/>
    <w:rsid w:val="00A53FBF"/>
    <w:rsid w:val="00A54EBC"/>
    <w:rsid w:val="00A56DF9"/>
    <w:rsid w:val="00A60601"/>
    <w:rsid w:val="00A6063F"/>
    <w:rsid w:val="00A61CE3"/>
    <w:rsid w:val="00A72B22"/>
    <w:rsid w:val="00A74479"/>
    <w:rsid w:val="00A7457F"/>
    <w:rsid w:val="00A7525A"/>
    <w:rsid w:val="00A76383"/>
    <w:rsid w:val="00A77D81"/>
    <w:rsid w:val="00A80D0C"/>
    <w:rsid w:val="00A8132C"/>
    <w:rsid w:val="00A82650"/>
    <w:rsid w:val="00A83BA0"/>
    <w:rsid w:val="00A84B26"/>
    <w:rsid w:val="00A87052"/>
    <w:rsid w:val="00A91A7D"/>
    <w:rsid w:val="00A95DCD"/>
    <w:rsid w:val="00A96994"/>
    <w:rsid w:val="00A9769D"/>
    <w:rsid w:val="00A97D63"/>
    <w:rsid w:val="00AA09B9"/>
    <w:rsid w:val="00AA0D95"/>
    <w:rsid w:val="00AB0D60"/>
    <w:rsid w:val="00AB369E"/>
    <w:rsid w:val="00AB3A2E"/>
    <w:rsid w:val="00AB5C54"/>
    <w:rsid w:val="00AB7379"/>
    <w:rsid w:val="00AB7565"/>
    <w:rsid w:val="00AB7F52"/>
    <w:rsid w:val="00AC0761"/>
    <w:rsid w:val="00AC0853"/>
    <w:rsid w:val="00AC3650"/>
    <w:rsid w:val="00AC39AE"/>
    <w:rsid w:val="00AC4800"/>
    <w:rsid w:val="00AC4CB9"/>
    <w:rsid w:val="00AC4F96"/>
    <w:rsid w:val="00AC6DDB"/>
    <w:rsid w:val="00AC7C99"/>
    <w:rsid w:val="00AD0F6E"/>
    <w:rsid w:val="00AD25FF"/>
    <w:rsid w:val="00AD437F"/>
    <w:rsid w:val="00AD473A"/>
    <w:rsid w:val="00AD5447"/>
    <w:rsid w:val="00AD6143"/>
    <w:rsid w:val="00AD6BB0"/>
    <w:rsid w:val="00AD7470"/>
    <w:rsid w:val="00AE5ED4"/>
    <w:rsid w:val="00AE6F46"/>
    <w:rsid w:val="00AE7968"/>
    <w:rsid w:val="00AF15A2"/>
    <w:rsid w:val="00AF3E85"/>
    <w:rsid w:val="00AF4A94"/>
    <w:rsid w:val="00B0024E"/>
    <w:rsid w:val="00B0075E"/>
    <w:rsid w:val="00B01C01"/>
    <w:rsid w:val="00B02FD1"/>
    <w:rsid w:val="00B03AA5"/>
    <w:rsid w:val="00B040B6"/>
    <w:rsid w:val="00B06FC1"/>
    <w:rsid w:val="00B071B1"/>
    <w:rsid w:val="00B078A6"/>
    <w:rsid w:val="00B1184E"/>
    <w:rsid w:val="00B12D48"/>
    <w:rsid w:val="00B13C08"/>
    <w:rsid w:val="00B13FF5"/>
    <w:rsid w:val="00B14490"/>
    <w:rsid w:val="00B15EDB"/>
    <w:rsid w:val="00B1732E"/>
    <w:rsid w:val="00B17EAC"/>
    <w:rsid w:val="00B2002A"/>
    <w:rsid w:val="00B2035C"/>
    <w:rsid w:val="00B23620"/>
    <w:rsid w:val="00B24487"/>
    <w:rsid w:val="00B24E76"/>
    <w:rsid w:val="00B253B0"/>
    <w:rsid w:val="00B2667E"/>
    <w:rsid w:val="00B26835"/>
    <w:rsid w:val="00B311D4"/>
    <w:rsid w:val="00B3252E"/>
    <w:rsid w:val="00B4292B"/>
    <w:rsid w:val="00B4477E"/>
    <w:rsid w:val="00B46C39"/>
    <w:rsid w:val="00B4724D"/>
    <w:rsid w:val="00B47B9C"/>
    <w:rsid w:val="00B5057F"/>
    <w:rsid w:val="00B52178"/>
    <w:rsid w:val="00B535D9"/>
    <w:rsid w:val="00B5379E"/>
    <w:rsid w:val="00B549F7"/>
    <w:rsid w:val="00B54B75"/>
    <w:rsid w:val="00B54EA0"/>
    <w:rsid w:val="00B605EE"/>
    <w:rsid w:val="00B63EE0"/>
    <w:rsid w:val="00B64F01"/>
    <w:rsid w:val="00B66A11"/>
    <w:rsid w:val="00B67843"/>
    <w:rsid w:val="00B7142F"/>
    <w:rsid w:val="00B75567"/>
    <w:rsid w:val="00B767EB"/>
    <w:rsid w:val="00B77E26"/>
    <w:rsid w:val="00B809F0"/>
    <w:rsid w:val="00B8156F"/>
    <w:rsid w:val="00B81A07"/>
    <w:rsid w:val="00B81E8E"/>
    <w:rsid w:val="00B81E90"/>
    <w:rsid w:val="00B844FE"/>
    <w:rsid w:val="00B84EA0"/>
    <w:rsid w:val="00B86920"/>
    <w:rsid w:val="00B878BC"/>
    <w:rsid w:val="00B87927"/>
    <w:rsid w:val="00B87C05"/>
    <w:rsid w:val="00B9057D"/>
    <w:rsid w:val="00B90E6F"/>
    <w:rsid w:val="00B942CB"/>
    <w:rsid w:val="00B94563"/>
    <w:rsid w:val="00B94D3B"/>
    <w:rsid w:val="00B94E71"/>
    <w:rsid w:val="00B95916"/>
    <w:rsid w:val="00B95AD4"/>
    <w:rsid w:val="00B97A93"/>
    <w:rsid w:val="00BA1E17"/>
    <w:rsid w:val="00BA543B"/>
    <w:rsid w:val="00BA55FB"/>
    <w:rsid w:val="00BA58EE"/>
    <w:rsid w:val="00BA5E5D"/>
    <w:rsid w:val="00BA7616"/>
    <w:rsid w:val="00BB2C2B"/>
    <w:rsid w:val="00BB3437"/>
    <w:rsid w:val="00BB3896"/>
    <w:rsid w:val="00BC06C0"/>
    <w:rsid w:val="00BC0F02"/>
    <w:rsid w:val="00BC268D"/>
    <w:rsid w:val="00BC3410"/>
    <w:rsid w:val="00BC3979"/>
    <w:rsid w:val="00BC65CF"/>
    <w:rsid w:val="00BD06D6"/>
    <w:rsid w:val="00BD1997"/>
    <w:rsid w:val="00BD1E4E"/>
    <w:rsid w:val="00BD548E"/>
    <w:rsid w:val="00BD7A3F"/>
    <w:rsid w:val="00BE16D9"/>
    <w:rsid w:val="00BE3EA9"/>
    <w:rsid w:val="00BE41EA"/>
    <w:rsid w:val="00BE47C1"/>
    <w:rsid w:val="00BE5D77"/>
    <w:rsid w:val="00BE6AC4"/>
    <w:rsid w:val="00BF31E5"/>
    <w:rsid w:val="00BF3CF6"/>
    <w:rsid w:val="00BF512D"/>
    <w:rsid w:val="00BF54E4"/>
    <w:rsid w:val="00BF56B4"/>
    <w:rsid w:val="00BF667E"/>
    <w:rsid w:val="00BF67D5"/>
    <w:rsid w:val="00BF70A1"/>
    <w:rsid w:val="00C000BA"/>
    <w:rsid w:val="00C00503"/>
    <w:rsid w:val="00C0112B"/>
    <w:rsid w:val="00C02A60"/>
    <w:rsid w:val="00C035A3"/>
    <w:rsid w:val="00C0589C"/>
    <w:rsid w:val="00C06553"/>
    <w:rsid w:val="00C1060A"/>
    <w:rsid w:val="00C11AC4"/>
    <w:rsid w:val="00C123FF"/>
    <w:rsid w:val="00C135EB"/>
    <w:rsid w:val="00C151E4"/>
    <w:rsid w:val="00C155B3"/>
    <w:rsid w:val="00C165B3"/>
    <w:rsid w:val="00C17F90"/>
    <w:rsid w:val="00C207ED"/>
    <w:rsid w:val="00C2083B"/>
    <w:rsid w:val="00C21579"/>
    <w:rsid w:val="00C22902"/>
    <w:rsid w:val="00C23870"/>
    <w:rsid w:val="00C25907"/>
    <w:rsid w:val="00C2641B"/>
    <w:rsid w:val="00C27D28"/>
    <w:rsid w:val="00C314FD"/>
    <w:rsid w:val="00C31573"/>
    <w:rsid w:val="00C316F1"/>
    <w:rsid w:val="00C31BFA"/>
    <w:rsid w:val="00C32D07"/>
    <w:rsid w:val="00C34389"/>
    <w:rsid w:val="00C34BF6"/>
    <w:rsid w:val="00C356FC"/>
    <w:rsid w:val="00C3633D"/>
    <w:rsid w:val="00C37013"/>
    <w:rsid w:val="00C37147"/>
    <w:rsid w:val="00C40D64"/>
    <w:rsid w:val="00C411E2"/>
    <w:rsid w:val="00C4291C"/>
    <w:rsid w:val="00C43003"/>
    <w:rsid w:val="00C44677"/>
    <w:rsid w:val="00C44BF3"/>
    <w:rsid w:val="00C504C8"/>
    <w:rsid w:val="00C5109A"/>
    <w:rsid w:val="00C5226D"/>
    <w:rsid w:val="00C52D13"/>
    <w:rsid w:val="00C53566"/>
    <w:rsid w:val="00C54BAD"/>
    <w:rsid w:val="00C55B26"/>
    <w:rsid w:val="00C57B96"/>
    <w:rsid w:val="00C60730"/>
    <w:rsid w:val="00C60A80"/>
    <w:rsid w:val="00C6163C"/>
    <w:rsid w:val="00C62C10"/>
    <w:rsid w:val="00C64435"/>
    <w:rsid w:val="00C66083"/>
    <w:rsid w:val="00C66293"/>
    <w:rsid w:val="00C673D6"/>
    <w:rsid w:val="00C6766E"/>
    <w:rsid w:val="00C70BD7"/>
    <w:rsid w:val="00C70D7F"/>
    <w:rsid w:val="00C70F49"/>
    <w:rsid w:val="00C71AA8"/>
    <w:rsid w:val="00C72D3B"/>
    <w:rsid w:val="00C73479"/>
    <w:rsid w:val="00C7356A"/>
    <w:rsid w:val="00C74BC6"/>
    <w:rsid w:val="00C74FD5"/>
    <w:rsid w:val="00C80909"/>
    <w:rsid w:val="00C80CD1"/>
    <w:rsid w:val="00C812D9"/>
    <w:rsid w:val="00C8194B"/>
    <w:rsid w:val="00C81FF9"/>
    <w:rsid w:val="00C8354A"/>
    <w:rsid w:val="00C8358F"/>
    <w:rsid w:val="00C845D5"/>
    <w:rsid w:val="00C84B57"/>
    <w:rsid w:val="00C9251A"/>
    <w:rsid w:val="00C93093"/>
    <w:rsid w:val="00C93B60"/>
    <w:rsid w:val="00C93EA1"/>
    <w:rsid w:val="00C97330"/>
    <w:rsid w:val="00CA0838"/>
    <w:rsid w:val="00CA16D9"/>
    <w:rsid w:val="00CA2BE6"/>
    <w:rsid w:val="00CA3E30"/>
    <w:rsid w:val="00CA5578"/>
    <w:rsid w:val="00CA6A0F"/>
    <w:rsid w:val="00CB0435"/>
    <w:rsid w:val="00CB04B1"/>
    <w:rsid w:val="00CB2DD1"/>
    <w:rsid w:val="00CB324B"/>
    <w:rsid w:val="00CB6386"/>
    <w:rsid w:val="00CB656A"/>
    <w:rsid w:val="00CC060D"/>
    <w:rsid w:val="00CC0786"/>
    <w:rsid w:val="00CC0ACC"/>
    <w:rsid w:val="00CC2D1F"/>
    <w:rsid w:val="00CC4A42"/>
    <w:rsid w:val="00CC76B0"/>
    <w:rsid w:val="00CD0A22"/>
    <w:rsid w:val="00CD3B00"/>
    <w:rsid w:val="00CD43AB"/>
    <w:rsid w:val="00CD4BFE"/>
    <w:rsid w:val="00CD5406"/>
    <w:rsid w:val="00CD641E"/>
    <w:rsid w:val="00CD6CC9"/>
    <w:rsid w:val="00CD75B6"/>
    <w:rsid w:val="00CD78F6"/>
    <w:rsid w:val="00CE1361"/>
    <w:rsid w:val="00CE192C"/>
    <w:rsid w:val="00CE2A86"/>
    <w:rsid w:val="00CE3552"/>
    <w:rsid w:val="00CE3F9F"/>
    <w:rsid w:val="00CE51A8"/>
    <w:rsid w:val="00CE5C2C"/>
    <w:rsid w:val="00CE78A7"/>
    <w:rsid w:val="00CE7CB5"/>
    <w:rsid w:val="00CF07D2"/>
    <w:rsid w:val="00CF16EF"/>
    <w:rsid w:val="00CF3617"/>
    <w:rsid w:val="00CF66A9"/>
    <w:rsid w:val="00D003B5"/>
    <w:rsid w:val="00D00DD7"/>
    <w:rsid w:val="00D01B4E"/>
    <w:rsid w:val="00D02DD5"/>
    <w:rsid w:val="00D07325"/>
    <w:rsid w:val="00D0786F"/>
    <w:rsid w:val="00D104DB"/>
    <w:rsid w:val="00D11347"/>
    <w:rsid w:val="00D146F7"/>
    <w:rsid w:val="00D14B88"/>
    <w:rsid w:val="00D20AC3"/>
    <w:rsid w:val="00D2138E"/>
    <w:rsid w:val="00D219FC"/>
    <w:rsid w:val="00D22374"/>
    <w:rsid w:val="00D24003"/>
    <w:rsid w:val="00D279BF"/>
    <w:rsid w:val="00D31601"/>
    <w:rsid w:val="00D317BA"/>
    <w:rsid w:val="00D32175"/>
    <w:rsid w:val="00D3302E"/>
    <w:rsid w:val="00D342C2"/>
    <w:rsid w:val="00D36AC5"/>
    <w:rsid w:val="00D4034A"/>
    <w:rsid w:val="00D4374A"/>
    <w:rsid w:val="00D44421"/>
    <w:rsid w:val="00D44F6F"/>
    <w:rsid w:val="00D45198"/>
    <w:rsid w:val="00D45808"/>
    <w:rsid w:val="00D4646C"/>
    <w:rsid w:val="00D47AD7"/>
    <w:rsid w:val="00D47CE8"/>
    <w:rsid w:val="00D5043E"/>
    <w:rsid w:val="00D52095"/>
    <w:rsid w:val="00D52B65"/>
    <w:rsid w:val="00D53170"/>
    <w:rsid w:val="00D5431E"/>
    <w:rsid w:val="00D54C0E"/>
    <w:rsid w:val="00D5580E"/>
    <w:rsid w:val="00D55A20"/>
    <w:rsid w:val="00D615C7"/>
    <w:rsid w:val="00D63A43"/>
    <w:rsid w:val="00D63EBB"/>
    <w:rsid w:val="00D641ED"/>
    <w:rsid w:val="00D64A11"/>
    <w:rsid w:val="00D674C2"/>
    <w:rsid w:val="00D67A8B"/>
    <w:rsid w:val="00D756A8"/>
    <w:rsid w:val="00D75B19"/>
    <w:rsid w:val="00D75CD0"/>
    <w:rsid w:val="00D760D6"/>
    <w:rsid w:val="00D774CC"/>
    <w:rsid w:val="00D84CCC"/>
    <w:rsid w:val="00D858B5"/>
    <w:rsid w:val="00D85949"/>
    <w:rsid w:val="00D86E99"/>
    <w:rsid w:val="00D87B14"/>
    <w:rsid w:val="00D87DF7"/>
    <w:rsid w:val="00D87F4E"/>
    <w:rsid w:val="00D90616"/>
    <w:rsid w:val="00D90D4E"/>
    <w:rsid w:val="00D931B4"/>
    <w:rsid w:val="00D94462"/>
    <w:rsid w:val="00D95FE5"/>
    <w:rsid w:val="00D9731D"/>
    <w:rsid w:val="00DA2D5D"/>
    <w:rsid w:val="00DA3372"/>
    <w:rsid w:val="00DA6EA5"/>
    <w:rsid w:val="00DA708B"/>
    <w:rsid w:val="00DB1362"/>
    <w:rsid w:val="00DB1B88"/>
    <w:rsid w:val="00DB2890"/>
    <w:rsid w:val="00DB5CF2"/>
    <w:rsid w:val="00DB6129"/>
    <w:rsid w:val="00DB6CFF"/>
    <w:rsid w:val="00DB77B0"/>
    <w:rsid w:val="00DC0122"/>
    <w:rsid w:val="00DC12A9"/>
    <w:rsid w:val="00DC3517"/>
    <w:rsid w:val="00DC4BD9"/>
    <w:rsid w:val="00DD29A0"/>
    <w:rsid w:val="00DD2C7C"/>
    <w:rsid w:val="00DD729A"/>
    <w:rsid w:val="00DD7318"/>
    <w:rsid w:val="00DE092D"/>
    <w:rsid w:val="00DE1268"/>
    <w:rsid w:val="00DE20C0"/>
    <w:rsid w:val="00DE2A1C"/>
    <w:rsid w:val="00DE3431"/>
    <w:rsid w:val="00DE345D"/>
    <w:rsid w:val="00DE7A87"/>
    <w:rsid w:val="00DF3A20"/>
    <w:rsid w:val="00DF6BFB"/>
    <w:rsid w:val="00E00CF2"/>
    <w:rsid w:val="00E022F5"/>
    <w:rsid w:val="00E03E41"/>
    <w:rsid w:val="00E03F15"/>
    <w:rsid w:val="00E043DC"/>
    <w:rsid w:val="00E05654"/>
    <w:rsid w:val="00E05B9C"/>
    <w:rsid w:val="00E0779F"/>
    <w:rsid w:val="00E07AB0"/>
    <w:rsid w:val="00E10B81"/>
    <w:rsid w:val="00E111A0"/>
    <w:rsid w:val="00E126E7"/>
    <w:rsid w:val="00E20B88"/>
    <w:rsid w:val="00E20FAB"/>
    <w:rsid w:val="00E21780"/>
    <w:rsid w:val="00E2301E"/>
    <w:rsid w:val="00E25333"/>
    <w:rsid w:val="00E261CD"/>
    <w:rsid w:val="00E26E2F"/>
    <w:rsid w:val="00E31BF1"/>
    <w:rsid w:val="00E34139"/>
    <w:rsid w:val="00E37B2C"/>
    <w:rsid w:val="00E41875"/>
    <w:rsid w:val="00E42C81"/>
    <w:rsid w:val="00E438D6"/>
    <w:rsid w:val="00E43A42"/>
    <w:rsid w:val="00E4429A"/>
    <w:rsid w:val="00E4475B"/>
    <w:rsid w:val="00E449C1"/>
    <w:rsid w:val="00E471DC"/>
    <w:rsid w:val="00E47FAE"/>
    <w:rsid w:val="00E50264"/>
    <w:rsid w:val="00E51ACB"/>
    <w:rsid w:val="00E53190"/>
    <w:rsid w:val="00E555F3"/>
    <w:rsid w:val="00E56EA6"/>
    <w:rsid w:val="00E61870"/>
    <w:rsid w:val="00E62C3D"/>
    <w:rsid w:val="00E6351F"/>
    <w:rsid w:val="00E63BDB"/>
    <w:rsid w:val="00E65471"/>
    <w:rsid w:val="00E659BF"/>
    <w:rsid w:val="00E66350"/>
    <w:rsid w:val="00E66CA7"/>
    <w:rsid w:val="00E67CC1"/>
    <w:rsid w:val="00E7023E"/>
    <w:rsid w:val="00E70E10"/>
    <w:rsid w:val="00E7357B"/>
    <w:rsid w:val="00E73B6B"/>
    <w:rsid w:val="00E75F59"/>
    <w:rsid w:val="00E76738"/>
    <w:rsid w:val="00E80B40"/>
    <w:rsid w:val="00E83241"/>
    <w:rsid w:val="00E8347F"/>
    <w:rsid w:val="00E84DC3"/>
    <w:rsid w:val="00E862DF"/>
    <w:rsid w:val="00E869D3"/>
    <w:rsid w:val="00E872D0"/>
    <w:rsid w:val="00E90CFC"/>
    <w:rsid w:val="00E9215B"/>
    <w:rsid w:val="00E962ED"/>
    <w:rsid w:val="00EA108B"/>
    <w:rsid w:val="00EA1098"/>
    <w:rsid w:val="00EA1A65"/>
    <w:rsid w:val="00EA2DB3"/>
    <w:rsid w:val="00EA4958"/>
    <w:rsid w:val="00EA4B71"/>
    <w:rsid w:val="00EA5201"/>
    <w:rsid w:val="00EA7E12"/>
    <w:rsid w:val="00EB0FB2"/>
    <w:rsid w:val="00EB1513"/>
    <w:rsid w:val="00EB1C4B"/>
    <w:rsid w:val="00EB3222"/>
    <w:rsid w:val="00EB6829"/>
    <w:rsid w:val="00EB6F43"/>
    <w:rsid w:val="00EC34C2"/>
    <w:rsid w:val="00ED2B12"/>
    <w:rsid w:val="00ED2F7F"/>
    <w:rsid w:val="00ED329E"/>
    <w:rsid w:val="00ED5293"/>
    <w:rsid w:val="00ED5B46"/>
    <w:rsid w:val="00ED5F3C"/>
    <w:rsid w:val="00ED7BAC"/>
    <w:rsid w:val="00EE0531"/>
    <w:rsid w:val="00EE2478"/>
    <w:rsid w:val="00EE367F"/>
    <w:rsid w:val="00EE3C76"/>
    <w:rsid w:val="00EE446A"/>
    <w:rsid w:val="00EE6279"/>
    <w:rsid w:val="00EE7357"/>
    <w:rsid w:val="00EE762F"/>
    <w:rsid w:val="00EF023A"/>
    <w:rsid w:val="00EF07D2"/>
    <w:rsid w:val="00EF188A"/>
    <w:rsid w:val="00EF215C"/>
    <w:rsid w:val="00EF2858"/>
    <w:rsid w:val="00EF5985"/>
    <w:rsid w:val="00EF625F"/>
    <w:rsid w:val="00EF6459"/>
    <w:rsid w:val="00EF6492"/>
    <w:rsid w:val="00EF6A54"/>
    <w:rsid w:val="00F00CE1"/>
    <w:rsid w:val="00F02AE9"/>
    <w:rsid w:val="00F03CB0"/>
    <w:rsid w:val="00F04A22"/>
    <w:rsid w:val="00F07639"/>
    <w:rsid w:val="00F11890"/>
    <w:rsid w:val="00F122C4"/>
    <w:rsid w:val="00F128A4"/>
    <w:rsid w:val="00F156C7"/>
    <w:rsid w:val="00F16586"/>
    <w:rsid w:val="00F169DB"/>
    <w:rsid w:val="00F17A45"/>
    <w:rsid w:val="00F20A73"/>
    <w:rsid w:val="00F20F62"/>
    <w:rsid w:val="00F22273"/>
    <w:rsid w:val="00F226D8"/>
    <w:rsid w:val="00F22D0D"/>
    <w:rsid w:val="00F22FA2"/>
    <w:rsid w:val="00F23C07"/>
    <w:rsid w:val="00F247E3"/>
    <w:rsid w:val="00F25FA6"/>
    <w:rsid w:val="00F26A6D"/>
    <w:rsid w:val="00F26EAB"/>
    <w:rsid w:val="00F27938"/>
    <w:rsid w:val="00F300DC"/>
    <w:rsid w:val="00F3153F"/>
    <w:rsid w:val="00F338AE"/>
    <w:rsid w:val="00F361DB"/>
    <w:rsid w:val="00F37B29"/>
    <w:rsid w:val="00F37E3F"/>
    <w:rsid w:val="00F44CF5"/>
    <w:rsid w:val="00F50F4B"/>
    <w:rsid w:val="00F514C8"/>
    <w:rsid w:val="00F54D97"/>
    <w:rsid w:val="00F55A08"/>
    <w:rsid w:val="00F561F9"/>
    <w:rsid w:val="00F61EE3"/>
    <w:rsid w:val="00F62727"/>
    <w:rsid w:val="00F634AF"/>
    <w:rsid w:val="00F63687"/>
    <w:rsid w:val="00F64176"/>
    <w:rsid w:val="00F65F90"/>
    <w:rsid w:val="00F7042A"/>
    <w:rsid w:val="00F716DF"/>
    <w:rsid w:val="00F719B0"/>
    <w:rsid w:val="00F71A91"/>
    <w:rsid w:val="00F7226D"/>
    <w:rsid w:val="00F7464E"/>
    <w:rsid w:val="00F74D12"/>
    <w:rsid w:val="00F75E81"/>
    <w:rsid w:val="00F7642E"/>
    <w:rsid w:val="00F76DA0"/>
    <w:rsid w:val="00F773DE"/>
    <w:rsid w:val="00F802B2"/>
    <w:rsid w:val="00F80BAD"/>
    <w:rsid w:val="00F82E80"/>
    <w:rsid w:val="00F83849"/>
    <w:rsid w:val="00F83C94"/>
    <w:rsid w:val="00F84D60"/>
    <w:rsid w:val="00F903EC"/>
    <w:rsid w:val="00F96105"/>
    <w:rsid w:val="00F9633A"/>
    <w:rsid w:val="00FA0D51"/>
    <w:rsid w:val="00FA1639"/>
    <w:rsid w:val="00FA1B7F"/>
    <w:rsid w:val="00FA2908"/>
    <w:rsid w:val="00FA6EF1"/>
    <w:rsid w:val="00FB0558"/>
    <w:rsid w:val="00FB069B"/>
    <w:rsid w:val="00FB1D1E"/>
    <w:rsid w:val="00FB227F"/>
    <w:rsid w:val="00FB54A8"/>
    <w:rsid w:val="00FB6F78"/>
    <w:rsid w:val="00FB7F1B"/>
    <w:rsid w:val="00FC0A1D"/>
    <w:rsid w:val="00FC17B0"/>
    <w:rsid w:val="00FC32F3"/>
    <w:rsid w:val="00FC36BF"/>
    <w:rsid w:val="00FC416D"/>
    <w:rsid w:val="00FC472F"/>
    <w:rsid w:val="00FC590A"/>
    <w:rsid w:val="00FC5AB9"/>
    <w:rsid w:val="00FC7E00"/>
    <w:rsid w:val="00FD03FA"/>
    <w:rsid w:val="00FD0B3E"/>
    <w:rsid w:val="00FD124D"/>
    <w:rsid w:val="00FD17DA"/>
    <w:rsid w:val="00FD1FCD"/>
    <w:rsid w:val="00FD2969"/>
    <w:rsid w:val="00FD3D71"/>
    <w:rsid w:val="00FD54CF"/>
    <w:rsid w:val="00FD5591"/>
    <w:rsid w:val="00FE0CEF"/>
    <w:rsid w:val="00FE1299"/>
    <w:rsid w:val="00FE2296"/>
    <w:rsid w:val="00FE2E1E"/>
    <w:rsid w:val="00FE3DAD"/>
    <w:rsid w:val="00FE4705"/>
    <w:rsid w:val="00FE4803"/>
    <w:rsid w:val="00FE5C5A"/>
    <w:rsid w:val="00FE7CAE"/>
    <w:rsid w:val="00FF1334"/>
    <w:rsid w:val="00FF29EB"/>
    <w:rsid w:val="00FF3791"/>
    <w:rsid w:val="00FF620A"/>
    <w:rsid w:val="00FF6297"/>
    <w:rsid w:val="00FF6A6F"/>
    <w:rsid w:val="00FF6BFF"/>
    <w:rsid w:val="00FF6DFB"/>
    <w:rsid w:val="00FF765E"/>
    <w:rsid w:val="00FF7EE3"/>
    <w:rsid w:val="01F1594A"/>
    <w:rsid w:val="041C009B"/>
    <w:rsid w:val="04531FA4"/>
    <w:rsid w:val="05177A13"/>
    <w:rsid w:val="067B3F03"/>
    <w:rsid w:val="0817025B"/>
    <w:rsid w:val="08F55D20"/>
    <w:rsid w:val="0A411959"/>
    <w:rsid w:val="0A731E79"/>
    <w:rsid w:val="0B666A61"/>
    <w:rsid w:val="0C247805"/>
    <w:rsid w:val="0C8E798B"/>
    <w:rsid w:val="0D1A0C33"/>
    <w:rsid w:val="0D5B47C8"/>
    <w:rsid w:val="0D807AD5"/>
    <w:rsid w:val="0DDA4217"/>
    <w:rsid w:val="0E087ECA"/>
    <w:rsid w:val="0F3F1578"/>
    <w:rsid w:val="0F852BA1"/>
    <w:rsid w:val="104E618E"/>
    <w:rsid w:val="11D861DF"/>
    <w:rsid w:val="15DF4CCA"/>
    <w:rsid w:val="164E000B"/>
    <w:rsid w:val="177B5ACA"/>
    <w:rsid w:val="18C1177B"/>
    <w:rsid w:val="18E4349B"/>
    <w:rsid w:val="198A2469"/>
    <w:rsid w:val="1A4D5FFA"/>
    <w:rsid w:val="1A590792"/>
    <w:rsid w:val="1BF57530"/>
    <w:rsid w:val="1FC94B48"/>
    <w:rsid w:val="207E090B"/>
    <w:rsid w:val="21CD73E2"/>
    <w:rsid w:val="227855A0"/>
    <w:rsid w:val="22A66D5C"/>
    <w:rsid w:val="24390D5F"/>
    <w:rsid w:val="24B740AF"/>
    <w:rsid w:val="2560231B"/>
    <w:rsid w:val="257F6C45"/>
    <w:rsid w:val="263A5741"/>
    <w:rsid w:val="279A25BF"/>
    <w:rsid w:val="28E13773"/>
    <w:rsid w:val="2ADE3FEA"/>
    <w:rsid w:val="2B527E01"/>
    <w:rsid w:val="2C7931C9"/>
    <w:rsid w:val="2D287BC3"/>
    <w:rsid w:val="2D460049"/>
    <w:rsid w:val="2DC72F38"/>
    <w:rsid w:val="2DC773DC"/>
    <w:rsid w:val="318F1FBE"/>
    <w:rsid w:val="32162D90"/>
    <w:rsid w:val="32E27652"/>
    <w:rsid w:val="33C26AED"/>
    <w:rsid w:val="346911EC"/>
    <w:rsid w:val="35D3079F"/>
    <w:rsid w:val="35FE728D"/>
    <w:rsid w:val="369736C3"/>
    <w:rsid w:val="37045D25"/>
    <w:rsid w:val="371B42F4"/>
    <w:rsid w:val="37845A9F"/>
    <w:rsid w:val="386F66A6"/>
    <w:rsid w:val="38E56350"/>
    <w:rsid w:val="38F0300E"/>
    <w:rsid w:val="3914724D"/>
    <w:rsid w:val="3A023E13"/>
    <w:rsid w:val="3A970136"/>
    <w:rsid w:val="3ACA050B"/>
    <w:rsid w:val="3C1E3FFF"/>
    <w:rsid w:val="3C4147FD"/>
    <w:rsid w:val="3CF5377D"/>
    <w:rsid w:val="3D760A4B"/>
    <w:rsid w:val="3D8C7BD1"/>
    <w:rsid w:val="3DE82FFB"/>
    <w:rsid w:val="3EC80917"/>
    <w:rsid w:val="3FF445A9"/>
    <w:rsid w:val="40925627"/>
    <w:rsid w:val="418D6198"/>
    <w:rsid w:val="41DD0CA1"/>
    <w:rsid w:val="429A6694"/>
    <w:rsid w:val="43C561B0"/>
    <w:rsid w:val="43D322F8"/>
    <w:rsid w:val="444C52E3"/>
    <w:rsid w:val="44520939"/>
    <w:rsid w:val="44753296"/>
    <w:rsid w:val="447D1D63"/>
    <w:rsid w:val="45360AB0"/>
    <w:rsid w:val="457C7DBE"/>
    <w:rsid w:val="45C36283"/>
    <w:rsid w:val="471C4A9D"/>
    <w:rsid w:val="47411B55"/>
    <w:rsid w:val="47C51A09"/>
    <w:rsid w:val="48270794"/>
    <w:rsid w:val="48771E1D"/>
    <w:rsid w:val="48E52647"/>
    <w:rsid w:val="497C6219"/>
    <w:rsid w:val="49FF69DD"/>
    <w:rsid w:val="4A0A4518"/>
    <w:rsid w:val="4D8046A9"/>
    <w:rsid w:val="4E1B03B0"/>
    <w:rsid w:val="4E3E1419"/>
    <w:rsid w:val="4E410844"/>
    <w:rsid w:val="4F7028E9"/>
    <w:rsid w:val="4F9B0E29"/>
    <w:rsid w:val="501C6CBB"/>
    <w:rsid w:val="505B4777"/>
    <w:rsid w:val="51024103"/>
    <w:rsid w:val="51275030"/>
    <w:rsid w:val="521215D8"/>
    <w:rsid w:val="54FB6F56"/>
    <w:rsid w:val="552D40CE"/>
    <w:rsid w:val="56BF4844"/>
    <w:rsid w:val="58852FE2"/>
    <w:rsid w:val="59DE3063"/>
    <w:rsid w:val="59F9238B"/>
    <w:rsid w:val="5B0E18F6"/>
    <w:rsid w:val="5BE17A95"/>
    <w:rsid w:val="5BFB1E7B"/>
    <w:rsid w:val="5C8B397B"/>
    <w:rsid w:val="5CE02269"/>
    <w:rsid w:val="5D2B747E"/>
    <w:rsid w:val="5D827897"/>
    <w:rsid w:val="5DD92690"/>
    <w:rsid w:val="5DDF7CE6"/>
    <w:rsid w:val="5EC33CF5"/>
    <w:rsid w:val="5F1C5B9B"/>
    <w:rsid w:val="5F555BE3"/>
    <w:rsid w:val="60D71B76"/>
    <w:rsid w:val="613A6544"/>
    <w:rsid w:val="61462282"/>
    <w:rsid w:val="616A131A"/>
    <w:rsid w:val="62126170"/>
    <w:rsid w:val="624A76B8"/>
    <w:rsid w:val="626B771F"/>
    <w:rsid w:val="62E96ED1"/>
    <w:rsid w:val="649E3CEB"/>
    <w:rsid w:val="657D51CC"/>
    <w:rsid w:val="674072DB"/>
    <w:rsid w:val="68D448FF"/>
    <w:rsid w:val="695876B9"/>
    <w:rsid w:val="6A1D5C82"/>
    <w:rsid w:val="6AA95198"/>
    <w:rsid w:val="6B84284F"/>
    <w:rsid w:val="6C364D11"/>
    <w:rsid w:val="6CA5589A"/>
    <w:rsid w:val="6D362951"/>
    <w:rsid w:val="6DCF05A0"/>
    <w:rsid w:val="6DE50BDD"/>
    <w:rsid w:val="6E8B1784"/>
    <w:rsid w:val="6F70543C"/>
    <w:rsid w:val="7036127C"/>
    <w:rsid w:val="70E7268E"/>
    <w:rsid w:val="726F14B0"/>
    <w:rsid w:val="7379604F"/>
    <w:rsid w:val="74985512"/>
    <w:rsid w:val="75727B1B"/>
    <w:rsid w:val="784D1858"/>
    <w:rsid w:val="78957610"/>
    <w:rsid w:val="79342425"/>
    <w:rsid w:val="7971702E"/>
    <w:rsid w:val="7A102B3D"/>
    <w:rsid w:val="7B95779E"/>
    <w:rsid w:val="7EF7279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iPriority="99" w:semiHidden="0" w:name="footnote text"/>
    <w:lsdException w:qFormat="1"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50"/>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5"/>
    <w:link w:val="35"/>
    <w:qFormat/>
    <w:uiPriority w:val="0"/>
    <w:pPr>
      <w:keepNext/>
      <w:keepLines/>
      <w:spacing w:before="260" w:after="260" w:line="416" w:lineRule="auto"/>
      <w:outlineLvl w:val="2"/>
    </w:pPr>
    <w:rPr>
      <w:b/>
      <w:sz w:val="32"/>
      <w:szCs w:val="20"/>
    </w:rPr>
  </w:style>
  <w:style w:type="paragraph" w:styleId="6">
    <w:name w:val="heading 4"/>
    <w:basedOn w:val="1"/>
    <w:next w:val="1"/>
    <w:link w:val="36"/>
    <w:qFormat/>
    <w:uiPriority w:val="0"/>
    <w:pPr>
      <w:keepNext/>
      <w:keepLines/>
      <w:spacing w:before="280" w:after="290" w:line="376" w:lineRule="auto"/>
      <w:outlineLvl w:val="3"/>
    </w:pPr>
    <w:rPr>
      <w:rFonts w:ascii="Arial" w:hAnsi="Arial" w:eastAsia="黑体"/>
      <w:b/>
      <w:bCs/>
      <w:sz w:val="28"/>
      <w:szCs w:val="28"/>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5">
    <w:name w:val="Normal Indent"/>
    <w:basedOn w:val="1"/>
    <w:link w:val="41"/>
    <w:qFormat/>
    <w:uiPriority w:val="0"/>
    <w:pPr>
      <w:ind w:firstLine="420" w:firstLineChars="200"/>
    </w:pPr>
  </w:style>
  <w:style w:type="paragraph" w:styleId="7">
    <w:name w:val="index 5"/>
    <w:basedOn w:val="1"/>
    <w:next w:val="1"/>
    <w:qFormat/>
    <w:uiPriority w:val="0"/>
    <w:pPr>
      <w:ind w:left="800" w:leftChars="800"/>
    </w:pPr>
  </w:style>
  <w:style w:type="paragraph" w:styleId="8">
    <w:name w:val="Document Map"/>
    <w:basedOn w:val="1"/>
    <w:semiHidden/>
    <w:qFormat/>
    <w:uiPriority w:val="0"/>
    <w:pPr>
      <w:shd w:val="clear" w:color="auto" w:fill="000080"/>
    </w:pPr>
  </w:style>
  <w:style w:type="paragraph" w:styleId="9">
    <w:name w:val="annotation text"/>
    <w:basedOn w:val="1"/>
    <w:link w:val="53"/>
    <w:qFormat/>
    <w:uiPriority w:val="0"/>
    <w:pPr>
      <w:jc w:val="left"/>
    </w:pPr>
  </w:style>
  <w:style w:type="paragraph" w:styleId="10">
    <w:name w:val="Body Text Indent"/>
    <w:basedOn w:val="1"/>
    <w:qFormat/>
    <w:uiPriority w:val="0"/>
    <w:pPr>
      <w:spacing w:after="120"/>
      <w:ind w:left="420" w:leftChars="200"/>
    </w:pPr>
  </w:style>
  <w:style w:type="paragraph" w:styleId="11">
    <w:name w:val="Plain Text"/>
    <w:basedOn w:val="1"/>
    <w:link w:val="40"/>
    <w:qFormat/>
    <w:uiPriority w:val="0"/>
    <w:pPr>
      <w:widowControl/>
      <w:spacing w:after="200" w:line="252" w:lineRule="auto"/>
      <w:jc w:val="left"/>
    </w:pPr>
    <w:rPr>
      <w:rFonts w:ascii="宋体" w:hAnsi="Courier New"/>
      <w:szCs w:val="20"/>
    </w:rPr>
  </w:style>
  <w:style w:type="paragraph" w:styleId="12">
    <w:name w:val="Date"/>
    <w:basedOn w:val="1"/>
    <w:next w:val="1"/>
    <w:link w:val="31"/>
    <w:qFormat/>
    <w:uiPriority w:val="0"/>
    <w:rPr>
      <w:sz w:val="24"/>
      <w:szCs w:val="20"/>
    </w:rPr>
  </w:style>
  <w:style w:type="paragraph" w:styleId="13">
    <w:name w:val="Balloon Text"/>
    <w:basedOn w:val="1"/>
    <w:link w:val="33"/>
    <w:qFormat/>
    <w:uiPriority w:val="0"/>
    <w:rPr>
      <w:sz w:val="18"/>
      <w:szCs w:val="18"/>
    </w:rPr>
  </w:style>
  <w:style w:type="paragraph" w:styleId="14">
    <w:name w:val="footer"/>
    <w:basedOn w:val="1"/>
    <w:qFormat/>
    <w:uiPriority w:val="0"/>
    <w:pPr>
      <w:tabs>
        <w:tab w:val="center" w:pos="4153"/>
        <w:tab w:val="right" w:pos="8306"/>
      </w:tabs>
      <w:snapToGrid w:val="0"/>
      <w:jc w:val="left"/>
    </w:pPr>
    <w:rPr>
      <w:sz w:val="18"/>
      <w:szCs w:val="18"/>
    </w:rPr>
  </w:style>
  <w:style w:type="paragraph" w:styleId="15">
    <w:name w:val="header"/>
    <w:basedOn w:val="1"/>
    <w:link w:val="42"/>
    <w:qFormat/>
    <w:uiPriority w:val="99"/>
    <w:pPr>
      <w:pBdr>
        <w:bottom w:val="single" w:color="auto" w:sz="6" w:space="1"/>
      </w:pBdr>
      <w:tabs>
        <w:tab w:val="center" w:pos="4153"/>
        <w:tab w:val="right" w:pos="8306"/>
      </w:tabs>
      <w:snapToGrid w:val="0"/>
      <w:jc w:val="center"/>
    </w:pPr>
    <w:rPr>
      <w:sz w:val="18"/>
      <w:szCs w:val="18"/>
    </w:rPr>
  </w:style>
  <w:style w:type="paragraph" w:styleId="16">
    <w:name w:val="toc 1"/>
    <w:basedOn w:val="1"/>
    <w:next w:val="1"/>
    <w:qFormat/>
    <w:uiPriority w:val="0"/>
  </w:style>
  <w:style w:type="paragraph" w:styleId="17">
    <w:name w:val="footnote text"/>
    <w:basedOn w:val="1"/>
    <w:next w:val="7"/>
    <w:unhideWhenUsed/>
    <w:qFormat/>
    <w:uiPriority w:val="99"/>
    <w:pPr>
      <w:snapToGrid w:val="0"/>
      <w:jc w:val="left"/>
    </w:pPr>
    <w:rPr>
      <w:sz w:val="18"/>
      <w:szCs w:val="18"/>
    </w:rPr>
  </w:style>
  <w:style w:type="paragraph" w:styleId="18">
    <w:name w:val="Body Text Indent 3"/>
    <w:basedOn w:val="1"/>
    <w:link w:val="32"/>
    <w:qFormat/>
    <w:uiPriority w:val="0"/>
    <w:pPr>
      <w:spacing w:after="120"/>
      <w:ind w:left="420" w:leftChars="200"/>
    </w:pPr>
    <w:rPr>
      <w:sz w:val="16"/>
      <w:szCs w:val="16"/>
    </w:rPr>
  </w:style>
  <w:style w:type="paragraph" w:styleId="19">
    <w:name w:val="toc 2"/>
    <w:basedOn w:val="1"/>
    <w:next w:val="1"/>
    <w:qFormat/>
    <w:uiPriority w:val="0"/>
    <w:pPr>
      <w:ind w:left="420" w:leftChars="200"/>
    </w:pPr>
  </w:style>
  <w:style w:type="paragraph" w:styleId="20">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21">
    <w:name w:val="annotation subject"/>
    <w:basedOn w:val="9"/>
    <w:next w:val="9"/>
    <w:link w:val="54"/>
    <w:qFormat/>
    <w:uiPriority w:val="0"/>
    <w:rPr>
      <w:b/>
      <w:bCs/>
    </w:r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5">
    <w:name w:val="Strong"/>
    <w:basedOn w:val="24"/>
    <w:qFormat/>
    <w:uiPriority w:val="22"/>
    <w:rPr>
      <w:b/>
      <w:bCs/>
    </w:rPr>
  </w:style>
  <w:style w:type="character" w:styleId="26">
    <w:name w:val="page number"/>
    <w:basedOn w:val="24"/>
    <w:qFormat/>
    <w:uiPriority w:val="0"/>
  </w:style>
  <w:style w:type="character" w:styleId="27">
    <w:name w:val="Emphasis"/>
    <w:basedOn w:val="24"/>
    <w:qFormat/>
    <w:uiPriority w:val="20"/>
    <w:rPr>
      <w:i/>
      <w:iCs/>
    </w:rPr>
  </w:style>
  <w:style w:type="character" w:styleId="28">
    <w:name w:val="Hyperlink"/>
    <w:basedOn w:val="24"/>
    <w:qFormat/>
    <w:uiPriority w:val="0"/>
    <w:rPr>
      <w:color w:val="0000FF"/>
      <w:u w:val="single"/>
    </w:rPr>
  </w:style>
  <w:style w:type="character" w:styleId="29">
    <w:name w:val="annotation reference"/>
    <w:basedOn w:val="24"/>
    <w:qFormat/>
    <w:uiPriority w:val="0"/>
    <w:rPr>
      <w:sz w:val="21"/>
      <w:szCs w:val="21"/>
    </w:rPr>
  </w:style>
  <w:style w:type="paragraph" w:customStyle="1" w:styleId="30">
    <w:name w:val="首行缩进"/>
    <w:basedOn w:val="1"/>
    <w:qFormat/>
    <w:uiPriority w:val="0"/>
    <w:pPr>
      <w:spacing w:line="360" w:lineRule="auto"/>
      <w:ind w:firstLine="480" w:firstLineChars="200"/>
      <w:jc w:val="left"/>
    </w:pPr>
    <w:rPr>
      <w:rFonts w:ascii="宋体" w:hAnsi="宋体"/>
      <w:sz w:val="24"/>
    </w:rPr>
  </w:style>
  <w:style w:type="character" w:customStyle="1" w:styleId="31">
    <w:name w:val="日期 Char"/>
    <w:basedOn w:val="24"/>
    <w:link w:val="12"/>
    <w:qFormat/>
    <w:uiPriority w:val="0"/>
    <w:rPr>
      <w:kern w:val="2"/>
      <w:sz w:val="24"/>
    </w:rPr>
  </w:style>
  <w:style w:type="character" w:customStyle="1" w:styleId="32">
    <w:name w:val="正文文本缩进 3 Char"/>
    <w:basedOn w:val="24"/>
    <w:link w:val="18"/>
    <w:qFormat/>
    <w:uiPriority w:val="0"/>
    <w:rPr>
      <w:kern w:val="2"/>
      <w:sz w:val="16"/>
      <w:szCs w:val="16"/>
    </w:rPr>
  </w:style>
  <w:style w:type="character" w:customStyle="1" w:styleId="33">
    <w:name w:val="批注框文本 Char"/>
    <w:basedOn w:val="24"/>
    <w:link w:val="13"/>
    <w:qFormat/>
    <w:uiPriority w:val="0"/>
    <w:rPr>
      <w:kern w:val="2"/>
      <w:sz w:val="18"/>
      <w:szCs w:val="18"/>
    </w:rPr>
  </w:style>
  <w:style w:type="character" w:customStyle="1" w:styleId="34">
    <w:name w:val="纯文本 Char"/>
    <w:qFormat/>
    <w:uiPriority w:val="99"/>
    <w:rPr>
      <w:rFonts w:ascii="宋体" w:hAnsi="Courier New"/>
      <w:kern w:val="2"/>
      <w:sz w:val="21"/>
    </w:rPr>
  </w:style>
  <w:style w:type="character" w:customStyle="1" w:styleId="35">
    <w:name w:val="标题 3 Char"/>
    <w:basedOn w:val="24"/>
    <w:link w:val="4"/>
    <w:qFormat/>
    <w:uiPriority w:val="0"/>
    <w:rPr>
      <w:b/>
      <w:kern w:val="2"/>
      <w:sz w:val="32"/>
    </w:rPr>
  </w:style>
  <w:style w:type="character" w:customStyle="1" w:styleId="36">
    <w:name w:val="标题 4 Char"/>
    <w:basedOn w:val="24"/>
    <w:link w:val="6"/>
    <w:qFormat/>
    <w:uiPriority w:val="0"/>
    <w:rPr>
      <w:rFonts w:ascii="Arial" w:hAnsi="Arial" w:eastAsia="黑体"/>
      <w:b/>
      <w:bCs/>
      <w:kern w:val="2"/>
      <w:sz w:val="28"/>
      <w:szCs w:val="28"/>
    </w:rPr>
  </w:style>
  <w:style w:type="character" w:customStyle="1" w:styleId="37">
    <w:name w:val="正文缩进2格 Char"/>
    <w:link w:val="38"/>
    <w:qFormat/>
    <w:uiPriority w:val="0"/>
    <w:rPr>
      <w:rFonts w:ascii="仿宋_GB2312" w:hAnsi="宋体" w:eastAsia="仿宋_GB2312"/>
      <w:sz w:val="31"/>
      <w:szCs w:val="28"/>
      <w:lang w:bidi="ar-SA"/>
    </w:rPr>
  </w:style>
  <w:style w:type="paragraph" w:customStyle="1" w:styleId="38">
    <w:name w:val="正文缩进2格"/>
    <w:basedOn w:val="1"/>
    <w:link w:val="37"/>
    <w:qFormat/>
    <w:uiPriority w:val="0"/>
    <w:pPr>
      <w:spacing w:line="600" w:lineRule="exact"/>
      <w:ind w:firstLine="639" w:firstLineChars="206"/>
    </w:pPr>
    <w:rPr>
      <w:rFonts w:ascii="仿宋_GB2312" w:hAnsi="宋体" w:eastAsia="仿宋_GB2312"/>
      <w:kern w:val="0"/>
      <w:sz w:val="31"/>
      <w:szCs w:val="28"/>
    </w:rPr>
  </w:style>
  <w:style w:type="character" w:customStyle="1" w:styleId="39">
    <w:name w:val="纯文本 Char2"/>
    <w:basedOn w:val="24"/>
    <w:qFormat/>
    <w:uiPriority w:val="0"/>
    <w:rPr>
      <w:rFonts w:ascii="宋体" w:hAnsi="Courier New" w:eastAsia="宋体"/>
      <w:kern w:val="2"/>
      <w:sz w:val="24"/>
      <w:lang w:val="en-US" w:eastAsia="zh-CN" w:bidi="ar-SA"/>
    </w:rPr>
  </w:style>
  <w:style w:type="character" w:customStyle="1" w:styleId="40">
    <w:name w:val="纯文本 Char1"/>
    <w:basedOn w:val="24"/>
    <w:link w:val="11"/>
    <w:qFormat/>
    <w:uiPriority w:val="0"/>
    <w:rPr>
      <w:rFonts w:ascii="宋体" w:hAnsi="Courier New" w:cs="Courier New"/>
      <w:kern w:val="2"/>
      <w:sz w:val="21"/>
      <w:szCs w:val="21"/>
    </w:rPr>
  </w:style>
  <w:style w:type="character" w:customStyle="1" w:styleId="41">
    <w:name w:val="正文缩进 Char"/>
    <w:link w:val="5"/>
    <w:qFormat/>
    <w:uiPriority w:val="0"/>
    <w:rPr>
      <w:rFonts w:eastAsia="宋体"/>
      <w:kern w:val="2"/>
      <w:sz w:val="21"/>
      <w:szCs w:val="24"/>
      <w:lang w:val="en-US" w:eastAsia="zh-CN" w:bidi="ar-SA"/>
    </w:rPr>
  </w:style>
  <w:style w:type="character" w:customStyle="1" w:styleId="42">
    <w:name w:val="页眉 Char"/>
    <w:link w:val="15"/>
    <w:qFormat/>
    <w:uiPriority w:val="99"/>
    <w:rPr>
      <w:kern w:val="2"/>
      <w:sz w:val="18"/>
      <w:szCs w:val="18"/>
    </w:rPr>
  </w:style>
  <w:style w:type="paragraph" w:customStyle="1" w:styleId="43">
    <w:name w:val="Char"/>
    <w:basedOn w:val="8"/>
    <w:qFormat/>
    <w:uiPriority w:val="0"/>
    <w:rPr>
      <w:rFonts w:ascii="Tahoma" w:hAnsi="Tahoma"/>
      <w:sz w:val="24"/>
    </w:rPr>
  </w:style>
  <w:style w:type="paragraph" w:customStyle="1" w:styleId="44">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45">
    <w:name w:val="msonormalcxspmiddle"/>
    <w:basedOn w:val="1"/>
    <w:qFormat/>
    <w:uiPriority w:val="0"/>
    <w:pPr>
      <w:widowControl/>
      <w:spacing w:before="100" w:beforeAutospacing="1" w:after="100" w:afterAutospacing="1"/>
      <w:jc w:val="left"/>
    </w:pPr>
    <w:rPr>
      <w:rFonts w:ascii="宋体" w:hAnsi="宋体" w:cs="宋体"/>
      <w:kern w:val="0"/>
      <w:sz w:val="24"/>
    </w:rPr>
  </w:style>
  <w:style w:type="paragraph" w:customStyle="1" w:styleId="46">
    <w:name w:val="Char1"/>
    <w:basedOn w:val="1"/>
    <w:qFormat/>
    <w:uiPriority w:val="0"/>
    <w:pPr>
      <w:tabs>
        <w:tab w:val="left" w:pos="360"/>
      </w:tabs>
    </w:pPr>
    <w:rPr>
      <w:color w:val="000000"/>
      <w:sz w:val="24"/>
    </w:rPr>
  </w:style>
  <w:style w:type="paragraph" w:customStyle="1" w:styleId="47">
    <w:name w:val="Char Char Char Char"/>
    <w:basedOn w:val="8"/>
    <w:qFormat/>
    <w:uiPriority w:val="0"/>
    <w:pPr>
      <w:adjustRightInd w:val="0"/>
      <w:snapToGrid w:val="0"/>
      <w:spacing w:line="360" w:lineRule="auto"/>
    </w:pPr>
    <w:rPr>
      <w:szCs w:val="20"/>
    </w:rPr>
  </w:style>
  <w:style w:type="character" w:customStyle="1" w:styleId="48">
    <w:name w:val="p0 Char"/>
    <w:link w:val="49"/>
    <w:qFormat/>
    <w:uiPriority w:val="0"/>
    <w:rPr>
      <w:sz w:val="21"/>
      <w:szCs w:val="21"/>
    </w:rPr>
  </w:style>
  <w:style w:type="paragraph" w:customStyle="1" w:styleId="49">
    <w:name w:val="p0"/>
    <w:basedOn w:val="1"/>
    <w:link w:val="48"/>
    <w:qFormat/>
    <w:uiPriority w:val="0"/>
    <w:pPr>
      <w:widowControl/>
    </w:pPr>
    <w:rPr>
      <w:kern w:val="0"/>
      <w:szCs w:val="21"/>
    </w:rPr>
  </w:style>
  <w:style w:type="character" w:customStyle="1" w:styleId="50">
    <w:name w:val="标题 2 Char"/>
    <w:link w:val="3"/>
    <w:qFormat/>
    <w:uiPriority w:val="0"/>
    <w:rPr>
      <w:rFonts w:ascii="Arial" w:hAnsi="Arial" w:eastAsia="黑体"/>
      <w:b/>
      <w:bCs/>
      <w:kern w:val="2"/>
      <w:sz w:val="32"/>
      <w:szCs w:val="32"/>
    </w:rPr>
  </w:style>
  <w:style w:type="paragraph" w:customStyle="1" w:styleId="51">
    <w:name w:val="*正文"/>
    <w:basedOn w:val="1"/>
    <w:qFormat/>
    <w:uiPriority w:val="99"/>
    <w:pPr>
      <w:snapToGrid w:val="0"/>
      <w:spacing w:line="360" w:lineRule="auto"/>
      <w:ind w:firstLine="482"/>
    </w:pPr>
    <w:rPr>
      <w:rFonts w:eastAsia="仿宋_GB2312"/>
      <w:sz w:val="28"/>
    </w:rPr>
  </w:style>
  <w:style w:type="paragraph" w:styleId="52">
    <w:name w:val="List Paragraph"/>
    <w:basedOn w:val="1"/>
    <w:unhideWhenUsed/>
    <w:qFormat/>
    <w:uiPriority w:val="99"/>
    <w:pPr>
      <w:ind w:firstLine="420" w:firstLineChars="200"/>
    </w:pPr>
  </w:style>
  <w:style w:type="character" w:customStyle="1" w:styleId="53">
    <w:name w:val="批注文字 Char"/>
    <w:basedOn w:val="24"/>
    <w:link w:val="9"/>
    <w:qFormat/>
    <w:uiPriority w:val="0"/>
    <w:rPr>
      <w:kern w:val="2"/>
      <w:sz w:val="21"/>
      <w:szCs w:val="24"/>
    </w:rPr>
  </w:style>
  <w:style w:type="character" w:customStyle="1" w:styleId="54">
    <w:name w:val="批注主题 Char"/>
    <w:basedOn w:val="53"/>
    <w:link w:val="21"/>
    <w:qFormat/>
    <w:uiPriority w:val="0"/>
    <w:rPr>
      <w:b/>
      <w:bCs/>
      <w:kern w:val="2"/>
      <w:sz w:val="21"/>
      <w:szCs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AF763C2-6208-4389-9417-84ED3CCEE251}">
  <ds:schemaRefs/>
</ds:datastoreItem>
</file>

<file path=docProps/app.xml><?xml version="1.0" encoding="utf-8"?>
<Properties xmlns="http://schemas.openxmlformats.org/officeDocument/2006/extended-properties" xmlns:vt="http://schemas.openxmlformats.org/officeDocument/2006/docPropsVTypes">
  <Template>Normal</Template>
  <Company>kdc</Company>
  <Pages>61</Pages>
  <Words>7217</Words>
  <Characters>8073</Characters>
  <Lines>256</Lines>
  <Paragraphs>72</Paragraphs>
  <TotalTime>0</TotalTime>
  <ScaleCrop>false</ScaleCrop>
  <LinksUpToDate>false</LinksUpToDate>
  <CharactersWithSpaces>8196</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2026-03-23T00:35:00Z</dcterms:created>
  <dc:creator>chencd</dc:creator>
  <cp:lastModifiedBy>魏小美</cp:lastModifiedBy>
  <cp:lastPrinted>2019-04-16T01:48:00Z</cp:lastPrinted>
  <dcterms:modified xsi:type="dcterms:W3CDTF">2026-04-09T10:26:27Z</dcterms:modified>
  <dc:title>招标技术规格及要求</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660BFF63739345049711352F77E7848F_13</vt:lpwstr>
  </property>
  <property fmtid="{D5CDD505-2E9C-101B-9397-08002B2CF9AE}" pid="4" name="KSOTemplateDocerSaveRecord">
    <vt:lpwstr>eyJoZGlkIjoiYmViMmMzOTZmM2RlY2U5YzgxYmVjYmVmOThmZDA4MzIiLCJ1c2VySWQiOiI2MzQ3ODY4MTAifQ==</vt:lpwstr>
  </property>
</Properties>
</file>