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660"/>
        <w:rPr>
          <w:rFonts w:ascii="楷体_GB2312" w:eastAsia="楷体_GB2312"/>
          <w:bCs/>
          <w:color w:val="auto"/>
          <w:sz w:val="30"/>
          <w:highlight w:val="none"/>
        </w:rPr>
      </w:pPr>
      <w:r>
        <w:rPr>
          <w:rFonts w:ascii="楷体_GB2312" w:eastAsia="楷体_GB2312"/>
          <w:bCs/>
          <w:color w:val="auto"/>
          <w:sz w:val="30"/>
          <w:highlight w:val="none"/>
        </w:rPr>
      </w:r>
      <w:r/>
    </w:p>
    <w:p>
      <w:pPr>
        <w:ind w:left="660"/>
        <w:rPr>
          <w:rFonts w:ascii="楷体_GB2312" w:eastAsia="楷体_GB2312"/>
          <w:bCs/>
          <w:color w:val="auto"/>
          <w:sz w:val="30"/>
          <w:highlight w:val="none"/>
        </w:rPr>
      </w:pPr>
      <w:r>
        <w:rPr>
          <w:rFonts w:ascii="楷体_GB2312" w:eastAsia="楷体_GB2312"/>
          <w:bCs/>
          <w:color w:val="auto"/>
          <w:sz w:val="30"/>
          <w:highlight w:val="none"/>
        </w:rPr>
      </w:r>
      <w:r/>
    </w:p>
    <w:p>
      <w:pPr>
        <w:ind w:left="660"/>
        <w:rPr>
          <w:rFonts w:ascii="楷体_GB2312" w:eastAsia="楷体_GB2312"/>
          <w:bCs/>
          <w:color w:val="auto"/>
          <w:sz w:val="30"/>
          <w:highlight w:val="none"/>
        </w:rPr>
      </w:pPr>
      <w:r>
        <w:rPr>
          <w:rFonts w:ascii="楷体_GB2312" w:eastAsia="楷体_GB2312"/>
          <w:bCs/>
          <w:color w:val="auto"/>
          <w:sz w:val="30"/>
          <w:highlight w:val="none"/>
        </w:rPr>
      </w:r>
      <w:r/>
    </w:p>
    <w:p>
      <w:pPr>
        <w:ind w:left="660"/>
        <w:rPr>
          <w:rFonts w:ascii="楷体_GB2312" w:eastAsia="楷体_GB2312"/>
          <w:bCs/>
          <w:color w:val="auto"/>
          <w:sz w:val="30"/>
          <w:highlight w:val="none"/>
        </w:rPr>
      </w:pPr>
      <w:r>
        <w:rPr>
          <w:rFonts w:ascii="楷体_GB2312" w:eastAsia="楷体_GB2312"/>
          <w:bCs/>
          <w:color w:val="auto"/>
          <w:sz w:val="30"/>
          <w:highlight w:val="none"/>
        </w:rPr>
      </w:r>
      <w:r/>
    </w:p>
    <w:p>
      <w:pPr>
        <w:ind w:left="660"/>
        <w:rPr>
          <w:rFonts w:ascii="楷体_GB2312" w:eastAsia="楷体_GB2312"/>
          <w:bCs/>
          <w:color w:val="auto"/>
          <w:sz w:val="30"/>
          <w:highlight w:val="none"/>
        </w:rPr>
      </w:pPr>
      <w:r>
        <w:rPr>
          <w:rFonts w:ascii="楷体_GB2312" w:eastAsia="楷体_GB2312"/>
          <w:bCs/>
          <w:color w:val="auto"/>
          <w:sz w:val="30"/>
          <w:highlight w:val="none"/>
        </w:rPr>
      </w:r>
      <w:r/>
    </w:p>
    <w:p>
      <w:pPr>
        <w:ind w:left="660"/>
        <w:rPr>
          <w:rFonts w:ascii="楷体_GB2312" w:eastAsia="楷体_GB2312"/>
          <w:bCs/>
          <w:color w:val="auto"/>
          <w:sz w:val="30"/>
          <w:highlight w:val="none"/>
        </w:rPr>
      </w:pPr>
      <w:r>
        <w:rPr>
          <w:rFonts w:ascii="楷体_GB2312" w:eastAsia="楷体_GB2312"/>
          <w:bCs/>
          <w:color w:val="auto"/>
          <w:sz w:val="30"/>
          <w:highlight w:val="none"/>
        </w:rPr>
      </w:r>
      <w:r/>
    </w:p>
    <w:p>
      <w:pPr>
        <w:jc w:val="center"/>
        <w:rPr>
          <w:rFonts w:hint="eastAsia" w:ascii="黑体" w:hAnsi="华文中宋" w:eastAsia="黑体"/>
          <w:bCs/>
          <w:color w:val="auto"/>
          <w:spacing w:val="20"/>
          <w:sz w:val="72"/>
          <w:szCs w:val="72"/>
          <w:highlight w:val="none"/>
        </w:rPr>
      </w:pPr>
      <w:r>
        <w:rPr>
          <w:rFonts w:hint="eastAsia" w:ascii="黑体" w:hAnsi="华文中宋" w:eastAsia="黑体"/>
          <w:bCs/>
          <w:color w:val="auto"/>
          <w:spacing w:val="20"/>
          <w:sz w:val="72"/>
          <w:szCs w:val="72"/>
          <w:highlight w:val="none"/>
        </w:rPr>
        <w:t xml:space="preserve">无锡市新吴区政府采购</w:t>
      </w:r>
      <w:r/>
    </w:p>
    <w:p>
      <w:pPr>
        <w:rPr>
          <w:rFonts w:hint="eastAsia" w:ascii="华文中宋" w:hAnsi="华文中宋" w:eastAsia="华文中宋"/>
          <w:bCs/>
          <w:color w:val="auto"/>
          <w:sz w:val="30"/>
          <w:highlight w:val="none"/>
        </w:rPr>
      </w:pPr>
      <w:r>
        <w:rPr>
          <w:rFonts w:hint="eastAsia" w:ascii="华文中宋" w:hAnsi="华文中宋" w:eastAsia="华文中宋"/>
          <w:bCs/>
          <w:color w:val="auto"/>
          <w:sz w:val="30"/>
          <w:highlight w:val="none"/>
        </w:rPr>
      </w:r>
      <w:r/>
    </w:p>
    <w:p>
      <w:pPr>
        <w:jc w:val="center"/>
        <w:tabs>
          <w:tab w:val="left" w:pos="9921" w:leader="none"/>
        </w:tabs>
        <w:rPr>
          <w:rFonts w:hint="eastAsia" w:ascii="华文中宋" w:hAnsi="华文中宋" w:eastAsia="华文中宋"/>
          <w:bCs/>
          <w:color w:val="auto"/>
          <w:sz w:val="30"/>
          <w:highlight w:val="none"/>
        </w:rPr>
      </w:pPr>
      <w:r>
        <w:rPr>
          <w:rFonts w:hint="eastAsia" w:ascii="华文中宋" w:hAnsi="华文中宋" w:eastAsia="华文中宋"/>
          <w:bCs/>
          <w:color w:val="auto"/>
          <w:sz w:val="30"/>
          <w:highlight w:val="none"/>
        </w:rPr>
        <w:t xml:space="preserve">（全流程电子化）</w:t>
      </w:r>
      <w:r/>
    </w:p>
    <w:p>
      <w:pPr>
        <w:rPr>
          <w:rFonts w:hint="eastAsia" w:ascii="华文中宋" w:hAnsi="华文中宋" w:eastAsia="华文中宋"/>
          <w:bCs/>
          <w:color w:val="auto"/>
          <w:sz w:val="30"/>
          <w:highlight w:val="none"/>
        </w:rPr>
      </w:pPr>
      <w:r>
        <w:rPr>
          <w:rFonts w:hint="eastAsia" w:ascii="华文中宋" w:hAnsi="华文中宋" w:eastAsia="华文中宋"/>
          <w:bCs/>
          <w:color w:val="auto"/>
          <w:sz w:val="30"/>
          <w:highlight w:val="none"/>
        </w:rPr>
      </w:r>
      <w:r/>
    </w:p>
    <w:p>
      <w:pPr>
        <w:rPr>
          <w:rFonts w:hint="eastAsia" w:ascii="华文中宋" w:hAnsi="华文中宋" w:eastAsia="华文中宋"/>
          <w:bCs/>
          <w:color w:val="auto"/>
          <w:sz w:val="30"/>
          <w:highlight w:val="none"/>
        </w:rPr>
      </w:pPr>
      <w:r>
        <w:rPr>
          <w:rFonts w:hint="eastAsia" w:ascii="华文中宋" w:hAnsi="华文中宋" w:eastAsia="华文中宋"/>
          <w:bCs/>
          <w:color w:val="auto"/>
          <w:sz w:val="30"/>
          <w:highlight w:val="none"/>
        </w:rPr>
      </w:r>
      <w:r/>
    </w:p>
    <w:p>
      <w:pPr>
        <w:jc w:val="center"/>
        <w:rPr>
          <w:rFonts w:hint="eastAsia" w:ascii="黑体" w:hAnsi="华文中宋" w:eastAsia="黑体"/>
          <w:bCs/>
          <w:color w:val="auto"/>
          <w:spacing w:val="20"/>
          <w:sz w:val="48"/>
          <w:szCs w:val="48"/>
          <w:highlight w:val="none"/>
        </w:rPr>
      </w:pPr>
      <w:r>
        <w:rPr>
          <w:rFonts w:hint="eastAsia" w:ascii="黑体" w:hAnsi="华文中宋" w:eastAsia="黑体"/>
          <w:bCs/>
          <w:color w:val="auto"/>
          <w:spacing w:val="20"/>
          <w:sz w:val="48"/>
          <w:szCs w:val="48"/>
          <w:highlight w:val="none"/>
        </w:rPr>
        <w:t xml:space="preserve">公开</w:t>
      </w:r>
      <w:r/>
    </w:p>
    <w:p>
      <w:pPr>
        <w:jc w:val="center"/>
        <w:rPr>
          <w:rFonts w:hint="eastAsia" w:ascii="黑体" w:hAnsi="华文中宋" w:eastAsia="黑体"/>
          <w:bCs/>
          <w:color w:val="auto"/>
          <w:spacing w:val="20"/>
          <w:sz w:val="52"/>
          <w:szCs w:val="52"/>
          <w:highlight w:val="none"/>
        </w:rPr>
      </w:pPr>
      <w:r>
        <w:rPr>
          <w:color w:val="auto"/>
          <w:highlight w:val="none"/>
        </w:rPr>
        <mc:AlternateContent>
          <mc:Choice Requires="wpg">
            <w:drawing>
              <wp:anchor xmlns:wp="http://schemas.openxmlformats.org/drawingml/2006/wordprocessingDrawing" xmlns:wp14="http://schemas.microsoft.com/office/word/2010/wordprocessingDrawing" distT="0" distB="0" distL="0" distR="0" simplePos="0" relativeHeight="251660288" behindDoc="0" locked="0" layoutInCell="1" allowOverlap="1">
                <wp:simplePos x="0" y="0"/>
                <wp:positionH relativeFrom="column">
                  <wp:posOffset>-114300</wp:posOffset>
                </wp:positionH>
                <wp:positionV relativeFrom="paragraph">
                  <wp:posOffset>198120</wp:posOffset>
                </wp:positionV>
                <wp:extent cx="1270" cy="0"/>
                <wp:effectExtent l="0" t="4445" r="0" b="5080"/>
                <wp:wrapNone/>
                <wp:docPr id="2" name="shape 0"/>
                <wp:cNvGraphicFramePr/>
                <a:graphic xmlns:a="http://schemas.openxmlformats.org/drawingml/2006/main">
                  <a:graphicData uri="http://schemas.microsoft.com/office/word/2010/wordprocessingShape">
                    <wps:wsp>
                      <wps:cNvPr id="0" name=""/>
                      <wps:cNvSpPr/>
                      <wps:spPr bwMode="auto">
                        <a:xfrm>
                          <a:off x="0" y="0"/>
                          <a:ext cx="1270" cy="0"/>
                        </a:xfrm>
                        <a:prstGeom prst="line">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line id="shape 1" o:spid="_x0000_s1" style="position:absolute;left:0;text-align:left;z-index:251660288;mso-wrap-distance-left:0.0pt;mso-wrap-distance-top:0.0pt;mso-wrap-distance-right:0.0pt;mso-wrap-distance-bottom:0.0pt;visibility:visible;" from="-9.0pt,15.6pt" to="-8.9pt,15.6pt" filled="f" strokecolor="#000000" strokeweight="0.75pt">
                <v:stroke dashstyle="solid"/>
              </v:line>
            </w:pict>
          </mc:Fallback>
        </mc:AlternateContent>
      </w:r>
      <w:r>
        <w:rPr>
          <w:rFonts w:hint="eastAsia" w:ascii="黑体" w:hAnsi="华文中宋" w:eastAsia="黑体"/>
          <w:bCs/>
          <w:color w:val="auto"/>
          <w:spacing w:val="20"/>
          <w:sz w:val="52"/>
          <w:szCs w:val="52"/>
          <w:highlight w:val="none"/>
        </w:rPr>
        <w:t xml:space="preserve">招标文件</w:t>
      </w:r>
      <w:r/>
    </w:p>
    <w:p>
      <w:pPr>
        <w:jc w:val="center"/>
        <w:rPr>
          <w:rFonts w:hint="eastAsia" w:ascii="黑体" w:hAnsi="华文中宋" w:eastAsia="黑体"/>
          <w:bCs/>
          <w:color w:val="auto"/>
          <w:spacing w:val="20"/>
          <w:sz w:val="52"/>
          <w:szCs w:val="52"/>
          <w:highlight w:val="none"/>
        </w:rPr>
      </w:pPr>
      <w:r>
        <w:rPr>
          <w:rFonts w:hint="eastAsia" w:ascii="黑体" w:hAnsi="华文中宋" w:eastAsia="黑体"/>
          <w:bCs/>
          <w:color w:val="auto"/>
          <w:spacing w:val="20"/>
          <w:sz w:val="52"/>
          <w:szCs w:val="52"/>
          <w:highlight w:val="none"/>
        </w:rPr>
        <w:t xml:space="preserve">（暗标）</w:t>
      </w:r>
      <w:r/>
    </w:p>
    <w:p>
      <w:pPr>
        <w:rPr>
          <w:rFonts w:hint="eastAsia" w:ascii="华文中宋" w:hAnsi="华文中宋" w:eastAsia="华文中宋"/>
          <w:bCs/>
          <w:color w:val="auto"/>
          <w:sz w:val="30"/>
          <w:highlight w:val="none"/>
        </w:rPr>
      </w:pPr>
      <w:r>
        <w:rPr>
          <w:rFonts w:hint="eastAsia" w:ascii="华文中宋" w:hAnsi="华文中宋" w:eastAsia="华文中宋"/>
          <w:bCs/>
          <w:color w:val="auto"/>
          <w:sz w:val="30"/>
          <w:highlight w:val="none"/>
        </w:rPr>
      </w:r>
      <w:r/>
    </w:p>
    <w:p>
      <w:pPr>
        <w:jc w:val="left"/>
        <w:rPr>
          <w:rFonts w:hint="eastAsia" w:ascii="华文中宋" w:hAnsi="华文中宋" w:eastAsia="华文中宋"/>
          <w:bCs/>
          <w:color w:val="auto"/>
          <w:sz w:val="30"/>
          <w:highlight w:val="none"/>
        </w:rPr>
      </w:pPr>
      <w:r>
        <w:rPr>
          <w:rFonts w:hint="eastAsia" w:ascii="华文中宋" w:hAnsi="华文中宋" w:eastAsia="华文中宋"/>
          <w:bCs/>
          <w:color w:val="auto"/>
          <w:sz w:val="30"/>
          <w:highlight w:val="none"/>
        </w:rPr>
      </w:r>
      <w:r/>
    </w:p>
    <w:p>
      <w:pPr>
        <w:ind w:firstLine="900"/>
        <w:rPr>
          <w:rFonts w:hint="eastAsia" w:ascii="黑体" w:hAnsi="华文中宋" w:eastAsia="黑体"/>
          <w:bCs/>
          <w:color w:val="auto"/>
          <w:sz w:val="30"/>
          <w:szCs w:val="30"/>
          <w:highlight w:val="none"/>
        </w:rPr>
      </w:pPr>
      <w:r>
        <w:rPr>
          <w:rFonts w:hint="eastAsia" w:ascii="黑体" w:hAnsi="华文中宋" w:eastAsia="黑体"/>
          <w:bCs/>
          <w:color w:val="auto"/>
          <w:sz w:val="30"/>
          <w:szCs w:val="30"/>
          <w:highlight w:val="none"/>
        </w:rPr>
      </w:r>
      <w:r/>
    </w:p>
    <w:p>
      <w:pPr>
        <w:ind w:firstLine="900"/>
        <w:rPr>
          <w:rFonts w:hint="eastAsia" w:ascii="黑体" w:hAnsi="华文中宋" w:eastAsia="黑体"/>
          <w:bCs/>
          <w:color w:val="auto"/>
          <w:sz w:val="30"/>
          <w:szCs w:val="30"/>
          <w:highlight w:val="none"/>
        </w:rPr>
      </w:pPr>
      <w:r>
        <w:rPr>
          <w:rFonts w:hint="eastAsia" w:ascii="黑体" w:hAnsi="华文中宋" w:eastAsia="黑体"/>
          <w:bCs/>
          <w:color w:val="auto"/>
          <w:sz w:val="30"/>
          <w:szCs w:val="30"/>
          <w:highlight w:val="none"/>
        </w:rPr>
      </w:r>
      <w:r/>
    </w:p>
    <w:p>
      <w:pPr>
        <w:ind w:firstLine="900"/>
        <w:rPr>
          <w:rFonts w:hint="eastAsia" w:ascii="黑体" w:hAnsi="华文中宋" w:eastAsia="黑体"/>
          <w:bCs/>
          <w:color w:val="auto"/>
          <w:sz w:val="30"/>
          <w:szCs w:val="30"/>
          <w:highlight w:val="none"/>
        </w:rPr>
      </w:pPr>
      <w:r>
        <w:rPr>
          <w:rFonts w:hint="eastAsia" w:ascii="黑体" w:hAnsi="华文中宋" w:eastAsia="黑体"/>
          <w:bCs/>
          <w:color w:val="auto"/>
          <w:sz w:val="30"/>
          <w:szCs w:val="30"/>
          <w:highlight w:val="none"/>
        </w:rPr>
      </w:r>
      <w:r/>
    </w:p>
    <w:p>
      <w:pPr>
        <w:ind w:firstLine="900"/>
        <w:rPr>
          <w:rFonts w:hint="eastAsia" w:ascii="黑体" w:hAnsi="华文中宋" w:eastAsia="黑体"/>
          <w:bCs/>
          <w:color w:val="auto"/>
          <w:sz w:val="30"/>
          <w:szCs w:val="30"/>
          <w:highlight w:val="none"/>
        </w:rPr>
      </w:pPr>
      <w:r>
        <w:rPr>
          <w:rFonts w:hint="eastAsia" w:ascii="黑体" w:hAnsi="华文中宋" w:eastAsia="黑体"/>
          <w:bCs/>
          <w:color w:val="auto"/>
          <w:sz w:val="30"/>
          <w:szCs w:val="30"/>
          <w:highlight w:val="none"/>
        </w:rPr>
      </w:r>
      <w:r/>
    </w:p>
    <w:p>
      <w:pPr>
        <w:ind w:firstLine="900"/>
        <w:rPr>
          <w:rFonts w:hint="eastAsia" w:ascii="黑体" w:hAnsi="华文中宋" w:eastAsia="黑体"/>
          <w:bCs/>
          <w:color w:val="auto"/>
          <w:sz w:val="30"/>
          <w:szCs w:val="30"/>
          <w:highlight w:val="none"/>
        </w:rPr>
      </w:pPr>
      <w:r>
        <w:rPr>
          <w:rFonts w:hint="eastAsia" w:ascii="黑体" w:hAnsi="华文中宋" w:eastAsia="黑体"/>
          <w:bCs/>
          <w:color w:val="auto"/>
          <w:sz w:val="30"/>
          <w:szCs w:val="30"/>
          <w:highlight w:val="none"/>
        </w:rPr>
      </w:r>
      <w:r/>
    </w:p>
    <w:p>
      <w:pPr>
        <w:ind w:firstLine="900"/>
        <w:jc w:val="left"/>
        <w:rPr>
          <w:rFonts w:hint="eastAsia" w:ascii="黑体" w:hAnsi="华文中宋" w:eastAsia="黑体"/>
          <w:bCs/>
          <w:color w:val="auto"/>
          <w:sz w:val="30"/>
          <w:szCs w:val="30"/>
          <w:highlight w:val="none"/>
        </w:rPr>
      </w:pPr>
      <w:r>
        <w:rPr>
          <w:rFonts w:hint="eastAsia" w:ascii="黑体" w:hAnsi="华文中宋" w:eastAsia="黑体"/>
          <w:bCs/>
          <w:color w:val="auto"/>
          <w:sz w:val="30"/>
          <w:szCs w:val="30"/>
          <w:highlight w:val="none"/>
        </w:rPr>
        <w:t xml:space="preserve">采购项目编号：</w:t>
      </w:r>
      <w:r>
        <w:rPr>
          <w:rFonts w:hint="eastAsia" w:ascii="黑体" w:hAnsi="华文中宋" w:eastAsia="黑体"/>
          <w:bCs/>
          <w:color w:val="auto"/>
          <w:sz w:val="30"/>
          <w:szCs w:val="30"/>
          <w:highlight w:val="none"/>
          <w:lang w:eastAsia="zh-CN"/>
        </w:rPr>
        <w:t xml:space="preserve">JSZC-320214-JAGC-G2026-0003</w:t>
      </w:r>
      <w:r/>
    </w:p>
    <w:p>
      <w:pPr>
        <w:ind w:left="2995" w:hanging="2100"/>
        <w:jc w:val="left"/>
        <w:rPr>
          <w:rFonts w:hint="eastAsia" w:ascii="黑体" w:hAnsi="华文中宋" w:eastAsia="黑体"/>
          <w:bCs/>
          <w:color w:val="auto"/>
          <w:sz w:val="30"/>
          <w:szCs w:val="30"/>
          <w:highlight w:val="none"/>
        </w:rPr>
      </w:pPr>
      <w:r>
        <w:rPr>
          <w:rFonts w:hint="eastAsia" w:ascii="黑体" w:hAnsi="华文中宋" w:eastAsia="黑体"/>
          <w:bCs/>
          <w:color w:val="auto"/>
          <w:sz w:val="30"/>
          <w:szCs w:val="30"/>
          <w:highlight w:val="none"/>
        </w:rPr>
      </w:r>
      <w:r/>
    </w:p>
    <w:p>
      <w:pPr>
        <w:ind w:left="2995" w:hanging="2100"/>
        <w:jc w:val="left"/>
        <w:rPr>
          <w:rFonts w:hint="eastAsia" w:ascii="黑体" w:hAnsi="华文中宋" w:eastAsia="黑体"/>
          <w:bCs/>
          <w:color w:val="auto"/>
          <w:sz w:val="30"/>
          <w:szCs w:val="30"/>
          <w:highlight w:val="none"/>
          <w:lang w:eastAsia="zh-CN"/>
        </w:rPr>
      </w:pPr>
      <w:r>
        <w:rPr>
          <w:rFonts w:hint="eastAsia" w:ascii="黑体" w:hAnsi="华文中宋" w:eastAsia="黑体"/>
          <w:bCs/>
          <w:color w:val="auto"/>
          <w:sz w:val="30"/>
          <w:szCs w:val="30"/>
          <w:highlight w:val="none"/>
        </w:rPr>
        <w:t xml:space="preserve">采购项目名称：</w:t>
      </w:r>
      <w:r>
        <w:rPr>
          <w:rFonts w:hint="eastAsia" w:ascii="黑体" w:hAnsi="华文中宋" w:eastAsia="黑体"/>
          <w:bCs/>
          <w:color w:val="auto"/>
          <w:sz w:val="30"/>
          <w:szCs w:val="30"/>
          <w:highlight w:val="none"/>
          <w:lang w:val="en-US" w:eastAsia="zh-CN"/>
        </w:rPr>
        <w:t xml:space="preserve">2026年-2029年硕放街道市政雨污管网养护服务外包项目</w:t>
      </w:r>
      <w:r/>
    </w:p>
    <w:p>
      <w:pPr>
        <w:ind w:firstLine="900"/>
        <w:jc w:val="left"/>
        <w:rPr>
          <w:rFonts w:hint="eastAsia" w:ascii="黑体" w:hAnsi="华文中宋" w:eastAsia="黑体"/>
          <w:bCs/>
          <w:color w:val="auto"/>
          <w:sz w:val="30"/>
          <w:szCs w:val="30"/>
          <w:highlight w:val="none"/>
        </w:rPr>
      </w:pPr>
      <w:r>
        <w:rPr>
          <w:rFonts w:hint="eastAsia" w:ascii="黑体" w:hAnsi="华文中宋" w:eastAsia="黑体"/>
          <w:bCs/>
          <w:color w:val="auto"/>
          <w:sz w:val="30"/>
          <w:szCs w:val="30"/>
          <w:highlight w:val="none"/>
        </w:rPr>
      </w:r>
      <w:r/>
    </w:p>
    <w:p>
      <w:pPr>
        <w:ind w:firstLine="900"/>
        <w:jc w:val="left"/>
        <w:rPr>
          <w:rFonts w:hint="eastAsia" w:ascii="黑体" w:hAnsi="华文中宋" w:eastAsia="黑体"/>
          <w:bCs/>
          <w:color w:val="auto"/>
          <w:sz w:val="30"/>
          <w:szCs w:val="30"/>
          <w:highlight w:val="none"/>
          <w:lang w:eastAsia="zh-CN"/>
        </w:rPr>
      </w:pPr>
      <w:r>
        <w:rPr>
          <w:rFonts w:hint="eastAsia" w:ascii="黑体" w:hAnsi="华文中宋" w:eastAsia="黑体"/>
          <w:bCs/>
          <w:color w:val="auto"/>
          <w:sz w:val="30"/>
          <w:szCs w:val="30"/>
          <w:highlight w:val="none"/>
        </w:rPr>
        <w:t xml:space="preserve">采购代理机构：</w:t>
      </w:r>
      <w:r>
        <w:rPr>
          <w:rFonts w:hint="eastAsia" w:ascii="黑体" w:hAnsi="华文中宋" w:eastAsia="黑体"/>
          <w:bCs/>
          <w:color w:val="auto"/>
          <w:sz w:val="30"/>
          <w:szCs w:val="30"/>
          <w:highlight w:val="none"/>
          <w:lang w:eastAsia="zh-CN"/>
        </w:rPr>
        <w:t xml:space="preserve">江苏君安工程管理咨询有限公司</w:t>
      </w:r>
      <w:r/>
    </w:p>
    <w:p>
      <w:pPr>
        <w:rPr>
          <w:rFonts w:hint="eastAsia" w:ascii="华文中宋" w:hAnsi="华文中宋" w:eastAsia="华文中宋"/>
          <w:bCs/>
          <w:color w:val="auto"/>
          <w:sz w:val="32"/>
          <w:highlight w:val="none"/>
        </w:rPr>
      </w:pPr>
      <w:r>
        <w:rPr>
          <w:rFonts w:hint="eastAsia" w:ascii="华文中宋" w:hAnsi="华文中宋" w:eastAsia="华文中宋"/>
          <w:bCs/>
          <w:color w:val="auto"/>
          <w:sz w:val="32"/>
          <w:highlight w:val="none"/>
        </w:rPr>
      </w:r>
      <w:r/>
    </w:p>
    <w:p>
      <w:pPr>
        <w:jc w:val="center"/>
        <w:rPr>
          <w:rFonts w:hint="eastAsia" w:ascii="黑体" w:hAnsi="华文中宋" w:eastAsia="黑体"/>
          <w:bCs/>
          <w:color w:val="auto"/>
          <w:sz w:val="30"/>
          <w:szCs w:val="30"/>
          <w:highlight w:val="none"/>
        </w:rPr>
      </w:pPr>
      <w:r>
        <w:rPr>
          <w:rFonts w:hint="eastAsia" w:ascii="黑体" w:hAnsi="华文中宋" w:eastAsia="黑体"/>
          <w:bCs/>
          <w:color w:val="auto"/>
          <w:sz w:val="30"/>
          <w:szCs w:val="30"/>
          <w:highlight w:val="none"/>
        </w:rPr>
        <w:t xml:space="preserve">二○二</w:t>
      </w:r>
      <w:r>
        <w:rPr>
          <w:rFonts w:hint="eastAsia" w:ascii="黑体" w:hAnsi="华文中宋" w:eastAsia="黑体"/>
          <w:bCs/>
          <w:color w:val="auto"/>
          <w:sz w:val="30"/>
          <w:szCs w:val="30"/>
          <w:highlight w:val="none"/>
          <w:lang w:val="en-US" w:eastAsia="zh-CN"/>
        </w:rPr>
        <w:t xml:space="preserve">六</w:t>
      </w:r>
      <w:r>
        <w:rPr>
          <w:rFonts w:hint="eastAsia" w:ascii="黑体" w:hAnsi="华文中宋" w:eastAsia="黑体"/>
          <w:bCs/>
          <w:color w:val="auto"/>
          <w:sz w:val="30"/>
          <w:szCs w:val="30"/>
          <w:highlight w:val="none"/>
        </w:rPr>
        <w:t xml:space="preserve">年</w:t>
      </w:r>
      <w:r>
        <w:rPr>
          <w:rFonts w:hint="eastAsia" w:ascii="黑体" w:hAnsi="华文中宋" w:eastAsia="黑体"/>
          <w:bCs/>
          <w:color w:val="auto"/>
          <w:sz w:val="30"/>
          <w:szCs w:val="30"/>
          <w:highlight w:val="none"/>
          <w:lang w:val="en-US" w:eastAsia="zh-CN"/>
        </w:rPr>
        <w:t xml:space="preserve">四</w:t>
      </w:r>
      <w:r>
        <w:rPr>
          <w:rFonts w:hint="eastAsia" w:ascii="黑体" w:hAnsi="华文中宋" w:eastAsia="黑体"/>
          <w:bCs/>
          <w:color w:val="auto"/>
          <w:sz w:val="30"/>
          <w:szCs w:val="30"/>
          <w:highlight w:val="none"/>
        </w:rPr>
        <w:t xml:space="preserve">月</w:t>
      </w:r>
      <w:r/>
    </w:p>
    <w:p>
      <w:pPr>
        <w:jc w:val="center"/>
        <w:rPr>
          <w:rStyle w:val="819"/>
          <w:rFonts w:eastAsia="黑体"/>
          <w:bCs/>
          <w:color w:val="auto"/>
          <w:sz w:val="48"/>
          <w:highlight w:val="none"/>
        </w:rPr>
      </w:pPr>
      <w:r>
        <w:rPr>
          <w:rStyle w:val="819"/>
          <w:rFonts w:eastAsia="黑体"/>
          <w:bCs/>
          <w:color w:val="auto"/>
          <w:sz w:val="48"/>
          <w:highlight w:val="none"/>
        </w:rPr>
        <w:br w:type="page" w:clear="all"/>
      </w:r>
      <w:r>
        <w:rPr>
          <w:rStyle w:val="819"/>
          <w:rFonts w:hint="eastAsia" w:eastAsia="黑体"/>
          <w:bCs/>
          <w:color w:val="auto"/>
          <w:sz w:val="48"/>
          <w:highlight w:val="none"/>
        </w:rPr>
        <w:t xml:space="preserve">目录</w:t>
      </w:r>
      <w:r/>
    </w:p>
    <w:p>
      <w:pPr>
        <w:jc w:val="center"/>
        <w:rPr>
          <w:rFonts w:ascii="黑体" w:eastAsia="黑体"/>
          <w:bCs/>
          <w:color w:val="auto"/>
          <w:sz w:val="30"/>
          <w:highlight w:val="none"/>
        </w:rPr>
      </w:pPr>
      <w:r>
        <w:rPr>
          <w:rFonts w:ascii="黑体" w:eastAsia="黑体"/>
          <w:bCs/>
          <w:color w:val="auto"/>
          <w:sz w:val="30"/>
          <w:highlight w:val="none"/>
        </w:rPr>
      </w:r>
      <w:r/>
    </w:p>
    <w:p>
      <w:pPr>
        <w:ind w:firstLine="450"/>
        <w:spacing w:line="720" w:lineRule="auto"/>
        <w:rPr>
          <w:rFonts w:ascii="宋体"/>
          <w:bCs/>
          <w:color w:val="auto"/>
          <w:sz w:val="30"/>
          <w:szCs w:val="30"/>
          <w:highlight w:val="none"/>
        </w:rPr>
      </w:pPr>
      <w:r>
        <w:rPr>
          <w:rFonts w:hint="eastAsia" w:ascii="宋体" w:hAnsi="宋体"/>
          <w:bCs/>
          <w:color w:val="auto"/>
          <w:sz w:val="30"/>
          <w:szCs w:val="30"/>
          <w:highlight w:val="none"/>
        </w:rPr>
        <w:t xml:space="preserve">一、投标邀请函</w:t>
      </w:r>
      <w:r>
        <w:rPr>
          <w:rFonts w:ascii="宋体"/>
          <w:bCs/>
          <w:color w:val="auto"/>
          <w:sz w:val="30"/>
          <w:szCs w:val="30"/>
          <w:highlight w:val="none"/>
        </w:rPr>
        <w:t xml:space="preserve">-----------------------------------</w:t>
      </w:r>
      <w:r>
        <w:rPr>
          <w:rFonts w:hint="eastAsia" w:ascii="宋体" w:hAnsi="宋体"/>
          <w:bCs/>
          <w:color w:val="auto"/>
          <w:sz w:val="30"/>
          <w:szCs w:val="30"/>
          <w:highlight w:val="none"/>
        </w:rPr>
        <w:t xml:space="preserve">（3）</w:t>
      </w:r>
      <w:r/>
    </w:p>
    <w:p>
      <w:pPr>
        <w:ind w:firstLine="450"/>
        <w:spacing w:line="720" w:lineRule="auto"/>
        <w:rPr>
          <w:rFonts w:ascii="宋体"/>
          <w:bCs/>
          <w:color w:val="auto"/>
          <w:sz w:val="30"/>
          <w:szCs w:val="30"/>
          <w:highlight w:val="none"/>
        </w:rPr>
      </w:pPr>
      <w:r>
        <w:rPr>
          <w:rFonts w:hint="eastAsia" w:ascii="宋体" w:hAnsi="宋体"/>
          <w:bCs/>
          <w:color w:val="auto"/>
          <w:sz w:val="30"/>
          <w:szCs w:val="30"/>
          <w:highlight w:val="none"/>
        </w:rPr>
        <w:t xml:space="preserve">二、投标人须知</w:t>
      </w:r>
      <w:r>
        <w:rPr>
          <w:rFonts w:ascii="宋体"/>
          <w:bCs/>
          <w:color w:val="auto"/>
          <w:sz w:val="30"/>
          <w:szCs w:val="30"/>
          <w:highlight w:val="none"/>
        </w:rPr>
        <w:t xml:space="preserve">-----------------------------------</w:t>
      </w:r>
      <w:r>
        <w:rPr>
          <w:rFonts w:hint="eastAsia" w:ascii="宋体" w:hAnsi="宋体"/>
          <w:bCs/>
          <w:color w:val="auto"/>
          <w:sz w:val="30"/>
          <w:szCs w:val="30"/>
          <w:highlight w:val="none"/>
        </w:rPr>
        <w:t xml:space="preserve">（7）</w:t>
      </w:r>
      <w:r/>
    </w:p>
    <w:p>
      <w:pPr>
        <w:ind w:firstLine="450"/>
        <w:spacing w:line="720" w:lineRule="auto"/>
        <w:rPr>
          <w:rFonts w:ascii="宋体"/>
          <w:bCs/>
          <w:color w:val="auto"/>
          <w:sz w:val="30"/>
          <w:szCs w:val="30"/>
          <w:highlight w:val="none"/>
        </w:rPr>
      </w:pPr>
      <w:r>
        <w:rPr>
          <w:rFonts w:hint="eastAsia" w:ascii="宋体" w:hAnsi="宋体"/>
          <w:bCs/>
          <w:color w:val="auto"/>
          <w:sz w:val="30"/>
          <w:szCs w:val="30"/>
          <w:highlight w:val="none"/>
        </w:rPr>
        <w:t xml:space="preserve">三、项目技术要求和有关说明</w:t>
      </w:r>
      <w:r>
        <w:rPr>
          <w:rFonts w:ascii="宋体"/>
          <w:bCs/>
          <w:color w:val="auto"/>
          <w:sz w:val="30"/>
          <w:szCs w:val="30"/>
          <w:highlight w:val="none"/>
        </w:rPr>
        <w:t xml:space="preserve">-----------------------</w:t>
      </w:r>
      <w:r>
        <w:rPr>
          <w:rFonts w:hint="eastAsia" w:ascii="宋体" w:hAnsi="宋体"/>
          <w:bCs/>
          <w:color w:val="auto"/>
          <w:sz w:val="30"/>
          <w:szCs w:val="30"/>
          <w:highlight w:val="none"/>
        </w:rPr>
        <w:t xml:space="preserve">（18）</w:t>
      </w:r>
      <w:r/>
    </w:p>
    <w:p>
      <w:pPr>
        <w:ind w:firstLine="450"/>
        <w:spacing w:line="720" w:lineRule="auto"/>
        <w:rPr>
          <w:rFonts w:ascii="宋体"/>
          <w:bCs/>
          <w:color w:val="auto"/>
          <w:sz w:val="30"/>
          <w:szCs w:val="30"/>
          <w:highlight w:val="none"/>
        </w:rPr>
      </w:pPr>
      <w:r>
        <w:rPr>
          <w:rFonts w:hint="eastAsia" w:ascii="宋体" w:hAnsi="宋体"/>
          <w:bCs/>
          <w:color w:val="auto"/>
          <w:sz w:val="30"/>
          <w:szCs w:val="30"/>
          <w:highlight w:val="none"/>
        </w:rPr>
        <w:t xml:space="preserve">四、合同书（格式文本）</w:t>
      </w:r>
      <w:r>
        <w:rPr>
          <w:rFonts w:ascii="宋体"/>
          <w:bCs/>
          <w:color w:val="auto"/>
          <w:sz w:val="30"/>
          <w:szCs w:val="30"/>
          <w:highlight w:val="none"/>
        </w:rPr>
        <w:t xml:space="preserve">---------------------------</w:t>
      </w:r>
      <w:r>
        <w:rPr>
          <w:rFonts w:hint="eastAsia" w:ascii="宋体" w:hAnsi="宋体"/>
          <w:bCs/>
          <w:color w:val="auto"/>
          <w:sz w:val="30"/>
          <w:szCs w:val="30"/>
          <w:highlight w:val="none"/>
        </w:rPr>
        <w:t xml:space="preserve">（31）</w:t>
      </w:r>
      <w:r/>
    </w:p>
    <w:p>
      <w:pPr>
        <w:ind w:firstLine="450"/>
        <w:spacing w:line="720" w:lineRule="auto"/>
        <w:rPr>
          <w:rFonts w:hint="eastAsia" w:ascii="宋体" w:hAnsi="宋体"/>
          <w:bCs/>
          <w:color w:val="auto"/>
          <w:sz w:val="30"/>
          <w:szCs w:val="30"/>
          <w:highlight w:val="none"/>
        </w:rPr>
      </w:pPr>
      <w:r>
        <w:rPr>
          <w:rFonts w:hint="eastAsia" w:ascii="宋体" w:hAnsi="宋体"/>
          <w:bCs/>
          <w:color w:val="auto"/>
          <w:sz w:val="30"/>
          <w:szCs w:val="30"/>
          <w:highlight w:val="none"/>
        </w:rPr>
        <w:t xml:space="preserve">五、合同条款（格式）</w:t>
      </w:r>
      <w:r>
        <w:rPr>
          <w:rFonts w:ascii="宋体"/>
          <w:bCs/>
          <w:color w:val="auto"/>
          <w:sz w:val="30"/>
          <w:szCs w:val="30"/>
          <w:highlight w:val="none"/>
        </w:rPr>
        <w:t xml:space="preserve">-----------------------------</w:t>
      </w:r>
      <w:r>
        <w:rPr>
          <w:rFonts w:hint="eastAsia" w:ascii="宋体" w:hAnsi="宋体"/>
          <w:bCs/>
          <w:color w:val="auto"/>
          <w:sz w:val="30"/>
          <w:szCs w:val="30"/>
          <w:highlight w:val="none"/>
        </w:rPr>
        <w:t xml:space="preserve">（32）</w:t>
      </w:r>
      <w:r/>
    </w:p>
    <w:p>
      <w:pPr>
        <w:ind w:firstLine="450"/>
        <w:spacing w:line="720" w:lineRule="auto"/>
        <w:rPr>
          <w:rFonts w:hint="eastAsia" w:ascii="宋体" w:hAnsi="宋体"/>
          <w:bCs/>
          <w:color w:val="auto"/>
          <w:sz w:val="30"/>
          <w:szCs w:val="30"/>
          <w:highlight w:val="none"/>
        </w:rPr>
      </w:pPr>
      <w:r>
        <w:rPr>
          <w:rFonts w:hint="eastAsia" w:ascii="宋体" w:hAnsi="宋体"/>
          <w:bCs/>
          <w:color w:val="auto"/>
          <w:sz w:val="30"/>
          <w:szCs w:val="30"/>
          <w:highlight w:val="none"/>
        </w:rPr>
        <w:t xml:space="preserve">六、附件</w:t>
      </w:r>
      <w:r>
        <w:rPr>
          <w:rFonts w:ascii="宋体"/>
          <w:bCs/>
          <w:color w:val="auto"/>
          <w:sz w:val="30"/>
          <w:szCs w:val="30"/>
          <w:highlight w:val="none"/>
        </w:rPr>
        <w:t xml:space="preserve">-----------------------------------------</w:t>
      </w:r>
      <w:r>
        <w:rPr>
          <w:rFonts w:hint="eastAsia" w:ascii="宋体" w:hAnsi="宋体"/>
          <w:bCs/>
          <w:color w:val="auto"/>
          <w:sz w:val="30"/>
          <w:szCs w:val="30"/>
          <w:highlight w:val="none"/>
        </w:rPr>
        <w:t xml:space="preserve">（35）</w:t>
      </w:r>
      <w:r/>
    </w:p>
    <w:p>
      <w:pPr>
        <w:spacing w:line="720" w:lineRule="auto"/>
        <w:rPr>
          <w:rFonts w:ascii="宋体"/>
          <w:bCs/>
          <w:color w:val="auto"/>
          <w:sz w:val="28"/>
          <w:szCs w:val="28"/>
          <w:highlight w:val="none"/>
        </w:rPr>
      </w:pPr>
      <w:r>
        <w:rPr>
          <w:rFonts w:ascii="宋体"/>
          <w:bCs/>
          <w:color w:val="auto"/>
          <w:sz w:val="28"/>
          <w:szCs w:val="28"/>
          <w:highlight w:val="none"/>
        </w:rPr>
      </w:r>
      <w:r/>
    </w:p>
    <w:p>
      <w:pPr>
        <w:spacing w:line="720" w:lineRule="auto"/>
        <w:rPr>
          <w:rFonts w:ascii="宋体"/>
          <w:bCs/>
          <w:color w:val="auto"/>
          <w:sz w:val="30"/>
          <w:highlight w:val="none"/>
        </w:rPr>
      </w:pPr>
      <w:r>
        <w:rPr>
          <w:rFonts w:ascii="宋体"/>
          <w:bCs/>
          <w:color w:val="auto"/>
          <w:sz w:val="30"/>
          <w:highlight w:val="none"/>
        </w:rPr>
      </w:r>
      <w:r/>
    </w:p>
    <w:p>
      <w:pPr>
        <w:spacing w:line="480" w:lineRule="auto"/>
        <w:rPr>
          <w:rFonts w:ascii="宋体"/>
          <w:bCs/>
          <w:color w:val="auto"/>
          <w:sz w:val="30"/>
          <w:highlight w:val="none"/>
        </w:rPr>
      </w:pPr>
      <w:r>
        <w:rPr>
          <w:rFonts w:ascii="宋体"/>
          <w:bCs/>
          <w:color w:val="auto"/>
          <w:sz w:val="30"/>
          <w:highlight w:val="none"/>
        </w:rPr>
      </w:r>
      <w:r/>
    </w:p>
    <w:p>
      <w:pPr>
        <w:rPr>
          <w:rFonts w:ascii="宋体"/>
          <w:bCs/>
          <w:color w:val="auto"/>
          <w:sz w:val="28"/>
          <w:highlight w:val="none"/>
        </w:rPr>
      </w:pPr>
      <w:r>
        <w:rPr>
          <w:rFonts w:ascii="宋体"/>
          <w:bCs/>
          <w:color w:val="auto"/>
          <w:sz w:val="28"/>
          <w:highlight w:val="none"/>
        </w:rPr>
      </w:r>
      <w:r/>
    </w:p>
    <w:p>
      <w:pPr>
        <w:rPr>
          <w:rFonts w:ascii="宋体"/>
          <w:bCs/>
          <w:color w:val="auto"/>
          <w:sz w:val="32"/>
          <w:highlight w:val="none"/>
        </w:rPr>
      </w:pPr>
      <w:r>
        <w:rPr>
          <w:rFonts w:ascii="宋体"/>
          <w:bCs/>
          <w:color w:val="auto"/>
          <w:sz w:val="32"/>
          <w:highlight w:val="none"/>
        </w:rPr>
      </w:r>
      <w:r/>
    </w:p>
    <w:p>
      <w:pPr>
        <w:rPr>
          <w:rFonts w:ascii="宋体"/>
          <w:bCs/>
          <w:color w:val="auto"/>
          <w:sz w:val="32"/>
          <w:highlight w:val="none"/>
        </w:rPr>
      </w:pPr>
      <w:r>
        <w:rPr>
          <w:rFonts w:ascii="宋体"/>
          <w:bCs/>
          <w:color w:val="auto"/>
          <w:sz w:val="32"/>
          <w:highlight w:val="none"/>
        </w:rPr>
      </w:r>
      <w:r/>
    </w:p>
    <w:p>
      <w:pPr>
        <w:jc w:val="center"/>
        <w:spacing w:line="360" w:lineRule="auto"/>
        <w:rPr>
          <w:rFonts w:ascii="黑体" w:eastAsia="黑体"/>
          <w:bCs/>
          <w:color w:val="auto"/>
          <w:sz w:val="28"/>
          <w:szCs w:val="28"/>
          <w:highlight w:val="none"/>
        </w:rPr>
        <w:outlineLvl w:val="0"/>
      </w:pPr>
      <w:r/>
      <w:bookmarkStart w:id="0" w:name="报价方须知前附表"/>
      <w:r/>
      <w:bookmarkEnd w:id="0"/>
      <w:r>
        <w:rPr>
          <w:rFonts w:ascii="黑体" w:eastAsia="黑体"/>
          <w:bCs/>
          <w:color w:val="auto"/>
          <w:sz w:val="28"/>
          <w:szCs w:val="28"/>
          <w:highlight w:val="none"/>
        </w:rPr>
        <w:br w:type="page" w:clear="all"/>
      </w:r>
      <w:r>
        <w:rPr>
          <w:rFonts w:hint="eastAsia" w:ascii="黑体" w:eastAsia="黑体"/>
          <w:bCs/>
          <w:color w:val="auto"/>
          <w:sz w:val="28"/>
          <w:szCs w:val="28"/>
          <w:highlight w:val="none"/>
        </w:rPr>
        <w:t xml:space="preserve">一、投标邀请函</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eastAsia="zh-CN"/>
        </w:rPr>
        <w:t xml:space="preserve">江苏君安工程管理咨询有限公司</w:t>
      </w:r>
      <w:r>
        <w:rPr>
          <w:rFonts w:hint="eastAsia" w:ascii="宋体" w:hAnsi="宋体"/>
          <w:bCs/>
          <w:color w:val="auto"/>
          <w:sz w:val="24"/>
          <w:szCs w:val="24"/>
          <w:highlight w:val="none"/>
        </w:rPr>
        <w:t xml:space="preserve">受无锡市新吴区人民政府</w:t>
      </w:r>
      <w:r>
        <w:rPr>
          <w:rFonts w:hint="eastAsia" w:ascii="宋体" w:hAnsi="宋体"/>
          <w:bCs/>
          <w:color w:val="auto"/>
          <w:sz w:val="24"/>
          <w:szCs w:val="24"/>
          <w:highlight w:val="none"/>
          <w:lang w:eastAsia="zh-CN"/>
        </w:rPr>
        <w:t xml:space="preserve">硕放</w:t>
      </w:r>
      <w:r>
        <w:rPr>
          <w:rFonts w:hint="eastAsia" w:ascii="宋体" w:hAnsi="宋体"/>
          <w:bCs/>
          <w:color w:val="auto"/>
          <w:sz w:val="24"/>
          <w:szCs w:val="24"/>
          <w:highlight w:val="none"/>
        </w:rPr>
        <w:t xml:space="preserve">街道办事处委托，对</w:t>
      </w:r>
      <w:r>
        <w:rPr>
          <w:rFonts w:hint="eastAsia" w:ascii="宋体" w:hAnsi="宋体"/>
          <w:bCs/>
          <w:color w:val="auto"/>
          <w:sz w:val="24"/>
          <w:szCs w:val="24"/>
          <w:highlight w:val="none"/>
          <w:lang w:eastAsia="zh-CN"/>
        </w:rPr>
        <w:t xml:space="preserve">2026年-2029年硕放街道市政雨污管网养护服务外包项目</w:t>
      </w:r>
      <w:r>
        <w:rPr>
          <w:rFonts w:hint="eastAsia" w:ascii="宋体" w:hAnsi="宋体"/>
          <w:bCs/>
          <w:color w:val="auto"/>
          <w:sz w:val="24"/>
          <w:szCs w:val="24"/>
          <w:highlight w:val="none"/>
        </w:rPr>
        <w:t xml:space="preserve">进行公开招标采购，欢迎符合相关条件的供应商参加投标并提请注意下列相关事项：</w:t>
      </w:r>
      <w:r/>
    </w:p>
    <w:p>
      <w:pPr>
        <w:ind w:firstLine="480"/>
        <w:spacing w:line="360" w:lineRule="auto"/>
        <w:rPr>
          <w:rFonts w:hint="eastAsia" w:ascii="黑体" w:hAnsi="黑体" w:eastAsia="黑体"/>
          <w:bCs/>
          <w:color w:val="auto"/>
          <w:sz w:val="24"/>
          <w:szCs w:val="24"/>
          <w:highlight w:val="none"/>
        </w:rPr>
      </w:pPr>
      <w:r>
        <w:rPr>
          <w:rFonts w:hint="eastAsia" w:ascii="黑体" w:hAnsi="黑体" w:eastAsia="黑体"/>
          <w:bCs/>
          <w:color w:val="auto"/>
          <w:sz w:val="24"/>
          <w:szCs w:val="24"/>
          <w:highlight w:val="none"/>
        </w:rPr>
        <w:t xml:space="preserve">（一）</w:t>
      </w:r>
      <w:r>
        <w:rPr>
          <w:rFonts w:hint="eastAsia" w:ascii="黑体" w:hAnsi="黑体" w:eastAsia="黑体" w:cs="宋体"/>
          <w:color w:val="auto"/>
          <w:sz w:val="24"/>
          <w:szCs w:val="24"/>
          <w:highlight w:val="none"/>
        </w:rPr>
        <w:t xml:space="preserve">招标项目信息</w:t>
      </w:r>
      <w:r/>
    </w:p>
    <w:p>
      <w:pPr>
        <w:ind w:firstLine="480"/>
        <w:jc w:val="left"/>
        <w:spacing w:line="360" w:lineRule="auto"/>
        <w:widowControl/>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1.项目名称：</w:t>
      </w:r>
      <w:r>
        <w:rPr>
          <w:rFonts w:hint="eastAsia" w:ascii="宋体" w:hAnsi="宋体" w:cs="宋体"/>
          <w:color w:val="auto"/>
          <w:sz w:val="24"/>
          <w:szCs w:val="24"/>
          <w:highlight w:val="none"/>
          <w:lang w:eastAsia="zh-CN"/>
        </w:rPr>
        <w:t xml:space="preserve">2026年-2029年硕放街道市政雨污管网养护服务外包项目</w:t>
      </w:r>
      <w:r/>
    </w:p>
    <w:p>
      <w:pPr>
        <w:ind w:firstLine="480"/>
        <w:spacing w:line="360" w:lineRule="auto"/>
        <w:widowControl/>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rPr>
        <w:t xml:space="preserve">2.项目编号：</w:t>
      </w:r>
      <w:r>
        <w:rPr>
          <w:rFonts w:hint="eastAsia" w:ascii="宋体" w:hAnsi="宋体" w:cs="宋体"/>
          <w:color w:val="auto"/>
          <w:sz w:val="24"/>
          <w:szCs w:val="24"/>
          <w:highlight w:val="none"/>
          <w:lang w:eastAsia="zh-CN"/>
        </w:rPr>
        <w:t xml:space="preserve">JSZC-320214-JAGC-G2026-0003</w:t>
      </w:r>
      <w:r/>
    </w:p>
    <w:p>
      <w:pPr>
        <w:ind w:firstLine="480"/>
        <w:spacing w:line="360" w:lineRule="auto"/>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3.养护内容：</w:t>
      </w:r>
      <w:r>
        <w:rPr>
          <w:rFonts w:hint="eastAsia" w:ascii="宋体" w:hAnsi="宋体" w:eastAsia="宋体" w:cs="宋体"/>
          <w:b w:val="0"/>
          <w:bCs w:val="0"/>
          <w:color w:val="auto"/>
          <w:sz w:val="24"/>
          <w:szCs w:val="24"/>
          <w:highlight w:val="none"/>
        </w:rPr>
        <w:t xml:space="preserve">对采购范围内的</w:t>
      </w:r>
      <w:r>
        <w:rPr>
          <w:rFonts w:hint="eastAsia" w:ascii="宋体" w:hAnsi="宋体" w:eastAsia="宋体" w:cs="宋体"/>
          <w:b w:val="0"/>
          <w:bCs w:val="0"/>
          <w:color w:val="auto"/>
          <w:sz w:val="24"/>
          <w:szCs w:val="24"/>
          <w:highlight w:val="none"/>
          <w:lang w:val="en-US" w:eastAsia="zh-CN"/>
        </w:rPr>
        <w:t xml:space="preserve">硕放</w:t>
      </w:r>
      <w:r>
        <w:rPr>
          <w:rFonts w:hint="eastAsia" w:ascii="宋体" w:hAnsi="宋体" w:eastAsia="宋体" w:cs="宋体"/>
          <w:b w:val="0"/>
          <w:bCs w:val="0"/>
          <w:color w:val="auto"/>
          <w:sz w:val="24"/>
          <w:szCs w:val="24"/>
          <w:highlight w:val="none"/>
        </w:rPr>
        <w:t xml:space="preserve">街道</w:t>
      </w:r>
      <w:r>
        <w:rPr>
          <w:rFonts w:hint="eastAsia" w:ascii="宋体" w:hAnsi="宋体" w:eastAsia="宋体" w:cs="宋体"/>
          <w:b w:val="0"/>
          <w:bCs w:val="0"/>
          <w:color w:val="auto"/>
          <w:sz w:val="24"/>
          <w:szCs w:val="24"/>
          <w:highlight w:val="none"/>
          <w:lang w:val="en-US" w:eastAsia="zh-CN"/>
        </w:rPr>
        <w:t xml:space="preserve">雨</w:t>
      </w:r>
      <w:r>
        <w:rPr>
          <w:rFonts w:hint="eastAsia" w:ascii="宋体" w:hAnsi="宋体" w:eastAsia="宋体" w:cs="宋体"/>
          <w:b w:val="0"/>
          <w:bCs w:val="0"/>
          <w:color w:val="auto"/>
          <w:sz w:val="24"/>
          <w:szCs w:val="24"/>
          <w:highlight w:val="none"/>
        </w:rPr>
        <w:t xml:space="preserve">污水管网进行日常巡查、养护清通、问题排口溯源排查等（包括</w:t>
      </w:r>
      <w:r>
        <w:rPr>
          <w:rFonts w:hint="eastAsia" w:ascii="宋体" w:hAnsi="宋体" w:eastAsia="宋体" w:cs="宋体"/>
          <w:b w:val="0"/>
          <w:bCs w:val="0"/>
          <w:color w:val="auto"/>
          <w:sz w:val="24"/>
          <w:szCs w:val="24"/>
          <w:highlight w:val="none"/>
          <w:lang w:val="en-US" w:eastAsia="zh-CN"/>
        </w:rPr>
        <w:t xml:space="preserve">雨</w:t>
      </w:r>
      <w:r>
        <w:rPr>
          <w:rFonts w:hint="eastAsia" w:ascii="宋体" w:hAnsi="宋体" w:eastAsia="宋体" w:cs="宋体"/>
          <w:b w:val="0"/>
          <w:bCs w:val="0"/>
          <w:color w:val="auto"/>
          <w:sz w:val="24"/>
          <w:szCs w:val="24"/>
          <w:highlight w:val="none"/>
        </w:rPr>
        <w:t xml:space="preserve">污水管线及</w:t>
      </w:r>
      <w:r>
        <w:rPr>
          <w:rFonts w:hint="eastAsia" w:ascii="宋体" w:hAnsi="宋体" w:eastAsia="宋体" w:cs="宋体"/>
          <w:b w:val="0"/>
          <w:bCs w:val="0"/>
          <w:color w:val="auto"/>
          <w:sz w:val="24"/>
          <w:szCs w:val="24"/>
          <w:highlight w:val="none"/>
          <w:lang w:val="en-US" w:eastAsia="zh-CN"/>
        </w:rPr>
        <w:t xml:space="preserve">雨</w:t>
      </w:r>
      <w:r>
        <w:rPr>
          <w:rFonts w:hint="eastAsia" w:ascii="宋体" w:hAnsi="宋体" w:eastAsia="宋体" w:cs="宋体"/>
          <w:b w:val="0"/>
          <w:bCs w:val="0"/>
          <w:color w:val="auto"/>
          <w:sz w:val="24"/>
          <w:szCs w:val="24"/>
          <w:highlight w:val="none"/>
        </w:rPr>
        <w:t xml:space="preserve">污水检查井等）</w:t>
      </w:r>
      <w:r>
        <w:rPr>
          <w:rFonts w:hint="eastAsia" w:ascii="宋体" w:hAnsi="宋体" w:eastAsia="宋体" w:cs="宋体"/>
          <w:b w:val="0"/>
          <w:bCs w:val="0"/>
          <w:color w:val="auto"/>
          <w:sz w:val="24"/>
          <w:szCs w:val="24"/>
          <w:highlight w:val="none"/>
          <w:lang w:eastAsia="zh-CN"/>
        </w:rPr>
        <w:t xml:space="preserve">；橡胶气囊或砖砌封头封堵雨污水管道封堵；拆除雨污水管道封堵；</w:t>
      </w:r>
      <w:r>
        <w:rPr>
          <w:rFonts w:hint="eastAsia" w:ascii="宋体" w:hAnsi="宋体" w:eastAsia="宋体" w:cs="宋体"/>
          <w:b w:val="0"/>
          <w:bCs w:val="0"/>
          <w:color w:val="auto"/>
          <w:sz w:val="24"/>
          <w:szCs w:val="24"/>
          <w:highlight w:val="none"/>
        </w:rPr>
        <w:t xml:space="preserve">提升泵站的养护；潜水员掏井建筑垃圾</w:t>
      </w:r>
      <w:r>
        <w:rPr>
          <w:rFonts w:hint="eastAsia" w:ascii="宋体" w:hAnsi="宋体" w:eastAsia="宋体" w:cs="宋体"/>
          <w:b w:val="0"/>
          <w:bCs w:val="0"/>
          <w:color w:val="auto"/>
          <w:sz w:val="24"/>
          <w:szCs w:val="24"/>
          <w:highlight w:val="none"/>
          <w:lang w:val="en-US" w:eastAsia="zh-CN"/>
        </w:rPr>
        <w:t xml:space="preserve">和</w:t>
      </w:r>
      <w:r>
        <w:rPr>
          <w:rFonts w:hint="eastAsia" w:ascii="宋体" w:hAnsi="宋体" w:eastAsia="宋体" w:cs="宋体"/>
          <w:b w:val="0"/>
          <w:bCs w:val="0"/>
          <w:color w:val="auto"/>
          <w:sz w:val="24"/>
          <w:szCs w:val="24"/>
          <w:highlight w:val="none"/>
        </w:rPr>
        <w:t xml:space="preserve">掏井垃圾</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清掏雨水边井、污泥及垃圾外运、窨井人工捞漂浮物和化粪池、隔油池清污及外运</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井圈、井盖等附属设施的维修、更换等，不含桥梁排水设施及公铁立交泵站,同时每年提供养护标段内</w:t>
      </w:r>
      <w:r>
        <w:rPr>
          <w:rFonts w:hint="eastAsia" w:ascii="宋体" w:hAnsi="宋体" w:cs="宋体"/>
          <w:b w:val="0"/>
          <w:bCs w:val="0"/>
          <w:color w:val="auto"/>
          <w:sz w:val="24"/>
          <w:szCs w:val="24"/>
          <w:highlight w:val="none"/>
          <w:lang w:val="en-US" w:eastAsia="zh-CN"/>
        </w:rPr>
        <w:t xml:space="preserve">30</w:t>
      </w:r>
      <w:r>
        <w:rPr>
          <w:rFonts w:hint="eastAsia" w:ascii="宋体" w:hAnsi="宋体" w:eastAsia="宋体" w:cs="宋体"/>
          <w:b w:val="0"/>
          <w:bCs w:val="0"/>
          <w:color w:val="auto"/>
          <w:sz w:val="24"/>
          <w:szCs w:val="24"/>
          <w:highlight w:val="none"/>
        </w:rPr>
        <w:t xml:space="preserve">%的管线视频检测资料（区排水处抽查）。保证管道、检查井和雨水口内不得留有石块等阻碍排水的杂物；管道内无建筑垃圾。雨污水管网在每年6月份汛期前完成一次养护（含管道疏通、管道冲洗、检查井清掏、垃圾外运处置等）。</w:t>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.项目预算：</w:t>
      </w:r>
      <w:r>
        <w:rPr>
          <w:rFonts w:hint="eastAsia" w:ascii="宋体" w:hAnsi="宋体" w:cs="宋体"/>
          <w:color w:val="auto"/>
          <w:sz w:val="24"/>
          <w:szCs w:val="24"/>
          <w:highlight w:val="none"/>
          <w:lang w:val="en-US" w:eastAsia="zh-CN"/>
        </w:rPr>
        <w:t xml:space="preserve">1988.55 </w:t>
      </w:r>
      <w:r>
        <w:rPr>
          <w:rFonts w:hint="eastAsia" w:ascii="宋体" w:hAnsi="宋体" w:cs="宋体"/>
          <w:color w:val="auto"/>
          <w:sz w:val="24"/>
          <w:szCs w:val="24"/>
          <w:highlight w:val="none"/>
        </w:rPr>
        <w:t xml:space="preserve">万元（其中一标段：665.64万元，二标段：418.83万元，三标段：527.98万元</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四标段:376.10万元</w:t>
      </w:r>
      <w:r>
        <w:rPr>
          <w:rFonts w:hint="eastAsia" w:ascii="宋体" w:hAnsi="宋体" w:cs="宋体"/>
          <w:color w:val="auto"/>
          <w:sz w:val="24"/>
          <w:szCs w:val="24"/>
          <w:highlight w:val="none"/>
        </w:rPr>
        <w:t xml:space="preserve">）</w:t>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.最高限价：</w:t>
      </w:r>
      <w:r>
        <w:rPr>
          <w:rFonts w:hint="eastAsia" w:ascii="宋体" w:hAnsi="宋体" w:cs="宋体"/>
          <w:color w:val="auto"/>
          <w:sz w:val="24"/>
          <w:szCs w:val="24"/>
          <w:highlight w:val="none"/>
          <w:lang w:val="en-US" w:eastAsia="zh-CN"/>
        </w:rPr>
        <w:t xml:space="preserve"> 1988.55 </w:t>
      </w:r>
      <w:r>
        <w:rPr>
          <w:rFonts w:hint="eastAsia" w:ascii="宋体" w:hAnsi="宋体" w:cs="宋体"/>
          <w:color w:val="auto"/>
          <w:sz w:val="24"/>
          <w:szCs w:val="24"/>
          <w:highlight w:val="none"/>
        </w:rPr>
        <w:t xml:space="preserve">万元（其中一标段：665.64万元，二标段：418.83万元，三标段：527.98万元</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四标段:376.10万元</w:t>
      </w:r>
      <w:r>
        <w:rPr>
          <w:rFonts w:hint="eastAsia" w:ascii="宋体" w:hAnsi="宋体" w:cs="宋体"/>
          <w:color w:val="auto"/>
          <w:sz w:val="24"/>
          <w:szCs w:val="24"/>
          <w:highlight w:val="none"/>
        </w:rPr>
        <w:t xml:space="preserve">）</w:t>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.采购方式：公开招标</w:t>
      </w:r>
      <w:r/>
    </w:p>
    <w:p>
      <w:pPr>
        <w:ind w:firstLine="480"/>
        <w:jc w:val="left"/>
        <w:spacing w:line="360" w:lineRule="auto"/>
        <w:widowControl/>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7</w:t>
      </w:r>
      <w:r>
        <w:rPr>
          <w:rFonts w:hint="eastAsia" w:ascii="宋体" w:hAnsi="宋体" w:cs="宋体"/>
          <w:color w:val="auto"/>
          <w:sz w:val="24"/>
          <w:szCs w:val="24"/>
          <w:highlight w:val="none"/>
        </w:rPr>
        <w:t xml:space="preserve">.采购人：</w:t>
      </w:r>
      <w:r>
        <w:rPr>
          <w:rFonts w:hint="eastAsia" w:ascii="宋体" w:hAnsi="宋体" w:cs="宋体"/>
          <w:color w:val="auto"/>
          <w:sz w:val="24"/>
          <w:szCs w:val="24"/>
          <w:highlight w:val="none"/>
          <w:lang w:eastAsia="zh-CN"/>
        </w:rPr>
        <w:t xml:space="preserve">无锡市新吴区人民政府硕放街道办事处</w:t>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8</w:t>
      </w:r>
      <w:r>
        <w:rPr>
          <w:rFonts w:hint="eastAsia" w:ascii="宋体" w:hAnsi="宋体" w:cs="宋体"/>
          <w:color w:val="auto"/>
          <w:sz w:val="24"/>
          <w:szCs w:val="24"/>
          <w:highlight w:val="none"/>
        </w:rPr>
        <w:t xml:space="preserve">.本项目标的所属行业：其他未列明行业；</w:t>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9</w:t>
      </w:r>
      <w:r>
        <w:rPr>
          <w:rFonts w:hint="eastAsia" w:ascii="宋体" w:hAnsi="宋体" w:cs="宋体"/>
          <w:color w:val="auto"/>
          <w:sz w:val="24"/>
          <w:szCs w:val="24"/>
          <w:highlight w:val="none"/>
        </w:rPr>
        <w:t xml:space="preserve">.本项目是否专门面向中小企业：是；</w:t>
      </w:r>
      <w:r/>
    </w:p>
    <w:p>
      <w:pPr>
        <w:ind w:firstLine="482"/>
        <w:jc w:val="left"/>
        <w:spacing w:line="360" w:lineRule="auto"/>
        <w:widowControl/>
        <w:rPr>
          <w:rFonts w:hint="eastAsia" w:ascii="宋体" w:hAnsi="宋体"/>
          <w:color w:val="auto"/>
          <w:sz w:val="24"/>
          <w:szCs w:val="24"/>
          <w:highlight w:val="none"/>
        </w:rPr>
      </w:pPr>
      <w:r>
        <w:rPr>
          <w:rFonts w:hint="eastAsia" w:ascii="宋体" w:hAnsi="宋体" w:cs="宋体"/>
          <w:color w:val="auto"/>
          <w:sz w:val="24"/>
          <w:szCs w:val="24"/>
          <w:highlight w:val="none"/>
          <w:lang w:val="en-US" w:eastAsia="zh-CN"/>
        </w:rPr>
        <w:t xml:space="preserve">10</w:t>
      </w:r>
      <w:r>
        <w:rPr>
          <w:rFonts w:hint="eastAsia" w:ascii="宋体" w:hAnsi="宋体" w:cs="宋体"/>
          <w:color w:val="auto"/>
          <w:sz w:val="24"/>
          <w:szCs w:val="24"/>
          <w:highlight w:val="none"/>
        </w:rPr>
        <w:t xml:space="preserve">.本项目</w:t>
      </w:r>
      <w:r>
        <w:rPr>
          <w:rFonts w:hint="eastAsia" w:ascii="宋体" w:hAnsi="宋体"/>
          <w:color w:val="auto"/>
          <w:sz w:val="24"/>
          <w:szCs w:val="24"/>
          <w:highlight w:val="none"/>
        </w:rPr>
        <w:t xml:space="preserve">为</w:t>
      </w:r>
      <w:r>
        <w:rPr>
          <w:rFonts w:hint="eastAsia" w:ascii="宋体" w:hAnsi="宋体" w:cs="宋体"/>
          <w:color w:val="auto"/>
          <w:sz w:val="24"/>
          <w:szCs w:val="24"/>
          <w:highlight w:val="none"/>
          <w:lang w:eastAsia="zh-CN"/>
        </w:rPr>
        <w:t xml:space="preserve">2026年-2029年硕放街道市政雨污管网养护服务外包项目</w:t>
      </w:r>
      <w:r>
        <w:rPr>
          <w:rFonts w:hint="eastAsia" w:ascii="宋体" w:hAnsi="宋体"/>
          <w:color w:val="auto"/>
          <w:sz w:val="24"/>
          <w:szCs w:val="24"/>
          <w:highlight w:val="none"/>
        </w:rPr>
        <w:t xml:space="preserve">，</w:t>
      </w:r>
      <w:r>
        <w:rPr>
          <w:rFonts w:hint="eastAsia" w:ascii="宋体" w:hAnsi="宋体"/>
          <w:color w:val="auto"/>
          <w:sz w:val="24"/>
          <w:szCs w:val="24"/>
          <w:highlight w:val="none"/>
          <w:lang w:eastAsia="zh-CN"/>
        </w:rPr>
        <w:t xml:space="preserve">服务期：3年</w:t>
      </w:r>
      <w:r>
        <w:rPr>
          <w:rFonts w:hint="eastAsia" w:ascii="宋体" w:hAnsi="宋体"/>
          <w:color w:val="auto"/>
          <w:sz w:val="24"/>
          <w:szCs w:val="24"/>
          <w:highlight w:val="none"/>
        </w:rPr>
        <w:t xml:space="preserve">（合同签订之日起计），共分为</w:t>
      </w:r>
      <w:r>
        <w:rPr>
          <w:rFonts w:hint="eastAsia" w:ascii="宋体" w:hAnsi="宋体"/>
          <w:color w:val="auto"/>
          <w:sz w:val="24"/>
          <w:szCs w:val="24"/>
          <w:highlight w:val="none"/>
          <w:lang w:val="en-US" w:eastAsia="zh-CN"/>
        </w:rPr>
        <w:t xml:space="preserve">4</w:t>
      </w:r>
      <w:r>
        <w:rPr>
          <w:rFonts w:hint="eastAsia" w:ascii="宋体" w:hAnsi="宋体"/>
          <w:color w:val="auto"/>
          <w:sz w:val="24"/>
          <w:szCs w:val="24"/>
          <w:highlight w:val="none"/>
        </w:rPr>
        <w:t xml:space="preserve">个标段：</w:t>
      </w:r>
      <w:r/>
    </w:p>
    <w:tbl>
      <w:tblPr>
        <w:tblStyle w:val="815"/>
        <w:tblW w:w="991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49"/>
        <w:gridCol w:w="1812"/>
        <w:gridCol w:w="7158"/>
      </w:tblGrid>
      <w:tr>
        <w:trPr>
          <w:trHeight w:val="468"/>
        </w:trPr>
        <w:tc>
          <w:tcPr>
            <w:tcW w:w="949" w:type="dxa"/>
            <w:vAlign w:val="center"/>
            <w:textDirection w:val="lrTb"/>
            <w:noWrap w:val="false"/>
          </w:tcPr>
          <w:p>
            <w:pPr>
              <w:jc w:val="center"/>
              <w:spacing w:line="360" w:lineRule="auto"/>
              <w:widowControl/>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标段</w:t>
            </w:r>
            <w:r/>
          </w:p>
        </w:tc>
        <w:tc>
          <w:tcPr>
            <w:gridSpan w:val="2"/>
            <w:tcW w:w="8970" w:type="dxa"/>
            <w:vAlign w:val="center"/>
            <w:textDirection w:val="lrTb"/>
            <w:noWrap w:val="false"/>
          </w:tcPr>
          <w:p>
            <w:pPr>
              <w:jc w:val="center"/>
              <w:spacing w:line="360" w:lineRule="auto"/>
              <w:widowControl/>
              <w:rPr>
                <w:rFonts w:hint="eastAsia" w:ascii="宋体" w:hAnsi="宋体" w:eastAsia="宋体"/>
                <w:b/>
                <w:bCs/>
                <w:color w:val="auto"/>
                <w:sz w:val="24"/>
                <w:szCs w:val="24"/>
                <w:highlight w:val="none"/>
                <w:lang w:eastAsia="zh-CN"/>
              </w:rPr>
            </w:pPr>
            <w:r>
              <w:rPr>
                <w:rFonts w:hint="eastAsia" w:ascii="宋体" w:hAnsi="宋体"/>
                <w:b/>
                <w:bCs/>
                <w:color w:val="auto"/>
                <w:sz w:val="24"/>
                <w:szCs w:val="24"/>
                <w:highlight w:val="none"/>
              </w:rPr>
              <w:t xml:space="preserve">范围</w:t>
            </w:r>
            <w:r>
              <w:rPr>
                <w:rFonts w:hint="eastAsia" w:ascii="宋体" w:hAnsi="宋体"/>
                <w:b/>
                <w:bCs/>
                <w:color w:val="auto"/>
                <w:sz w:val="24"/>
                <w:szCs w:val="24"/>
                <w:highlight w:val="none"/>
                <w:lang w:eastAsia="zh-CN"/>
              </w:rPr>
              <w:t xml:space="preserve">（</w:t>
            </w:r>
            <w:r>
              <w:rPr>
                <w:rFonts w:hint="eastAsia" w:ascii="宋体" w:hAnsi="宋体"/>
                <w:b/>
                <w:bCs/>
                <w:color w:val="auto"/>
                <w:sz w:val="24"/>
                <w:szCs w:val="24"/>
                <w:highlight w:val="none"/>
                <w:lang w:val="en-US" w:eastAsia="zh-CN"/>
              </w:rPr>
              <w:t xml:space="preserve">具体明细详见附件</w:t>
            </w:r>
            <w:r>
              <w:rPr>
                <w:rFonts w:hint="eastAsia" w:ascii="宋体" w:hAnsi="宋体"/>
                <w:b/>
                <w:bCs/>
                <w:color w:val="auto"/>
                <w:sz w:val="24"/>
                <w:szCs w:val="24"/>
                <w:highlight w:val="none"/>
                <w:lang w:eastAsia="zh-CN"/>
              </w:rPr>
              <w:t xml:space="preserve">）</w:t>
            </w:r>
            <w:r/>
          </w:p>
        </w:tc>
      </w:tr>
      <w:tr>
        <w:trPr>
          <w:trHeight w:val="843"/>
        </w:trPr>
        <w:tc>
          <w:tcPr>
            <w:tcW w:w="949" w:type="dxa"/>
            <w:vAlign w:val="center"/>
            <w:textDirection w:val="lrTb"/>
            <w:noWrap w:val="false"/>
          </w:tcPr>
          <w:p>
            <w:pPr>
              <w:jc w:val="center"/>
              <w:spacing w:line="360" w:lineRule="auto"/>
              <w:widowControl/>
              <w:rPr>
                <w:rFonts w:hint="eastAsia" w:ascii="宋体" w:hAnsi="宋体"/>
                <w:color w:val="auto"/>
                <w:sz w:val="22"/>
                <w:szCs w:val="22"/>
                <w:highlight w:val="none"/>
              </w:rPr>
            </w:pPr>
            <w:r>
              <w:rPr>
                <w:rFonts w:hint="eastAsia" w:ascii="宋体" w:hAnsi="宋体"/>
                <w:color w:val="auto"/>
                <w:sz w:val="22"/>
                <w:szCs w:val="22"/>
                <w:highlight w:val="none"/>
              </w:rPr>
              <w:t xml:space="preserve">一标段</w:t>
            </w:r>
            <w:r/>
          </w:p>
        </w:tc>
        <w:tc>
          <w:tcPr>
            <w:tcW w:w="1812" w:type="dxa"/>
            <w:vAlign w:val="center"/>
            <w:textDirection w:val="lrTb"/>
            <w:noWrap w:val="false"/>
          </w:tcPr>
          <w:p>
            <w:pPr>
              <w:jc w:val="center"/>
              <w:spacing w:line="360" w:lineRule="auto"/>
              <w:widowControl/>
              <w:rPr>
                <w:rFonts w:hint="eastAsia" w:ascii="宋体" w:hAnsi="宋体"/>
                <w:color w:val="auto"/>
                <w:sz w:val="22"/>
                <w:szCs w:val="22"/>
                <w:highlight w:val="none"/>
              </w:rPr>
            </w:pPr>
            <w:r>
              <w:rPr>
                <w:rFonts w:hint="eastAsia" w:ascii="宋体" w:hAnsi="宋体"/>
                <w:color w:val="auto"/>
                <w:sz w:val="22"/>
                <w:szCs w:val="22"/>
                <w:highlight w:val="none"/>
              </w:rPr>
              <w:t xml:space="preserve">小区片区</w:t>
            </w:r>
            <w:r/>
          </w:p>
          <w:p>
            <w:pPr>
              <w:jc w:val="center"/>
              <w:spacing w:line="360" w:lineRule="auto"/>
              <w:widowControl/>
              <w:rPr>
                <w:rFonts w:hint="eastAsia" w:ascii="宋体" w:hAnsi="宋体" w:eastAsia="宋体"/>
                <w:color w:val="auto"/>
                <w:sz w:val="22"/>
                <w:szCs w:val="22"/>
                <w:highlight w:val="none"/>
                <w:lang w:eastAsia="zh-CN"/>
              </w:rPr>
            </w:pPr>
            <w:r>
              <w:rPr>
                <w:rFonts w:hint="eastAsia" w:ascii="宋体" w:hAnsi="宋体"/>
                <w:color w:val="auto"/>
                <w:sz w:val="22"/>
                <w:szCs w:val="22"/>
                <w:highlight w:val="none"/>
                <w:lang w:eastAsia="zh-CN"/>
              </w:rPr>
              <w:t xml:space="preserve">园区道路</w:t>
            </w:r>
            <w:r/>
          </w:p>
        </w:tc>
        <w:tc>
          <w:tcPr>
            <w:tcW w:w="7158" w:type="dxa"/>
            <w:vAlign w:val="center"/>
            <w:textDirection w:val="lrTb"/>
            <w:noWrap w:val="false"/>
          </w:tcPr>
          <w:p>
            <w:pPr>
              <w:jc w:val="left"/>
              <w:spacing w:line="360" w:lineRule="auto"/>
              <w:widowControl/>
              <w:tabs>
                <w:tab w:val="left" w:pos="1308" w:leader="none"/>
              </w:tabs>
              <w:rPr>
                <w:rFonts w:hint="eastAsia" w:ascii="宋体" w:hAnsi="宋体"/>
                <w:color w:val="auto"/>
                <w:sz w:val="22"/>
                <w:szCs w:val="22"/>
                <w:highlight w:val="none"/>
                <w:lang w:eastAsia="zh-CN"/>
              </w:rPr>
            </w:pPr>
            <w:r>
              <w:rPr>
                <w:rFonts w:hint="eastAsia" w:ascii="宋体" w:hAnsi="宋体"/>
                <w:color w:val="auto"/>
                <w:sz w:val="22"/>
                <w:szCs w:val="22"/>
                <w:highlight w:val="none"/>
                <w:lang w:val="en-US" w:eastAsia="zh-CN"/>
              </w:rPr>
              <w:t xml:space="preserve">1、小区片区：</w:t>
            </w:r>
            <w:r>
              <w:rPr>
                <w:rFonts w:hint="eastAsia" w:ascii="宋体" w:hAnsi="宋体"/>
                <w:color w:val="auto"/>
                <w:sz w:val="22"/>
                <w:szCs w:val="22"/>
                <w:highlight w:val="none"/>
                <w:lang w:eastAsia="zh-CN"/>
              </w:rPr>
              <w:t xml:space="preserve">南星苑一区、南星苑二区、南星苑三区、南星苑五区、南星苑六区、南星苑七区、南星苑八区、南星苑九区、南星苑十一区、南星苑小学、南星苑幼儿园、香楠佳苑（含幼儿园及门口道路）；</w:t>
            </w:r>
            <w:r/>
          </w:p>
          <w:p>
            <w:pPr>
              <w:jc w:val="left"/>
              <w:spacing w:line="360" w:lineRule="auto"/>
              <w:widowControl/>
              <w:tabs>
                <w:tab w:val="left" w:pos="1308" w:leader="none"/>
              </w:tabs>
              <w:rPr>
                <w:rFonts w:hint="eastAsia" w:ascii="宋体" w:hAnsi="宋体"/>
                <w:color w:val="auto"/>
                <w:sz w:val="22"/>
                <w:szCs w:val="22"/>
                <w:highlight w:val="none"/>
                <w:lang w:eastAsia="zh-CN"/>
              </w:rPr>
            </w:pPr>
            <w:r>
              <w:rPr>
                <w:rFonts w:hint="eastAsia" w:ascii="宋体" w:hAnsi="宋体"/>
                <w:color w:val="auto"/>
                <w:sz w:val="22"/>
                <w:szCs w:val="22"/>
                <w:highlight w:val="none"/>
                <w:lang w:val="en-US" w:eastAsia="zh-CN"/>
              </w:rPr>
              <w:t xml:space="preserve">2、</w:t>
            </w:r>
            <w:r>
              <w:rPr>
                <w:rFonts w:hint="eastAsia" w:ascii="宋体" w:hAnsi="宋体"/>
                <w:color w:val="auto"/>
                <w:sz w:val="22"/>
                <w:szCs w:val="22"/>
                <w:highlight w:val="none"/>
                <w:lang w:eastAsia="zh-CN"/>
              </w:rPr>
              <w:t xml:space="preserve">园区道路：杨家湾工业园、育才路、盈发路、南河路、南星路、新育才路、南星一路、南星二路、南星三路、墙宅路（盈发路-312国道）、裕丰路(盈发路-长江南路)。</w:t>
            </w:r>
            <w:r/>
          </w:p>
        </w:tc>
      </w:tr>
      <w:tr>
        <w:trPr>
          <w:trHeight w:val="843"/>
        </w:trPr>
        <w:tc>
          <w:tcPr>
            <w:tcW w:w="949" w:type="dxa"/>
            <w:vAlign w:val="center"/>
            <w:textDirection w:val="lrTb"/>
            <w:noWrap w:val="false"/>
          </w:tcPr>
          <w:p>
            <w:pPr>
              <w:jc w:val="center"/>
              <w:spacing w:line="360" w:lineRule="auto"/>
              <w:widowControl/>
              <w:rPr>
                <w:rFonts w:hint="eastAsia" w:ascii="宋体" w:hAnsi="宋体"/>
                <w:color w:val="auto"/>
                <w:sz w:val="22"/>
                <w:szCs w:val="22"/>
                <w:highlight w:val="none"/>
              </w:rPr>
            </w:pPr>
            <w:r>
              <w:rPr>
                <w:rFonts w:hint="eastAsia" w:ascii="宋体" w:hAnsi="宋体"/>
                <w:color w:val="auto"/>
                <w:sz w:val="22"/>
                <w:szCs w:val="22"/>
                <w:highlight w:val="none"/>
              </w:rPr>
              <w:t xml:space="preserve">二标段</w:t>
            </w:r>
            <w:r/>
          </w:p>
        </w:tc>
        <w:tc>
          <w:tcPr>
            <w:tcW w:w="1812" w:type="dxa"/>
            <w:vAlign w:val="center"/>
            <w:textDirection w:val="lrTb"/>
            <w:noWrap w:val="false"/>
          </w:tcPr>
          <w:p>
            <w:pPr>
              <w:jc w:val="center"/>
              <w:spacing w:line="360" w:lineRule="auto"/>
              <w:widowControl/>
              <w:rPr>
                <w:rFonts w:hint="eastAsia" w:ascii="宋体" w:hAnsi="宋体"/>
                <w:color w:val="auto"/>
                <w:sz w:val="22"/>
                <w:szCs w:val="22"/>
                <w:highlight w:val="none"/>
              </w:rPr>
            </w:pPr>
            <w:r>
              <w:rPr>
                <w:rFonts w:hint="eastAsia" w:ascii="宋体" w:hAnsi="宋体"/>
                <w:color w:val="auto"/>
                <w:sz w:val="22"/>
                <w:szCs w:val="22"/>
                <w:highlight w:val="none"/>
              </w:rPr>
              <w:t xml:space="preserve">小区片区</w:t>
            </w:r>
            <w:r/>
          </w:p>
          <w:p>
            <w:pPr>
              <w:jc w:val="center"/>
              <w:spacing w:line="360" w:lineRule="auto"/>
              <w:widowControl/>
              <w:rPr>
                <w:rFonts w:hint="eastAsia" w:ascii="宋体" w:hAnsi="宋体"/>
                <w:color w:val="auto"/>
                <w:sz w:val="22"/>
                <w:szCs w:val="22"/>
                <w:highlight w:val="none"/>
                <w:lang w:eastAsia="zh-CN"/>
              </w:rPr>
            </w:pPr>
            <w:r>
              <w:rPr>
                <w:rFonts w:hint="eastAsia" w:ascii="宋体" w:hAnsi="宋体"/>
                <w:color w:val="auto"/>
                <w:sz w:val="22"/>
                <w:szCs w:val="22"/>
                <w:highlight w:val="none"/>
                <w:lang w:eastAsia="zh-CN"/>
              </w:rPr>
              <w:t xml:space="preserve">市镇、农村片区</w:t>
            </w:r>
            <w:r/>
          </w:p>
          <w:p>
            <w:pPr>
              <w:jc w:val="center"/>
              <w:spacing w:line="360" w:lineRule="auto"/>
              <w:widowControl/>
              <w:rPr>
                <w:rFonts w:hint="eastAsia" w:ascii="宋体" w:hAnsi="宋体"/>
                <w:color w:val="auto"/>
                <w:sz w:val="22"/>
                <w:szCs w:val="22"/>
                <w:highlight w:val="none"/>
              </w:rPr>
            </w:pPr>
            <w:r>
              <w:rPr>
                <w:rFonts w:hint="eastAsia" w:ascii="宋体" w:hAnsi="宋体"/>
                <w:color w:val="auto"/>
                <w:sz w:val="22"/>
                <w:szCs w:val="22"/>
                <w:highlight w:val="none"/>
                <w:lang w:eastAsia="zh-CN"/>
              </w:rPr>
              <w:t xml:space="preserve">园区道路</w:t>
            </w:r>
            <w:r/>
          </w:p>
        </w:tc>
        <w:tc>
          <w:tcPr>
            <w:tcW w:w="7158" w:type="dxa"/>
            <w:vAlign w:val="center"/>
            <w:textDirection w:val="lrTb"/>
            <w:noWrap w:val="false"/>
          </w:tcPr>
          <w:p>
            <w:pPr>
              <w:numPr>
                <w:ilvl w:val="0"/>
                <w:numId w:val="4"/>
              </w:numPr>
              <w:jc w:val="left"/>
              <w:spacing w:line="360" w:lineRule="auto"/>
              <w:widowControl/>
              <w:rPr>
                <w:rFonts w:hint="eastAsia" w:ascii="宋体" w:hAnsi="宋体"/>
                <w:color w:val="auto"/>
                <w:sz w:val="22"/>
                <w:szCs w:val="22"/>
                <w:highlight w:val="none"/>
                <w:lang w:eastAsia="zh-CN"/>
              </w:rPr>
            </w:pPr>
            <w:r>
              <w:rPr>
                <w:rFonts w:hint="eastAsia" w:ascii="宋体" w:hAnsi="宋体"/>
                <w:color w:val="auto"/>
                <w:sz w:val="22"/>
                <w:szCs w:val="22"/>
                <w:highlight w:val="none"/>
                <w:lang w:val="en-US" w:eastAsia="zh-CN"/>
              </w:rPr>
              <w:t xml:space="preserve">小区片区：</w:t>
            </w:r>
            <w:r>
              <w:rPr>
                <w:rFonts w:hint="eastAsia" w:ascii="宋体" w:hAnsi="宋体"/>
                <w:color w:val="auto"/>
                <w:sz w:val="22"/>
                <w:szCs w:val="22"/>
                <w:highlight w:val="none"/>
              </w:rPr>
              <w:t xml:space="preserve">丽景佳苑二期、丽景小学、丽景三期、丽景二期幼儿园</w:t>
            </w:r>
            <w:r>
              <w:rPr>
                <w:rFonts w:hint="eastAsia" w:ascii="宋体" w:hAnsi="宋体"/>
                <w:color w:val="auto"/>
                <w:sz w:val="22"/>
                <w:szCs w:val="22"/>
                <w:highlight w:val="none"/>
                <w:lang w:eastAsia="zh-CN"/>
              </w:rPr>
              <w:t xml:space="preserve">；</w:t>
            </w:r>
            <w:r/>
          </w:p>
          <w:p>
            <w:pPr>
              <w:numPr>
                <w:ilvl w:val="0"/>
                <w:numId w:val="4"/>
              </w:numPr>
              <w:jc w:val="left"/>
              <w:spacing w:line="360" w:lineRule="auto"/>
              <w:widowControl/>
              <w:rPr>
                <w:rFonts w:hint="eastAsia" w:ascii="宋体" w:hAnsi="宋体"/>
                <w:color w:val="auto"/>
                <w:sz w:val="22"/>
                <w:szCs w:val="22"/>
                <w:highlight w:val="none"/>
                <w:lang w:eastAsia="zh-CN"/>
              </w:rPr>
            </w:pPr>
            <w:r>
              <w:rPr>
                <w:rFonts w:hint="eastAsia" w:ascii="宋体" w:hAnsi="宋体"/>
                <w:color w:val="auto"/>
                <w:sz w:val="22"/>
                <w:szCs w:val="22"/>
                <w:highlight w:val="none"/>
                <w:lang w:eastAsia="zh-CN"/>
              </w:rPr>
              <w:t xml:space="preserve">市镇、农村片区：法庭、工商所、交警队、消防中队；</w:t>
            </w:r>
            <w:r/>
          </w:p>
          <w:p>
            <w:pPr>
              <w:numPr>
                <w:ilvl w:val="0"/>
                <w:numId w:val="4"/>
              </w:numPr>
              <w:jc w:val="left"/>
              <w:spacing w:line="360" w:lineRule="auto"/>
              <w:widowControl/>
              <w:rPr>
                <w:rFonts w:hint="eastAsia" w:ascii="宋体" w:hAnsi="宋体"/>
                <w:color w:val="auto"/>
                <w:sz w:val="22"/>
                <w:szCs w:val="22"/>
                <w:highlight w:val="none"/>
                <w:lang w:eastAsia="zh-CN"/>
              </w:rPr>
            </w:pPr>
            <w:r>
              <w:rPr>
                <w:rFonts w:hint="eastAsia" w:ascii="宋体" w:hAnsi="宋体"/>
                <w:color w:val="auto"/>
                <w:sz w:val="22"/>
                <w:szCs w:val="22"/>
                <w:highlight w:val="none"/>
                <w:lang w:eastAsia="zh-CN"/>
              </w:rPr>
              <w:t xml:space="preserve">园区道</w:t>
            </w:r>
            <w:bookmarkStart w:id="5" w:name="_GoBack"/>
            <w:r/>
            <w:bookmarkEnd w:id="5"/>
            <w:r>
              <w:rPr>
                <w:rFonts w:hint="eastAsia" w:ascii="宋体" w:hAnsi="宋体"/>
                <w:color w:val="auto"/>
                <w:sz w:val="22"/>
                <w:szCs w:val="22"/>
                <w:highlight w:val="none"/>
                <w:lang w:eastAsia="zh-CN"/>
              </w:rPr>
              <w:t xml:space="preserve">路：振发一路（安桥浜-新东安路）、振发二路（孙安璐-312）、振发三路（薛典路-鸿祥路）、振发五路（里夫泾浜-安桥浜）、振发六路（新东安路-丽景小学、振发七路（新东安路-丽三）、振发八路(孙安路-安桥浜)、孙安路（望虞河-墙宅路)、新东安路（望虞河-安桥浜）、新农路（里夫泾浜-312）、里河路（312-华家里浜）、裕安路（312-裕丰路长江路）、裕安一路、香楠路（西南门-飞凤南路）香楠一路。</w:t>
            </w:r>
            <w:r/>
          </w:p>
        </w:tc>
      </w:tr>
      <w:tr>
        <w:trPr>
          <w:trHeight w:val="843"/>
        </w:trPr>
        <w:tc>
          <w:tcPr>
            <w:tcW w:w="949" w:type="dxa"/>
            <w:vAlign w:val="center"/>
            <w:textDirection w:val="lrTb"/>
            <w:noWrap w:val="false"/>
          </w:tcPr>
          <w:p>
            <w:pPr>
              <w:jc w:val="center"/>
              <w:spacing w:line="360" w:lineRule="auto"/>
              <w:widowControl/>
              <w:rPr>
                <w:rFonts w:hint="eastAsia" w:ascii="宋体" w:hAnsi="宋体"/>
                <w:color w:val="auto"/>
                <w:sz w:val="22"/>
                <w:szCs w:val="22"/>
                <w:highlight w:val="none"/>
              </w:rPr>
            </w:pPr>
            <w:r>
              <w:rPr>
                <w:rFonts w:hint="eastAsia" w:ascii="宋体" w:hAnsi="宋体"/>
                <w:color w:val="auto"/>
                <w:sz w:val="22"/>
                <w:szCs w:val="22"/>
                <w:highlight w:val="none"/>
              </w:rPr>
              <w:t xml:space="preserve">三标段</w:t>
            </w:r>
            <w:r/>
          </w:p>
        </w:tc>
        <w:tc>
          <w:tcPr>
            <w:tcW w:w="1812" w:type="dxa"/>
            <w:vAlign w:val="center"/>
            <w:textDirection w:val="lrTb"/>
            <w:noWrap w:val="false"/>
          </w:tcPr>
          <w:p>
            <w:pPr>
              <w:jc w:val="center"/>
              <w:spacing w:line="360" w:lineRule="auto"/>
              <w:widowControl/>
              <w:rPr>
                <w:rFonts w:hint="eastAsia" w:ascii="宋体" w:hAnsi="宋体"/>
                <w:color w:val="auto"/>
                <w:sz w:val="22"/>
                <w:szCs w:val="22"/>
                <w:highlight w:val="none"/>
              </w:rPr>
            </w:pPr>
            <w:r>
              <w:rPr>
                <w:rFonts w:hint="eastAsia" w:ascii="宋体" w:hAnsi="宋体"/>
                <w:color w:val="auto"/>
                <w:sz w:val="22"/>
                <w:szCs w:val="22"/>
                <w:highlight w:val="none"/>
              </w:rPr>
              <w:t xml:space="preserve">小区片区</w:t>
            </w:r>
            <w:r/>
          </w:p>
          <w:p>
            <w:pPr>
              <w:jc w:val="center"/>
              <w:spacing w:line="360" w:lineRule="auto"/>
              <w:widowControl/>
              <w:rPr>
                <w:rFonts w:hint="eastAsia" w:ascii="宋体" w:hAnsi="宋体"/>
                <w:color w:val="auto"/>
                <w:sz w:val="22"/>
                <w:szCs w:val="22"/>
                <w:highlight w:val="none"/>
              </w:rPr>
            </w:pPr>
            <w:r>
              <w:rPr>
                <w:rFonts w:hint="eastAsia" w:ascii="宋体" w:hAnsi="宋体"/>
                <w:color w:val="auto"/>
                <w:sz w:val="22"/>
                <w:szCs w:val="22"/>
                <w:highlight w:val="none"/>
                <w:lang w:eastAsia="zh-CN"/>
              </w:rPr>
              <w:t xml:space="preserve">市镇、农村片区园区道路</w:t>
            </w:r>
            <w:r/>
          </w:p>
        </w:tc>
        <w:tc>
          <w:tcPr>
            <w:tcW w:w="7158" w:type="dxa"/>
            <w:vAlign w:val="center"/>
            <w:textDirection w:val="lrTb"/>
            <w:noWrap w:val="false"/>
          </w:tcPr>
          <w:p>
            <w:pPr>
              <w:numPr>
                <w:ilvl w:val="0"/>
                <w:numId w:val="5"/>
              </w:numPr>
              <w:jc w:val="both"/>
              <w:spacing w:line="360" w:lineRule="auto"/>
              <w:widowControl/>
              <w:rPr>
                <w:rFonts w:hint="eastAsia" w:ascii="宋体" w:hAnsi="宋体"/>
                <w:color w:val="auto"/>
                <w:sz w:val="22"/>
                <w:szCs w:val="22"/>
                <w:highlight w:val="none"/>
              </w:rPr>
            </w:pPr>
            <w:r>
              <w:rPr>
                <w:rFonts w:hint="eastAsia" w:ascii="宋体" w:hAnsi="宋体"/>
                <w:color w:val="auto"/>
                <w:sz w:val="22"/>
                <w:szCs w:val="22"/>
                <w:highlight w:val="none"/>
              </w:rPr>
              <w:t xml:space="preserve">小区片区</w:t>
            </w:r>
            <w:r>
              <w:rPr>
                <w:rFonts w:hint="eastAsia" w:ascii="宋体" w:hAnsi="宋体"/>
                <w:color w:val="auto"/>
                <w:sz w:val="22"/>
                <w:szCs w:val="22"/>
                <w:highlight w:val="none"/>
                <w:lang w:eastAsia="zh-CN"/>
              </w:rPr>
              <w:t xml:space="preserve">：丽景佳苑一期、振发公寓、、新锦苑、锦硕苑一期、锦硕苑二期（渔硕）、丰硕苑、润硕苑、润硕幼儿园、港欣（含门面店铺）吉祥中心幼儿园、睦邻中心；</w:t>
            </w:r>
            <w:r/>
          </w:p>
          <w:p>
            <w:pPr>
              <w:numPr>
                <w:ilvl w:val="0"/>
                <w:numId w:val="5"/>
              </w:numPr>
              <w:jc w:val="both"/>
              <w:spacing w:line="360" w:lineRule="auto"/>
              <w:widowControl/>
              <w:rPr>
                <w:rFonts w:hint="eastAsia" w:ascii="宋体" w:hAnsi="宋体"/>
                <w:color w:val="auto"/>
                <w:sz w:val="22"/>
                <w:szCs w:val="22"/>
                <w:highlight w:val="none"/>
              </w:rPr>
            </w:pPr>
            <w:r>
              <w:rPr>
                <w:rFonts w:hint="eastAsia" w:ascii="宋体" w:hAnsi="宋体"/>
                <w:color w:val="auto"/>
                <w:sz w:val="22"/>
                <w:szCs w:val="22"/>
                <w:highlight w:val="none"/>
                <w:lang w:eastAsia="zh-CN"/>
              </w:rPr>
              <w:t xml:space="preserve">市镇、农村片区：通祥一村、小商品市场、通祥三村、墙裕村1期、车辆管理、硕放党校、硕放自来水、墙宅路门面、医院、墙裕村、硕放老城区；</w:t>
            </w:r>
            <w:r/>
          </w:p>
          <w:p>
            <w:pPr>
              <w:numPr>
                <w:ilvl w:val="0"/>
                <w:numId w:val="5"/>
              </w:numPr>
              <w:jc w:val="both"/>
              <w:spacing w:line="360" w:lineRule="auto"/>
              <w:widowControl/>
              <w:rPr>
                <w:rFonts w:hint="eastAsia" w:ascii="宋体" w:hAnsi="宋体"/>
                <w:color w:val="auto"/>
                <w:sz w:val="22"/>
                <w:szCs w:val="22"/>
                <w:highlight w:val="none"/>
              </w:rPr>
            </w:pPr>
            <w:r>
              <w:rPr>
                <w:rFonts w:hint="eastAsia" w:ascii="宋体" w:hAnsi="宋体"/>
                <w:color w:val="auto"/>
                <w:sz w:val="22"/>
                <w:szCs w:val="22"/>
                <w:highlight w:val="none"/>
                <w:lang w:eastAsia="zh-CN"/>
              </w:rPr>
              <w:t xml:space="preserve">园区道路：墙门西路、政通路、振发路（墙宅路-孙安路）、通祥路（长江路-新宅路）、文化中心、环太湖高架两侧。</w:t>
            </w:r>
            <w:r/>
          </w:p>
        </w:tc>
      </w:tr>
      <w:tr>
        <w:trPr>
          <w:trHeight w:val="843"/>
        </w:trPr>
        <w:tc>
          <w:tcPr>
            <w:tcW w:w="949" w:type="dxa"/>
            <w:vAlign w:val="center"/>
            <w:textDirection w:val="lrTb"/>
            <w:noWrap w:val="false"/>
          </w:tcPr>
          <w:p>
            <w:pPr>
              <w:jc w:val="center"/>
              <w:spacing w:line="360" w:lineRule="auto"/>
              <w:widowControl/>
              <w:rPr>
                <w:rFonts w:hint="default" w:ascii="宋体" w:hAnsi="宋体" w:eastAsia="宋体"/>
                <w:color w:val="auto"/>
                <w:sz w:val="22"/>
                <w:szCs w:val="22"/>
                <w:highlight w:val="none"/>
                <w:lang w:val="en-US" w:eastAsia="zh-CN"/>
              </w:rPr>
            </w:pPr>
            <w:r>
              <w:rPr>
                <w:rFonts w:hint="eastAsia" w:ascii="宋体" w:hAnsi="宋体"/>
                <w:color w:val="auto"/>
                <w:sz w:val="22"/>
                <w:szCs w:val="22"/>
                <w:highlight w:val="none"/>
                <w:lang w:val="en-US" w:eastAsia="zh-CN"/>
              </w:rPr>
              <w:t xml:space="preserve">四标段</w:t>
            </w:r>
            <w:r/>
          </w:p>
        </w:tc>
        <w:tc>
          <w:tcPr>
            <w:tcW w:w="1812" w:type="dxa"/>
            <w:vAlign w:val="center"/>
            <w:textDirection w:val="lrTb"/>
            <w:noWrap w:val="false"/>
          </w:tcPr>
          <w:p>
            <w:pPr>
              <w:jc w:val="center"/>
              <w:spacing w:line="360" w:lineRule="auto"/>
              <w:widowControl/>
              <w:rPr>
                <w:rFonts w:hint="eastAsia" w:ascii="宋体" w:hAnsi="宋体"/>
                <w:color w:val="auto"/>
                <w:sz w:val="22"/>
                <w:szCs w:val="22"/>
                <w:highlight w:val="none"/>
              </w:rPr>
            </w:pPr>
            <w:r>
              <w:rPr>
                <w:rFonts w:hint="eastAsia" w:ascii="宋体" w:hAnsi="宋体"/>
                <w:color w:val="auto"/>
                <w:sz w:val="22"/>
                <w:szCs w:val="22"/>
                <w:highlight w:val="none"/>
              </w:rPr>
              <w:t xml:space="preserve">小区片区</w:t>
            </w:r>
            <w:r/>
          </w:p>
          <w:p>
            <w:pPr>
              <w:jc w:val="center"/>
              <w:spacing w:line="360" w:lineRule="auto"/>
              <w:widowControl/>
              <w:rPr>
                <w:rFonts w:hint="eastAsia" w:ascii="宋体" w:hAnsi="宋体"/>
                <w:color w:val="auto"/>
                <w:sz w:val="22"/>
                <w:szCs w:val="22"/>
                <w:highlight w:val="none"/>
                <w:lang w:eastAsia="zh-CN"/>
              </w:rPr>
            </w:pPr>
            <w:r>
              <w:rPr>
                <w:rFonts w:hint="eastAsia" w:ascii="宋体" w:hAnsi="宋体"/>
                <w:color w:val="auto"/>
                <w:sz w:val="22"/>
                <w:szCs w:val="22"/>
                <w:highlight w:val="none"/>
                <w:lang w:eastAsia="zh-CN"/>
              </w:rPr>
              <w:t xml:space="preserve">市镇、农村片区</w:t>
            </w:r>
            <w:r/>
          </w:p>
          <w:p>
            <w:pPr>
              <w:jc w:val="center"/>
              <w:spacing w:line="360" w:lineRule="auto"/>
              <w:widowControl/>
              <w:rPr>
                <w:rFonts w:hint="eastAsia" w:ascii="宋体" w:hAnsi="宋体"/>
                <w:color w:val="auto"/>
                <w:sz w:val="22"/>
                <w:szCs w:val="22"/>
                <w:highlight w:val="none"/>
              </w:rPr>
            </w:pPr>
            <w:r>
              <w:rPr>
                <w:rFonts w:hint="eastAsia" w:ascii="宋体" w:hAnsi="宋体"/>
                <w:color w:val="auto"/>
                <w:sz w:val="22"/>
                <w:szCs w:val="22"/>
                <w:highlight w:val="none"/>
                <w:lang w:eastAsia="zh-CN"/>
              </w:rPr>
              <w:t xml:space="preserve">园区道路</w:t>
            </w:r>
            <w:r/>
          </w:p>
        </w:tc>
        <w:tc>
          <w:tcPr>
            <w:tcW w:w="7158" w:type="dxa"/>
            <w:vAlign w:val="center"/>
            <w:textDirection w:val="lrTb"/>
            <w:noWrap w:val="false"/>
          </w:tcPr>
          <w:p>
            <w:pPr>
              <w:numPr>
                <w:ilvl w:val="0"/>
                <w:numId w:val="0"/>
              </w:numPr>
              <w:jc w:val="both"/>
              <w:spacing w:line="360" w:lineRule="auto"/>
              <w:widowControl/>
              <w:rPr>
                <w:rFonts w:hint="eastAsia" w:ascii="宋体" w:hAnsi="宋体"/>
                <w:color w:val="auto"/>
                <w:sz w:val="22"/>
                <w:szCs w:val="22"/>
                <w:highlight w:val="none"/>
              </w:rPr>
            </w:pPr>
            <w:r>
              <w:rPr>
                <w:rFonts w:hint="eastAsia" w:ascii="宋体" w:hAnsi="宋体"/>
                <w:color w:val="auto"/>
                <w:sz w:val="22"/>
                <w:szCs w:val="22"/>
                <w:highlight w:val="none"/>
                <w:lang w:val="en-US" w:eastAsia="zh-CN"/>
              </w:rPr>
              <w:t xml:space="preserve">1、</w:t>
            </w:r>
            <w:r>
              <w:rPr>
                <w:rFonts w:hint="eastAsia" w:ascii="宋体" w:hAnsi="宋体"/>
                <w:color w:val="auto"/>
                <w:sz w:val="22"/>
                <w:szCs w:val="22"/>
                <w:highlight w:val="none"/>
              </w:rPr>
              <w:t xml:space="preserve">小区片区</w:t>
            </w:r>
            <w:r>
              <w:rPr>
                <w:rFonts w:hint="eastAsia" w:ascii="宋体" w:hAnsi="宋体"/>
                <w:color w:val="auto"/>
                <w:sz w:val="22"/>
                <w:szCs w:val="22"/>
                <w:highlight w:val="none"/>
                <w:lang w:eastAsia="zh-CN"/>
              </w:rPr>
              <w:t xml:space="preserve">：咏硕苑；</w:t>
            </w:r>
            <w:r/>
          </w:p>
          <w:p>
            <w:pPr>
              <w:numPr>
                <w:ilvl w:val="0"/>
                <w:numId w:val="0"/>
              </w:numPr>
              <w:jc w:val="both"/>
              <w:spacing w:line="360" w:lineRule="auto"/>
              <w:widowControl/>
              <w:rPr>
                <w:rFonts w:hint="eastAsia" w:ascii="宋体" w:hAnsi="宋体"/>
                <w:color w:val="auto"/>
                <w:sz w:val="22"/>
                <w:szCs w:val="22"/>
                <w:highlight w:val="none"/>
              </w:rPr>
            </w:pPr>
            <w:r>
              <w:rPr>
                <w:rFonts w:hint="eastAsia" w:ascii="宋体" w:hAnsi="宋体"/>
                <w:color w:val="auto"/>
                <w:sz w:val="22"/>
                <w:szCs w:val="22"/>
                <w:highlight w:val="none"/>
                <w:lang w:val="en-US" w:eastAsia="zh-CN"/>
              </w:rPr>
              <w:t xml:space="preserve">2、</w:t>
            </w:r>
            <w:r>
              <w:rPr>
                <w:rFonts w:hint="eastAsia" w:ascii="宋体" w:hAnsi="宋体"/>
                <w:color w:val="auto"/>
                <w:sz w:val="22"/>
                <w:szCs w:val="22"/>
                <w:highlight w:val="none"/>
                <w:lang w:eastAsia="zh-CN"/>
              </w:rPr>
              <w:t xml:space="preserve">市镇、农村片区：溇金（大小房溇上，水家桥，中通支路九龙医疗周边）；</w:t>
            </w:r>
            <w:r/>
          </w:p>
          <w:p>
            <w:pPr>
              <w:jc w:val="both"/>
              <w:spacing w:line="360" w:lineRule="auto"/>
              <w:widowControl/>
              <w:rPr>
                <w:rFonts w:hint="eastAsia" w:ascii="宋体" w:hAnsi="宋体"/>
                <w:color w:val="auto"/>
                <w:sz w:val="22"/>
                <w:szCs w:val="22"/>
                <w:highlight w:val="none"/>
              </w:rPr>
            </w:pPr>
            <w:r>
              <w:rPr>
                <w:rFonts w:hint="eastAsia" w:ascii="宋体" w:hAnsi="宋体"/>
                <w:color w:val="auto"/>
                <w:sz w:val="22"/>
                <w:szCs w:val="22"/>
                <w:highlight w:val="none"/>
                <w:lang w:val="en-US" w:eastAsia="zh-CN"/>
              </w:rPr>
              <w:t xml:space="preserve">3、</w:t>
            </w:r>
            <w:r>
              <w:rPr>
                <w:rFonts w:hint="eastAsia" w:ascii="宋体" w:hAnsi="宋体"/>
                <w:color w:val="auto"/>
                <w:sz w:val="22"/>
                <w:szCs w:val="22"/>
                <w:highlight w:val="none"/>
                <w:lang w:eastAsia="zh-CN"/>
              </w:rPr>
              <w:t xml:space="preserve">园区道路：经发一、二、五、六、七、八路、九路、空港梅高（文源路、锦程路、和润路）、生命科技园（含街道办事处ABCD）、南开路（机场南路-天山水泥厂）、中通路（锡协路-锦鸿路）、红光工业园、新宅路、南开路五条支路、锡协路（薛典路-中通路）。</w:t>
            </w:r>
            <w:r/>
          </w:p>
        </w:tc>
      </w:tr>
    </w:tbl>
    <w:p>
      <w:pPr>
        <w:ind w:firstLine="480"/>
        <w:jc w:val="left"/>
        <w:spacing w:line="360" w:lineRule="auto"/>
        <w:widowControl/>
        <w:rPr>
          <w:rFonts w:hint="eastAsia" w:ascii="宋体" w:hAnsi="宋体" w:cs="宋体"/>
          <w:b/>
          <w:bCs/>
          <w:color w:val="auto"/>
          <w:sz w:val="24"/>
          <w:highlight w:val="none"/>
        </w:rPr>
      </w:pPr>
      <w:r>
        <w:rPr>
          <w:rFonts w:hint="eastAsia" w:ascii="宋体" w:hAnsi="宋体" w:cs="宋体"/>
          <w:b/>
          <w:bCs/>
          <w:color w:val="auto"/>
          <w:sz w:val="24"/>
          <w:szCs w:val="24"/>
          <w:highlight w:val="none"/>
        </w:rPr>
        <w:t xml:space="preserve">注：（1）</w:t>
      </w:r>
      <w:r>
        <w:rPr>
          <w:rFonts w:hint="eastAsia" w:ascii="宋体" w:hAnsi="宋体" w:cs="宋体"/>
          <w:b/>
          <w:bCs/>
          <w:color w:val="auto"/>
          <w:sz w:val="24"/>
          <w:highlight w:val="none"/>
        </w:rPr>
        <w:t xml:space="preserve">投标</w:t>
      </w:r>
      <w:r>
        <w:rPr>
          <w:rFonts w:hint="eastAsia" w:ascii="宋体" w:hAnsi="宋体" w:cs="宋体"/>
          <w:b/>
          <w:bCs/>
          <w:color w:val="auto"/>
          <w:sz w:val="24"/>
          <w:highlight w:val="none"/>
          <w:lang w:val="en-US" w:eastAsia="zh-CN"/>
        </w:rPr>
        <w:t xml:space="preserve">人</w:t>
      </w:r>
      <w:r>
        <w:rPr>
          <w:rFonts w:hint="eastAsia" w:ascii="宋体" w:hAnsi="宋体" w:cs="宋体"/>
          <w:b/>
          <w:bCs/>
          <w:color w:val="auto"/>
          <w:sz w:val="24"/>
          <w:highlight w:val="none"/>
        </w:rPr>
        <w:t xml:space="preserve">对</w:t>
      </w:r>
      <w:r>
        <w:rPr>
          <w:rFonts w:hint="eastAsia" w:ascii="宋体" w:hAnsi="宋体" w:cs="宋体"/>
          <w:b/>
          <w:bCs/>
          <w:color w:val="auto"/>
          <w:sz w:val="24"/>
          <w:highlight w:val="none"/>
          <w:lang w:eastAsia="zh-CN"/>
        </w:rPr>
        <w:t xml:space="preserve">四个标段</w:t>
      </w:r>
      <w:r>
        <w:rPr>
          <w:rFonts w:hint="eastAsia" w:ascii="宋体" w:hAnsi="宋体" w:cs="宋体"/>
          <w:b/>
          <w:bCs/>
          <w:color w:val="auto"/>
          <w:sz w:val="24"/>
          <w:highlight w:val="none"/>
        </w:rPr>
        <w:t xml:space="preserve">均可报价，但最多只能</w:t>
      </w:r>
      <w:r>
        <w:rPr>
          <w:rFonts w:hint="eastAsia" w:ascii="宋体" w:hAnsi="宋体" w:cs="宋体"/>
          <w:b/>
          <w:bCs/>
          <w:color w:val="auto"/>
          <w:sz w:val="24"/>
          <w:highlight w:val="none"/>
          <w:lang w:val="en-US" w:eastAsia="zh-CN"/>
        </w:rPr>
        <w:t xml:space="preserve">中标</w:t>
      </w:r>
      <w:r>
        <w:rPr>
          <w:rFonts w:hint="eastAsia" w:ascii="宋体" w:hAnsi="宋体" w:cs="宋体"/>
          <w:b/>
          <w:bCs/>
          <w:color w:val="auto"/>
          <w:sz w:val="24"/>
          <w:highlight w:val="none"/>
        </w:rPr>
        <w:t xml:space="preserve">一个标段，由评分排名第一的为</w:t>
      </w:r>
      <w:r>
        <w:rPr>
          <w:rFonts w:hint="eastAsia" w:ascii="宋体" w:hAnsi="宋体" w:cs="宋体"/>
          <w:b/>
          <w:bCs/>
          <w:color w:val="auto"/>
          <w:sz w:val="24"/>
          <w:highlight w:val="none"/>
          <w:lang w:val="en-US" w:eastAsia="zh-CN"/>
        </w:rPr>
        <w:t xml:space="preserve">中标人</w:t>
      </w:r>
      <w:r>
        <w:rPr>
          <w:rFonts w:hint="eastAsia" w:ascii="宋体" w:hAnsi="宋体" w:cs="宋体"/>
          <w:b/>
          <w:bCs/>
          <w:color w:val="auto"/>
          <w:sz w:val="24"/>
          <w:highlight w:val="none"/>
        </w:rPr>
        <w:t xml:space="preserve">。评分排名均第一的情况下，按投标</w:t>
      </w:r>
      <w:r>
        <w:rPr>
          <w:rFonts w:hint="eastAsia" w:ascii="宋体" w:hAnsi="宋体" w:cs="宋体"/>
          <w:b/>
          <w:bCs/>
          <w:color w:val="auto"/>
          <w:sz w:val="24"/>
          <w:highlight w:val="none"/>
          <w:lang w:val="en-US" w:eastAsia="zh-CN"/>
        </w:rPr>
        <w:t xml:space="preserve">人</w:t>
      </w:r>
      <w:r>
        <w:rPr>
          <w:rFonts w:hint="eastAsia" w:ascii="宋体" w:hAnsi="宋体" w:cs="宋体"/>
          <w:b/>
          <w:bCs/>
          <w:color w:val="auto"/>
          <w:sz w:val="24"/>
          <w:highlight w:val="none"/>
        </w:rPr>
        <w:t xml:space="preserve">在响应文件中承诺的</w:t>
      </w:r>
      <w:r>
        <w:rPr>
          <w:rFonts w:hint="eastAsia" w:ascii="宋体" w:hAnsi="宋体" w:cs="宋体"/>
          <w:b/>
          <w:bCs/>
          <w:color w:val="auto"/>
          <w:sz w:val="24"/>
          <w:highlight w:val="none"/>
          <w:lang w:val="en-US" w:eastAsia="zh-CN"/>
        </w:rPr>
        <w:t xml:space="preserve">中标</w:t>
      </w:r>
      <w:r>
        <w:rPr>
          <w:rFonts w:hint="eastAsia" w:ascii="宋体" w:hAnsi="宋体" w:cs="宋体"/>
          <w:b/>
          <w:bCs/>
          <w:color w:val="auto"/>
          <w:sz w:val="24"/>
          <w:highlight w:val="none"/>
        </w:rPr>
        <w:t xml:space="preserve">优先顺序确定</w:t>
      </w:r>
      <w:r>
        <w:rPr>
          <w:rFonts w:hint="eastAsia" w:ascii="宋体" w:hAnsi="宋体" w:cs="宋体"/>
          <w:b/>
          <w:bCs/>
          <w:color w:val="auto"/>
          <w:sz w:val="24"/>
          <w:highlight w:val="none"/>
          <w:lang w:val="en-US" w:eastAsia="zh-CN"/>
        </w:rPr>
        <w:t xml:space="preserve">中标</w:t>
      </w:r>
      <w:r>
        <w:rPr>
          <w:rFonts w:hint="eastAsia" w:ascii="宋体" w:hAnsi="宋体" w:cs="宋体"/>
          <w:b/>
          <w:bCs/>
          <w:color w:val="auto"/>
          <w:sz w:val="24"/>
          <w:highlight w:val="none"/>
        </w:rPr>
        <w:t xml:space="preserve">标段。如某标段排名第一的</w:t>
      </w:r>
      <w:r>
        <w:rPr>
          <w:rFonts w:hint="eastAsia" w:ascii="宋体" w:hAnsi="宋体" w:cs="宋体"/>
          <w:b/>
          <w:bCs/>
          <w:color w:val="auto"/>
          <w:sz w:val="24"/>
          <w:highlight w:val="none"/>
          <w:lang w:val="en-US" w:eastAsia="zh-CN"/>
        </w:rPr>
        <w:t xml:space="preserve">投标人</w:t>
      </w:r>
      <w:r>
        <w:rPr>
          <w:rFonts w:hint="eastAsia" w:ascii="宋体" w:hAnsi="宋体" w:cs="宋体"/>
          <w:b/>
          <w:bCs/>
          <w:color w:val="auto"/>
          <w:sz w:val="24"/>
          <w:highlight w:val="none"/>
        </w:rPr>
        <w:t xml:space="preserve">已经为其他标段的</w:t>
      </w:r>
      <w:r>
        <w:rPr>
          <w:rFonts w:hint="eastAsia" w:ascii="宋体" w:hAnsi="宋体" w:cs="宋体"/>
          <w:b/>
          <w:bCs/>
          <w:color w:val="auto"/>
          <w:sz w:val="24"/>
          <w:highlight w:val="none"/>
          <w:lang w:val="en-US" w:eastAsia="zh-CN"/>
        </w:rPr>
        <w:t xml:space="preserve">中标人</w:t>
      </w:r>
      <w:r>
        <w:rPr>
          <w:rFonts w:hint="eastAsia" w:ascii="宋体" w:hAnsi="宋体" w:cs="宋体"/>
          <w:b/>
          <w:bCs/>
          <w:color w:val="auto"/>
          <w:sz w:val="24"/>
          <w:highlight w:val="none"/>
        </w:rPr>
        <w:t xml:space="preserve">，则该标段由排名第二的为</w:t>
      </w:r>
      <w:r>
        <w:rPr>
          <w:rFonts w:hint="eastAsia" w:ascii="宋体" w:hAnsi="宋体" w:cs="宋体"/>
          <w:b/>
          <w:bCs/>
          <w:color w:val="auto"/>
          <w:sz w:val="24"/>
          <w:highlight w:val="none"/>
          <w:lang w:val="en-US" w:eastAsia="zh-CN"/>
        </w:rPr>
        <w:t xml:space="preserve">中标人</w:t>
      </w:r>
      <w:r>
        <w:rPr>
          <w:rFonts w:hint="eastAsia" w:ascii="宋体" w:hAnsi="宋体" w:cs="宋体"/>
          <w:b/>
          <w:bCs/>
          <w:color w:val="auto"/>
          <w:sz w:val="24"/>
          <w:highlight w:val="none"/>
        </w:rPr>
        <w:t xml:space="preserve">，依次类推。</w:t>
      </w:r>
      <w:r/>
    </w:p>
    <w:p>
      <w:pPr>
        <w:ind w:firstLine="480"/>
        <w:jc w:val="left"/>
        <w:spacing w:line="360" w:lineRule="auto"/>
        <w:widowControl/>
        <w:rPr>
          <w:rFonts w:hint="eastAsia" w:ascii="宋体" w:hAnsi="宋体" w:cs="宋体"/>
          <w:b/>
          <w:bCs/>
          <w:color w:val="auto"/>
          <w:sz w:val="24"/>
          <w:highlight w:val="none"/>
        </w:rPr>
      </w:pPr>
      <w:r>
        <w:rPr>
          <w:rFonts w:hint="eastAsia" w:ascii="宋体" w:hAnsi="宋体" w:cs="宋体"/>
          <w:b/>
          <w:bCs/>
          <w:color w:val="auto"/>
          <w:sz w:val="24"/>
          <w:szCs w:val="24"/>
          <w:highlight w:val="none"/>
        </w:rPr>
        <w:t xml:space="preserve">（2）单位负责人为同一人或者存在直接控股、管理关系的不同供应商，不得参加同一合同项下的政府采购活动。</w:t>
      </w:r>
      <w:r/>
    </w:p>
    <w:p>
      <w:pPr>
        <w:ind w:firstLine="480"/>
        <w:jc w:val="left"/>
        <w:spacing w:line="360" w:lineRule="auto"/>
        <w:widowControl/>
        <w:rPr>
          <w:rFonts w:hint="eastAsia" w:ascii="黑体" w:hAnsi="黑体" w:eastAsia="黑体" w:cs="宋体"/>
          <w:color w:val="auto"/>
          <w:sz w:val="24"/>
          <w:szCs w:val="24"/>
          <w:highlight w:val="none"/>
        </w:rPr>
      </w:pPr>
      <w:r>
        <w:rPr>
          <w:rFonts w:hint="eastAsia" w:ascii="黑体" w:hAnsi="黑体" w:eastAsia="黑体" w:cs="宋体"/>
          <w:color w:val="auto"/>
          <w:sz w:val="24"/>
          <w:szCs w:val="24"/>
          <w:highlight w:val="none"/>
        </w:rPr>
        <w:t xml:space="preserve">（二）投标人资格要求</w:t>
      </w:r>
      <w:r/>
    </w:p>
    <w:p>
      <w:pPr>
        <w:ind w:firstLine="480"/>
        <w:jc w:val="left"/>
        <w:spacing w:line="360" w:lineRule="auto"/>
        <w:widowControl/>
        <w:rPr>
          <w:rFonts w:hint="eastAsia" w:ascii="宋体" w:hAnsi="宋体"/>
          <w:color w:val="auto"/>
          <w:sz w:val="24"/>
          <w:szCs w:val="24"/>
          <w:highlight w:val="none"/>
        </w:rPr>
      </w:pPr>
      <w:r>
        <w:rPr>
          <w:rFonts w:hint="eastAsia" w:ascii="宋体" w:hAnsi="宋体"/>
          <w:color w:val="auto"/>
          <w:sz w:val="24"/>
          <w:szCs w:val="24"/>
          <w:highlight w:val="none"/>
        </w:rPr>
        <w:t xml:space="preserve">1.满足《中华人民共和国政府采购法》第二十二条规定；</w:t>
      </w:r>
      <w:r/>
    </w:p>
    <w:p>
      <w:pPr>
        <w:ind w:firstLine="480"/>
        <w:jc w:val="left"/>
        <w:spacing w:line="360" w:lineRule="auto"/>
        <w:widowControl/>
        <w:rPr>
          <w:rFonts w:hint="eastAsia" w:ascii="宋体" w:hAnsi="宋体"/>
          <w:color w:val="auto"/>
          <w:sz w:val="24"/>
          <w:szCs w:val="24"/>
          <w:highlight w:val="none"/>
        </w:rPr>
      </w:pPr>
      <w:r>
        <w:rPr>
          <w:rFonts w:hint="eastAsia" w:ascii="宋体" w:hAnsi="宋体"/>
          <w:color w:val="auto"/>
          <w:sz w:val="24"/>
          <w:szCs w:val="24"/>
          <w:highlight w:val="none"/>
        </w:rPr>
        <w:t xml:space="preserve">2.落实政府采购政策需满足的资格要求：本项目专门面向中小企业采购（残疾人福利性单位、监狱企业视同小型、微型企业）；</w:t>
      </w:r>
      <w:r/>
    </w:p>
    <w:p>
      <w:pPr>
        <w:ind w:firstLine="480"/>
        <w:jc w:val="left"/>
        <w:spacing w:line="360" w:lineRule="auto"/>
        <w:widowControl/>
        <w:rPr>
          <w:rFonts w:hint="eastAsia" w:ascii="宋体" w:hAnsi="宋体"/>
          <w:color w:val="auto"/>
          <w:sz w:val="24"/>
          <w:szCs w:val="24"/>
          <w:highlight w:val="none"/>
        </w:rPr>
      </w:pPr>
      <w:r>
        <w:rPr>
          <w:rFonts w:hint="eastAsia" w:ascii="宋体" w:hAnsi="宋体"/>
          <w:color w:val="auto"/>
          <w:sz w:val="24"/>
          <w:szCs w:val="24"/>
          <w:highlight w:val="none"/>
        </w:rPr>
        <w:t xml:space="preserve">3.具备采购人根据招标项目的特殊要求规定的以下特定资质：</w:t>
      </w:r>
      <w:r/>
    </w:p>
    <w:p>
      <w:pPr>
        <w:ind w:firstLine="480"/>
        <w:jc w:val="left"/>
        <w:spacing w:line="360" w:lineRule="auto"/>
        <w:widowControl/>
        <w:rPr>
          <w:rFonts w:hint="eastAsia" w:ascii="宋体" w:hAnsi="宋体" w:cs="宋体"/>
          <w:b/>
          <w:color w:val="auto"/>
          <w:sz w:val="24"/>
          <w:highlight w:val="none"/>
          <w:lang w:val="zh-CN"/>
        </w:rPr>
      </w:pPr>
      <w:r>
        <w:rPr>
          <w:rFonts w:hint="eastAsia" w:ascii="宋体" w:hAnsi="宋体"/>
          <w:color w:val="auto"/>
          <w:sz w:val="24"/>
          <w:szCs w:val="24"/>
          <w:highlight w:val="none"/>
        </w:rPr>
        <w:t xml:space="preserve">（1）</w:t>
      </w:r>
      <w:r>
        <w:rPr>
          <w:rFonts w:hint="eastAsia" w:ascii="宋体" w:hAnsi="宋体"/>
          <w:color w:val="auto"/>
          <w:sz w:val="24"/>
          <w:szCs w:val="24"/>
          <w:highlight w:val="none"/>
          <w:lang w:eastAsia="zh-CN"/>
        </w:rPr>
        <w:t xml:space="preserve">投标人</w:t>
      </w:r>
      <w:r>
        <w:rPr>
          <w:rFonts w:hint="eastAsia" w:ascii="宋体" w:hAnsi="宋体"/>
          <w:color w:val="auto"/>
          <w:sz w:val="24"/>
          <w:szCs w:val="24"/>
          <w:highlight w:val="none"/>
        </w:rPr>
        <w:t xml:space="preserve">应为中国大陆境内合法注册的独立企（事）业法人单位；（2）未被“信用中国”网站列入失信被执行人、重大税收违法案件当事人名单、政府采购严重违法失信行为记录名单；</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w:t>
      </w:r>
      <w:r>
        <w:rPr>
          <w:rFonts w:hint="eastAsia" w:ascii="宋体" w:hAnsi="宋体"/>
          <w:color w:val="auto"/>
          <w:sz w:val="24"/>
          <w:szCs w:val="24"/>
          <w:highlight w:val="none"/>
        </w:rPr>
        <w:t xml:space="preserve">授权委托人、项目负责人应为</w:t>
      </w:r>
      <w:r>
        <w:rPr>
          <w:rFonts w:hint="eastAsia" w:ascii="宋体" w:hAnsi="宋体"/>
          <w:color w:val="auto"/>
          <w:sz w:val="24"/>
          <w:szCs w:val="24"/>
          <w:highlight w:val="none"/>
          <w:lang w:eastAsia="zh-CN"/>
        </w:rPr>
        <w:t xml:space="preserve">投标人</w:t>
      </w:r>
      <w:r>
        <w:rPr>
          <w:rFonts w:hint="eastAsia" w:ascii="宋体" w:hAnsi="宋体"/>
          <w:color w:val="auto"/>
          <w:sz w:val="24"/>
          <w:szCs w:val="24"/>
          <w:highlight w:val="none"/>
        </w:rPr>
        <w:t xml:space="preserve">企业在职员工；（</w:t>
      </w:r>
      <w:r>
        <w:rPr>
          <w:rFonts w:hint="eastAsia" w:ascii="宋体" w:hAnsi="宋体"/>
          <w:color w:val="auto"/>
          <w:sz w:val="24"/>
          <w:szCs w:val="24"/>
          <w:highlight w:val="none"/>
          <w:lang w:val="en-US" w:eastAsia="zh-CN"/>
        </w:rPr>
        <w:t xml:space="preserve">4</w:t>
      </w:r>
      <w:r>
        <w:rPr>
          <w:rFonts w:hint="eastAsia" w:ascii="宋体" w:hAnsi="宋体"/>
          <w:color w:val="auto"/>
          <w:sz w:val="24"/>
          <w:szCs w:val="24"/>
          <w:highlight w:val="none"/>
        </w:rPr>
        <w:t xml:space="preserve">）</w:t>
      </w:r>
      <w:r>
        <w:rPr>
          <w:rFonts w:hint="eastAsia" w:ascii="宋体" w:hAnsi="宋体" w:cs="宋体"/>
          <w:b/>
          <w:bCs/>
          <w:color w:val="auto"/>
          <w:sz w:val="24"/>
          <w:highlight w:val="none"/>
          <w:lang w:eastAsia="zh-CN"/>
        </w:rPr>
        <w:t xml:space="preserve">投标人</w:t>
      </w:r>
      <w:r>
        <w:rPr>
          <w:rFonts w:hint="eastAsia" w:ascii="宋体" w:hAnsi="宋体" w:cs="宋体"/>
          <w:b/>
          <w:color w:val="auto"/>
          <w:sz w:val="24"/>
          <w:highlight w:val="none"/>
          <w:lang w:val="zh-CN"/>
        </w:rPr>
        <w:t xml:space="preserve">近三年无安全事故和质量事故，无</w:t>
      </w:r>
      <w:r>
        <w:rPr>
          <w:rFonts w:hint="eastAsia" w:ascii="宋体" w:hAnsi="宋体" w:cs="宋体"/>
          <w:b/>
          <w:color w:val="auto"/>
          <w:sz w:val="24"/>
          <w:highlight w:val="none"/>
        </w:rPr>
        <w:t xml:space="preserve">安全</w:t>
      </w:r>
      <w:r>
        <w:rPr>
          <w:rFonts w:hint="eastAsia" w:ascii="宋体" w:hAnsi="宋体" w:cs="宋体"/>
          <w:b/>
          <w:color w:val="auto"/>
          <w:sz w:val="24"/>
          <w:highlight w:val="none"/>
          <w:lang w:val="zh-CN"/>
        </w:rPr>
        <w:t xml:space="preserve">文明施工不良记录，无较大金额罚款（需提供承诺书，格式详见附件承诺书，如经查实与承诺不符，</w:t>
      </w:r>
      <w:r>
        <w:rPr>
          <w:rFonts w:hint="eastAsia" w:ascii="宋体" w:hAnsi="宋体" w:cs="宋体"/>
          <w:b/>
          <w:bCs/>
          <w:color w:val="auto"/>
          <w:sz w:val="24"/>
          <w:highlight w:val="none"/>
          <w:lang w:eastAsia="zh-CN"/>
        </w:rPr>
        <w:t xml:space="preserve">投标人</w:t>
      </w:r>
      <w:r>
        <w:rPr>
          <w:rFonts w:hint="eastAsia" w:ascii="宋体" w:hAnsi="宋体" w:cs="宋体"/>
          <w:b/>
          <w:color w:val="auto"/>
          <w:sz w:val="24"/>
          <w:highlight w:val="none"/>
          <w:lang w:val="zh-CN"/>
        </w:rPr>
        <w:t xml:space="preserve">自动放弃投标资格或中标资格）；</w:t>
      </w:r>
      <w:r/>
    </w:p>
    <w:p>
      <w:pPr>
        <w:ind w:firstLine="480"/>
        <w:jc w:val="left"/>
        <w:spacing w:line="360" w:lineRule="auto"/>
        <w:widowControl/>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4.</w:t>
      </w:r>
      <w:r>
        <w:rPr>
          <w:rFonts w:hint="eastAsia" w:ascii="宋体" w:hAnsi="宋体"/>
          <w:color w:val="auto"/>
          <w:sz w:val="24"/>
          <w:szCs w:val="24"/>
          <w:highlight w:val="none"/>
        </w:rPr>
        <w:t xml:space="preserve">本项目不接受联合体投标。</w:t>
      </w:r>
      <w:r/>
    </w:p>
    <w:p>
      <w:pPr>
        <w:ind w:firstLine="480"/>
        <w:jc w:val="left"/>
        <w:spacing w:line="360" w:lineRule="auto"/>
        <w:widowControl/>
        <w:rPr>
          <w:rFonts w:hint="eastAsia" w:ascii="黑体" w:hAnsi="黑体" w:eastAsia="黑体" w:cs="宋体"/>
          <w:color w:val="auto"/>
          <w:sz w:val="24"/>
          <w:szCs w:val="24"/>
          <w:highlight w:val="none"/>
        </w:rPr>
      </w:pPr>
      <w:r>
        <w:rPr>
          <w:rFonts w:hint="eastAsia" w:ascii="黑体" w:hAnsi="黑体" w:eastAsia="黑体" w:cs="宋体"/>
          <w:color w:val="auto"/>
          <w:sz w:val="24"/>
          <w:szCs w:val="24"/>
          <w:highlight w:val="none"/>
        </w:rPr>
        <w:t xml:space="preserve">（三）供应商主体信息库注册</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1.请有意参加本项目采购活动的供应商按以下流程进行操作：</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（1）访问“无锡政府采购网”点击“江苏省政府采购（苏采云）平台”（以下简称“苏采云”）进行账号注册，注册完成后需在系统中填写资质信息并提交审核。也可以直接通过http://jszfcg.jsczt.cn/进入注册界面。</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（2）办理“意源”CA数字证书和“方正”电子签章（办理地址：无锡市滨湖区观山路199号12号楼二楼9号、10号窗口），办理指南链接：http://jsxcmm.com/help/help.html。</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（3）CA驱动下载：</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在“江苏省政府采购（苏采云）平台”账号登录页面，点击“驱动下载”链接中的“政务CA、方正签章控件驱动安装包及安装说明”可以直接下载驱动安装包，安装包中附有驱动安装手册。</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技术服务电话：0510-81827781（服务时间：工作日 9:00-11:30，13:00-17:00）</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2.完成苏采云注册的供应商方可在苏采云中进行CA绑定。登录“江苏省政府采购（苏采云）平台”，插入CA后，点击【账号设置】——【绑定CA】。</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3.供应商应按上述要求提供相关材料及注册登记信息，所提供的材料应均是真实的、准确的，若有违背，供应商自行承担由此而产生的一切后果。</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4.如供应商未按上述要求操作，由此所产生的损失及风险由供应商自行承担。具体操作步骤详见《“苏采云”系统供应商操作手册》（以下简称《操作手册》），下载地址：无锡市政府采购网——资料下载——苏采云——</w:t>
      </w:r>
      <w:r>
        <w:rPr>
          <w:color w:val="auto"/>
          <w:highlight w:val="none"/>
        </w:rPr>
        <w:fldChar w:fldCharType="begin"/>
      </w:r>
      <w:r>
        <w:rPr>
          <w:color w:val="auto"/>
          <w:highlight w:val="none"/>
        </w:rPr>
        <w:instrText xml:space="preserve"> HYPERLINK "http://cz.wuxi.gov.cn/doc/2023/10/11/4080287.shtml" \t "_blank" </w:instrText>
      </w:r>
      <w:r>
        <w:rPr>
          <w:color w:val="auto"/>
          <w:highlight w:val="none"/>
        </w:rPr>
        <w:fldChar w:fldCharType="separate"/>
      </w:r>
      <w:r>
        <w:rPr>
          <w:rFonts w:hint="eastAsia" w:ascii="宋体" w:hAnsi="宋体"/>
          <w:color w:val="auto"/>
          <w:sz w:val="24"/>
          <w:szCs w:val="24"/>
          <w:highlight w:val="none"/>
        </w:rPr>
        <w:t xml:space="preserve">“苏采云”系统供应商操作手册</w:t>
      </w:r>
      <w:r>
        <w:rPr>
          <w:rFonts w:hint="eastAsia" w:ascii="宋体" w:hAnsi="宋体"/>
          <w:color w:val="auto"/>
          <w:sz w:val="24"/>
          <w:szCs w:val="24"/>
          <w:highlight w:val="none"/>
        </w:rPr>
        <w:fldChar w:fldCharType="end"/>
      </w:r>
      <w:r>
        <w:rPr>
          <w:rFonts w:hint="eastAsia" w:ascii="宋体" w:hAnsi="宋体"/>
          <w:color w:val="auto"/>
          <w:sz w:val="24"/>
          <w:szCs w:val="24"/>
          <w:highlight w:val="none"/>
        </w:rPr>
        <w:t xml:space="preserve">。</w:t>
      </w:r>
      <w:r/>
    </w:p>
    <w:p>
      <w:pPr>
        <w:ind w:firstLine="480"/>
        <w:spacing w:line="360" w:lineRule="auto"/>
        <w:rPr>
          <w:rFonts w:hint="eastAsia" w:ascii="黑体" w:hAnsi="黑体" w:eastAsia="黑体"/>
          <w:bCs/>
          <w:color w:val="auto"/>
          <w:sz w:val="24"/>
          <w:szCs w:val="24"/>
          <w:highlight w:val="none"/>
        </w:rPr>
      </w:pPr>
      <w:r>
        <w:rPr>
          <w:rFonts w:hint="eastAsia" w:ascii="黑体" w:hAnsi="黑体" w:eastAsia="黑体"/>
          <w:bCs/>
          <w:color w:val="auto"/>
          <w:sz w:val="24"/>
          <w:szCs w:val="24"/>
          <w:highlight w:val="none"/>
        </w:rPr>
        <w:t xml:space="preserve">（四）完成项目报名，获取采购文件</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1.时间：本招标文件有效获取期限以本项目招标公告中规定的获取招标文件时间为准。</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2.地点：“江苏省政府采购（苏采云）平台”。</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3.方式：请有投标意向的供应商在招标文件有效获取期内及时至“江苏省政府采购（苏采云）平台”获取。在招标文件有效获取期限内，从“江苏省政府采购（苏采云）平台”获取的招标文件，视为依法获取的招标文件。完成项目报名，将苏采云平台中下载的招标文件（后缀名为“.kedt”）导入到“政府采购客户端”，离线按要求编制并加密投标文件（使用“CA数字证书”），导出加密的投标文件（后缀名为zip，不得超过150M）并在苏采云平台上传该加密的投标文件，对招标文件各项内容做出实质性响应，否则其投标文件无效。</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4.招标文件（后缀名为“.kedt”）、“苏采云”系统供应商操作手册及政府采购客户端工具也可通过“苏采云”系统--已参与项目--报名详情页面内相应链接进行下载。</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5.政府采购客户端工具及“苏采云”系统供应商操作手册可访问江苏政府采购网--办事指南--“资料下载”进行下载《“苏采云”系统供应商操作手册及政府采购客户端工具》或可至无锡政府采购网--下载专区--“苏采云”栏目下载《“苏采云”系统供应商操作手册》。</w:t>
      </w:r>
      <w:r/>
    </w:p>
    <w:p>
      <w:pPr>
        <w:ind w:firstLine="480"/>
        <w:spacing w:line="360" w:lineRule="auto"/>
        <w:rPr>
          <w:rFonts w:hint="eastAsia" w:ascii="黑体" w:hAnsi="黑体" w:eastAsia="黑体"/>
          <w:bCs/>
          <w:color w:val="auto"/>
          <w:sz w:val="24"/>
          <w:szCs w:val="24"/>
          <w:highlight w:val="none"/>
        </w:rPr>
      </w:pPr>
      <w:r>
        <w:rPr>
          <w:rFonts w:hint="eastAsia" w:ascii="黑体" w:hAnsi="黑体" w:eastAsia="黑体"/>
          <w:bCs/>
          <w:color w:val="auto"/>
          <w:sz w:val="24"/>
          <w:szCs w:val="24"/>
          <w:highlight w:val="none"/>
        </w:rPr>
        <w:t xml:space="preserve">（五）公开答疑时间、地点</w:t>
      </w:r>
      <w:r/>
    </w:p>
    <w:p>
      <w:pPr>
        <w:ind w:firstLine="480"/>
        <w:jc w:val="left"/>
        <w:spacing w:line="360" w:lineRule="auto"/>
        <w:widowControl/>
        <w:rPr>
          <w:rFonts w:hint="eastAsia" w:ascii="宋体" w:hAnsi="宋体"/>
          <w:color w:val="auto"/>
          <w:sz w:val="24"/>
          <w:szCs w:val="24"/>
          <w:highlight w:val="none"/>
        </w:rPr>
      </w:pPr>
      <w:r>
        <w:rPr>
          <w:rFonts w:hint="eastAsia" w:ascii="宋体" w:hAnsi="宋体"/>
          <w:bCs/>
          <w:color w:val="auto"/>
          <w:sz w:val="24"/>
          <w:szCs w:val="24"/>
          <w:highlight w:val="none"/>
        </w:rPr>
        <w:t xml:space="preserve">采购人、</w:t>
      </w:r>
      <w:r>
        <w:rPr>
          <w:rFonts w:hint="eastAsia" w:ascii="宋体" w:hAnsi="宋体"/>
          <w:color w:val="auto"/>
          <w:sz w:val="24"/>
          <w:szCs w:val="24"/>
          <w:highlight w:val="none"/>
          <w:lang w:eastAsia="zh-CN"/>
        </w:rPr>
        <w:t xml:space="preserve">江苏君安工程管理咨询有限公司</w:t>
      </w:r>
      <w:r>
        <w:rPr>
          <w:rFonts w:hint="eastAsia" w:ascii="宋体" w:hAnsi="宋体"/>
          <w:bCs/>
          <w:color w:val="auto"/>
          <w:sz w:val="24"/>
          <w:szCs w:val="24"/>
          <w:highlight w:val="none"/>
        </w:rPr>
        <w:t xml:space="preserve">将以线上不见面、电话咨询、传真等方式开展线上答疑服务。</w:t>
      </w:r>
      <w:r>
        <w:rPr>
          <w:rFonts w:hint="eastAsia" w:ascii="宋体" w:hAnsi="宋体"/>
          <w:bCs/>
          <w:color w:val="auto"/>
          <w:sz w:val="24"/>
          <w:szCs w:val="24"/>
          <w:highlight w:val="none"/>
          <w:lang w:eastAsia="zh-CN"/>
        </w:rPr>
        <w:t xml:space="preserve">截至2026年</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13</w:t>
      </w:r>
      <w:r>
        <w:rPr>
          <w:rFonts w:hint="eastAsia" w:ascii="宋体" w:hAnsi="宋体" w:cs="宋体"/>
          <w:color w:val="auto"/>
          <w:sz w:val="24"/>
          <w:szCs w:val="24"/>
          <w:highlight w:val="none"/>
        </w:rPr>
        <w:t xml:space="preserve">日10:00前，</w:t>
      </w:r>
      <w:r>
        <w:rPr>
          <w:rFonts w:hint="eastAsia" w:ascii="宋体" w:hAnsi="宋体"/>
          <w:bCs/>
          <w:color w:val="auto"/>
          <w:sz w:val="24"/>
          <w:szCs w:val="24"/>
          <w:highlight w:val="none"/>
        </w:rPr>
        <w:t xml:space="preserve">有关单位对于招标文件的相关事项如有疑问可通过上述方式咨询；</w:t>
      </w:r>
      <w:r>
        <w:rPr>
          <w:rFonts w:hint="eastAsia" w:ascii="宋体" w:hAnsi="宋体"/>
          <w:color w:val="auto"/>
          <w:sz w:val="24"/>
          <w:szCs w:val="24"/>
          <w:highlight w:val="none"/>
        </w:rPr>
        <w:t xml:space="preserve">投标人如有需要对招标文件要求澄清的问题，请以书面形式</w:t>
      </w:r>
      <w:r>
        <w:rPr>
          <w:rFonts w:hint="eastAsia" w:ascii="宋体" w:hAnsi="宋体"/>
          <w:b/>
          <w:bCs/>
          <w:color w:val="auto"/>
          <w:sz w:val="24"/>
          <w:szCs w:val="24"/>
          <w:highlight w:val="none"/>
        </w:rPr>
        <w:t xml:space="preserve">（必须加盖投标人公章，也请务必留下联系方式，以便回复）</w:t>
      </w:r>
      <w:r>
        <w:rPr>
          <w:rFonts w:hint="eastAsia" w:ascii="宋体" w:hAnsi="宋体"/>
          <w:color w:val="auto"/>
          <w:sz w:val="24"/>
          <w:szCs w:val="24"/>
          <w:highlight w:val="none"/>
        </w:rPr>
        <w:t xml:space="preserve">提出</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eastAsia="zh-CN"/>
        </w:rPr>
        <w:t xml:space="preserve">JSZC-320214-JAGC-G2026-0003</w:t>
      </w:r>
      <w:r>
        <w:rPr>
          <w:rFonts w:hint="eastAsia" w:ascii="宋体" w:hAnsi="宋体" w:cs="宋体"/>
          <w:color w:val="auto"/>
          <w:sz w:val="24"/>
          <w:szCs w:val="24"/>
          <w:highlight w:val="none"/>
        </w:rPr>
        <w:t xml:space="preserve">项目需澄清问题”</w:t>
      </w:r>
      <w:r>
        <w:rPr>
          <w:rFonts w:hint="eastAsia" w:ascii="宋体" w:hAnsi="宋体" w:cs="宋体"/>
          <w:bCs/>
          <w:color w:val="auto"/>
          <w:sz w:val="24"/>
          <w:szCs w:val="24"/>
          <w:highlight w:val="none"/>
        </w:rPr>
        <w:t xml:space="preserve">，</w:t>
      </w:r>
      <w:r>
        <w:rPr>
          <w:rFonts w:hint="eastAsia" w:ascii="宋体" w:hAnsi="宋体" w:cs="宋体"/>
          <w:color w:val="auto"/>
          <w:sz w:val="24"/>
          <w:szCs w:val="24"/>
          <w:highlight w:val="none"/>
        </w:rPr>
        <w:t xml:space="preserve">并于答疑</w:t>
      </w:r>
      <w:r>
        <w:rPr>
          <w:rFonts w:hint="eastAsia" w:ascii="宋体" w:hAnsi="宋体" w:cs="宋体"/>
          <w:bCs/>
          <w:color w:val="auto"/>
          <w:sz w:val="24"/>
          <w:szCs w:val="24"/>
          <w:highlight w:val="none"/>
        </w:rPr>
        <w:t xml:space="preserve">截止时间前</w:t>
      </w:r>
      <w:r>
        <w:rPr>
          <w:rFonts w:hint="eastAsia" w:ascii="宋体" w:hAnsi="宋体" w:cs="宋体"/>
          <w:color w:val="auto"/>
          <w:sz w:val="24"/>
          <w:szCs w:val="24"/>
          <w:highlight w:val="none"/>
        </w:rPr>
        <w:t xml:space="preserve">传真给项目联</w:t>
      </w:r>
      <w:r>
        <w:rPr>
          <w:rFonts w:hint="eastAsia" w:ascii="宋体" w:hAnsi="宋体"/>
          <w:color w:val="auto"/>
          <w:sz w:val="24"/>
          <w:szCs w:val="24"/>
          <w:highlight w:val="none"/>
        </w:rPr>
        <w:t xml:space="preserve">系人</w:t>
      </w:r>
      <w:r>
        <w:rPr>
          <w:rFonts w:hint="eastAsia" w:ascii="宋体" w:hAnsi="宋体"/>
          <w:bCs/>
          <w:color w:val="auto"/>
          <w:sz w:val="24"/>
          <w:szCs w:val="24"/>
          <w:highlight w:val="none"/>
        </w:rPr>
        <w:t xml:space="preserve">。若未在法定时间内提出澄清，由此造成的损失及风险由投标人自行承担。</w:t>
      </w:r>
      <w:r/>
    </w:p>
    <w:p>
      <w:pPr>
        <w:ind w:firstLine="480"/>
        <w:jc w:val="left"/>
        <w:spacing w:line="360" w:lineRule="auto"/>
        <w:widowControl/>
        <w:rPr>
          <w:rFonts w:hint="eastAsia" w:ascii="黑体" w:hAnsi="黑体" w:eastAsia="黑体" w:cs="宋体"/>
          <w:color w:val="auto"/>
          <w:sz w:val="24"/>
          <w:szCs w:val="24"/>
          <w:highlight w:val="none"/>
        </w:rPr>
      </w:pPr>
      <w:r>
        <w:rPr>
          <w:rFonts w:hint="eastAsia" w:ascii="黑体" w:hAnsi="黑体" w:eastAsia="黑体" w:cs="宋体"/>
          <w:color w:val="auto"/>
          <w:sz w:val="24"/>
          <w:szCs w:val="24"/>
          <w:highlight w:val="none"/>
        </w:rPr>
        <w:t xml:space="preserve">（六）网上投标及开标、定标时间、地点</w:t>
      </w:r>
      <w:r/>
    </w:p>
    <w:p>
      <w:pPr>
        <w:ind w:firstLine="480"/>
        <w:jc w:val="left"/>
        <w:spacing w:line="360" w:lineRule="auto"/>
        <w:widowControl/>
        <w:rPr>
          <w:rFonts w:hint="eastAsia" w:ascii="宋体" w:hAnsi="宋体" w:eastAsia="黑体" w:cs="宋体"/>
          <w:color w:val="auto"/>
          <w:sz w:val="24"/>
          <w:szCs w:val="24"/>
          <w:highlight w:val="none"/>
        </w:rPr>
      </w:pPr>
      <w:r>
        <w:rPr>
          <w:rFonts w:hint="eastAsia" w:ascii="黑体" w:hAnsi="黑体" w:eastAsia="黑体" w:cs="宋体"/>
          <w:color w:val="auto"/>
          <w:sz w:val="24"/>
          <w:szCs w:val="24"/>
          <w:highlight w:val="none"/>
        </w:rPr>
        <w:t xml:space="preserve">本项目进行线上不见面采购活动，供应商准备好制作标书的笔记本电脑、CA锁（政务CA），登录苏采云网上开标大厅，等待开标流程进入“解锁环境”，点击“点击立即解密”进行标书解密，解锁完成后及时关注开标大厅，请在规定时间内登录网上开标大厅参与采购活动（具体操作流程详见《“苏采云”系统供应商操作手册》）。</w:t>
      </w:r>
      <w:r>
        <w:rPr>
          <w:rFonts w:hint="eastAsia" w:ascii="宋体" w:hAnsi="宋体" w:eastAsia="黑体" w:cs="宋体"/>
          <w:color w:val="auto"/>
          <w:sz w:val="24"/>
          <w:szCs w:val="24"/>
          <w:highlight w:val="none"/>
        </w:rPr>
        <w:t xml:space="preserve">  </w:t>
      </w:r>
      <w:r/>
    </w:p>
    <w:p>
      <w:pPr>
        <w:ind w:firstLine="480"/>
        <w:jc w:val="left"/>
        <w:spacing w:line="360" w:lineRule="auto"/>
        <w:widowControl/>
        <w:rPr>
          <w:rFonts w:hint="eastAsia" w:ascii="宋体" w:hAnsi="宋体"/>
          <w:color w:val="auto"/>
          <w:sz w:val="24"/>
          <w:szCs w:val="24"/>
          <w:highlight w:val="none"/>
        </w:rPr>
      </w:pPr>
      <w:r>
        <w:rPr>
          <w:rFonts w:hint="eastAsia" w:ascii="宋体" w:hAnsi="宋体" w:cs="宋体"/>
          <w:color w:val="auto"/>
          <w:sz w:val="24"/>
          <w:szCs w:val="24"/>
          <w:highlight w:val="none"/>
        </w:rPr>
        <w:t xml:space="preserve">网上投标截止时间：202</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28</w:t>
      </w:r>
      <w:r>
        <w:rPr>
          <w:rFonts w:hint="eastAsia" w:ascii="宋体" w:hAnsi="宋体" w:cs="宋体"/>
          <w:color w:val="auto"/>
          <w:sz w:val="24"/>
          <w:szCs w:val="24"/>
          <w:highlight w:val="none"/>
        </w:rPr>
        <w:t xml:space="preserve">日09:30（投标</w:t>
      </w:r>
      <w:r>
        <w:rPr>
          <w:rFonts w:hint="eastAsia" w:ascii="宋体" w:hAnsi="宋体"/>
          <w:color w:val="auto"/>
          <w:sz w:val="24"/>
          <w:szCs w:val="24"/>
          <w:highlight w:val="none"/>
        </w:rPr>
        <w:t xml:space="preserve">截止时间后的投标文件恕不接受</w:t>
      </w:r>
      <w:r>
        <w:rPr>
          <w:rFonts w:hint="eastAsia" w:ascii="宋体" w:hAnsi="宋体" w:cs="宋体"/>
          <w:color w:val="auto"/>
          <w:sz w:val="24"/>
          <w:szCs w:val="24"/>
          <w:highlight w:val="none"/>
        </w:rPr>
        <w:t xml:space="preserve">）</w:t>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网上投标解密时间：202</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28</w:t>
      </w:r>
      <w:r>
        <w:rPr>
          <w:rFonts w:hint="eastAsia" w:ascii="宋体" w:hAnsi="宋体" w:cs="宋体"/>
          <w:color w:val="auto"/>
          <w:sz w:val="24"/>
          <w:szCs w:val="24"/>
          <w:highlight w:val="none"/>
        </w:rPr>
        <w:t xml:space="preserve">日开启解密后半小时。</w:t>
      </w:r>
      <w:r/>
    </w:p>
    <w:p>
      <w:pPr>
        <w:ind w:firstLine="480"/>
        <w:jc w:val="left"/>
        <w:spacing w:line="360" w:lineRule="auto"/>
        <w:widowControl/>
        <w:rPr>
          <w:rFonts w:hint="eastAsia" w:ascii="宋体" w:hAnsi="宋体"/>
          <w:bCs/>
          <w:color w:val="auto"/>
          <w:sz w:val="24"/>
          <w:szCs w:val="24"/>
          <w:highlight w:val="none"/>
        </w:rPr>
      </w:pPr>
      <w:r>
        <w:rPr>
          <w:rFonts w:hint="eastAsia" w:ascii="宋体" w:hAnsi="宋体"/>
          <w:color w:val="auto"/>
          <w:sz w:val="24"/>
          <w:szCs w:val="24"/>
          <w:highlight w:val="none"/>
        </w:rPr>
        <w:t xml:space="preserve">投标及开标地点：</w:t>
      </w:r>
      <w:bookmarkStart w:id="1" w:name="_Toc28359007"/>
      <w:r>
        <w:rPr>
          <w:rFonts w:hint="eastAsia" w:ascii="宋体" w:hAnsi="宋体" w:cs="宋体"/>
          <w:color w:val="auto"/>
          <w:sz w:val="24"/>
          <w:szCs w:val="24"/>
          <w:highlight w:val="none"/>
        </w:rPr>
        <w:t xml:space="preserve">“苏采云”系统（网址：http://jszfcg.jsczt.cn/）</w:t>
      </w:r>
      <w:bookmarkEnd w:id="1"/>
      <w:r/>
      <w:r/>
    </w:p>
    <w:p>
      <w:pPr>
        <w:ind w:firstLine="480"/>
        <w:spacing w:line="360" w:lineRule="auto"/>
        <w:rPr>
          <w:rFonts w:ascii="宋体"/>
          <w:bCs/>
          <w:color w:val="auto"/>
          <w:sz w:val="24"/>
          <w:szCs w:val="24"/>
          <w:highlight w:val="none"/>
        </w:rPr>
      </w:pPr>
      <w:r>
        <w:rPr>
          <w:rFonts w:hint="eastAsia" w:ascii="宋体" w:hAnsi="宋体"/>
          <w:bCs/>
          <w:color w:val="auto"/>
          <w:sz w:val="24"/>
          <w:szCs w:val="24"/>
          <w:highlight w:val="none"/>
        </w:rPr>
        <w:t xml:space="preserve">定标时间：评标结束</w:t>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bCs/>
          <w:color w:val="auto"/>
          <w:sz w:val="24"/>
          <w:szCs w:val="24"/>
          <w:highlight w:val="none"/>
        </w:rPr>
        <w:t xml:space="preserve">定标地点：</w:t>
      </w:r>
      <w:r>
        <w:rPr>
          <w:rFonts w:hint="eastAsia" w:ascii="宋体" w:hAnsi="宋体"/>
          <w:color w:val="auto"/>
          <w:sz w:val="24"/>
          <w:szCs w:val="24"/>
          <w:highlight w:val="none"/>
        </w:rPr>
        <w:t xml:space="preserve">无锡市公共资源交易中心新吴分中心评标室</w:t>
      </w:r>
      <w:r/>
    </w:p>
    <w:p>
      <w:pPr>
        <w:ind w:firstLine="480"/>
        <w:spacing w:line="360" w:lineRule="auto"/>
        <w:rPr>
          <w:rFonts w:ascii="宋体"/>
          <w:bCs/>
          <w:color w:val="auto"/>
          <w:sz w:val="24"/>
          <w:szCs w:val="24"/>
          <w:highlight w:val="none"/>
        </w:rPr>
      </w:pPr>
      <w:r>
        <w:rPr>
          <w:rFonts w:hint="eastAsia" w:ascii="黑体" w:hAnsi="黑体" w:eastAsia="黑体"/>
          <w:bCs/>
          <w:color w:val="auto"/>
          <w:sz w:val="24"/>
          <w:szCs w:val="24"/>
          <w:highlight w:val="none"/>
        </w:rPr>
        <w:t xml:space="preserve">（七）投标有效期：</w:t>
      </w:r>
      <w:r>
        <w:rPr>
          <w:rFonts w:hint="eastAsia" w:ascii="宋体" w:hAnsi="宋体"/>
          <w:bCs/>
          <w:color w:val="auto"/>
          <w:sz w:val="24"/>
          <w:szCs w:val="24"/>
          <w:highlight w:val="none"/>
        </w:rPr>
        <w:t xml:space="preserve">开标之日起</w:t>
      </w:r>
      <w:r>
        <w:rPr>
          <w:rFonts w:ascii="宋体" w:hAnsi="宋体"/>
          <w:bCs/>
          <w:color w:val="auto"/>
          <w:sz w:val="24"/>
          <w:szCs w:val="24"/>
          <w:highlight w:val="none"/>
        </w:rPr>
        <w:t xml:space="preserve">90</w:t>
      </w:r>
      <w:r>
        <w:rPr>
          <w:rFonts w:hint="eastAsia" w:ascii="宋体" w:hAnsi="宋体"/>
          <w:bCs/>
          <w:color w:val="auto"/>
          <w:sz w:val="24"/>
          <w:szCs w:val="24"/>
          <w:highlight w:val="none"/>
        </w:rPr>
        <w:t xml:space="preserve">天</w:t>
      </w:r>
      <w:r/>
    </w:p>
    <w:p>
      <w:pPr>
        <w:ind w:firstLine="480"/>
        <w:spacing w:line="360" w:lineRule="auto"/>
        <w:rPr>
          <w:rFonts w:hint="eastAsia" w:ascii="黑体" w:hAnsi="黑体" w:eastAsia="黑体"/>
          <w:bCs/>
          <w:color w:val="auto"/>
          <w:sz w:val="24"/>
          <w:szCs w:val="24"/>
          <w:highlight w:val="none"/>
        </w:rPr>
      </w:pPr>
      <w:r>
        <w:rPr>
          <w:rFonts w:hint="eastAsia" w:ascii="黑体" w:hAnsi="黑体" w:eastAsia="黑体"/>
          <w:bCs/>
          <w:color w:val="auto"/>
          <w:sz w:val="24"/>
          <w:szCs w:val="24"/>
          <w:highlight w:val="none"/>
        </w:rPr>
        <w:t xml:space="preserve">（八）采购方法：</w:t>
      </w:r>
      <w:r/>
    </w:p>
    <w:p>
      <w:pPr>
        <w:ind w:firstLine="480"/>
        <w:spacing w:line="360" w:lineRule="auto"/>
        <w:rPr>
          <w:rFonts w:hint="eastAsia" w:ascii="黑体" w:hAnsi="黑体" w:eastAsia="黑体"/>
          <w:bCs/>
          <w:color w:val="auto"/>
          <w:sz w:val="24"/>
          <w:szCs w:val="24"/>
          <w:highlight w:val="none"/>
        </w:rPr>
      </w:pPr>
      <w:r>
        <w:rPr>
          <w:rFonts w:hint="eastAsia" w:ascii="宋体" w:hAnsi="宋体"/>
          <w:color w:val="auto"/>
          <w:sz w:val="24"/>
          <w:szCs w:val="24"/>
          <w:highlight w:val="none"/>
        </w:rPr>
        <w:t xml:space="preserve">本次采购采用《江苏省政府采购（苏采云）平台》进行招标投标活动，招标、投标、评标和中标结果发布全程电子化。</w:t>
      </w:r>
      <w:r/>
    </w:p>
    <w:p>
      <w:pPr>
        <w:ind w:firstLine="480"/>
        <w:spacing w:line="360" w:lineRule="auto"/>
        <w:rPr>
          <w:rFonts w:hint="eastAsia" w:ascii="黑体" w:hAnsi="黑体" w:eastAsia="黑体"/>
          <w:bCs/>
          <w:color w:val="auto"/>
          <w:sz w:val="24"/>
          <w:szCs w:val="24"/>
          <w:highlight w:val="none"/>
        </w:rPr>
      </w:pPr>
      <w:r>
        <w:rPr>
          <w:rFonts w:hint="eastAsia" w:ascii="黑体" w:hAnsi="黑体" w:eastAsia="黑体"/>
          <w:bCs/>
          <w:color w:val="auto"/>
          <w:sz w:val="24"/>
          <w:szCs w:val="24"/>
          <w:highlight w:val="none"/>
        </w:rPr>
        <w:t xml:space="preserve">（九）其他</w:t>
      </w:r>
      <w:r/>
    </w:p>
    <w:p>
      <w:pPr>
        <w:pStyle w:val="810"/>
        <w:ind w:firstLine="480"/>
        <w:spacing w:before="0" w:beforeAutospacing="0" w:after="0" w:afterAutospacing="0" w:line="460" w:lineRule="exact"/>
        <w:tabs>
          <w:tab w:val="left" w:pos="0" w:leader="none"/>
        </w:tabs>
        <w:rPr>
          <w:rFonts w:hint="eastAsia" w:cs="宋体"/>
          <w:color w:val="auto"/>
          <w:highlight w:val="none"/>
          <w:lang w:val="zh-CN"/>
        </w:rPr>
      </w:pPr>
      <w:r>
        <w:rPr>
          <w:rFonts w:hint="eastAsia" w:cs="宋体"/>
          <w:color w:val="auto"/>
          <w:highlight w:val="none"/>
          <w:lang w:val="zh-CN"/>
        </w:rPr>
        <w:t xml:space="preserve">有关本次采购活动程序方面的问题，可来人、来函（传真）或电话联系。</w:t>
      </w:r>
      <w:r/>
    </w:p>
    <w:p>
      <w:pPr>
        <w:pStyle w:val="810"/>
        <w:ind w:firstLine="480"/>
        <w:spacing w:before="0" w:beforeAutospacing="0" w:after="0" w:afterAutospacing="0" w:line="460" w:lineRule="exact"/>
        <w:tabs>
          <w:tab w:val="left" w:pos="0" w:leader="none"/>
        </w:tabs>
        <w:rPr>
          <w:rFonts w:hint="eastAsia" w:cs="宋体"/>
          <w:color w:val="auto"/>
          <w:highlight w:val="none"/>
          <w:lang w:val="zh-CN"/>
        </w:rPr>
      </w:pPr>
      <w:r>
        <w:rPr>
          <w:rFonts w:hint="eastAsia" w:cs="宋体"/>
          <w:color w:val="auto"/>
          <w:highlight w:val="none"/>
          <w:lang w:val="zh-CN"/>
        </w:rPr>
        <w:t xml:space="preserve">采购人：无锡市新吴区人民政府硕放街道办事处</w:t>
      </w:r>
      <w:r/>
    </w:p>
    <w:p>
      <w:pPr>
        <w:pStyle w:val="810"/>
        <w:ind w:firstLine="480"/>
        <w:spacing w:before="0" w:beforeAutospacing="0" w:after="0" w:afterAutospacing="0" w:line="460" w:lineRule="exact"/>
        <w:tabs>
          <w:tab w:val="left" w:pos="0" w:leader="none"/>
        </w:tabs>
        <w:rPr>
          <w:rFonts w:hint="eastAsia" w:cs="宋体"/>
          <w:color w:val="auto"/>
          <w:highlight w:val="none"/>
          <w:lang w:val="zh-CN"/>
        </w:rPr>
      </w:pPr>
      <w:r>
        <w:rPr>
          <w:rFonts w:hint="eastAsia" w:cs="宋体"/>
          <w:color w:val="auto"/>
          <w:highlight w:val="none"/>
          <w:lang w:val="zh-CN"/>
        </w:rPr>
        <w:t xml:space="preserve">单位地址：无锡市新吴区</w:t>
      </w:r>
      <w:r>
        <w:rPr>
          <w:rFonts w:hint="eastAsia" w:cs="宋体"/>
          <w:color w:val="auto"/>
          <w:highlight w:val="none"/>
          <w:lang w:val="en-US" w:eastAsia="zh-CN"/>
        </w:rPr>
        <w:t xml:space="preserve">硕放</w:t>
      </w:r>
      <w:r>
        <w:rPr>
          <w:rFonts w:hint="eastAsia" w:cs="宋体"/>
          <w:color w:val="auto"/>
          <w:highlight w:val="none"/>
          <w:lang w:val="zh-CN"/>
        </w:rPr>
        <w:t xml:space="preserve">街道</w:t>
      </w:r>
      <w:r>
        <w:rPr>
          <w:rFonts w:hint="eastAsia" w:cs="宋体"/>
          <w:color w:val="auto"/>
          <w:highlight w:val="none"/>
          <w:lang w:val="en-US" w:eastAsia="zh-CN"/>
        </w:rPr>
        <w:t xml:space="preserve">长江南路35</w:t>
      </w:r>
      <w:r>
        <w:rPr>
          <w:rFonts w:hint="eastAsia" w:cs="宋体"/>
          <w:color w:val="auto"/>
          <w:highlight w:val="none"/>
          <w:lang w:val="zh-CN"/>
        </w:rPr>
        <w:t xml:space="preserve">号</w:t>
      </w:r>
      <w:r/>
    </w:p>
    <w:p>
      <w:pPr>
        <w:pStyle w:val="810"/>
        <w:ind w:firstLine="480"/>
        <w:spacing w:before="0" w:beforeAutospacing="0" w:after="0" w:afterAutospacing="0" w:line="460" w:lineRule="exact"/>
        <w:tabs>
          <w:tab w:val="left" w:pos="0" w:leader="none"/>
        </w:tabs>
        <w:rPr>
          <w:rFonts w:hint="default" w:eastAsia="宋体" w:cs="宋体"/>
          <w:color w:val="auto"/>
          <w:highlight w:val="none"/>
          <w:lang w:val="en-US" w:eastAsia="zh-CN"/>
        </w:rPr>
      </w:pPr>
      <w:r>
        <w:rPr>
          <w:rFonts w:hint="eastAsia" w:cs="宋体"/>
          <w:color w:val="auto"/>
          <w:highlight w:val="none"/>
          <w:lang w:val="zh-CN"/>
        </w:rPr>
        <w:t xml:space="preserve">联系人：</w:t>
      </w:r>
      <w:r>
        <w:rPr>
          <w:rFonts w:hint="eastAsia" w:cs="宋体"/>
          <w:color w:val="auto"/>
          <w:highlight w:val="none"/>
          <w:lang w:val="zh-CN"/>
        </w:rPr>
        <w:t xml:space="preserve">华澄洋</w:t>
      </w:r>
      <w:r>
        <w:rPr>
          <w:rFonts w:hint="eastAsia" w:cs="宋体"/>
          <w:color w:val="auto"/>
          <w:highlight w:val="none"/>
          <w:lang w:val="zh-CN"/>
        </w:rPr>
      </w:r>
      <w:r>
        <w:rPr>
          <w:rFonts w:hint="eastAsia" w:cs="宋体"/>
          <w:color w:val="auto"/>
          <w:highlight w:val="none"/>
          <w:lang w:val="en-US" w:eastAsia="zh-CN"/>
        </w:rPr>
      </w:r>
      <w:r/>
    </w:p>
    <w:p>
      <w:pPr>
        <w:pStyle w:val="810"/>
        <w:ind w:firstLine="480"/>
        <w:spacing w:before="0" w:beforeAutospacing="0" w:after="0" w:afterAutospacing="0" w:line="460" w:lineRule="exact"/>
        <w:tabs>
          <w:tab w:val="left" w:pos="0" w:leader="none"/>
        </w:tabs>
        <w:rPr>
          <w:rFonts w:hint="eastAsia" w:cs="宋体"/>
          <w:color w:val="auto"/>
          <w:highlight w:val="none"/>
          <w:lang w:val="zh-CN"/>
        </w:rPr>
      </w:pPr>
      <w:r>
        <w:rPr>
          <w:rFonts w:hint="eastAsia" w:cs="宋体"/>
          <w:color w:val="auto"/>
          <w:highlight w:val="none"/>
          <w:lang w:val="zh-CN"/>
        </w:rPr>
        <w:t xml:space="preserve">联系电话：0510-85302399</w:t>
      </w:r>
      <w:r/>
    </w:p>
    <w:p>
      <w:pPr>
        <w:pStyle w:val="810"/>
        <w:ind w:firstLine="480"/>
        <w:spacing w:before="0" w:beforeAutospacing="0" w:after="0" w:afterAutospacing="0" w:line="460" w:lineRule="exact"/>
        <w:tabs>
          <w:tab w:val="left" w:pos="0" w:leader="none"/>
        </w:tabs>
        <w:rPr>
          <w:rFonts w:hint="eastAsia" w:cs="宋体"/>
          <w:color w:val="auto"/>
          <w:highlight w:val="none"/>
          <w:lang w:val="zh-CN"/>
        </w:rPr>
      </w:pPr>
      <w:r>
        <w:rPr>
          <w:rFonts w:hint="eastAsia" w:cs="宋体"/>
          <w:color w:val="auto"/>
          <w:highlight w:val="none"/>
          <w:lang w:val="zh-CN"/>
        </w:rPr>
        <w:t xml:space="preserve">采购代理机构：江苏君安工程管理咨询有限公司</w:t>
      </w:r>
      <w:r/>
    </w:p>
    <w:p>
      <w:pPr>
        <w:pStyle w:val="810"/>
        <w:ind w:firstLine="480"/>
        <w:spacing w:before="0" w:beforeAutospacing="0" w:after="0" w:afterAutospacing="0" w:line="460" w:lineRule="exact"/>
        <w:tabs>
          <w:tab w:val="left" w:pos="0" w:leader="none"/>
        </w:tabs>
        <w:rPr>
          <w:rFonts w:hint="eastAsia" w:eastAsia="宋体" w:cs="宋体"/>
          <w:color w:val="auto"/>
          <w:highlight w:val="none"/>
          <w:lang w:val="en-US" w:eastAsia="zh-CN"/>
        </w:rPr>
      </w:pPr>
      <w:r>
        <w:rPr>
          <w:rFonts w:hint="eastAsia" w:cs="宋体"/>
          <w:color w:val="auto"/>
          <w:highlight w:val="none"/>
          <w:lang w:val="zh-CN"/>
        </w:rPr>
        <w:t xml:space="preserve">联系人：</w:t>
      </w:r>
      <w:r>
        <w:rPr>
          <w:rFonts w:hint="eastAsia" w:cs="宋体"/>
          <w:color w:val="auto"/>
          <w:highlight w:val="none"/>
          <w:lang w:val="en-US" w:eastAsia="zh-CN"/>
        </w:rPr>
        <w:t xml:space="preserve">杨静</w:t>
      </w:r>
      <w:r/>
    </w:p>
    <w:p>
      <w:pPr>
        <w:pStyle w:val="810"/>
        <w:ind w:firstLine="480"/>
        <w:spacing w:before="0" w:beforeAutospacing="0" w:after="0" w:afterAutospacing="0" w:line="460" w:lineRule="exact"/>
        <w:tabs>
          <w:tab w:val="left" w:pos="0" w:leader="none"/>
        </w:tabs>
        <w:rPr>
          <w:rFonts w:hint="eastAsia" w:cs="宋体"/>
          <w:color w:val="auto"/>
          <w:highlight w:val="none"/>
        </w:rPr>
      </w:pPr>
      <w:r>
        <w:rPr>
          <w:rFonts w:hint="eastAsia" w:cs="宋体"/>
          <w:color w:val="auto"/>
          <w:highlight w:val="none"/>
          <w:lang w:val="zh-CN"/>
        </w:rPr>
        <w:t xml:space="preserve">联系电话：</w:t>
      </w:r>
      <w:r>
        <w:rPr>
          <w:rFonts w:hint="default" w:cs="宋体"/>
          <w:color w:val="auto"/>
          <w:highlight w:val="none"/>
        </w:rPr>
        <w:t xml:space="preserve">1</w:t>
      </w:r>
      <w:r>
        <w:rPr>
          <w:rFonts w:hint="eastAsia" w:cs="宋体"/>
          <w:color w:val="auto"/>
          <w:highlight w:val="none"/>
        </w:rPr>
        <w:t xml:space="preserve">8068368818</w:t>
      </w:r>
      <w:r/>
    </w:p>
    <w:p>
      <w:pPr>
        <w:pStyle w:val="810"/>
        <w:ind w:firstLine="480"/>
        <w:spacing w:before="0" w:beforeAutospacing="0" w:after="0" w:afterAutospacing="0" w:line="460" w:lineRule="exact"/>
        <w:tabs>
          <w:tab w:val="left" w:pos="0" w:leader="none"/>
        </w:tabs>
        <w:rPr>
          <w:rFonts w:hint="eastAsia" w:cs="宋体"/>
          <w:color w:val="auto"/>
          <w:highlight w:val="none"/>
        </w:rPr>
      </w:pPr>
      <w:r>
        <w:rPr>
          <w:rFonts w:hint="eastAsia" w:cs="宋体"/>
          <w:color w:val="auto"/>
          <w:highlight w:val="none"/>
          <w:lang w:val="zh-CN"/>
        </w:rPr>
        <w:t xml:space="preserve">联系地址：</w:t>
      </w:r>
      <w:r>
        <w:rPr>
          <w:rFonts w:hint="eastAsia"/>
          <w:bCs/>
          <w:color w:val="auto"/>
          <w:highlight w:val="none"/>
        </w:rPr>
        <w:t xml:space="preserve">无锡市滨湖区环湖苑88号3楼309室-1 </w:t>
      </w:r>
      <w:r/>
    </w:p>
    <w:p>
      <w:pPr>
        <w:pStyle w:val="810"/>
        <w:ind w:firstLine="480"/>
        <w:spacing w:before="0" w:beforeAutospacing="0" w:after="0" w:afterAutospacing="0" w:line="460" w:lineRule="exact"/>
        <w:tabs>
          <w:tab w:val="left" w:pos="0" w:leader="none"/>
        </w:tabs>
        <w:rPr>
          <w:rFonts w:hint="eastAsia" w:cs="宋体"/>
          <w:color w:val="auto"/>
          <w:highlight w:val="none"/>
        </w:rPr>
      </w:pPr>
      <w:r>
        <w:rPr>
          <w:rFonts w:hint="eastAsia" w:cs="宋体"/>
          <w:color w:val="auto"/>
          <w:highlight w:val="none"/>
          <w:lang w:val="zh-CN"/>
        </w:rPr>
        <w:t xml:space="preserve">邮政编码</w:t>
      </w:r>
      <w:r>
        <w:rPr>
          <w:rFonts w:hint="eastAsia" w:cs="宋体"/>
          <w:color w:val="auto"/>
          <w:highlight w:val="none"/>
        </w:rPr>
        <w:t xml:space="preserve">：214000</w:t>
      </w:r>
      <w:r/>
    </w:p>
    <w:p>
      <w:pPr>
        <w:pStyle w:val="810"/>
        <w:ind w:firstLine="480"/>
        <w:spacing w:before="0" w:beforeAutospacing="0" w:after="0" w:afterAutospacing="0" w:line="460" w:lineRule="exact"/>
        <w:tabs>
          <w:tab w:val="left" w:pos="0" w:leader="none"/>
        </w:tabs>
        <w:rPr>
          <w:rFonts w:hint="eastAsia" w:cs="宋体"/>
          <w:color w:val="auto"/>
          <w:highlight w:val="none"/>
        </w:rPr>
      </w:pPr>
      <w:r>
        <w:rPr>
          <w:rFonts w:hint="eastAsia" w:cs="宋体"/>
          <w:color w:val="auto"/>
          <w:highlight w:val="none"/>
          <w:lang w:val="zh-CN"/>
        </w:rPr>
        <w:t xml:space="preserve">电子邮件地址</w:t>
      </w:r>
      <w:r>
        <w:rPr>
          <w:rFonts w:hint="eastAsia" w:cs="宋体"/>
          <w:color w:val="auto"/>
          <w:highlight w:val="none"/>
        </w:rPr>
        <w:t xml:space="preserve">：845514286@qq.com</w:t>
      </w:r>
      <w:r/>
    </w:p>
    <w:p>
      <w:pPr>
        <w:pStyle w:val="810"/>
        <w:ind w:firstLine="480"/>
        <w:spacing w:before="0" w:beforeAutospacing="0" w:after="0" w:afterAutospacing="0" w:line="460" w:lineRule="exact"/>
        <w:tabs>
          <w:tab w:val="left" w:pos="0" w:leader="none"/>
        </w:tabs>
        <w:rPr>
          <w:rFonts w:hint="eastAsia" w:ascii="黑体" w:hAnsi="黑体" w:eastAsia="黑体"/>
          <w:bCs/>
          <w:color w:val="auto"/>
          <w:highlight w:val="none"/>
        </w:rPr>
      </w:pPr>
      <w:r>
        <w:rPr>
          <w:rFonts w:hint="eastAsia" w:ascii="黑体" w:hAnsi="黑体" w:eastAsia="黑体"/>
          <w:bCs/>
          <w:color w:val="auto"/>
          <w:highlight w:val="none"/>
        </w:rPr>
        <w:t xml:space="preserve">（十）其他</w:t>
      </w:r>
      <w:r/>
    </w:p>
    <w:p>
      <w:pPr>
        <w:ind w:firstLine="480"/>
        <w:jc w:val="left"/>
        <w:spacing w:line="360" w:lineRule="auto"/>
        <w:widowControl/>
        <w:rPr>
          <w:rFonts w:hint="eastAsia" w:ascii="宋体" w:hAnsi="宋体" w:cs="宋体"/>
          <w:color w:val="auto"/>
          <w:sz w:val="24"/>
          <w:szCs w:val="24"/>
          <w:highlight w:val="none"/>
          <w:lang w:val="zh-CN"/>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zh-CN"/>
        </w:rPr>
        <w:t xml:space="preserve">因供应商可能会存在操作不熟练、业务不熟悉等因素，为保证开评标流程顺利，供应商如有问题应及时反馈，供应商在投标文件递交截止时间前网上上传电子投标文件。</w:t>
      </w:r>
      <w:r/>
    </w:p>
    <w:p>
      <w:pPr>
        <w:ind w:firstLine="480"/>
        <w:jc w:val="left"/>
        <w:spacing w:line="360" w:lineRule="auto"/>
        <w:widowControl/>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2</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zh-CN"/>
        </w:rPr>
        <w:t xml:space="preserve">本项目为不见面开标，仅需在任意地点登录苏采云平台参加开标会议，供应商无需到达开标现场。</w:t>
      </w:r>
      <w:r/>
    </w:p>
    <w:p>
      <w:pPr>
        <w:ind w:firstLine="480"/>
        <w:jc w:val="left"/>
        <w:spacing w:line="360" w:lineRule="auto"/>
        <w:widowControl/>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3</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zh-CN"/>
        </w:rPr>
        <w:t xml:space="preserve">纸质投标文件：本项目为不见面开标，报价人无需递交纸质投标文件至现场，</w:t>
      </w:r>
      <w:r>
        <w:rPr>
          <w:rFonts w:hint="eastAsia" w:ascii="宋体" w:hAnsi="宋体" w:cs="宋体"/>
          <w:color w:val="auto"/>
          <w:sz w:val="24"/>
          <w:szCs w:val="24"/>
          <w:highlight w:val="none"/>
        </w:rPr>
        <w:t xml:space="preserve">中标</w:t>
      </w:r>
      <w:r>
        <w:rPr>
          <w:rFonts w:hint="eastAsia" w:ascii="宋体" w:hAnsi="宋体" w:cs="宋体"/>
          <w:color w:val="auto"/>
          <w:sz w:val="24"/>
          <w:szCs w:val="24"/>
          <w:highlight w:val="none"/>
          <w:lang w:val="zh-CN"/>
        </w:rPr>
        <w:t xml:space="preserve">后中标供应商向采购代理机构提供与电子投标文件完全一致的纸质投标文件（</w:t>
      </w:r>
      <w:r>
        <w:rPr>
          <w:rFonts w:hint="eastAsia" w:ascii="宋体" w:hAnsi="宋体" w:cs="宋体"/>
          <w:color w:val="auto"/>
          <w:sz w:val="24"/>
          <w:szCs w:val="24"/>
          <w:highlight w:val="none"/>
        </w:rPr>
        <w:t xml:space="preserve">3</w:t>
      </w:r>
      <w:r>
        <w:rPr>
          <w:rFonts w:hint="eastAsia" w:ascii="宋体" w:hAnsi="宋体" w:cs="宋体"/>
          <w:color w:val="auto"/>
          <w:sz w:val="24"/>
          <w:szCs w:val="24"/>
          <w:highlight w:val="none"/>
          <w:lang w:val="zh-CN"/>
        </w:rPr>
        <w:t xml:space="preserve">份：一正、</w:t>
      </w:r>
      <w:r>
        <w:rPr>
          <w:rFonts w:hint="eastAsia" w:ascii="宋体" w:hAnsi="宋体" w:cs="宋体"/>
          <w:color w:val="auto"/>
          <w:sz w:val="24"/>
          <w:szCs w:val="24"/>
          <w:highlight w:val="none"/>
        </w:rPr>
        <w:t xml:space="preserve">二</w:t>
      </w:r>
      <w:r>
        <w:rPr>
          <w:rFonts w:hint="eastAsia" w:ascii="宋体" w:hAnsi="宋体" w:cs="宋体"/>
          <w:color w:val="auto"/>
          <w:sz w:val="24"/>
          <w:szCs w:val="24"/>
          <w:highlight w:val="none"/>
          <w:lang w:val="zh-CN"/>
        </w:rPr>
        <w:t xml:space="preserve">副）。</w:t>
      </w:r>
      <w:r/>
    </w:p>
    <w:p>
      <w:pPr>
        <w:ind w:firstLine="480"/>
        <w:jc w:val="left"/>
        <w:spacing w:line="360" w:lineRule="auto"/>
        <w:widowControl/>
        <w:rPr>
          <w:rFonts w:ascii="黑体" w:eastAsia="黑体"/>
          <w:bCs/>
          <w:color w:val="auto"/>
          <w:sz w:val="28"/>
          <w:szCs w:val="28"/>
          <w:highlight w:val="none"/>
        </w:rPr>
      </w:pPr>
      <w:r>
        <w:rPr>
          <w:rFonts w:hint="eastAsia" w:ascii="宋体" w:hAnsi="宋体" w:cs="宋体"/>
          <w:color w:val="auto"/>
          <w:sz w:val="24"/>
          <w:szCs w:val="24"/>
          <w:highlight w:val="none"/>
          <w:lang w:val="zh-CN"/>
        </w:rPr>
        <w:t xml:space="preserve">4</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zh-CN"/>
        </w:rPr>
        <w:t xml:space="preserve">供应商请仔细阅读供应商注册流程和招标文件中关于电子开评标等相关事项，如有问题可发送邮件或电话咨询。</w:t>
      </w:r>
      <w:r/>
    </w:p>
    <w:p>
      <w:pPr>
        <w:pStyle w:val="810"/>
        <w:ind w:firstLine="560"/>
        <w:jc w:val="center"/>
        <w:spacing w:before="0" w:beforeAutospacing="0" w:after="0" w:afterAutospacing="0" w:line="460" w:lineRule="exact"/>
        <w:tabs>
          <w:tab w:val="left" w:pos="0" w:leader="none"/>
        </w:tabs>
        <w:rPr>
          <w:rFonts w:hint="eastAsia" w:ascii="黑体" w:eastAsia="黑体"/>
          <w:bCs/>
          <w:color w:val="auto"/>
          <w:sz w:val="28"/>
          <w:szCs w:val="28"/>
          <w:highlight w:val="none"/>
        </w:rPr>
        <w:outlineLvl w:val="0"/>
      </w:pPr>
      <w:r>
        <w:rPr>
          <w:rFonts w:ascii="黑体" w:eastAsia="黑体"/>
          <w:bCs/>
          <w:color w:val="auto"/>
          <w:sz w:val="28"/>
          <w:szCs w:val="28"/>
          <w:highlight w:val="none"/>
        </w:rPr>
        <w:br w:type="page" w:clear="all"/>
      </w:r>
      <w:r>
        <w:rPr>
          <w:rFonts w:hint="eastAsia" w:ascii="黑体" w:eastAsia="黑体"/>
          <w:bCs/>
          <w:color w:val="auto"/>
          <w:sz w:val="28"/>
          <w:szCs w:val="28"/>
          <w:highlight w:val="none"/>
        </w:rPr>
        <w:t xml:space="preserve">二、投标人须知</w:t>
      </w:r>
      <w:r/>
    </w:p>
    <w:p>
      <w:pPr>
        <w:ind w:firstLine="480"/>
        <w:spacing w:line="360" w:lineRule="auto"/>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t xml:space="preserve">（一）遵循原则：</w:t>
      </w:r>
      <w:r/>
    </w:p>
    <w:p>
      <w:pPr>
        <w:ind w:firstLine="480"/>
        <w:spacing w:line="360" w:lineRule="auto"/>
        <w:rPr>
          <w:rFonts w:hint="eastAsia" w:ascii="黑体" w:hAnsi="宋体" w:eastAsia="黑体"/>
          <w:bCs/>
          <w:color w:val="auto"/>
          <w:sz w:val="24"/>
          <w:szCs w:val="24"/>
          <w:highlight w:val="none"/>
        </w:rPr>
      </w:pPr>
      <w:r>
        <w:rPr>
          <w:rFonts w:hint="eastAsia" w:ascii="宋体" w:hAnsi="宋体"/>
          <w:bCs/>
          <w:color w:val="auto"/>
          <w:sz w:val="24"/>
          <w:szCs w:val="24"/>
          <w:highlight w:val="none"/>
        </w:rPr>
        <w:t xml:space="preserve">公开透明原则、公平竞争原则、公正原则和诚实信用原则。</w:t>
      </w:r>
      <w:r/>
    </w:p>
    <w:p>
      <w:pPr>
        <w:ind w:left="1200" w:hanging="720"/>
        <w:spacing w:line="360" w:lineRule="auto"/>
        <w:rPr>
          <w:rFonts w:hint="eastAsia" w:ascii="黑体" w:hAnsi="宋体" w:eastAsia="黑体"/>
          <w:bCs/>
          <w:color w:val="auto"/>
          <w:sz w:val="24"/>
          <w:szCs w:val="24"/>
          <w:highlight w:val="none"/>
        </w:rPr>
      </w:pPr>
      <w:r>
        <w:rPr>
          <w:rFonts w:ascii="黑体" w:hAnsi="宋体" w:eastAsia="黑体"/>
          <w:bCs/>
          <w:color w:val="auto"/>
          <w:sz w:val="24"/>
          <w:szCs w:val="24"/>
          <w:highlight w:val="none"/>
        </w:rPr>
        <w:t xml:space="preserve">（二） </w:t>
      </w:r>
      <w:r>
        <w:rPr>
          <w:rFonts w:hint="eastAsia" w:ascii="黑体" w:hAnsi="宋体" w:eastAsia="黑体"/>
          <w:bCs/>
          <w:color w:val="auto"/>
          <w:sz w:val="24"/>
          <w:szCs w:val="24"/>
          <w:highlight w:val="none"/>
        </w:rPr>
        <w:t xml:space="preserve">招标文件：</w:t>
      </w:r>
      <w:r/>
    </w:p>
    <w:p>
      <w:pPr>
        <w:numPr>
          <w:ilvl w:val="0"/>
          <w:numId w:val="6"/>
        </w:numPr>
        <w:ind w:left="0" w:firstLine="523"/>
        <w:spacing w:line="360" w:lineRule="auto"/>
        <w:tabs>
          <w:tab w:val="left" w:pos="-1260" w:leader="none"/>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招标文件包括本文件目录所列全部内容，投标人应仔细阅读，并在投标文件中充分响应招标文件的所有要求。</w:t>
      </w:r>
      <w:r/>
    </w:p>
    <w:p>
      <w:pPr>
        <w:numPr>
          <w:ilvl w:val="0"/>
          <w:numId w:val="6"/>
        </w:numPr>
        <w:ind w:left="0" w:firstLine="523"/>
        <w:spacing w:line="360" w:lineRule="auto"/>
        <w:tabs>
          <w:tab w:val="left" w:pos="0" w:leader="none"/>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招标文件中的“法定代表人”是指投标人的营业执照的“法定代表人”或相关部门的登记证明文件中的“负责人”。</w:t>
      </w:r>
      <w:r/>
    </w:p>
    <w:p>
      <w:pPr>
        <w:numPr>
          <w:ilvl w:val="0"/>
          <w:numId w:val="6"/>
        </w:numPr>
        <w:ind w:left="0" w:firstLine="523"/>
        <w:spacing w:line="360" w:lineRule="auto"/>
        <w:tabs>
          <w:tab w:val="left" w:pos="0" w:leader="none"/>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lang w:eastAsia="zh-CN"/>
        </w:rPr>
        <w:t xml:space="preserve">投标人</w:t>
      </w:r>
      <w:r>
        <w:rPr>
          <w:rFonts w:hint="eastAsia" w:ascii="宋体" w:hAnsi="宋体"/>
          <w:bCs/>
          <w:color w:val="auto"/>
          <w:sz w:val="24"/>
          <w:szCs w:val="24"/>
          <w:highlight w:val="none"/>
        </w:rPr>
        <w:t xml:space="preserve">应在苏采云平台（http://jszfcg.jscz.gov.cn/jszc/login）下载招标文件及有关资料，按要求制作、上传投标文件，对招标文件各项内容做出实质性响应，否则投标无效。</w:t>
      </w:r>
      <w:r/>
    </w:p>
    <w:p>
      <w:pPr>
        <w:numPr>
          <w:ilvl w:val="0"/>
          <w:numId w:val="6"/>
        </w:numPr>
        <w:ind w:left="0" w:firstLine="523"/>
        <w:spacing w:line="360" w:lineRule="auto"/>
        <w:tabs>
          <w:tab w:val="left" w:pos="0" w:leader="none"/>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招标文件仅作为本次招投标使用。</w:t>
      </w:r>
      <w:r/>
    </w:p>
    <w:p>
      <w:pPr>
        <w:ind w:firstLine="480"/>
        <w:spacing w:line="360" w:lineRule="auto"/>
        <w:tabs>
          <w:tab w:val="left" w:pos="630" w:leader="none"/>
        </w:tabs>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t xml:space="preserve">（三）招标文件的解释：</w:t>
      </w:r>
      <w:r/>
    </w:p>
    <w:p>
      <w:pPr>
        <w:ind w:left="523"/>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本文件的最终解释权归采购人。</w:t>
      </w:r>
      <w:r/>
    </w:p>
    <w:p>
      <w:pPr>
        <w:ind w:left="1200" w:hanging="720"/>
        <w:spacing w:line="360" w:lineRule="auto"/>
        <w:tabs>
          <w:tab w:val="left" w:pos="945" w:leader="none"/>
        </w:tabs>
        <w:rPr>
          <w:rFonts w:hint="eastAsia" w:ascii="黑体" w:hAnsi="宋体" w:eastAsia="黑体"/>
          <w:bCs/>
          <w:color w:val="auto"/>
          <w:sz w:val="24"/>
          <w:szCs w:val="24"/>
          <w:highlight w:val="none"/>
        </w:rPr>
      </w:pPr>
      <w:r>
        <w:rPr>
          <w:rFonts w:ascii="黑体" w:hAnsi="宋体" w:eastAsia="黑体"/>
          <w:bCs/>
          <w:color w:val="auto"/>
          <w:sz w:val="24"/>
          <w:szCs w:val="24"/>
          <w:highlight w:val="none"/>
        </w:rPr>
        <w:t xml:space="preserve">（</w:t>
      </w:r>
      <w:r>
        <w:rPr>
          <w:rFonts w:hint="eastAsia" w:ascii="黑体" w:hAnsi="宋体" w:eastAsia="黑体"/>
          <w:bCs/>
          <w:color w:val="auto"/>
          <w:sz w:val="24"/>
          <w:szCs w:val="24"/>
          <w:highlight w:val="none"/>
        </w:rPr>
        <w:t xml:space="preserve">四</w:t>
      </w:r>
      <w:r>
        <w:rPr>
          <w:rFonts w:ascii="黑体" w:hAnsi="宋体" w:eastAsia="黑体"/>
          <w:bCs/>
          <w:color w:val="auto"/>
          <w:sz w:val="24"/>
          <w:szCs w:val="24"/>
          <w:highlight w:val="none"/>
        </w:rPr>
        <w:t xml:space="preserve">） </w:t>
      </w:r>
      <w:r>
        <w:rPr>
          <w:rFonts w:hint="eastAsia" w:ascii="黑体" w:hAnsi="宋体" w:eastAsia="黑体"/>
          <w:bCs/>
          <w:color w:val="auto"/>
          <w:sz w:val="24"/>
          <w:szCs w:val="24"/>
          <w:highlight w:val="none"/>
        </w:rPr>
        <w:t xml:space="preserve">招标文件的补充或修正：</w:t>
      </w:r>
      <w:r/>
    </w:p>
    <w:p>
      <w:pPr>
        <w:ind w:firstLine="480"/>
        <w:spacing w:line="360" w:lineRule="auto"/>
        <w:tabs>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1.</w:t>
      </w:r>
      <w:r>
        <w:rPr>
          <w:rFonts w:hint="eastAsia" w:ascii="宋体" w:hAnsi="宋体"/>
          <w:bCs/>
          <w:color w:val="auto"/>
          <w:sz w:val="24"/>
          <w:szCs w:val="24"/>
          <w:highlight w:val="none"/>
          <w:lang w:eastAsia="zh-CN"/>
        </w:rPr>
        <w:t xml:space="preserve">江苏君安工程管理咨询有限公司</w:t>
      </w:r>
      <w:r>
        <w:rPr>
          <w:rFonts w:hint="eastAsia" w:ascii="宋体" w:hAnsi="宋体"/>
          <w:bCs/>
          <w:color w:val="auto"/>
          <w:sz w:val="24"/>
          <w:szCs w:val="24"/>
          <w:highlight w:val="none"/>
        </w:rPr>
        <w:t xml:space="preserve">可在投标截止时间十五日前对招标文件进行必要的澄清或者修改，不足15日的，将顺延提交投标文件的截止时间。</w:t>
      </w:r>
      <w:r/>
    </w:p>
    <w:p>
      <w:pPr>
        <w:ind w:firstLine="480"/>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2.如需对招标文件进行澄清或修正，</w:t>
      </w:r>
      <w:r>
        <w:rPr>
          <w:rFonts w:hint="eastAsia" w:ascii="宋体" w:hAnsi="宋体"/>
          <w:bCs/>
          <w:color w:val="auto"/>
          <w:sz w:val="24"/>
          <w:szCs w:val="24"/>
          <w:highlight w:val="none"/>
          <w:lang w:eastAsia="zh-CN"/>
        </w:rPr>
        <w:t xml:space="preserve">江苏君安工程管理咨询有限公司</w:t>
      </w:r>
      <w:r>
        <w:rPr>
          <w:rFonts w:hint="eastAsia" w:ascii="宋体" w:hAnsi="宋体"/>
          <w:bCs/>
          <w:color w:val="auto"/>
          <w:sz w:val="24"/>
          <w:szCs w:val="24"/>
          <w:highlight w:val="none"/>
        </w:rPr>
        <w:t xml:space="preserve">将在无锡政府采购网、江苏政府采购网发布更正公告，该澄清或修正的内容为招标文件的组成部分。投标人应在投标截止时间前</w:t>
      </w:r>
      <w:r>
        <w:rPr>
          <w:rFonts w:hint="eastAsia" w:ascii="宋体" w:hAnsi="宋体"/>
          <w:color w:val="auto"/>
          <w:sz w:val="24"/>
          <w:szCs w:val="24"/>
          <w:highlight w:val="none"/>
        </w:rPr>
        <w:t xml:space="preserve">登录</w:t>
      </w:r>
      <w:r>
        <w:rPr>
          <w:rFonts w:hint="eastAsia" w:ascii="宋体" w:hAnsi="宋体"/>
          <w:bCs/>
          <w:color w:val="auto"/>
          <w:sz w:val="24"/>
          <w:szCs w:val="24"/>
          <w:highlight w:val="none"/>
        </w:rPr>
        <w:t xml:space="preserve">投标客户端</w:t>
      </w:r>
      <w:r>
        <w:rPr>
          <w:rFonts w:hint="eastAsia" w:ascii="宋体" w:hAnsi="宋体"/>
          <w:color w:val="auto"/>
          <w:sz w:val="24"/>
          <w:szCs w:val="24"/>
          <w:highlight w:val="none"/>
        </w:rPr>
        <w:t xml:space="preserve">或</w:t>
      </w:r>
      <w:r>
        <w:rPr>
          <w:rFonts w:hint="eastAsia" w:ascii="宋体" w:hAnsi="宋体"/>
          <w:bCs/>
          <w:color w:val="auto"/>
          <w:sz w:val="24"/>
          <w:szCs w:val="24"/>
          <w:highlight w:val="none"/>
        </w:rPr>
        <w:t xml:space="preserve">关注原招标公告媒体上发布的相关更正公告</w:t>
      </w:r>
      <w:r>
        <w:rPr>
          <w:rFonts w:hint="eastAsia" w:ascii="宋体" w:hAnsi="宋体"/>
          <w:color w:val="auto"/>
          <w:sz w:val="24"/>
          <w:szCs w:val="24"/>
          <w:highlight w:val="none"/>
        </w:rPr>
        <w:t xml:space="preserve">。</w:t>
      </w:r>
      <w:r>
        <w:rPr>
          <w:rFonts w:hint="eastAsia" w:ascii="宋体" w:hAnsi="宋体"/>
          <w:bCs/>
          <w:color w:val="auto"/>
          <w:sz w:val="24"/>
          <w:szCs w:val="24"/>
          <w:highlight w:val="none"/>
        </w:rPr>
        <w:t xml:space="preserve">因投标人未尽注意义务，未及时更新上传投标文件</w:t>
      </w:r>
      <w:r>
        <w:rPr>
          <w:rFonts w:hint="eastAsia" w:ascii="宋体" w:hAnsi="宋体"/>
          <w:color w:val="auto"/>
          <w:sz w:val="24"/>
          <w:szCs w:val="24"/>
          <w:highlight w:val="none"/>
        </w:rPr>
        <w:t xml:space="preserve">或</w:t>
      </w:r>
      <w:r>
        <w:rPr>
          <w:rFonts w:hint="eastAsia" w:ascii="宋体" w:hAnsi="宋体"/>
          <w:bCs/>
          <w:color w:val="auto"/>
          <w:sz w:val="24"/>
          <w:szCs w:val="24"/>
          <w:highlight w:val="none"/>
        </w:rPr>
        <w:t xml:space="preserve">全面地关注更正公告导致其提交的投标材料不符合招标文件要求，而造成的损失及风险（包括但不限于未中标）由投标人自行承担。</w:t>
      </w:r>
      <w:r/>
    </w:p>
    <w:p>
      <w:pPr>
        <w:ind w:firstLine="480"/>
        <w:spacing w:line="360" w:lineRule="auto"/>
        <w:tabs>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供应商认为</w:t>
      </w:r>
      <w:r>
        <w:rPr>
          <w:rFonts w:hint="eastAsia" w:ascii="宋体" w:hAnsi="宋体"/>
          <w:bCs/>
          <w:color w:val="auto"/>
          <w:sz w:val="24"/>
          <w:szCs w:val="24"/>
          <w:highlight w:val="none"/>
        </w:rPr>
        <w:t xml:space="preserve">招标</w:t>
      </w:r>
      <w:r>
        <w:rPr>
          <w:rFonts w:ascii="宋体" w:hAnsi="宋体"/>
          <w:bCs/>
          <w:color w:val="auto"/>
          <w:sz w:val="24"/>
          <w:szCs w:val="24"/>
          <w:highlight w:val="none"/>
        </w:rPr>
        <w:t xml:space="preserve">文件使自己的权益受到损害的，可以自获取</w:t>
      </w:r>
      <w:r>
        <w:rPr>
          <w:rFonts w:hint="eastAsia" w:ascii="宋体" w:hAnsi="宋体"/>
          <w:bCs/>
          <w:color w:val="auto"/>
          <w:sz w:val="24"/>
          <w:szCs w:val="24"/>
          <w:highlight w:val="none"/>
        </w:rPr>
        <w:t xml:space="preserve">招标</w:t>
      </w:r>
      <w:r>
        <w:rPr>
          <w:rFonts w:ascii="宋体" w:hAnsi="宋体"/>
          <w:bCs/>
          <w:color w:val="auto"/>
          <w:sz w:val="24"/>
          <w:szCs w:val="24"/>
          <w:highlight w:val="none"/>
        </w:rPr>
        <w:t xml:space="preserve">文件之日或者</w:t>
      </w:r>
      <w:r>
        <w:rPr>
          <w:rFonts w:hint="eastAsia" w:ascii="宋体" w:hAnsi="宋体"/>
          <w:bCs/>
          <w:color w:val="auto"/>
          <w:sz w:val="24"/>
          <w:szCs w:val="24"/>
          <w:highlight w:val="none"/>
        </w:rPr>
        <w:t xml:space="preserve">招标</w:t>
      </w:r>
      <w:r>
        <w:rPr>
          <w:rFonts w:ascii="宋体" w:hAnsi="宋体"/>
          <w:bCs/>
          <w:color w:val="auto"/>
          <w:sz w:val="24"/>
          <w:szCs w:val="24"/>
          <w:highlight w:val="none"/>
        </w:rPr>
        <w:t xml:space="preserve">公告期限届满之日</w:t>
      </w:r>
      <w:r>
        <w:rPr>
          <w:rFonts w:hint="eastAsia" w:ascii="宋体" w:hAnsi="宋体"/>
          <w:bCs/>
          <w:color w:val="auto"/>
          <w:sz w:val="24"/>
          <w:szCs w:val="24"/>
          <w:highlight w:val="none"/>
        </w:rPr>
        <w:t xml:space="preserve">（以</w:t>
      </w:r>
      <w:r>
        <w:rPr>
          <w:rFonts w:ascii="宋体" w:hAnsi="宋体"/>
          <w:bCs/>
          <w:color w:val="auto"/>
          <w:sz w:val="24"/>
          <w:szCs w:val="24"/>
          <w:highlight w:val="none"/>
        </w:rPr>
        <w:t xml:space="preserve">公告期限届满后获取招标文件的，以公告期限届满之日为准）起7个工作日内，以书面形式向</w:t>
      </w:r>
      <w:r>
        <w:rPr>
          <w:rFonts w:hint="eastAsia" w:ascii="宋体" w:hAnsi="宋体"/>
          <w:bCs/>
          <w:color w:val="auto"/>
          <w:sz w:val="24"/>
          <w:szCs w:val="24"/>
          <w:highlight w:val="none"/>
        </w:rPr>
        <w:t xml:space="preserve">采购人、采购代理机构提出质疑。</w:t>
      </w:r>
      <w:r>
        <w:rPr>
          <w:rFonts w:ascii="宋体" w:hAnsi="宋体"/>
          <w:bCs/>
          <w:color w:val="auto"/>
          <w:sz w:val="24"/>
          <w:szCs w:val="24"/>
          <w:highlight w:val="none"/>
        </w:rPr>
        <w:t xml:space="preserve">针对同一采购程序环节的质疑</w:t>
      </w:r>
      <w:r>
        <w:rPr>
          <w:rFonts w:hint="eastAsia" w:ascii="宋体" w:hAnsi="宋体"/>
          <w:bCs/>
          <w:color w:val="auto"/>
          <w:sz w:val="24"/>
          <w:szCs w:val="24"/>
          <w:highlight w:val="none"/>
        </w:rPr>
        <w:t xml:space="preserve">，须</w:t>
      </w:r>
      <w:r>
        <w:rPr>
          <w:rFonts w:ascii="宋体" w:hAnsi="宋体"/>
          <w:bCs/>
          <w:color w:val="auto"/>
          <w:sz w:val="24"/>
          <w:szCs w:val="24"/>
          <w:highlight w:val="none"/>
        </w:rPr>
        <w:t xml:space="preserve">在法定质疑期内一次性提出</w:t>
      </w:r>
      <w:r>
        <w:rPr>
          <w:rFonts w:hint="eastAsia" w:ascii="宋体" w:hAnsi="宋体"/>
          <w:bCs/>
          <w:color w:val="auto"/>
          <w:sz w:val="24"/>
          <w:szCs w:val="24"/>
          <w:highlight w:val="none"/>
        </w:rPr>
        <w:t xml:space="preserve">。质疑函的质疑事项应具体、明确，并具有必要的事实依据和法律依据（格式详见中国政府采购网《</w:t>
      </w:r>
      <w:r>
        <w:rPr>
          <w:color w:val="auto"/>
          <w:highlight w:val="none"/>
        </w:rPr>
        <w:fldChar w:fldCharType="begin"/>
      </w:r>
      <w:r>
        <w:rPr>
          <w:color w:val="auto"/>
          <w:highlight w:val="none"/>
        </w:rPr>
        <w:instrText xml:space="preserve"> HYPERLINK "http://download.ccgp.gov.cn/2018/zhiyihanfanben.zip" \t "_blank" </w:instrText>
      </w:r>
      <w:r>
        <w:rPr>
          <w:color w:val="auto"/>
          <w:highlight w:val="none"/>
        </w:rPr>
        <w:fldChar w:fldCharType="separate"/>
      </w:r>
      <w:r>
        <w:rPr>
          <w:rFonts w:hint="eastAsia" w:ascii="宋体" w:hAnsi="宋体"/>
          <w:bCs/>
          <w:color w:val="auto"/>
          <w:sz w:val="24"/>
          <w:szCs w:val="24"/>
          <w:highlight w:val="none"/>
        </w:rPr>
        <w:t xml:space="preserve">政府采购供应商质疑函范本</w:t>
      </w:r>
      <w:r>
        <w:rPr>
          <w:rFonts w:hint="eastAsia" w:ascii="宋体" w:hAnsi="宋体"/>
          <w:bCs/>
          <w:color w:val="auto"/>
          <w:sz w:val="24"/>
          <w:szCs w:val="24"/>
          <w:highlight w:val="none"/>
        </w:rPr>
        <w:fldChar w:fldCharType="end"/>
      </w: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eastAsia="zh-CN"/>
        </w:rPr>
        <w:t xml:space="preserve">江苏君安工程管理咨询有限公司</w:t>
      </w:r>
      <w:r>
        <w:rPr>
          <w:rFonts w:hint="eastAsia" w:ascii="宋体" w:hAnsi="宋体"/>
          <w:bCs/>
          <w:color w:val="auto"/>
          <w:sz w:val="24"/>
          <w:szCs w:val="24"/>
          <w:highlight w:val="none"/>
        </w:rPr>
        <w:t xml:space="preserve">将在收到符合上述要求的书面质疑后七个工作日内，对质疑内容作出答复。投标人在法定质疑期限外送达的质疑函或法定质疑期限内送达的质疑函不符合上述要求的均为无效质疑，</w:t>
      </w:r>
      <w:r>
        <w:rPr>
          <w:rFonts w:hint="eastAsia" w:ascii="宋体" w:hAnsi="宋体"/>
          <w:bCs/>
          <w:color w:val="auto"/>
          <w:sz w:val="24"/>
          <w:szCs w:val="24"/>
          <w:highlight w:val="none"/>
          <w:lang w:eastAsia="zh-CN"/>
        </w:rPr>
        <w:t xml:space="preserve">江苏君安工程管理咨询有限公司</w:t>
      </w:r>
      <w:r>
        <w:rPr>
          <w:rFonts w:hint="eastAsia" w:ascii="宋体" w:hAnsi="宋体"/>
          <w:bCs/>
          <w:color w:val="auto"/>
          <w:sz w:val="24"/>
          <w:szCs w:val="24"/>
          <w:highlight w:val="none"/>
        </w:rPr>
        <w:t xml:space="preserve">对无效质疑不予受理。</w:t>
      </w:r>
      <w:r/>
    </w:p>
    <w:p>
      <w:pPr>
        <w:ind w:left="1200" w:hanging="720"/>
        <w:spacing w:line="360" w:lineRule="auto"/>
        <w:tabs>
          <w:tab w:val="left" w:pos="945" w:leader="none"/>
        </w:tabs>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t xml:space="preserve">（五）质疑与投诉</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质疑的提出和答复、投诉的提起和处理</w:t>
      </w:r>
      <w:r>
        <w:rPr>
          <w:rFonts w:hint="eastAsia" w:ascii="宋体" w:hAnsi="宋体"/>
          <w:bCs/>
          <w:color w:val="auto"/>
          <w:sz w:val="24"/>
          <w:szCs w:val="24"/>
          <w:highlight w:val="none"/>
        </w:rPr>
        <w:t xml:space="preserve">须按《</w:t>
      </w:r>
      <w:r>
        <w:rPr>
          <w:rFonts w:ascii="宋体" w:hAnsi="宋体"/>
          <w:bCs/>
          <w:color w:val="auto"/>
          <w:sz w:val="24"/>
          <w:szCs w:val="24"/>
          <w:highlight w:val="none"/>
        </w:rPr>
        <w:t xml:space="preserve">政府采购质疑和投诉办法</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中华人民共和国财政部令第94号</w:t>
      </w:r>
      <w:r>
        <w:rPr>
          <w:rFonts w:hint="eastAsia" w:ascii="宋体" w:hAnsi="宋体"/>
          <w:bCs/>
          <w:color w:val="auto"/>
          <w:sz w:val="24"/>
          <w:szCs w:val="24"/>
          <w:highlight w:val="none"/>
        </w:rPr>
        <w:t xml:space="preserve">）相关规定执行。</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2.质疑的提出</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.1提出质疑的供应商应当是参与所质疑项目采购活动的供应商。</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潜在供应商已依法获取其可质疑的</w:t>
      </w:r>
      <w:r>
        <w:rPr>
          <w:rFonts w:hint="eastAsia" w:ascii="宋体" w:hAnsi="宋体"/>
          <w:bCs/>
          <w:color w:val="auto"/>
          <w:sz w:val="24"/>
          <w:szCs w:val="24"/>
          <w:highlight w:val="none"/>
        </w:rPr>
        <w:t xml:space="preserve">招标文件</w:t>
      </w:r>
      <w:r>
        <w:rPr>
          <w:rFonts w:ascii="宋体" w:hAnsi="宋体"/>
          <w:bCs/>
          <w:color w:val="auto"/>
          <w:sz w:val="24"/>
          <w:szCs w:val="24"/>
          <w:highlight w:val="none"/>
        </w:rPr>
        <w:t xml:space="preserve">的，可以对该文件提出质疑。对</w:t>
      </w:r>
      <w:r>
        <w:rPr>
          <w:rFonts w:hint="eastAsia" w:ascii="宋体" w:hAnsi="宋体"/>
          <w:bCs/>
          <w:color w:val="auto"/>
          <w:sz w:val="24"/>
          <w:szCs w:val="24"/>
          <w:highlight w:val="none"/>
        </w:rPr>
        <w:t xml:space="preserve">招标文件</w:t>
      </w:r>
      <w:r>
        <w:rPr>
          <w:rFonts w:ascii="宋体" w:hAnsi="宋体"/>
          <w:bCs/>
          <w:color w:val="auto"/>
          <w:sz w:val="24"/>
          <w:szCs w:val="24"/>
          <w:highlight w:val="none"/>
        </w:rPr>
        <w:t xml:space="preserve">提出质疑的，应当在获取</w:t>
      </w:r>
      <w:r>
        <w:rPr>
          <w:rFonts w:hint="eastAsia" w:ascii="宋体" w:hAnsi="宋体"/>
          <w:bCs/>
          <w:color w:val="auto"/>
          <w:sz w:val="24"/>
          <w:szCs w:val="24"/>
          <w:highlight w:val="none"/>
        </w:rPr>
        <w:t xml:space="preserve">招标文件</w:t>
      </w:r>
      <w:r>
        <w:rPr>
          <w:rFonts w:ascii="宋体" w:hAnsi="宋体"/>
          <w:bCs/>
          <w:color w:val="auto"/>
          <w:sz w:val="24"/>
          <w:szCs w:val="24"/>
          <w:highlight w:val="none"/>
        </w:rPr>
        <w:t xml:space="preserve">或者</w:t>
      </w:r>
      <w:r>
        <w:rPr>
          <w:rFonts w:hint="eastAsia" w:ascii="宋体" w:hAnsi="宋体"/>
          <w:bCs/>
          <w:color w:val="auto"/>
          <w:sz w:val="24"/>
          <w:szCs w:val="24"/>
          <w:highlight w:val="none"/>
        </w:rPr>
        <w:t xml:space="preserve">招标文件</w:t>
      </w:r>
      <w:r>
        <w:rPr>
          <w:rFonts w:ascii="宋体" w:hAnsi="宋体"/>
          <w:bCs/>
          <w:color w:val="auto"/>
          <w:sz w:val="24"/>
          <w:szCs w:val="24"/>
          <w:highlight w:val="none"/>
        </w:rPr>
        <w:t xml:space="preserve">公告期限届满之日起7个工作日内</w:t>
      </w:r>
      <w:r>
        <w:rPr>
          <w:rFonts w:hint="eastAsia" w:ascii="宋体" w:hAnsi="宋体"/>
          <w:bCs/>
          <w:color w:val="auto"/>
          <w:sz w:val="24"/>
          <w:szCs w:val="24"/>
          <w:highlight w:val="none"/>
        </w:rPr>
        <w:t xml:space="preserve">以书面形式</w:t>
      </w:r>
      <w:r>
        <w:rPr>
          <w:rFonts w:ascii="宋体" w:hAnsi="宋体"/>
          <w:bCs/>
          <w:color w:val="auto"/>
          <w:sz w:val="24"/>
          <w:szCs w:val="24"/>
          <w:highlight w:val="none"/>
        </w:rPr>
        <w:t xml:space="preserve">提出。</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供应商认为</w:t>
      </w:r>
      <w:r>
        <w:rPr>
          <w:rFonts w:hint="eastAsia" w:ascii="宋体" w:hAnsi="宋体"/>
          <w:bCs/>
          <w:color w:val="auto"/>
          <w:sz w:val="24"/>
          <w:szCs w:val="24"/>
          <w:highlight w:val="none"/>
        </w:rPr>
        <w:t xml:space="preserve">招标文件</w:t>
      </w:r>
      <w:r>
        <w:rPr>
          <w:rFonts w:ascii="宋体" w:hAnsi="宋体"/>
          <w:bCs/>
          <w:color w:val="auto"/>
          <w:sz w:val="24"/>
          <w:szCs w:val="24"/>
          <w:highlight w:val="none"/>
        </w:rPr>
        <w:t xml:space="preserve">、采购过程、中标或者成交结果使自己的权益受到损害的，可以在知道或者应知其权益受到损害之日起</w:t>
      </w:r>
      <w:r>
        <w:rPr>
          <w:rFonts w:hint="eastAsia" w:ascii="宋体" w:hAnsi="宋体"/>
          <w:bCs/>
          <w:color w:val="auto"/>
          <w:sz w:val="24"/>
          <w:szCs w:val="24"/>
          <w:highlight w:val="none"/>
        </w:rPr>
        <w:t xml:space="preserve">7</w:t>
      </w:r>
      <w:r>
        <w:rPr>
          <w:rFonts w:ascii="宋体" w:hAnsi="宋体"/>
          <w:bCs/>
          <w:color w:val="auto"/>
          <w:sz w:val="24"/>
          <w:szCs w:val="24"/>
          <w:highlight w:val="none"/>
        </w:rPr>
        <w:t xml:space="preserve">个工作日内，以书面形式向采购人提出质疑。供应商</w:t>
      </w:r>
      <w:r>
        <w:rPr>
          <w:rFonts w:hint="eastAsia" w:ascii="宋体" w:hAnsi="宋体"/>
          <w:bCs/>
          <w:color w:val="auto"/>
          <w:sz w:val="24"/>
          <w:szCs w:val="24"/>
          <w:highlight w:val="none"/>
        </w:rPr>
        <w:t xml:space="preserve">须在</w:t>
      </w:r>
      <w:r>
        <w:rPr>
          <w:rFonts w:ascii="宋体" w:hAnsi="宋体"/>
          <w:bCs/>
          <w:color w:val="auto"/>
          <w:sz w:val="24"/>
          <w:szCs w:val="24"/>
          <w:highlight w:val="none"/>
        </w:rPr>
        <w:t xml:space="preserve">法定质疑期内一次性提出针对同一采购程序环节的质疑。</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供应商提出质疑应当提交质疑函和必要的证明材料。质疑函应当包括下列内容：</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）供应商的姓名或者名称、地址、邮编、联系人及联系电话；</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）质疑项目的名称、编号；</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）具体、明确的质疑事项和与质疑事项相关的请求；</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）事实依据；</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）必要的法律依据；</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6</w:t>
      </w:r>
      <w:r>
        <w:rPr>
          <w:rFonts w:ascii="宋体" w:hAnsi="宋体"/>
          <w:bCs/>
          <w:color w:val="auto"/>
          <w:sz w:val="24"/>
          <w:szCs w:val="24"/>
          <w:highlight w:val="none"/>
        </w:rPr>
        <w:t xml:space="preserve">）提出质疑的日期。</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供应商为自然人的，</w:t>
      </w:r>
      <w:r>
        <w:rPr>
          <w:rFonts w:hint="eastAsia" w:ascii="宋体" w:hAnsi="宋体"/>
          <w:bCs/>
          <w:color w:val="auto"/>
          <w:sz w:val="24"/>
          <w:szCs w:val="24"/>
          <w:highlight w:val="none"/>
        </w:rPr>
        <w:t xml:space="preserve">质疑函</w:t>
      </w:r>
      <w:r>
        <w:rPr>
          <w:rFonts w:ascii="宋体" w:hAnsi="宋体"/>
          <w:bCs/>
          <w:color w:val="auto"/>
          <w:sz w:val="24"/>
          <w:szCs w:val="24"/>
          <w:highlight w:val="none"/>
        </w:rPr>
        <w:t xml:space="preserve">应当由本人签字；供应商为法人或者其他组织的，应当由法定代表人、主要负责人，或者其授权代表签字或者盖章，并加盖公章。</w:t>
      </w:r>
      <w:r>
        <w:rPr>
          <w:rFonts w:hint="eastAsia" w:ascii="宋体" w:hAnsi="宋体"/>
          <w:bCs/>
          <w:color w:val="auto"/>
          <w:sz w:val="24"/>
          <w:szCs w:val="24"/>
          <w:highlight w:val="none"/>
        </w:rPr>
        <w:t xml:space="preserve">质疑函须原件递交。</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6</w:t>
      </w:r>
      <w:r>
        <w:rPr>
          <w:rFonts w:ascii="宋体" w:hAnsi="宋体"/>
          <w:bCs/>
          <w:color w:val="auto"/>
          <w:sz w:val="24"/>
          <w:szCs w:val="24"/>
          <w:highlight w:val="none"/>
        </w:rPr>
        <w:t xml:space="preserve">供应商可以委托代理人进行质疑和投诉。其授权委托书应当载明代理人的姓名或者名称、代理事项、具体权限、期限和相关事项。供应商为自然人的，</w:t>
      </w:r>
      <w:r>
        <w:rPr>
          <w:rFonts w:hint="eastAsia" w:ascii="宋体" w:hAnsi="宋体"/>
          <w:bCs/>
          <w:color w:val="auto"/>
          <w:sz w:val="24"/>
          <w:szCs w:val="24"/>
          <w:highlight w:val="none"/>
        </w:rPr>
        <w:t xml:space="preserve">质疑函</w:t>
      </w:r>
      <w:r>
        <w:rPr>
          <w:rFonts w:ascii="宋体" w:hAnsi="宋体"/>
          <w:bCs/>
          <w:color w:val="auto"/>
          <w:sz w:val="24"/>
          <w:szCs w:val="24"/>
          <w:highlight w:val="none"/>
        </w:rPr>
        <w:t xml:space="preserve">应当由本人签字；供应商为法人或者其他组织的，应当由法定代表人、主要负责人签字或者盖章，并加盖公章。</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7</w:t>
      </w:r>
      <w:r>
        <w:rPr>
          <w:rFonts w:ascii="宋体" w:hAnsi="宋体"/>
          <w:bCs/>
          <w:color w:val="auto"/>
          <w:sz w:val="24"/>
          <w:szCs w:val="24"/>
          <w:highlight w:val="none"/>
        </w:rPr>
        <w:t xml:space="preserve">以联合体形式参加政府采购活动的，其投诉应当由组成联合体的所有供应商共同提出。</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3、质疑的受理与答复</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.1采购人负责供应商质疑答复。</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2质疑函由采购人办理签收手续。</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3质疑函接收单位信息：</w:t>
      </w:r>
      <w:r/>
    </w:p>
    <w:p>
      <w:pPr>
        <w:ind w:firstLine="480"/>
        <w:spacing w:line="360" w:lineRule="auto"/>
        <w:tabs>
          <w:tab w:val="left" w:pos="0" w:leader="none"/>
          <w:tab w:val="left" w:pos="945" w:leader="none"/>
        </w:tabs>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接收单位：</w:t>
      </w:r>
      <w:r>
        <w:rPr>
          <w:rFonts w:hint="eastAsia" w:ascii="宋体" w:hAnsi="宋体"/>
          <w:bCs/>
          <w:color w:val="auto"/>
          <w:sz w:val="24"/>
          <w:szCs w:val="24"/>
          <w:highlight w:val="none"/>
          <w:lang w:eastAsia="zh-CN"/>
        </w:rPr>
        <w:t xml:space="preserve">江苏君安工程管理咨询有限公司</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地址：无锡市滨湖区环湖苑88号3楼309室-1</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邮编：214000</w:t>
      </w:r>
      <w:r/>
    </w:p>
    <w:p>
      <w:pPr>
        <w:ind w:firstLine="480"/>
        <w:spacing w:line="360" w:lineRule="auto"/>
        <w:tabs>
          <w:tab w:val="left" w:pos="0" w:leader="none"/>
          <w:tab w:val="left" w:pos="945" w:leader="none"/>
        </w:tabs>
        <w:rPr>
          <w:rFonts w:hint="eastAsia" w:ascii="宋体" w:hAnsi="宋体" w:eastAsia="宋体"/>
          <w:bCs/>
          <w:color w:val="auto"/>
          <w:sz w:val="24"/>
          <w:szCs w:val="24"/>
          <w:highlight w:val="none"/>
          <w:lang w:val="en-US" w:eastAsia="zh-CN"/>
        </w:rPr>
      </w:pPr>
      <w:r>
        <w:rPr>
          <w:rFonts w:hint="eastAsia" w:ascii="宋体" w:hAnsi="宋体"/>
          <w:bCs/>
          <w:color w:val="auto"/>
          <w:sz w:val="24"/>
          <w:szCs w:val="24"/>
          <w:highlight w:val="none"/>
        </w:rPr>
        <w:t xml:space="preserve">联系人：</w:t>
      </w:r>
      <w:r>
        <w:rPr>
          <w:rFonts w:hint="eastAsia" w:ascii="宋体" w:hAnsi="宋体"/>
          <w:bCs/>
          <w:color w:val="auto"/>
          <w:sz w:val="24"/>
          <w:szCs w:val="24"/>
          <w:highlight w:val="none"/>
          <w:lang w:val="en-US" w:eastAsia="zh-CN"/>
        </w:rPr>
        <w:t xml:space="preserve">杨静</w:t>
      </w:r>
      <w:r/>
    </w:p>
    <w:p>
      <w:pPr>
        <w:ind w:firstLine="480"/>
        <w:spacing w:line="360" w:lineRule="auto"/>
        <w:tabs>
          <w:tab w:val="left" w:pos="0" w:leader="none"/>
          <w:tab w:val="left" w:pos="945" w:leader="none"/>
        </w:tabs>
        <w:rPr>
          <w:rFonts w:hint="default" w:ascii="宋体" w:hAnsi="宋体" w:eastAsia="宋体"/>
          <w:bCs/>
          <w:color w:val="auto"/>
          <w:sz w:val="24"/>
          <w:szCs w:val="24"/>
          <w:highlight w:val="none"/>
          <w:lang w:val="en-US" w:eastAsia="zh-CN"/>
        </w:rPr>
      </w:pPr>
      <w:r>
        <w:rPr>
          <w:rFonts w:hint="eastAsia" w:ascii="宋体" w:hAnsi="宋体"/>
          <w:bCs/>
          <w:color w:val="auto"/>
          <w:sz w:val="24"/>
          <w:szCs w:val="24"/>
          <w:highlight w:val="none"/>
        </w:rPr>
        <w:t xml:space="preserve">电话：18</w:t>
      </w:r>
      <w:r>
        <w:rPr>
          <w:rFonts w:hint="eastAsia" w:ascii="宋体" w:hAnsi="宋体"/>
          <w:bCs/>
          <w:color w:val="auto"/>
          <w:sz w:val="24"/>
          <w:szCs w:val="24"/>
          <w:highlight w:val="none"/>
          <w:lang w:val="en-US" w:eastAsia="zh-CN"/>
        </w:rPr>
        <w:t xml:space="preserve">068368818</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采购人应当在收到质疑函后7个工作日内作出答复，并以书面形式通知质疑供应商和其他有关供应商。</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采购人</w:t>
      </w:r>
      <w:r>
        <w:rPr>
          <w:rFonts w:hint="eastAsia" w:ascii="宋体" w:hAnsi="宋体"/>
          <w:bCs/>
          <w:color w:val="auto"/>
          <w:sz w:val="24"/>
          <w:szCs w:val="24"/>
          <w:highlight w:val="none"/>
        </w:rPr>
        <w:t xml:space="preserve">处理的其他要求</w:t>
      </w:r>
      <w:r>
        <w:rPr>
          <w:rFonts w:hint="eastAsia" w:ascii="宋体" w:hAnsi="宋体"/>
          <w:bCs/>
          <w:color w:val="auto"/>
          <w:sz w:val="24"/>
          <w:szCs w:val="24"/>
          <w:highlight w:val="none"/>
          <w:lang w:eastAsia="zh-CN"/>
        </w:rPr>
        <w:t xml:space="preserve">按照</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政府采购质疑和投诉办法</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中华人民共和国财政部令第94号</w:t>
      </w:r>
      <w:r>
        <w:rPr>
          <w:rFonts w:hint="eastAsia" w:ascii="宋体" w:hAnsi="宋体"/>
          <w:bCs/>
          <w:color w:val="auto"/>
          <w:sz w:val="24"/>
          <w:szCs w:val="24"/>
          <w:highlight w:val="none"/>
        </w:rPr>
        <w:t xml:space="preserve">）相关规定执行。</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4、投诉的提起</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质疑供应商对采购人的答复不满意，或者采购人未在规定时间内作出答复的，可以在答复期满后</w:t>
      </w:r>
      <w:r>
        <w:rPr>
          <w:rFonts w:hint="eastAsia" w:ascii="宋体" w:hAnsi="宋体"/>
          <w:bCs/>
          <w:color w:val="auto"/>
          <w:sz w:val="24"/>
          <w:szCs w:val="24"/>
          <w:highlight w:val="none"/>
        </w:rPr>
        <w:t xml:space="preserve">15</w:t>
      </w:r>
      <w:r>
        <w:rPr>
          <w:rFonts w:ascii="宋体" w:hAnsi="宋体"/>
          <w:bCs/>
          <w:color w:val="auto"/>
          <w:sz w:val="24"/>
          <w:szCs w:val="24"/>
          <w:highlight w:val="none"/>
        </w:rPr>
        <w:t xml:space="preserve">个工作日内向采购人所属预算级次的财政部门提起投诉。</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2供应商</w:t>
      </w:r>
      <w:r>
        <w:rPr>
          <w:rFonts w:ascii="宋体" w:hAnsi="宋体"/>
          <w:bCs/>
          <w:color w:val="auto"/>
          <w:sz w:val="24"/>
          <w:szCs w:val="24"/>
          <w:highlight w:val="none"/>
        </w:rPr>
        <w:t xml:space="preserve">投诉时</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应当提交投诉书和必要的证明材料，并按照被投诉采购人（以下简称被投诉人）和与投诉事项有关的供应商数量提供投诉书的副本。投诉书应当包括下列内容：</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）投诉人和被投诉人的姓名或者名称、通讯地址、邮编、联系人及联系电话；</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）质疑和质疑答复情况说明及相关证明材料；</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）具体、明确的投诉事项和与投诉事项相关的投诉请求；</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）事实依据；</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）法律依据；</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6</w:t>
      </w:r>
      <w:r>
        <w:rPr>
          <w:rFonts w:ascii="宋体" w:hAnsi="宋体"/>
          <w:bCs/>
          <w:color w:val="auto"/>
          <w:sz w:val="24"/>
          <w:szCs w:val="24"/>
          <w:highlight w:val="none"/>
        </w:rPr>
        <w:t xml:space="preserve">）提起投诉的日期。</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投诉人为自然人的，投诉书应当由本人签字；投诉人为法人或者其他组织的，投诉书应当由法定代表人、主要负责人，或者其授权代表签字或者盖章，并加盖公章。</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投诉人提起投诉应当符合下列条件：</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）提起投诉前已依法进行质疑；</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）投诉书内容符合本办法的规定；</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）在投诉有效期限内提起投诉；</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）同一投诉事项未经财政部门投诉处理；</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）财政部规定的其他条件。</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供应商投诉的事项不得超出已质疑事项的范围，但基于质疑答复内容提出的投诉事项除外。</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5、由</w:t>
      </w:r>
      <w:r>
        <w:rPr>
          <w:rFonts w:ascii="宋体" w:hAnsi="宋体"/>
          <w:bCs/>
          <w:color w:val="auto"/>
          <w:sz w:val="24"/>
          <w:szCs w:val="24"/>
          <w:highlight w:val="none"/>
        </w:rPr>
        <w:t xml:space="preserve">采购人所属预算级次的财政部门</w:t>
      </w:r>
      <w:r>
        <w:rPr>
          <w:rFonts w:hint="eastAsia" w:ascii="宋体" w:hAnsi="宋体"/>
          <w:bCs/>
          <w:color w:val="auto"/>
          <w:sz w:val="24"/>
          <w:szCs w:val="24"/>
          <w:highlight w:val="none"/>
        </w:rPr>
        <w:t xml:space="preserve">根据《</w:t>
      </w:r>
      <w:r>
        <w:rPr>
          <w:rFonts w:ascii="宋体" w:hAnsi="宋体"/>
          <w:bCs/>
          <w:color w:val="auto"/>
          <w:sz w:val="24"/>
          <w:szCs w:val="24"/>
          <w:highlight w:val="none"/>
        </w:rPr>
        <w:t xml:space="preserve">政府采购质疑和投诉办法</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中华人民共和国财政部令第94号</w:t>
      </w:r>
      <w:r>
        <w:rPr>
          <w:rFonts w:hint="eastAsia" w:ascii="宋体" w:hAnsi="宋体"/>
          <w:bCs/>
          <w:color w:val="auto"/>
          <w:sz w:val="24"/>
          <w:szCs w:val="24"/>
          <w:highlight w:val="none"/>
        </w:rPr>
        <w:t xml:space="preserve">）相关规定进行</w:t>
      </w:r>
      <w:r>
        <w:rPr>
          <w:rFonts w:ascii="宋体" w:hAnsi="宋体"/>
          <w:bCs/>
          <w:color w:val="auto"/>
          <w:sz w:val="24"/>
          <w:szCs w:val="24"/>
          <w:highlight w:val="none"/>
        </w:rPr>
        <w:t xml:space="preserve">投诉处理</w:t>
      </w:r>
      <w:r>
        <w:rPr>
          <w:rFonts w:hint="eastAsia" w:ascii="宋体" w:hAnsi="宋体"/>
          <w:bCs/>
          <w:color w:val="auto"/>
          <w:sz w:val="24"/>
          <w:szCs w:val="24"/>
          <w:highlight w:val="none"/>
        </w:rPr>
        <w:t xml:space="preserve">。</w:t>
      </w:r>
      <w:r/>
    </w:p>
    <w:p>
      <w:pPr>
        <w:ind w:firstLine="480"/>
        <w:spacing w:line="360" w:lineRule="auto"/>
        <w:rPr>
          <w:rFonts w:ascii="宋体"/>
          <w:bCs/>
          <w:color w:val="auto"/>
          <w:sz w:val="24"/>
          <w:szCs w:val="24"/>
          <w:highlight w:val="none"/>
        </w:rPr>
      </w:pPr>
      <w:r>
        <w:rPr>
          <w:rFonts w:hint="eastAsia" w:ascii="黑体" w:hAnsi="宋体" w:eastAsia="黑体"/>
          <w:bCs/>
          <w:color w:val="auto"/>
          <w:sz w:val="24"/>
          <w:szCs w:val="24"/>
          <w:highlight w:val="none"/>
        </w:rPr>
        <w:t xml:space="preserve">（六）投标文件的组成</w:t>
      </w:r>
      <w:r>
        <w:rPr>
          <w:rFonts w:hint="eastAsia" w:ascii="宋体" w:hAnsi="宋体"/>
          <w:bCs/>
          <w:color w:val="auto"/>
          <w:sz w:val="24"/>
          <w:szCs w:val="24"/>
          <w:highlight w:val="none"/>
        </w:rPr>
        <w:t xml:space="preserve">（</w:t>
      </w:r>
      <w:r>
        <w:rPr>
          <w:rFonts w:hint="eastAsia" w:ascii="宋体" w:hAnsi="宋体"/>
          <w:b/>
          <w:bCs/>
          <w:color w:val="auto"/>
          <w:sz w:val="24"/>
          <w:szCs w:val="24"/>
          <w:highlight w:val="none"/>
        </w:rPr>
        <w:t xml:space="preserve">相应内容上传至投标客户端</w:t>
      </w:r>
      <w:r>
        <w:rPr>
          <w:rFonts w:hint="eastAsia" w:ascii="宋体" w:hAnsi="宋体"/>
          <w:bCs/>
          <w:color w:val="auto"/>
          <w:sz w:val="24"/>
          <w:szCs w:val="24"/>
          <w:highlight w:val="none"/>
        </w:rPr>
        <w:t xml:space="preserve">）</w:t>
      </w:r>
      <w:r>
        <w:rPr>
          <w:rFonts w:hint="eastAsia" w:ascii="黑体" w:hAnsi="宋体" w:eastAsia="黑体"/>
          <w:bCs/>
          <w:color w:val="auto"/>
          <w:sz w:val="24"/>
          <w:szCs w:val="24"/>
          <w:highlight w:val="none"/>
        </w:rPr>
        <w:t xml:space="preserve">：</w:t>
      </w:r>
      <w:r/>
    </w:p>
    <w:p>
      <w:pPr>
        <w:numPr>
          <w:ilvl w:val="0"/>
          <w:numId w:val="7"/>
        </w:numPr>
        <w:ind w:left="1" w:firstLine="523"/>
        <w:spacing w:line="360" w:lineRule="auto"/>
        <w:tabs>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投标函（</w:t>
      </w:r>
      <w:r>
        <w:rPr>
          <w:rFonts w:hint="eastAsia" w:ascii="宋体" w:hAnsi="宋体"/>
          <w:b/>
          <w:bCs/>
          <w:color w:val="auto"/>
          <w:sz w:val="24"/>
          <w:szCs w:val="24"/>
          <w:highlight w:val="none"/>
        </w:rPr>
        <w:t xml:space="preserve">格式见附件</w:t>
      </w:r>
      <w:r>
        <w:rPr>
          <w:rFonts w:hint="eastAsia" w:ascii="宋体" w:hAnsi="宋体"/>
          <w:bCs/>
          <w:color w:val="auto"/>
          <w:sz w:val="24"/>
          <w:szCs w:val="24"/>
          <w:highlight w:val="none"/>
        </w:rPr>
        <w:t xml:space="preserve">）</w:t>
      </w:r>
      <w:r/>
    </w:p>
    <w:p>
      <w:pPr>
        <w:numPr>
          <w:ilvl w:val="0"/>
          <w:numId w:val="7"/>
        </w:numPr>
        <w:ind w:left="1" w:firstLine="523"/>
        <w:spacing w:line="360" w:lineRule="auto"/>
        <w:tabs>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资格、资信证明文件（</w:t>
      </w:r>
      <w:r>
        <w:rPr>
          <w:rFonts w:hint="eastAsia" w:ascii="宋体" w:hAnsi="宋体"/>
          <w:b/>
          <w:bCs/>
          <w:color w:val="auto"/>
          <w:sz w:val="24"/>
          <w:szCs w:val="24"/>
          <w:highlight w:val="none"/>
        </w:rPr>
        <w:t xml:space="preserve">扫描后上传，身份证应为正、反面</w:t>
      </w:r>
      <w:r>
        <w:rPr>
          <w:rFonts w:hint="eastAsia" w:ascii="宋体" w:hAnsi="宋体"/>
          <w:bCs/>
          <w:color w:val="auto"/>
          <w:sz w:val="24"/>
          <w:szCs w:val="24"/>
          <w:highlight w:val="none"/>
        </w:rPr>
        <w:t xml:space="preserve">）：</w:t>
      </w:r>
      <w:r/>
    </w:p>
    <w:p>
      <w:pPr>
        <w:pStyle w:val="1051"/>
        <w:numPr>
          <w:ilvl w:val="1"/>
          <w:numId w:val="7"/>
        </w:numPr>
        <w:ind w:left="0" w:firstLine="567"/>
        <w:spacing w:line="360" w:lineRule="auto"/>
        <w:tabs>
          <w:tab w:val="left" w:pos="1276" w:leader="none"/>
        </w:tabs>
        <w:rPr>
          <w:rFonts w:ascii="宋体"/>
          <w:bCs/>
          <w:color w:val="auto"/>
          <w:sz w:val="24"/>
          <w:szCs w:val="24"/>
          <w:highlight w:val="none"/>
        </w:rPr>
      </w:pPr>
      <w:r>
        <w:rPr>
          <w:rFonts w:hint="eastAsia" w:ascii="宋体" w:hAnsi="宋体"/>
          <w:bCs/>
          <w:color w:val="auto"/>
          <w:sz w:val="24"/>
          <w:szCs w:val="24"/>
          <w:highlight w:val="none"/>
        </w:rPr>
        <w:t xml:space="preserve">关于资格的声明函（</w:t>
      </w:r>
      <w:r>
        <w:rPr>
          <w:rFonts w:hint="eastAsia" w:ascii="宋体" w:hAnsi="宋体"/>
          <w:b/>
          <w:bCs/>
          <w:color w:val="auto"/>
          <w:sz w:val="24"/>
          <w:szCs w:val="24"/>
          <w:highlight w:val="none"/>
        </w:rPr>
        <w:t xml:space="preserve">格式见附件</w:t>
      </w:r>
      <w:r>
        <w:rPr>
          <w:rFonts w:hint="eastAsia" w:ascii="宋体" w:hAnsi="宋体"/>
          <w:bCs/>
          <w:color w:val="auto"/>
          <w:sz w:val="24"/>
          <w:szCs w:val="24"/>
          <w:highlight w:val="none"/>
        </w:rPr>
        <w:t xml:space="preserve">）；</w:t>
      </w:r>
      <w:r/>
    </w:p>
    <w:p>
      <w:pPr>
        <w:pStyle w:val="1051"/>
        <w:numPr>
          <w:ilvl w:val="1"/>
          <w:numId w:val="7"/>
        </w:numPr>
        <w:ind w:left="0" w:firstLine="567"/>
        <w:spacing w:line="360" w:lineRule="auto"/>
        <w:tabs>
          <w:tab w:val="left" w:pos="1276" w:leader="none"/>
        </w:tabs>
        <w:rPr>
          <w:rFonts w:ascii="宋体"/>
          <w:bCs/>
          <w:color w:val="auto"/>
          <w:sz w:val="24"/>
          <w:szCs w:val="24"/>
          <w:highlight w:val="none"/>
        </w:rPr>
      </w:pPr>
      <w:r>
        <w:rPr>
          <w:rFonts w:hint="eastAsia" w:ascii="宋体" w:hAnsi="宋体"/>
          <w:bCs/>
          <w:color w:val="auto"/>
          <w:sz w:val="24"/>
          <w:szCs w:val="24"/>
          <w:highlight w:val="none"/>
        </w:rPr>
        <w:t xml:space="preserve">具有独立承担民事责任能力的投标人营业执照或相关部门的登记证明文件（投标人如</w:t>
      </w:r>
      <w:r>
        <w:rPr>
          <w:rFonts w:hint="eastAsia" w:ascii="宋体" w:hAnsi="宋体" w:cs="宋体"/>
          <w:color w:val="auto"/>
          <w:sz w:val="24"/>
          <w:szCs w:val="24"/>
          <w:highlight w:val="none"/>
        </w:rPr>
        <w:t xml:space="preserve">允许以分支机构身份参加投标的，提供投标人分支机构的营业执照</w:t>
      </w:r>
      <w:r>
        <w:rPr>
          <w:rFonts w:hint="eastAsia" w:ascii="宋体" w:hAnsi="宋体"/>
          <w:bCs/>
          <w:color w:val="auto"/>
          <w:sz w:val="24"/>
          <w:szCs w:val="24"/>
          <w:highlight w:val="none"/>
        </w:rPr>
        <w:t xml:space="preserve">）；</w:t>
      </w:r>
      <w:r/>
    </w:p>
    <w:p>
      <w:pPr>
        <w:numPr>
          <w:ilvl w:val="1"/>
          <w:numId w:val="7"/>
        </w:numPr>
        <w:ind w:left="0" w:firstLine="523"/>
        <w:spacing w:line="360" w:lineRule="auto"/>
        <w:tabs>
          <w:tab w:val="left" w:pos="945" w:leader="none"/>
          <w:tab w:val="left" w:pos="1276" w:leader="none"/>
        </w:tabs>
        <w:rPr>
          <w:rFonts w:ascii="宋体"/>
          <w:bCs/>
          <w:color w:val="auto"/>
          <w:sz w:val="24"/>
          <w:szCs w:val="24"/>
          <w:highlight w:val="none"/>
        </w:rPr>
      </w:pPr>
      <w:r>
        <w:rPr>
          <w:rFonts w:hint="eastAsia" w:ascii="宋体" w:hAnsi="宋体"/>
          <w:bCs/>
          <w:color w:val="auto"/>
          <w:sz w:val="24"/>
          <w:szCs w:val="24"/>
          <w:highlight w:val="none"/>
        </w:rPr>
        <w:t xml:space="preserve">投标人法定代表人授权委托书</w:t>
      </w:r>
      <w:r>
        <w:rPr>
          <w:rFonts w:hint="eastAsia" w:ascii="宋体" w:hAnsi="宋体"/>
          <w:color w:val="auto"/>
          <w:sz w:val="24"/>
          <w:szCs w:val="24"/>
          <w:highlight w:val="none"/>
        </w:rPr>
        <w:t xml:space="preserve">（</w:t>
      </w:r>
      <w:r>
        <w:rPr>
          <w:rFonts w:hint="eastAsia" w:ascii="宋体" w:hAnsi="宋体"/>
          <w:b/>
          <w:bCs/>
          <w:color w:val="auto"/>
          <w:sz w:val="24"/>
          <w:szCs w:val="24"/>
          <w:highlight w:val="none"/>
        </w:rPr>
        <w:t xml:space="preserve">格式见附件，法定代表人亲自参加投标的除外</w:t>
      </w:r>
      <w:r>
        <w:rPr>
          <w:rFonts w:hint="eastAsia" w:ascii="宋体" w:hAnsi="宋体"/>
          <w:color w:val="auto"/>
          <w:sz w:val="24"/>
          <w:szCs w:val="24"/>
          <w:highlight w:val="none"/>
        </w:rPr>
        <w:t xml:space="preserve">）（投标人如</w:t>
      </w:r>
      <w:r>
        <w:rPr>
          <w:rFonts w:hint="eastAsia" w:ascii="宋体" w:hAnsi="宋体" w:cs="宋体"/>
          <w:color w:val="auto"/>
          <w:sz w:val="24"/>
          <w:szCs w:val="24"/>
          <w:highlight w:val="none"/>
        </w:rPr>
        <w:t xml:space="preserve">允许以分支机构身份参加投标的，请自行</w:t>
      </w:r>
      <w:r>
        <w:rPr>
          <w:rFonts w:ascii="宋体" w:hAnsi="宋体" w:cs="宋体"/>
          <w:color w:val="auto"/>
          <w:sz w:val="24"/>
          <w:szCs w:val="24"/>
          <w:highlight w:val="none"/>
        </w:rPr>
        <w:t xml:space="preserve">将“</w:t>
      </w:r>
      <w:r>
        <w:rPr>
          <w:rFonts w:hint="eastAsia" w:ascii="宋体" w:hAnsi="宋体" w:cs="宋体"/>
          <w:color w:val="auto"/>
          <w:sz w:val="24"/>
          <w:szCs w:val="24"/>
          <w:highlight w:val="none"/>
        </w:rPr>
        <w:t xml:space="preserve">法定代表人</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更改为</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负责人</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，分支机构投标</w:t>
      </w:r>
      <w:r>
        <w:rPr>
          <w:rFonts w:ascii="宋体" w:hAnsi="宋体" w:cs="宋体"/>
          <w:color w:val="auto"/>
          <w:sz w:val="24"/>
          <w:szCs w:val="24"/>
          <w:highlight w:val="none"/>
        </w:rPr>
        <w:t xml:space="preserve">时</w:t>
      </w:r>
      <w:r>
        <w:rPr>
          <w:rFonts w:hint="eastAsia" w:ascii="宋体" w:hAnsi="宋体" w:cs="宋体"/>
          <w:color w:val="auto"/>
          <w:sz w:val="24"/>
          <w:szCs w:val="24"/>
          <w:highlight w:val="none"/>
        </w:rPr>
        <w:t xml:space="preserve">涉及采购文件</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法定代表人</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要求的部分</w:t>
      </w:r>
      <w:r>
        <w:rPr>
          <w:rFonts w:ascii="宋体" w:hAnsi="宋体" w:cs="宋体"/>
          <w:color w:val="auto"/>
          <w:sz w:val="24"/>
          <w:szCs w:val="24"/>
          <w:highlight w:val="none"/>
        </w:rPr>
        <w:t xml:space="preserve">，其</w:t>
      </w:r>
      <w:r>
        <w:rPr>
          <w:rFonts w:hint="eastAsia" w:ascii="宋体" w:hAnsi="宋体" w:cs="宋体"/>
          <w:color w:val="auto"/>
          <w:sz w:val="24"/>
          <w:szCs w:val="24"/>
          <w:highlight w:val="none"/>
        </w:rPr>
        <w:t xml:space="preserve">具体要求</w:t>
      </w:r>
      <w:r>
        <w:rPr>
          <w:rFonts w:ascii="宋体" w:hAnsi="宋体" w:cs="宋体"/>
          <w:color w:val="auto"/>
          <w:sz w:val="24"/>
          <w:szCs w:val="24"/>
          <w:highlight w:val="none"/>
        </w:rPr>
        <w:t xml:space="preserve">视同本条规定</w:t>
      </w:r>
      <w:r>
        <w:rPr>
          <w:rFonts w:hint="eastAsia" w:ascii="宋体" w:hAnsi="宋体"/>
          <w:color w:val="auto"/>
          <w:sz w:val="24"/>
          <w:szCs w:val="24"/>
          <w:highlight w:val="none"/>
        </w:rPr>
        <w:t xml:space="preserve">）；</w:t>
      </w:r>
      <w:r/>
    </w:p>
    <w:p>
      <w:pPr>
        <w:numPr>
          <w:ilvl w:val="1"/>
          <w:numId w:val="7"/>
        </w:numPr>
        <w:ind w:left="0" w:firstLine="523"/>
        <w:spacing w:line="360" w:lineRule="auto"/>
        <w:tabs>
          <w:tab w:val="left" w:pos="945" w:leader="none"/>
          <w:tab w:val="left" w:pos="1276" w:leader="none"/>
        </w:tabs>
        <w:rPr>
          <w:rFonts w:ascii="宋体"/>
          <w:bCs/>
          <w:color w:val="auto"/>
          <w:sz w:val="24"/>
          <w:szCs w:val="24"/>
          <w:highlight w:val="none"/>
        </w:rPr>
      </w:pPr>
      <w:r>
        <w:rPr>
          <w:rFonts w:hint="eastAsia" w:ascii="宋体" w:hAnsi="宋体"/>
          <w:bCs/>
          <w:color w:val="auto"/>
          <w:sz w:val="24"/>
          <w:szCs w:val="24"/>
          <w:highlight w:val="none"/>
        </w:rPr>
        <w:t xml:space="preserve">投标人法定代表人身份证；</w:t>
      </w:r>
      <w:r/>
    </w:p>
    <w:p>
      <w:pPr>
        <w:numPr>
          <w:ilvl w:val="1"/>
          <w:numId w:val="7"/>
        </w:numPr>
        <w:ind w:left="0" w:firstLine="523"/>
        <w:spacing w:line="360" w:lineRule="auto"/>
        <w:tabs>
          <w:tab w:val="left" w:pos="945" w:leader="none"/>
          <w:tab w:val="left" w:pos="1276" w:leader="none"/>
        </w:tabs>
        <w:rPr>
          <w:rFonts w:ascii="宋体"/>
          <w:bCs/>
          <w:color w:val="auto"/>
          <w:sz w:val="24"/>
          <w:szCs w:val="24"/>
          <w:highlight w:val="none"/>
        </w:rPr>
      </w:pPr>
      <w:r>
        <w:rPr>
          <w:rFonts w:hint="eastAsia" w:ascii="宋体" w:hAnsi="宋体"/>
          <w:bCs/>
          <w:color w:val="auto"/>
          <w:sz w:val="24"/>
          <w:szCs w:val="24"/>
          <w:highlight w:val="none"/>
        </w:rPr>
        <w:t xml:space="preserve">投标人法定代表人授权代表身份证（</w:t>
      </w:r>
      <w:r>
        <w:rPr>
          <w:rFonts w:hint="eastAsia" w:ascii="宋体" w:hAnsi="宋体"/>
          <w:b/>
          <w:bCs/>
          <w:color w:val="auto"/>
          <w:sz w:val="24"/>
          <w:szCs w:val="24"/>
          <w:highlight w:val="none"/>
        </w:rPr>
        <w:t xml:space="preserve">法定代表人亲自参加投标的除外</w:t>
      </w:r>
      <w:r>
        <w:rPr>
          <w:rFonts w:hint="eastAsia" w:ascii="宋体" w:hAnsi="宋体"/>
          <w:bCs/>
          <w:color w:val="auto"/>
          <w:sz w:val="24"/>
          <w:szCs w:val="24"/>
          <w:highlight w:val="none"/>
        </w:rPr>
        <w:t xml:space="preserve">）</w:t>
      </w:r>
      <w:r>
        <w:rPr>
          <w:rFonts w:hint="eastAsia" w:ascii="宋体" w:hAnsi="宋体"/>
          <w:color w:val="auto"/>
          <w:sz w:val="24"/>
          <w:szCs w:val="24"/>
          <w:highlight w:val="none"/>
        </w:rPr>
        <w:t xml:space="preserve">；</w:t>
      </w:r>
      <w:r/>
    </w:p>
    <w:p>
      <w:pPr>
        <w:numPr>
          <w:ilvl w:val="1"/>
          <w:numId w:val="7"/>
        </w:numPr>
        <w:ind w:left="0" w:firstLine="523"/>
        <w:spacing w:line="360" w:lineRule="auto"/>
        <w:tabs>
          <w:tab w:val="left" w:pos="945" w:leader="none"/>
          <w:tab w:val="left" w:pos="1276"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投标人近一年中任意一个月份（不含投标当月）为其法定代表人授权代表、项目负责人缴纳社保的证明（</w:t>
      </w:r>
      <w:r>
        <w:rPr>
          <w:rFonts w:hint="eastAsia" w:ascii="宋体" w:hAnsi="宋体"/>
          <w:b/>
          <w:bCs/>
          <w:color w:val="auto"/>
          <w:sz w:val="24"/>
          <w:szCs w:val="24"/>
          <w:highlight w:val="none"/>
        </w:rPr>
        <w:t xml:space="preserve">由相关主管部门出具，新成立公司除外、法定代表人亲自参加投标的除外</w:t>
      </w:r>
      <w:r>
        <w:rPr>
          <w:rFonts w:hint="eastAsia" w:ascii="宋体" w:hAnsi="宋体"/>
          <w:bCs/>
          <w:color w:val="auto"/>
          <w:sz w:val="24"/>
          <w:szCs w:val="24"/>
          <w:highlight w:val="none"/>
        </w:rPr>
        <w:t xml:space="preserve">）；</w:t>
      </w:r>
      <w:r/>
    </w:p>
    <w:p>
      <w:pPr>
        <w:numPr>
          <w:ilvl w:val="1"/>
          <w:numId w:val="7"/>
        </w:numPr>
        <w:ind w:left="0" w:firstLine="523"/>
        <w:spacing w:line="360" w:lineRule="auto"/>
        <w:tabs>
          <w:tab w:val="left" w:pos="945" w:leader="none"/>
          <w:tab w:val="left" w:pos="1276" w:leader="none"/>
        </w:tabs>
        <w:rPr>
          <w:rFonts w:ascii="宋体"/>
          <w:bCs/>
          <w:color w:val="auto"/>
          <w:sz w:val="24"/>
          <w:szCs w:val="24"/>
          <w:highlight w:val="none"/>
        </w:rPr>
      </w:pPr>
      <w:r>
        <w:rPr>
          <w:rFonts w:hint="eastAsia" w:ascii="宋体" w:hAnsi="宋体"/>
          <w:bCs/>
          <w:color w:val="auto"/>
          <w:sz w:val="24"/>
          <w:szCs w:val="24"/>
          <w:highlight w:val="none"/>
        </w:rPr>
        <w:t xml:space="preserve">投标人近一年中任意一个月份（不含投标当月）的财务状况报告（资产负债表和利润表）或由会计师事务所出具的202</w:t>
      </w:r>
      <w:r>
        <w:rPr>
          <w:rFonts w:hint="eastAsia" w:ascii="宋体" w:hAnsi="宋体"/>
          <w:bCs/>
          <w:color w:val="auto"/>
          <w:sz w:val="24"/>
          <w:szCs w:val="24"/>
          <w:highlight w:val="none"/>
          <w:lang w:val="en-US" w:eastAsia="zh-CN"/>
        </w:rPr>
        <w:t xml:space="preserve">4</w:t>
      </w:r>
      <w:r>
        <w:rPr>
          <w:rFonts w:hint="eastAsia" w:ascii="宋体" w:hAnsi="宋体"/>
          <w:bCs/>
          <w:color w:val="auto"/>
          <w:sz w:val="24"/>
          <w:szCs w:val="24"/>
          <w:highlight w:val="none"/>
        </w:rPr>
        <w:t xml:space="preserve">年度</w:t>
      </w:r>
      <w:r>
        <w:rPr>
          <w:rFonts w:hint="eastAsia" w:ascii="宋体" w:hAnsi="宋体"/>
          <w:bCs/>
          <w:color w:val="auto"/>
          <w:sz w:val="24"/>
          <w:szCs w:val="24"/>
          <w:highlight w:val="none"/>
          <w:lang w:val="en-US" w:eastAsia="zh-CN"/>
        </w:rPr>
        <w:t xml:space="preserve">或2025年度</w:t>
      </w:r>
      <w:r>
        <w:rPr>
          <w:rFonts w:hint="eastAsia" w:ascii="宋体" w:hAnsi="宋体"/>
          <w:bCs/>
          <w:color w:val="auto"/>
          <w:sz w:val="24"/>
          <w:szCs w:val="24"/>
          <w:highlight w:val="none"/>
        </w:rPr>
        <w:t xml:space="preserve">的审计报告和所附已审财务报告；</w:t>
      </w:r>
      <w:r/>
    </w:p>
    <w:p>
      <w:pPr>
        <w:numPr>
          <w:ilvl w:val="1"/>
          <w:numId w:val="7"/>
        </w:numPr>
        <w:ind w:left="0" w:firstLine="523"/>
        <w:spacing w:line="360" w:lineRule="auto"/>
        <w:tabs>
          <w:tab w:val="left" w:pos="945" w:leader="none"/>
          <w:tab w:val="left" w:pos="1276" w:leader="none"/>
        </w:tabs>
        <w:rPr>
          <w:rFonts w:ascii="宋体"/>
          <w:bCs/>
          <w:color w:val="auto"/>
          <w:sz w:val="24"/>
          <w:szCs w:val="24"/>
          <w:highlight w:val="none"/>
        </w:rPr>
      </w:pPr>
      <w:r>
        <w:rPr>
          <w:rFonts w:hint="eastAsia" w:ascii="宋体" w:hAnsi="宋体"/>
          <w:bCs/>
          <w:color w:val="auto"/>
          <w:sz w:val="24"/>
          <w:szCs w:val="24"/>
          <w:highlight w:val="none"/>
        </w:rPr>
        <w:t xml:space="preserve">投标人近一年中任意一个月份（不含投标当月）的依法缴纳税收的相关材料（提供相关主管部门证明或银行代扣证明）；</w:t>
      </w:r>
      <w:r/>
    </w:p>
    <w:p>
      <w:pPr>
        <w:numPr>
          <w:ilvl w:val="1"/>
          <w:numId w:val="7"/>
        </w:numPr>
        <w:ind w:left="0" w:firstLine="523"/>
        <w:spacing w:line="360" w:lineRule="auto"/>
        <w:tabs>
          <w:tab w:val="left" w:pos="945" w:leader="none"/>
          <w:tab w:val="left" w:pos="1276" w:leader="none"/>
        </w:tabs>
        <w:rPr>
          <w:rFonts w:ascii="宋体"/>
          <w:bCs/>
          <w:color w:val="auto"/>
          <w:sz w:val="24"/>
          <w:szCs w:val="24"/>
          <w:highlight w:val="none"/>
        </w:rPr>
      </w:pPr>
      <w:r>
        <w:rPr>
          <w:rFonts w:hint="eastAsia" w:ascii="宋体" w:hAnsi="宋体"/>
          <w:bCs/>
          <w:color w:val="auto"/>
          <w:sz w:val="24"/>
          <w:szCs w:val="24"/>
          <w:highlight w:val="none"/>
        </w:rPr>
        <w:t xml:space="preserve">投标人近一年中任意一个月份（不含投标当月）的依法缴纳社会保障资金的相关材料（提供相关主管部门证明或银行代扣证明）；</w:t>
      </w:r>
      <w:r/>
    </w:p>
    <w:p>
      <w:pPr>
        <w:numPr>
          <w:ilvl w:val="1"/>
          <w:numId w:val="7"/>
        </w:numPr>
        <w:ind w:left="0" w:firstLine="523"/>
        <w:spacing w:line="360" w:lineRule="auto"/>
        <w:tabs>
          <w:tab w:val="left" w:pos="945" w:leader="none"/>
          <w:tab w:val="left" w:pos="1276" w:leader="none"/>
        </w:tabs>
        <w:rPr>
          <w:rFonts w:ascii="宋体"/>
          <w:bCs/>
          <w:color w:val="auto"/>
          <w:sz w:val="24"/>
          <w:szCs w:val="24"/>
          <w:highlight w:val="none"/>
        </w:rPr>
      </w:pPr>
      <w:r>
        <w:rPr>
          <w:rFonts w:hint="eastAsia" w:ascii="宋体" w:hAnsi="宋体" w:cs="宋体"/>
          <w:color w:val="auto"/>
          <w:sz w:val="24"/>
          <w:highlight w:val="none"/>
          <w:lang w:eastAsia="zh-CN"/>
        </w:rPr>
        <w:t xml:space="preserve">投标人</w:t>
      </w:r>
      <w:r>
        <w:rPr>
          <w:rFonts w:hint="eastAsia" w:ascii="宋体" w:hAnsi="宋体" w:cs="宋体"/>
          <w:color w:val="auto"/>
          <w:sz w:val="24"/>
          <w:highlight w:val="none"/>
          <w:lang w:val="zh-CN"/>
        </w:rPr>
        <w:t xml:space="preserve">近三年无安全事故和质量事故，无</w:t>
      </w:r>
      <w:r>
        <w:rPr>
          <w:rFonts w:hint="eastAsia" w:ascii="宋体" w:hAnsi="宋体" w:cs="宋体"/>
          <w:color w:val="auto"/>
          <w:sz w:val="24"/>
          <w:highlight w:val="none"/>
        </w:rPr>
        <w:t xml:space="preserve">安全</w:t>
      </w:r>
      <w:r>
        <w:rPr>
          <w:rFonts w:hint="eastAsia" w:ascii="宋体" w:hAnsi="宋体" w:cs="宋体"/>
          <w:color w:val="auto"/>
          <w:sz w:val="24"/>
          <w:highlight w:val="none"/>
          <w:lang w:val="zh-CN"/>
        </w:rPr>
        <w:t xml:space="preserve">文明施工不良记录,无较大金额罚款</w:t>
      </w:r>
      <w:r>
        <w:rPr>
          <w:rFonts w:hint="eastAsia" w:ascii="宋体" w:hAnsi="宋体" w:cs="宋体"/>
          <w:b/>
          <w:color w:val="auto"/>
          <w:sz w:val="24"/>
          <w:highlight w:val="none"/>
          <w:lang w:val="zh-CN"/>
        </w:rPr>
        <w:t xml:space="preserve">（需提供承诺书，格式详见附件承诺书，如经查实与承诺不符，</w:t>
      </w:r>
      <w:r>
        <w:rPr>
          <w:rFonts w:hint="eastAsia" w:ascii="宋体" w:hAnsi="宋体" w:cs="宋体"/>
          <w:b/>
          <w:bCs/>
          <w:color w:val="auto"/>
          <w:sz w:val="24"/>
          <w:highlight w:val="none"/>
          <w:lang w:eastAsia="zh-CN"/>
        </w:rPr>
        <w:t xml:space="preserve">投标人</w:t>
      </w:r>
      <w:r>
        <w:rPr>
          <w:rFonts w:hint="eastAsia" w:ascii="宋体" w:hAnsi="宋体" w:cs="宋体"/>
          <w:b/>
          <w:color w:val="auto"/>
          <w:sz w:val="24"/>
          <w:highlight w:val="none"/>
          <w:lang w:val="zh-CN"/>
        </w:rPr>
        <w:t xml:space="preserve">自动放弃投标资格或中标资格）</w:t>
      </w:r>
      <w:r>
        <w:rPr>
          <w:rFonts w:hint="eastAsia" w:ascii="宋体" w:hAnsi="宋体"/>
          <w:bCs/>
          <w:color w:val="auto"/>
          <w:sz w:val="24"/>
          <w:szCs w:val="24"/>
          <w:highlight w:val="none"/>
        </w:rPr>
        <w:t xml:space="preserve">；</w:t>
      </w:r>
      <w:r/>
    </w:p>
    <w:p>
      <w:pPr>
        <w:numPr>
          <w:ilvl w:val="1"/>
          <w:numId w:val="7"/>
        </w:numPr>
        <w:ind w:left="0" w:firstLine="523"/>
        <w:spacing w:line="360" w:lineRule="auto"/>
        <w:tabs>
          <w:tab w:val="left" w:pos="945" w:leader="none"/>
          <w:tab w:val="left" w:pos="1276" w:leader="none"/>
        </w:tabs>
        <w:rPr>
          <w:rFonts w:ascii="宋体"/>
          <w:bCs/>
          <w:color w:val="auto"/>
          <w:sz w:val="24"/>
          <w:szCs w:val="24"/>
          <w:highlight w:val="none"/>
        </w:rPr>
      </w:pPr>
      <w:r>
        <w:rPr>
          <w:rFonts w:hint="eastAsia" w:ascii="宋体"/>
          <w:bCs/>
          <w:color w:val="auto"/>
          <w:sz w:val="24"/>
          <w:szCs w:val="24"/>
          <w:highlight w:val="none"/>
        </w:rPr>
        <w:t xml:space="preserve">投标人如为中小微企业的提供中小企业声明函（</w:t>
      </w:r>
      <w:r>
        <w:rPr>
          <w:rFonts w:hint="eastAsia" w:ascii="宋体"/>
          <w:b/>
          <w:color w:val="auto"/>
          <w:sz w:val="24"/>
          <w:szCs w:val="24"/>
          <w:highlight w:val="none"/>
        </w:rPr>
        <w:t xml:space="preserve">格式见附件</w:t>
      </w:r>
      <w:r>
        <w:rPr>
          <w:rFonts w:hint="eastAsia" w:ascii="宋体"/>
          <w:bCs/>
          <w:color w:val="auto"/>
          <w:sz w:val="24"/>
          <w:szCs w:val="24"/>
          <w:highlight w:val="none"/>
        </w:rPr>
        <w:t xml:space="preserve">）；投标人如为监狱和戒毒企业的，按照财政部《司法部关于政府采购支持监狱企业发展有关问题》（财库〔2014〕68号）的规定提供由省级以上监狱管理局、戒毒管理局（含新疆生产建设兵团）出具的属于监狱企业的证明文件扫描件；</w:t>
      </w:r>
      <w:r>
        <w:rPr>
          <w:rFonts w:hint="eastAsia" w:ascii="宋体"/>
          <w:bCs/>
          <w:color w:val="auto"/>
          <w:sz w:val="24"/>
          <w:szCs w:val="24"/>
          <w:highlight w:val="none"/>
          <w:lang w:eastAsia="zh-CN"/>
        </w:rPr>
        <w:t xml:space="preserve">投标人</w:t>
      </w:r>
      <w:r>
        <w:rPr>
          <w:rFonts w:hint="eastAsia" w:ascii="宋体"/>
          <w:bCs/>
          <w:color w:val="auto"/>
          <w:sz w:val="24"/>
          <w:szCs w:val="24"/>
          <w:highlight w:val="none"/>
        </w:rPr>
        <w:t xml:space="preserve">如为残疾人福利性单位的提供《残疾人福利性单位声明函》。</w:t>
      </w:r>
      <w:r/>
    </w:p>
    <w:p>
      <w:pPr>
        <w:numPr>
          <w:ilvl w:val="1"/>
          <w:numId w:val="7"/>
        </w:numPr>
        <w:ind w:left="0" w:firstLine="523"/>
        <w:spacing w:line="360" w:lineRule="auto"/>
        <w:tabs>
          <w:tab w:val="left" w:pos="945" w:leader="none"/>
          <w:tab w:val="left" w:pos="1276" w:leader="none"/>
        </w:tabs>
        <w:rPr>
          <w:rFonts w:ascii="宋体"/>
          <w:bCs/>
          <w:color w:val="auto"/>
          <w:sz w:val="24"/>
          <w:szCs w:val="24"/>
          <w:highlight w:val="none"/>
        </w:rPr>
      </w:pPr>
      <w:r>
        <w:rPr>
          <w:rFonts w:hint="eastAsia" w:ascii="宋体" w:hAnsi="宋体"/>
          <w:bCs/>
          <w:color w:val="auto"/>
          <w:sz w:val="24"/>
          <w:szCs w:val="24"/>
          <w:highlight w:val="none"/>
        </w:rPr>
        <w:t xml:space="preserve">采购人要求的特定资质证明扫描件（</w:t>
      </w:r>
      <w:r>
        <w:rPr>
          <w:rFonts w:hint="eastAsia" w:ascii="宋体" w:hAnsi="宋体"/>
          <w:b/>
          <w:bCs/>
          <w:color w:val="auto"/>
          <w:sz w:val="24"/>
          <w:szCs w:val="24"/>
          <w:highlight w:val="none"/>
        </w:rPr>
        <w:t xml:space="preserve">详见“投标邀请函”-“投标人资格要求”之3中要求）</w:t>
      </w:r>
      <w:r>
        <w:rPr>
          <w:rFonts w:hint="eastAsia" w:ascii="宋体" w:hAnsi="宋体"/>
          <w:bCs/>
          <w:color w:val="auto"/>
          <w:sz w:val="24"/>
          <w:szCs w:val="24"/>
          <w:highlight w:val="none"/>
        </w:rPr>
        <w:t xml:space="preserve">。</w:t>
      </w:r>
      <w:r/>
    </w:p>
    <w:p>
      <w:pPr>
        <w:ind w:firstLine="480"/>
        <w:spacing w:line="360" w:lineRule="auto"/>
        <w:tabs>
          <w:tab w:val="left" w:pos="945" w:leader="none"/>
        </w:tabs>
        <w:rPr>
          <w:rFonts w:ascii="宋体"/>
          <w:bCs/>
          <w:color w:val="auto"/>
          <w:sz w:val="24"/>
          <w:szCs w:val="24"/>
          <w:highlight w:val="none"/>
        </w:rPr>
      </w:pPr>
      <w:r>
        <w:rPr>
          <w:rFonts w:hint="eastAsia" w:ascii="宋体" w:hAnsi="宋体" w:cs="宋体"/>
          <w:color w:val="auto"/>
          <w:sz w:val="24"/>
          <w:szCs w:val="24"/>
          <w:highlight w:val="none"/>
        </w:rPr>
        <w:t xml:space="preserve">注：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3、开标一览表（</w:t>
      </w:r>
      <w:r>
        <w:rPr>
          <w:rFonts w:hint="eastAsia" w:ascii="宋体" w:hAnsi="宋体"/>
          <w:b/>
          <w:color w:val="auto"/>
          <w:sz w:val="24"/>
          <w:szCs w:val="24"/>
          <w:highlight w:val="none"/>
        </w:rPr>
        <w:t xml:space="preserve">格式见附件</w:t>
      </w:r>
      <w:r>
        <w:rPr>
          <w:rFonts w:hint="eastAsia" w:ascii="宋体" w:hAnsi="宋体"/>
          <w:bCs/>
          <w:color w:val="auto"/>
          <w:sz w:val="24"/>
          <w:szCs w:val="24"/>
          <w:highlight w:val="none"/>
        </w:rPr>
        <w:t xml:space="preserve">）</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4、报价明细表（</w:t>
      </w:r>
      <w:r>
        <w:rPr>
          <w:rFonts w:hint="eastAsia" w:ascii="宋体" w:hAnsi="宋体"/>
          <w:b/>
          <w:color w:val="auto"/>
          <w:sz w:val="24"/>
          <w:szCs w:val="24"/>
          <w:highlight w:val="none"/>
        </w:rPr>
        <w:t xml:space="preserve">格式见附件</w:t>
      </w:r>
      <w:r>
        <w:rPr>
          <w:rFonts w:hint="eastAsia" w:ascii="宋体" w:hAnsi="宋体"/>
          <w:bCs/>
          <w:color w:val="auto"/>
          <w:sz w:val="24"/>
          <w:szCs w:val="24"/>
          <w:highlight w:val="none"/>
        </w:rPr>
        <w:t xml:space="preserve">）</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5、投标偏离表（</w:t>
      </w:r>
      <w:r>
        <w:rPr>
          <w:rFonts w:hint="eastAsia" w:ascii="宋体" w:hAnsi="宋体"/>
          <w:b/>
          <w:color w:val="auto"/>
          <w:sz w:val="24"/>
          <w:szCs w:val="24"/>
          <w:highlight w:val="none"/>
        </w:rPr>
        <w:t xml:space="preserve">格式见附件</w:t>
      </w:r>
      <w:r>
        <w:rPr>
          <w:rFonts w:hint="eastAsia" w:ascii="宋体" w:hAnsi="宋体"/>
          <w:bCs/>
          <w:color w:val="auto"/>
          <w:sz w:val="24"/>
          <w:szCs w:val="24"/>
          <w:highlight w:val="none"/>
        </w:rPr>
        <w:t xml:space="preserve">）</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6、项目管理机构配备情况表（</w:t>
      </w:r>
      <w:r>
        <w:rPr>
          <w:rFonts w:hint="eastAsia" w:ascii="宋体" w:hAnsi="宋体"/>
          <w:b/>
          <w:color w:val="auto"/>
          <w:sz w:val="24"/>
          <w:szCs w:val="24"/>
          <w:highlight w:val="none"/>
        </w:rPr>
        <w:t xml:space="preserve">格式见附件</w:t>
      </w:r>
      <w:r>
        <w:rPr>
          <w:rFonts w:hint="eastAsia" w:ascii="宋体" w:hAnsi="宋体"/>
          <w:bCs/>
          <w:color w:val="auto"/>
          <w:sz w:val="24"/>
          <w:szCs w:val="24"/>
          <w:highlight w:val="none"/>
        </w:rPr>
        <w:t xml:space="preserve">）</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7、项目负责人简历表（</w:t>
      </w:r>
      <w:r>
        <w:rPr>
          <w:rFonts w:hint="eastAsia" w:ascii="宋体" w:hAnsi="宋体"/>
          <w:b/>
          <w:color w:val="auto"/>
          <w:sz w:val="24"/>
          <w:szCs w:val="24"/>
          <w:highlight w:val="none"/>
        </w:rPr>
        <w:t xml:space="preserve">格式见附件</w:t>
      </w:r>
      <w:r>
        <w:rPr>
          <w:rFonts w:hint="eastAsia" w:ascii="宋体" w:hAnsi="宋体"/>
          <w:bCs/>
          <w:color w:val="auto"/>
          <w:sz w:val="24"/>
          <w:szCs w:val="24"/>
          <w:highlight w:val="none"/>
        </w:rPr>
        <w:t xml:space="preserve">）</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8、投标单位情况表（</w:t>
      </w:r>
      <w:r>
        <w:rPr>
          <w:rFonts w:hint="eastAsia" w:ascii="宋体" w:hAnsi="宋体"/>
          <w:b/>
          <w:color w:val="auto"/>
          <w:sz w:val="24"/>
          <w:szCs w:val="24"/>
          <w:highlight w:val="none"/>
        </w:rPr>
        <w:t xml:space="preserve">格式见附件</w:t>
      </w:r>
      <w:r>
        <w:rPr>
          <w:rFonts w:hint="eastAsia" w:ascii="宋体" w:hAnsi="宋体"/>
          <w:bCs/>
          <w:color w:val="auto"/>
          <w:sz w:val="24"/>
          <w:szCs w:val="24"/>
          <w:highlight w:val="none"/>
        </w:rPr>
        <w:t xml:space="preserve">）</w:t>
      </w:r>
      <w:r/>
    </w:p>
    <w:p>
      <w:pPr>
        <w:ind w:firstLine="482"/>
        <w:spacing w:line="360" w:lineRule="auto"/>
        <w:rPr>
          <w:rFonts w:hint="eastAsia" w:ascii="宋体" w:hAnsi="宋体" w:eastAsia="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9、</w:t>
      </w:r>
      <w:r>
        <w:rPr>
          <w:rFonts w:hint="eastAsia" w:ascii="宋体" w:hAnsi="宋体" w:cs="宋体"/>
          <w:b w:val="0"/>
          <w:bCs/>
          <w:color w:val="auto"/>
          <w:sz w:val="24"/>
          <w:szCs w:val="24"/>
          <w:highlight w:val="none"/>
          <w:lang w:val="en-US" w:eastAsia="zh-CN"/>
        </w:rPr>
        <w:t xml:space="preserve">中标</w:t>
      </w:r>
      <w:r>
        <w:rPr>
          <w:rFonts w:hint="eastAsia" w:ascii="宋体" w:hAnsi="宋体" w:eastAsia="宋体" w:cs="宋体"/>
          <w:b w:val="0"/>
          <w:bCs/>
          <w:color w:val="auto"/>
          <w:sz w:val="24"/>
          <w:szCs w:val="24"/>
          <w:highlight w:val="none"/>
        </w:rPr>
        <w:t xml:space="preserve">标段优先顺序承诺函</w:t>
      </w:r>
      <w:r>
        <w:rPr>
          <w:rFonts w:hint="eastAsia" w:ascii="宋体" w:hAnsi="宋体" w:eastAsia="宋体" w:cs="宋体"/>
          <w:b/>
          <w:color w:val="auto"/>
          <w:sz w:val="24"/>
          <w:szCs w:val="24"/>
          <w:highlight w:val="none"/>
        </w:rPr>
        <w:t xml:space="preserve">（格式</w:t>
      </w:r>
      <w:r>
        <w:rPr>
          <w:rFonts w:hint="eastAsia" w:ascii="宋体" w:hAnsi="宋体" w:cs="宋体"/>
          <w:b/>
          <w:color w:val="auto"/>
          <w:sz w:val="24"/>
          <w:szCs w:val="24"/>
          <w:highlight w:val="none"/>
          <w:lang w:val="en-US" w:eastAsia="zh-CN"/>
        </w:rPr>
        <w:t xml:space="preserve">见附件</w:t>
      </w:r>
      <w:r>
        <w:rPr>
          <w:rFonts w:hint="eastAsia" w:ascii="宋体" w:hAnsi="宋体" w:eastAsia="宋体" w:cs="宋体"/>
          <w:b/>
          <w:color w:val="auto"/>
          <w:sz w:val="24"/>
          <w:szCs w:val="24"/>
          <w:highlight w:val="none"/>
        </w:rPr>
        <w:t xml:space="preserve">）</w:t>
      </w:r>
      <w:r/>
    </w:p>
    <w:p>
      <w:pPr>
        <w:ind w:firstLine="482"/>
        <w:spacing w:line="360" w:lineRule="auto"/>
        <w:rPr>
          <w:rFonts w:hint="eastAsia" w:ascii="宋体" w:hAnsi="宋体"/>
          <w:b/>
          <w:color w:val="auto"/>
          <w:sz w:val="24"/>
          <w:szCs w:val="24"/>
          <w:highlight w:val="none"/>
        </w:rPr>
      </w:pPr>
      <w:r>
        <w:rPr>
          <w:rFonts w:hint="eastAsia" w:ascii="宋体" w:hAnsi="宋体"/>
          <w:bCs/>
          <w:color w:val="auto"/>
          <w:sz w:val="24"/>
          <w:szCs w:val="24"/>
          <w:highlight w:val="none"/>
          <w:lang w:val="en-US" w:eastAsia="zh-CN"/>
        </w:rPr>
        <w:t xml:space="preserve">10</w:t>
      </w:r>
      <w:r>
        <w:rPr>
          <w:rFonts w:hint="eastAsia" w:ascii="宋体" w:hAnsi="宋体"/>
          <w:bCs/>
          <w:color w:val="auto"/>
          <w:sz w:val="24"/>
          <w:szCs w:val="24"/>
          <w:highlight w:val="none"/>
        </w:rPr>
        <w:t xml:space="preserve">、技术文件</w:t>
      </w:r>
      <w:r>
        <w:rPr>
          <w:rFonts w:hint="eastAsia" w:ascii="宋体" w:hAnsi="宋体"/>
          <w:b/>
          <w:color w:val="auto"/>
          <w:sz w:val="24"/>
          <w:szCs w:val="24"/>
          <w:highlight w:val="none"/>
        </w:rPr>
        <w:t xml:space="preserve">（暗标，内容参照评标办法）</w:t>
      </w:r>
      <w:r/>
    </w:p>
    <w:p>
      <w:pPr>
        <w:ind w:firstLine="482"/>
        <w:spacing w:line="360" w:lineRule="auto"/>
        <w:rPr>
          <w:rFonts w:hint="eastAsia" w:ascii="宋体" w:hAnsi="宋体"/>
          <w:b/>
          <w:color w:val="auto"/>
          <w:sz w:val="24"/>
          <w:szCs w:val="21"/>
          <w:highlight w:val="none"/>
          <w:u w:val="single"/>
        </w:rPr>
      </w:pPr>
      <w:r>
        <w:rPr>
          <w:rFonts w:hint="eastAsia" w:ascii="宋体" w:hAnsi="宋体"/>
          <w:b/>
          <w:color w:val="auto"/>
          <w:sz w:val="24"/>
          <w:szCs w:val="21"/>
          <w:highlight w:val="none"/>
          <w:u w:val="single"/>
        </w:rPr>
        <w:t xml:space="preserve">特别注意：本项目采用暗标形式，投标人须参照评标办法的相关要求对商务部分和技术文件部分分别进行制作。其中技术文件部分属于暗标，投标人在制作技术文件部分相关内容时不得有体现投标人身份的内容，否则投标无效。</w:t>
      </w:r>
      <w:r/>
    </w:p>
    <w:p>
      <w:pPr>
        <w:ind w:firstLine="482"/>
        <w:spacing w:line="360" w:lineRule="auto"/>
        <w:rPr>
          <w:rFonts w:hint="eastAsia" w:ascii="宋体" w:hAnsi="宋体"/>
          <w:b/>
          <w:color w:val="auto"/>
          <w:sz w:val="24"/>
          <w:szCs w:val="21"/>
          <w:highlight w:val="none"/>
          <w:u w:val="single"/>
        </w:rPr>
      </w:pPr>
      <w:r>
        <w:rPr>
          <w:rFonts w:hint="eastAsia" w:ascii="宋体" w:hAnsi="宋体"/>
          <w:b/>
          <w:color w:val="auto"/>
          <w:sz w:val="24"/>
          <w:szCs w:val="21"/>
          <w:highlight w:val="none"/>
        </w:rPr>
        <w:t xml:space="preserve">不得有体现投标人身份的内容是指：</w:t>
      </w:r>
      <w:r/>
    </w:p>
    <w:p>
      <w:pPr>
        <w:ind w:firstLine="482"/>
        <w:spacing w:line="360" w:lineRule="auto"/>
        <w:rPr>
          <w:rFonts w:hint="eastAsia" w:ascii="宋体" w:hAnsi="宋体"/>
          <w:b/>
          <w:color w:val="auto"/>
          <w:sz w:val="24"/>
          <w:szCs w:val="21"/>
          <w:highlight w:val="none"/>
        </w:rPr>
      </w:pPr>
      <w:r>
        <w:rPr>
          <w:rFonts w:hint="eastAsia" w:ascii="宋体" w:hAnsi="宋体"/>
          <w:b/>
          <w:color w:val="auto"/>
          <w:sz w:val="24"/>
          <w:szCs w:val="21"/>
          <w:highlight w:val="none"/>
        </w:rPr>
        <w:t xml:space="preserve">①技术部分不得出现能够体现投标人身份、名称的相关描述、材料、文件等内容；</w:t>
      </w:r>
      <w:r/>
    </w:p>
    <w:p>
      <w:pPr>
        <w:ind w:firstLine="482"/>
        <w:spacing w:line="360" w:lineRule="auto"/>
        <w:rPr>
          <w:rFonts w:hint="eastAsia" w:ascii="宋体" w:hAnsi="宋体"/>
          <w:b/>
          <w:color w:val="auto"/>
          <w:sz w:val="24"/>
          <w:szCs w:val="21"/>
          <w:highlight w:val="none"/>
        </w:rPr>
      </w:pPr>
      <w:r>
        <w:rPr>
          <w:rFonts w:hint="eastAsia" w:ascii="宋体" w:hAnsi="宋体"/>
          <w:b/>
          <w:color w:val="auto"/>
          <w:sz w:val="24"/>
          <w:szCs w:val="21"/>
          <w:highlight w:val="none"/>
        </w:rPr>
        <w:t xml:space="preserve">②技术部分不得更改，不得在其中标注或做任何可以辨认投标人及所属人员身份的名称、印章、商标等标记；</w:t>
      </w:r>
      <w:r/>
    </w:p>
    <w:p>
      <w:pPr>
        <w:ind w:firstLine="482"/>
        <w:spacing w:line="360" w:lineRule="auto"/>
        <w:rPr>
          <w:rFonts w:hint="eastAsia" w:ascii="宋体" w:hAnsi="宋体"/>
          <w:b/>
          <w:color w:val="auto"/>
          <w:sz w:val="24"/>
          <w:szCs w:val="21"/>
          <w:highlight w:val="none"/>
        </w:rPr>
      </w:pPr>
      <w:r>
        <w:rPr>
          <w:rFonts w:hint="eastAsia" w:ascii="宋体" w:hAnsi="宋体"/>
          <w:b/>
          <w:color w:val="auto"/>
          <w:sz w:val="24"/>
          <w:szCs w:val="21"/>
          <w:highlight w:val="none"/>
        </w:rPr>
        <w:t xml:space="preserve">③技术部分应当版面整洁、字迹清楚、不许批注或进行底纹、阴影、水印等特殊设置，不得采用任何不符合常规、有别于其他投标人的特殊做法；</w:t>
      </w:r>
      <w:r/>
    </w:p>
    <w:p>
      <w:pPr>
        <w:ind w:firstLine="482"/>
        <w:spacing w:line="360" w:lineRule="auto"/>
        <w:rPr>
          <w:rFonts w:hint="eastAsia" w:ascii="宋体" w:hAnsi="宋体"/>
          <w:bCs/>
          <w:color w:val="auto"/>
          <w:sz w:val="24"/>
          <w:szCs w:val="24"/>
          <w:highlight w:val="none"/>
        </w:rPr>
      </w:pPr>
      <w:r>
        <w:rPr>
          <w:rFonts w:hint="eastAsia" w:ascii="宋体" w:hAnsi="宋体"/>
          <w:b/>
          <w:color w:val="auto"/>
          <w:sz w:val="24"/>
          <w:szCs w:val="21"/>
          <w:highlight w:val="none"/>
        </w:rPr>
        <w:t xml:space="preserve">④不得有其他体现投标人身份的内容。</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11、评分标准中对应的其他所需证明材料（如有自行添加）</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12、要求采购人提供的配合（如有自拟并自行添加）</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13、其他（报价人认为有必要提供的声明和文件，如有自拟并自行添加）</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上述1-9项报价人必须按要求全部提供，否则响应文件无效。如上述资格证明文件遇年检、换证，则必须提供法定年检、换证单位出具的有效证明扫描件。如上述资格证明文件第（6）（7）（8）（9）四项遇有国家相关政策规定可不具备的，必须提供相关政策规定或相关单位出具的有效证明扫描件。报价人法定代表人或法定代表人授权代表为外籍、港、澳、台地区人士的，其身份证明须提供有效的护照或港澳同胞来往内地通行证、台湾同胞来往大陆通行证，或其他可在中国大陆有效居留的许可证明。</w:t>
      </w:r>
      <w:r/>
    </w:p>
    <w:p>
      <w:pPr>
        <w:ind w:firstLine="480"/>
        <w:spacing w:line="360" w:lineRule="auto"/>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t xml:space="preserve">（七）投标文件的制作：</w:t>
      </w:r>
      <w:r/>
    </w:p>
    <w:p>
      <w:pPr>
        <w:numPr>
          <w:ilvl w:val="0"/>
          <w:numId w:val="8"/>
        </w:numPr>
        <w:ind w:left="0" w:firstLine="523"/>
        <w:spacing w:line="360" w:lineRule="auto"/>
        <w:tabs>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所有文件、往来函件均应使用简体中文（规格、型号辅助符号例外）。</w:t>
      </w:r>
      <w:r/>
    </w:p>
    <w:p>
      <w:pPr>
        <w:numPr>
          <w:ilvl w:val="0"/>
          <w:numId w:val="8"/>
        </w:numPr>
        <w:ind w:left="0" w:firstLine="523"/>
        <w:spacing w:line="360" w:lineRule="auto"/>
        <w:tabs>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投标文件由投标人按要求如实填写，须有投标人（签章）、法定代表人或法定代表人授权代表签章，方为有效，未尽事宜可自行补充。</w:t>
      </w:r>
      <w:r/>
    </w:p>
    <w:p>
      <w:pPr>
        <w:numPr>
          <w:ilvl w:val="0"/>
          <w:numId w:val="8"/>
        </w:numPr>
        <w:ind w:left="0" w:firstLine="523"/>
        <w:spacing w:line="360" w:lineRule="auto"/>
        <w:tabs>
          <w:tab w:val="left" w:pos="525" w:leader="none"/>
          <w:tab w:val="left" w:pos="945" w:leader="none"/>
        </w:tabs>
        <w:rPr>
          <w:rFonts w:ascii="宋体"/>
          <w:bCs/>
          <w:color w:val="auto"/>
          <w:sz w:val="24"/>
          <w:szCs w:val="24"/>
          <w:highlight w:val="none"/>
        </w:rPr>
      </w:pPr>
      <w:r>
        <w:rPr>
          <w:rFonts w:hint="eastAsia" w:ascii="宋体"/>
          <w:color w:val="auto"/>
          <w:sz w:val="24"/>
          <w:szCs w:val="24"/>
          <w:highlight w:val="none"/>
          <w:lang w:val="zh-CN"/>
        </w:rPr>
        <w:t xml:space="preserve">如无特别说明，</w:t>
      </w:r>
      <w:r>
        <w:rPr>
          <w:rFonts w:hint="eastAsia" w:ascii="宋体" w:hAnsi="宋体"/>
          <w:bCs/>
          <w:color w:val="auto"/>
          <w:sz w:val="24"/>
          <w:szCs w:val="24"/>
          <w:highlight w:val="none"/>
        </w:rPr>
        <w:t xml:space="preserve">投标人报价一律以人民币为投标结算货币，结算单位为“元”。</w:t>
      </w:r>
      <w:r/>
    </w:p>
    <w:p>
      <w:pPr>
        <w:numPr>
          <w:ilvl w:val="0"/>
          <w:numId w:val="8"/>
        </w:numPr>
        <w:ind w:left="0" w:firstLine="523"/>
        <w:spacing w:line="360" w:lineRule="auto"/>
        <w:tabs>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投标费用自理。</w:t>
      </w:r>
      <w:r/>
    </w:p>
    <w:p>
      <w:pPr>
        <w:ind w:firstLine="480"/>
        <w:spacing w:line="360" w:lineRule="auto"/>
        <w:tabs>
          <w:tab w:val="left" w:pos="945" w:leader="none"/>
        </w:tabs>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t xml:space="preserve">（八）网上投标</w:t>
      </w:r>
      <w:r/>
    </w:p>
    <w:p>
      <w:pPr>
        <w:numPr>
          <w:ilvl w:val="0"/>
          <w:numId w:val="9"/>
        </w:numPr>
        <w:ind w:left="1" w:firstLine="523"/>
        <w:spacing w:line="360" w:lineRule="auto"/>
        <w:tabs>
          <w:tab w:val="left" w:pos="52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lang w:eastAsia="zh-CN"/>
        </w:rPr>
        <w:t xml:space="preserve">投标人</w:t>
      </w:r>
      <w:r>
        <w:rPr>
          <w:rFonts w:hint="eastAsia" w:ascii="宋体" w:hAnsi="宋体"/>
          <w:bCs/>
          <w:color w:val="auto"/>
          <w:sz w:val="24"/>
          <w:szCs w:val="24"/>
          <w:highlight w:val="none"/>
        </w:rPr>
        <w:t xml:space="preserve">应由其法定代表人或法定代表人授权代表在规定的网上投标时间内，凭CA数字证书</w:t>
      </w:r>
      <w:r>
        <w:rPr>
          <w:rFonts w:hint="eastAsia" w:ascii="宋体" w:hAnsi="宋体"/>
          <w:bCs/>
          <w:color w:val="auto"/>
          <w:sz w:val="24"/>
          <w:szCs w:val="24"/>
          <w:highlight w:val="none"/>
          <w:lang w:eastAsia="zh-CN"/>
        </w:rPr>
        <w:t xml:space="preserve">登录</w:t>
      </w:r>
      <w:r>
        <w:rPr>
          <w:rFonts w:hint="eastAsia" w:ascii="宋体" w:hAnsi="宋体"/>
          <w:bCs/>
          <w:color w:val="auto"/>
          <w:sz w:val="24"/>
          <w:szCs w:val="24"/>
          <w:highlight w:val="none"/>
        </w:rPr>
        <w:t xml:space="preserve">苏采云平台获取招标文件，在投标客户端制作投标文件（电子数据），并在投标截止时间之前上传投标文件。</w:t>
      </w:r>
      <w:r/>
    </w:p>
    <w:p>
      <w:pPr>
        <w:numPr>
          <w:ilvl w:val="0"/>
          <w:numId w:val="9"/>
        </w:numPr>
        <w:ind w:left="1" w:firstLine="523"/>
        <w:spacing w:line="360" w:lineRule="auto"/>
        <w:tabs>
          <w:tab w:val="left" w:pos="52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lang w:eastAsia="zh-CN"/>
        </w:rPr>
        <w:t xml:space="preserve">投标人</w:t>
      </w:r>
      <w:r>
        <w:rPr>
          <w:rFonts w:hint="eastAsia" w:ascii="宋体" w:hAnsi="宋体"/>
          <w:bCs/>
          <w:color w:val="auto"/>
          <w:sz w:val="24"/>
          <w:szCs w:val="24"/>
          <w:highlight w:val="none"/>
        </w:rPr>
        <w:t xml:space="preserve">应对CA数字证书妥善保管，如被他人盗用投标，后果自负。</w:t>
      </w:r>
      <w:r/>
    </w:p>
    <w:p>
      <w:pPr>
        <w:numPr>
          <w:ilvl w:val="0"/>
          <w:numId w:val="9"/>
        </w:numPr>
        <w:ind w:left="1" w:firstLine="523"/>
        <w:spacing w:line="360" w:lineRule="auto"/>
        <w:tabs>
          <w:tab w:val="left" w:pos="52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lang w:eastAsia="zh-CN"/>
        </w:rPr>
        <w:t xml:space="preserve">投标人</w:t>
      </w:r>
      <w:r>
        <w:rPr>
          <w:rFonts w:hint="eastAsia" w:ascii="宋体" w:hAnsi="宋体"/>
          <w:bCs/>
          <w:color w:val="auto"/>
          <w:sz w:val="24"/>
          <w:szCs w:val="24"/>
          <w:highlight w:val="none"/>
        </w:rPr>
        <w:t xml:space="preserve">按招标文件规定的网上解密时间进行解密，如未按时解密后果自负。</w:t>
      </w:r>
      <w:r/>
    </w:p>
    <w:p>
      <w:pPr>
        <w:numPr>
          <w:ilvl w:val="0"/>
          <w:numId w:val="9"/>
        </w:numPr>
        <w:ind w:left="1" w:firstLine="523"/>
        <w:spacing w:line="360" w:lineRule="auto"/>
        <w:tabs>
          <w:tab w:val="left" w:pos="52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lang w:eastAsia="zh-CN"/>
        </w:rPr>
        <w:t xml:space="preserve">投标人</w:t>
      </w:r>
      <w:r>
        <w:rPr>
          <w:rFonts w:hint="eastAsia" w:ascii="宋体" w:hAnsi="宋体"/>
          <w:bCs/>
          <w:color w:val="auto"/>
          <w:sz w:val="24"/>
          <w:szCs w:val="24"/>
          <w:highlight w:val="none"/>
        </w:rPr>
        <w:t xml:space="preserve">应当对招标文件提出的要求和条件作出实质性响应，并在电子投标系统逐条应答。</w:t>
      </w:r>
      <w:r/>
    </w:p>
    <w:p>
      <w:pPr>
        <w:numPr>
          <w:ilvl w:val="0"/>
          <w:numId w:val="9"/>
        </w:numPr>
        <w:ind w:left="1" w:firstLine="523"/>
        <w:spacing w:line="360" w:lineRule="auto"/>
        <w:tabs>
          <w:tab w:val="left" w:pos="52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lang w:eastAsia="zh-CN"/>
        </w:rPr>
        <w:t xml:space="preserve">投标人</w:t>
      </w:r>
      <w:r>
        <w:rPr>
          <w:rFonts w:hint="eastAsia" w:ascii="宋体" w:hAnsi="宋体"/>
          <w:bCs/>
          <w:color w:val="auto"/>
          <w:sz w:val="24"/>
          <w:szCs w:val="24"/>
          <w:highlight w:val="none"/>
        </w:rPr>
        <w:t xml:space="preserve">应对要求提供的资格证明文件（如资质证书、资格证书）、技术资料（如白皮书、彩页、手册、检测报告等）扫描上传至投标系统。</w:t>
      </w:r>
      <w:r/>
    </w:p>
    <w:p>
      <w:pPr>
        <w:numPr>
          <w:ilvl w:val="0"/>
          <w:numId w:val="9"/>
        </w:numPr>
        <w:ind w:left="1" w:firstLine="523"/>
        <w:spacing w:line="360" w:lineRule="auto"/>
        <w:tabs>
          <w:tab w:val="left" w:pos="52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lang w:eastAsia="zh-CN"/>
        </w:rPr>
        <w:t xml:space="preserve">投标人</w:t>
      </w:r>
      <w:r>
        <w:rPr>
          <w:rFonts w:hint="eastAsia" w:ascii="宋体" w:hAnsi="宋体"/>
          <w:bCs/>
          <w:color w:val="auto"/>
          <w:sz w:val="24"/>
          <w:szCs w:val="24"/>
          <w:highlight w:val="none"/>
        </w:rPr>
        <w:t xml:space="preserve">进行网上投标请参照《政府采购项目电子交易管理操作指南-供应商》。</w:t>
      </w:r>
      <w:r/>
    </w:p>
    <w:p>
      <w:pPr>
        <w:numPr>
          <w:ilvl w:val="0"/>
          <w:numId w:val="9"/>
        </w:numPr>
        <w:ind w:left="1" w:firstLine="523"/>
        <w:spacing w:line="360" w:lineRule="auto"/>
        <w:tabs>
          <w:tab w:val="left" w:pos="52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因</w:t>
      </w:r>
      <w:r>
        <w:rPr>
          <w:rFonts w:hint="eastAsia" w:ascii="宋体" w:hAnsi="宋体"/>
          <w:bCs/>
          <w:color w:val="auto"/>
          <w:sz w:val="24"/>
          <w:szCs w:val="24"/>
          <w:highlight w:val="none"/>
          <w:lang w:eastAsia="zh-CN"/>
        </w:rPr>
        <w:t xml:space="preserve">投标人</w:t>
      </w:r>
      <w:r>
        <w:rPr>
          <w:rFonts w:hint="eastAsia" w:ascii="宋体" w:hAnsi="宋体"/>
          <w:bCs/>
          <w:color w:val="auto"/>
          <w:sz w:val="24"/>
          <w:szCs w:val="24"/>
          <w:highlight w:val="none"/>
        </w:rPr>
        <w:t xml:space="preserve">原因造成投标文件未解密的，视为撤销其投标文件，部分投标文件未解密的，其他投标文件的开标可以继续进行。</w:t>
      </w:r>
      <w:r/>
    </w:p>
    <w:p>
      <w:pPr>
        <w:ind w:firstLine="480"/>
        <w:spacing w:line="360" w:lineRule="auto"/>
        <w:tabs>
          <w:tab w:val="left" w:pos="945" w:leader="none"/>
        </w:tabs>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t xml:space="preserve">（九）无效投标文件的确认：</w:t>
      </w:r>
      <w:r/>
    </w:p>
    <w:p>
      <w:pPr>
        <w:ind w:firstLine="480"/>
        <w:spacing w:line="360" w:lineRule="auto"/>
        <w:tabs>
          <w:tab w:val="left" w:pos="945" w:leader="none"/>
        </w:tabs>
        <w:rPr>
          <w:rFonts w:hint="eastAsia" w:ascii="黑体" w:hAnsi="宋体" w:eastAsia="黑体"/>
          <w:bCs/>
          <w:color w:val="auto"/>
          <w:sz w:val="24"/>
          <w:szCs w:val="24"/>
          <w:highlight w:val="none"/>
        </w:rPr>
      </w:pPr>
      <w:r>
        <w:rPr>
          <w:rFonts w:hint="eastAsia" w:ascii="宋体" w:hAnsi="宋体"/>
          <w:bCs/>
          <w:color w:val="auto"/>
          <w:sz w:val="24"/>
          <w:szCs w:val="24"/>
          <w:highlight w:val="none"/>
        </w:rPr>
        <w:t xml:space="preserve">投标人有下列情况之一者，投标文件无效：</w:t>
      </w:r>
      <w:r/>
    </w:p>
    <w:p>
      <w:pPr>
        <w:numPr>
          <w:ilvl w:val="0"/>
          <w:numId w:val="10"/>
        </w:numPr>
        <w:spacing w:line="360" w:lineRule="auto"/>
        <w:tabs>
          <w:tab w:val="left" w:pos="945" w:leader="none"/>
        </w:tabs>
        <w:rPr>
          <w:rFonts w:ascii="宋体"/>
          <w:bCs/>
          <w:color w:val="auto"/>
          <w:sz w:val="24"/>
          <w:szCs w:val="24"/>
          <w:highlight w:val="none"/>
        </w:rPr>
      </w:pPr>
      <w:r>
        <w:rPr>
          <w:rFonts w:hint="eastAsia" w:ascii="宋体" w:hAnsi="宋体"/>
          <w:color w:val="auto"/>
          <w:sz w:val="24"/>
          <w:szCs w:val="24"/>
          <w:highlight w:val="none"/>
        </w:rPr>
        <w:t xml:space="preserve">未按规定在江苏省政府采购（苏采云）平台注册的；</w:t>
      </w:r>
      <w:r/>
    </w:p>
    <w:p>
      <w:pPr>
        <w:numPr>
          <w:ilvl w:val="0"/>
          <w:numId w:val="10"/>
        </w:numPr>
        <w:ind w:left="1" w:firstLine="523"/>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电子投标文件未按规定期限投标的，纸质投标文件（如有）未按规定的期限、地点送达的；</w:t>
      </w:r>
      <w:r/>
    </w:p>
    <w:p>
      <w:pPr>
        <w:numPr>
          <w:ilvl w:val="0"/>
          <w:numId w:val="10"/>
        </w:numPr>
        <w:ind w:left="1" w:firstLine="523"/>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电子投标文件未按招标文件要求签章的；</w:t>
      </w:r>
      <w:r/>
    </w:p>
    <w:p>
      <w:pPr>
        <w:numPr>
          <w:ilvl w:val="0"/>
          <w:numId w:val="10"/>
        </w:numPr>
        <w:ind w:left="1" w:firstLine="523"/>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投标人未按招标文件要求解密电子投标文件的；</w:t>
      </w:r>
      <w:r/>
    </w:p>
    <w:p>
      <w:pPr>
        <w:numPr>
          <w:ilvl w:val="0"/>
          <w:numId w:val="10"/>
        </w:numPr>
        <w:ind w:left="1" w:firstLine="523"/>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投标人的法定代表人授权代表，无法定代表人授权委托书的；</w:t>
      </w:r>
      <w:r/>
    </w:p>
    <w:p>
      <w:pPr>
        <w:numPr>
          <w:ilvl w:val="0"/>
          <w:numId w:val="10"/>
        </w:numPr>
        <w:ind w:left="1" w:firstLine="523"/>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不具备招标文件中规定的资格要求或未按招标文件规定的要求提供资格、资信证明文件的；</w:t>
      </w:r>
      <w:r/>
    </w:p>
    <w:p>
      <w:pPr>
        <w:numPr>
          <w:ilvl w:val="0"/>
          <w:numId w:val="10"/>
        </w:numPr>
        <w:ind w:left="1" w:firstLine="523"/>
        <w:spacing w:line="360" w:lineRule="auto"/>
        <w:tabs>
          <w:tab w:val="left" w:pos="945" w:leader="none"/>
        </w:tabs>
        <w:rPr>
          <w:rFonts w:ascii="宋体"/>
          <w:bCs/>
          <w:color w:val="auto"/>
          <w:sz w:val="24"/>
          <w:szCs w:val="24"/>
          <w:highlight w:val="none"/>
        </w:rPr>
      </w:pPr>
      <w:r>
        <w:rPr>
          <w:rFonts w:hint="eastAsia" w:ascii="宋体" w:hAnsi="宋体"/>
          <w:color w:val="auto"/>
          <w:sz w:val="24"/>
          <w:szCs w:val="24"/>
          <w:highlight w:val="none"/>
        </w:rPr>
        <w:t xml:space="preserve">被“信用中国”网站（</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Fonts w:hint="eastAsia" w:ascii="宋体" w:hAnsi="宋体"/>
          <w:color w:val="auto"/>
          <w:sz w:val="24"/>
          <w:szCs w:val="24"/>
          <w:highlight w:val="none"/>
        </w:rPr>
        <w:t xml:space="preserve">www.creditchina.gov.cn</w:t>
      </w:r>
      <w:r>
        <w:rPr>
          <w:rFonts w:hint="eastAsia" w:ascii="宋体" w:hAnsi="宋体"/>
          <w:color w:val="auto"/>
          <w:sz w:val="24"/>
          <w:szCs w:val="24"/>
          <w:highlight w:val="none"/>
        </w:rPr>
        <w:fldChar w:fldCharType="end"/>
      </w:r>
      <w:r>
        <w:rPr>
          <w:rFonts w:hint="eastAsia" w:ascii="宋体" w:hAnsi="宋体"/>
          <w:color w:val="auto"/>
          <w:sz w:val="24"/>
          <w:szCs w:val="24"/>
          <w:highlight w:val="none"/>
        </w:rPr>
        <w:t xml:space="preserve">）、中国政府采购网（www.ccgp.gov.cn）列入失信被执行人、重大税收违法案件当事人名单、政府采购严重违法失信行为记录名单的；</w:t>
      </w:r>
      <w:r/>
    </w:p>
    <w:p>
      <w:pPr>
        <w:numPr>
          <w:ilvl w:val="0"/>
          <w:numId w:val="10"/>
        </w:numPr>
        <w:ind w:left="1" w:firstLine="523"/>
        <w:spacing w:line="360" w:lineRule="auto"/>
        <w:tabs>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投标文件未按招标文件规定的内容和要求填写的；没有在投标系统指定位置上传对应文件、材料的；</w:t>
      </w:r>
      <w:r/>
    </w:p>
    <w:p>
      <w:pPr>
        <w:numPr>
          <w:ilvl w:val="0"/>
          <w:numId w:val="10"/>
        </w:numPr>
        <w:ind w:left="1" w:firstLine="523"/>
        <w:spacing w:line="360" w:lineRule="auto"/>
        <w:tabs>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电子投标文件图片、字迹模糊不清、无法辨认的；</w:t>
      </w:r>
      <w:r/>
    </w:p>
    <w:p>
      <w:pPr>
        <w:numPr>
          <w:ilvl w:val="0"/>
          <w:numId w:val="10"/>
        </w:numPr>
        <w:ind w:left="1" w:firstLine="523"/>
        <w:spacing w:line="360" w:lineRule="auto"/>
        <w:tabs>
          <w:tab w:val="left" w:pos="945" w:leader="none"/>
        </w:tabs>
        <w:rPr>
          <w:rFonts w:ascii="宋体"/>
          <w:bCs/>
          <w:color w:val="auto"/>
          <w:sz w:val="24"/>
          <w:szCs w:val="24"/>
          <w:highlight w:val="none"/>
        </w:rPr>
      </w:pPr>
      <w:r>
        <w:rPr>
          <w:rFonts w:hint="eastAsia" w:ascii="宋体"/>
          <w:bCs/>
          <w:color w:val="auto"/>
          <w:sz w:val="24"/>
          <w:szCs w:val="24"/>
          <w:highlight w:val="none"/>
        </w:rPr>
        <w:t xml:space="preserve">电子投标文件中技术文件暗标部分有体现投标人身份的内容；</w:t>
      </w:r>
      <w:r/>
    </w:p>
    <w:p>
      <w:pPr>
        <w:numPr>
          <w:ilvl w:val="0"/>
          <w:numId w:val="10"/>
        </w:numPr>
        <w:ind w:left="1" w:firstLine="523"/>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投标文件中有招标文件未允许提供的选择性内容；</w:t>
      </w:r>
      <w:r/>
    </w:p>
    <w:p>
      <w:pPr>
        <w:numPr>
          <w:ilvl w:val="0"/>
          <w:numId w:val="10"/>
        </w:numPr>
        <w:ind w:left="1" w:firstLine="523"/>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不同投标人委托同一单位或者个人办理投标事宜的；</w:t>
      </w:r>
      <w:r/>
    </w:p>
    <w:p>
      <w:pPr>
        <w:numPr>
          <w:ilvl w:val="0"/>
          <w:numId w:val="10"/>
        </w:numPr>
        <w:ind w:left="1" w:firstLine="523"/>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不同投标人的单位负责人为同一人或者存在直接控股、管理关系的；</w:t>
      </w:r>
      <w:r/>
    </w:p>
    <w:p>
      <w:pPr>
        <w:numPr>
          <w:ilvl w:val="0"/>
          <w:numId w:val="10"/>
        </w:numPr>
        <w:ind w:left="1" w:firstLine="523"/>
        <w:spacing w:line="360" w:lineRule="auto"/>
        <w:tabs>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不同投标人的投标文件的上传形式、目录序号、排版格式、文字风格等存在明显的相似性或一致性，特征显示由同一单位或者同一个人编制的；</w:t>
      </w:r>
      <w:r/>
    </w:p>
    <w:p>
      <w:pPr>
        <w:numPr>
          <w:ilvl w:val="0"/>
          <w:numId w:val="10"/>
        </w:numPr>
        <w:ind w:left="1" w:firstLine="523"/>
        <w:spacing w:line="360" w:lineRule="auto"/>
        <w:tabs>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不同投标</w:t>
      </w:r>
      <w:r>
        <w:rPr>
          <w:rFonts w:hint="eastAsia" w:ascii="宋体" w:hAnsi="宋体"/>
          <w:bCs/>
          <w:color w:val="auto"/>
          <w:sz w:val="24"/>
          <w:szCs w:val="24"/>
          <w:highlight w:val="none"/>
          <w:lang w:eastAsia="zh-CN"/>
        </w:rPr>
        <w:t xml:space="preserve">人的</w:t>
      </w:r>
      <w:r>
        <w:rPr>
          <w:rFonts w:hint="eastAsia" w:ascii="宋体" w:hAnsi="宋体"/>
          <w:bCs/>
          <w:color w:val="auto"/>
          <w:sz w:val="24"/>
          <w:szCs w:val="24"/>
          <w:highlight w:val="none"/>
        </w:rPr>
        <w:t xml:space="preserve">投标文件内容存在非正常一致、项目组成员出现同一人、投标文件中错误（或异常）一致或雷同、电子文档信息一致或雷同的、投标报价呈规律性差异的；</w:t>
      </w:r>
      <w:r/>
    </w:p>
    <w:p>
      <w:pPr>
        <w:numPr>
          <w:ilvl w:val="0"/>
          <w:numId w:val="10"/>
        </w:numPr>
        <w:ind w:left="1" w:firstLine="523"/>
        <w:spacing w:line="360" w:lineRule="auto"/>
        <w:tabs>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不同投标人的投标资料相互混装、不同投标人的委托代理人、项目负责人以及其他相关人员有在同一个单位缴纳社会保险、同一投标文件</w:t>
      </w:r>
      <w:r>
        <w:rPr>
          <w:rFonts w:hint="eastAsia" w:ascii="宋体" w:hAnsi="宋体"/>
          <w:bCs/>
          <w:color w:val="auto"/>
          <w:sz w:val="24"/>
          <w:szCs w:val="24"/>
          <w:highlight w:val="none"/>
          <w:lang w:eastAsia="zh-CN"/>
        </w:rPr>
        <w:t xml:space="preserve">中的</w:t>
      </w:r>
      <w:r>
        <w:rPr>
          <w:rFonts w:hint="eastAsia" w:ascii="宋体" w:hAnsi="宋体"/>
          <w:bCs/>
          <w:color w:val="auto"/>
          <w:sz w:val="24"/>
          <w:szCs w:val="24"/>
          <w:highlight w:val="none"/>
        </w:rPr>
        <w:t xml:space="preserve">单位名称落款与公章不是同一单位的；</w:t>
      </w:r>
      <w:r/>
    </w:p>
    <w:p>
      <w:pPr>
        <w:numPr>
          <w:ilvl w:val="0"/>
          <w:numId w:val="10"/>
        </w:numPr>
        <w:ind w:left="1" w:firstLine="523"/>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项目（标段）投标总价超过本项目（标段）预算或最高限价的；</w:t>
      </w:r>
      <w:r/>
    </w:p>
    <w:p>
      <w:pPr>
        <w:numPr>
          <w:ilvl w:val="0"/>
          <w:numId w:val="10"/>
        </w:numPr>
        <w:ind w:left="1" w:firstLine="523"/>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提供虚假材料的（包括工商营业执照、财务报表、资格证明文件等）；</w:t>
      </w:r>
      <w:r/>
    </w:p>
    <w:p>
      <w:pPr>
        <w:numPr>
          <w:ilvl w:val="0"/>
          <w:numId w:val="10"/>
        </w:numPr>
        <w:ind w:left="1" w:firstLine="523"/>
        <w:spacing w:line="360" w:lineRule="auto"/>
        <w:tabs>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投标文件含有采购人不能接受的附加条件的；</w:t>
      </w:r>
      <w:r/>
    </w:p>
    <w:p>
      <w:pPr>
        <w:numPr>
          <w:ilvl w:val="0"/>
          <w:numId w:val="10"/>
        </w:numPr>
        <w:ind w:left="1" w:firstLine="523"/>
        <w:spacing w:line="360" w:lineRule="auto"/>
        <w:tabs>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评标委员会认定投标人的报价明显低于其他通过符合性审查的投标人的报价，有可能影响产品质量或者不能诚信履约，且投标人不能应评标委员会要求在评标现场合理的时间内提供书面说明（必要时评标委员会</w:t>
      </w:r>
      <w:r>
        <w:rPr>
          <w:rFonts w:hint="eastAsia" w:ascii="宋体" w:hAnsi="宋体"/>
          <w:bCs/>
          <w:color w:val="auto"/>
          <w:sz w:val="24"/>
          <w:szCs w:val="24"/>
          <w:highlight w:val="none"/>
          <w:lang w:eastAsia="zh-CN"/>
        </w:rPr>
        <w:t xml:space="preserve">可以</w:t>
      </w:r>
      <w:r>
        <w:rPr>
          <w:rFonts w:hint="eastAsia" w:ascii="宋体" w:hAnsi="宋体"/>
          <w:bCs/>
          <w:color w:val="auto"/>
          <w:sz w:val="24"/>
          <w:szCs w:val="24"/>
          <w:highlight w:val="none"/>
        </w:rPr>
        <w:t xml:space="preserve">要求投标人提交相关证明材料）证明其报价合理性的；</w:t>
      </w:r>
      <w:r/>
    </w:p>
    <w:p>
      <w:pPr>
        <w:numPr>
          <w:ilvl w:val="0"/>
          <w:numId w:val="10"/>
        </w:numPr>
        <w:ind w:left="1" w:firstLine="523"/>
        <w:spacing w:line="360" w:lineRule="auto"/>
        <w:tabs>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除单一来源采购项目外，为采购项目提供整体设计、规范编制或者项目管理、监理、检测等服务的；</w:t>
      </w:r>
      <w:r/>
    </w:p>
    <w:p>
      <w:pPr>
        <w:numPr>
          <w:ilvl w:val="0"/>
          <w:numId w:val="10"/>
        </w:numPr>
        <w:ind w:left="1" w:firstLine="523"/>
        <w:spacing w:line="360" w:lineRule="auto"/>
        <w:tabs>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投标文件内容不全或不符合招标文件中规定的其他实质性要求的；</w:t>
      </w:r>
      <w:r/>
    </w:p>
    <w:p>
      <w:pPr>
        <w:numPr>
          <w:ilvl w:val="0"/>
          <w:numId w:val="10"/>
        </w:numPr>
        <w:ind w:left="1" w:firstLine="523"/>
        <w:spacing w:line="360" w:lineRule="auto"/>
        <w:tabs>
          <w:tab w:val="left" w:pos="945" w:leader="none"/>
        </w:tabs>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技术方案应当合理编写内容，页数范围控制在200页内，超出该范围作无效标处理。</w:t>
      </w:r>
      <w:r/>
    </w:p>
    <w:p>
      <w:pPr>
        <w:numPr>
          <w:ilvl w:val="0"/>
          <w:numId w:val="10"/>
        </w:numPr>
        <w:ind w:left="1" w:firstLine="523"/>
        <w:spacing w:line="360" w:lineRule="auto"/>
        <w:tabs>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法律法规和招标文件规定的其他无效情形。</w:t>
      </w:r>
      <w:r/>
    </w:p>
    <w:p>
      <w:pPr>
        <w:ind w:firstLine="480"/>
        <w:spacing w:line="360" w:lineRule="auto"/>
        <w:tabs>
          <w:tab w:val="left" w:pos="945" w:leader="none"/>
        </w:tabs>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t xml:space="preserve">（十）开标、评标：</w:t>
      </w:r>
      <w:r/>
    </w:p>
    <w:p>
      <w:pPr>
        <w:numPr>
          <w:ilvl w:val="1"/>
          <w:numId w:val="11"/>
        </w:numPr>
        <w:ind w:left="1" w:firstLine="523"/>
        <w:spacing w:line="360" w:lineRule="auto"/>
        <w:tabs>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所有投标单位在招标文件规定的时间内解密各自投标文件；</w:t>
      </w:r>
      <w:r/>
    </w:p>
    <w:p>
      <w:pPr>
        <w:numPr>
          <w:ilvl w:val="1"/>
          <w:numId w:val="11"/>
        </w:numPr>
        <w:ind w:left="1" w:firstLine="523"/>
        <w:spacing w:line="360" w:lineRule="auto"/>
        <w:tabs>
          <w:tab w:val="left" w:pos="52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投标截止时间后参加投标的供应商或解密投标文件的供应商不足三家的，不开标；开标后，所有</w:t>
      </w:r>
      <w:r>
        <w:rPr>
          <w:rFonts w:hint="eastAsia" w:ascii="宋体" w:hAnsi="宋体"/>
          <w:bCs/>
          <w:color w:val="auto"/>
          <w:sz w:val="24"/>
          <w:szCs w:val="24"/>
          <w:highlight w:val="none"/>
          <w:lang w:eastAsia="zh-CN"/>
        </w:rPr>
        <w:t xml:space="preserve">投标人</w:t>
      </w:r>
      <w:r>
        <w:rPr>
          <w:rFonts w:hint="eastAsia" w:ascii="宋体" w:hAnsi="宋体"/>
          <w:bCs/>
          <w:color w:val="auto"/>
          <w:sz w:val="24"/>
          <w:szCs w:val="24"/>
          <w:highlight w:val="none"/>
        </w:rPr>
        <w:t xml:space="preserve">可在线上开标大厅中看到所有投标人的投标报价；</w:t>
      </w:r>
      <w:r/>
    </w:p>
    <w:p>
      <w:pPr>
        <w:numPr>
          <w:ilvl w:val="1"/>
          <w:numId w:val="11"/>
        </w:numPr>
        <w:ind w:left="1" w:firstLine="523"/>
        <w:spacing w:line="360" w:lineRule="auto"/>
        <w:tabs>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开标时，投标文件</w:t>
      </w:r>
      <w:r>
        <w:rPr>
          <w:rFonts w:ascii="宋体" w:hAnsi="宋体"/>
          <w:bCs/>
          <w:color w:val="auto"/>
          <w:sz w:val="24"/>
          <w:szCs w:val="24"/>
          <w:highlight w:val="none"/>
        </w:rPr>
        <w:t xml:space="preserve">报价出现前后不一致的，按照下列规定修正：</w:t>
      </w:r>
      <w:r/>
    </w:p>
    <w:p>
      <w:pPr>
        <w:ind w:firstLine="480"/>
        <w:spacing w:line="360" w:lineRule="auto"/>
        <w:tabs>
          <w:tab w:val="left" w:pos="630" w:leader="none"/>
          <w:tab w:val="left" w:pos="945" w:leader="none"/>
          <w:tab w:val="left" w:pos="1155" w:leader="none"/>
          <w:tab w:val="left" w:pos="1554"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（一）</w:t>
      </w:r>
      <w:r>
        <w:rPr>
          <w:rFonts w:ascii="宋体" w:hAnsi="宋体"/>
          <w:bCs/>
          <w:color w:val="auto"/>
          <w:sz w:val="24"/>
          <w:szCs w:val="24"/>
          <w:highlight w:val="none"/>
        </w:rPr>
        <w:t xml:space="preserve">投标文件中开标一览表（报价表）内容与投标文件中相应内容不一致的，以开标一览表（报价表）为准；</w:t>
      </w:r>
      <w:r/>
    </w:p>
    <w:p>
      <w:pPr>
        <w:ind w:firstLine="480"/>
        <w:spacing w:line="360" w:lineRule="auto"/>
        <w:tabs>
          <w:tab w:val="left" w:pos="630" w:leader="none"/>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（二）</w:t>
      </w:r>
      <w:r>
        <w:rPr>
          <w:rFonts w:ascii="宋体" w:hAnsi="宋体"/>
          <w:bCs/>
          <w:color w:val="auto"/>
          <w:sz w:val="24"/>
          <w:szCs w:val="24"/>
          <w:highlight w:val="none"/>
        </w:rPr>
        <w:t xml:space="preserve">大写金额和小写金额不一致的，以大写金额为准；</w:t>
      </w:r>
      <w:r/>
    </w:p>
    <w:p>
      <w:pPr>
        <w:ind w:firstLine="480"/>
        <w:spacing w:line="360" w:lineRule="auto"/>
        <w:tabs>
          <w:tab w:val="left" w:pos="630" w:leader="none"/>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（三）</w:t>
      </w:r>
      <w:r>
        <w:rPr>
          <w:rFonts w:ascii="宋体" w:hAnsi="宋体"/>
          <w:bCs/>
          <w:color w:val="auto"/>
          <w:sz w:val="24"/>
          <w:szCs w:val="24"/>
          <w:highlight w:val="none"/>
        </w:rPr>
        <w:t xml:space="preserve">单价金额小数点或者百分比有明显错位的，以开标一览表的总价为准，并修改单价；</w:t>
      </w:r>
      <w:r/>
    </w:p>
    <w:p>
      <w:pPr>
        <w:ind w:firstLine="480"/>
        <w:spacing w:line="360" w:lineRule="auto"/>
        <w:tabs>
          <w:tab w:val="left" w:pos="630" w:leader="none"/>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（四）</w:t>
      </w:r>
      <w:r>
        <w:rPr>
          <w:rFonts w:ascii="宋体" w:hAnsi="宋体"/>
          <w:bCs/>
          <w:color w:val="auto"/>
          <w:sz w:val="24"/>
          <w:szCs w:val="24"/>
          <w:highlight w:val="none"/>
        </w:rPr>
        <w:t xml:space="preserve">总价金额与按单价汇总金额不一致的，以单价金额计算结果为准。</w:t>
      </w:r>
      <w:r/>
    </w:p>
    <w:p>
      <w:pPr>
        <w:ind w:firstLine="480"/>
        <w:spacing w:line="360" w:lineRule="auto"/>
        <w:tabs>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同时出现两种以上不一致的，按照前款规定的顺序修正。修正后的报价</w:t>
      </w:r>
      <w:r>
        <w:rPr>
          <w:rFonts w:hint="eastAsia" w:ascii="宋体" w:hAnsi="宋体"/>
          <w:bCs/>
          <w:color w:val="auto"/>
          <w:sz w:val="24"/>
          <w:szCs w:val="24"/>
          <w:highlight w:val="none"/>
        </w:rPr>
        <w:t xml:space="preserve">评标委员会</w:t>
      </w:r>
      <w:r>
        <w:rPr>
          <w:rFonts w:ascii="宋体" w:hAnsi="宋体"/>
          <w:bCs/>
          <w:color w:val="auto"/>
          <w:sz w:val="24"/>
          <w:szCs w:val="24"/>
          <w:highlight w:val="none"/>
        </w:rPr>
        <w:t xml:space="preserve">应当以书面形式要求</w:t>
      </w:r>
      <w:r>
        <w:rPr>
          <w:rFonts w:hint="eastAsia" w:ascii="宋体" w:hAnsi="宋体"/>
          <w:bCs/>
          <w:color w:val="auto"/>
          <w:sz w:val="24"/>
          <w:szCs w:val="24"/>
          <w:highlight w:val="none"/>
        </w:rPr>
        <w:t xml:space="preserve">投标</w:t>
      </w:r>
      <w:r>
        <w:rPr>
          <w:rFonts w:ascii="宋体" w:hAnsi="宋体"/>
          <w:bCs/>
          <w:color w:val="auto"/>
          <w:sz w:val="24"/>
          <w:szCs w:val="24"/>
          <w:highlight w:val="none"/>
        </w:rPr>
        <w:t xml:space="preserve">人作出必要的澄清、说明或者补正</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经投标人确认后产生约束力，投标人不确认的，其投标无效</w:t>
      </w:r>
      <w:r>
        <w:rPr>
          <w:rFonts w:hint="eastAsia" w:ascii="宋体" w:hAnsi="宋体"/>
          <w:bCs/>
          <w:color w:val="auto"/>
          <w:sz w:val="24"/>
          <w:szCs w:val="24"/>
          <w:highlight w:val="none"/>
        </w:rPr>
        <w:t xml:space="preserve">。</w:t>
      </w:r>
      <w:r/>
    </w:p>
    <w:p>
      <w:pPr>
        <w:numPr>
          <w:ilvl w:val="1"/>
          <w:numId w:val="11"/>
        </w:numPr>
        <w:ind w:left="1" w:firstLine="523"/>
        <w:spacing w:line="360" w:lineRule="auto"/>
        <w:tabs>
          <w:tab w:val="left" w:pos="52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电子投标文件与纸质投标文件（如有）不符的，以电子投标文件为准。</w:t>
      </w:r>
      <w:r/>
    </w:p>
    <w:p>
      <w:pPr>
        <w:numPr>
          <w:ilvl w:val="1"/>
          <w:numId w:val="11"/>
        </w:numPr>
        <w:ind w:left="1" w:firstLine="523"/>
        <w:spacing w:line="360" w:lineRule="auto"/>
        <w:tabs>
          <w:tab w:val="left" w:pos="52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投标人未参加开标的，视同认可开标结果。</w:t>
      </w:r>
      <w:r/>
    </w:p>
    <w:p>
      <w:pPr>
        <w:numPr>
          <w:ilvl w:val="1"/>
          <w:numId w:val="11"/>
        </w:numPr>
        <w:ind w:left="1" w:firstLine="523"/>
        <w:spacing w:line="360" w:lineRule="auto"/>
        <w:tabs>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评标程序</w:t>
      </w:r>
      <w:r/>
    </w:p>
    <w:p>
      <w:pPr>
        <w:ind w:firstLine="523"/>
        <w:spacing w:line="360" w:lineRule="auto"/>
        <w:tabs>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评标工作由</w:t>
      </w:r>
      <w:r>
        <w:rPr>
          <w:rFonts w:hint="eastAsia" w:ascii="宋体" w:hAnsi="宋体"/>
          <w:bCs/>
          <w:color w:val="auto"/>
          <w:sz w:val="24"/>
          <w:szCs w:val="24"/>
          <w:highlight w:val="none"/>
          <w:lang w:eastAsia="zh-CN"/>
        </w:rPr>
        <w:t xml:space="preserve">江苏君安工程管理咨询有限公司</w:t>
      </w:r>
      <w:r>
        <w:rPr>
          <w:rFonts w:hint="eastAsia" w:ascii="宋体" w:hAnsi="宋体"/>
          <w:bCs/>
          <w:color w:val="auto"/>
          <w:sz w:val="24"/>
          <w:szCs w:val="24"/>
          <w:highlight w:val="none"/>
        </w:rPr>
        <w:t xml:space="preserve">负责组织，具体评标事务由依法组建的评标委员会负责。</w:t>
      </w:r>
      <w:r/>
    </w:p>
    <w:p>
      <w:pPr>
        <w:numPr>
          <w:ilvl w:val="0"/>
          <w:numId w:val="12"/>
        </w:numPr>
        <w:ind w:left="0" w:firstLine="523"/>
        <w:spacing w:line="360" w:lineRule="auto"/>
        <w:tabs>
          <w:tab w:val="left" w:pos="630" w:leader="none"/>
          <w:tab w:val="left" w:pos="945" w:leader="none"/>
          <w:tab w:val="left" w:pos="1155"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投标文件初审。初审分为资格性检查和符合性检查。</w:t>
      </w:r>
      <w:r/>
    </w:p>
    <w:p>
      <w:pPr>
        <w:ind w:firstLine="523"/>
        <w:spacing w:line="360" w:lineRule="auto"/>
        <w:tabs>
          <w:tab w:val="left" w:pos="525" w:leader="none"/>
          <w:tab w:val="left" w:pos="630" w:leader="none"/>
          <w:tab w:val="left" w:pos="945" w:leader="none"/>
          <w:tab w:val="left" w:pos="1365" w:leader="none"/>
        </w:tabs>
        <w:rPr>
          <w:rFonts w:hint="eastAsia" w:ascii="宋体" w:hAnsi="宋体" w:cs="宋体"/>
          <w:bCs/>
          <w:color w:val="auto"/>
          <w:sz w:val="24"/>
          <w:szCs w:val="24"/>
          <w:highlight w:val="none"/>
        </w:rPr>
      </w:pPr>
      <w:r>
        <w:rPr>
          <w:rFonts w:hint="eastAsia" w:ascii="宋体" w:hAnsi="宋体"/>
          <w:bCs/>
          <w:color w:val="auto"/>
          <w:sz w:val="24"/>
          <w:szCs w:val="24"/>
          <w:highlight w:val="none"/>
        </w:rPr>
        <w:t xml:space="preserve">①</w:t>
      </w:r>
      <w:r>
        <w:rPr>
          <w:rFonts w:hint="eastAsia" w:ascii="宋体" w:hAnsi="宋体" w:cs="宋体"/>
          <w:bCs/>
          <w:color w:val="auto"/>
          <w:sz w:val="24"/>
          <w:szCs w:val="24"/>
          <w:highlight w:val="none"/>
        </w:rPr>
        <w:t xml:space="preserve">资格性检查。采购人和代理机构依据法律法规和招标文件的规定，对投标文件中的资格证明、投标（报价）承诺函等进行审查；通过“信用中国”网站（</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Fonts w:hint="eastAsia" w:ascii="宋体" w:hAnsi="宋体" w:cs="宋体"/>
          <w:bCs/>
          <w:color w:val="auto"/>
          <w:sz w:val="24"/>
          <w:szCs w:val="24"/>
          <w:highlight w:val="none"/>
        </w:rPr>
        <w:t xml:space="preserve">www.creditchina.gov.cn</w:t>
      </w:r>
      <w:r>
        <w:rPr>
          <w:rFonts w:hint="eastAsia" w:ascii="宋体" w:hAnsi="宋体" w:cs="宋体"/>
          <w:bCs/>
          <w:color w:val="auto"/>
          <w:sz w:val="24"/>
          <w:szCs w:val="24"/>
          <w:highlight w:val="none"/>
        </w:rPr>
        <w:fldChar w:fldCharType="end"/>
      </w:r>
      <w:r>
        <w:rPr>
          <w:rFonts w:hint="eastAsia" w:ascii="宋体" w:hAnsi="宋体" w:cs="宋体"/>
          <w:bCs/>
          <w:color w:val="auto"/>
          <w:sz w:val="24"/>
          <w:szCs w:val="24"/>
          <w:highlight w:val="none"/>
        </w:rPr>
        <w:t xml:space="preserve">）、</w:t>
      </w:r>
      <w:r>
        <w:rPr>
          <w:rFonts w:hint="eastAsia" w:ascii="宋体" w:hAnsi="宋体" w:cs="宋体"/>
          <w:color w:val="auto"/>
          <w:sz w:val="24"/>
          <w:szCs w:val="24"/>
          <w:highlight w:val="none"/>
        </w:rPr>
        <w:t xml:space="preserve">中国政府采购网（www.ccgp.gov.cn）</w:t>
      </w:r>
      <w:r>
        <w:rPr>
          <w:rFonts w:hint="eastAsia" w:ascii="宋体" w:hAnsi="宋体" w:cs="宋体"/>
          <w:bCs/>
          <w:color w:val="auto"/>
          <w:sz w:val="24"/>
          <w:szCs w:val="24"/>
          <w:highlight w:val="none"/>
        </w:rPr>
        <w:t xml:space="preserve">查询</w:t>
      </w:r>
      <w:r>
        <w:rPr>
          <w:rFonts w:hint="eastAsia" w:ascii="宋体" w:hAnsi="宋体" w:cs="宋体"/>
          <w:bCs/>
          <w:color w:val="auto"/>
          <w:sz w:val="24"/>
          <w:szCs w:val="24"/>
          <w:highlight w:val="none"/>
          <w:lang w:eastAsia="zh-CN"/>
        </w:rPr>
        <w:t xml:space="preserve">投标人</w:t>
      </w:r>
      <w:r>
        <w:rPr>
          <w:rFonts w:hint="eastAsia" w:ascii="宋体" w:hAnsi="宋体" w:cs="宋体"/>
          <w:bCs/>
          <w:color w:val="auto"/>
          <w:sz w:val="24"/>
          <w:szCs w:val="24"/>
          <w:highlight w:val="none"/>
        </w:rPr>
        <w:t xml:space="preserve">在投标截止时间之前，是否被列入</w:t>
      </w:r>
      <w:r>
        <w:rPr>
          <w:rFonts w:hint="eastAsia" w:ascii="宋体" w:hAnsi="宋体" w:cs="宋体"/>
          <w:color w:val="auto"/>
          <w:sz w:val="24"/>
          <w:szCs w:val="24"/>
          <w:highlight w:val="none"/>
        </w:rPr>
        <w:t xml:space="preserve">失信被执行人、重大税收违法案件当事人名单、政府采购严重违法失信行为记录名单，</w:t>
      </w:r>
      <w:r>
        <w:rPr>
          <w:rFonts w:hint="eastAsia" w:ascii="宋体" w:hAnsi="宋体" w:cs="宋体"/>
          <w:bCs/>
          <w:color w:val="auto"/>
          <w:sz w:val="24"/>
          <w:szCs w:val="24"/>
          <w:highlight w:val="none"/>
        </w:rPr>
        <w:t xml:space="preserve">以确定</w:t>
      </w:r>
      <w:r>
        <w:rPr>
          <w:rFonts w:hint="eastAsia" w:ascii="宋体" w:hAnsi="宋体" w:cs="宋体"/>
          <w:bCs/>
          <w:color w:val="auto"/>
          <w:sz w:val="24"/>
          <w:szCs w:val="24"/>
          <w:highlight w:val="none"/>
          <w:lang w:eastAsia="zh-CN"/>
        </w:rPr>
        <w:t xml:space="preserve">投标人</w:t>
      </w:r>
      <w:r>
        <w:rPr>
          <w:rFonts w:hint="eastAsia" w:ascii="宋体" w:hAnsi="宋体" w:cs="宋体"/>
          <w:bCs/>
          <w:color w:val="auto"/>
          <w:sz w:val="24"/>
          <w:szCs w:val="24"/>
          <w:highlight w:val="none"/>
        </w:rPr>
        <w:t xml:space="preserve">是否具备投标资格。信用</w:t>
      </w:r>
      <w:r>
        <w:rPr>
          <w:rFonts w:hint="eastAsia" w:ascii="宋体" w:hAnsi="宋体" w:cs="宋体"/>
          <w:color w:val="auto"/>
          <w:sz w:val="24"/>
          <w:szCs w:val="24"/>
          <w:highlight w:val="none"/>
        </w:rPr>
        <w:t xml:space="preserve">查询结果以网页打印的形式留存并归档。</w:t>
      </w:r>
      <w:r/>
    </w:p>
    <w:p>
      <w:pPr>
        <w:ind w:firstLine="523"/>
        <w:spacing w:line="360" w:lineRule="auto"/>
        <w:tabs>
          <w:tab w:val="left" w:pos="525" w:leader="none"/>
          <w:tab w:val="left" w:pos="630" w:leader="none"/>
          <w:tab w:val="left" w:pos="945" w:leader="none"/>
          <w:tab w:val="left" w:pos="1365" w:leader="none"/>
        </w:tabs>
        <w:rPr>
          <w:rFonts w:hint="eastAsia" w:ascii="宋体" w:hAnsi="宋体" w:cs="宋体"/>
          <w:bCs/>
          <w:color w:val="auto"/>
          <w:sz w:val="24"/>
          <w:szCs w:val="24"/>
          <w:highlight w:val="none"/>
        </w:rPr>
      </w:pPr>
      <w:r>
        <w:rPr>
          <w:rFonts w:hint="eastAsia" w:ascii="宋体" w:hAnsi="宋体"/>
          <w:bCs/>
          <w:color w:val="auto"/>
          <w:sz w:val="24"/>
          <w:szCs w:val="24"/>
          <w:highlight w:val="none"/>
        </w:rPr>
        <w:t xml:space="preserve">②</w:t>
      </w:r>
      <w:r>
        <w:rPr>
          <w:rFonts w:hint="eastAsia" w:ascii="宋体" w:hAnsi="宋体" w:cs="宋体"/>
          <w:bCs/>
          <w:color w:val="auto"/>
          <w:sz w:val="24"/>
          <w:szCs w:val="24"/>
          <w:highlight w:val="none"/>
        </w:rPr>
        <w:t xml:space="preserve">符合性检查。评标委员会依据招标文件的规定，从投标文件的有效性、完整性和对招标文件的响应程度进行审查，以确定是否对招标文件的实质性要求作出响应。</w:t>
      </w:r>
      <w:r/>
    </w:p>
    <w:p>
      <w:pPr>
        <w:numPr>
          <w:ilvl w:val="0"/>
          <w:numId w:val="12"/>
        </w:numPr>
        <w:ind w:left="0" w:firstLine="523"/>
        <w:spacing w:line="360" w:lineRule="auto"/>
        <w:tabs>
          <w:tab w:val="left" w:pos="525" w:leader="none"/>
          <w:tab w:val="left" w:pos="945" w:leader="none"/>
          <w:tab w:val="left" w:pos="1155" w:leader="none"/>
        </w:tabs>
        <w:rPr>
          <w:rFonts w:hint="eastAsia" w:ascii="宋体" w:hAnsi="宋体"/>
          <w:bCs/>
          <w:color w:val="auto"/>
          <w:sz w:val="24"/>
          <w:szCs w:val="24"/>
          <w:highlight w:val="none"/>
        </w:rPr>
      </w:pPr>
      <w:r>
        <w:rPr>
          <w:rFonts w:hint="eastAsia" w:ascii="宋体" w:hAnsi="宋体" w:cs="宋体"/>
          <w:bCs/>
          <w:color w:val="auto"/>
          <w:sz w:val="24"/>
          <w:szCs w:val="24"/>
          <w:highlight w:val="none"/>
        </w:rPr>
        <w:t xml:space="preserve">澄清有关问题。对投标文件中含义不明确、同类问题表述不一致或者有明显文字和计算错误的内容，评标委员会可以通过政府采购交易管理一体化系统发起询标要求投标人作出必要的澄清、说明或者纠正。投标人的澄清、说明或</w:t>
      </w:r>
      <w:r>
        <w:rPr>
          <w:rFonts w:ascii="宋体" w:hAnsi="宋体"/>
          <w:bCs/>
          <w:color w:val="auto"/>
          <w:sz w:val="24"/>
          <w:szCs w:val="24"/>
          <w:highlight w:val="none"/>
        </w:rPr>
        <w:t xml:space="preserve">者补正应当</w:t>
      </w:r>
      <w:r>
        <w:rPr>
          <w:rFonts w:hint="eastAsia" w:ascii="宋体" w:hAnsi="宋体"/>
          <w:bCs/>
          <w:color w:val="auto"/>
          <w:sz w:val="24"/>
          <w:szCs w:val="24"/>
          <w:highlight w:val="none"/>
        </w:rPr>
        <w:t xml:space="preserve">通过政府采购交易管理一体化系统</w:t>
      </w:r>
      <w:r>
        <w:rPr>
          <w:rFonts w:ascii="宋体" w:hAnsi="宋体"/>
          <w:bCs/>
          <w:color w:val="auto"/>
          <w:sz w:val="24"/>
          <w:szCs w:val="24"/>
          <w:highlight w:val="none"/>
        </w:rPr>
        <w:t xml:space="preserve">，由其授权的代表</w:t>
      </w:r>
      <w:r>
        <w:rPr>
          <w:rFonts w:hint="eastAsia" w:ascii="宋体" w:hAnsi="宋体"/>
          <w:bCs/>
          <w:color w:val="auto"/>
          <w:sz w:val="24"/>
          <w:szCs w:val="24"/>
          <w:highlight w:val="none"/>
        </w:rPr>
        <w:t xml:space="preserve">应答并加盖电子公章，且不得超出投标文件的范围或者改变投标文件的实质性内容。</w:t>
      </w:r>
      <w:r/>
    </w:p>
    <w:p>
      <w:pPr>
        <w:numPr>
          <w:ilvl w:val="0"/>
          <w:numId w:val="12"/>
        </w:numPr>
        <w:ind w:left="0" w:firstLine="523"/>
        <w:spacing w:line="360" w:lineRule="auto"/>
        <w:tabs>
          <w:tab w:val="left" w:pos="945" w:leader="none"/>
          <w:tab w:val="left" w:pos="1155" w:leader="none"/>
          <w:tab w:val="left" w:pos="1365" w:leader="none"/>
        </w:tabs>
        <w:rPr>
          <w:rFonts w:ascii="宋体"/>
          <w:bCs/>
          <w:color w:val="auto"/>
          <w:sz w:val="24"/>
          <w:szCs w:val="24"/>
          <w:highlight w:val="none"/>
        </w:rPr>
      </w:pPr>
      <w:r>
        <w:rPr>
          <w:rFonts w:hint="eastAsia" w:ascii="宋体" w:hAnsi="宋体"/>
          <w:bCs/>
          <w:color w:val="auto"/>
          <w:sz w:val="24"/>
          <w:highlight w:val="none"/>
        </w:rPr>
        <w:t xml:space="preserve">比较与评价。按招标文件中规定的评标方法和标准，对资格性检查和符合性检查合格的投标文件进行商务和技术评估，综合比较与评价</w:t>
      </w:r>
      <w:r>
        <w:rPr>
          <w:rFonts w:hint="eastAsia" w:ascii="宋体" w:hAnsi="宋体"/>
          <w:bCs/>
          <w:color w:val="auto"/>
          <w:sz w:val="24"/>
          <w:szCs w:val="24"/>
          <w:highlight w:val="none"/>
        </w:rPr>
        <w:t xml:space="preserve">。</w:t>
      </w:r>
      <w:r/>
    </w:p>
    <w:p>
      <w:pPr>
        <w:numPr>
          <w:ilvl w:val="1"/>
          <w:numId w:val="11"/>
        </w:numPr>
        <w:ind w:left="1" w:firstLine="523"/>
        <w:spacing w:line="360" w:lineRule="auto"/>
        <w:tabs>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评标方法</w:t>
      </w:r>
      <w:r/>
    </w:p>
    <w:p>
      <w:pPr>
        <w:ind w:firstLine="523"/>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投标人通过初审的，方可进入</w:t>
      </w:r>
      <w:r>
        <w:rPr>
          <w:rFonts w:hint="eastAsia" w:ascii="宋体" w:hAnsi="宋体"/>
          <w:bCs/>
          <w:color w:val="auto"/>
          <w:sz w:val="24"/>
          <w:highlight w:val="none"/>
        </w:rPr>
        <w:t xml:space="preserve">比较与评价程序</w:t>
      </w:r>
      <w:r>
        <w:rPr>
          <w:rFonts w:hint="eastAsia" w:ascii="宋体" w:hAnsi="宋体"/>
          <w:bCs/>
          <w:color w:val="auto"/>
          <w:sz w:val="24"/>
          <w:szCs w:val="24"/>
          <w:highlight w:val="none"/>
        </w:rPr>
        <w:t xml:space="preserve">。</w:t>
      </w:r>
      <w:r/>
    </w:p>
    <w:p>
      <w:pPr>
        <w:ind w:firstLine="523"/>
        <w:spacing w:line="360" w:lineRule="auto"/>
        <w:tabs>
          <w:tab w:val="left" w:pos="945" w:leader="none"/>
        </w:tabs>
        <w:rPr>
          <w:rFonts w:ascii="宋体"/>
          <w:bCs/>
          <w:color w:val="auto"/>
          <w:sz w:val="24"/>
          <w:szCs w:val="24"/>
          <w:highlight w:val="none"/>
        </w:rPr>
      </w:pPr>
      <w:r>
        <w:rPr>
          <w:rFonts w:hint="eastAsia" w:ascii="宋体" w:hAnsi="宋体"/>
          <w:bCs/>
          <w:color w:val="auto"/>
          <w:sz w:val="24"/>
          <w:highlight w:val="none"/>
        </w:rPr>
        <w:t xml:space="preserve">比较与评价</w:t>
      </w:r>
      <w:r>
        <w:rPr>
          <w:rFonts w:hint="eastAsia" w:ascii="宋体" w:hAnsi="宋体"/>
          <w:bCs/>
          <w:color w:val="auto"/>
          <w:sz w:val="24"/>
          <w:szCs w:val="24"/>
          <w:highlight w:val="none"/>
        </w:rPr>
        <w:t xml:space="preserve">采用综合评分法。</w:t>
      </w:r>
      <w:r/>
    </w:p>
    <w:p>
      <w:pPr>
        <w:ind w:firstLine="523"/>
        <w:spacing w:line="360" w:lineRule="auto"/>
        <w:tabs>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评标委员会遵循公平、公正、择优原则，独立按照评分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为中标单位。</w:t>
      </w:r>
      <w:r/>
    </w:p>
    <w:p>
      <w:pPr>
        <w:numPr>
          <w:ilvl w:val="1"/>
          <w:numId w:val="11"/>
        </w:numPr>
        <w:ind w:left="1" w:firstLine="523"/>
        <w:spacing w:line="360" w:lineRule="auto"/>
        <w:tabs>
          <w:tab w:val="left" w:pos="52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评分标准</w:t>
      </w:r>
      <w:r/>
    </w:p>
    <w:p>
      <w:pPr>
        <w:ind w:left="524"/>
        <w:spacing w:line="360" w:lineRule="auto"/>
        <w:tabs>
          <w:tab w:val="left" w:pos="52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详见附件。</w:t>
      </w:r>
      <w:r/>
    </w:p>
    <w:p>
      <w:pPr>
        <w:ind w:firstLine="480"/>
        <w:spacing w:line="360" w:lineRule="auto"/>
        <w:tabs>
          <w:tab w:val="left" w:pos="945" w:leader="none"/>
        </w:tabs>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t xml:space="preserve">（十一）定标：</w:t>
      </w:r>
      <w:r/>
    </w:p>
    <w:p>
      <w:pPr>
        <w:numPr>
          <w:ilvl w:val="0"/>
          <w:numId w:val="13"/>
        </w:numPr>
        <w:ind w:left="0" w:firstLine="523"/>
        <w:spacing w:line="360" w:lineRule="auto"/>
        <w:tabs>
          <w:tab w:val="left" w:pos="525" w:leader="none"/>
          <w:tab w:val="left" w:pos="945" w:leader="none"/>
          <w:tab w:val="left" w:pos="1155" w:leader="none"/>
        </w:tabs>
        <w:rPr>
          <w:rFonts w:hint="eastAsia" w:ascii="宋体" w:hAnsi="宋体"/>
          <w:bCs/>
          <w:color w:val="auto"/>
          <w:sz w:val="24"/>
          <w:szCs w:val="24"/>
          <w:highlight w:val="none"/>
        </w:rPr>
      </w:pPr>
      <w:r>
        <w:rPr>
          <w:rFonts w:hint="eastAsia" w:hAnsi="宋体"/>
          <w:bCs/>
          <w:color w:val="auto"/>
          <w:sz w:val="24"/>
          <w:highlight w:val="none"/>
        </w:rPr>
        <w:t xml:space="preserve">评审委员会根据招标文件规定的评审方法和评分标准进行评审，按招标文件的要求依法推荐中标供应商。自评审结束之日起2个工作日内将评审报告送交采购人。采购人自收到评审报告之日起5个工作日内</w:t>
      </w:r>
      <w:r>
        <w:rPr>
          <w:rFonts w:hint="eastAsia" w:hAnsi="宋体"/>
          <w:bCs/>
          <w:color w:val="auto"/>
          <w:sz w:val="24"/>
          <w:highlight w:val="none"/>
          <w:lang w:eastAsia="zh-CN"/>
        </w:rPr>
        <w:t xml:space="preserve">按照</w:t>
      </w:r>
      <w:r>
        <w:rPr>
          <w:rFonts w:hint="eastAsia" w:hAnsi="宋体"/>
          <w:bCs/>
          <w:color w:val="auto"/>
          <w:sz w:val="24"/>
          <w:highlight w:val="none"/>
        </w:rPr>
        <w:t xml:space="preserve">招标文件的要求，在评审报告推荐的中标候选单位中，依法确定中标供应商。</w:t>
      </w:r>
      <w:r>
        <w:rPr>
          <w:rFonts w:hint="eastAsia" w:hAnsi="宋体"/>
          <w:bCs/>
          <w:color w:val="auto"/>
          <w:sz w:val="24"/>
          <w:highlight w:val="none"/>
          <w:lang w:eastAsia="zh-CN"/>
        </w:rPr>
        <w:t xml:space="preserve">江苏君安工程管理咨询有限公司</w:t>
      </w:r>
      <w:r>
        <w:rPr>
          <w:rFonts w:hint="eastAsia" w:hAnsi="宋体"/>
          <w:bCs/>
          <w:color w:val="auto"/>
          <w:sz w:val="24"/>
          <w:highlight w:val="none"/>
        </w:rPr>
        <w:t xml:space="preserve">自中标供应商确定之日起2个工作日内，发出中标通知书，并在媒体（江苏政府采购网、无锡政府采购网）上发布中标公告。</w:t>
      </w:r>
      <w:r>
        <w:rPr>
          <w:rFonts w:hint="eastAsia" w:hAnsi="宋体"/>
          <w:bCs/>
          <w:color w:val="auto"/>
          <w:sz w:val="24"/>
          <w:highlight w:val="none"/>
          <w:lang w:eastAsia="zh-CN"/>
        </w:rPr>
        <w:t xml:space="preserve">江苏君安工程管理咨询有限公司</w:t>
      </w:r>
      <w:r>
        <w:rPr>
          <w:rFonts w:hint="eastAsia" w:hAnsi="宋体"/>
          <w:bCs/>
          <w:color w:val="auto"/>
          <w:sz w:val="24"/>
          <w:highlight w:val="none"/>
        </w:rPr>
        <w:t xml:space="preserve">和评标委员会对未中标原因不作解释。如有质疑，按《中华人民共和国政府采购法》、财政部《政府采购货物和服务招标投标管理办法》《政府采购质疑和投诉办法》等有关法规处理。质疑函应</w:t>
      </w:r>
      <w:r>
        <w:rPr>
          <w:rFonts w:hint="eastAsia" w:hAnsi="宋体"/>
          <w:bCs/>
          <w:color w:val="auto"/>
          <w:sz w:val="24"/>
          <w:highlight w:val="none"/>
        </w:rPr>
        <w:t xml:space="preserve">当列明具体的质疑事项及事实根据，认为自己合法权益受到损害的相关证据材料以及质疑供应商的名称、地址、邮编、联系人、联系电话、日期，同时该质疑函应由供应商法定代表人签字并加盖单位公章（原件），以书面形式送达。采购人在收到符合上述要求的书面质疑后规定时间内，对质疑内容作出答复。供应商在法定质疑期限外送达的质疑函或法定质疑期限内送达的质疑函不符合上述要求的均为无效质疑，采购人对无效质疑不予受理。如质疑查无实据或供应商捏造事实，提供虚假材料进行恶意举报，不配合或采用不正当手段干扰政府采购事宜的，将上报政府采购部门处理</w:t>
      </w:r>
      <w:r>
        <w:rPr>
          <w:rFonts w:hint="eastAsia" w:ascii="宋体" w:hAnsi="宋体"/>
          <w:bCs/>
          <w:color w:val="auto"/>
          <w:sz w:val="24"/>
          <w:szCs w:val="24"/>
          <w:highlight w:val="none"/>
        </w:rPr>
        <w:t xml:space="preserve">。</w:t>
      </w:r>
      <w:r/>
    </w:p>
    <w:p>
      <w:pPr>
        <w:numPr>
          <w:ilvl w:val="0"/>
          <w:numId w:val="13"/>
        </w:numPr>
        <w:ind w:left="0" w:firstLine="523"/>
        <w:spacing w:line="360" w:lineRule="auto"/>
        <w:tabs>
          <w:tab w:val="left" w:pos="525" w:leader="none"/>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lang w:eastAsia="zh-CN"/>
        </w:rPr>
        <w:t xml:space="preserve">江苏君安工程管理咨询有限公司</w:t>
      </w:r>
      <w:r>
        <w:rPr>
          <w:rFonts w:hint="eastAsia" w:ascii="宋体" w:hAnsi="宋体"/>
          <w:bCs/>
          <w:color w:val="auto"/>
          <w:sz w:val="24"/>
          <w:szCs w:val="24"/>
          <w:highlight w:val="none"/>
        </w:rPr>
        <w:t xml:space="preserve">向中标供应商发出中标通知书。</w:t>
      </w:r>
      <w:r/>
    </w:p>
    <w:p>
      <w:pPr>
        <w:numPr>
          <w:ilvl w:val="0"/>
          <w:numId w:val="13"/>
        </w:numPr>
        <w:ind w:left="0" w:firstLine="523"/>
        <w:spacing w:line="360" w:lineRule="auto"/>
        <w:tabs>
          <w:tab w:val="left" w:pos="525" w:leader="none"/>
          <w:tab w:val="left" w:pos="945" w:leader="none"/>
          <w:tab w:val="left" w:pos="1155" w:leader="none"/>
        </w:tabs>
        <w:rPr>
          <w:rFonts w:ascii="宋体"/>
          <w:bCs/>
          <w:color w:val="auto"/>
          <w:sz w:val="24"/>
          <w:szCs w:val="24"/>
          <w:highlight w:val="none"/>
        </w:rPr>
      </w:pPr>
      <w:r>
        <w:rPr>
          <w:rFonts w:hint="eastAsia" w:ascii="宋体" w:hAnsi="宋体"/>
          <w:bCs/>
          <w:color w:val="auto"/>
          <w:sz w:val="24"/>
          <w:szCs w:val="24"/>
          <w:highlight w:val="none"/>
          <w:lang w:eastAsia="zh-CN"/>
        </w:rPr>
        <w:t xml:space="preserve">投标人</w:t>
      </w:r>
      <w:r>
        <w:rPr>
          <w:rFonts w:hint="eastAsia" w:ascii="宋体" w:hAnsi="宋体"/>
          <w:bCs/>
          <w:color w:val="auto"/>
          <w:sz w:val="24"/>
          <w:szCs w:val="24"/>
          <w:highlight w:val="none"/>
        </w:rPr>
        <w:t xml:space="preserve">电子投标文件将作为电子档案保存。</w:t>
      </w:r>
      <w:r/>
    </w:p>
    <w:p>
      <w:pPr>
        <w:ind w:firstLine="480"/>
        <w:spacing w:line="360" w:lineRule="auto"/>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t xml:space="preserve">（十二）废标的确认：</w:t>
      </w:r>
      <w:r/>
    </w:p>
    <w:p>
      <w:pPr>
        <w:ind w:firstLine="480"/>
        <w:spacing w:line="360" w:lineRule="auto"/>
        <w:rPr>
          <w:rFonts w:ascii="宋体"/>
          <w:bCs/>
          <w:color w:val="auto"/>
          <w:sz w:val="24"/>
          <w:szCs w:val="24"/>
          <w:highlight w:val="none"/>
        </w:rPr>
      </w:pPr>
      <w:r>
        <w:rPr>
          <w:rFonts w:hint="eastAsia" w:ascii="宋体" w:hAnsi="宋体"/>
          <w:bCs/>
          <w:color w:val="auto"/>
          <w:sz w:val="24"/>
          <w:szCs w:val="24"/>
          <w:highlight w:val="none"/>
        </w:rPr>
        <w:t xml:space="preserve">在招标采购中，出现下列情况之一的，应予废标：</w:t>
      </w:r>
      <w:r/>
    </w:p>
    <w:p>
      <w:pPr>
        <w:numPr>
          <w:ilvl w:val="0"/>
          <w:numId w:val="14"/>
        </w:numPr>
        <w:ind w:left="0" w:firstLine="525"/>
        <w:spacing w:line="360" w:lineRule="auto"/>
        <w:tabs>
          <w:tab w:val="left" w:pos="525" w:leader="none"/>
          <w:tab w:val="left" w:pos="945" w:leader="none"/>
          <w:tab w:val="left" w:pos="1260" w:leader="none"/>
        </w:tabs>
        <w:rPr>
          <w:rFonts w:ascii="宋体"/>
          <w:bCs/>
          <w:color w:val="auto"/>
          <w:sz w:val="24"/>
          <w:szCs w:val="24"/>
          <w:highlight w:val="none"/>
        </w:rPr>
      </w:pPr>
      <w:r>
        <w:rPr>
          <w:rFonts w:hint="eastAsia" w:ascii="宋体" w:hAnsi="宋体"/>
          <w:bCs/>
          <w:color w:val="auto"/>
          <w:sz w:val="24"/>
          <w:szCs w:val="24"/>
          <w:highlight w:val="none"/>
        </w:rPr>
        <w:t xml:space="preserve">符合专业条件的投标人或者对招标文件作出实质性响应的投标人不足三家；</w:t>
      </w:r>
      <w:r/>
    </w:p>
    <w:p>
      <w:pPr>
        <w:numPr>
          <w:ilvl w:val="0"/>
          <w:numId w:val="14"/>
        </w:numPr>
        <w:ind w:left="0" w:firstLine="525"/>
        <w:spacing w:line="360" w:lineRule="auto"/>
        <w:tabs>
          <w:tab w:val="left" w:pos="525" w:leader="none"/>
          <w:tab w:val="left" w:pos="945" w:leader="none"/>
          <w:tab w:val="left" w:pos="1260" w:leader="none"/>
        </w:tabs>
        <w:rPr>
          <w:rFonts w:ascii="宋体"/>
          <w:bCs/>
          <w:color w:val="auto"/>
          <w:sz w:val="24"/>
          <w:szCs w:val="24"/>
          <w:highlight w:val="none"/>
        </w:rPr>
      </w:pPr>
      <w:r>
        <w:rPr>
          <w:rFonts w:hint="eastAsia" w:ascii="宋体" w:hAnsi="宋体"/>
          <w:bCs/>
          <w:color w:val="auto"/>
          <w:sz w:val="24"/>
          <w:szCs w:val="24"/>
          <w:highlight w:val="none"/>
        </w:rPr>
        <w:t xml:space="preserve">出现影响采购公正的违法、违规行为；</w:t>
      </w:r>
      <w:r/>
    </w:p>
    <w:p>
      <w:pPr>
        <w:numPr>
          <w:ilvl w:val="0"/>
          <w:numId w:val="14"/>
        </w:numPr>
        <w:ind w:left="0" w:firstLine="525"/>
        <w:spacing w:line="360" w:lineRule="auto"/>
        <w:tabs>
          <w:tab w:val="left" w:pos="525" w:leader="none"/>
          <w:tab w:val="left" w:pos="945" w:leader="none"/>
          <w:tab w:val="left" w:pos="1260" w:leader="none"/>
        </w:tabs>
        <w:rPr>
          <w:rFonts w:ascii="宋体"/>
          <w:bCs/>
          <w:color w:val="auto"/>
          <w:sz w:val="24"/>
          <w:szCs w:val="24"/>
          <w:highlight w:val="none"/>
        </w:rPr>
      </w:pPr>
      <w:r>
        <w:rPr>
          <w:rFonts w:hint="eastAsia" w:ascii="宋体" w:hAnsi="宋体"/>
          <w:bCs/>
          <w:color w:val="auto"/>
          <w:sz w:val="24"/>
          <w:szCs w:val="24"/>
          <w:highlight w:val="none"/>
        </w:rPr>
        <w:t xml:space="preserve">投标人的报价均超过采购预算，采购人不能支付的；</w:t>
      </w:r>
      <w:r/>
    </w:p>
    <w:p>
      <w:pPr>
        <w:numPr>
          <w:ilvl w:val="0"/>
          <w:numId w:val="14"/>
        </w:numPr>
        <w:ind w:left="0" w:firstLine="525"/>
        <w:spacing w:line="360" w:lineRule="auto"/>
        <w:tabs>
          <w:tab w:val="right" w:pos="180" w:leader="none"/>
          <w:tab w:val="left" w:pos="525" w:leader="none"/>
          <w:tab w:val="left" w:pos="945" w:leader="none"/>
          <w:tab w:val="left" w:pos="1260" w:leader="none"/>
        </w:tabs>
        <w:rPr>
          <w:rFonts w:ascii="宋体"/>
          <w:bCs/>
          <w:color w:val="auto"/>
          <w:sz w:val="24"/>
          <w:szCs w:val="24"/>
          <w:highlight w:val="none"/>
        </w:rPr>
      </w:pPr>
      <w:r>
        <w:rPr>
          <w:rFonts w:hint="eastAsia" w:ascii="宋体" w:hAnsi="宋体"/>
          <w:bCs/>
          <w:color w:val="auto"/>
          <w:sz w:val="24"/>
          <w:szCs w:val="24"/>
          <w:highlight w:val="none"/>
        </w:rPr>
        <w:t xml:space="preserve">因重大变故，采购任务取消。</w:t>
      </w:r>
      <w:r/>
    </w:p>
    <w:p>
      <w:pPr>
        <w:ind w:firstLine="480"/>
        <w:spacing w:line="360" w:lineRule="auto"/>
        <w:tabs>
          <w:tab w:val="left" w:pos="945" w:leader="none"/>
        </w:tabs>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t xml:space="preserve">（十三）中标无效的确认：</w:t>
      </w:r>
      <w:r/>
    </w:p>
    <w:p>
      <w:pPr>
        <w:ind w:firstLine="480"/>
        <w:spacing w:line="360" w:lineRule="auto"/>
        <w:tabs>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（1）提供虚假材料谋取中标的；</w:t>
      </w:r>
      <w:r/>
    </w:p>
    <w:p>
      <w:pPr>
        <w:ind w:firstLine="480"/>
        <w:spacing w:line="360" w:lineRule="auto"/>
        <w:tabs>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（2）采取不正当手段诋毁、排挤其他供应商的；</w:t>
      </w:r>
      <w:r/>
    </w:p>
    <w:p>
      <w:pPr>
        <w:ind w:firstLine="480"/>
        <w:spacing w:line="360" w:lineRule="auto"/>
        <w:tabs>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（3）与采购人、其他供应商恶意串通的；</w:t>
      </w:r>
      <w:r/>
    </w:p>
    <w:p>
      <w:pPr>
        <w:ind w:firstLine="480"/>
        <w:spacing w:line="360" w:lineRule="auto"/>
        <w:tabs>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（4）向采购人行贿或者提供其他不正当利益的；</w:t>
      </w:r>
      <w:r/>
    </w:p>
    <w:p>
      <w:pPr>
        <w:ind w:firstLine="480"/>
        <w:spacing w:line="360" w:lineRule="auto"/>
        <w:tabs>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（5）在投标过程中与采购人进行协商谈判、不按照招标文件和中标供应商的投标文件订立合同，或者与采购人另行订立背离合同实质性内容的协议的；</w:t>
      </w:r>
      <w:r/>
    </w:p>
    <w:p>
      <w:pPr>
        <w:ind w:firstLine="480"/>
        <w:spacing w:line="360" w:lineRule="auto"/>
        <w:tabs>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（6）拒绝有关部门监督检查或者提供虚假情况的。</w:t>
      </w:r>
      <w:r/>
    </w:p>
    <w:p>
      <w:pPr>
        <w:ind w:firstLine="480"/>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供应商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firstLine="480"/>
        <w:spacing w:line="360" w:lineRule="auto"/>
        <w:tabs>
          <w:tab w:val="left" w:pos="945" w:leader="none"/>
        </w:tabs>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t xml:space="preserve">（十四）签订</w:t>
      </w:r>
      <w:r>
        <w:rPr>
          <w:rFonts w:hint="eastAsia" w:ascii="黑体" w:hAnsi="宋体" w:eastAsia="黑体"/>
          <w:b/>
          <w:color w:val="auto"/>
          <w:sz w:val="24"/>
          <w:szCs w:val="24"/>
          <w:highlight w:val="none"/>
        </w:rPr>
        <w:t xml:space="preserve">、履行</w:t>
      </w:r>
      <w:r>
        <w:rPr>
          <w:rFonts w:hint="eastAsia" w:ascii="黑体" w:hAnsi="宋体" w:eastAsia="黑体"/>
          <w:bCs/>
          <w:color w:val="auto"/>
          <w:sz w:val="24"/>
          <w:szCs w:val="24"/>
          <w:highlight w:val="none"/>
        </w:rPr>
        <w:t xml:space="preserve">合同：</w:t>
      </w:r>
      <w:r/>
    </w:p>
    <w:p>
      <w:pPr>
        <w:numPr>
          <w:ilvl w:val="0"/>
          <w:numId w:val="15"/>
        </w:numPr>
        <w:ind w:left="-105" w:firstLine="525"/>
        <w:spacing w:line="360" w:lineRule="auto"/>
        <w:tabs>
          <w:tab w:val="left" w:pos="525" w:leader="none"/>
          <w:tab w:val="left" w:pos="945" w:leader="none"/>
          <w:tab w:val="left" w:pos="105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numPr>
          <w:ilvl w:val="0"/>
          <w:numId w:val="15"/>
        </w:numPr>
        <w:ind w:left="-105" w:firstLine="525"/>
        <w:spacing w:line="360" w:lineRule="auto"/>
        <w:tabs>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numPr>
          <w:ilvl w:val="0"/>
          <w:numId w:val="15"/>
        </w:numPr>
        <w:ind w:left="-105" w:firstLine="525"/>
        <w:spacing w:line="360" w:lineRule="auto"/>
        <w:tabs>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中标方非因不可抗力未履行招、投标文件和合同规定的义务，一经查实，</w:t>
      </w:r>
      <w:r>
        <w:rPr>
          <w:rFonts w:hint="eastAsia" w:ascii="宋体" w:hAnsi="宋体"/>
          <w:color w:val="auto"/>
          <w:sz w:val="24"/>
          <w:highlight w:val="none"/>
          <w:lang w:eastAsia="zh-CN"/>
        </w:rPr>
        <w:t xml:space="preserve">江苏君安工程管理咨询有限公司</w:t>
      </w:r>
      <w:r>
        <w:rPr>
          <w:rFonts w:hint="eastAsia" w:ascii="宋体" w:hAnsi="宋体"/>
          <w:bCs/>
          <w:color w:val="auto"/>
          <w:sz w:val="24"/>
          <w:szCs w:val="24"/>
          <w:highlight w:val="none"/>
        </w:rPr>
        <w:t xml:space="preserve">将根据具体情况提请政府采购管理部门作出相应处理。</w:t>
      </w:r>
      <w:r/>
    </w:p>
    <w:p>
      <w:pPr>
        <w:ind w:firstLine="480"/>
        <w:spacing w:line="360" w:lineRule="auto"/>
        <w:tabs>
          <w:tab w:val="left" w:pos="945" w:leader="none"/>
        </w:tabs>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t xml:space="preserve">（十五）注意事项：</w:t>
      </w:r>
      <w:r/>
    </w:p>
    <w:p>
      <w:pPr>
        <w:ind w:firstLine="480"/>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中标供应商有下列情形之一的，情节严重的，由财政部门将其列入不良行为记录名单，在一至三年内禁止参加政府采购活动，并予以通报：</w:t>
      </w:r>
      <w:r/>
    </w:p>
    <w:p>
      <w:pPr>
        <w:numPr>
          <w:ilvl w:val="3"/>
          <w:numId w:val="11"/>
        </w:numPr>
        <w:ind w:left="0" w:firstLine="523"/>
        <w:spacing w:line="360" w:lineRule="auto"/>
        <w:tabs>
          <w:tab w:val="left" w:pos="735" w:leader="none"/>
          <w:tab w:val="left" w:pos="945" w:leader="none"/>
          <w:tab w:val="left" w:pos="1155" w:leader="none"/>
        </w:tabs>
        <w:rPr>
          <w:rFonts w:ascii="宋体"/>
          <w:bCs/>
          <w:color w:val="auto"/>
          <w:sz w:val="24"/>
          <w:szCs w:val="24"/>
          <w:highlight w:val="none"/>
        </w:rPr>
      </w:pPr>
      <w:r>
        <w:rPr>
          <w:rFonts w:hint="eastAsia" w:ascii="宋体" w:hAnsi="宋体"/>
          <w:bCs/>
          <w:color w:val="auto"/>
          <w:sz w:val="24"/>
          <w:szCs w:val="24"/>
          <w:highlight w:val="none"/>
        </w:rPr>
        <w:t xml:space="preserve">中标后无正当理由不与采购人签订合同的；</w:t>
      </w:r>
      <w:r/>
    </w:p>
    <w:p>
      <w:pPr>
        <w:numPr>
          <w:ilvl w:val="3"/>
          <w:numId w:val="11"/>
        </w:numPr>
        <w:ind w:left="0" w:firstLine="523"/>
        <w:spacing w:line="360" w:lineRule="auto"/>
        <w:tabs>
          <w:tab w:val="left" w:pos="735" w:leader="none"/>
          <w:tab w:val="left" w:pos="945" w:leader="none"/>
          <w:tab w:val="left" w:pos="1155" w:leader="none"/>
        </w:tabs>
        <w:rPr>
          <w:rFonts w:ascii="宋体"/>
          <w:bCs/>
          <w:color w:val="auto"/>
          <w:sz w:val="24"/>
          <w:szCs w:val="24"/>
          <w:highlight w:val="none"/>
        </w:rPr>
      </w:pPr>
      <w:r>
        <w:rPr>
          <w:rFonts w:hint="eastAsia" w:ascii="宋体" w:hAnsi="宋体"/>
          <w:bCs/>
          <w:color w:val="auto"/>
          <w:sz w:val="24"/>
          <w:szCs w:val="24"/>
          <w:highlight w:val="none"/>
        </w:rPr>
        <w:t xml:space="preserve">将中标项目转让给他人，或者在投标文件中未说明，且未经过采购人同意，将中标项目分包给他人的；</w:t>
      </w:r>
      <w:r/>
    </w:p>
    <w:p>
      <w:pPr>
        <w:numPr>
          <w:ilvl w:val="3"/>
          <w:numId w:val="11"/>
        </w:numPr>
        <w:ind w:left="0" w:firstLine="523"/>
        <w:spacing w:line="360" w:lineRule="auto"/>
        <w:tabs>
          <w:tab w:val="left" w:pos="735" w:leader="none"/>
          <w:tab w:val="left" w:pos="945" w:leader="none"/>
          <w:tab w:val="left" w:pos="1155" w:leader="none"/>
        </w:tabs>
        <w:rPr>
          <w:rFonts w:ascii="宋体"/>
          <w:bCs/>
          <w:color w:val="auto"/>
          <w:sz w:val="24"/>
          <w:szCs w:val="24"/>
          <w:highlight w:val="none"/>
        </w:rPr>
      </w:pPr>
      <w:r>
        <w:rPr>
          <w:rFonts w:hint="eastAsia" w:ascii="宋体" w:hAnsi="宋体"/>
          <w:bCs/>
          <w:color w:val="auto"/>
          <w:sz w:val="24"/>
          <w:szCs w:val="24"/>
          <w:highlight w:val="none"/>
        </w:rPr>
        <w:t xml:space="preserve">拒绝履行合同义务的。</w:t>
      </w:r>
      <w:r/>
    </w:p>
    <w:p>
      <w:pPr>
        <w:ind w:firstLine="480"/>
        <w:spacing w:line="360" w:lineRule="auto"/>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t xml:space="preserve">（十六）中标服务费：</w:t>
      </w:r>
      <w:r/>
    </w:p>
    <w:p>
      <w:pPr>
        <w:ind w:firstLine="480"/>
        <w:spacing w:line="360" w:lineRule="auto"/>
        <w:tabs>
          <w:tab w:val="left" w:pos="1140" w:leader="none"/>
        </w:tabs>
        <w:rPr>
          <w:rFonts w:hint="eastAsia" w:ascii="宋体" w:hAnsi="宋体"/>
          <w:bCs/>
          <w:color w:val="auto"/>
          <w:sz w:val="24"/>
          <w:highlight w:val="none"/>
        </w:rPr>
      </w:pPr>
      <w:r>
        <w:rPr>
          <w:rFonts w:hint="eastAsia" w:ascii="宋体" w:hAnsi="宋体"/>
          <w:color w:val="auto"/>
          <w:sz w:val="24"/>
          <w:highlight w:val="none"/>
        </w:rPr>
        <w:t xml:space="preserve">1.本项目招标代理服务费</w:t>
      </w:r>
      <w:r>
        <w:rPr>
          <w:rFonts w:hint="eastAsia" w:ascii="宋体" w:hAnsi="宋体"/>
          <w:color w:val="auto"/>
          <w:sz w:val="24"/>
          <w:highlight w:val="none"/>
          <w:lang w:val="en-US" w:eastAsia="zh-CN"/>
        </w:rPr>
        <w:t xml:space="preserve">由采购人支付，</w:t>
      </w:r>
      <w:r>
        <w:rPr>
          <w:rFonts w:hint="eastAsia" w:ascii="宋体" w:hAnsi="宋体"/>
          <w:color w:val="auto"/>
          <w:sz w:val="24"/>
          <w:highlight w:val="none"/>
        </w:rPr>
        <w:t xml:space="preserve">以每标段中标金额为计费基础，按差额定率累进法计算：</w:t>
      </w:r>
      <w:r>
        <w:rPr>
          <w:rFonts w:hint="eastAsia" w:ascii="宋体" w:hAnsi="宋体"/>
          <w:color w:val="auto"/>
          <w:sz w:val="24"/>
          <w:highlight w:val="none"/>
          <w:lang w:eastAsia="zh-CN"/>
        </w:rPr>
        <w:t xml:space="preserve">100万元以下</w:t>
      </w:r>
      <w:r>
        <w:rPr>
          <w:rFonts w:ascii="宋体" w:hAnsi="宋体"/>
          <w:color w:val="auto"/>
          <w:sz w:val="24"/>
          <w:highlight w:val="none"/>
        </w:rPr>
        <w:t xml:space="preserve">费率为1.</w:t>
      </w:r>
      <w:r>
        <w:rPr>
          <w:rFonts w:hint="eastAsia" w:ascii="宋体" w:hAnsi="宋体"/>
          <w:color w:val="auto"/>
          <w:sz w:val="24"/>
          <w:highlight w:val="none"/>
        </w:rPr>
        <w:t xml:space="preserve">5</w:t>
      </w:r>
      <w:r>
        <w:rPr>
          <w:rFonts w:ascii="宋体" w:hAnsi="宋体"/>
          <w:color w:val="auto"/>
          <w:sz w:val="24"/>
          <w:highlight w:val="none"/>
        </w:rPr>
        <w:t xml:space="preserve">%</w:t>
      </w:r>
      <w:r>
        <w:rPr>
          <w:rFonts w:hint="eastAsia" w:ascii="宋体" w:hAnsi="宋体"/>
          <w:color w:val="auto"/>
          <w:sz w:val="24"/>
          <w:highlight w:val="none"/>
        </w:rPr>
        <w:t xml:space="preserve">，</w:t>
      </w:r>
      <w:r>
        <w:rPr>
          <w:rFonts w:hint="eastAsia" w:ascii="宋体" w:hAnsi="宋体"/>
          <w:color w:val="auto"/>
          <w:sz w:val="24"/>
          <w:highlight w:val="none"/>
          <w:lang w:eastAsia="zh-CN"/>
        </w:rPr>
        <w:t xml:space="preserve">100万—500万</w:t>
      </w:r>
      <w:r>
        <w:rPr>
          <w:rFonts w:ascii="宋体" w:hAnsi="宋体"/>
          <w:color w:val="auto"/>
          <w:sz w:val="24"/>
          <w:highlight w:val="none"/>
        </w:rPr>
        <w:t xml:space="preserve">费率为</w:t>
      </w:r>
      <w:r>
        <w:rPr>
          <w:rFonts w:hint="eastAsia" w:ascii="宋体" w:hAnsi="宋体"/>
          <w:color w:val="auto"/>
          <w:sz w:val="24"/>
          <w:highlight w:val="none"/>
        </w:rPr>
        <w:t xml:space="preserve">0.8</w:t>
      </w:r>
      <w:r>
        <w:rPr>
          <w:rFonts w:ascii="宋体" w:hAnsi="宋体"/>
          <w:color w:val="auto"/>
          <w:sz w:val="24"/>
          <w:highlight w:val="none"/>
        </w:rPr>
        <w:t xml:space="preserve">%</w:t>
      </w:r>
      <w:r>
        <w:rPr>
          <w:rFonts w:hint="eastAsia" w:ascii="宋体" w:hAnsi="宋体"/>
          <w:color w:val="auto"/>
          <w:sz w:val="24"/>
          <w:highlight w:val="none"/>
        </w:rPr>
        <w:t xml:space="preserve">，</w:t>
      </w:r>
      <w:r>
        <w:rPr>
          <w:rFonts w:hint="eastAsia" w:ascii="宋体" w:hAnsi="宋体"/>
          <w:color w:val="auto"/>
          <w:sz w:val="24"/>
          <w:highlight w:val="none"/>
          <w:lang w:eastAsia="zh-CN"/>
        </w:rPr>
        <w:t xml:space="preserve">500万—1000万</w:t>
      </w:r>
      <w:r>
        <w:rPr>
          <w:rFonts w:hint="eastAsia" w:ascii="宋体" w:hAnsi="宋体" w:cs="宋体"/>
          <w:color w:val="auto"/>
          <w:sz w:val="24"/>
          <w:highlight w:val="none"/>
        </w:rPr>
        <w:t xml:space="preserve">费率为0.45%</w:t>
      </w:r>
      <w:r>
        <w:rPr>
          <w:rFonts w:hint="eastAsia" w:ascii="宋体" w:hAnsi="宋体"/>
          <w:color w:val="auto"/>
          <w:sz w:val="24"/>
          <w:highlight w:val="none"/>
        </w:rPr>
        <w:t xml:space="preserve">，</w:t>
      </w:r>
      <w:r>
        <w:rPr>
          <w:rFonts w:hint="eastAsia" w:ascii="宋体" w:hAnsi="宋体"/>
          <w:color w:val="auto"/>
          <w:sz w:val="24"/>
          <w:highlight w:val="none"/>
          <w:lang w:eastAsia="zh-CN"/>
        </w:rPr>
        <w:t xml:space="preserve">1000万—5000万</w:t>
      </w:r>
      <w:r>
        <w:rPr>
          <w:rFonts w:hint="eastAsia" w:ascii="宋体" w:hAnsi="宋体" w:cs="宋体"/>
          <w:color w:val="auto"/>
          <w:sz w:val="24"/>
          <w:highlight w:val="none"/>
        </w:rPr>
        <w:t xml:space="preserve">费率为0.25%</w:t>
      </w:r>
      <w:r>
        <w:rPr>
          <w:rFonts w:hint="eastAsia" w:ascii="宋体" w:hAnsi="宋体"/>
          <w:bCs/>
          <w:color w:val="auto"/>
          <w:sz w:val="24"/>
          <w:highlight w:val="none"/>
        </w:rPr>
        <w:t xml:space="preserve">；在此基础上打七折计取。</w:t>
      </w:r>
      <w:r/>
    </w:p>
    <w:p>
      <w:pPr>
        <w:ind w:firstLine="480"/>
        <w:spacing w:line="360" w:lineRule="auto"/>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t xml:space="preserve">（十七）合同融资、履约担保</w:t>
      </w:r>
      <w:r/>
    </w:p>
    <w:p>
      <w:pPr>
        <w:ind w:firstLine="480"/>
        <w:spacing w:line="360" w:lineRule="auto"/>
        <w:tabs>
          <w:tab w:val="left" w:pos="630" w:leader="none"/>
          <w:tab w:val="left" w:pos="73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1.中标、成交供应商可采用合同融资形式，中标人可凭政府采购合同办理融资贷款，详见无锡市政府采购网“政采贷”专栏。</w:t>
      </w:r>
      <w:r/>
    </w:p>
    <w:p>
      <w:pPr>
        <w:ind w:firstLine="480"/>
        <w:spacing w:line="360" w:lineRule="auto"/>
        <w:tabs>
          <w:tab w:val="left" w:pos="630" w:leader="none"/>
          <w:tab w:val="left" w:pos="73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2.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供应商未按政府采购合同履行约定义务而应实际支付保证金的，由专业担保机构按照担保函约定履行担保责任。</w:t>
      </w:r>
      <w:r/>
    </w:p>
    <w:p>
      <w:pPr>
        <w:ind w:firstLine="480"/>
        <w:spacing w:line="360" w:lineRule="auto"/>
        <w:tabs>
          <w:tab w:val="left" w:pos="630" w:leader="none"/>
          <w:tab w:val="left" w:pos="73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中标、成交供应商可以采用电子履约保函形式，具体操作可登录江苏政府采购网的保险保函模块进行办理，也可通过无锡市政府采购网、“苏采云”系统链接访问（首次使用需注册）。</w:t>
      </w:r>
      <w:r/>
    </w:p>
    <w:p>
      <w:pPr>
        <w:pStyle w:val="782"/>
        <w:rPr>
          <w:color w:val="auto"/>
          <w:highlight w:val="none"/>
        </w:rPr>
      </w:pPr>
      <w:r>
        <w:rPr>
          <w:color w:val="auto"/>
          <w:highlight w:val="none"/>
        </w:rPr>
      </w:r>
      <w:r/>
    </w:p>
    <w:p>
      <w:pPr>
        <w:jc w:val="center"/>
        <w:spacing w:line="360" w:lineRule="auto"/>
        <w:rPr>
          <w:rFonts w:ascii="黑体" w:eastAsia="黑体"/>
          <w:bCs/>
          <w:color w:val="auto"/>
          <w:sz w:val="30"/>
          <w:szCs w:val="30"/>
          <w:highlight w:val="none"/>
        </w:rPr>
        <w:outlineLvl w:val="0"/>
      </w:pPr>
      <w:r>
        <w:rPr>
          <w:rFonts w:hint="eastAsia" w:ascii="宋体" w:hAnsi="宋体"/>
          <w:bCs/>
          <w:color w:val="auto"/>
          <w:sz w:val="24"/>
          <w:szCs w:val="24"/>
          <w:highlight w:val="none"/>
        </w:rPr>
        <w:br w:type="page" w:clear="all"/>
      </w:r>
      <w:r>
        <w:rPr>
          <w:rFonts w:hint="eastAsia" w:ascii="宋体" w:hAnsi="宋体"/>
          <w:bCs/>
          <w:color w:val="auto"/>
          <w:sz w:val="24"/>
          <w:szCs w:val="24"/>
          <w:highlight w:val="none"/>
        </w:rPr>
        <w:t xml:space="preserve">三、</w:t>
      </w:r>
      <w:r>
        <w:rPr>
          <w:rFonts w:hint="eastAsia" w:ascii="黑体" w:eastAsia="黑体"/>
          <w:b/>
          <w:color w:val="auto"/>
          <w:sz w:val="30"/>
          <w:szCs w:val="30"/>
          <w:highlight w:val="none"/>
        </w:rPr>
        <w:t xml:space="preserve">项目技术要求和有关说明</w:t>
      </w:r>
      <w:r/>
    </w:p>
    <w:p>
      <w:pPr>
        <w:spacing w:line="440" w:lineRule="exact"/>
        <w:widowControl/>
        <w:rPr>
          <w:rFonts w:hint="eastAsia" w:ascii="宋体" w:hAnsi="宋体" w:cs="宋体"/>
          <w:b/>
          <w:bCs/>
          <w:color w:val="auto"/>
          <w:sz w:val="24"/>
          <w:highlight w:val="none"/>
        </w:rPr>
      </w:pPr>
      <w:r>
        <w:rPr>
          <w:rFonts w:hint="eastAsia" w:ascii="宋体" w:hAnsi="宋体" w:cs="Arial"/>
          <w:b/>
          <w:color w:val="auto"/>
          <w:sz w:val="24"/>
          <w:highlight w:val="none"/>
        </w:rPr>
        <w:t xml:space="preserve">一、采购标的需实现的功能或者目标，以及为落实政府采购政策需满足的要求：</w:t>
      </w:r>
      <w:r>
        <w:rPr>
          <w:rFonts w:hint="eastAsia" w:ascii="宋体" w:hAnsi="宋体"/>
          <w:color w:val="auto"/>
          <w:sz w:val="24"/>
          <w:highlight w:val="none"/>
        </w:rPr>
        <w:t xml:space="preserve">/</w:t>
      </w:r>
      <w:r/>
    </w:p>
    <w:p>
      <w:pPr>
        <w:spacing w:line="440" w:lineRule="exact"/>
        <w:rPr>
          <w:rFonts w:hint="eastAsia" w:ascii="宋体" w:hAnsi="宋体" w:cs="Arial"/>
          <w:b/>
          <w:color w:val="auto"/>
          <w:sz w:val="24"/>
          <w:highlight w:val="none"/>
        </w:rPr>
      </w:pPr>
      <w:r>
        <w:rPr>
          <w:rFonts w:hint="eastAsia" w:ascii="宋体" w:hAnsi="宋体" w:cs="宋体"/>
          <w:b/>
          <w:bCs/>
          <w:color w:val="auto"/>
          <w:sz w:val="24"/>
          <w:highlight w:val="none"/>
        </w:rPr>
        <w:t xml:space="preserve">二、</w:t>
      </w:r>
      <w:r>
        <w:rPr>
          <w:rFonts w:hint="eastAsia" w:ascii="宋体" w:hAnsi="宋体" w:cs="Arial"/>
          <w:b/>
          <w:color w:val="auto"/>
          <w:sz w:val="24"/>
          <w:highlight w:val="none"/>
        </w:rPr>
        <w:t xml:space="preserve">采购标的需执行的国家相关标准、行业标准、地方标准或者其他标准、规范：</w:t>
      </w:r>
      <w:r/>
    </w:p>
    <w:p>
      <w:pPr>
        <w:ind w:firstLine="480"/>
        <w:spacing w:line="440" w:lineRule="exact"/>
        <w:rPr>
          <w:rFonts w:hint="eastAsia" w:ascii="宋体" w:hAnsi="宋体" w:cs="Arial"/>
          <w:color w:val="auto"/>
          <w:sz w:val="24"/>
          <w:highlight w:val="none"/>
        </w:rPr>
      </w:pPr>
      <w:r>
        <w:rPr>
          <w:rFonts w:hint="eastAsia" w:ascii="宋体" w:hAnsi="宋体" w:cs="Arial"/>
          <w:color w:val="auto"/>
          <w:sz w:val="24"/>
          <w:highlight w:val="none"/>
        </w:rPr>
        <w:t xml:space="preserve">《中华人民共和国政府采购法》《</w:t>
      </w:r>
      <w:r>
        <w:rPr>
          <w:rFonts w:hint="eastAsia" w:ascii="宋体" w:hAnsi="宋体" w:cs="宋体"/>
          <w:color w:val="auto"/>
          <w:sz w:val="24"/>
          <w:highlight w:val="none"/>
        </w:rPr>
        <w:t xml:space="preserve">无锡市建设工程文明施工管理办法》《城镇排水管渠与泵站运行、维护及安全技术规程》（CJJ68-2016）《新吴区公共雨污水管网（设施）养护作业参考标准》和《无锡市城区污水管网运行维护管理考核细则（试行）》</w:t>
      </w:r>
      <w:r>
        <w:rPr>
          <w:rFonts w:hint="eastAsia" w:ascii="宋体" w:hAnsi="宋体" w:cs="Arial"/>
          <w:color w:val="auto"/>
          <w:sz w:val="24"/>
          <w:highlight w:val="none"/>
        </w:rPr>
        <w:t xml:space="preserve">等其他法律法规以及江苏省和无锡市行业主管部门颁布的相关文件规定，如地方性法规与国家法规相抵触，按国家法规执行。</w:t>
      </w:r>
      <w:r/>
    </w:p>
    <w:p>
      <w:pPr>
        <w:spacing w:line="440" w:lineRule="exact"/>
        <w:rPr>
          <w:rFonts w:hint="eastAsia" w:ascii="宋体" w:hAnsi="宋体" w:cs="Arial"/>
          <w:b/>
          <w:color w:val="auto"/>
          <w:sz w:val="24"/>
          <w:highlight w:val="none"/>
        </w:rPr>
      </w:pPr>
      <w:r>
        <w:rPr>
          <w:rFonts w:hint="eastAsia" w:ascii="宋体" w:hAnsi="宋体" w:cs="Arial"/>
          <w:b/>
          <w:color w:val="auto"/>
          <w:sz w:val="24"/>
          <w:highlight w:val="none"/>
        </w:rPr>
        <w:t xml:space="preserve">三、本项目需满足的质量、安全、技术规格、物理特性等要求：</w:t>
      </w:r>
      <w:r/>
    </w:p>
    <w:p>
      <w:pPr>
        <w:spacing w:line="440" w:lineRule="exact"/>
        <w:tabs>
          <w:tab w:val="left" w:pos="1050" w:leader="none"/>
        </w:tabs>
        <w:rPr>
          <w:rFonts w:hint="eastAsia" w:ascii="宋体" w:hAnsi="宋体" w:cs="宋体"/>
          <w:color w:val="auto"/>
          <w:sz w:val="24"/>
          <w:highlight w:val="none"/>
        </w:rPr>
      </w:pPr>
      <w:r>
        <w:rPr>
          <w:rFonts w:hint="eastAsia" w:ascii="宋体" w:hAnsi="宋体" w:cs="宋体"/>
          <w:color w:val="auto"/>
          <w:sz w:val="24"/>
          <w:highlight w:val="none"/>
        </w:rPr>
        <w:t xml:space="preserve">（一）养护的质量标准和要求</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1、质量验收标准：</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A.依据《城镇排水管渠与泵站运行、维护及安全技术规程》（CJJ68-2016）、《新吴区公共雨污水管网（设施）养护作业参考标准》执行。</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B.</w:t>
      </w:r>
      <w:r>
        <w:rPr>
          <w:rFonts w:hint="eastAsia" w:ascii="宋体" w:hAnsi="宋体" w:cs="宋体"/>
          <w:color w:val="auto"/>
          <w:sz w:val="24"/>
          <w:highlight w:val="none"/>
          <w:lang w:eastAsia="zh-CN"/>
        </w:rPr>
        <w:t xml:space="preserve">雨污水管网及附属设施、沿河雨水排放口应每日进行巡查</w:t>
      </w:r>
      <w:r>
        <w:rPr>
          <w:rFonts w:hint="eastAsia" w:ascii="宋体" w:hAnsi="宋体" w:cs="宋体"/>
          <w:color w:val="auto"/>
          <w:sz w:val="24"/>
          <w:highlight w:val="none"/>
        </w:rPr>
        <w:t xml:space="preserve">，确保沟管畅通，检查井井框盖完好吻合，井内的积淤符合要求，井圈和井盖开裂、丢失应在6小时之内补装完整，并做好安全保护警示措施，以防发生意外事故。</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C.在对排水设施进行维修时，应按《无锡市建设工程文明施工管理办法》（市人民政府令第120号）和《无锡市建设工程安全生产管理条例》的要求实施，同时交通围护也应符合有关规范和规定的要求。</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2、考核方法和内容：</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A.考核分月度考核、年度考核。考核表参考《养护管理考核表》。</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B.各排水管理机构（</w:t>
      </w:r>
      <w:r>
        <w:rPr>
          <w:rFonts w:hint="eastAsia" w:ascii="宋体" w:hAnsi="宋体" w:cs="宋体"/>
          <w:color w:val="auto"/>
          <w:sz w:val="24"/>
          <w:highlight w:val="none"/>
          <w:lang w:eastAsia="zh-CN"/>
        </w:rPr>
        <w:t xml:space="preserve">硕放</w:t>
      </w:r>
      <w:r>
        <w:rPr>
          <w:rFonts w:hint="eastAsia" w:ascii="宋体" w:hAnsi="宋体" w:cs="宋体"/>
          <w:color w:val="auto"/>
          <w:sz w:val="24"/>
          <w:highlight w:val="none"/>
        </w:rPr>
        <w:t xml:space="preserve">街道）按月考得分向运行维护单位支付运行维护经费。月考得分在90分以上（包括90分），则全额支付该月度运行维护费用。月考得分在85～90分（包括85分）则扣除当月养护经费的</w:t>
      </w:r>
      <w:r>
        <w:rPr>
          <w:rFonts w:ascii="宋体" w:hAnsi="宋体" w:cs="宋体"/>
          <w:color w:val="auto"/>
          <w:sz w:val="24"/>
          <w:highlight w:val="none"/>
        </w:rPr>
        <w:t xml:space="preserve">5</w:t>
      </w:r>
      <w:r>
        <w:rPr>
          <w:rFonts w:hint="eastAsia" w:ascii="宋体" w:hAnsi="宋体" w:cs="宋体"/>
          <w:color w:val="auto"/>
          <w:sz w:val="24"/>
          <w:highlight w:val="none"/>
        </w:rPr>
        <w:t xml:space="preserve">%；月考得分在80～85分（包括80分）则扣除当月养护经费的</w:t>
      </w:r>
      <w:r>
        <w:rPr>
          <w:rFonts w:ascii="宋体" w:hAnsi="宋体" w:cs="宋体"/>
          <w:color w:val="auto"/>
          <w:sz w:val="24"/>
          <w:highlight w:val="none"/>
        </w:rPr>
        <w:t xml:space="preserve">1</w:t>
      </w:r>
      <w:r>
        <w:rPr>
          <w:rFonts w:hint="eastAsia" w:ascii="宋体" w:hAnsi="宋体" w:cs="宋体"/>
          <w:color w:val="auto"/>
          <w:sz w:val="24"/>
          <w:highlight w:val="none"/>
        </w:rPr>
        <w:t xml:space="preserve">0%；考核分低于80分的则扣除当月养护经费的</w:t>
      </w:r>
      <w:r>
        <w:rPr>
          <w:rFonts w:ascii="宋体" w:hAnsi="宋体" w:cs="宋体"/>
          <w:color w:val="auto"/>
          <w:sz w:val="24"/>
          <w:highlight w:val="none"/>
        </w:rPr>
        <w:t xml:space="preserve">2</w:t>
      </w:r>
      <w:r>
        <w:rPr>
          <w:rFonts w:hint="eastAsia" w:ascii="宋体" w:hAnsi="宋体" w:cs="宋体"/>
          <w:color w:val="auto"/>
          <w:sz w:val="24"/>
          <w:highlight w:val="none"/>
        </w:rPr>
        <w:t xml:space="preserve">0%，或暂缓支付养护经费，待整改到位后支付。同时甲方有权无条件单方面终止该合同。（注：每月考核经费为计算年度经费/12，如需扣除养护经费，在每个支付期支付时扣除相应的经费）。</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3、中标单位应建立有效的运行维护信息，按养护规范要求频率进行巡查。同时，每年对排水设施运行维护信息进行汇总</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制作运行维护信息年报表。分别于每年12月底前报（</w:t>
      </w:r>
      <w:r>
        <w:rPr>
          <w:rFonts w:hint="eastAsia" w:ascii="宋体" w:hAnsi="宋体" w:cs="宋体"/>
          <w:color w:val="auto"/>
          <w:sz w:val="24"/>
          <w:highlight w:val="none"/>
          <w:lang w:eastAsia="zh-CN"/>
        </w:rPr>
        <w:t xml:space="preserve">硕放</w:t>
      </w:r>
      <w:r>
        <w:rPr>
          <w:rFonts w:hint="eastAsia" w:ascii="宋体" w:hAnsi="宋体" w:cs="宋体"/>
          <w:color w:val="auto"/>
          <w:sz w:val="24"/>
          <w:highlight w:val="none"/>
        </w:rPr>
        <w:t xml:space="preserve">街道建设和生态环境办公室），并做好信息更新工作。巡视不到位、频率不满足要求、资料不齐全、不准确等，按《</w:t>
      </w:r>
      <w:r>
        <w:rPr>
          <w:rFonts w:hint="eastAsia" w:ascii="宋体" w:hAnsi="宋体" w:cs="宋体"/>
          <w:color w:val="auto"/>
          <w:sz w:val="24"/>
          <w:highlight w:val="none"/>
          <w:lang w:val="en-US" w:eastAsia="zh-CN"/>
        </w:rPr>
        <w:t xml:space="preserve">年度</w:t>
      </w:r>
      <w:r>
        <w:rPr>
          <w:rFonts w:hint="eastAsia" w:ascii="宋体" w:hAnsi="宋体" w:cs="宋体"/>
          <w:color w:val="auto"/>
          <w:sz w:val="24"/>
          <w:highlight w:val="none"/>
        </w:rPr>
        <w:t xml:space="preserve">养护管理考核表》处理。</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4、中标单位必须严格按照《城镇排水管渠与泵站运行、维护及安全技术规程》（CJJ68-2016）、《新吴区公共雨污水管网（设施）养护作业参考标准》和市、区有关养护作业标准等的规定。养护技术规范进行作业，针对病害维修要及时、规范，每月按时上报维修工作量、维修质量检查评定情况以及下月维修计划。并将自检评定资料于11月底前上报至甲方备案，甲方进行抽查复检单元设施综合完好率，如不及时缴纳，按《养护管理考核表》处理。</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5、养护质量考核要求：中标单位严格按照执行</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A.依据《城镇排水管渠与泵站运行、维护及安全技术规程》（CJJ68-2016）和《新吴区公共雨污水管网（设施）养护作业参考标准》执行。</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B.</w:t>
      </w:r>
      <w:r>
        <w:rPr>
          <w:rFonts w:hint="eastAsia" w:ascii="宋体" w:hAnsi="宋体" w:cs="宋体"/>
          <w:color w:val="auto"/>
          <w:sz w:val="24"/>
          <w:highlight w:val="none"/>
          <w:lang w:eastAsia="zh-CN"/>
        </w:rPr>
        <w:t xml:space="preserve">雨污水管网及附属设施、沿河雨水排放口应每日进行巡查</w:t>
      </w:r>
      <w:r>
        <w:rPr>
          <w:rFonts w:hint="eastAsia" w:ascii="宋体" w:hAnsi="宋体" w:cs="宋体"/>
          <w:color w:val="auto"/>
          <w:sz w:val="24"/>
          <w:highlight w:val="none"/>
        </w:rPr>
        <w:t xml:space="preserve">，确保沟管畅通，检查井井框盖完好吻合，井内的积淤符合要求，井圈和井盖开裂、丢失应在6小时之内补装完整，并做好安全保护警示措施，以防发生意外事故。</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C.在对排水设施进行维修时，应按《无锡市建设工程文明施工管理办法》（市人民政府令第120号）和《无锡市建设工程安全生产管理条例》的要求实施，同时交通围护也应符合有关规范和规定的要求。</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达到养护质量验收要求的，按时支付养护经费，未达到养护质量验收要求的，重新返工，费用由中标单位承担。</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6、安全责任：养护作业权合同期内，因养护不及时、不合格或不规范及对养护区域内存在安全隐患的设施清理处置不及时等原因所造成人身伤亡及安全等事故，其费用和责任由中标单位负责承担。</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7、具体考核扣分标准详见《养护管理考核表》。</w:t>
      </w:r>
      <w:r/>
    </w:p>
    <w:p>
      <w:pP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（二）管道及其附属设施的检查与养护要求</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管道及其附属设施的检查与养护要求：要求中标单位应定期对管道及其附属设施进行检查、维护，确保管道始终保持良好的通水功能和结构状态。巡查内容主要包括管道裂缝、腐蚀、沉降、变形、错口、脱节、破损、孔洞、异管穿入、渗漏、冒溢等情况。</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2、养护单位应在事故发生或接到报障、报修、投诉后2小时内到达现场，组织调查、抢修。重大事故应在12小时内向（</w:t>
      </w:r>
      <w:r>
        <w:rPr>
          <w:rFonts w:hint="eastAsia" w:ascii="宋体" w:hAnsi="宋体" w:cs="宋体"/>
          <w:color w:val="auto"/>
          <w:sz w:val="24"/>
          <w:highlight w:val="none"/>
          <w:lang w:eastAsia="zh-CN"/>
        </w:rPr>
        <w:t xml:space="preserve">硕放</w:t>
      </w:r>
      <w:r>
        <w:rPr>
          <w:rFonts w:hint="eastAsia" w:ascii="宋体" w:hAnsi="宋体" w:cs="宋体"/>
          <w:color w:val="auto"/>
          <w:sz w:val="24"/>
          <w:highlight w:val="none"/>
        </w:rPr>
        <w:t xml:space="preserve">街道建设和生态环境办公室）报告。</w:t>
      </w:r>
      <w:r/>
    </w:p>
    <w:p>
      <w:pPr>
        <w:ind w:firstLine="480"/>
        <w:spacing w:line="440" w:lineRule="exact"/>
        <w:rPr>
          <w:rFonts w:hint="eastAsia" w:hAnsi="宋体"/>
          <w:color w:val="auto"/>
          <w:sz w:val="24"/>
          <w:highlight w:val="none"/>
        </w:rPr>
      </w:pPr>
      <w:r>
        <w:rPr>
          <w:rFonts w:hint="eastAsia" w:ascii="宋体" w:hAnsi="宋体" w:cs="宋体"/>
          <w:color w:val="auto"/>
          <w:sz w:val="24"/>
          <w:highlight w:val="none"/>
        </w:rPr>
        <w:t xml:space="preserve">3、</w:t>
      </w:r>
      <w:r>
        <w:rPr>
          <w:rFonts w:hint="eastAsia" w:hAnsi="宋体"/>
          <w:color w:val="auto"/>
          <w:sz w:val="24"/>
          <w:highlight w:val="none"/>
        </w:rPr>
        <w:t xml:space="preserve">发现检查井掩埋、占压等情况，应在2小时内上报，并在24小时内恢复。如遇特殊情况书面报告。</w:t>
      </w:r>
      <w:r/>
    </w:p>
    <w:p>
      <w:pPr>
        <w:ind w:firstLine="480"/>
        <w:spacing w:line="440" w:lineRule="exact"/>
        <w:rPr>
          <w:rFonts w:hint="eastAsia" w:hAnsi="宋体"/>
          <w:color w:val="auto"/>
          <w:sz w:val="24"/>
          <w:highlight w:val="none"/>
        </w:rPr>
      </w:pPr>
      <w:r>
        <w:rPr>
          <w:rFonts w:hint="eastAsia" w:hAnsi="宋体"/>
          <w:color w:val="auto"/>
          <w:sz w:val="24"/>
          <w:highlight w:val="none"/>
        </w:rPr>
        <w:t xml:space="preserve">4、发现雨污水设施一、二级防护范围内，建造建筑物、打桩、堆放超过地面限载的重物、进行深度超过管顶的开挖施工和井点降水施工等行为，以及进行爆破、钻探、打桩、顶进、挖掘、取土等剧烈破坏行为应进行制止，并及时上报。</w:t>
      </w:r>
      <w:r/>
    </w:p>
    <w:p>
      <w:pPr>
        <w:ind w:firstLine="480"/>
        <w:spacing w:line="440" w:lineRule="exact"/>
        <w:rPr>
          <w:rFonts w:hint="eastAsia" w:hAnsi="宋体"/>
          <w:color w:val="auto"/>
          <w:sz w:val="24"/>
          <w:highlight w:val="none"/>
        </w:rPr>
      </w:pPr>
      <w:r>
        <w:rPr>
          <w:rFonts w:hint="eastAsia" w:hAnsi="宋体"/>
          <w:color w:val="auto"/>
          <w:sz w:val="24"/>
          <w:highlight w:val="none"/>
        </w:rPr>
        <w:t xml:space="preserve">5、加强巡视及时发现擅自向雨水设施排放污水、改变排水性质，或者工程施工造成雨污水设施严重堵塞、损坏、拆卸、移动和穿凿雨污水设施的行为，应在1个工作日内书面上报主管部门。</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6、养护方式可采用机械作业与人工作业相结合，具体应根据管径、管材、施工工艺等不同区别对待。</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7、养护单位应严格按照下表规定对检查井、排放口、管道、倒虹管等进行检查，并建立相应的检查记录以备核查。</w:t>
      </w:r>
      <w:r/>
    </w:p>
    <w:p>
      <w:pPr>
        <w:ind w:firstLine="480"/>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管道及附属设施的检查要求表</w:t>
      </w:r>
      <w:r/>
    </w:p>
    <w:tbl>
      <w:tblPr>
        <w:tblStyle w:val="778"/>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980"/>
        <w:gridCol w:w="1484"/>
        <w:gridCol w:w="6386"/>
      </w:tblGrid>
      <w:tr>
        <w:trPr>
          <w:jc w:val="center"/>
        </w:trPr>
        <w:tc>
          <w:tcPr>
            <w:tcW w:w="1005" w:type="pct"/>
            <w:vAlign w:val="center"/>
            <w:textDirection w:val="lrTb"/>
            <w:noWrap w:val="false"/>
          </w:tcPr>
          <w:p>
            <w:pPr>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设施种类</w:t>
            </w:r>
            <w:r/>
          </w:p>
        </w:tc>
        <w:tc>
          <w:tcPr>
            <w:tcW w:w="753" w:type="pct"/>
            <w:vAlign w:val="center"/>
            <w:textDirection w:val="lrTb"/>
            <w:noWrap w:val="false"/>
          </w:tcPr>
          <w:p>
            <w:pPr>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检查方法</w:t>
            </w:r>
            <w:r/>
          </w:p>
        </w:tc>
        <w:tc>
          <w:tcPr>
            <w:tcW w:w="3241" w:type="pct"/>
            <w:vAlign w:val="center"/>
            <w:textDirection w:val="lrTb"/>
            <w:noWrap w:val="false"/>
          </w:tcPr>
          <w:p>
            <w:pPr>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检查内容</w:t>
            </w:r>
            <w:r/>
          </w:p>
        </w:tc>
      </w:tr>
      <w:tr>
        <w:trPr>
          <w:jc w:val="center"/>
        </w:trPr>
        <w:tc>
          <w:tcPr>
            <w:tcW w:w="1005" w:type="pct"/>
            <w:vAlign w:val="center"/>
            <w:textDirection w:val="lrTb"/>
            <w:noWrap w:val="false"/>
          </w:tcPr>
          <w:p>
            <w:pPr>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检查井</w:t>
            </w:r>
            <w:r/>
          </w:p>
        </w:tc>
        <w:tc>
          <w:tcPr>
            <w:tcW w:w="753" w:type="pct"/>
            <w:vAlign w:val="center"/>
            <w:textDirection w:val="lrTb"/>
            <w:noWrap w:val="false"/>
          </w:tcPr>
          <w:p>
            <w:pPr>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目测</w:t>
            </w:r>
            <w:r/>
          </w:p>
        </w:tc>
        <w:tc>
          <w:tcPr>
            <w:tcW w:w="3241" w:type="pct"/>
            <w:vAlign w:val="center"/>
            <w:textDirection w:val="lrTb"/>
            <w:noWrap w:val="false"/>
          </w:tcPr>
          <w:p>
            <w:pPr>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违章占压、违章接管、井盖井座、梯蹬、井壁结垢、井底积泥、井身结构等</w:t>
            </w:r>
            <w:r/>
          </w:p>
        </w:tc>
      </w:tr>
      <w:tr>
        <w:trPr>
          <w:jc w:val="center"/>
        </w:trPr>
        <w:tc>
          <w:tcPr>
            <w:tcW w:w="1005" w:type="pct"/>
            <w:vAlign w:val="center"/>
            <w:vMerge w:val="restart"/>
            <w:textDirection w:val="lrTb"/>
            <w:noWrap w:val="false"/>
          </w:tcPr>
          <w:p>
            <w:pPr>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管道</w:t>
            </w:r>
            <w:r/>
          </w:p>
        </w:tc>
        <w:tc>
          <w:tcPr>
            <w:tcW w:w="753" w:type="pct"/>
            <w:vAlign w:val="center"/>
            <w:textDirection w:val="lrTb"/>
            <w:noWrap w:val="false"/>
          </w:tcPr>
          <w:p>
            <w:pPr>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目测</w:t>
            </w:r>
            <w:r/>
          </w:p>
        </w:tc>
        <w:tc>
          <w:tcPr>
            <w:tcW w:w="3241" w:type="pct"/>
            <w:vAlign w:val="center"/>
            <w:textDirection w:val="lrTb"/>
            <w:noWrap w:val="false"/>
          </w:tcPr>
          <w:p>
            <w:pPr>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违章占压、地面塌陷、水位、水流、淤积情况等</w:t>
            </w:r>
            <w:r/>
          </w:p>
        </w:tc>
      </w:tr>
      <w:tr>
        <w:trPr>
          <w:jc w:val="center"/>
          <w:trHeight w:val="672"/>
        </w:trPr>
        <w:tc>
          <w:tcPr>
            <w:tcW w:w="1005" w:type="pct"/>
            <w:vAlign w:val="center"/>
            <w:vMerge w:val="continue"/>
            <w:textDirection w:val="lrTb"/>
            <w:noWrap w:val="false"/>
          </w:tcPr>
          <w:p>
            <w:pPr>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753" w:type="pct"/>
            <w:vAlign w:val="center"/>
            <w:textDirection w:val="lrTb"/>
            <w:noWrap w:val="false"/>
          </w:tcPr>
          <w:p>
            <w:pPr>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管道反光镜或电视检测</w:t>
            </w:r>
            <w:r/>
          </w:p>
        </w:tc>
        <w:tc>
          <w:tcPr>
            <w:tcW w:w="3241" w:type="pct"/>
            <w:vAlign w:val="center"/>
            <w:textDirection w:val="lrTb"/>
            <w:noWrap w:val="false"/>
          </w:tcPr>
          <w:p>
            <w:pPr>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变形、腐蚀、渗漏、接口、结垢、错接等</w:t>
            </w:r>
            <w:r/>
          </w:p>
        </w:tc>
      </w:tr>
      <w:tr>
        <w:trPr>
          <w:jc w:val="center"/>
        </w:trPr>
        <w:tc>
          <w:tcPr>
            <w:tcW w:w="1005" w:type="pct"/>
            <w:vAlign w:val="center"/>
            <w:vMerge w:val="restart"/>
            <w:textDirection w:val="lrTb"/>
            <w:noWrap w:val="false"/>
          </w:tcPr>
          <w:p>
            <w:pPr>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倒虹管（一般是满水管，无法检查必须定期清淤）</w:t>
            </w:r>
            <w:r/>
          </w:p>
        </w:tc>
        <w:tc>
          <w:tcPr>
            <w:tcW w:w="753" w:type="pct"/>
            <w:vAlign w:val="center"/>
            <w:textDirection w:val="lrTb"/>
            <w:noWrap w:val="false"/>
          </w:tcPr>
          <w:p>
            <w:pPr>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目测</w:t>
            </w:r>
            <w:r/>
          </w:p>
        </w:tc>
        <w:tc>
          <w:tcPr>
            <w:tcW w:w="3241" w:type="pct"/>
            <w:vAlign w:val="center"/>
            <w:textDirection w:val="lrTb"/>
            <w:noWrap w:val="false"/>
          </w:tcPr>
          <w:p>
            <w:pPr>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标志牌、两端水位差、闸门等</w:t>
            </w:r>
            <w:r/>
          </w:p>
        </w:tc>
      </w:tr>
      <w:tr>
        <w:trPr>
          <w:jc w:val="center"/>
        </w:trPr>
        <w:tc>
          <w:tcPr>
            <w:tcW w:w="1005" w:type="pct"/>
            <w:vAlign w:val="center"/>
            <w:vMerge w:val="continue"/>
            <w:textDirection w:val="lrTb"/>
            <w:noWrap w:val="false"/>
          </w:tcPr>
          <w:p>
            <w:pPr>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753" w:type="pct"/>
            <w:vAlign w:val="center"/>
            <w:textDirection w:val="lrTb"/>
            <w:noWrap w:val="false"/>
          </w:tcPr>
          <w:p>
            <w:pPr>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电视检测</w:t>
            </w:r>
            <w:r/>
          </w:p>
        </w:tc>
        <w:tc>
          <w:tcPr>
            <w:tcW w:w="3241" w:type="pct"/>
            <w:vAlign w:val="center"/>
            <w:textDirection w:val="lrTb"/>
            <w:noWrap w:val="false"/>
          </w:tcPr>
          <w:p>
            <w:pPr>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淤积、腐蚀、接口渗漏、河床冲刷、管顶覆土等</w:t>
            </w:r>
            <w:r/>
          </w:p>
        </w:tc>
      </w:tr>
      <w:tr>
        <w:trPr>
          <w:jc w:val="center"/>
        </w:trPr>
        <w:tc>
          <w:tcPr>
            <w:tcW w:w="1005" w:type="pct"/>
            <w:vAlign w:val="center"/>
            <w:textDirection w:val="lrTb"/>
            <w:noWrap w:val="false"/>
          </w:tcPr>
          <w:p>
            <w:pPr>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三格式化粪池</w:t>
            </w:r>
            <w:r/>
          </w:p>
        </w:tc>
        <w:tc>
          <w:tcPr>
            <w:tcW w:w="753" w:type="pct"/>
            <w:vAlign w:val="center"/>
            <w:textDirection w:val="lrTb"/>
            <w:noWrap w:val="false"/>
          </w:tcPr>
          <w:p>
            <w:pPr>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目测</w:t>
            </w:r>
            <w:r/>
          </w:p>
        </w:tc>
        <w:tc>
          <w:tcPr>
            <w:tcW w:w="3241" w:type="pct"/>
            <w:vAlign w:val="center"/>
            <w:textDirection w:val="lrTb"/>
            <w:noWrap w:val="false"/>
          </w:tcPr>
          <w:p>
            <w:pPr>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违章占压、变形、结垢、渗漏、淤积情况等</w:t>
            </w:r>
            <w:r/>
          </w:p>
        </w:tc>
      </w:tr>
      <w:tr>
        <w:trPr>
          <w:jc w:val="center"/>
        </w:trPr>
        <w:tc>
          <w:tcPr>
            <w:tcW w:w="1005" w:type="pct"/>
            <w:vAlign w:val="center"/>
            <w:textDirection w:val="lrTb"/>
            <w:noWrap w:val="false"/>
          </w:tcPr>
          <w:p>
            <w:pPr>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隔油池和捞毛设施</w:t>
            </w:r>
            <w:r/>
          </w:p>
        </w:tc>
        <w:tc>
          <w:tcPr>
            <w:tcW w:w="753" w:type="pct"/>
            <w:vAlign w:val="center"/>
            <w:textDirection w:val="lrTb"/>
            <w:noWrap w:val="false"/>
          </w:tcPr>
          <w:p>
            <w:pPr>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目测</w:t>
            </w:r>
            <w:r/>
          </w:p>
        </w:tc>
        <w:tc>
          <w:tcPr>
            <w:tcW w:w="3241" w:type="pct"/>
            <w:vAlign w:val="center"/>
            <w:textDirection w:val="lrTb"/>
            <w:noWrap w:val="false"/>
          </w:tcPr>
          <w:p>
            <w:pPr>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违章占压、变形、结垢、淤积情况等</w:t>
            </w:r>
            <w:r/>
          </w:p>
        </w:tc>
      </w:tr>
    </w:tbl>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8、检查井日常巡查检查的内容应符合下表规定</w:t>
      </w:r>
      <w:r/>
    </w:p>
    <w:tbl>
      <w:tblPr>
        <w:tblStyle w:val="778"/>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531"/>
        <w:gridCol w:w="2099"/>
        <w:gridCol w:w="2024"/>
        <w:gridCol w:w="2909"/>
        <w:gridCol w:w="1289"/>
      </w:tblGrid>
      <w:tr>
        <w:trPr>
          <w:jc w:val="center"/>
        </w:trPr>
        <w:tc>
          <w:tcPr>
            <w:tcW w:w="777" w:type="pct"/>
            <w:vAlign w:val="center"/>
            <w:textDirection w:val="lrTb"/>
            <w:noWrap w:val="false"/>
          </w:tcPr>
          <w:p>
            <w:pPr>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部位</w:t>
            </w:r>
            <w:r/>
          </w:p>
        </w:tc>
        <w:tc>
          <w:tcPr>
            <w:gridSpan w:val="2"/>
            <w:tcW w:w="2092" w:type="pct"/>
            <w:vAlign w:val="center"/>
            <w:textDirection w:val="lrTb"/>
            <w:noWrap w:val="false"/>
          </w:tcPr>
          <w:p>
            <w:pPr>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外部巡查</w:t>
            </w:r>
            <w:r/>
          </w:p>
        </w:tc>
        <w:tc>
          <w:tcPr>
            <w:gridSpan w:val="2"/>
            <w:tcW w:w="2130" w:type="pct"/>
            <w:vAlign w:val="center"/>
            <w:textDirection w:val="lrTb"/>
            <w:noWrap w:val="false"/>
          </w:tcPr>
          <w:p>
            <w:pPr>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内部检查</w:t>
            </w:r>
            <w:r/>
          </w:p>
        </w:tc>
      </w:tr>
      <w:tr>
        <w:trPr>
          <w:jc w:val="center"/>
        </w:trPr>
        <w:tc>
          <w:tcPr>
            <w:tcW w:w="777" w:type="pct"/>
            <w:vAlign w:val="center"/>
            <w:vMerge w:val="restart"/>
            <w:textDirection w:val="lrTb"/>
            <w:noWrap w:val="false"/>
          </w:tcPr>
          <w:p>
            <w:pPr>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内容</w:t>
            </w:r>
            <w:r/>
          </w:p>
        </w:tc>
        <w:tc>
          <w:tcPr>
            <w:tcW w:w="1065" w:type="pct"/>
            <w:vAlign w:val="center"/>
            <w:textDirection w:val="lrTb"/>
            <w:noWrap w:val="false"/>
          </w:tcPr>
          <w:p>
            <w:pPr>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井的位置标识</w:t>
            </w:r>
            <w:r/>
          </w:p>
        </w:tc>
        <w:tc>
          <w:tcPr>
            <w:tcW w:w="1027" w:type="pct"/>
            <w:vAlign w:val="center"/>
            <w:textDirection w:val="lrTb"/>
            <w:noWrap w:val="false"/>
          </w:tcPr>
          <w:p>
            <w:pPr>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盖、框高差</w:t>
            </w:r>
            <w:r/>
          </w:p>
        </w:tc>
        <w:tc>
          <w:tcPr>
            <w:tcW w:w="1476" w:type="pct"/>
            <w:vAlign w:val="center"/>
            <w:textDirection w:val="lrTb"/>
            <w:noWrap w:val="false"/>
          </w:tcPr>
          <w:p>
            <w:pPr>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井位标高、井深的标识</w:t>
            </w:r>
            <w:r/>
          </w:p>
        </w:tc>
        <w:tc>
          <w:tcPr>
            <w:tcW w:w="653" w:type="pct"/>
            <w:vAlign w:val="center"/>
            <w:textDirection w:val="lrTb"/>
            <w:noWrap w:val="false"/>
          </w:tcPr>
          <w:p>
            <w:pPr>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管口孔洞</w:t>
            </w:r>
            <w:r/>
          </w:p>
        </w:tc>
      </w:tr>
      <w:tr>
        <w:trPr>
          <w:jc w:val="center"/>
        </w:trPr>
        <w:tc>
          <w:tcPr>
            <w:tcW w:w="777" w:type="pct"/>
            <w:vAlign w:val="center"/>
            <w:vMerge w:val="continue"/>
            <w:textDirection w:val="lrTb"/>
            <w:noWrap w:val="false"/>
          </w:tcPr>
          <w:p>
            <w:pPr>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065" w:type="pct"/>
            <w:vAlign w:val="center"/>
            <w:textDirection w:val="lrTb"/>
            <w:noWrap w:val="false"/>
          </w:tcPr>
          <w:p>
            <w:pPr>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井盖埋没</w:t>
            </w:r>
            <w:r/>
          </w:p>
        </w:tc>
        <w:tc>
          <w:tcPr>
            <w:tcW w:w="1027" w:type="pct"/>
            <w:vAlign w:val="center"/>
            <w:textDirection w:val="lrTb"/>
            <w:noWrap w:val="false"/>
          </w:tcPr>
          <w:p>
            <w:pPr>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盖框突出或凹陷</w:t>
            </w:r>
            <w:r/>
          </w:p>
        </w:tc>
        <w:tc>
          <w:tcPr>
            <w:tcW w:w="1476" w:type="pct"/>
            <w:vAlign w:val="center"/>
            <w:textDirection w:val="lrTb"/>
            <w:noWrap w:val="false"/>
          </w:tcPr>
          <w:p>
            <w:pPr>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爬梯松动、锈蚀或缺损</w:t>
            </w:r>
            <w:r/>
          </w:p>
        </w:tc>
        <w:tc>
          <w:tcPr>
            <w:tcW w:w="653" w:type="pct"/>
            <w:vAlign w:val="center"/>
            <w:textDirection w:val="lrTb"/>
            <w:noWrap w:val="false"/>
          </w:tcPr>
          <w:p>
            <w:pPr>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流槽破损</w:t>
            </w:r>
            <w:r/>
          </w:p>
        </w:tc>
      </w:tr>
      <w:tr>
        <w:trPr>
          <w:jc w:val="center"/>
        </w:trPr>
        <w:tc>
          <w:tcPr>
            <w:tcW w:w="777" w:type="pct"/>
            <w:vAlign w:val="center"/>
            <w:vMerge w:val="continue"/>
            <w:textDirection w:val="lrTb"/>
            <w:noWrap w:val="false"/>
          </w:tcPr>
          <w:p>
            <w:pPr>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065" w:type="pct"/>
            <w:vAlign w:val="center"/>
            <w:textDirection w:val="lrTb"/>
            <w:noWrap w:val="false"/>
          </w:tcPr>
          <w:p>
            <w:pPr>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井盖丢失</w:t>
            </w:r>
            <w:r/>
          </w:p>
        </w:tc>
        <w:tc>
          <w:tcPr>
            <w:tcW w:w="1027" w:type="pct"/>
            <w:vAlign w:val="center"/>
            <w:textDirection w:val="lrTb"/>
            <w:noWrap w:val="false"/>
          </w:tcPr>
          <w:p>
            <w:pPr>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跳动和声响</w:t>
            </w:r>
            <w:r/>
          </w:p>
        </w:tc>
        <w:tc>
          <w:tcPr>
            <w:tcW w:w="1476" w:type="pct"/>
            <w:vAlign w:val="center"/>
            <w:textDirection w:val="lrTb"/>
            <w:noWrap w:val="false"/>
          </w:tcPr>
          <w:p>
            <w:pPr>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井壁泥垢</w:t>
            </w:r>
            <w:r/>
          </w:p>
        </w:tc>
        <w:tc>
          <w:tcPr>
            <w:tcW w:w="653" w:type="pct"/>
            <w:vAlign w:val="center"/>
            <w:textDirection w:val="lrTb"/>
            <w:noWrap w:val="false"/>
          </w:tcPr>
          <w:p>
            <w:pPr>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井底积泥</w:t>
            </w:r>
            <w:r/>
          </w:p>
        </w:tc>
      </w:tr>
      <w:tr>
        <w:trPr>
          <w:jc w:val="center"/>
        </w:trPr>
        <w:tc>
          <w:tcPr>
            <w:tcW w:w="777" w:type="pct"/>
            <w:vAlign w:val="center"/>
            <w:vMerge w:val="continue"/>
            <w:textDirection w:val="lrTb"/>
            <w:noWrap w:val="false"/>
          </w:tcPr>
          <w:p>
            <w:pPr>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065" w:type="pct"/>
            <w:vAlign w:val="center"/>
            <w:textDirection w:val="lrTb"/>
            <w:noWrap w:val="false"/>
          </w:tcPr>
          <w:p>
            <w:pPr>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井盖破损</w:t>
            </w:r>
            <w:r/>
          </w:p>
        </w:tc>
        <w:tc>
          <w:tcPr>
            <w:tcW w:w="1027" w:type="pct"/>
            <w:vAlign w:val="center"/>
            <w:textDirection w:val="lrTb"/>
            <w:noWrap w:val="false"/>
          </w:tcPr>
          <w:p>
            <w:pPr>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周边路面破损</w:t>
            </w:r>
            <w:r/>
          </w:p>
        </w:tc>
        <w:tc>
          <w:tcPr>
            <w:tcW w:w="1476" w:type="pct"/>
            <w:vAlign w:val="center"/>
            <w:textDirection w:val="lrTb"/>
            <w:noWrap w:val="false"/>
          </w:tcPr>
          <w:p>
            <w:pPr>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井壁裂缝</w:t>
            </w:r>
            <w:r/>
          </w:p>
        </w:tc>
        <w:tc>
          <w:tcPr>
            <w:tcW w:w="653" w:type="pct"/>
            <w:vAlign w:val="center"/>
            <w:textDirection w:val="lrTb"/>
            <w:noWrap w:val="false"/>
          </w:tcPr>
          <w:p>
            <w:pPr>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水流不畅</w:t>
            </w:r>
            <w:r/>
          </w:p>
        </w:tc>
      </w:tr>
      <w:tr>
        <w:trPr>
          <w:jc w:val="center"/>
        </w:trPr>
        <w:tc>
          <w:tcPr>
            <w:tcW w:w="777" w:type="pct"/>
            <w:vAlign w:val="center"/>
            <w:vMerge w:val="continue"/>
            <w:textDirection w:val="lrTb"/>
            <w:noWrap w:val="false"/>
          </w:tcPr>
          <w:p>
            <w:pPr>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065" w:type="pct"/>
            <w:vAlign w:val="center"/>
            <w:textDirection w:val="lrTb"/>
            <w:noWrap w:val="false"/>
          </w:tcPr>
          <w:p>
            <w:pPr>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井框破损</w:t>
            </w:r>
            <w:r/>
          </w:p>
        </w:tc>
        <w:tc>
          <w:tcPr>
            <w:tcW w:w="1027" w:type="pct"/>
            <w:vAlign w:val="center"/>
            <w:textDirection w:val="lrTb"/>
            <w:noWrap w:val="false"/>
          </w:tcPr>
          <w:p>
            <w:pPr>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井盖标识错误</w:t>
            </w:r>
            <w:r/>
          </w:p>
        </w:tc>
        <w:tc>
          <w:tcPr>
            <w:tcW w:w="1476" w:type="pct"/>
            <w:vAlign w:val="center"/>
            <w:textDirection w:val="lrTb"/>
            <w:noWrap w:val="false"/>
          </w:tcPr>
          <w:p>
            <w:pPr>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井壁渗漏</w:t>
            </w:r>
            <w:r/>
          </w:p>
        </w:tc>
        <w:tc>
          <w:tcPr>
            <w:tcW w:w="653" w:type="pct"/>
            <w:vAlign w:val="center"/>
            <w:textDirection w:val="lrTb"/>
            <w:noWrap w:val="false"/>
          </w:tcPr>
          <w:p>
            <w:pPr>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浮渣</w:t>
            </w:r>
            <w:r/>
          </w:p>
        </w:tc>
      </w:tr>
      <w:tr>
        <w:trPr>
          <w:jc w:val="center"/>
        </w:trPr>
        <w:tc>
          <w:tcPr>
            <w:tcW w:w="777" w:type="pct"/>
            <w:vAlign w:val="center"/>
            <w:vMerge w:val="continue"/>
            <w:textDirection w:val="lrTb"/>
            <w:noWrap w:val="false"/>
          </w:tcPr>
          <w:p>
            <w:pPr>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065" w:type="pct"/>
            <w:vAlign w:val="center"/>
            <w:textDirection w:val="lrTb"/>
            <w:noWrap w:val="false"/>
          </w:tcPr>
          <w:p>
            <w:pPr>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盖、框间隙</w:t>
            </w:r>
            <w:r/>
          </w:p>
        </w:tc>
        <w:tc>
          <w:tcPr>
            <w:tcW w:w="1027" w:type="pct"/>
            <w:vAlign w:val="center"/>
            <w:textDirection w:val="lrTb"/>
            <w:noWrap w:val="false"/>
          </w:tcPr>
          <w:p>
            <w:pPr>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476" w:type="pct"/>
            <w:vAlign w:val="center"/>
            <w:textDirection w:val="lrTb"/>
            <w:noWrap w:val="false"/>
          </w:tcPr>
          <w:p>
            <w:pPr>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抹面脱落</w:t>
            </w:r>
            <w:r/>
          </w:p>
        </w:tc>
        <w:tc>
          <w:tcPr>
            <w:tcW w:w="653" w:type="pct"/>
            <w:vAlign w:val="center"/>
            <w:textDirection w:val="lrTb"/>
            <w:noWrap w:val="false"/>
          </w:tcPr>
          <w:p>
            <w:pPr>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r>
    </w:tbl>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9、井盖的选用应符合下表规定</w:t>
      </w:r>
      <w:r/>
    </w:p>
    <w:tbl>
      <w:tblPr>
        <w:tblStyle w:val="778"/>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460"/>
        <w:gridCol w:w="3862"/>
        <w:gridCol w:w="2528"/>
      </w:tblGrid>
      <w:tr>
        <w:trPr>
          <w:jc w:val="center"/>
        </w:trPr>
        <w:tc>
          <w:tcPr>
            <w:tcW w:w="1756" w:type="pct"/>
            <w:vAlign w:val="center"/>
            <w:textDirection w:val="lrTb"/>
            <w:noWrap w:val="false"/>
          </w:tcPr>
          <w:p>
            <w:pPr>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井盖种类</w:t>
            </w:r>
            <w:r/>
          </w:p>
        </w:tc>
        <w:tc>
          <w:tcPr>
            <w:tcW w:w="1960" w:type="pct"/>
            <w:vAlign w:val="center"/>
            <w:textDirection w:val="lrTb"/>
            <w:noWrap w:val="false"/>
          </w:tcPr>
          <w:p>
            <w:pPr>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标准名称</w:t>
            </w:r>
            <w:r/>
          </w:p>
        </w:tc>
        <w:tc>
          <w:tcPr>
            <w:tcW w:w="1283" w:type="pct"/>
            <w:vAlign w:val="center"/>
            <w:textDirection w:val="lrTb"/>
            <w:noWrap w:val="false"/>
          </w:tcPr>
          <w:p>
            <w:pPr>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标准标号</w:t>
            </w:r>
            <w:r/>
          </w:p>
        </w:tc>
      </w:tr>
      <w:tr>
        <w:trPr>
          <w:jc w:val="center"/>
        </w:trPr>
        <w:tc>
          <w:tcPr>
            <w:tcW w:w="1756" w:type="pct"/>
            <w:vAlign w:val="center"/>
            <w:textDirection w:val="lrTb"/>
            <w:noWrap w:val="false"/>
          </w:tcPr>
          <w:p>
            <w:pPr>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铸铁井盖</w:t>
            </w:r>
            <w:r/>
          </w:p>
        </w:tc>
        <w:tc>
          <w:tcPr>
            <w:tcW w:w="1960" w:type="pct"/>
            <w:vAlign w:val="center"/>
            <w:textDirection w:val="lrTb"/>
            <w:noWrap w:val="false"/>
          </w:tcPr>
          <w:p>
            <w:pPr>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CJ/T 511-2017《铸铁检查井盖》</w:t>
            </w:r>
            <w:r/>
          </w:p>
        </w:tc>
        <w:tc>
          <w:tcPr>
            <w:tcW w:w="1283" w:type="pct"/>
            <w:vAlign w:val="center"/>
            <w:textDirection w:val="lrTb"/>
            <w:noWrap w:val="false"/>
          </w:tcPr>
          <w:p>
            <w:pPr>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CJ/T 511-2017</w:t>
            </w:r>
            <w:r/>
          </w:p>
        </w:tc>
      </w:tr>
      <w:tr>
        <w:trPr>
          <w:jc w:val="center"/>
        </w:trPr>
        <w:tc>
          <w:tcPr>
            <w:tcW w:w="1756" w:type="pct"/>
            <w:vAlign w:val="center"/>
            <w:textDirection w:val="lrTb"/>
            <w:noWrap w:val="false"/>
          </w:tcPr>
          <w:p>
            <w:pPr>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混凝土井盖</w:t>
            </w:r>
            <w:r/>
          </w:p>
        </w:tc>
        <w:tc>
          <w:tcPr>
            <w:tcW w:w="1960" w:type="pct"/>
            <w:vAlign w:val="center"/>
            <w:textDirection w:val="lrTb"/>
            <w:noWrap w:val="false"/>
          </w:tcPr>
          <w:p>
            <w:pPr>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《钢纤维混凝土检查井盖》</w:t>
            </w:r>
            <w:r/>
          </w:p>
        </w:tc>
        <w:tc>
          <w:tcPr>
            <w:tcW w:w="1283" w:type="pct"/>
            <w:vAlign w:val="center"/>
            <w:textDirection w:val="lrTb"/>
            <w:noWrap w:val="false"/>
          </w:tcPr>
          <w:p>
            <w:pPr>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JC 889-2001</w:t>
            </w:r>
            <w:r/>
          </w:p>
        </w:tc>
      </w:tr>
      <w:tr>
        <w:trPr>
          <w:jc w:val="center"/>
        </w:trPr>
        <w:tc>
          <w:tcPr>
            <w:tcW w:w="1756" w:type="pct"/>
            <w:vAlign w:val="center"/>
            <w:textDirection w:val="lrTb"/>
            <w:noWrap w:val="false"/>
          </w:tcPr>
          <w:p>
            <w:pPr>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塑料树脂类井盖</w:t>
            </w:r>
            <w:r/>
          </w:p>
        </w:tc>
        <w:tc>
          <w:tcPr>
            <w:tcW w:w="1960" w:type="pct"/>
            <w:vAlign w:val="center"/>
            <w:textDirection w:val="lrTb"/>
            <w:noWrap w:val="false"/>
          </w:tcPr>
          <w:p>
            <w:pPr>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《再生树脂复合材料检查井盖》</w:t>
            </w:r>
            <w:r/>
          </w:p>
        </w:tc>
        <w:tc>
          <w:tcPr>
            <w:tcW w:w="1283" w:type="pct"/>
            <w:vAlign w:val="center"/>
            <w:textDirection w:val="lrTb"/>
            <w:noWrap w:val="false"/>
          </w:tcPr>
          <w:p>
            <w:pPr>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CJ/T 121-2000</w:t>
            </w:r>
            <w:r/>
          </w:p>
        </w:tc>
      </w:tr>
      <w:tr>
        <w:trPr>
          <w:jc w:val="center"/>
        </w:trPr>
        <w:tc>
          <w:tcPr>
            <w:tcW w:w="1756" w:type="pct"/>
            <w:vAlign w:val="center"/>
            <w:textDirection w:val="lrTb"/>
            <w:noWrap w:val="false"/>
          </w:tcPr>
          <w:p>
            <w:pPr>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塑料树脂类井箅</w:t>
            </w:r>
            <w:r/>
          </w:p>
        </w:tc>
        <w:tc>
          <w:tcPr>
            <w:tcW w:w="1960" w:type="pct"/>
            <w:vAlign w:val="center"/>
            <w:textDirection w:val="lrTb"/>
            <w:noWrap w:val="false"/>
          </w:tcPr>
          <w:p>
            <w:pPr>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《再生树脂复合材料检查井箅》</w:t>
            </w:r>
            <w:r/>
          </w:p>
        </w:tc>
        <w:tc>
          <w:tcPr>
            <w:tcW w:w="1283" w:type="pct"/>
            <w:vAlign w:val="center"/>
            <w:textDirection w:val="lrTb"/>
            <w:noWrap w:val="false"/>
          </w:tcPr>
          <w:p>
            <w:pPr>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CJ/T 130-2001</w:t>
            </w:r>
            <w:r/>
          </w:p>
        </w:tc>
      </w:tr>
    </w:tbl>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10、在车辆经过时，井盖不应出现跳动和声响。井盖与井框间允许误差应符合下表规定。</w:t>
      </w:r>
      <w:r/>
    </w:p>
    <w:p>
      <w:pPr>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井盖与井框间允许误差（mm）</w:t>
      </w:r>
      <w:r/>
    </w:p>
    <w:tbl>
      <w:tblPr>
        <w:tblStyle w:val="778"/>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589"/>
        <w:gridCol w:w="2590"/>
        <w:gridCol w:w="2282"/>
        <w:gridCol w:w="2389"/>
      </w:tblGrid>
      <w:tr>
        <w:trPr>
          <w:jc w:val="center"/>
        </w:trPr>
        <w:tc>
          <w:tcPr>
            <w:tcW w:w="1314" w:type="pct"/>
            <w:vAlign w:val="center"/>
            <w:textDirection w:val="lrTb"/>
            <w:noWrap w:val="false"/>
          </w:tcPr>
          <w:p>
            <w:pPr>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设施种类</w:t>
            </w:r>
            <w:r/>
          </w:p>
        </w:tc>
        <w:tc>
          <w:tcPr>
            <w:tcW w:w="1314" w:type="pct"/>
            <w:vAlign w:val="center"/>
            <w:textDirection w:val="lrTb"/>
            <w:noWrap w:val="false"/>
          </w:tcPr>
          <w:p>
            <w:pPr>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盖框间隙</w:t>
            </w:r>
            <w:r/>
          </w:p>
        </w:tc>
        <w:tc>
          <w:tcPr>
            <w:tcW w:w="1158" w:type="pct"/>
            <w:vAlign w:val="center"/>
            <w:textDirection w:val="lrTb"/>
            <w:noWrap w:val="false"/>
          </w:tcPr>
          <w:p>
            <w:pPr>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井盖与井框高低差</w:t>
            </w:r>
            <w:r/>
          </w:p>
        </w:tc>
        <w:tc>
          <w:tcPr>
            <w:tcW w:w="1212" w:type="pct"/>
            <w:vAlign w:val="center"/>
            <w:textDirection w:val="lrTb"/>
            <w:noWrap w:val="false"/>
          </w:tcPr>
          <w:p>
            <w:pPr>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井框与路面高低差</w:t>
            </w:r>
            <w:r/>
          </w:p>
        </w:tc>
      </w:tr>
      <w:tr>
        <w:trPr>
          <w:jc w:val="center"/>
        </w:trPr>
        <w:tc>
          <w:tcPr>
            <w:tcW w:w="1314" w:type="pct"/>
            <w:vAlign w:val="center"/>
            <w:textDirection w:val="lrTb"/>
            <w:noWrap w:val="false"/>
          </w:tcPr>
          <w:p>
            <w:pPr>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检查井</w:t>
            </w:r>
            <w:r/>
          </w:p>
        </w:tc>
        <w:tc>
          <w:tcPr>
            <w:tcW w:w="1314" w:type="pct"/>
            <w:vAlign w:val="center"/>
            <w:textDirection w:val="lrTb"/>
            <w:noWrap w:val="false"/>
          </w:tcPr>
          <w:p>
            <w:pPr>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&lt;8</w:t>
            </w:r>
            <w:r/>
          </w:p>
        </w:tc>
        <w:tc>
          <w:tcPr>
            <w:tcW w:w="1158" w:type="pct"/>
            <w:vAlign w:val="center"/>
            <w:textDirection w:val="lrTb"/>
            <w:noWrap w:val="false"/>
          </w:tcPr>
          <w:p>
            <w:pPr>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+5,-10</w:t>
            </w:r>
            <w:r/>
          </w:p>
        </w:tc>
        <w:tc>
          <w:tcPr>
            <w:tcW w:w="1212" w:type="pct"/>
            <w:vAlign w:val="center"/>
            <w:textDirection w:val="lrTb"/>
            <w:noWrap w:val="false"/>
          </w:tcPr>
          <w:p>
            <w:pPr>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+15,-15</w:t>
            </w:r>
            <w:r/>
          </w:p>
        </w:tc>
      </w:tr>
    </w:tbl>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11、发现井盖缺失或损坏后，须及时安放护栏和警示标志，并在6小时内修复。</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12、检查井的清掏宜采用吸泥车、抓泥车等机械设备。</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13、管道检查项目可分为功能状况和结构状况两类，主要检查项目包括下表内容。</w:t>
      </w:r>
      <w:r/>
    </w:p>
    <w:p>
      <w:pPr>
        <w:ind w:firstLine="480"/>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管道状况主要检查项目</w:t>
      </w:r>
      <w:r/>
    </w:p>
    <w:tbl>
      <w:tblPr>
        <w:tblStyle w:val="778"/>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185"/>
        <w:gridCol w:w="3823"/>
        <w:gridCol w:w="2844"/>
      </w:tblGrid>
      <w:tr>
        <w:trPr>
          <w:jc w:val="center"/>
          <w:trHeight w:val="316"/>
        </w:trPr>
        <w:tc>
          <w:tcPr>
            <w:tcW w:w="1616" w:type="pct"/>
            <w:vAlign w:val="center"/>
            <w:textDirection w:val="lrTb"/>
            <w:noWrap w:val="false"/>
          </w:tcPr>
          <w:p>
            <w:pPr>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检查类别</w:t>
            </w:r>
            <w:r/>
          </w:p>
        </w:tc>
        <w:tc>
          <w:tcPr>
            <w:tcW w:w="1940" w:type="pct"/>
            <w:vAlign w:val="center"/>
            <w:textDirection w:val="lrTb"/>
            <w:noWrap w:val="false"/>
          </w:tcPr>
          <w:p>
            <w:pPr>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功能状况</w:t>
            </w:r>
            <w:r/>
          </w:p>
        </w:tc>
        <w:tc>
          <w:tcPr>
            <w:tcW w:w="1443" w:type="pct"/>
            <w:vAlign w:val="center"/>
            <w:textDirection w:val="lrTb"/>
            <w:noWrap w:val="false"/>
          </w:tcPr>
          <w:p>
            <w:pPr>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结构状况</w:t>
            </w:r>
            <w:r/>
          </w:p>
        </w:tc>
      </w:tr>
      <w:tr>
        <w:trPr>
          <w:jc w:val="center"/>
        </w:trPr>
        <w:tc>
          <w:tcPr>
            <w:tcW w:w="1616" w:type="pct"/>
            <w:vAlign w:val="center"/>
            <w:vMerge w:val="restart"/>
            <w:textDirection w:val="lrTb"/>
            <w:noWrap w:val="false"/>
          </w:tcPr>
          <w:p>
            <w:pPr>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检查项目</w:t>
            </w:r>
            <w:r/>
          </w:p>
        </w:tc>
        <w:tc>
          <w:tcPr>
            <w:tcW w:w="1940" w:type="pct"/>
            <w:vAlign w:val="center"/>
            <w:textDirection w:val="lrTb"/>
            <w:noWrap w:val="false"/>
          </w:tcPr>
          <w:p>
            <w:pPr>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管道积泥</w:t>
            </w:r>
            <w:r/>
          </w:p>
        </w:tc>
        <w:tc>
          <w:tcPr>
            <w:tcW w:w="1443" w:type="pct"/>
            <w:vAlign w:val="center"/>
            <w:textDirection w:val="lrTb"/>
            <w:noWrap w:val="false"/>
          </w:tcPr>
          <w:p>
            <w:pPr>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裂缝</w:t>
            </w:r>
            <w:r/>
          </w:p>
        </w:tc>
      </w:tr>
      <w:tr>
        <w:trPr>
          <w:jc w:val="center"/>
        </w:trPr>
        <w:tc>
          <w:tcPr>
            <w:tcW w:w="1616" w:type="pct"/>
            <w:vAlign w:val="center"/>
            <w:vMerge w:val="continue"/>
            <w:textDirection w:val="lrTb"/>
            <w:noWrap w:val="false"/>
          </w:tcPr>
          <w:p>
            <w:pPr>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940" w:type="pct"/>
            <w:vAlign w:val="center"/>
            <w:textDirection w:val="lrTb"/>
            <w:noWrap w:val="false"/>
          </w:tcPr>
          <w:p>
            <w:pPr>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检查井积泥</w:t>
            </w:r>
            <w:r/>
          </w:p>
        </w:tc>
        <w:tc>
          <w:tcPr>
            <w:tcW w:w="1443" w:type="pct"/>
            <w:vAlign w:val="center"/>
            <w:textDirection w:val="lrTb"/>
            <w:noWrap w:val="false"/>
          </w:tcPr>
          <w:p>
            <w:pPr>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变形</w:t>
            </w:r>
            <w:r/>
          </w:p>
        </w:tc>
      </w:tr>
      <w:tr>
        <w:trPr>
          <w:jc w:val="center"/>
        </w:trPr>
        <w:tc>
          <w:tcPr>
            <w:tcW w:w="1616" w:type="pct"/>
            <w:vAlign w:val="center"/>
            <w:vMerge w:val="continue"/>
            <w:textDirection w:val="lrTb"/>
            <w:noWrap w:val="false"/>
          </w:tcPr>
          <w:p>
            <w:pPr>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940" w:type="pct"/>
            <w:vAlign w:val="center"/>
            <w:textDirection w:val="lrTb"/>
            <w:noWrap w:val="false"/>
          </w:tcPr>
          <w:p>
            <w:pPr>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排放口积泥</w:t>
            </w:r>
            <w:r/>
          </w:p>
        </w:tc>
        <w:tc>
          <w:tcPr>
            <w:tcW w:w="1443" w:type="pct"/>
            <w:vAlign w:val="center"/>
            <w:textDirection w:val="lrTb"/>
            <w:noWrap w:val="false"/>
          </w:tcPr>
          <w:p>
            <w:pPr>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错口</w:t>
            </w:r>
            <w:r/>
          </w:p>
        </w:tc>
      </w:tr>
      <w:tr>
        <w:trPr>
          <w:jc w:val="center"/>
        </w:trPr>
        <w:tc>
          <w:tcPr>
            <w:tcW w:w="1616" w:type="pct"/>
            <w:vAlign w:val="center"/>
            <w:vMerge w:val="continue"/>
            <w:textDirection w:val="lrTb"/>
            <w:noWrap w:val="false"/>
          </w:tcPr>
          <w:p>
            <w:pPr>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940" w:type="pct"/>
            <w:vAlign w:val="center"/>
            <w:textDirection w:val="lrTb"/>
            <w:noWrap w:val="false"/>
          </w:tcPr>
          <w:p>
            <w:pPr>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泥垢和油脂</w:t>
            </w:r>
            <w:r/>
          </w:p>
        </w:tc>
        <w:tc>
          <w:tcPr>
            <w:tcW w:w="1443" w:type="pct"/>
            <w:vAlign w:val="center"/>
            <w:textDirection w:val="lrTb"/>
            <w:noWrap w:val="false"/>
          </w:tcPr>
          <w:p>
            <w:pPr>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脱节</w:t>
            </w:r>
            <w:r/>
          </w:p>
        </w:tc>
      </w:tr>
      <w:tr>
        <w:trPr>
          <w:jc w:val="center"/>
        </w:trPr>
        <w:tc>
          <w:tcPr>
            <w:tcW w:w="1616" w:type="pct"/>
            <w:vAlign w:val="center"/>
            <w:vMerge w:val="continue"/>
            <w:textDirection w:val="lrTb"/>
            <w:noWrap w:val="false"/>
          </w:tcPr>
          <w:p>
            <w:pPr>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940" w:type="pct"/>
            <w:vAlign w:val="center"/>
            <w:textDirection w:val="lrTb"/>
            <w:noWrap w:val="false"/>
          </w:tcPr>
          <w:p>
            <w:pPr>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树根</w:t>
            </w:r>
            <w:r/>
          </w:p>
        </w:tc>
        <w:tc>
          <w:tcPr>
            <w:tcW w:w="1443" w:type="pct"/>
            <w:vAlign w:val="center"/>
            <w:textDirection w:val="lrTb"/>
            <w:noWrap w:val="false"/>
          </w:tcPr>
          <w:p>
            <w:pPr>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破损与孔洞</w:t>
            </w:r>
            <w:r/>
          </w:p>
        </w:tc>
      </w:tr>
      <w:tr>
        <w:trPr>
          <w:jc w:val="center"/>
        </w:trPr>
        <w:tc>
          <w:tcPr>
            <w:tcW w:w="1616" w:type="pct"/>
            <w:vAlign w:val="center"/>
            <w:vMerge w:val="continue"/>
            <w:textDirection w:val="lrTb"/>
            <w:noWrap w:val="false"/>
          </w:tcPr>
          <w:p>
            <w:pPr>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940" w:type="pct"/>
            <w:vAlign w:val="center"/>
            <w:textDirection w:val="lrTb"/>
            <w:noWrap w:val="false"/>
          </w:tcPr>
          <w:p>
            <w:pPr>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水位和水流</w:t>
            </w:r>
            <w:r/>
          </w:p>
        </w:tc>
        <w:tc>
          <w:tcPr>
            <w:tcW w:w="1443" w:type="pct"/>
            <w:vAlign w:val="center"/>
            <w:textDirection w:val="lrTb"/>
            <w:noWrap w:val="false"/>
          </w:tcPr>
          <w:p>
            <w:pPr>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渗漏</w:t>
            </w:r>
            <w:r/>
          </w:p>
        </w:tc>
      </w:tr>
      <w:tr>
        <w:trPr>
          <w:jc w:val="center"/>
        </w:trPr>
        <w:tc>
          <w:tcPr>
            <w:tcW w:w="1616" w:type="pct"/>
            <w:vAlign w:val="center"/>
            <w:vMerge w:val="continue"/>
            <w:textDirection w:val="lrTb"/>
            <w:noWrap w:val="false"/>
          </w:tcPr>
          <w:p>
            <w:pPr>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940" w:type="pct"/>
            <w:vAlign w:val="center"/>
            <w:textDirection w:val="lrTb"/>
            <w:noWrap w:val="false"/>
          </w:tcPr>
          <w:p>
            <w:pPr>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残墙、坝根</w:t>
            </w:r>
            <w:r/>
          </w:p>
        </w:tc>
        <w:tc>
          <w:tcPr>
            <w:tcW w:w="1443" w:type="pct"/>
            <w:vAlign w:val="center"/>
            <w:textDirection w:val="lrTb"/>
            <w:noWrap w:val="false"/>
          </w:tcPr>
          <w:p>
            <w:pPr>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异管穿入</w:t>
            </w:r>
            <w:r/>
          </w:p>
        </w:tc>
      </w:tr>
    </w:tbl>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14、污水井日常养护</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A</w:t>
      </w:r>
      <w:r>
        <w:rPr>
          <w:rFonts w:hint="eastAsia" w:ascii="宋体" w:hAnsi="宋体" w:cs="宋体"/>
          <w:color w:val="auto"/>
          <w:sz w:val="24"/>
          <w:highlight w:val="none"/>
        </w:rPr>
        <w:t xml:space="preserve">、养护频次</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标段内的所有</w:t>
      </w:r>
      <w:r>
        <w:rPr>
          <w:rFonts w:hint="eastAsia" w:ascii="宋体" w:hAnsi="宋体" w:cs="宋体"/>
          <w:color w:val="auto"/>
          <w:sz w:val="24"/>
          <w:highlight w:val="none"/>
          <w:lang w:eastAsia="zh-CN"/>
        </w:rPr>
        <w:t xml:space="preserve">雨</w:t>
      </w:r>
      <w:r>
        <w:rPr>
          <w:rFonts w:hint="eastAsia" w:ascii="宋体" w:hAnsi="宋体" w:cs="宋体"/>
          <w:color w:val="auto"/>
          <w:sz w:val="24"/>
          <w:highlight w:val="none"/>
        </w:rPr>
        <w:t xml:space="preserve">污水井日常养护的频次为</w:t>
      </w:r>
      <w:r>
        <w:rPr>
          <w:rFonts w:hint="eastAsia" w:ascii="宋体" w:hAnsi="宋体" w:cs="宋体"/>
          <w:color w:val="auto"/>
          <w:sz w:val="24"/>
          <w:highlight w:val="none"/>
          <w:lang w:eastAsia="zh-CN"/>
        </w:rPr>
        <w:t xml:space="preserve">每年不少于两次</w:t>
      </w:r>
      <w:r>
        <w:rPr>
          <w:rFonts w:hint="eastAsia" w:ascii="宋体" w:hAnsi="宋体" w:cs="宋体"/>
          <w:color w:val="auto"/>
          <w:sz w:val="24"/>
          <w:highlight w:val="none"/>
        </w:rPr>
        <w:t xml:space="preserve">。</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B</w:t>
      </w:r>
      <w:r>
        <w:rPr>
          <w:rFonts w:hint="eastAsia" w:ascii="宋体" w:hAnsi="宋体" w:cs="宋体"/>
          <w:color w:val="auto"/>
          <w:sz w:val="24"/>
          <w:highlight w:val="none"/>
        </w:rPr>
        <w:t xml:space="preserve">、工作内容及标准</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①</w:t>
      </w:r>
      <w:r>
        <w:rPr>
          <w:rFonts w:hint="eastAsia" w:ascii="宋体" w:hAnsi="宋体" w:cs="宋体"/>
          <w:color w:val="auto"/>
          <w:sz w:val="24"/>
          <w:highlight w:val="none"/>
        </w:rPr>
        <w:t xml:space="preserve">漂浮物清掏：使用网兜等工具对检查井内存在的漂浮物进行清掏；</w:t>
      </w:r>
      <w:r/>
    </w:p>
    <w:p>
      <w:pPr>
        <w:ind w:firstLine="480"/>
        <w:spacing w:line="44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 xml:space="preserve">②</w:t>
      </w:r>
      <w:r>
        <w:rPr>
          <w:rFonts w:hint="eastAsia" w:ascii="宋体" w:hAnsi="宋体" w:cs="宋体"/>
          <w:color w:val="auto"/>
          <w:sz w:val="24"/>
          <w:highlight w:val="none"/>
        </w:rPr>
        <w:t xml:space="preserve">检查井液位测量，水位有高程差的节点及时记录并上报</w:t>
      </w:r>
      <w:r>
        <w:rPr>
          <w:rFonts w:hint="eastAsia" w:ascii="宋体" w:hAnsi="宋体" w:cs="宋体"/>
          <w:color w:val="auto"/>
          <w:sz w:val="24"/>
          <w:highlight w:val="none"/>
          <w:lang w:eastAsia="zh-CN"/>
        </w:rPr>
        <w:t xml:space="preserve">；</w:t>
      </w:r>
      <w:r/>
    </w:p>
    <w:p>
      <w:pPr>
        <w:ind w:firstLine="480"/>
        <w:spacing w:line="44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 xml:space="preserve">③</w:t>
      </w:r>
      <w:r>
        <w:rPr>
          <w:rFonts w:hint="eastAsia" w:ascii="宋体" w:hAnsi="宋体" w:cs="宋体"/>
          <w:color w:val="auto"/>
          <w:sz w:val="24"/>
          <w:highlight w:val="none"/>
        </w:rPr>
        <w:t xml:space="preserve">检查井积淤情况测量，管道淤泥不得超过管径1/4应登记并上报</w:t>
      </w:r>
      <w:r>
        <w:rPr>
          <w:rFonts w:hint="eastAsia" w:ascii="宋体" w:hAnsi="宋体" w:cs="宋体"/>
          <w:color w:val="auto"/>
          <w:sz w:val="24"/>
          <w:highlight w:val="none"/>
          <w:lang w:eastAsia="zh-CN"/>
        </w:rPr>
        <w:t xml:space="preserve">；</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④</w:t>
      </w:r>
      <w:r>
        <w:rPr>
          <w:rFonts w:hint="eastAsia" w:ascii="宋体" w:hAnsi="宋体" w:cs="宋体"/>
          <w:color w:val="auto"/>
          <w:sz w:val="24"/>
          <w:highlight w:val="none"/>
        </w:rPr>
        <w:t xml:space="preserve">检查井内如存在大量淤积或建筑垃圾等需下井清掏的情况，需上报</w:t>
      </w:r>
      <w:r>
        <w:rPr>
          <w:rFonts w:hint="eastAsia" w:ascii="宋体" w:hAnsi="宋体" w:cs="宋体"/>
          <w:color w:val="auto"/>
          <w:sz w:val="24"/>
          <w:highlight w:val="none"/>
          <w:lang w:eastAsia="zh-CN"/>
        </w:rPr>
        <w:t xml:space="preserve">硕放</w:t>
      </w:r>
      <w:r>
        <w:rPr>
          <w:rFonts w:hint="eastAsia" w:ascii="宋体" w:hAnsi="宋体" w:cs="宋体"/>
          <w:color w:val="auto"/>
          <w:sz w:val="24"/>
          <w:highlight w:val="none"/>
        </w:rPr>
        <w:t xml:space="preserve">街道建设和生态环境办公室，经现场核实、办理相关手续后，方可下井清掏；</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⑤养护单位在养护过程中发现其他问题</w:t>
      </w:r>
      <w:r>
        <w:rPr>
          <w:rFonts w:hint="eastAsia" w:ascii="宋体" w:hAnsi="宋体" w:cs="宋体"/>
          <w:color w:val="auto"/>
          <w:sz w:val="24"/>
          <w:highlight w:val="none"/>
          <w:lang w:eastAsia="zh-CN"/>
        </w:rPr>
        <w:t xml:space="preserve">后</w:t>
      </w:r>
      <w:r>
        <w:rPr>
          <w:rFonts w:hint="eastAsia" w:ascii="宋体" w:hAnsi="宋体" w:cs="宋体"/>
          <w:color w:val="auto"/>
          <w:sz w:val="24"/>
          <w:highlight w:val="none"/>
        </w:rPr>
        <w:t xml:space="preserve">，应及时向</w:t>
      </w:r>
      <w:r>
        <w:rPr>
          <w:rFonts w:hint="eastAsia" w:ascii="宋体" w:hAnsi="宋体" w:cs="宋体"/>
          <w:color w:val="auto"/>
          <w:sz w:val="24"/>
          <w:highlight w:val="none"/>
          <w:lang w:eastAsia="zh-CN"/>
        </w:rPr>
        <w:t xml:space="preserve">硕放</w:t>
      </w:r>
      <w:r>
        <w:rPr>
          <w:rFonts w:hint="eastAsia" w:ascii="宋体" w:hAnsi="宋体" w:cs="宋体"/>
          <w:color w:val="auto"/>
          <w:sz w:val="24"/>
          <w:highlight w:val="none"/>
        </w:rPr>
        <w:t xml:space="preserve">街道建设和生态环境办公室汇报并提供相关资料，</w:t>
      </w:r>
      <w:r>
        <w:rPr>
          <w:rFonts w:hint="eastAsia" w:ascii="宋体" w:hAnsi="宋体" w:cs="宋体"/>
          <w:color w:val="auto"/>
          <w:sz w:val="24"/>
          <w:highlight w:val="none"/>
          <w:lang w:eastAsia="zh-CN"/>
        </w:rPr>
        <w:t xml:space="preserve">硕放</w:t>
      </w:r>
      <w:r>
        <w:rPr>
          <w:rFonts w:hint="eastAsia" w:ascii="宋体" w:hAnsi="宋体" w:cs="宋体"/>
          <w:color w:val="auto"/>
          <w:sz w:val="24"/>
          <w:highlight w:val="none"/>
        </w:rPr>
        <w:t xml:space="preserve">街道建设和生态环境办公室确认并提出处理意见后，对相应问题立即采取处理措施。</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养护过程中清理出的垃圾必须按要求外运处置，不得随意抛洒。</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C</w:t>
      </w:r>
      <w:r>
        <w:rPr>
          <w:rFonts w:hint="eastAsia" w:ascii="宋体" w:hAnsi="宋体" w:cs="宋体"/>
          <w:color w:val="auto"/>
          <w:sz w:val="24"/>
          <w:highlight w:val="none"/>
        </w:rPr>
        <w:t xml:space="preserve">、台账资料及其他</w:t>
      </w:r>
      <w:r>
        <w:rPr>
          <w:rFonts w:hint="eastAsia" w:ascii="宋体" w:hAnsi="宋体" w:cs="宋体"/>
          <w:color w:val="auto"/>
          <w:sz w:val="24"/>
          <w:highlight w:val="none"/>
          <w:lang w:eastAsia="zh-CN"/>
        </w:rPr>
        <w:t xml:space="preserve">：雨</w:t>
      </w:r>
      <w:r>
        <w:rPr>
          <w:rFonts w:hint="eastAsia" w:ascii="宋体" w:hAnsi="宋体" w:cs="宋体"/>
          <w:color w:val="auto"/>
          <w:sz w:val="24"/>
          <w:highlight w:val="none"/>
        </w:rPr>
        <w:t xml:space="preserve">污水井养护必须提前7个工作日上报养护计划经审核后实施，养护记录填写规范、完整（</w:t>
      </w:r>
      <w:r>
        <w:rPr>
          <w:rFonts w:hint="eastAsia" w:ascii="宋体" w:hAnsi="宋体" w:cs="宋体"/>
          <w:color w:val="auto"/>
          <w:sz w:val="24"/>
          <w:highlight w:val="none"/>
          <w:lang w:val="en-US" w:eastAsia="zh-CN"/>
        </w:rPr>
        <w:t xml:space="preserve">详见：《硕放街道排水管网养护工作管理质量标准 </w:t>
      </w:r>
      <w:r>
        <w:rPr>
          <w:rFonts w:hint="eastAsia" w:ascii="宋体" w:hAnsi="宋体" w:cs="宋体"/>
          <w:color w:val="auto"/>
          <w:sz w:val="24"/>
          <w:highlight w:val="none"/>
        </w:rPr>
        <w:t xml:space="preserve">附件</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）及每季度将《养护总结报告》（</w:t>
      </w:r>
      <w:r>
        <w:rPr>
          <w:rFonts w:hint="eastAsia" w:ascii="宋体" w:hAnsi="宋体" w:cs="宋体"/>
          <w:color w:val="auto"/>
          <w:sz w:val="24"/>
          <w:highlight w:val="none"/>
          <w:lang w:val="en-US" w:eastAsia="zh-CN"/>
        </w:rPr>
        <w:t xml:space="preserve">详见：《硕放街道排水管网养护工作管理质量标准 </w:t>
      </w:r>
      <w:r>
        <w:rPr>
          <w:rFonts w:hint="eastAsia" w:ascii="宋体" w:hAnsi="宋体" w:cs="宋体"/>
          <w:color w:val="auto"/>
          <w:sz w:val="24"/>
          <w:highlight w:val="none"/>
        </w:rPr>
        <w:t xml:space="preserve">附件</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）装订成册，于次月10日前上报。</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15、</w:t>
      </w:r>
      <w:r>
        <w:rPr>
          <w:rFonts w:hint="eastAsia" w:ascii="宋体" w:hAnsi="宋体" w:cs="宋体"/>
          <w:color w:val="auto"/>
          <w:sz w:val="24"/>
          <w:highlight w:val="none"/>
        </w:rPr>
        <w:t xml:space="preserve">管道养护应符合下列规定：</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A.定期巡视、及时发现和修理管道裂缝、腐蚀、沉降、变形、错口、脱节、破损、孔洞、异管穿入、渗漏、冒溢等情况。</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B.压力管养护应采用满负荷开泵的方式进行水力冲洗，至少每3个月1次。</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C.定期开盖检查压力井盖板，发现盖板锈蚀、密封垫老化、井体裂缝、管内积泥等情况应及时维修和保养。</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D.管道和检查井内不得留有石块等阻碍排水的杂物。管道和检查井的最大积泥深度符合下表规定。</w:t>
      </w:r>
      <w:r/>
    </w:p>
    <w:p>
      <w:pPr>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管道和检查井的允许积泥深度</w:t>
      </w:r>
      <w:r/>
    </w:p>
    <w:tbl>
      <w:tblPr>
        <w:tblStyle w:val="778"/>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098"/>
        <w:gridCol w:w="2225"/>
        <w:gridCol w:w="4529"/>
      </w:tblGrid>
      <w:tr>
        <w:trPr>
          <w:jc w:val="center"/>
        </w:trPr>
        <w:tc>
          <w:tcPr>
            <w:gridSpan w:val="2"/>
            <w:tcW w:w="2701" w:type="pct"/>
            <w:vAlign w:val="center"/>
            <w:textDirection w:val="lrTb"/>
            <w:noWrap w:val="false"/>
          </w:tcPr>
          <w:p>
            <w:pPr>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设施类别</w:t>
            </w:r>
            <w:r/>
          </w:p>
        </w:tc>
        <w:tc>
          <w:tcPr>
            <w:tcW w:w="2298" w:type="pct"/>
            <w:vAlign w:val="center"/>
            <w:textDirection w:val="lrTb"/>
            <w:noWrap w:val="false"/>
          </w:tcPr>
          <w:p>
            <w:pPr>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允许积泥深度</w:t>
            </w:r>
            <w:r/>
          </w:p>
        </w:tc>
      </w:tr>
      <w:tr>
        <w:trPr>
          <w:jc w:val="center"/>
        </w:trPr>
        <w:tc>
          <w:tcPr>
            <w:gridSpan w:val="2"/>
            <w:tcW w:w="2701" w:type="pct"/>
            <w:vAlign w:val="center"/>
            <w:textDirection w:val="lrTb"/>
            <w:noWrap w:val="false"/>
          </w:tcPr>
          <w:p>
            <w:pPr>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管道</w:t>
            </w:r>
            <w:r/>
          </w:p>
        </w:tc>
        <w:tc>
          <w:tcPr>
            <w:tcW w:w="2298" w:type="pct"/>
            <w:vAlign w:val="center"/>
            <w:textDirection w:val="lrTb"/>
            <w:noWrap w:val="false"/>
          </w:tcPr>
          <w:p>
            <w:pPr>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管径的1/5</w:t>
            </w:r>
            <w:r/>
          </w:p>
        </w:tc>
      </w:tr>
      <w:tr>
        <w:trPr>
          <w:jc w:val="center"/>
        </w:trPr>
        <w:tc>
          <w:tcPr>
            <w:tcW w:w="1572" w:type="pct"/>
            <w:vAlign w:val="center"/>
            <w:vMerge w:val="restart"/>
            <w:textDirection w:val="lrTb"/>
            <w:noWrap w:val="false"/>
          </w:tcPr>
          <w:p>
            <w:pPr>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检查井</w:t>
            </w:r>
            <w:r/>
          </w:p>
        </w:tc>
        <w:tc>
          <w:tcPr>
            <w:tcW w:w="1129" w:type="pct"/>
            <w:vAlign w:val="center"/>
            <w:textDirection w:val="lrTb"/>
            <w:noWrap w:val="false"/>
          </w:tcPr>
          <w:p>
            <w:pPr>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有沉泥槽</w:t>
            </w:r>
            <w:r/>
          </w:p>
        </w:tc>
        <w:tc>
          <w:tcPr>
            <w:tcW w:w="2298" w:type="pct"/>
            <w:vAlign w:val="center"/>
            <w:textDirection w:val="lrTb"/>
            <w:noWrap w:val="false"/>
          </w:tcPr>
          <w:p>
            <w:pPr>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管底以下50mm</w:t>
            </w:r>
            <w:r/>
          </w:p>
        </w:tc>
      </w:tr>
      <w:tr>
        <w:trPr>
          <w:jc w:val="center"/>
        </w:trPr>
        <w:tc>
          <w:tcPr>
            <w:tcW w:w="1572" w:type="pct"/>
            <w:vAlign w:val="center"/>
            <w:vMerge w:val="continue"/>
            <w:textDirection w:val="lrTb"/>
            <w:noWrap w:val="false"/>
          </w:tcPr>
          <w:p>
            <w:pPr>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29" w:type="pct"/>
            <w:vAlign w:val="center"/>
            <w:textDirection w:val="lrTb"/>
            <w:noWrap w:val="false"/>
          </w:tcPr>
          <w:p>
            <w:pPr>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无沉泥槽</w:t>
            </w:r>
            <w:r/>
          </w:p>
        </w:tc>
        <w:tc>
          <w:tcPr>
            <w:tcW w:w="2298" w:type="pct"/>
            <w:vAlign w:val="center"/>
            <w:textDirection w:val="lrTb"/>
            <w:noWrap w:val="false"/>
          </w:tcPr>
          <w:p>
            <w:pPr>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主管径的1/5</w:t>
            </w:r>
            <w:r/>
          </w:p>
        </w:tc>
      </w:tr>
    </w:tbl>
    <w:p>
      <w:pPr>
        <w:ind w:firstLine="480"/>
        <w:spacing w:line="440" w:lineRule="exact"/>
        <w:rPr>
          <w:rFonts w:hint="eastAsia" w:ascii="宋体" w:hAnsi="宋体" w:cs="宋体"/>
          <w:color w:val="auto"/>
          <w:sz w:val="24"/>
          <w:highlight w:val="none"/>
        </w:rPr>
      </w:pPr>
      <w:r>
        <w:rPr>
          <w:rFonts w:ascii="宋体" w:hAnsi="宋体" w:cs="宋体"/>
          <w:color w:val="auto"/>
          <w:sz w:val="24"/>
          <w:highlight w:val="none"/>
        </w:rPr>
        <w:t xml:space="preserve">E.</w:t>
      </w:r>
      <w:r>
        <w:rPr>
          <w:rFonts w:hint="eastAsia" w:ascii="宋体" w:hAnsi="宋体" w:cs="宋体"/>
          <w:color w:val="auto"/>
          <w:sz w:val="24"/>
          <w:highlight w:val="none"/>
        </w:rPr>
        <w:t xml:space="preserve">根据每季度</w:t>
      </w:r>
      <w:r>
        <w:rPr>
          <w:rFonts w:hint="eastAsia" w:ascii="宋体" w:hAnsi="宋体" w:cs="宋体"/>
          <w:color w:val="auto"/>
          <w:sz w:val="24"/>
          <w:highlight w:val="none"/>
          <w:lang w:eastAsia="zh-CN"/>
        </w:rPr>
        <w:t xml:space="preserve">雨</w:t>
      </w:r>
      <w:r>
        <w:rPr>
          <w:rFonts w:hint="eastAsia" w:ascii="宋体" w:hAnsi="宋体" w:cs="宋体"/>
          <w:color w:val="auto"/>
          <w:sz w:val="24"/>
          <w:highlight w:val="none"/>
        </w:rPr>
        <w:t xml:space="preserve">污水井养护结合日常巡查等工作，对管内淤积情况进行分类。淤积超过标准值，上报清单，报批后开展带水疏通作业，如带水疏通效果不佳，根据情况，</w:t>
      </w:r>
      <w:r>
        <w:rPr>
          <w:rFonts w:hint="eastAsia" w:ascii="宋体" w:hAnsi="宋体" w:cs="宋体"/>
          <w:color w:val="auto"/>
          <w:sz w:val="24"/>
          <w:highlight w:val="none"/>
          <w:lang w:eastAsia="zh-CN"/>
        </w:rPr>
        <w:t xml:space="preserve">硕放</w:t>
      </w:r>
      <w:r>
        <w:rPr>
          <w:rFonts w:hint="eastAsia" w:ascii="宋体" w:hAnsi="宋体" w:cs="宋体"/>
          <w:color w:val="auto"/>
          <w:sz w:val="24"/>
          <w:highlight w:val="none"/>
        </w:rPr>
        <w:t xml:space="preserve">街道建设和生态环境办公室认可后开展断水清通。</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①</w:t>
      </w:r>
      <w:r>
        <w:rPr>
          <w:rFonts w:hint="eastAsia" w:ascii="宋体" w:hAnsi="宋体" w:cs="宋体"/>
          <w:color w:val="auto"/>
          <w:sz w:val="24"/>
          <w:highlight w:val="none"/>
        </w:rPr>
        <w:t xml:space="preserve">带水疏通方式与标准</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疏通应采取高压射水机方式开展，疏通后管道积淤不得超过管径1/8。疏通车压力应符合下表参数设置。</w:t>
      </w:r>
      <w:r/>
    </w:p>
    <w:tbl>
      <w:tblPr>
        <w:tblStyle w:val="778"/>
        <w:tblW w:w="943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67"/>
        <w:gridCol w:w="2707"/>
        <w:gridCol w:w="1887"/>
        <w:gridCol w:w="1236"/>
        <w:gridCol w:w="2541"/>
      </w:tblGrid>
      <w:tr>
        <w:trPr>
          <w:trHeight w:val="720"/>
        </w:trPr>
        <w:tc>
          <w:tcPr>
            <w:tcW w:w="1067" w:type="dxa"/>
            <w:vAlign w:val="center"/>
            <w:vMerge w:val="restart"/>
            <w:textDirection w:val="lrTb"/>
            <w:noWrap w:val="false"/>
          </w:tcPr>
          <w:p>
            <w:pPr>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序号</w:t>
            </w:r>
            <w:r/>
          </w:p>
        </w:tc>
        <w:tc>
          <w:tcPr>
            <w:tcW w:w="2707" w:type="dxa"/>
            <w:vAlign w:val="center"/>
            <w:vMerge w:val="restart"/>
            <w:textDirection w:val="lrTb"/>
            <w:noWrap w:val="false"/>
          </w:tcPr>
          <w:p>
            <w:pPr>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管径</w:t>
            </w:r>
            <w:r/>
          </w:p>
        </w:tc>
        <w:tc>
          <w:tcPr>
            <w:gridSpan w:val="2"/>
            <w:tcW w:w="3123" w:type="dxa"/>
            <w:vAlign w:val="center"/>
            <w:textDirection w:val="lrTb"/>
            <w:noWrap w:val="false"/>
          </w:tcPr>
          <w:p>
            <w:pPr>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疏通压力（Mpa=10公斤）</w:t>
            </w:r>
            <w:r/>
          </w:p>
        </w:tc>
        <w:tc>
          <w:tcPr>
            <w:tcW w:w="2541" w:type="dxa"/>
            <w:vAlign w:val="center"/>
            <w:textDirection w:val="lrTb"/>
            <w:noWrap w:val="false"/>
          </w:tcPr>
          <w:p>
            <w:pPr>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流速（L/min）</w:t>
            </w:r>
            <w:r/>
          </w:p>
        </w:tc>
      </w:tr>
      <w:tr>
        <w:trPr>
          <w:trHeight w:val="363"/>
        </w:trPr>
        <w:tc>
          <w:tcPr>
            <w:tcW w:w="1067" w:type="dxa"/>
            <w:vAlign w:val="center"/>
            <w:vMerge w:val="continue"/>
            <w:textDirection w:val="lrTb"/>
            <w:noWrap w:val="false"/>
          </w:tcPr>
          <w:p>
            <w:pPr>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2707" w:type="dxa"/>
            <w:vAlign w:val="center"/>
            <w:vMerge w:val="continue"/>
            <w:textDirection w:val="lrTb"/>
            <w:noWrap w:val="false"/>
          </w:tcPr>
          <w:p>
            <w:pPr>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887" w:type="dxa"/>
            <w:vAlign w:val="center"/>
            <w:textDirection w:val="lrTb"/>
            <w:noWrap w:val="false"/>
          </w:tcPr>
          <w:p>
            <w:pPr>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塑料管</w:t>
            </w:r>
            <w:r/>
          </w:p>
        </w:tc>
        <w:tc>
          <w:tcPr>
            <w:tcW w:w="1236" w:type="dxa"/>
            <w:vAlign w:val="center"/>
            <w:textDirection w:val="lrTb"/>
            <w:noWrap w:val="false"/>
          </w:tcPr>
          <w:p>
            <w:pPr>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水泥管</w:t>
            </w:r>
            <w:r/>
          </w:p>
        </w:tc>
        <w:tc>
          <w:tcPr>
            <w:tcW w:w="2541" w:type="dxa"/>
            <w:vAlign w:val="center"/>
            <w:textDirection w:val="lrTb"/>
            <w:noWrap w:val="false"/>
          </w:tcPr>
          <w:p>
            <w:pPr>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trHeight w:val="720"/>
        </w:trPr>
        <w:tc>
          <w:tcPr>
            <w:tcW w:w="1067" w:type="dxa"/>
            <w:vAlign w:val="center"/>
            <w:textDirection w:val="lrTb"/>
            <w:noWrap w:val="false"/>
          </w:tcPr>
          <w:p>
            <w:pPr>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w:t>
            </w:r>
            <w:r/>
          </w:p>
        </w:tc>
        <w:tc>
          <w:tcPr>
            <w:tcW w:w="2707" w:type="dxa"/>
            <w:vAlign w:val="center"/>
            <w:textDirection w:val="lrTb"/>
            <w:noWrap w:val="false"/>
          </w:tcPr>
          <w:p>
            <w:pPr>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DN300及以下</w:t>
            </w:r>
            <w:r/>
          </w:p>
        </w:tc>
        <w:tc>
          <w:tcPr>
            <w:tcW w:w="1887" w:type="dxa"/>
            <w:vAlign w:val="center"/>
            <w:textDirection w:val="lrTb"/>
            <w:noWrap w:val="false"/>
          </w:tcPr>
          <w:p>
            <w:pPr>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0.5</w:t>
            </w:r>
            <w:r/>
          </w:p>
        </w:tc>
        <w:tc>
          <w:tcPr>
            <w:tcW w:w="1236" w:type="dxa"/>
            <w:vAlign w:val="center"/>
            <w:textDirection w:val="lrTb"/>
            <w:noWrap w:val="false"/>
          </w:tcPr>
          <w:p>
            <w:pPr>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0.6</w:t>
            </w:r>
            <w:r/>
          </w:p>
        </w:tc>
        <w:tc>
          <w:tcPr>
            <w:tcW w:w="2541" w:type="dxa"/>
            <w:vAlign w:val="center"/>
            <w:textDirection w:val="lrTb"/>
            <w:noWrap w:val="false"/>
          </w:tcPr>
          <w:p>
            <w:pPr>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不低于180</w:t>
            </w:r>
            <w:r/>
          </w:p>
        </w:tc>
      </w:tr>
      <w:tr>
        <w:trPr>
          <w:trHeight w:val="363"/>
        </w:trPr>
        <w:tc>
          <w:tcPr>
            <w:tcW w:w="1067" w:type="dxa"/>
            <w:vAlign w:val="center"/>
            <w:textDirection w:val="lrTb"/>
            <w:noWrap w:val="false"/>
          </w:tcPr>
          <w:p>
            <w:pPr>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2</w:t>
            </w:r>
            <w:r/>
          </w:p>
        </w:tc>
        <w:tc>
          <w:tcPr>
            <w:tcW w:w="2707" w:type="dxa"/>
            <w:vAlign w:val="center"/>
            <w:textDirection w:val="lrTb"/>
            <w:noWrap w:val="false"/>
          </w:tcPr>
          <w:p>
            <w:pPr>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DN400</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500</w:t>
            </w:r>
            <w:r/>
          </w:p>
        </w:tc>
        <w:tc>
          <w:tcPr>
            <w:tcW w:w="1887" w:type="dxa"/>
            <w:vAlign w:val="center"/>
            <w:textDirection w:val="lrTb"/>
            <w:noWrap w:val="false"/>
          </w:tcPr>
          <w:p>
            <w:pPr>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0.6</w:t>
            </w:r>
            <w:r/>
          </w:p>
        </w:tc>
        <w:tc>
          <w:tcPr>
            <w:tcW w:w="1236" w:type="dxa"/>
            <w:vAlign w:val="center"/>
            <w:textDirection w:val="lrTb"/>
            <w:noWrap w:val="false"/>
          </w:tcPr>
          <w:p>
            <w:pPr>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0.7</w:t>
            </w:r>
            <w:r/>
          </w:p>
        </w:tc>
        <w:tc>
          <w:tcPr>
            <w:tcW w:w="2541" w:type="dxa"/>
            <w:vAlign w:val="center"/>
            <w:textDirection w:val="lrTb"/>
            <w:noWrap w:val="false"/>
          </w:tcPr>
          <w:p>
            <w:pPr>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不低于180</w:t>
            </w:r>
            <w:r/>
          </w:p>
        </w:tc>
      </w:tr>
      <w:tr>
        <w:trPr>
          <w:trHeight w:val="363"/>
        </w:trPr>
        <w:tc>
          <w:tcPr>
            <w:tcW w:w="1067" w:type="dxa"/>
            <w:vAlign w:val="center"/>
            <w:textDirection w:val="lrTb"/>
            <w:noWrap w:val="false"/>
          </w:tcPr>
          <w:p>
            <w:pPr>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3</w:t>
            </w:r>
            <w:r/>
          </w:p>
        </w:tc>
        <w:tc>
          <w:tcPr>
            <w:tcW w:w="2707" w:type="dxa"/>
            <w:vAlign w:val="center"/>
            <w:textDirection w:val="lrTb"/>
            <w:noWrap w:val="false"/>
          </w:tcPr>
          <w:p>
            <w:pPr>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DN600</w:t>
            </w:r>
            <w:r/>
          </w:p>
        </w:tc>
        <w:tc>
          <w:tcPr>
            <w:tcW w:w="1887" w:type="dxa"/>
            <w:vAlign w:val="center"/>
            <w:textDirection w:val="lrTb"/>
            <w:noWrap w:val="false"/>
          </w:tcPr>
          <w:p>
            <w:pPr>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0.7</w:t>
            </w:r>
            <w:r/>
          </w:p>
        </w:tc>
        <w:tc>
          <w:tcPr>
            <w:tcW w:w="1236" w:type="dxa"/>
            <w:vAlign w:val="center"/>
            <w:textDirection w:val="lrTb"/>
            <w:noWrap w:val="false"/>
          </w:tcPr>
          <w:p>
            <w:pPr>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1.0</w:t>
            </w:r>
            <w:r/>
          </w:p>
        </w:tc>
        <w:tc>
          <w:tcPr>
            <w:tcW w:w="2541" w:type="dxa"/>
            <w:vAlign w:val="center"/>
            <w:textDirection w:val="lrTb"/>
            <w:noWrap w:val="false"/>
          </w:tcPr>
          <w:p>
            <w:pPr>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不低于180</w:t>
            </w:r>
            <w:r/>
          </w:p>
        </w:tc>
      </w:tr>
      <w:tr>
        <w:trPr>
          <w:trHeight w:val="363"/>
        </w:trPr>
        <w:tc>
          <w:tcPr>
            <w:tcW w:w="1067" w:type="dxa"/>
            <w:vAlign w:val="center"/>
            <w:textDirection w:val="lrTb"/>
            <w:noWrap w:val="false"/>
          </w:tcPr>
          <w:p>
            <w:pPr>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4</w:t>
            </w:r>
            <w:r/>
          </w:p>
        </w:tc>
        <w:tc>
          <w:tcPr>
            <w:tcW w:w="2707" w:type="dxa"/>
            <w:vAlign w:val="center"/>
            <w:textDirection w:val="lrTb"/>
            <w:noWrap w:val="false"/>
          </w:tcPr>
          <w:p>
            <w:pPr>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DN800</w:t>
            </w:r>
            <w:r/>
          </w:p>
        </w:tc>
        <w:tc>
          <w:tcPr>
            <w:tcW w:w="1887" w:type="dxa"/>
            <w:vAlign w:val="center"/>
            <w:textDirection w:val="lrTb"/>
            <w:noWrap w:val="false"/>
          </w:tcPr>
          <w:p>
            <w:pPr>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1.0</w:t>
            </w:r>
            <w:r/>
          </w:p>
        </w:tc>
        <w:tc>
          <w:tcPr>
            <w:tcW w:w="1236" w:type="dxa"/>
            <w:vAlign w:val="center"/>
            <w:textDirection w:val="lrTb"/>
            <w:noWrap w:val="false"/>
          </w:tcPr>
          <w:p>
            <w:pPr>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1.5</w:t>
            </w:r>
            <w:r/>
          </w:p>
        </w:tc>
        <w:tc>
          <w:tcPr>
            <w:tcW w:w="2541" w:type="dxa"/>
            <w:vAlign w:val="center"/>
            <w:textDirection w:val="lrTb"/>
            <w:noWrap w:val="false"/>
          </w:tcPr>
          <w:p>
            <w:pPr>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不低于180</w:t>
            </w:r>
            <w:r/>
          </w:p>
        </w:tc>
      </w:tr>
      <w:tr>
        <w:trPr>
          <w:trHeight w:val="363"/>
        </w:trPr>
        <w:tc>
          <w:tcPr>
            <w:tcW w:w="1067" w:type="dxa"/>
            <w:vAlign w:val="center"/>
            <w:textDirection w:val="lrTb"/>
            <w:noWrap w:val="false"/>
          </w:tcPr>
          <w:p>
            <w:pPr>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5</w:t>
            </w:r>
            <w:r/>
          </w:p>
        </w:tc>
        <w:tc>
          <w:tcPr>
            <w:tcW w:w="2707" w:type="dxa"/>
            <w:vAlign w:val="center"/>
            <w:textDirection w:val="lrTb"/>
            <w:noWrap w:val="false"/>
          </w:tcPr>
          <w:p>
            <w:pPr>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DN1000</w:t>
            </w:r>
            <w:r/>
          </w:p>
        </w:tc>
        <w:tc>
          <w:tcPr>
            <w:tcW w:w="1887" w:type="dxa"/>
            <w:vAlign w:val="center"/>
            <w:textDirection w:val="lrTb"/>
            <w:noWrap w:val="false"/>
          </w:tcPr>
          <w:p>
            <w:pPr>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1.5</w:t>
            </w:r>
            <w:r/>
          </w:p>
        </w:tc>
        <w:tc>
          <w:tcPr>
            <w:tcW w:w="1236" w:type="dxa"/>
            <w:vAlign w:val="center"/>
            <w:textDirection w:val="lrTb"/>
            <w:noWrap w:val="false"/>
          </w:tcPr>
          <w:p>
            <w:pPr>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2.0</w:t>
            </w:r>
            <w:r/>
          </w:p>
        </w:tc>
        <w:tc>
          <w:tcPr>
            <w:tcW w:w="2541" w:type="dxa"/>
            <w:vAlign w:val="center"/>
            <w:textDirection w:val="lrTb"/>
            <w:noWrap w:val="false"/>
          </w:tcPr>
          <w:p>
            <w:pPr>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不低于180</w:t>
            </w:r>
            <w:r/>
          </w:p>
        </w:tc>
      </w:tr>
      <w:tr>
        <w:trPr>
          <w:trHeight w:val="369"/>
        </w:trPr>
        <w:tc>
          <w:tcPr>
            <w:tcW w:w="1067" w:type="dxa"/>
            <w:vAlign w:val="center"/>
            <w:textDirection w:val="lrTb"/>
            <w:noWrap w:val="false"/>
          </w:tcPr>
          <w:p>
            <w:pPr>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6</w:t>
            </w:r>
            <w:r/>
          </w:p>
        </w:tc>
        <w:tc>
          <w:tcPr>
            <w:tcW w:w="2707" w:type="dxa"/>
            <w:vAlign w:val="center"/>
            <w:textDirection w:val="lrTb"/>
            <w:noWrap w:val="false"/>
          </w:tcPr>
          <w:p>
            <w:pPr>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DN1000以上</w:t>
            </w:r>
            <w:r/>
          </w:p>
        </w:tc>
        <w:tc>
          <w:tcPr>
            <w:tcW w:w="1887" w:type="dxa"/>
            <w:vAlign w:val="center"/>
            <w:textDirection w:val="lrTb"/>
            <w:noWrap w:val="false"/>
          </w:tcPr>
          <w:p>
            <w:pPr>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236" w:type="dxa"/>
            <w:vAlign w:val="center"/>
            <w:textDirection w:val="lrTb"/>
            <w:noWrap w:val="false"/>
          </w:tcPr>
          <w:p>
            <w:pPr>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2.5</w:t>
            </w:r>
            <w:r/>
          </w:p>
        </w:tc>
        <w:tc>
          <w:tcPr>
            <w:tcW w:w="2541" w:type="dxa"/>
            <w:vAlign w:val="center"/>
            <w:textDirection w:val="lrTb"/>
            <w:noWrap w:val="false"/>
          </w:tcPr>
          <w:p>
            <w:pPr>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不低于180</w:t>
            </w:r>
            <w:r/>
          </w:p>
        </w:tc>
      </w:tr>
    </w:tbl>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②</w:t>
      </w:r>
      <w:r>
        <w:rPr>
          <w:rFonts w:hint="eastAsia" w:ascii="宋体" w:hAnsi="宋体" w:cs="宋体"/>
          <w:color w:val="auto"/>
          <w:sz w:val="24"/>
          <w:highlight w:val="none"/>
        </w:rPr>
        <w:t xml:space="preserve">断水清通方式与标准</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当管内淤塞严重，淤泥已</w:t>
      </w:r>
      <w:r>
        <w:rPr>
          <w:rFonts w:hint="eastAsia" w:ascii="宋体" w:hAnsi="宋体" w:cs="宋体"/>
          <w:color w:val="auto"/>
          <w:sz w:val="24"/>
          <w:highlight w:val="none"/>
          <w:lang w:eastAsia="zh-CN"/>
        </w:rPr>
        <w:t xml:space="preserve">黏结</w:t>
      </w:r>
      <w:r>
        <w:rPr>
          <w:rFonts w:hint="eastAsia" w:ascii="宋体" w:hAnsi="宋体" w:cs="宋体"/>
          <w:color w:val="auto"/>
          <w:sz w:val="24"/>
          <w:highlight w:val="none"/>
        </w:rPr>
        <w:t xml:space="preserve">密实，带水疏通效果不佳时，应采取封堵断水后，开展清通工作，及时恢复管道功能。</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a</w:t>
      </w:r>
      <w:r>
        <w:rPr>
          <w:rFonts w:hint="eastAsia" w:ascii="宋体" w:hAnsi="宋体" w:cs="宋体"/>
          <w:color w:val="auto"/>
          <w:sz w:val="24"/>
          <w:highlight w:val="none"/>
        </w:rPr>
        <w:t xml:space="preserve">.断水清通养护标准：管道内所有淤积及垃圾均需要清理干净。</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b</w:t>
      </w:r>
      <w:r>
        <w:rPr>
          <w:rFonts w:hint="eastAsia" w:ascii="宋体" w:hAnsi="宋体" w:cs="宋体"/>
          <w:color w:val="auto"/>
          <w:sz w:val="24"/>
          <w:highlight w:val="none"/>
        </w:rPr>
        <w:t xml:space="preserve">.需提供疏通前后淤积深度测量照片、断水清通必须由现场进行视频验收。</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F.</w:t>
      </w:r>
      <w:r>
        <w:rPr>
          <w:rFonts w:ascii="宋体" w:hAnsi="宋体" w:cs="宋体"/>
          <w:color w:val="auto"/>
          <w:sz w:val="24"/>
          <w:highlight w:val="none"/>
        </w:rPr>
        <w:t xml:space="preserve">根据年度工作计划及招标人相关要求，下水道管道检测工作应严格遵循年度周期性检查机制，确保在每年汛期来临之前，全面</w:t>
      </w:r>
      <w:r>
        <w:rPr>
          <w:rFonts w:hint="eastAsia" w:ascii="宋体" w:hAnsi="宋体" w:cs="宋体"/>
          <w:color w:val="auto"/>
          <w:sz w:val="24"/>
          <w:highlight w:val="none"/>
          <w:lang w:val="en-US" w:eastAsia="zh-CN"/>
        </w:rPr>
        <w:t xml:space="preserve">完成相应管网的疏通工作，保障排水</w:t>
      </w:r>
      <w:r>
        <w:rPr>
          <w:rFonts w:ascii="宋体" w:hAnsi="宋体" w:cs="宋体"/>
          <w:color w:val="auto"/>
          <w:sz w:val="24"/>
          <w:highlight w:val="none"/>
        </w:rPr>
        <w:t xml:space="preserve">设施的完好</w:t>
      </w:r>
      <w:r>
        <w:rPr>
          <w:rFonts w:hint="eastAsia" w:ascii="宋体" w:hAnsi="宋体" w:cs="宋体"/>
          <w:color w:val="auto"/>
          <w:sz w:val="24"/>
          <w:highlight w:val="none"/>
        </w:rPr>
        <w:t xml:space="preserve">、通畅</w:t>
      </w:r>
      <w:r>
        <w:rPr>
          <w:rFonts w:ascii="宋体" w:hAnsi="宋体" w:cs="宋体"/>
          <w:color w:val="auto"/>
          <w:sz w:val="24"/>
          <w:highlight w:val="none"/>
        </w:rPr>
        <w:t xml:space="preserve">，并及时提交现场视频或含有水印的照片等</w:t>
      </w:r>
      <w:r>
        <w:rPr>
          <w:rFonts w:hint="eastAsia" w:ascii="宋体" w:hAnsi="宋体" w:cs="宋体"/>
          <w:color w:val="auto"/>
          <w:sz w:val="24"/>
          <w:highlight w:val="none"/>
        </w:rPr>
        <w:t xml:space="preserve">翔实</w:t>
      </w:r>
      <w:r>
        <w:rPr>
          <w:rFonts w:ascii="宋体" w:hAnsi="宋体" w:cs="宋体"/>
          <w:color w:val="auto"/>
          <w:sz w:val="24"/>
          <w:highlight w:val="none"/>
        </w:rPr>
        <w:t xml:space="preserve">证明材料，以确证设施运行的安全性和可靠性。</w:t>
      </w:r>
      <w:r/>
    </w:p>
    <w:p>
      <w:pPr>
        <w:spacing w:line="520" w:lineRule="exact"/>
        <w:rPr>
          <w:rFonts w:hint="eastAsia" w:hAnsi="宋体"/>
          <w:color w:val="auto"/>
          <w:sz w:val="24"/>
          <w:highlight w:val="none"/>
        </w:rPr>
      </w:pPr>
      <w:r>
        <w:rPr>
          <w:rFonts w:hint="eastAsia" w:ascii="宋体" w:hAnsi="宋体" w:cs="宋体"/>
          <w:color w:val="auto"/>
          <w:sz w:val="24"/>
          <w:highlight w:val="none"/>
        </w:rPr>
        <w:t xml:space="preserve">（三）</w:t>
      </w:r>
      <w:r>
        <w:rPr>
          <w:rFonts w:hint="eastAsia" w:hAnsi="宋体"/>
          <w:color w:val="auto"/>
          <w:sz w:val="24"/>
          <w:highlight w:val="none"/>
        </w:rPr>
        <w:t xml:space="preserve">雨水收水口和总排口维护</w:t>
      </w:r>
      <w:r/>
    </w:p>
    <w:p>
      <w:pPr>
        <w:ind w:firstLine="480"/>
        <w:spacing w:line="440" w:lineRule="exact"/>
        <w:rPr>
          <w:rFonts w:hint="eastAsia" w:hAnsi="宋体"/>
          <w:color w:val="auto"/>
          <w:sz w:val="24"/>
          <w:highlight w:val="none"/>
        </w:rPr>
      </w:pPr>
      <w:r>
        <w:rPr>
          <w:rFonts w:hint="eastAsia" w:hAnsi="宋体"/>
          <w:color w:val="auto"/>
          <w:sz w:val="24"/>
          <w:highlight w:val="none"/>
        </w:rPr>
        <w:t xml:space="preserve">1、雨水收水口附近不得有积水现象。</w:t>
      </w:r>
      <w:r/>
    </w:p>
    <w:p>
      <w:pPr>
        <w:ind w:firstLine="480"/>
        <w:spacing w:line="440" w:lineRule="exact"/>
        <w:rPr>
          <w:rFonts w:hint="eastAsia" w:hAnsi="宋体"/>
          <w:color w:val="auto"/>
          <w:sz w:val="24"/>
          <w:highlight w:val="none"/>
        </w:rPr>
      </w:pPr>
      <w:r>
        <w:rPr>
          <w:rFonts w:hint="eastAsia" w:hAnsi="宋体"/>
          <w:color w:val="auto"/>
          <w:sz w:val="24"/>
          <w:highlight w:val="none"/>
        </w:rPr>
        <w:t xml:space="preserve">2、雨水收水口孔盖眼不得堵塞，雨水收水口连接管不得堵塞，雨水收水口完好。</w:t>
      </w:r>
      <w:r/>
    </w:p>
    <w:p>
      <w:pPr>
        <w:ind w:firstLine="480"/>
        <w:spacing w:line="440" w:lineRule="exact"/>
        <w:rPr>
          <w:rFonts w:hint="eastAsia" w:hAnsi="宋体"/>
          <w:color w:val="auto"/>
          <w:sz w:val="24"/>
          <w:highlight w:val="none"/>
        </w:rPr>
      </w:pPr>
      <w:r>
        <w:rPr>
          <w:rFonts w:hint="eastAsia" w:hAnsi="宋体"/>
          <w:color w:val="auto"/>
          <w:sz w:val="24"/>
          <w:highlight w:val="none"/>
        </w:rPr>
        <w:t xml:space="preserve">3、雨水排放口八字墙或端墙外积淤不得高于出水口管底标高。雨水排放口不得有损坏、倾斜。</w:t>
      </w:r>
      <w:r/>
    </w:p>
    <w:p>
      <w:pPr>
        <w:ind w:firstLine="480"/>
        <w:spacing w:line="440" w:lineRule="exact"/>
        <w:rPr>
          <w:rFonts w:hint="eastAsia" w:hAnsi="宋体"/>
          <w:color w:val="auto"/>
          <w:sz w:val="24"/>
          <w:highlight w:val="none"/>
        </w:rPr>
      </w:pPr>
      <w:r>
        <w:rPr>
          <w:rFonts w:hint="eastAsia" w:hAnsi="宋体"/>
          <w:color w:val="auto"/>
          <w:sz w:val="24"/>
          <w:highlight w:val="none"/>
        </w:rPr>
        <w:t xml:space="preserve">4、雨水排放口上游淤泥应及时清理，确保淤泥不进入河道。</w:t>
      </w:r>
      <w:r/>
    </w:p>
    <w:p>
      <w:pPr>
        <w:ind w:firstLine="480"/>
        <w:spacing w:line="440" w:lineRule="exact"/>
        <w:rPr>
          <w:rFonts w:hint="eastAsia" w:ascii="宋体" w:hAnsi="宋体" w:cs="宋体"/>
          <w:color w:val="auto"/>
          <w:sz w:val="24"/>
          <w:highlight w:val="none"/>
        </w:rPr>
      </w:pPr>
      <w:r>
        <w:rPr>
          <w:rFonts w:hint="eastAsia" w:hAnsi="宋体"/>
          <w:color w:val="auto"/>
          <w:sz w:val="24"/>
          <w:highlight w:val="none"/>
        </w:rPr>
        <w:t xml:space="preserve">5、</w:t>
      </w:r>
      <w:r>
        <w:rPr>
          <w:rFonts w:hint="eastAsia" w:hAnsi="宋体"/>
          <w:color w:val="auto"/>
          <w:sz w:val="24"/>
          <w:highlight w:val="none"/>
          <w:lang w:eastAsia="zh-CN"/>
        </w:rPr>
        <w:t xml:space="preserve">接到</w:t>
      </w:r>
      <w:r>
        <w:rPr>
          <w:rFonts w:hint="eastAsia" w:hAnsi="宋体"/>
          <w:color w:val="auto"/>
          <w:sz w:val="24"/>
          <w:highlight w:val="none"/>
        </w:rPr>
        <w:t xml:space="preserve">通知或发现部分低洼路段存在积水，应在一周内对该区域增设收水井。</w:t>
      </w:r>
      <w:r/>
    </w:p>
    <w:p>
      <w:pP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（四）污泥运输与处置</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1、污泥盛器和车辆在街道上停放应设置安全标志，夜间应悬挂警示灯。疏通作业完毕后，应及时撤离现场。</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2、污泥运输应符合下列规定：</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A.通沟污泥可采用罐车、自卸卡车或污泥拖斗运输，也可采用水陆联运。</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B.在运输过程中，应做到污泥不落地、沿途无洒落。</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C.污泥运输车辆应加盖，并定期清洗保持整洁。</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D.污泥在长运输距离前宜进行脱水处理，脱水过程可在中转站进行或送污水处理厂处理。</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3、污泥处置应符合下列规定：</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A.污泥在送处置场前，宜进行脱水处理。</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B.脱水后淤泥运至项目所在地有焚烧资质的专业公司合法合规焚烧处置，淤泥处置不得对环境造成污染。</w:t>
      </w:r>
      <w:r>
        <w:rPr>
          <w:rFonts w:hint="eastAsia" w:ascii="宋体" w:hAnsi="宋体" w:cs="宋体"/>
          <w:b/>
          <w:bCs/>
          <w:color w:val="auto"/>
          <w:sz w:val="24"/>
          <w:szCs w:val="24"/>
          <w:highlight w:val="none"/>
        </w:rPr>
        <w:t xml:space="preserve">（提供承诺书，格式自拟）</w:t>
      </w:r>
      <w:r/>
    </w:p>
    <w:p>
      <w:pP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（五）台账资料</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1、应建立健全雨污水管网及设施的档案资料管理制度，完善竣工资料，配备专职人员。</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2、雨污水管网日常运行、维护维修、巡视巡察、安全管理等运行记录应完整清晰、准确、规范，及时汇编成册、归档。</w:t>
      </w:r>
      <w:r/>
    </w:p>
    <w:p>
      <w:pPr>
        <w:ind w:firstLine="480"/>
        <w:spacing w:line="44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巡查记录按要求规范填写（</w:t>
      </w:r>
      <w:r>
        <w:rPr>
          <w:rFonts w:hint="eastAsia" w:ascii="宋体" w:hAnsi="宋体" w:cs="宋体"/>
          <w:color w:val="auto"/>
          <w:sz w:val="24"/>
          <w:highlight w:val="none"/>
          <w:lang w:val="en-US" w:eastAsia="zh-CN"/>
        </w:rPr>
        <w:t xml:space="preserve">详见：《硕放街道排水管网养护工作管理质量标准 </w:t>
      </w:r>
      <w:r>
        <w:rPr>
          <w:rFonts w:hint="eastAsia" w:ascii="宋体" w:hAnsi="宋体" w:cs="宋体"/>
          <w:color w:val="auto"/>
          <w:sz w:val="24"/>
          <w:highlight w:val="none"/>
        </w:rPr>
        <w:t xml:space="preserve">附件1</w:t>
      </w:r>
      <w:r>
        <w:rPr>
          <w:rFonts w:hint="eastAsia" w:ascii="宋体" w:hAnsi="宋体" w:cs="宋体"/>
          <w:color w:val="auto"/>
          <w:sz w:val="24"/>
          <w:highlight w:val="none"/>
          <w:lang w:val="en-US" w:eastAsia="zh-CN"/>
        </w:rPr>
        <w:t xml:space="preserve">》</w:t>
      </w:r>
      <w:r>
        <w:rPr>
          <w:rFonts w:hint="eastAsia" w:ascii="宋体" w:hAnsi="宋体" w:cs="宋体"/>
          <w:color w:val="auto"/>
          <w:sz w:val="24"/>
          <w:highlight w:val="none"/>
        </w:rPr>
        <w:t xml:space="preserve">）必须按实填写完整、真实、有效、字迹清楚。每月汇总，并形成《巡查总结报告》（</w:t>
      </w:r>
      <w:r>
        <w:rPr>
          <w:rFonts w:hint="eastAsia" w:ascii="宋体" w:hAnsi="宋体" w:cs="宋体"/>
          <w:color w:val="auto"/>
          <w:sz w:val="24"/>
          <w:highlight w:val="none"/>
          <w:lang w:val="en-US" w:eastAsia="zh-CN"/>
        </w:rPr>
        <w:t xml:space="preserve">详见：《硕放街道排水管网养护工作管理质量标准 </w:t>
      </w:r>
      <w:r>
        <w:rPr>
          <w:rFonts w:hint="eastAsia" w:ascii="宋体" w:hAnsi="宋体" w:cs="宋体"/>
          <w:color w:val="auto"/>
          <w:sz w:val="24"/>
          <w:highlight w:val="none"/>
        </w:rPr>
        <w:t xml:space="preserve">附件</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），经审核后上报，每月装订成册，于次月10日前将以上资料汇总后作为任务单的回复资料</w:t>
      </w:r>
      <w:r>
        <w:rPr>
          <w:rFonts w:hint="eastAsia" w:ascii="宋体" w:hAnsi="宋体" w:cs="宋体"/>
          <w:color w:val="auto"/>
          <w:sz w:val="24"/>
          <w:highlight w:val="none"/>
          <w:lang w:eastAsia="zh-CN"/>
        </w:rPr>
        <w:t xml:space="preserve">。</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3、养护单位应整理、汇总设施量变更情况，每个月10日前把上个月设施量变更情况书面报送至甲方。</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4、养护单位根据甲方要求，在</w:t>
      </w:r>
      <w:r>
        <w:rPr>
          <w:rFonts w:hint="eastAsia" w:ascii="宋体" w:hAnsi="宋体" w:cs="宋体"/>
          <w:color w:val="auto"/>
          <w:sz w:val="24"/>
          <w:highlight w:val="none"/>
          <w:lang w:eastAsia="zh-CN"/>
        </w:rPr>
        <w:t xml:space="preserve">硕放</w:t>
      </w:r>
      <w:r>
        <w:rPr>
          <w:rFonts w:hint="eastAsia" w:ascii="宋体" w:hAnsi="宋体" w:cs="宋体"/>
          <w:color w:val="auto"/>
          <w:sz w:val="24"/>
          <w:highlight w:val="none"/>
        </w:rPr>
        <w:t xml:space="preserve">街道生态环境管理平台上实施养护内容及相关作业流转，上传相关养护资料等</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确保信息共享和管理工作的顺畅进行。</w:t>
      </w:r>
      <w:r/>
    </w:p>
    <w:p>
      <w:pPr>
        <w:ind w:firstLine="480"/>
        <w:spacing w:line="44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下雨前、后或特殊条件下，应24小时无条件响应</w:t>
      </w:r>
      <w:r>
        <w:rPr>
          <w:rFonts w:hint="eastAsia" w:ascii="宋体" w:hAnsi="宋体" w:cs="宋体"/>
          <w:color w:val="auto"/>
          <w:sz w:val="24"/>
          <w:highlight w:val="none"/>
          <w:lang w:eastAsia="zh-CN"/>
        </w:rPr>
        <w:t xml:space="preserve">硕放</w:t>
      </w:r>
      <w:r>
        <w:rPr>
          <w:rFonts w:hint="eastAsia" w:ascii="宋体" w:hAnsi="宋体" w:cs="宋体"/>
          <w:color w:val="auto"/>
          <w:sz w:val="24"/>
          <w:highlight w:val="none"/>
        </w:rPr>
        <w:t xml:space="preserve">街道建设和生态环境办公室要求，及时对主要市政管网及低洼路段加密监测，并做好一定的防护措施；配合对重点排放口的加密巡查</w:t>
      </w:r>
      <w:r>
        <w:rPr>
          <w:rFonts w:hint="eastAsia" w:ascii="宋体" w:hAnsi="宋体" w:cs="宋体"/>
          <w:color w:val="auto"/>
          <w:sz w:val="24"/>
          <w:highlight w:val="none"/>
          <w:lang w:eastAsia="zh-CN"/>
        </w:rPr>
        <w:t xml:space="preserve">。</w:t>
      </w:r>
      <w:r/>
    </w:p>
    <w:p>
      <w:pP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（六）应急工作</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1、养护单位应组建一支应急队伍，根据养护工作量能合理覆盖养护范围内的各类应急突发事件，能够及时处置各类突发事件的抢险工作。</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在管网巡查养护过程中发现管网存在破损、渗漏、下沉等问题，且易引起环境污染或可能造成人身伤害的，养护单位应第一时间联系</w:t>
      </w:r>
      <w:r>
        <w:rPr>
          <w:rFonts w:hint="eastAsia" w:ascii="宋体" w:hAnsi="宋体" w:cs="宋体"/>
          <w:color w:val="auto"/>
          <w:sz w:val="24"/>
          <w:highlight w:val="none"/>
          <w:lang w:eastAsia="zh-CN"/>
        </w:rPr>
        <w:t xml:space="preserve">硕放</w:t>
      </w:r>
      <w:r>
        <w:rPr>
          <w:rFonts w:hint="eastAsia" w:ascii="宋体" w:hAnsi="宋体" w:cs="宋体"/>
          <w:color w:val="auto"/>
          <w:sz w:val="24"/>
          <w:highlight w:val="none"/>
        </w:rPr>
        <w:t xml:space="preserve">街道建设和生态环境办公室，并以报告形式上报具体情况，经确认后，第一时间采取围挡、调水等应急处置措施。</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在事故发生或接到报障、报修、投诉后2小时内到达现场，组织调查和应急处置，并立即向主管部门报告。</w:t>
      </w:r>
      <w:r/>
    </w:p>
    <w:p>
      <w:pPr>
        <w:ind w:firstLine="480"/>
        <w:spacing w:line="440" w:lineRule="exact"/>
        <w:rPr>
          <w:rFonts w:hint="eastAsia" w:ascii="宋体" w:hAnsi="宋体" w:cs="宋体"/>
          <w:color w:val="auto"/>
          <w:sz w:val="24"/>
          <w:highlight w:val="none"/>
          <w:lang w:eastAsia="zh-CN"/>
        </w:rPr>
      </w:pPr>
      <w:r>
        <w:rPr>
          <w:rFonts w:hint="eastAsia" w:ascii="宋体" w:hAnsi="宋体" w:cs="宋体"/>
          <w:color w:val="auto"/>
          <w:sz w:val="24"/>
          <w:highlight w:val="none"/>
        </w:rPr>
        <w:t xml:space="preserve">养护单位配合</w:t>
      </w:r>
      <w:r>
        <w:rPr>
          <w:rFonts w:hint="eastAsia" w:ascii="宋体" w:hAnsi="宋体" w:cs="宋体"/>
          <w:color w:val="auto"/>
          <w:sz w:val="24"/>
          <w:highlight w:val="none"/>
          <w:lang w:eastAsia="zh-CN"/>
        </w:rPr>
        <w:t xml:space="preserve">硕放</w:t>
      </w:r>
      <w:r>
        <w:rPr>
          <w:rFonts w:hint="eastAsia" w:ascii="宋体" w:hAnsi="宋体" w:cs="宋体"/>
          <w:color w:val="auto"/>
          <w:sz w:val="24"/>
          <w:highlight w:val="none"/>
        </w:rPr>
        <w:t xml:space="preserve">街道建设和生态环境办公室及设计单位，确定抢修方案及施工预算，并根据</w:t>
      </w:r>
      <w:r>
        <w:rPr>
          <w:rFonts w:hint="eastAsia" w:ascii="宋体" w:hAnsi="宋体" w:cs="宋体"/>
          <w:color w:val="auto"/>
          <w:sz w:val="24"/>
          <w:highlight w:val="none"/>
          <w:lang w:eastAsia="zh-CN"/>
        </w:rPr>
        <w:t xml:space="preserve">硕放</w:t>
      </w:r>
      <w:r>
        <w:rPr>
          <w:rFonts w:hint="eastAsia" w:ascii="宋体" w:hAnsi="宋体" w:cs="宋体"/>
          <w:color w:val="auto"/>
          <w:sz w:val="24"/>
          <w:highlight w:val="none"/>
        </w:rPr>
        <w:t xml:space="preserve">街道建设和生态环境办公室下发的抢修任务书，及时组织抢修队伍</w:t>
      </w:r>
      <w:r>
        <w:rPr>
          <w:rFonts w:hint="eastAsia" w:ascii="宋体" w:hAnsi="宋体" w:cs="宋体"/>
          <w:color w:val="auto"/>
          <w:sz w:val="24"/>
          <w:highlight w:val="none"/>
          <w:lang w:eastAsia="zh-CN"/>
        </w:rPr>
        <w:t xml:space="preserve">。</w:t>
      </w:r>
      <w:r/>
    </w:p>
    <w:p>
      <w:pPr>
        <w:ind w:firstLine="480"/>
        <w:jc w:val="both"/>
        <w:spacing w:line="440" w:lineRule="exact"/>
        <w:widowControl w:val="off"/>
        <w:rPr>
          <w:rFonts w:ascii="宋体" w:hAnsi="宋体" w:eastAsia="宋体" w:cs="宋体"/>
          <w:color w:val="auto"/>
          <w:sz w:val="24"/>
          <w:highlight w:val="none"/>
          <w:lang w:bidi="ar-SA"/>
        </w:rPr>
      </w:pPr>
      <w:r>
        <w:rPr>
          <w:rFonts w:ascii="宋体" w:hAnsi="宋体" w:eastAsia="宋体" w:cs="宋体"/>
          <w:color w:val="auto"/>
          <w:sz w:val="24"/>
          <w:highlight w:val="none"/>
          <w:lang w:bidi="ar-SA"/>
        </w:rPr>
        <w:t xml:space="preserve">必须依照设计图纸及施工方案严格执行抢修工程，对施工过程实施严格监控。在开工前，应立即通知</w:t>
      </w:r>
      <w:r>
        <w:rPr>
          <w:rFonts w:hint="eastAsia" w:ascii="宋体" w:hAnsi="宋体" w:cs="宋体"/>
          <w:color w:val="auto"/>
          <w:sz w:val="24"/>
          <w:highlight w:val="none"/>
          <w:lang w:eastAsia="zh-CN" w:bidi="ar-SA"/>
        </w:rPr>
        <w:t xml:space="preserve">硕放</w:t>
      </w:r>
      <w:r>
        <w:rPr>
          <w:rFonts w:ascii="宋体" w:hAnsi="宋体" w:eastAsia="宋体" w:cs="宋体"/>
          <w:color w:val="auto"/>
          <w:sz w:val="24"/>
          <w:highlight w:val="none"/>
          <w:lang w:bidi="ar-SA"/>
        </w:rPr>
        <w:t xml:space="preserve">街道建设与生态环境办公室、跟踪审计、监理等相关单位，并在施工过程中如有任何变更，</w:t>
      </w:r>
      <w:r>
        <w:rPr>
          <w:rFonts w:hint="eastAsia" w:ascii="宋体" w:hAnsi="宋体" w:cs="宋体"/>
          <w:color w:val="auto"/>
          <w:sz w:val="24"/>
          <w:highlight w:val="none"/>
          <w:lang w:eastAsia="zh-CN" w:bidi="ar-SA"/>
        </w:rPr>
        <w:t xml:space="preserve">须</w:t>
      </w:r>
      <w:r>
        <w:rPr>
          <w:rFonts w:ascii="宋体" w:hAnsi="宋体" w:eastAsia="宋体" w:cs="宋体"/>
          <w:color w:val="auto"/>
          <w:sz w:val="24"/>
          <w:highlight w:val="none"/>
          <w:lang w:bidi="ar-SA"/>
        </w:rPr>
        <w:t xml:space="preserve">及时上报并获得确认后方可执行。同时，应与甲方协作完成道路、绿化、交警等部门的相关行政审批手续，确保满足开工条件后方可开始施工。</w:t>
      </w:r>
      <w:r/>
    </w:p>
    <w:p>
      <w:pPr>
        <w:ind w:firstLine="480"/>
        <w:jc w:val="both"/>
        <w:spacing w:line="440" w:lineRule="exact"/>
        <w:widowControl w:val="off"/>
        <w:rPr>
          <w:rFonts w:hint="eastAsia" w:ascii="宋体" w:hAnsi="宋体" w:eastAsia="宋体" w:cs="宋体"/>
          <w:color w:val="auto"/>
          <w:sz w:val="24"/>
          <w:highlight w:val="none"/>
          <w:lang w:eastAsia="zh-CN" w:bidi="ar-SA"/>
        </w:rPr>
      </w:pPr>
      <w:r>
        <w:rPr>
          <w:rFonts w:hint="eastAsia" w:ascii="宋体" w:hAnsi="宋体" w:cs="宋体"/>
          <w:color w:val="auto"/>
          <w:sz w:val="24"/>
          <w:highlight w:val="none"/>
        </w:rPr>
        <w:t xml:space="preserve">抢修结束后，通知并配合</w:t>
      </w:r>
      <w:r>
        <w:rPr>
          <w:rFonts w:hint="eastAsia" w:ascii="宋体" w:hAnsi="宋体" w:cs="宋体"/>
          <w:color w:val="auto"/>
          <w:sz w:val="24"/>
          <w:highlight w:val="none"/>
          <w:lang w:eastAsia="zh-CN"/>
        </w:rPr>
        <w:t xml:space="preserve">硕放</w:t>
      </w:r>
      <w:r>
        <w:rPr>
          <w:rFonts w:hint="eastAsia" w:ascii="宋体" w:hAnsi="宋体" w:cs="宋体"/>
          <w:color w:val="auto"/>
          <w:sz w:val="24"/>
          <w:highlight w:val="none"/>
        </w:rPr>
        <w:t xml:space="preserve">街道建设和生态环境办公室组织竣工验收，验收通过后，方可进行项目结算。</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3、具备多台大排量应急排涝设备，每台排涝设备排水能力</w:t>
      </w:r>
      <w:r>
        <w:rPr>
          <w:rFonts w:hint="eastAsia" w:ascii="宋体" w:hAnsi="宋体" w:cs="宋体"/>
          <w:color w:val="auto"/>
          <w:sz w:val="24"/>
          <w:highlight w:val="none"/>
          <w:lang w:eastAsia="zh-CN"/>
        </w:rPr>
        <w:t xml:space="preserve">应</w:t>
      </w:r>
      <w:r>
        <w:rPr>
          <w:rFonts w:hint="eastAsia" w:ascii="宋体" w:hAnsi="宋体" w:cs="宋体"/>
          <w:color w:val="auto"/>
          <w:sz w:val="24"/>
          <w:highlight w:val="none"/>
        </w:rPr>
        <w:t xml:space="preserve">达到</w:t>
      </w:r>
      <w:r>
        <w:rPr>
          <w:rFonts w:hint="eastAsia" w:ascii="宋体" w:hAnsi="宋体" w:cs="宋体"/>
          <w:color w:val="auto"/>
          <w:sz w:val="24"/>
          <w:highlight w:val="none"/>
          <w:lang w:val="en-US" w:eastAsia="zh-CN"/>
        </w:rPr>
        <w:t xml:space="preserve">20</w:t>
      </w:r>
      <w:r>
        <w:rPr>
          <w:rFonts w:hint="eastAsia" w:ascii="宋体" w:hAnsi="宋体" w:cs="宋体"/>
          <w:color w:val="auto"/>
          <w:sz w:val="24"/>
          <w:highlight w:val="none"/>
          <w:lang w:eastAsia="zh-CN"/>
        </w:rPr>
        <w:t xml:space="preserve">0立方米</w:t>
      </w:r>
      <w:r>
        <w:rPr>
          <w:rFonts w:hint="eastAsia" w:ascii="宋体" w:hAnsi="宋体" w:cs="宋体"/>
          <w:color w:val="auto"/>
          <w:sz w:val="24"/>
          <w:highlight w:val="none"/>
        </w:rPr>
        <w:t xml:space="preserve">每小时以上，应具有短时间内排空道路积水的能力。</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、如养护单位无法满足</w:t>
      </w:r>
      <w:r>
        <w:rPr>
          <w:rFonts w:hint="eastAsia" w:ascii="宋体" w:hAnsi="宋体" w:cs="宋体"/>
          <w:color w:val="auto"/>
          <w:sz w:val="24"/>
          <w:highlight w:val="none"/>
          <w:lang w:eastAsia="zh-CN"/>
        </w:rPr>
        <w:t xml:space="preserve">硕放</w:t>
      </w:r>
      <w:r>
        <w:rPr>
          <w:rFonts w:hint="eastAsia" w:ascii="宋体" w:hAnsi="宋体" w:cs="宋体"/>
          <w:color w:val="auto"/>
          <w:sz w:val="24"/>
          <w:highlight w:val="none"/>
        </w:rPr>
        <w:t xml:space="preserve">街道建设和生态环境办公室相关抢修要求，</w:t>
      </w:r>
      <w:r>
        <w:rPr>
          <w:rFonts w:hint="eastAsia" w:ascii="宋体" w:hAnsi="宋体" w:cs="宋体"/>
          <w:color w:val="auto"/>
          <w:sz w:val="24"/>
          <w:highlight w:val="none"/>
          <w:lang w:eastAsia="zh-CN"/>
        </w:rPr>
        <w:t xml:space="preserve">硕放</w:t>
      </w:r>
      <w:r>
        <w:rPr>
          <w:rFonts w:hint="eastAsia" w:ascii="宋体" w:hAnsi="宋体" w:cs="宋体"/>
          <w:color w:val="auto"/>
          <w:sz w:val="24"/>
          <w:highlight w:val="none"/>
        </w:rPr>
        <w:t xml:space="preserve">街道建设和生态环境办公室可根据实际情况，安排其他满足条件的抢修队伍进行应急抢修工作。</w:t>
      </w:r>
      <w:r/>
    </w:p>
    <w:p>
      <w:pP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（七）安全文明作业</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1、养护作业人员上岗前须接受必要的安全作业技术培训，掌握人工急救、防护用具、照明、通信设备的使用方法及相关安全知识、经考核合格后持证上岗。</w:t>
      </w:r>
      <w:r>
        <w:rPr>
          <w:rFonts w:hint="eastAsia" w:hAnsi="宋体"/>
          <w:color w:val="auto"/>
          <w:sz w:val="24"/>
          <w:highlight w:val="none"/>
        </w:rPr>
        <w:t xml:space="preserve">养护单位须购买企业安全生产责任险，并为作业人员购买人身意外保险，在工作中引发的任何安全责任和事故，均由中标人自行承担。</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2、检查井井盖开启后，须立即采取相应安全措施，如加盖安全网盖或设置安全护栏，白天加挂三角红旗，夜间加挂安全红灯或设置反光锥。</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3、作业现场、检查井及管道内严禁明火，车辆、行人不得进入作业区；作业人员下井后，井上应有2人监护；如需人员进入管道作业（管径小于0.8M的管道严禁进入作业），还需在井内增加监护人员做中间联络；监护人员不得擅离职守。</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4、在征得交管部门同意中断交通后，应在道路两端设置断绝交通的警示标志；在繁华地区作业时，应指派专人指挥交通、维护现场秩序。</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5、下井作业经过严格的审批手续，管道维护和检查严格按照现行行业标</w:t>
      </w:r>
      <w:r>
        <w:rPr>
          <w:rFonts w:hint="eastAsia" w:ascii="宋体" w:hAnsi="宋体" w:cs="宋体"/>
          <w:color w:val="auto"/>
          <w:sz w:val="24"/>
          <w:highlight w:val="none"/>
          <w:lang w:eastAsia="zh-CN"/>
        </w:rPr>
        <w:t xml:space="preserve">准和</w:t>
      </w:r>
      <w:r>
        <w:rPr>
          <w:rFonts w:hint="eastAsia" w:ascii="宋体" w:hAnsi="宋体" w:cs="宋体"/>
          <w:color w:val="auto"/>
          <w:sz w:val="24"/>
          <w:highlight w:val="none"/>
        </w:rPr>
        <w:t xml:space="preserve">《排水管道维护安全技术规程》的规定操作、执行；所有下井作业必须提交下井作业申请表，征得</w:t>
      </w:r>
      <w:r>
        <w:rPr>
          <w:rFonts w:hint="eastAsia" w:ascii="宋体" w:hAnsi="宋体" w:cs="宋体"/>
          <w:color w:val="auto"/>
          <w:sz w:val="24"/>
          <w:highlight w:val="none"/>
          <w:lang w:eastAsia="zh-CN"/>
        </w:rPr>
        <w:t xml:space="preserve">硕放街道建设和生态环境办公室</w:t>
      </w:r>
      <w:r>
        <w:rPr>
          <w:rFonts w:hint="eastAsia" w:ascii="宋体" w:hAnsi="宋体" w:cs="宋体"/>
          <w:color w:val="auto"/>
          <w:sz w:val="24"/>
          <w:highlight w:val="none"/>
        </w:rPr>
        <w:t xml:space="preserve">安全负责人确认后方可下井作业，下井作业时施工单位按规定填写下井作业票。</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6、防毒面具应定期校验，下井作业前须再次校验，合格后方可使用。</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7、养护人员应统一着装，作业时应按要求设置警示标志和安全护栏，无抛洒滴漏，工完场清，文明作业。</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8、疏通作业完毕后，污泥盛器和运输车辆应及时撤离现场；确需在街道上暂时停放的，</w:t>
      </w:r>
      <w:r>
        <w:rPr>
          <w:rFonts w:hint="eastAsia" w:ascii="宋体" w:hAnsi="宋体" w:cs="宋体"/>
          <w:color w:val="auto"/>
          <w:sz w:val="24"/>
          <w:highlight w:val="none"/>
          <w:lang w:eastAsia="zh-CN"/>
        </w:rPr>
        <w:t xml:space="preserve">需</w:t>
      </w:r>
      <w:r>
        <w:rPr>
          <w:rFonts w:hint="eastAsia" w:ascii="宋体" w:hAnsi="宋体" w:cs="宋体"/>
          <w:color w:val="auto"/>
          <w:sz w:val="24"/>
          <w:highlight w:val="none"/>
        </w:rPr>
        <w:t xml:space="preserve">经主管部门同意，停放时间不宜超过一昼夜；污泥盛器和运输车辆在街道上停放过夜时，应悬挂安全红灯或设置反光锥。</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9、巡查、养护、抢修车辆车况应经常保持良好状态，车容整洁，标志明显。</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10、养护单位应建立健全管道及其附属设施档案资料管理制度，配备专职档案资料管理人员。各项管网、设施维护台账健全，记录详细，装订规范。运营档案、资料实行计算机自动化管理。</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11、养护单位应向社会公布服务承诺、投诉电话和电子信箱。</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12、每个养护单位养护范围内每年被政府部门行政处罚、被社会有效行政投诉或公众媒体有负面报道次数应少于6次。</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13、</w:t>
      </w:r>
      <w:r>
        <w:rPr>
          <w:rFonts w:hint="eastAsia" w:ascii="宋体" w:hAnsi="宋体" w:cs="宋体"/>
          <w:color w:val="auto"/>
          <w:sz w:val="24"/>
          <w:highlight w:val="none"/>
        </w:rPr>
        <w:t xml:space="preserve">养护单位</w:t>
      </w:r>
      <w:r>
        <w:rPr>
          <w:rFonts w:hint="eastAsia" w:ascii="宋体" w:hAnsi="宋体" w:cs="宋体"/>
          <w:color w:val="auto"/>
          <w:sz w:val="24"/>
          <w:highlight w:val="none"/>
          <w:lang w:val="en-US" w:eastAsia="zh-CN"/>
        </w:rPr>
        <w:t xml:space="preserve">在</w:t>
      </w:r>
      <w:r>
        <w:rPr>
          <w:rFonts w:hint="eastAsia" w:ascii="宋体" w:hAnsi="宋体" w:cs="宋体"/>
          <w:color w:val="auto"/>
          <w:sz w:val="24"/>
          <w:highlight w:val="none"/>
        </w:rPr>
        <w:t xml:space="preserve">接到投诉处理时，必须</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小时之内赶赴现场，立即处置，如无法及时处置的，必须采取有效的应急手段及警示标识，确保不发生次生灾害，污水井井盖问题当天必须处理完成</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每个投诉处理完成后必须按时回复。处理投诉时，养护单位必须直接联系甲方提供的投诉人，并及时向片管员及投诉人告知处理结果。</w:t>
      </w:r>
      <w:r/>
    </w:p>
    <w:p>
      <w:pPr>
        <w:ind w:firstLine="480"/>
        <w:spacing w:line="440" w:lineRule="exact"/>
        <w:rPr>
          <w:rFonts w:hint="eastAsia" w:hAnsi="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w:t>
      </w:r>
      <w:r>
        <w:rPr>
          <w:rFonts w:hint="eastAsia" w:hAnsi="宋体"/>
          <w:color w:val="auto"/>
          <w:sz w:val="24"/>
          <w:highlight w:val="none"/>
        </w:rPr>
        <w:t xml:space="preserve">在对设施进行维修时，应按建设部第15号令《建设工程施工现场管理规定》的要求实施，同时交通围护也应符合有关规范和规定的要求。</w:t>
      </w:r>
      <w:r/>
    </w:p>
    <w:p>
      <w:pPr>
        <w:ind w:firstLine="480"/>
        <w:spacing w:line="440" w:lineRule="exact"/>
        <w:rPr>
          <w:rFonts w:hint="eastAsia" w:ascii="宋体" w:hAnsi="宋体" w:cs="宋体"/>
          <w:color w:val="auto"/>
          <w:sz w:val="24"/>
          <w:highlight w:val="none"/>
        </w:rPr>
      </w:pPr>
      <w:r>
        <w:rPr>
          <w:rFonts w:hint="eastAsia" w:hAnsi="宋体"/>
          <w:color w:val="auto"/>
          <w:sz w:val="24"/>
          <w:highlight w:val="none"/>
          <w:lang w:val="en-US" w:eastAsia="zh-CN"/>
        </w:rPr>
        <w:t xml:space="preserve">15、</w:t>
      </w:r>
      <w:r>
        <w:rPr>
          <w:rFonts w:hint="eastAsia" w:hAnsi="宋体"/>
          <w:color w:val="auto"/>
          <w:sz w:val="24"/>
          <w:highlight w:val="none"/>
        </w:rPr>
        <w:t xml:space="preserve">安全目标：实现"双零"目标，即：零安全事故，零伤亡率。</w:t>
      </w:r>
      <w:r/>
    </w:p>
    <w:p>
      <w:pP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（八）其他：</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1、对采购人提出的工作要求须积极响应。</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2、对中标人的安全管理要求：</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（1）安全应包括正常营运及养护作业时发生事故的交通组织和安全防护。 </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（2）中标人在现场作业或养护时，应作出预测，采用必要的预防性安全措施。 </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（3）每月应进行一次安全教育学习。 </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3、对中标人保护技术资料的要求：</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（1）中标人不得向任何单位和个人提供采购人所提供的各种资料。</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（2）中标人必须按采购方要求对每个养护项目制作项目基础资料。</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（3）中标人在合同期满后须向采购人交回所有由采购人提供的技术资料。</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4、养护单位负责公共秩序维护管理，防止人为破坏、杜绝各类事故的发生。</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5、在遇到异常情况或紧急求助时，工作人员应在15分钟内赶到现场采取相应措施控制局面。</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6、</w:t>
      </w:r>
      <w:r>
        <w:rPr>
          <w:rFonts w:ascii="宋体" w:hAnsi="宋体" w:cs="宋体"/>
          <w:color w:val="auto"/>
          <w:sz w:val="24"/>
          <w:highlight w:val="none"/>
        </w:rPr>
        <w:t xml:space="preserve">养护单位应</w:t>
      </w:r>
      <w:r>
        <w:rPr>
          <w:rFonts w:hint="eastAsia" w:ascii="宋体" w:hAnsi="宋体" w:cs="宋体"/>
          <w:color w:val="auto"/>
          <w:sz w:val="24"/>
          <w:highlight w:val="none"/>
        </w:rPr>
        <w:t xml:space="preserve">配合</w:t>
      </w:r>
      <w:r>
        <w:rPr>
          <w:rFonts w:ascii="宋体" w:hAnsi="宋体" w:cs="宋体"/>
          <w:color w:val="auto"/>
          <w:sz w:val="24"/>
          <w:highlight w:val="none"/>
        </w:rPr>
        <w:t xml:space="preserve">招标人，执行上级指令，进行</w:t>
      </w:r>
      <w:r>
        <w:rPr>
          <w:rFonts w:hint="eastAsia" w:ascii="宋体" w:hAnsi="宋体" w:cs="宋体"/>
          <w:color w:val="auto"/>
          <w:sz w:val="24"/>
          <w:highlight w:val="none"/>
        </w:rPr>
        <w:t xml:space="preserve">整治、验收、</w:t>
      </w:r>
      <w:r>
        <w:rPr>
          <w:rFonts w:ascii="宋体" w:hAnsi="宋体" w:cs="宋体"/>
          <w:color w:val="auto"/>
          <w:sz w:val="24"/>
          <w:highlight w:val="none"/>
        </w:rPr>
        <w:t xml:space="preserve">创建</w:t>
      </w:r>
      <w:r>
        <w:rPr>
          <w:rFonts w:hint="eastAsia" w:ascii="宋体" w:hAnsi="宋体" w:cs="宋体"/>
          <w:color w:val="auto"/>
          <w:sz w:val="24"/>
          <w:highlight w:val="none"/>
        </w:rPr>
        <w:t xml:space="preserve">、</w:t>
      </w:r>
      <w:r>
        <w:rPr>
          <w:rFonts w:ascii="宋体" w:hAnsi="宋体" w:cs="宋体"/>
          <w:color w:val="auto"/>
          <w:sz w:val="24"/>
          <w:highlight w:val="none"/>
        </w:rPr>
        <w:t xml:space="preserve">回头看</w:t>
      </w:r>
      <w:r>
        <w:rPr>
          <w:rFonts w:hint="eastAsia" w:ascii="宋体" w:hAnsi="宋体" w:cs="宋体"/>
          <w:color w:val="auto"/>
          <w:sz w:val="24"/>
          <w:highlight w:val="none"/>
        </w:rPr>
        <w:t xml:space="preserve">等，并提供</w:t>
      </w:r>
      <w:r>
        <w:rPr>
          <w:rFonts w:ascii="宋体" w:hAnsi="宋体" w:cs="宋体"/>
          <w:color w:val="auto"/>
          <w:sz w:val="24"/>
          <w:highlight w:val="none"/>
        </w:rPr>
        <w:t xml:space="preserve">相关</w:t>
      </w:r>
      <w:r>
        <w:rPr>
          <w:rFonts w:hint="eastAsia" w:ascii="宋体" w:hAnsi="宋体" w:cs="宋体"/>
          <w:color w:val="auto"/>
          <w:sz w:val="24"/>
          <w:highlight w:val="none"/>
        </w:rPr>
        <w:t xml:space="preserve">资料。</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7、</w:t>
      </w:r>
      <w:r>
        <w:rPr>
          <w:rFonts w:ascii="宋体" w:hAnsi="宋体" w:cs="宋体"/>
          <w:color w:val="auto"/>
          <w:sz w:val="24"/>
          <w:highlight w:val="none"/>
        </w:rPr>
        <w:t xml:space="preserve">养护单位</w:t>
      </w:r>
      <w:r>
        <w:rPr>
          <w:rFonts w:hint="eastAsia" w:ascii="宋体" w:hAnsi="宋体" w:cs="宋体"/>
          <w:color w:val="auto"/>
          <w:sz w:val="24"/>
          <w:highlight w:val="none"/>
        </w:rPr>
        <w:t xml:space="preserve">根据招标人要求，</w:t>
      </w:r>
      <w:r>
        <w:rPr>
          <w:rFonts w:hint="eastAsia" w:ascii="宋体" w:hAnsi="宋体" w:cs="宋体"/>
          <w:color w:val="auto"/>
          <w:sz w:val="24"/>
          <w:szCs w:val="24"/>
          <w:highlight w:val="none"/>
          <w:lang w:bidi="ar"/>
        </w:rPr>
        <w:t xml:space="preserve">对标段范围内雨污水管网进行全覆盖检查，并开展问题排查溯源工作，查清问题。</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8、</w:t>
      </w:r>
      <w:r>
        <w:rPr>
          <w:rFonts w:ascii="宋体" w:hAnsi="宋体" w:cs="宋体"/>
          <w:color w:val="auto"/>
          <w:sz w:val="24"/>
          <w:highlight w:val="none"/>
        </w:rPr>
        <w:t xml:space="preserve">对小区内部排水设施的标识标牌进行必要的补充与完善</w:t>
      </w:r>
      <w:r>
        <w:rPr>
          <w:rFonts w:hint="eastAsia" w:ascii="宋体" w:hAnsi="宋体" w:cs="宋体"/>
          <w:color w:val="auto"/>
          <w:sz w:val="24"/>
          <w:highlight w:val="none"/>
        </w:rPr>
        <w:t xml:space="preserve">。</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9、在合同生效期间，标段地理范围内新建、改建、废除的设施应按本次中标单价纳入或解除养护，所产生的费用变化由本合同最后一次支付。</w:t>
      </w:r>
      <w:r/>
    </w:p>
    <w:p>
      <w:pPr>
        <w:spacing w:line="440" w:lineRule="exact"/>
        <w:rPr>
          <w:rFonts w:hint="eastAsia" w:ascii="宋体" w:hAnsi="宋体" w:cs="Arial"/>
          <w:b/>
          <w:color w:val="auto"/>
          <w:sz w:val="24"/>
          <w:highlight w:val="none"/>
        </w:rPr>
      </w:pPr>
      <w:r>
        <w:rPr>
          <w:rFonts w:hint="eastAsia" w:ascii="宋体" w:hAnsi="宋体" w:cs="Arial"/>
          <w:b/>
          <w:color w:val="auto"/>
          <w:sz w:val="24"/>
          <w:highlight w:val="none"/>
        </w:rPr>
        <w:t xml:space="preserve">四、本项目采购标的的数量、采购项目交付或者实施的时间和地点要求：</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1.采购标的的数量：</w:t>
      </w:r>
      <w:r/>
    </w:p>
    <w:p>
      <w:pPr>
        <w:ind w:firstLine="480"/>
        <w:spacing w:line="440" w:lineRule="exact"/>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一标段：</w:t>
      </w:r>
      <w:r/>
    </w:p>
    <w:tbl>
      <w:tblPr>
        <w:tblStyle w:val="778"/>
        <w:tblW w:w="0" w:type="auto"/>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442"/>
        <w:gridCol w:w="1155"/>
        <w:gridCol w:w="4327"/>
        <w:gridCol w:w="1135"/>
        <w:gridCol w:w="462"/>
        <w:gridCol w:w="756"/>
        <w:gridCol w:w="442"/>
        <w:gridCol w:w="521"/>
        <w:gridCol w:w="521"/>
      </w:tblGrid>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项目名称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项目特征描述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最低要求/特别说明</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计量</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预估</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工程量</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单价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一年小计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三年合计</w:t>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一</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雨水管网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6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小管径疏通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（管径≤DN400）的雨污水管道采用联合疏通车清洗疏通，含必要封堵；疏通后管内积泥积泥深度不得高于管径的20%；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一年不少于4次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85820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6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大管径疏通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（DN400&lt;管径）的雨污水管道采用联合疏通车清洗疏通，含必要封堵；疏通后管内积泥积泥深度不得高于管径的20%；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一年不少于4次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35824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9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QV检测</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管道通水情况下的检测，包括：气体检测、QV检测、检测报告、气囊封堵、空压机（内燃）、发电机、水泵抽水、气体检测、潜水员设备、工程运输车、窥无忧检测等一切费用；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CCTV检测</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管道通水情况下的检测，包括：气体检测、CCTV检测、检测报告、气囊封堵、空压机（内燃）、发电机、水泵抽水、气体检测、潜水员设备、工程运输车、窥无忧检测等费用；该内容以甲方指令为准；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375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6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潜水员窨井清掏</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清掏砖块、砂石、污泥等杂物,包含人工、空压机、发电机、鼓风机垃圾外运等全部费用，清运污泥至指定地点排放，运距自行考虑。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出水口养护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1、出水口清淤、杂物清理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2、浆砌块石修补、勾缝</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一年至少6次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雨水泵站养护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1、雨水泵站巡查</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2、泵站配套设施井内淤泥清掏</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一年至少6次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9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淤泥处置</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泥浆运输：由施工现场运至脱水场地；泥浆脱水处理：脱水后含水率在45%~55%；脱水后淤泥处置运费：平板车运输；脱水后的淤泥运需至项目所在地有资质的单位进行合法合规焚烧处置</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37.5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6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井盖（井座）更换</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更换各种井盖（井座），含原有井盖（井座）拆除、清理、外运等全部费用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井盖（井座）甲供，仅含人工辅材费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养护巡查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范围内雨水管道巡查，内容包括入河排水情况、排水行为 、施工影响（包含雨水管网设施）；</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每周不少于3次；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二</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污水管网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污水管道疏通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直径300的污水管道、采用车载式高压射水机疏通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一年不少于4次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35096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污水管道疏通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直径400的污水管道、采用车载式高压射水机疏通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一年不少于4次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52644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污水管道疏通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直径500的污水管道、采用车载式高压射水机疏通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主管网一年不少于2次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5314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污水管道疏通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直径600的污水管道、采用车载式高压射水机疏通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主管网一年不少于2次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2125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污水管道疏通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直径800的污水管道、采用车载式高压射水机疏通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主管网一年不少于2次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1594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污水管道疏通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直径1000的污水管道、采用车载式高压射水机疏通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主管网一年不少于2次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1063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污水管道疏通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直径1200及以上污水管道、采用车载式高压射水机疏通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主管网一年不少于2次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531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疏通车台班</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用于管道应急疏通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台班</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进口气囊封堵</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直径300的污水管道、采用潜水员进行橡胶气囊辅助封堵、拆除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进口气囊封堵</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直径400的污水管道、采用潜水员进行橡胶气囊辅助封堵、拆除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进口气囊封堵</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直径500的污水管道、采用潜水员进行橡胶气囊辅助封堵、拆除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进口气囊封堵</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直径600的污水管道、采用潜水员进行橡胶气囊辅助封堵、拆除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进口气囊封堵</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直径800的污水管道、采用潜水员进行橡胶气囊辅助封堵、拆除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进口气囊封堵</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直径1000的污水管道、采用潜水员进行橡胶气囊辅助封堵、拆除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进口气囊封堵</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直径1200的污水管道、采用潜水员进行橡胶气囊辅助封堵、拆除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进口气囊封堵</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直径1500的污水管道、采用潜水员进行橡胶气囊辅助封堵、拆除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封堵</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直径300的污水管道,采用潜水员砖砌封头,包含封堵一切费用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拆除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直径300的污水管道,包含潜水员拆除一切费用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封堵</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直径400的污水管道,采用潜水员砖砌封头,包含封堵一切费用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拆除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直径400的污水管道,包含潜水员拆除一切费用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封堵</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直径500的污水管道,采用潜水员砖砌封头,包含封堵一切费用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拆除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直径500的污水管道,包含潜水员拆除一切费用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封堵</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直径600的污水管道,采用潜水员砖砌封头,包含封堵一切费用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拆除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直径600的污水管道,包含潜水员拆除一切费用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封堵</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直径800的污水管道,采用潜水员砖砌封头,包含封堵一切费用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拆除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直径800的污水管道,包含潜水员拆除一切费用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封堵</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直径1000的污水管道,采用潜水员砖砌封头,包含封堵一切费用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拆除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直径1000的污水管道,包含潜水员拆除一切费用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封堵</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直径1200的污水管道,采用潜水员砖砌封头,包含封堵一切费用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拆除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直径1200的污水管道,包含潜水员拆除一切费用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封堵</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直径1500的污水管道,采用潜水员砖砌封头,包含封堵一切费用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拆除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直径1500的污水管道,包含潜水员拆除一切费用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6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潜水员掏窨井建筑垃圾</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混凝土、沥清等难以清理的硬物,包含人工、空压机、发电机、鼓风机、潜水设备、气体检测仪、安全费用等，包括外运及安全处置，运距自行考虑。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6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潜水员掏窨井垃圾</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砖块、砂石、污泥等杂物,包含人工、空压机、发电机、鼓风机、潜水设备、气体检测仪、安全费用等，包括外运及安全处置，运距自行考虑。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6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机械掏窨井建筑垃圾、垃圾</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污泥抓斗车清理混凝土、沥清、砖块、砂石、污泥等杂物,包含机械设备进出场等一切费用，包括外运及安全处置，运距自行考虑。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9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污泥处置</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泥浆运输：由施工现场运至脱水场地；泥浆脱水处理：脱水后含水率在45%~55%；脱水后淤泥处置运费：平板车运输；脱水后的淤泥运需至项目所在地有资质的单位进行合法合规焚烧处置</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112.5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潜水员台班</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应建设方要求按实签证，适用于应急抢险</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台班</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辅助人工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应建设方要求按实签证，适用于应急抢险</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工日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排查人工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应建设方要求按实签证，适用于应急抢险</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工日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3吨工程运输车台班</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应建设方要求按实签证，适用于应急抢险</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台班</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6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潜水员清淤（污水泵站）   （暗涵）</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包含人工、空压机、发电机、鼓风机、运输车、潜水设备、气体检测仪、等一切费用，运距自行考虑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潜水员清淤（污水管道）</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包含人工、空压机、发电机、鼓风机、运输车、潜水设备、气体检测仪、等一切费用，运距自行考虑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移动电源泵车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适用于应急调水</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台班</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管网排查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包含人工、运输车辆等（一辆车配3个排查人员，按6小时计），应建设方要求按实签证</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天</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井盖喷字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包含井盖清冼、制作字板、喷漆、防护等</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6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井盖（井座）更换</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更换各种井盖（井座），含原有井盖（井座）拆除、清理、外运等全部费用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井盖（井座）甲供，仅含人工辅材费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3030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安全防坠网安装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包括开盖、清冼井筒、膨胀螺栓固定、安装防坠网、防毒用具、安全防护等（包括主材）</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排放口标识牌制作安装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包含拆除旧标识牌，安装新标牌立柱及标牌（含主材、制作、运输安装等一切费用）。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水泵翻水</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DN150污水泵，用于应急排水，含辅助用工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台班</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水泵翻水</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DN200污水泵，用于应急排水，含辅助用工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台班</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水泵翻水</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DN300污水泵，用于应急排水，含辅助用工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台班</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水泵翻水</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DN400污水泵，用于应急排水，含辅助用工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台班</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发电机台班</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30KW以内，用于应急发电，含辅助用工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台班</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支管管口格栅安装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直径300的污水管道、采用潜水员安装不锈钢格栅，包括主材、安装一切费用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支管管口格栅安装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直径400的污水管道、采用潜水员安装不锈钢格栅，包括主材、安装一切费用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支管管口格栅安装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直径500的污水管道、采用潜水员安装不锈钢格栅，包括主材、安装一切费用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支管管口格栅安装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直径600的污水管道、采用潜水员安装不锈钢格栅，包括主材、安装一切费用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6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管网巡查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按照3天一个周期对标段内所有市政污水、中水管网进行巡查以及特殊情况应急加密巡查，包括车辆、人工、安全围护等一切费用。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9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污水井日常养护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对标段内污水井进行人工清掏漂浮物，测量井内淤泥深度，监测水位情况检查井盖链条锁具、爬梯、井壁情况（每3月一次），单价含垃圾清运及处置费用，井壁井盖爬梯维修另计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一年4次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项*次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1项*4次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6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排水户排放口巡查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核查雨水排放口标识牌情况，打开井盖，记录排水户信息、拍照记录井内水流情况，（每周0.5次）晴天有水需采样等一切费用。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一年26次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项*次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1项*26次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6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QV检测（通水水）</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管道通水情况下的检测，包括：气囊封堵、空压机（内燃）、发电机、水泵抽水、气体检测、潜水员设备、工程运输车、窥无忧检测等一切费用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1125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5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QV检测（无水）</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管道无水情况下的检测，包括工程运输车、窥无忧检测等一切费用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3375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QV检测台班</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用于应急、零星管道QV检测</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台班</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6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推杆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包括：气囊封堵、空压机（内燃）、发电机、水泵抽水、气体检测、潜水员设备、工程运输车、推杆检测等一切费用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225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推杆（不含封堵和抽水）</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包括气体检测、工程运输车、推杆检测等一切费用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CCTV检测</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气囊封堵、空压机（内燃）、发电机、水泵抽水、气体检测、潜水员设备、工程运输车、CCTV测等一切费用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6000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CCTV检测台班</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用于应急、零星管道CCTV检测</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台班</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声纳检测</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穿线、空压机（内燃）、发电机、潜水设备、工程运输车、声纳检测等一切费用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480"/>
        </w:trPr>
        <w:tc>
          <w:tcPr>
            <w:gridSpan w:val="6"/>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b/>
                <w:bCs/>
                <w:i w:val="0"/>
                <w:iCs w:val="0"/>
                <w:color w:val="auto"/>
                <w:sz w:val="18"/>
                <w:szCs w:val="18"/>
                <w:highlight w:val="none"/>
                <w:u w:val="none"/>
              </w:rPr>
            </w:pPr>
            <w:r>
              <w:rPr>
                <w:rFonts w:hint="eastAsia" w:ascii="宋体" w:hAnsi="宋体" w:eastAsia="宋体" w:cs="宋体"/>
                <w:b/>
                <w:bCs/>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b/>
                <w:bCs/>
                <w:i w:val="0"/>
                <w:iCs w:val="0"/>
                <w:color w:val="auto"/>
                <w:sz w:val="18"/>
                <w:szCs w:val="18"/>
                <w:highlight w:val="none"/>
                <w:u w:val="none"/>
              </w:rPr>
            </w:pPr>
            <w:r>
              <w:rPr>
                <w:rFonts w:hint="eastAsia" w:ascii="宋体" w:hAnsi="宋体" w:eastAsia="宋体" w:cs="宋体"/>
                <w:b/>
                <w:bCs/>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b/>
                <w:bCs/>
                <w:i w:val="0"/>
                <w:iCs w:val="0"/>
                <w:color w:val="auto"/>
                <w:sz w:val="18"/>
                <w:szCs w:val="18"/>
                <w:highlight w:val="none"/>
                <w:u w:val="none"/>
              </w:rPr>
            </w:pPr>
            <w:r>
              <w:rPr>
                <w:rFonts w:hint="eastAsia" w:ascii="宋体" w:hAnsi="宋体" w:eastAsia="宋体" w:cs="宋体"/>
                <w:b/>
                <w:bCs/>
                <w:i w:val="0"/>
                <w:iCs w:val="0"/>
                <w:color w:val="auto"/>
                <w:sz w:val="18"/>
                <w:szCs w:val="18"/>
                <w:highlight w:val="none"/>
                <w:u w:val="none"/>
              </w:rPr>
            </w:r>
            <w:r/>
          </w:p>
        </w:tc>
      </w:tr>
      <w:tr>
        <w:trPr>
          <w:trHeight w:val="940"/>
        </w:trPr>
        <w:tc>
          <w:tcPr>
            <w:gridSpan w:val="9"/>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注：所报价格为全费用综合单价（包含完成疏通养相应工作量所需的一切费用，投标报价应根据招标文件中的工程量清单和有关要求、施工现场实际情况及拟定的施工方案，结合本企业的技术水平、管理水平和工作实际，自主报价。投标报价均包括完成该工程项目的成本、管理费、利润、税金、技术措施费、机械进出场费、风险费、政策性文件规定费用等所有费用。）</w:t>
            </w:r>
            <w:r/>
          </w:p>
        </w:tc>
      </w:tr>
    </w:tbl>
    <w:p>
      <w:pPr>
        <w:pStyle w:val="789"/>
        <w:ind w:left="0" w:firstLine="0"/>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r>
      <w:r/>
    </w:p>
    <w:p>
      <w:pPr>
        <w:ind w:firstLine="480"/>
        <w:spacing w:line="440" w:lineRule="exact"/>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二标段：</w:t>
      </w:r>
      <w:r/>
    </w:p>
    <w:tbl>
      <w:tblPr>
        <w:tblStyle w:val="778"/>
        <w:tblW w:w="0" w:type="auto"/>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442"/>
        <w:gridCol w:w="1155"/>
        <w:gridCol w:w="4327"/>
        <w:gridCol w:w="1135"/>
        <w:gridCol w:w="462"/>
        <w:gridCol w:w="756"/>
        <w:gridCol w:w="442"/>
        <w:gridCol w:w="521"/>
        <w:gridCol w:w="521"/>
      </w:tblGrid>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项目名称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项目特征描述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最低要求/特别说明</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计量</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预估</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工程量</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单价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一年小计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三年合计</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一</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雨水管网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6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小管径疏通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（管径≤DN400）的雨污水管道采用联合疏通车清洗疏通，含必要封堵；疏通后管内积泥积泥深度不得高于管径的20%；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一年不少于4次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27345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6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大管径疏通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（DN400&lt;管径）的雨污水管道采用联合疏通车清洗疏通，含必要封堵；疏通后管内积泥积泥深度不得高于管径的20%；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一年不少于4次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36392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9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QV检测</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管道通水情况下的检测，包括：气体检测、QV检测、检测报告、气囊封堵、空压机（内燃）、发电机、水泵抽水、气体检测、潜水员设备、工程运输车、窥无忧检测等一切费用；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CCTV检测</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管道通水情况下的检测，包括：气体检测、CCTV检测、检测报告、气囊封堵、空压机（内燃）、发电机、水泵抽水、气体检测、潜水员设备、工程运输车、窥无忧检测等费用；该内容以甲方指令为准；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375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6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潜水员窨井清掏</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清掏砖块、砂石、污泥等杂物,包含人工、空压机、发电机、鼓风机垃圾外运等全部费用，清运污泥至指定地点排放，运距自行考虑。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雨水篦子清掏</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辖区范围内雨水篦子清掏树叶、积泥等杂物，含垃圾清理、外运，运距自行考虑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一年不少于四次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2316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出水口养护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1、出水口清淤、杂物清理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2、浆砌块石修补、勾缝</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一年至少6次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雨水泵站养护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1、雨水泵站巡查</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2、泵站配套设施井内淤泥清掏</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一年至少6次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9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淤泥处置</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泥浆运输：由施工现场运至脱水场地；泥浆脱水处理：脱水后含水率在45%~55%；脱水后淤泥处置运费：平板车运输；脱水后的淤泥运需至项目所在地有资质的单位进行合法合规焚烧处置</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37.5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6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井盖（井座）更换</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更换各种井盖（井座），含原有井盖（井座）拆除、清理、外运等全部费用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井盖（井座）甲供，仅含人工辅材费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225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养护巡查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范围内雨水管道巡查，内容包括入河排水情况、排水行为 、施工影响（包含雨水管网设施）；</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每周不少于3次；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二</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污水管网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污水管道疏通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直径300的污水管道、采用车载式高压射水机疏通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一年不少于4次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6152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污水管道疏通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直径400的污水管道、采用车载式高压射水机疏通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一年不少于4次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9227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污水管道疏通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直径500的污水管道、采用车载式高压射水机疏通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主管网一年不少于2次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13598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污水管道疏通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直径600的污水管道、采用车载式高压射水机疏通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主管网一年不少于2次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5439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污水管道疏通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直径800的污水管道、采用车载式高压射水机疏通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主管网一年不少于2次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4079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污水管道疏通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直径1000的污水管道、采用车载式高压射水机疏通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主管网一年不少于2次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2720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污水管道疏通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直径1200及以上污水管道、采用车载式高压射水机疏通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主管网一年不少于2次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1360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疏通车台班</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用于管道应急疏通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台班</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进口气囊封堵</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直径300的污水管道、采用潜水员进行橡胶气囊辅助封堵、拆除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进口气囊封堵</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直径400的污水管道、采用潜水员进行橡胶气囊辅助封堵、拆除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进口气囊封堵</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直径500的污水管道、采用潜水员进行橡胶气囊辅助封堵、拆除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进口气囊封堵</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直径600的污水管道、采用潜水员进行橡胶气囊辅助封堵、拆除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进口气囊封堵</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直径800的污水管道、采用潜水员进行橡胶气囊辅助封堵、拆除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进口气囊封堵</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直径1000的污水管道、采用潜水员进行橡胶气囊辅助封堵、拆除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封堵</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直径300的污水管道,采用潜水员砖砌封头,包含封堵一切费用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拆除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直径300的污水管道,包含潜水员拆除一切费用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封堵</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直径400的污水管道,采用潜水员砖砌封头,包含封堵一切费用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拆除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直径400的污水管道,包含潜水员拆除一切费用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封堵</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直径500的污水管道,采用潜水员砖砌封头,包含封堵一切费用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拆除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直径500的污水管道,包含潜水员拆除一切费用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封堵</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直径600的污水管道,采用潜水员砖砌封头,包含封堵一切费用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拆除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直径600的污水管道,包含潜水员拆除一切费用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封堵</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直径800的污水管道,采用潜水员砖砌封头,包含封堵一切费用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拆除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直径800的污水管道,包含潜水员拆除一切费用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封堵</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直径1000的污水管道,采用潜水员砖砌封头,包含封堵一切费用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拆除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直径1000的污水管道,包含潜水员拆除一切费用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封堵</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直径1200的污水管道,采用潜水员砖砌封头,包含封堵一切费用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拆除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直径1200的污水管道,包含潜水员拆除一切费用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封堵</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直径1500的污水管道,采用潜水员砖砌封头,包含封堵一切费用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拆除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直径1500的污水管道,包含潜水员拆除一切费用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6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潜水员掏窨井建筑垃圾</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混凝土、沥清等难以清理的硬物,包含人工、空压机、发电机、鼓风机、潜水设备、气体检测仪、安全费用等，包括外运及安全处置，运距自行考虑。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6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潜水员掏窨井垃圾</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砖块、砂石、污泥等杂物,包含人工、空压机、发电机、鼓风机、潜水设备、气体检测仪、安全费用等，包括外运及安全处置，运距自行考虑。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6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机械掏窨井建筑垃圾、垃圾</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污泥抓斗车清理混凝土、沥清、砖块、砂石、污泥等杂物,包含机械设备进出场等一切费用，包括外运及安全处置，运距自行考虑。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9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污泥处置</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泥浆运输：由施工现场运至脱水场地；泥浆脱水处理：脱水后含水率在45%~55%；脱水后淤泥处置运费：平板车运输；脱水后的淤泥运需至项目所在地有资质的单位进行合法合规焚烧处置</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112.5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潜水员台班</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应建设方要求按实签证，适用于应急抢险</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台班</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辅助人工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应建设方要求按实签证，适用于应急抢险</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工日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排查人工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应建设方要求按实签证，适用于应急抢险</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工日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3吨工程运输车台班</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应建设方要求按实签证，适用于应急抢险</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台班</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6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潜水员清淤（污水泵站）   （暗涵）</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包含人工、空压机、发电机、鼓风机、运输车、潜水设备、气体检测仪、等一切费用，运距自行考虑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潜水员清淤（污水管道）</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包含人工、空压机、发电机、鼓风机、运输车、潜水设备、气体检测仪、等一切费用，运距自行考虑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移动电源泵车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适用于应急调水</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台班</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管网排查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包含人工、运输车辆等（一辆车配3个排查人员，按6小时计），应建设方要求按实签证</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天</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井盖喷字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包含井盖清冼、制作字板、喷漆、防护等</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6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井盖（井座）更换</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更换各种井盖（井座），含原有井盖（井座）拆除、清理、外运等全部费用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井盖（井座）甲供，仅含人工辅材费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1310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安全防坠网安装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包括开盖、清冼井筒、膨胀螺栓固定、安装防坠网、防毒用具、安全防护等（包括主材）</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排放口标识牌制作安装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包含拆除旧标识牌，安装新标牌立柱及标牌（含主材、制作、运输安装等一切费用）。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水泵翻水</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DN150污水泵，用于应急排水，含辅助用工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台班</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水泵翻水</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DN200污水泵，用于应急排水，含辅助用工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台班</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水泵翻水</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DN300污水泵，用于应急排水，含辅助用工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台班</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水泵翻水</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DN400污水泵，用于应急排水，含辅助用工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台班</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发电机台班</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30KW以内，用于应急发电，含辅助用工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台班</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支管管口格栅安装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直径300的污水管道、采用潜水员安装不锈钢格栅，包括主材、安装一切费用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支管管口格栅安装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直径400的污水管道、采用潜水员安装不锈钢格栅，包括主材、安装一切费用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支管管口格栅安装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直径500的污水管道、采用潜水员安装不锈钢格栅，包括主材、安装一切费用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支管管口格栅安装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直径600的污水管道、采用潜水员安装不锈钢格栅，包括主材、安装一切费用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6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管网巡查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按照3天一个周期对标段内所有市政污水、中水管网进行巡查以及特殊情况应急加密巡查，包括车辆、人工、安全围护等一切费用。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9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污水井日常养护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对标段内污水井进行人工清掏漂浮物，测量井内淤泥深度，监测水位情况检查井盖链条锁具、爬梯、井壁情况（每3月一次），单价含垃圾清运及处置费用，井壁井盖爬梯维修另计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一年4次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项*次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1项*4次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6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排水户排放口巡查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核查雨水排放口标识牌情况，打开井盖，记录排水户信息、拍照记录井内水流情况，（每周0.5次）晴天有水需采样等一切费用。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一年26次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项*次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1项*26次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6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QV检测（通水水）</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管道通水情况下的检测，包括：气囊封堵、空压机（内燃）、发电机、水泵抽水、气体检测、潜水员设备、工程运输车、窥无忧检测等一切费用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1125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QV检测（无水）</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管道无水情况下的检测，包括工程运输车、窥无忧检测等一切费用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3375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QV检测台班</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用于应急、零星管道QV检测</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台班</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6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推杆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包括：气囊封堵、空压机（内燃）、发电机、水泵抽水、气体检测、潜水员设备、工程运输车、推杆检测等一切费用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225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推杆（不含封堵和抽水）</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包括气体检测、工程运输车、推杆检测等一切费用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CCTV检测</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气囊封堵、空压机（内燃）、发电机、水泵抽水、气体检测、潜水员设备、工程运输车、CCTV测等一切费用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6000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CCTV检测台班</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用于应急、零星管道CCTV检测</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台班</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声纳检测</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穿线、空压机（内燃）、发电机、潜水设备、工程运输车、声纳检测等一切费用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480"/>
        </w:trPr>
        <w:tc>
          <w:tcPr>
            <w:gridSpan w:val="6"/>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b/>
                <w:bCs/>
                <w:i w:val="0"/>
                <w:iCs w:val="0"/>
                <w:color w:val="auto"/>
                <w:sz w:val="18"/>
                <w:szCs w:val="18"/>
                <w:highlight w:val="none"/>
                <w:u w:val="none"/>
              </w:rPr>
            </w:pPr>
            <w:r>
              <w:rPr>
                <w:rFonts w:hint="eastAsia" w:ascii="宋体" w:hAnsi="宋体" w:eastAsia="宋体" w:cs="宋体"/>
                <w:b/>
                <w:bCs/>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b/>
                <w:bCs/>
                <w:i w:val="0"/>
                <w:iCs w:val="0"/>
                <w:color w:val="auto"/>
                <w:sz w:val="18"/>
                <w:szCs w:val="18"/>
                <w:highlight w:val="none"/>
                <w:u w:val="none"/>
              </w:rPr>
            </w:pPr>
            <w:r>
              <w:rPr>
                <w:rFonts w:hint="eastAsia" w:ascii="宋体" w:hAnsi="宋体" w:eastAsia="宋体" w:cs="宋体"/>
                <w:b/>
                <w:bCs/>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b/>
                <w:bCs/>
                <w:i w:val="0"/>
                <w:iCs w:val="0"/>
                <w:color w:val="auto"/>
                <w:sz w:val="18"/>
                <w:szCs w:val="18"/>
                <w:highlight w:val="none"/>
                <w:u w:val="none"/>
              </w:rPr>
            </w:pPr>
            <w:r>
              <w:rPr>
                <w:rFonts w:hint="eastAsia" w:ascii="宋体" w:hAnsi="宋体" w:eastAsia="宋体" w:cs="宋体"/>
                <w:b/>
                <w:bCs/>
                <w:i w:val="0"/>
                <w:iCs w:val="0"/>
                <w:color w:val="auto"/>
                <w:sz w:val="18"/>
                <w:szCs w:val="18"/>
                <w:highlight w:val="none"/>
                <w:u w:val="none"/>
              </w:rPr>
            </w:r>
            <w:r/>
          </w:p>
        </w:tc>
      </w:tr>
      <w:tr>
        <w:trPr>
          <w:trHeight w:val="940"/>
        </w:trPr>
        <w:tc>
          <w:tcPr>
            <w:gridSpan w:val="9"/>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注：所报价格为全费用综合单价（包含完成疏通养相应工作量所需的一切费用，投标报价应根据招标文件中的工程量清单和有关要求、施工现场实际情况及拟定的施工方案，结合本企业的技术水平、管理水平和工作实际，自主报价。投标报价均包括完成该工程项目的成本、管理费、利润、税金、技术措施费、机械进出场费、风险费、政策性文件规定费用等所有费用。）</w:t>
            </w:r>
            <w:r/>
          </w:p>
        </w:tc>
      </w:tr>
    </w:tbl>
    <w:p>
      <w:pPr>
        <w:ind w:firstLine="480"/>
        <w:spacing w:line="440" w:lineRule="exact"/>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r>
      <w:r/>
    </w:p>
    <w:p>
      <w:pPr>
        <w:ind w:firstLine="480"/>
        <w:spacing w:line="440" w:lineRule="exact"/>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三标段：</w:t>
      </w:r>
      <w:r/>
    </w:p>
    <w:tbl>
      <w:tblPr>
        <w:tblStyle w:val="778"/>
        <w:tblW w:w="0" w:type="auto"/>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442"/>
        <w:gridCol w:w="1155"/>
        <w:gridCol w:w="4327"/>
        <w:gridCol w:w="1135"/>
        <w:gridCol w:w="462"/>
        <w:gridCol w:w="756"/>
        <w:gridCol w:w="442"/>
        <w:gridCol w:w="521"/>
        <w:gridCol w:w="521"/>
      </w:tblGrid>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项目名称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项目特征描述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最低要求/特别说明</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计量</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预估</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工程量</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单价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一年小计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三年合计</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一</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雨水管网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6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小管径疏通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（管径≤DN400）的雨污水管道采用联合疏通车清洗疏通，含必要封堵；疏通后管内积泥积泥深度不得高于管径的20%；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一年不少于4次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61996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6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大管径疏通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（DN400&lt;管径）的雨污水管道采用联合疏通车清洗疏通，含必要封堵；疏通后管内积泥积泥深度不得高于管径的20%；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一年不少于4次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20280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9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QV检测</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管道通水情况下的检测，包括：气体检测、QV检测、检测报告、气囊封堵、空压机（内燃）、发电机、水泵抽水、气体检测、潜水员设备、工程运输车、窥无忧检测等一切费用；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CCTV检测</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管道通水情况下的检测，包括：气体检测、CCTV检测、检测报告、气囊封堵、空压机（内燃）、发电机、水泵抽水、气体检测、潜水员设备、工程运输车、窥无忧检测等费用；该内容以甲方指令为准；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375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6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潜水员窨井清掏</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清掏砖块、砂石、污泥等杂物,包含人工、空压机、发电机、鼓风机垃圾外运等全部费用，清运污泥至指定地点排放，运距自行考虑。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雨水篦子清掏</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辖区范围内雨水篦子清掏树叶、积泥等杂物，含垃圾清理、外运，运距自行考虑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一年不少于四次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565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出水口养护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1、出水口清淤、杂物清理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2、浆砌块石修补、勾缝</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一年至少6次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雨水泵站养护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1、雨水泵站巡查</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2、泵站配套设施井内淤泥清掏</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一年至少6次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9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淤泥处置</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泥浆运输：由施工现场运至脱水场地；泥浆脱水处理：脱水后含水率在45%~55%；脱水后淤泥处置运费：平板车运输；脱水后的淤泥运需至项目所在地有资质的单位进行合法合规焚烧处置</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37.5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井盖（井座）更换</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更换各种井盖（井座），含原有井盖（井座）拆除、清理、外运等全部费用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井盖（井座）甲供，仅含人工辅材费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290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养护巡查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范围内雨水管道巡查，内容包括入河排水情况、排水行为 、施工影响（包含雨水管网设施）；</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每周不少于3次；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二</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污水管网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污水管道疏通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直径300的污水管道、采用车载式高压射水机疏通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一年不少于4次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27763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污水管道疏通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直径400的污水管道、采用车载式高压射水机疏通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一年不少于4次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41645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污水管道疏通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直径500的污水管道、采用车载式高压射水机疏通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主管网一年不少于2次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3710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污水管道疏通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直径600的污水管道、采用车载式高压射水机疏通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主管网一年不少于2次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1484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污水管道疏通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直径800的污水管道、采用车载式高压射水机疏通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主管网一年不少于2次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污水管道疏通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直径1000的污水管道、采用车载式高压射水机疏通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主管网一年不少于2次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742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污水管道疏通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直径1200及以上污水管道、采用车载式高压射水机疏通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主管网一年不少于2次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371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疏通车台班</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用于管道应急疏通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台班</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进口气囊封堵</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直径300的污水管道、采用潜水员进行橡胶气囊辅助封堵、拆除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进口气囊封堵</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直径400的污水管道、采用潜水员进行橡胶气囊辅助封堵、拆除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进口气囊封堵</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直径500的污水管道、采用潜水员进行橡胶气囊辅助封堵、拆除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进口气囊封堵</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直径600的污水管道、采用潜水员进行橡胶气囊辅助封堵、拆除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进口气囊封堵</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直径800的污水管道、采用潜水员进行橡胶气囊辅助封堵、拆除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进口气囊封堵</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直径1000的污水管道、采用潜水员进行橡胶气囊辅助封堵、拆除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进口气囊封堵</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直径1200的污水管道、采用潜水员进行橡胶气囊辅助封堵、拆除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进口气囊封堵</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直径1500的污水管道、采用潜水员进行橡胶气囊辅助封堵、拆除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封堵</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直径300的污水管道,采用潜水员砖砌封头,包含封堵一切费用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拆除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直径300的污水管道,包含潜水员拆除一切费用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封堵</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直径400的污水管道,采用潜水员砖砌封头,包含封堵一切费用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拆除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直径400的污水管道,包含潜水员拆除一切费用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封堵</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直径500的污水管道,采用潜水员砖砌封头,包含封堵一切费用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拆除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直径500的污水管道,包含潜水员拆除一切费用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封堵</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直径600的污水管道,采用潜水员砖砌封头,包含封堵一切费用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拆除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直径600的污水管道,包含潜水员拆除一切费用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封堵</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直径800的污水管道,采用潜水员砖砌封头,包含封堵一切费用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拆除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直径800的污水管道,包含潜水员拆除一切费用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封堵</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直径1000的污水管道,采用潜水员砖砌封头,包含封堵一切费用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拆除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直径1000的污水管道,包含潜水员拆除一切费用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封堵</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直径1200的污水管道,采用潜水员砖砌封头,包含封堵一切费用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拆除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直径1200的污水管道,包含潜水员拆除一切费用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封堵</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直径1500的污水管道,采用潜水员砖砌封头,包含封堵一切费用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拆除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直径1500的污水管道,包含潜水员拆除一切费用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6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潜水员掏窨井建筑垃圾</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混凝土、沥清等难以清理的硬物,包含人工、空压机、发电机、鼓风机、潜水设备、气体检测仪、安全费用等，包括外运及安全处置，运距自行考虑。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6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潜水员掏窨井垃圾</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砖块、砂石、污泥等杂物,包含人工、空压机、发电机、鼓风机、潜水设备、气体检测仪、安全费用等，包括外运及安全处置，运距自行考虑。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6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机械掏窨井建筑垃圾、垃圾</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污泥抓斗车清理混凝土、沥清、砖块、砂石、污泥等杂物,包含机械设备进出场等一切费用，包括外运及安全处置，运距自行考虑。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9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污泥处置</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泥浆运输：由施工现场运至脱水场地；泥浆脱水处理：脱水后含水率在45%~55%；脱水后淤泥处置运费：平板车运输；脱水后的淤泥运需至项目所在地有资质的单位进行合法合规焚烧处置</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112.5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潜水员台班</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应建设方要求按实签证，适用于应急抢险</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台班</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辅助人工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应建设方要求按实签证，适用于应急抢险</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工日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排查人工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应建设方要求按实签证，适用于应急抢险</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工日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3吨工程运输车台班</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应建设方要求按实签证，适用于应急抢险</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台班</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6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潜水员清淤（污水泵站）   （暗涵）</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包含人工、空压机、发电机、鼓风机、运输车、潜水设备、气体检测仪、等一切费用，运距自行考虑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潜水员清淤（污水管道）</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包含人工、空压机、发电机、鼓风机、运输车、潜水设备、气体检测仪、等一切费用，运距自行考虑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移动电源泵车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适用于应急调水</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台班</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管网排查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包含人工、运输车辆等（一辆车配3个排查人员，按6小时计），应建设方要求按实签证</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天</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井盖喷字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包含井盖清冼、制作字板、喷漆、防护等</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井盖（井座）更换</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更换各种井盖（井座），含原有井盖（井座）拆除、清理、外运等全部费用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井盖（井座）甲供，仅含人工辅材费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2370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安全防坠网安装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包括开盖、清冼井筒、膨胀螺栓固定、安装防坠网、防毒用具、安全防护等（包括主材）</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排放口标识牌制作安装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包含拆除旧标识牌，安装新标牌立柱及标牌（含主材、制作、运输安装等一切费用）。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水泵翻水</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DN150污水泵，用于应急排水，含辅助用工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台班</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水泵翻水</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DN200污水泵，用于应急排水，含辅助用工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台班</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水泵翻水</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DN300污水泵，用于应急排水，含辅助用工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台班</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水泵翻水</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DN400污水泵，用于应急排水，含辅助用工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台班</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发电机台班</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30KW以内，用于应急发电，含辅助用工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台班</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支管管口格栅安装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直径300的污水管道、采用潜水员安装不锈钢格栅，包括主材、安装一切费用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支管管口格栅安装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直径400的污水管道、采用潜水员安装不锈钢格栅，包括主材、安装一切费用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支管管口格栅安装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直径500的污水管道、采用潜水员安装不锈钢格栅，包括主材、安装一切费用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支管管口格栅安装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直径600的污水管道、采用潜水员安装不锈钢格栅，包括主材、安装一切费用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6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管网巡查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按照3天一个周期对标段内所有市政污水、中水管网进行巡查以及特殊情况应急加密巡查，包括车辆、人工、安全围护等一切费用。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9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污水井日常养护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对标段内污水井进行人工清掏漂浮物，测量井内淤泥深度，监测水位情况检查井盖链条锁具、爬梯、井壁情况（每3月一次），单价含垃圾清运及处置费用，井壁井盖爬梯维修另计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一年4次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项*次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1项*4次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6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排水户排放口巡查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核查雨水排放口标识牌情况，打开井盖，记录排水户信息、拍照记录井内水流情况，（每周0.5次）晴天有水需采样等一切费用。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一年26次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项*次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1项*26次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6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QV检测（通水水）</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管道通水情况下的检测，包括：气囊封堵、空压机（内燃）、发电机、水泵抽水、气体检测、潜水员设备、工程运输车、窥无忧检测等一切费用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1125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QV检测（无水）</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管道无水情况下的检测，包括工程运输车、窥无忧检测等一切费用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3375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QV检测台班</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用于应急、零星管道QV检测</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台班</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6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推杆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包括：气囊封堵、空压机（内燃）、发电机、水泵抽水、气体检测、潜水员设备、工程运输车、推杆检测等一切费用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225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推杆（不含封堵和抽水）</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包括气体检测、工程运输车、推杆检测等一切费用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CCTV检测</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气囊封堵、空压机（内燃）、发电机、水泵抽水、气体检测、潜水员设备、工程运输车、CCTV测等一切费用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6000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CCTV检测台班</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用于应急、零星管道CCTV检测</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台班</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声纳检测</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穿线、空压机（内燃）、发电机、潜水设备、工程运输车、声纳检测等一切费用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480"/>
        </w:trPr>
        <w:tc>
          <w:tcPr>
            <w:gridSpan w:val="6"/>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b/>
                <w:bCs/>
                <w:i w:val="0"/>
                <w:iCs w:val="0"/>
                <w:color w:val="auto"/>
                <w:sz w:val="18"/>
                <w:szCs w:val="18"/>
                <w:highlight w:val="none"/>
                <w:u w:val="none"/>
              </w:rPr>
            </w:pPr>
            <w:r>
              <w:rPr>
                <w:rFonts w:hint="eastAsia" w:ascii="宋体" w:hAnsi="宋体" w:eastAsia="宋体" w:cs="宋体"/>
                <w:b/>
                <w:bCs/>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b/>
                <w:bCs/>
                <w:i w:val="0"/>
                <w:iCs w:val="0"/>
                <w:color w:val="auto"/>
                <w:sz w:val="18"/>
                <w:szCs w:val="18"/>
                <w:highlight w:val="none"/>
                <w:u w:val="none"/>
              </w:rPr>
            </w:pPr>
            <w:r>
              <w:rPr>
                <w:rFonts w:hint="eastAsia" w:ascii="宋体" w:hAnsi="宋体" w:eastAsia="宋体" w:cs="宋体"/>
                <w:b/>
                <w:bCs/>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b/>
                <w:bCs/>
                <w:i w:val="0"/>
                <w:iCs w:val="0"/>
                <w:color w:val="auto"/>
                <w:sz w:val="18"/>
                <w:szCs w:val="18"/>
                <w:highlight w:val="none"/>
                <w:u w:val="none"/>
              </w:rPr>
            </w:pPr>
            <w:r>
              <w:rPr>
                <w:rFonts w:hint="eastAsia" w:ascii="宋体" w:hAnsi="宋体" w:eastAsia="宋体" w:cs="宋体"/>
                <w:b/>
                <w:bCs/>
                <w:i w:val="0"/>
                <w:iCs w:val="0"/>
                <w:color w:val="auto"/>
                <w:sz w:val="18"/>
                <w:szCs w:val="18"/>
                <w:highlight w:val="none"/>
                <w:u w:val="none"/>
              </w:rPr>
            </w:r>
            <w:r/>
          </w:p>
        </w:tc>
      </w:tr>
      <w:tr>
        <w:trPr>
          <w:trHeight w:val="940"/>
        </w:trPr>
        <w:tc>
          <w:tcPr>
            <w:gridSpan w:val="9"/>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注：所报价格为全费用综合单价（包含完成疏通养相应工作量所需的一切费用，投标报价应根据招标文件中的工程量清单和有关要求、施工现场实际情况及拟定的施工方案，结合本企业的技术水平、管理水平和工作实际，自主报价。投标报价均包括完成该工程项目的成本、管理费、利润、税金、技术措施费、机械进出场费、风险费、政策性文件规定费用等所有费用。）</w:t>
            </w:r>
            <w:r/>
          </w:p>
        </w:tc>
      </w:tr>
    </w:tbl>
    <w:p>
      <w:pPr>
        <w:pStyle w:val="779"/>
        <w:rPr>
          <w:rFonts w:hint="eastAsia"/>
          <w:color w:val="auto"/>
          <w:highlight w:val="none"/>
          <w:lang w:val="en-US" w:eastAsia="zh-CN"/>
        </w:rPr>
      </w:pPr>
      <w:r>
        <w:rPr>
          <w:rFonts w:hint="eastAsia"/>
          <w:color w:val="auto"/>
          <w:highlight w:val="none"/>
          <w:lang w:val="en-US" w:eastAsia="zh-CN"/>
        </w:rPr>
      </w:r>
      <w:r/>
    </w:p>
    <w:p>
      <w:pPr>
        <w:ind w:firstLine="480"/>
        <w:spacing w:line="440" w:lineRule="exact"/>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四标段：</w:t>
      </w:r>
      <w:r/>
    </w:p>
    <w:tbl>
      <w:tblPr>
        <w:tblStyle w:val="778"/>
        <w:tblW w:w="0" w:type="auto"/>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442"/>
        <w:gridCol w:w="1155"/>
        <w:gridCol w:w="4327"/>
        <w:gridCol w:w="1135"/>
        <w:gridCol w:w="462"/>
        <w:gridCol w:w="756"/>
        <w:gridCol w:w="442"/>
        <w:gridCol w:w="521"/>
        <w:gridCol w:w="521"/>
      </w:tblGrid>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项目名称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项目特征描述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最低要求/特别说明</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计量</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预估</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工程量</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单价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一年小计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三年合计</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一</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雨水管网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6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小管径疏通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（管径≤DN400）的雨污水管道采用联合疏通车清洗疏通，含必要封堵；疏通后管内积泥积泥深度不得高于管径的20%；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一年不少于4次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22759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6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大管径疏通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（DN400&lt;管径）的雨污水管道采用联合疏通车清洗疏通，含必要封堵；疏通后管内积泥积泥深度不得高于管径的20%；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一年不少于4次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36778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9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QV检测</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管道通水情况下的检测，包括：气体检测、QV检测、检测报告、气囊封堵、空压机（内燃）、发电机、水泵抽水、气体检测、潜水员设备、工程运输车、窥无忧检测等一切费用；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CCTV检测</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管道通水情况下的检测，包括：气体检测、CCTV检测、检测报告、气囊封堵、空压机（内燃）、发电机、水泵抽水、气体检测、潜水员设备、工程运输车、窥无忧检测等费用；该内容以甲方指令为准；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375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6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潜水员窨井清掏</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清掏砖块、砂石、污泥等杂物,包含人工、空压机、发电机、鼓风机垃圾外运等全部费用，清运污泥至指定地点排放，运距自行考虑。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雨水篦子清掏</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辖区范围内雨水篦子清掏树叶、积泥等杂物，含垃圾清理、外运，运距自行考虑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一年不少于四次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1589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出水口养护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1、出水口清淤、杂物清理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2、浆砌块石修补、勾缝</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一年至少6次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雨水泵站养护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1、雨水泵站巡查</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2、泵站配套设施井内淤泥清掏</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一年至少6次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9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淤泥处置</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泥浆运输：由施工现场运至脱水场地；泥浆脱水处理：脱水后含水率在45%~55%；脱水后淤泥处置运费：平板车运输；脱水后的淤泥运需至项目所在地有资质的单位进行合法合规焚烧处置</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37.5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6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井盖（井座）更换</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更换各种井盖（井座），含原有井盖（井座）拆除、清理、外运等全部费用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井盖（井座）甲供，仅含人工辅材费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215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养护巡查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范围内雨水管道巡查，内容包括入河排水情况、排水行为 、施工影响（包含雨水管网设施）；</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每周不少于3次；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二</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污水管网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污水管道疏通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直径300的污水管道、采用车载式高压射水机疏通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一年不少于4次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7408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污水管道疏通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直径400的污水管道、采用车载式高压射水机疏通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一年不少于4次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11111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污水管道疏通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直径500的污水管道、采用车载式高压射水机疏通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主管网一年不少于2次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7631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污水管道疏通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直径600的污水管道、采用车载式高压射水机疏通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主管网一年不少于2次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3052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污水管道疏通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直径800的污水管道、采用车载式高压射水机疏通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主管网一年不少于2次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2289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污水管道疏通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直径1000的污水管道、采用车载式高压射水机疏通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主管网一年不少于2次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1526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污水管道疏通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直径1200及以上污水管道、采用车载式高压射水机疏通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主管网一年不少于2次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763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疏通车台班</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用于管道应急疏通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台班</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进口气囊封堵</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直径300的污水管道、采用潜水员进行橡胶气囊辅助封堵、拆除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进口气囊封堵</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直径400的污水管道、采用潜水员进行橡胶气囊辅助封堵、拆除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进口气囊封堵</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直径500的污水管道、采用潜水员进行橡胶气囊辅助封堵、拆除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进口气囊封堵</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直径600的污水管道、采用潜水员进行橡胶气囊辅助封堵、拆除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进口气囊封堵</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直径800的污水管道、采用潜水员进行橡胶气囊辅助封堵、拆除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进口气囊封堵</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直径1000的污水管道、采用潜水员进行橡胶气囊辅助封堵、拆除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封堵</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直径300的污水管道,采用潜水员砖砌封头,包含封堵一切费用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拆除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直径300的污水管道,包含潜水员拆除一切费用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封堵</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直径400的污水管道,采用潜水员砖砌封头,包含封堵一切费用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拆除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直径400的污水管道,包含潜水员拆除一切费用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封堵</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直径500的污水管道,采用潜水员砖砌封头,包含封堵一切费用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拆除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直径500的污水管道,包含潜水员拆除一切费用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封堵</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直径600的污水管道,采用潜水员砖砌封头,包含封堵一切费用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拆除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直径600的污水管道,包含潜水员拆除一切费用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封堵</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直径800的污水管道,采用潜水员砖砌封头,包含封堵一切费用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拆除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直径800的污水管道,包含潜水员拆除一切费用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封堵</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直径1000的污水管道,采用潜水员砖砌封头,包含封堵一切费用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拆除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直径1000的污水管道,包含潜水员拆除一切费用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6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潜水员掏窨井建筑垃圾</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混凝土、沥清等难以清理的硬物,包含人工、空压机、发电机、鼓风机、潜水设备、气体检测仪、安全费用等，包括外运及安全处置，运距自行考虑。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6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潜水员掏窨井垃圾</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砖块、砂石、污泥等杂物,包含人工、空压机、发电机、鼓风机、潜水设备、气体检测仪、安全费用等，包括外运及安全处置，运距自行考虑。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6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机械掏窨井建筑垃圾、垃圾</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污泥抓斗车清理混凝土、沥清、砖块、砂石、污泥等杂物,包含机械设备进出场等一切费用，包括外运及安全处置，运距自行考虑。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9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污泥处置</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泥浆运输：由施工现场运至脱水场地；泥浆脱水处理：脱水后含水率在45%~55%；脱水后淤泥处置运费：平板车运输；脱水后的淤泥运需至项目所在地有资质的单位进行合法合规焚烧处置</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112.5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潜水员台班</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应建设方要求按实签证，适用于应急抢险</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台班</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辅助人工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应建设方要求按实签证，适用于应急抢险</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工日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排查人工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应建设方要求按实签证，适用于应急抢险</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工日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3吨工程运输车台班</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应建设方要求按实签证，适用于应急抢险</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台班</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6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潜水员清淤（污水泵站）   （暗涵）</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包含人工、空压机、发电机、鼓风机、运输车、潜水设备、气体检测仪、等一切费用，运距自行考虑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潜水员清淤（污水管道）</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包含人工、空压机、发电机、鼓风机、运输车、潜水设备、气体检测仪、等一切费用，运距自行考虑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移动电源泵车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适用于应急调水</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台班</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管网排查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包含人工、运输车辆等（一辆车配3个排查人员，按6小时计），应建设方要求按实签证</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天</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井盖喷字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包含井盖清冼、制作字板、喷漆、防护等</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6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井盖（井座）更换</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更换各种井盖（井座），含原有井盖（井座）拆除、清理、外运等全部费用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井盖（井座）甲供，仅含人工辅材费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1040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安全防坠网安装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包括开盖、清冼井筒、膨胀螺栓固定、安装防坠网、防毒用具、安全防护等（包括主材）</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排放口标识牌制作安装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包含拆除旧标识牌，安装新标牌立柱及标牌（含主材、制作、运输安装等一切费用）。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水泵翻水</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DN150污水泵，用于应急排水，含辅助用工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台班</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水泵翻水</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DN200污水泵，用于应急排水，含辅助用工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台班</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水泵翻水</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DN300污水泵，用于应急排水，含辅助用工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台班</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水泵翻水</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DN400污水泵，用于应急排水，含辅助用工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台班</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发电机台班</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30KW以内，用于应急发电，含辅助用工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台班</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支管管口格栅安装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直径300的污水管道、采用潜水员安装不锈钢格栅，包括主材、安装一切费用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支管管口格栅安装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直径400的污水管道、采用潜水员安装不锈钢格栅，包括主材、安装一切费用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支管管口格栅安装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直径500的污水管道、采用潜水员安装不锈钢格栅，包括主材、安装一切费用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支管管口格栅安装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直径600的污水管道、采用潜水员安装不锈钢格栅，包括主材、安装一切费用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6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管网巡查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按照3天一个周期对标段内所有市政污水、中水管网进行巡查以及特殊情况应急加密巡查，包括车辆、人工、安全围护等一切费用。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9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污水井日常养护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对标段内污水井进行人工清掏漂浮物，测量井内淤泥深度，监测水位情况检查井盖链条锁具、爬梯、井壁情况（每3月一次），单价含垃圾清运及处置费用，井壁井盖爬梯维修另计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一年4次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项*次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1项*4次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6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排水户排放口巡查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核查雨水排放口标识牌情况，打开井盖，记录排水户信息、拍照记录井内水流情况，（每周0.5次）晴天有水需采样等一切费用。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一年26次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项*次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1项*26次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6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QV检测（通水水）</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管道通水情况下的检测，包括：气囊封堵、空压机（内燃）、发电机、水泵抽水、气体检测、潜水员设备、工程运输车、窥无忧检测等一切费用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1125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QV检测（无水）</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管道无水情况下的检测，包括工程运输车、窥无忧检测等一切费用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3375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QV检测台班</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用于应急、零星管道QV检测</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台班</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6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推杆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包括：气囊封堵、空压机（内燃）、发电机、水泵抽水、气体检测、潜水员设备、工程运输车、推杆检测等一切费用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225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推杆（不含封堵和抽水）</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包括气体检测、工程运输车、推杆检测等一切费用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CCTV检测</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气囊封堵、空压机（内燃）、发电机、水泵抽水、气体检测、潜水员设备、工程运输车、CCTV测等一切费用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6000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CCTV检测台班</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用于应急、零星管道CCTV检测</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台班</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声纳检测</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穿线、空压机（内燃）、发电机、潜水设备、工程运输车、声纳检测等一切费用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480"/>
        </w:trPr>
        <w:tc>
          <w:tcPr>
            <w:gridSpan w:val="6"/>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b/>
                <w:bCs/>
                <w:i w:val="0"/>
                <w:iCs w:val="0"/>
                <w:color w:val="auto"/>
                <w:sz w:val="18"/>
                <w:szCs w:val="18"/>
                <w:highlight w:val="none"/>
                <w:u w:val="none"/>
              </w:rPr>
            </w:pPr>
            <w:r>
              <w:rPr>
                <w:rFonts w:hint="eastAsia" w:ascii="宋体" w:hAnsi="宋体" w:eastAsia="宋体" w:cs="宋体"/>
                <w:b/>
                <w:bCs/>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b/>
                <w:bCs/>
                <w:i w:val="0"/>
                <w:iCs w:val="0"/>
                <w:color w:val="auto"/>
                <w:sz w:val="18"/>
                <w:szCs w:val="18"/>
                <w:highlight w:val="none"/>
                <w:u w:val="none"/>
              </w:rPr>
            </w:pPr>
            <w:r>
              <w:rPr>
                <w:rFonts w:hint="eastAsia" w:ascii="宋体" w:hAnsi="宋体" w:eastAsia="宋体" w:cs="宋体"/>
                <w:b/>
                <w:bCs/>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b/>
                <w:bCs/>
                <w:i w:val="0"/>
                <w:iCs w:val="0"/>
                <w:color w:val="auto"/>
                <w:sz w:val="18"/>
                <w:szCs w:val="18"/>
                <w:highlight w:val="none"/>
                <w:u w:val="none"/>
              </w:rPr>
            </w:pPr>
            <w:r>
              <w:rPr>
                <w:rFonts w:hint="eastAsia" w:ascii="宋体" w:hAnsi="宋体" w:eastAsia="宋体" w:cs="宋体"/>
                <w:b/>
                <w:bCs/>
                <w:i w:val="0"/>
                <w:iCs w:val="0"/>
                <w:color w:val="auto"/>
                <w:sz w:val="18"/>
                <w:szCs w:val="18"/>
                <w:highlight w:val="none"/>
                <w:u w:val="none"/>
              </w:rPr>
            </w:r>
            <w:r/>
          </w:p>
        </w:tc>
      </w:tr>
      <w:tr>
        <w:trPr>
          <w:trHeight w:val="940"/>
        </w:trPr>
        <w:tc>
          <w:tcPr>
            <w:gridSpan w:val="9"/>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注：所报价格为全费用综合单价（包含完成疏通养相应工作量所需的一切费用，投标报价应根据招标文件中的工程量清单和有关要求、施工现场实际情况及拟定的施工方案，结合本企业的技术水平、管理水平和工作实际，自主报价。投标报价均包括完成该工程项目的成本、管理费、利润、税金、技术措施费、机械进出场费、风险费、政策性文件规定费用等所有费用。）</w:t>
            </w:r>
            <w:r/>
          </w:p>
        </w:tc>
      </w:tr>
    </w:tbl>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2.服务期：</w:t>
      </w:r>
      <w:r>
        <w:rPr>
          <w:rFonts w:hint="eastAsia" w:ascii="宋体" w:hAnsi="宋体" w:cs="宋体"/>
          <w:color w:val="auto"/>
          <w:sz w:val="24"/>
          <w:highlight w:val="none"/>
          <w:lang w:val="en-US" w:eastAsia="zh-CN"/>
        </w:rPr>
        <w:t xml:space="preserve">三</w:t>
      </w:r>
      <w:r>
        <w:rPr>
          <w:rFonts w:hint="eastAsia" w:ascii="宋体" w:hAnsi="宋体" w:cs="宋体"/>
          <w:color w:val="auto"/>
          <w:sz w:val="24"/>
          <w:highlight w:val="none"/>
        </w:rPr>
        <w:t xml:space="preserve">年（以合同签订日期为准）；</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3.实施地点：无锡市新吴区</w:t>
      </w:r>
      <w:r>
        <w:rPr>
          <w:rFonts w:hint="eastAsia" w:ascii="宋体" w:hAnsi="宋体" w:cs="宋体"/>
          <w:color w:val="auto"/>
          <w:sz w:val="24"/>
          <w:highlight w:val="none"/>
          <w:lang w:val="en-US" w:eastAsia="zh-CN"/>
        </w:rPr>
        <w:t xml:space="preserve">硕放</w:t>
      </w:r>
      <w:r>
        <w:rPr>
          <w:rFonts w:hint="eastAsia" w:ascii="宋体" w:hAnsi="宋体" w:cs="宋体"/>
          <w:color w:val="auto"/>
          <w:sz w:val="24"/>
          <w:highlight w:val="none"/>
        </w:rPr>
        <w:t xml:space="preserve">街道。</w:t>
      </w:r>
      <w:r/>
    </w:p>
    <w:p>
      <w:pPr>
        <w:spacing w:line="360" w:lineRule="auto"/>
        <w:widowControl/>
        <w:rPr>
          <w:rFonts w:hint="eastAsia" w:ascii="宋体" w:hAnsi="宋体" w:cs="宋体"/>
          <w:b/>
          <w:bCs/>
          <w:color w:val="auto"/>
          <w:sz w:val="24"/>
          <w:highlight w:val="none"/>
        </w:rPr>
      </w:pPr>
      <w:r>
        <w:rPr>
          <w:rFonts w:hint="eastAsia" w:ascii="宋体" w:hAnsi="宋体" w:cs="宋体"/>
          <w:b/>
          <w:bCs/>
          <w:color w:val="auto"/>
          <w:sz w:val="24"/>
          <w:highlight w:val="none"/>
        </w:rPr>
        <w:t xml:space="preserve">五、项目技术要求：按照有关政府及行业标准。</w:t>
      </w:r>
      <w:r/>
    </w:p>
    <w:p>
      <w:pPr>
        <w:spacing w:line="360" w:lineRule="auto"/>
        <w:widowControl/>
        <w:rPr>
          <w:rFonts w:hint="eastAsia" w:ascii="宋体" w:hAnsi="宋体" w:cs="宋体"/>
          <w:b/>
          <w:bCs/>
          <w:color w:val="auto"/>
          <w:sz w:val="24"/>
          <w:highlight w:val="none"/>
        </w:rPr>
      </w:pPr>
      <w:r>
        <w:rPr>
          <w:rFonts w:hint="eastAsia" w:ascii="宋体" w:hAnsi="宋体" w:cs="宋体"/>
          <w:b/>
          <w:bCs/>
          <w:color w:val="auto"/>
          <w:sz w:val="24"/>
          <w:highlight w:val="none"/>
        </w:rPr>
        <w:t xml:space="preserve">六、采购标的需满足的服务标准等要求：</w:t>
      </w:r>
      <w:r/>
    </w:p>
    <w:p>
      <w:pPr>
        <w:ind w:firstLine="480"/>
        <w:spacing w:line="360" w:lineRule="auto"/>
        <w:widowControl/>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1、服务标准：《城镇排水管渠与泵站运行、维护及安全技术规程》（CJJ68-2016）、《新吴区公共雨污水管网（设施）养护作业参考标准》</w:t>
      </w:r>
      <w:r>
        <w:rPr>
          <w:rFonts w:hint="eastAsia" w:ascii="宋体" w:hAnsi="宋体" w:cs="宋体"/>
          <w:color w:val="auto"/>
          <w:sz w:val="24"/>
          <w:highlight w:val="none"/>
          <w:lang w:eastAsia="zh-CN"/>
        </w:rPr>
        <w:t xml:space="preserve">。</w:t>
      </w:r>
      <w:r/>
    </w:p>
    <w:p>
      <w:pPr>
        <w:ind w:firstLine="480"/>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2、人员、设备要求：</w:t>
      </w:r>
      <w:r/>
    </w:p>
    <w:p>
      <w:pPr>
        <w:ind w:firstLine="480"/>
        <w:spacing w:line="360" w:lineRule="auto"/>
        <w:widowControl/>
        <w:rPr>
          <w:rFonts w:hint="eastAsia" w:ascii="宋体" w:hAnsi="宋体" w:cs="宋体"/>
          <w:color w:val="auto"/>
          <w:sz w:val="24"/>
          <w:highlight w:val="none"/>
        </w:rPr>
      </w:pPr>
      <w:r>
        <w:rPr>
          <w:rFonts w:hint="eastAsia" w:ascii="宋体" w:hAnsi="宋体" w:cs="宋体"/>
          <w:bCs/>
          <w:color w:val="auto"/>
          <w:sz w:val="24"/>
          <w:highlight w:val="none"/>
        </w:rPr>
        <w:t xml:space="preserve">（</w:t>
      </w:r>
      <w:r>
        <w:rPr>
          <w:rFonts w:hint="eastAsia" w:ascii="宋体" w:hAnsi="宋体" w:cs="宋体"/>
          <w:bCs/>
          <w:color w:val="auto"/>
          <w:sz w:val="24"/>
          <w:highlight w:val="none"/>
          <w:lang w:val="en-US" w:eastAsia="zh-CN"/>
        </w:rPr>
        <w:t xml:space="preserve">1</w:t>
      </w:r>
      <w:r>
        <w:rPr>
          <w:rFonts w:hint="eastAsia" w:ascii="宋体" w:hAnsi="宋体" w:cs="宋体"/>
          <w:bCs/>
          <w:color w:val="auto"/>
          <w:sz w:val="24"/>
          <w:highlight w:val="none"/>
        </w:rPr>
        <w:t xml:space="preserve">）维护期间中标单位</w:t>
      </w:r>
      <w:r>
        <w:rPr>
          <w:rFonts w:hint="eastAsia" w:ascii="宋体" w:hAnsi="宋体" w:cs="宋体"/>
          <w:color w:val="auto"/>
          <w:sz w:val="24"/>
          <w:highlight w:val="none"/>
        </w:rPr>
        <w:t xml:space="preserve">每天必须确保有5名工作人员到场备案</w:t>
      </w:r>
      <w:r>
        <w:rPr>
          <w:rFonts w:hint="eastAsia" w:ascii="宋体" w:hAnsi="宋体" w:cs="宋体"/>
          <w:color w:val="auto"/>
          <w:sz w:val="24"/>
          <w:highlight w:val="none"/>
          <w:lang w:val="en-US" w:eastAsia="zh-CN"/>
        </w:rPr>
        <w:t xml:space="preserve">(不含1名巡查人员)</w:t>
      </w:r>
      <w:r>
        <w:rPr>
          <w:rFonts w:hint="eastAsia" w:ascii="宋体" w:hAnsi="宋体" w:cs="宋体"/>
          <w:color w:val="auto"/>
          <w:sz w:val="24"/>
          <w:highlight w:val="none"/>
        </w:rPr>
        <w:t xml:space="preserve">，并上传每天的现场工作情况照片。一经发现有人缺席，每人每天罚款1000元，一旦被查三次，采购人有权要求中标单位进行整顿，并对中标单位处以</w:t>
      </w:r>
      <w:r>
        <w:rPr>
          <w:rFonts w:hint="eastAsia" w:ascii="宋体" w:hAnsi="宋体" w:cs="宋体"/>
          <w:color w:val="auto"/>
          <w:sz w:val="24"/>
          <w:highlight w:val="none"/>
          <w:lang w:val="en-US" w:eastAsia="zh-CN"/>
        </w:rPr>
        <w:t xml:space="preserve">10000</w:t>
      </w:r>
      <w:r>
        <w:rPr>
          <w:rFonts w:hint="eastAsia" w:ascii="宋体" w:hAnsi="宋体" w:cs="宋体"/>
          <w:color w:val="auto"/>
          <w:sz w:val="24"/>
          <w:highlight w:val="none"/>
        </w:rPr>
        <w:t xml:space="preserve">元罚金。若反复出现此类情况，采购人有权终止合同，并要求中标单位弥补由此造成的损失。</w:t>
      </w:r>
      <w:r>
        <w:rPr>
          <w:rFonts w:hint="eastAsia" w:ascii="宋体" w:hAnsi="宋体" w:cs="宋体"/>
          <w:color w:val="auto"/>
          <w:sz w:val="24"/>
          <w:highlight w:val="none"/>
          <w:lang w:val="en-US" w:eastAsia="zh-CN"/>
        </w:rPr>
        <w:t xml:space="preserve">如</w:t>
      </w:r>
      <w:r>
        <w:rPr>
          <w:rFonts w:hint="eastAsia" w:ascii="宋体" w:hAnsi="宋体" w:cs="宋体"/>
          <w:color w:val="auto"/>
          <w:sz w:val="24"/>
          <w:highlight w:val="none"/>
        </w:rPr>
        <w:t xml:space="preserve">巡查人员及方案有变更必须提前以书面形式报告</w:t>
      </w:r>
      <w:r>
        <w:rPr>
          <w:rFonts w:hint="eastAsia" w:ascii="宋体" w:hAnsi="宋体" w:cs="宋体"/>
          <w:color w:val="auto"/>
          <w:sz w:val="24"/>
          <w:highlight w:val="none"/>
          <w:lang w:eastAsia="zh-CN"/>
        </w:rPr>
        <w:t xml:space="preserve">硕放</w:t>
      </w:r>
      <w:r>
        <w:rPr>
          <w:rFonts w:hint="eastAsia" w:ascii="宋体" w:hAnsi="宋体" w:cs="宋体"/>
          <w:color w:val="auto"/>
          <w:sz w:val="24"/>
          <w:highlight w:val="none"/>
        </w:rPr>
        <w:t xml:space="preserve">街道建设和生态环境办公室。</w:t>
      </w:r>
      <w:r/>
    </w:p>
    <w:p>
      <w:pPr>
        <w:ind w:firstLine="480"/>
        <w:spacing w:line="360" w:lineRule="auto"/>
        <w:widowControl/>
        <w:rPr>
          <w:rFonts w:hint="eastAsia" w:ascii="宋体" w:hAnsi="宋体" w:eastAsia="宋体" w:cs="宋体"/>
          <w:bCs/>
          <w:color w:val="auto"/>
          <w:sz w:val="24"/>
          <w:highlight w:val="none"/>
          <w:lang w:eastAsia="zh-CN"/>
        </w:rPr>
      </w:pPr>
      <w:r>
        <w:rPr>
          <w:rFonts w:hint="eastAsia" w:ascii="宋体" w:hAnsi="宋体" w:cs="宋体"/>
          <w:bCs/>
          <w:color w:val="auto"/>
          <w:sz w:val="24"/>
          <w:highlight w:val="none"/>
        </w:rPr>
        <w:t xml:space="preserve">（</w:t>
      </w:r>
      <w:r>
        <w:rPr>
          <w:rFonts w:hint="eastAsia" w:ascii="宋体" w:hAnsi="宋体" w:cs="宋体"/>
          <w:bCs/>
          <w:color w:val="auto"/>
          <w:sz w:val="24"/>
          <w:highlight w:val="none"/>
          <w:lang w:val="en-US" w:eastAsia="zh-CN"/>
        </w:rPr>
        <w:t xml:space="preserve">2</w:t>
      </w:r>
      <w:r>
        <w:rPr>
          <w:rFonts w:hint="eastAsia" w:ascii="宋体" w:hAnsi="宋体" w:cs="宋体"/>
          <w:bCs/>
          <w:color w:val="auto"/>
          <w:sz w:val="24"/>
          <w:highlight w:val="none"/>
        </w:rPr>
        <w:t xml:space="preserve">）巡查</w:t>
      </w:r>
      <w:r>
        <w:rPr>
          <w:rFonts w:hint="eastAsia" w:ascii="宋体" w:hAnsi="宋体" w:cs="宋体"/>
          <w:bCs/>
          <w:color w:val="auto"/>
          <w:sz w:val="24"/>
          <w:highlight w:val="none"/>
          <w:lang w:val="en-US" w:eastAsia="zh-CN"/>
        </w:rPr>
        <w:t xml:space="preserve">时应</w:t>
      </w:r>
      <w:r>
        <w:rPr>
          <w:rFonts w:hint="eastAsia" w:ascii="宋体" w:hAnsi="宋体" w:cs="宋体"/>
          <w:bCs/>
          <w:color w:val="auto"/>
          <w:sz w:val="24"/>
          <w:highlight w:val="none"/>
        </w:rPr>
        <w:t xml:space="preserve">采用电动车的方式，一人一车</w:t>
      </w:r>
      <w:r>
        <w:rPr>
          <w:rFonts w:hint="eastAsia" w:ascii="宋体" w:hAnsi="宋体" w:cs="宋体"/>
          <w:bCs/>
          <w:color w:val="auto"/>
          <w:sz w:val="24"/>
          <w:highlight w:val="none"/>
          <w:lang w:eastAsia="zh-CN"/>
        </w:rPr>
        <w:t xml:space="preserve">。</w:t>
      </w:r>
      <w:r/>
    </w:p>
    <w:p>
      <w:pPr>
        <w:ind w:firstLine="480"/>
        <w:spacing w:line="360" w:lineRule="auto"/>
        <w:widowControl/>
        <w:rPr>
          <w:rFonts w:hint="eastAsia" w:ascii="宋体" w:hAnsi="宋体" w:cs="宋体"/>
          <w:color w:val="auto"/>
          <w:sz w:val="24"/>
          <w:highlight w:val="none"/>
          <w:lang w:val="zh-CN"/>
        </w:rPr>
      </w:pP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lang w:val="en-US" w:eastAsia="zh-CN"/>
        </w:rPr>
        <w:t xml:space="preserve">3</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维护期间中标单位必须确保有</w:t>
      </w:r>
      <w:r>
        <w:rPr>
          <w:rFonts w:hint="eastAsia" w:ascii="宋体" w:hAnsi="宋体" w:cs="宋体"/>
          <w:bCs/>
          <w:color w:val="auto"/>
          <w:sz w:val="24"/>
          <w:highlight w:val="none"/>
          <w:lang w:val="en-US" w:eastAsia="zh-CN"/>
        </w:rPr>
        <w:t xml:space="preserve">与本项目匹配足够数量的</w:t>
      </w:r>
      <w:r>
        <w:rPr>
          <w:rFonts w:hint="eastAsia" w:ascii="宋体" w:hAnsi="宋体" w:cs="宋体"/>
          <w:color w:val="auto"/>
          <w:sz w:val="24"/>
          <w:highlight w:val="none"/>
          <w:lang w:val="zh-CN"/>
        </w:rPr>
        <w:t xml:space="preserve">养护设备，</w:t>
      </w:r>
      <w:r>
        <w:rPr>
          <w:rFonts w:hint="eastAsia" w:ascii="宋体" w:hAnsi="宋体" w:cs="宋体"/>
          <w:color w:val="auto"/>
          <w:sz w:val="24"/>
          <w:highlight w:val="none"/>
          <w:lang w:val="en-US" w:eastAsia="zh-CN"/>
        </w:rPr>
        <w:t xml:space="preserve">维护期间</w:t>
      </w:r>
      <w:r>
        <w:rPr>
          <w:rFonts w:hint="eastAsia" w:ascii="宋体" w:hAnsi="宋体" w:cs="宋体"/>
          <w:color w:val="auto"/>
          <w:sz w:val="24"/>
          <w:highlight w:val="none"/>
        </w:rPr>
        <w:t xml:space="preserve">可以</w:t>
      </w:r>
      <w:r>
        <w:rPr>
          <w:rFonts w:hint="eastAsia" w:ascii="宋体" w:hAnsi="宋体" w:cs="宋体"/>
          <w:color w:val="auto"/>
          <w:sz w:val="24"/>
          <w:highlight w:val="none"/>
          <w:lang w:val="en-US" w:eastAsia="zh-CN"/>
        </w:rPr>
        <w:t xml:space="preserve">方便</w:t>
      </w:r>
      <w:r>
        <w:rPr>
          <w:rFonts w:hint="eastAsia" w:ascii="宋体" w:hAnsi="宋体" w:cs="宋体"/>
          <w:color w:val="auto"/>
          <w:sz w:val="24"/>
          <w:highlight w:val="none"/>
        </w:rPr>
        <w:t xml:space="preserve">调配使用</w:t>
      </w:r>
      <w:r>
        <w:rPr>
          <w:rFonts w:hint="eastAsia" w:ascii="宋体" w:hAnsi="宋体" w:cs="宋体"/>
          <w:color w:val="auto"/>
          <w:sz w:val="24"/>
          <w:highlight w:val="none"/>
          <w:lang w:val="zh-CN"/>
        </w:rPr>
        <w:t xml:space="preserve">。</w:t>
      </w:r>
      <w:r/>
    </w:p>
    <w:p>
      <w:pPr>
        <w:ind w:firstLine="480"/>
        <w:spacing w:line="360" w:lineRule="auto"/>
        <w:widowControl/>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lang w:val="zh-CN"/>
        </w:rPr>
        <w:t xml:space="preserve">）所有巡</w:t>
      </w:r>
      <w:r>
        <w:rPr>
          <w:rFonts w:hint="eastAsia" w:ascii="宋体" w:hAnsi="宋体" w:cs="宋体"/>
          <w:color w:val="auto"/>
          <w:sz w:val="24"/>
          <w:highlight w:val="none"/>
          <w:lang w:val="en-US" w:eastAsia="zh-CN"/>
        </w:rPr>
        <w:t xml:space="preserve">查</w:t>
      </w:r>
      <w:r>
        <w:rPr>
          <w:rFonts w:hint="eastAsia" w:ascii="宋体" w:hAnsi="宋体" w:cs="宋体"/>
          <w:color w:val="auto"/>
          <w:sz w:val="24"/>
          <w:highlight w:val="none"/>
          <w:lang w:val="zh-CN"/>
        </w:rPr>
        <w:t xml:space="preserve">员必须穿工作服，穿戴反光背心，采用手持PDA系统</w:t>
      </w:r>
      <w:r>
        <w:rPr>
          <w:rFonts w:hint="eastAsia" w:ascii="宋体" w:hAnsi="宋体" w:cs="宋体"/>
          <w:color w:val="auto"/>
          <w:sz w:val="24"/>
          <w:highlight w:val="none"/>
          <w:lang w:val="zh-CN" w:eastAsia="zh-CN"/>
        </w:rPr>
        <w:t xml:space="preserve">或手机</w:t>
      </w:r>
      <w:r>
        <w:rPr>
          <w:rFonts w:hint="eastAsia" w:ascii="宋体" w:hAnsi="宋体" w:cs="宋体"/>
          <w:color w:val="auto"/>
          <w:sz w:val="24"/>
          <w:highlight w:val="none"/>
          <w:lang w:val="zh-CN"/>
        </w:rPr>
        <w:t xml:space="preserve">，记录当天巡查轨迹，发现问题点使用手持</w:t>
      </w:r>
      <w:r>
        <w:rPr>
          <w:rFonts w:hint="eastAsia" w:ascii="宋体" w:hAnsi="宋体" w:cs="宋体"/>
          <w:color w:val="auto"/>
          <w:sz w:val="24"/>
          <w:highlight w:val="none"/>
          <w:lang w:val="zh-CN" w:eastAsia="zh-CN"/>
        </w:rPr>
        <w:t xml:space="preserve">设备</w:t>
      </w:r>
      <w:r>
        <w:rPr>
          <w:rFonts w:hint="eastAsia" w:ascii="宋体" w:hAnsi="宋体" w:cs="宋体"/>
          <w:color w:val="auto"/>
          <w:sz w:val="24"/>
          <w:highlight w:val="none"/>
          <w:lang w:val="zh-CN"/>
        </w:rPr>
        <w:t xml:space="preserve">拍照并及时上传。</w:t>
      </w:r>
      <w:r/>
    </w:p>
    <w:p>
      <w:pPr>
        <w:ind w:firstLine="480"/>
        <w:spacing w:line="360" w:lineRule="auto"/>
        <w:widowControl/>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lang w:val="zh-CN"/>
        </w:rPr>
        <w:t xml:space="preserve">）项目组人员</w:t>
      </w:r>
      <w:r>
        <w:rPr>
          <w:rFonts w:hint="eastAsia" w:ascii="宋体" w:hAnsi="宋体" w:cs="宋体"/>
          <w:color w:val="auto"/>
          <w:sz w:val="24"/>
          <w:highlight w:val="none"/>
        </w:rPr>
        <w:t xml:space="preserve">最低</w:t>
      </w:r>
      <w:r>
        <w:rPr>
          <w:rFonts w:hint="eastAsia" w:ascii="宋体" w:hAnsi="宋体" w:cs="宋体"/>
          <w:color w:val="auto"/>
          <w:sz w:val="24"/>
          <w:highlight w:val="none"/>
          <w:lang w:val="zh-CN"/>
        </w:rPr>
        <w:t xml:space="preserve">配备：</w:t>
      </w:r>
      <w:r/>
    </w:p>
    <w:tbl>
      <w:tblPr>
        <w:tblStyle w:val="81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927"/>
        <w:gridCol w:w="4927"/>
      </w:tblGrid>
      <w:tr>
        <w:trPr/>
        <w:tc>
          <w:tcPr>
            <w:tcW w:w="4927" w:type="dxa"/>
            <w:textDirection w:val="lrTb"/>
            <w:noWrap w:val="false"/>
          </w:tcPr>
          <w:p>
            <w:pPr>
              <w:jc w:val="cente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人员名称</w:t>
            </w:r>
            <w:r/>
          </w:p>
        </w:tc>
        <w:tc>
          <w:tcPr>
            <w:tcW w:w="4927" w:type="dxa"/>
            <w:textDirection w:val="lrTb"/>
            <w:noWrap w:val="false"/>
          </w:tcPr>
          <w:p>
            <w:pPr>
              <w:jc w:val="center"/>
              <w:spacing w:line="360" w:lineRule="auto"/>
              <w:widowControl/>
              <w:rPr>
                <w:rFonts w:hint="eastAsia" w:ascii="宋体" w:hAnsi="宋体" w:cs="宋体"/>
                <w:color w:val="auto"/>
                <w:sz w:val="24"/>
                <w:highlight w:val="none"/>
              </w:rPr>
            </w:pPr>
            <w:r>
              <w:rPr>
                <w:rFonts w:ascii="宋体" w:hAnsi="宋体" w:cs="宋体"/>
                <w:color w:val="auto"/>
                <w:sz w:val="24"/>
                <w:highlight w:val="none"/>
              </w:rPr>
              <w:t xml:space="preserve">人员最低配备</w:t>
            </w:r>
            <w:r/>
          </w:p>
        </w:tc>
      </w:tr>
      <w:tr>
        <w:trPr/>
        <w:tc>
          <w:tcPr>
            <w:tcW w:w="4927" w:type="dxa"/>
            <w:textDirection w:val="lrTb"/>
            <w:noWrap w:val="false"/>
          </w:tcPr>
          <w:p>
            <w:pPr>
              <w:jc w:val="cente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项目负责人</w:t>
            </w:r>
            <w:r/>
          </w:p>
        </w:tc>
        <w:tc>
          <w:tcPr>
            <w:tcW w:w="4927" w:type="dxa"/>
            <w:textDirection w:val="lrTb"/>
            <w:noWrap w:val="false"/>
          </w:tcPr>
          <w:p>
            <w:pPr>
              <w:jc w:val="cente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1人</w:t>
            </w:r>
            <w:r/>
          </w:p>
        </w:tc>
      </w:tr>
      <w:tr>
        <w:trPr/>
        <w:tc>
          <w:tcPr>
            <w:tcW w:w="4927" w:type="dxa"/>
            <w:textDirection w:val="lrTb"/>
            <w:noWrap w:val="false"/>
          </w:tcPr>
          <w:p>
            <w:pPr>
              <w:jc w:val="cente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安全员</w:t>
            </w:r>
            <w:r/>
          </w:p>
        </w:tc>
        <w:tc>
          <w:tcPr>
            <w:tcW w:w="4927" w:type="dxa"/>
            <w:textDirection w:val="lrTb"/>
            <w:noWrap w:val="false"/>
          </w:tcPr>
          <w:p>
            <w:pPr>
              <w:jc w:val="center"/>
              <w:spacing w:line="360" w:lineRule="auto"/>
              <w:widowControl/>
              <w:rPr>
                <w:rFonts w:hint="eastAsia" w:ascii="宋体" w:hAnsi="宋体" w:cs="宋体"/>
                <w:color w:val="auto"/>
                <w:sz w:val="24"/>
                <w:highlight w:val="none"/>
                <w:lang w:val="zh-CN"/>
              </w:rPr>
            </w:pPr>
            <w:r>
              <w:rPr>
                <w:rFonts w:hint="eastAsia" w:ascii="宋体" w:hAnsi="宋体" w:cs="宋体"/>
                <w:color w:val="auto"/>
                <w:sz w:val="24"/>
                <w:highlight w:val="none"/>
              </w:rPr>
              <w:t xml:space="preserve">1人</w:t>
            </w:r>
            <w:r/>
          </w:p>
        </w:tc>
      </w:tr>
      <w:tr>
        <w:trPr/>
        <w:tc>
          <w:tcPr>
            <w:tcW w:w="4927" w:type="dxa"/>
            <w:textDirection w:val="lrTb"/>
            <w:noWrap w:val="false"/>
          </w:tcPr>
          <w:p>
            <w:pPr>
              <w:jc w:val="cente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潜水员</w:t>
            </w:r>
            <w:r/>
          </w:p>
        </w:tc>
        <w:tc>
          <w:tcPr>
            <w:tcW w:w="4927" w:type="dxa"/>
            <w:textDirection w:val="lrTb"/>
            <w:noWrap w:val="false"/>
          </w:tcPr>
          <w:p>
            <w:pPr>
              <w:jc w:val="center"/>
              <w:spacing w:line="360" w:lineRule="auto"/>
              <w:widowControl/>
              <w:rPr>
                <w:rFonts w:hint="eastAsia" w:ascii="宋体" w:hAnsi="宋体" w:cs="宋体"/>
                <w:color w:val="auto"/>
                <w:sz w:val="24"/>
                <w:highlight w:val="none"/>
                <w:lang w:val="zh-CN"/>
              </w:rPr>
            </w:pPr>
            <w:r>
              <w:rPr>
                <w:rFonts w:hint="eastAsia" w:ascii="宋体" w:hAnsi="宋体" w:cs="宋体"/>
                <w:color w:val="auto"/>
                <w:sz w:val="24"/>
                <w:highlight w:val="none"/>
              </w:rPr>
              <w:t xml:space="preserve">1人</w:t>
            </w:r>
            <w:r/>
          </w:p>
        </w:tc>
      </w:tr>
      <w:tr>
        <w:trPr/>
        <w:tc>
          <w:tcPr>
            <w:tcW w:w="4927" w:type="dxa"/>
            <w:textDirection w:val="lrTb"/>
            <w:noWrap w:val="false"/>
          </w:tcPr>
          <w:p>
            <w:pPr>
              <w:jc w:val="cente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巡查员</w:t>
            </w:r>
            <w:r/>
          </w:p>
        </w:tc>
        <w:tc>
          <w:tcPr>
            <w:tcW w:w="4927" w:type="dxa"/>
            <w:textDirection w:val="lrTb"/>
            <w:noWrap w:val="false"/>
          </w:tcPr>
          <w:p>
            <w:pPr>
              <w:jc w:val="cente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1人</w:t>
            </w:r>
            <w:r/>
          </w:p>
        </w:tc>
      </w:tr>
      <w:tr>
        <w:trPr/>
        <w:tc>
          <w:tcPr>
            <w:shd w:val="clear" w:color="auto" w:fill="auto"/>
            <w:tcW w:w="4927" w:type="dxa"/>
            <w:textDirection w:val="lrTb"/>
            <w:noWrap w:val="false"/>
          </w:tcPr>
          <w:p>
            <w:pPr>
              <w:jc w:val="center"/>
              <w:spacing w:line="360" w:lineRule="auto"/>
              <w:widowControl/>
              <w:rPr>
                <w:rFonts w:hint="eastAsia" w:ascii="宋体" w:hAnsi="宋体" w:cs="宋体"/>
                <w:color w:val="auto"/>
                <w:sz w:val="24"/>
                <w:highlight w:val="none"/>
                <w:lang w:val="zh-CN"/>
              </w:rPr>
            </w:pPr>
            <w:r>
              <w:rPr>
                <w:rFonts w:hint="eastAsia" w:ascii="宋体" w:hAnsi="宋体" w:cs="宋体"/>
                <w:color w:val="auto"/>
                <w:sz w:val="24"/>
                <w:highlight w:val="none"/>
              </w:rPr>
              <w:t xml:space="preserve">养护工</w:t>
            </w:r>
            <w:r/>
          </w:p>
        </w:tc>
        <w:tc>
          <w:tcPr>
            <w:shd w:val="clear" w:color="auto" w:fill="auto"/>
            <w:tcW w:w="4927" w:type="dxa"/>
            <w:textDirection w:val="lrTb"/>
            <w:noWrap w:val="false"/>
          </w:tcPr>
          <w:p>
            <w:pPr>
              <w:jc w:val="center"/>
              <w:spacing w:line="360" w:lineRule="auto"/>
              <w:widowControl/>
              <w:rPr>
                <w:rFonts w:hint="eastAsia" w:ascii="宋体" w:hAnsi="宋体" w:cs="宋体"/>
                <w:color w:val="auto"/>
                <w:sz w:val="24"/>
                <w:highlight w:val="none"/>
                <w:lang w:val="zh-CN"/>
              </w:rPr>
            </w:pPr>
            <w:r>
              <w:rPr>
                <w:rFonts w:hint="eastAsia" w:ascii="宋体" w:hAnsi="宋体" w:cs="宋体"/>
                <w:color w:val="auto"/>
                <w:sz w:val="24"/>
                <w:highlight w:val="none"/>
              </w:rPr>
              <w:t xml:space="preserve">3人</w:t>
            </w:r>
            <w:r/>
          </w:p>
        </w:tc>
      </w:tr>
      <w:tr>
        <w:trPr/>
        <w:tc>
          <w:tcPr>
            <w:shd w:val="clear" w:color="auto" w:fill="auto"/>
            <w:tcW w:w="4927" w:type="dxa"/>
            <w:textDirection w:val="lrTb"/>
            <w:noWrap w:val="false"/>
          </w:tcPr>
          <w:p>
            <w:pPr>
              <w:jc w:val="center"/>
              <w:spacing w:line="360" w:lineRule="auto"/>
              <w:widowControl/>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合计</w:t>
            </w:r>
            <w:r/>
          </w:p>
        </w:tc>
        <w:tc>
          <w:tcPr>
            <w:shd w:val="clear" w:color="auto" w:fill="auto"/>
            <w:tcW w:w="4927" w:type="dxa"/>
            <w:textDirection w:val="lrTb"/>
            <w:noWrap w:val="false"/>
          </w:tcPr>
          <w:p>
            <w:pPr>
              <w:jc w:val="center"/>
              <w:spacing w:line="360" w:lineRule="auto"/>
              <w:widowControl/>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7人</w:t>
            </w:r>
            <w:r/>
          </w:p>
        </w:tc>
      </w:tr>
    </w:tbl>
    <w:p>
      <w:pPr>
        <w:ind w:firstLine="480"/>
        <w:spacing w:line="360" w:lineRule="auto"/>
        <w:widowControl/>
        <w:rPr>
          <w:rFonts w:hint="eastAsia" w:ascii="宋体" w:hAnsi="宋体" w:cs="宋体"/>
          <w:b/>
          <w:bCs/>
          <w:color w:val="auto"/>
          <w:sz w:val="24"/>
          <w:highlight w:val="none"/>
        </w:rPr>
      </w:pPr>
      <w:r>
        <w:rPr>
          <w:rFonts w:hint="eastAsia" w:ascii="宋体" w:hAnsi="宋体" w:cs="宋体"/>
          <w:b/>
          <w:bCs/>
          <w:color w:val="auto"/>
          <w:sz w:val="24"/>
          <w:highlight w:val="none"/>
          <w:lang w:val="en-US" w:eastAsia="zh-CN"/>
        </w:rPr>
        <w:t xml:space="preserve">备注：供应商响应文件里提供企业与拟派人员签订的劳动合同，及近三个月中任意一个月份（不含投标当月）为其缴纳社保的证明。</w:t>
      </w:r>
      <w:r/>
    </w:p>
    <w:p>
      <w:pPr>
        <w:ind w:firstLine="480"/>
        <w:spacing w:line="360" w:lineRule="auto"/>
        <w:widowControl/>
        <w:rPr>
          <w:rFonts w:hint="eastAsia" w:ascii="宋体" w:hAnsi="宋体" w:cs="宋体"/>
          <w:b/>
          <w:bCs/>
          <w:color w:val="auto"/>
          <w:sz w:val="24"/>
          <w:highlight w:val="none"/>
        </w:rPr>
      </w:pPr>
      <w:r>
        <w:rPr>
          <w:rFonts w:hint="eastAsia" w:ascii="宋体" w:hAnsi="宋体" w:cs="宋体"/>
          <w:color w:val="auto"/>
          <w:sz w:val="24"/>
          <w:highlight w:val="none"/>
        </w:rPr>
        <w:t xml:space="preserve">3、</w:t>
      </w:r>
      <w:r>
        <w:rPr>
          <w:rFonts w:hint="eastAsia" w:ascii="宋体" w:hAnsi="宋体" w:cs="宋体"/>
          <w:color w:val="auto"/>
          <w:sz w:val="24"/>
          <w:szCs w:val="24"/>
          <w:highlight w:val="none"/>
        </w:rPr>
        <w:t xml:space="preserve">本次</w:t>
      </w:r>
      <w:r>
        <w:rPr>
          <w:rFonts w:hint="eastAsia" w:ascii="宋体" w:hAnsi="宋体" w:cs="宋体"/>
          <w:color w:val="auto"/>
          <w:sz w:val="24"/>
          <w:highlight w:val="none"/>
        </w:rPr>
        <w:t xml:space="preserve">脱水后淤泥运至项目所在地有焚烧资质的专业公司合法合规焚烧处置，淤泥处置不得对环境造成污染。</w:t>
      </w:r>
      <w:r/>
    </w:p>
    <w:p>
      <w:pPr>
        <w:spacing w:line="360" w:lineRule="auto"/>
        <w:widowControl/>
        <w:rPr>
          <w:rFonts w:hint="eastAsia" w:ascii="宋体" w:hAnsi="宋体" w:cs="宋体"/>
          <w:b/>
          <w:bCs/>
          <w:color w:val="auto"/>
          <w:sz w:val="24"/>
          <w:highlight w:val="none"/>
        </w:rPr>
      </w:pPr>
      <w:r>
        <w:rPr>
          <w:rFonts w:hint="eastAsia" w:ascii="宋体" w:hAnsi="宋体" w:cs="宋体"/>
          <w:b/>
          <w:bCs/>
          <w:color w:val="auto"/>
          <w:sz w:val="24"/>
          <w:highlight w:val="none"/>
        </w:rPr>
        <w:t xml:space="preserve">七、其他说明</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eastAsia="zh-CN"/>
        </w:rPr>
        <w:t xml:space="preserve">投标人</w:t>
      </w:r>
      <w:r>
        <w:rPr>
          <w:rFonts w:hint="eastAsia" w:ascii="宋体" w:hAnsi="宋体" w:cs="宋体"/>
          <w:color w:val="auto"/>
          <w:sz w:val="24"/>
          <w:highlight w:val="none"/>
        </w:rPr>
        <w:t xml:space="preserve">应仔细阅读招标文件的所有内容，按招标文件的要求提供投标文件，并保证所提供的全部资料的真实性，以使其投标对招标文件作出实质性响应，否则，其投标可能被拒绝。</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w:t>
      </w:r>
      <w:r>
        <w:rPr>
          <w:rFonts w:hint="eastAsia" w:ascii="宋体" w:hAnsi="宋体" w:cs="宋体"/>
          <w:color w:val="auto"/>
          <w:sz w:val="24"/>
          <w:highlight w:val="none"/>
          <w:lang w:eastAsia="zh-CN"/>
        </w:rPr>
        <w:t xml:space="preserve">投标人</w:t>
      </w:r>
      <w:r>
        <w:rPr>
          <w:rFonts w:hint="eastAsia" w:ascii="宋体" w:hAnsi="宋体" w:cs="宋体"/>
          <w:color w:val="auto"/>
          <w:sz w:val="24"/>
          <w:highlight w:val="none"/>
        </w:rPr>
        <w:t xml:space="preserve">报价时应充分考虑服务期内所有可能影响到报价的因素，如出现</w:t>
      </w:r>
      <w:r>
        <w:rPr>
          <w:rFonts w:hint="eastAsia" w:ascii="宋体" w:hAnsi="宋体" w:cs="宋体"/>
          <w:color w:val="auto"/>
          <w:sz w:val="24"/>
          <w:highlight w:val="none"/>
          <w:lang w:eastAsia="zh-CN"/>
        </w:rPr>
        <w:t xml:space="preserve">投标人</w:t>
      </w:r>
      <w:r>
        <w:rPr>
          <w:rFonts w:hint="eastAsia" w:ascii="宋体" w:hAnsi="宋体" w:cs="宋体"/>
          <w:color w:val="auto"/>
          <w:sz w:val="24"/>
          <w:highlight w:val="none"/>
        </w:rPr>
        <w:t xml:space="preserve">故意低价竞争，以谋取中标，作废标处理。</w:t>
      </w:r>
      <w:r/>
    </w:p>
    <w:p>
      <w:pPr>
        <w:ind w:firstLine="480"/>
        <w:spacing w:line="360" w:lineRule="auto"/>
        <w:rPr>
          <w:rFonts w:hint="eastAsia" w:hAnsi="宋体"/>
          <w:color w:val="auto"/>
          <w:sz w:val="24"/>
          <w:highlight w:val="none"/>
        </w:rPr>
      </w:pPr>
      <w:r>
        <w:rPr>
          <w:rFonts w:hint="eastAsia" w:ascii="宋体" w:hAnsi="宋体" w:cs="宋体"/>
          <w:color w:val="auto"/>
          <w:sz w:val="24"/>
          <w:highlight w:val="none"/>
        </w:rPr>
        <w:t xml:space="preserve">3、支付方式：</w:t>
      </w:r>
      <w:r>
        <w:rPr>
          <w:rFonts w:hint="eastAsia" w:hAnsi="宋体"/>
          <w:color w:val="auto"/>
          <w:sz w:val="24"/>
          <w:highlight w:val="none"/>
        </w:rPr>
        <w:t xml:space="preserve">①巡查部分根据考核办法每半年支付一次；②其余部分每半年支付一次；每次支付按确认的已完成实际工作量的50%拨款；服务期满项目审计结束后，付至最终审定价的90%；审计结束的第</w:t>
      </w:r>
      <w:r>
        <w:rPr>
          <w:rFonts w:hint="eastAsia" w:hAnsi="宋体"/>
          <w:color w:val="auto"/>
          <w:sz w:val="24"/>
          <w:highlight w:val="none"/>
          <w:lang w:val="en-US" w:eastAsia="zh-CN"/>
        </w:rPr>
        <w:t xml:space="preserve">三</w:t>
      </w:r>
      <w:r>
        <w:rPr>
          <w:rFonts w:hint="eastAsia" w:hAnsi="宋体"/>
          <w:color w:val="auto"/>
          <w:sz w:val="24"/>
          <w:highlight w:val="none"/>
        </w:rPr>
        <w:t xml:space="preserve">年付清余款。</w:t>
      </w:r>
      <w:r/>
    </w:p>
    <w:p>
      <w:pPr>
        <w:rPr>
          <w:rFonts w:hint="eastAsia" w:ascii="宋体" w:hAnsi="宋体" w:cs="宋体"/>
          <w:color w:val="auto"/>
          <w:sz w:val="24"/>
          <w:szCs w:val="24"/>
          <w:highlight w:val="none"/>
        </w:rPr>
      </w:pPr>
      <w:r/>
      <w:bookmarkStart w:id="2" w:name="_Hlk145511675"/>
      <w:r>
        <w:rPr>
          <w:rFonts w:hint="eastAsia" w:ascii="宋体" w:hAnsi="宋体" w:cs="宋体"/>
          <w:color w:val="auto"/>
          <w:sz w:val="24"/>
          <w:szCs w:val="24"/>
          <w:highlight w:val="none"/>
        </w:rPr>
        <w:br w:type="page" w:clear="all"/>
      </w:r>
      <w:r/>
    </w:p>
    <w:p>
      <w:pPr>
        <w:ind w:firstLine="480"/>
        <w:jc w:val="left"/>
        <w:spacing w:line="360" w:lineRule="auto"/>
        <w:rPr>
          <w:rFonts w:hint="eastAsia" w:ascii="宋体" w:hAnsi="宋体" w:cs="宋体"/>
          <w:b/>
          <w:bCs/>
          <w:color w:val="auto"/>
          <w:sz w:val="24"/>
          <w:szCs w:val="24"/>
          <w:highlight w:val="none"/>
        </w:rPr>
        <w:sectPr>
          <w:headerReference w:type="default" r:id="rId9"/>
          <w:footerReference w:type="default" r:id="rId12"/>
          <w:footerReference w:type="even" r:id="rId13"/>
          <w:footnotePr/>
          <w:endnotePr/>
          <w:type w:val="nextPage"/>
          <w:pgSz w:w="11906" w:h="16838" w:orient="portrait"/>
          <w:pgMar w:top="1134" w:right="1134" w:bottom="1134" w:left="1134" w:header="624" w:footer="907" w:gutter="0"/>
          <w:cols w:num="1" w:sep="0" w:space="1701" w:equalWidth="1"/>
          <w:docGrid w:linePitch="360"/>
          <w:titlePg/>
        </w:sectPr>
      </w:pPr>
      <w:r>
        <w:rPr>
          <w:rFonts w:hint="eastAsia" w:ascii="宋体" w:hAnsi="宋体" w:cs="宋体"/>
          <w:b/>
          <w:bCs/>
          <w:color w:val="auto"/>
          <w:sz w:val="24"/>
          <w:szCs w:val="24"/>
          <w:highlight w:val="none"/>
        </w:rPr>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b/>
          <w:bCs/>
          <w:color w:val="auto"/>
          <w:sz w:val="24"/>
          <w:szCs w:val="24"/>
          <w:highlight w:val="none"/>
        </w:rPr>
        <w:t xml:space="preserve">附件：</w:t>
      </w:r>
      <w:bookmarkEnd w:id="2"/>
      <w:r>
        <w:rPr>
          <w:rFonts w:hint="eastAsia" w:ascii="宋体" w:hAnsi="宋体" w:cs="宋体"/>
          <w:b/>
          <w:bCs/>
          <w:color w:val="auto"/>
          <w:sz w:val="24"/>
          <w:szCs w:val="24"/>
          <w:highlight w:val="none"/>
        </w:rPr>
        <w:t xml:space="preserve">考核细则</w:t>
      </w:r>
      <w:r/>
    </w:p>
    <w:tbl>
      <w:tblPr>
        <w:tblStyle w:val="778"/>
        <w:tblW w:w="14480" w:type="dxa"/>
        <w:jc w:val="center"/>
        <w:tblLayout w:type="autofit"/>
        <w:tblCellMar>
          <w:left w:w="108" w:type="dxa"/>
          <w:top w:w="0" w:type="dxa"/>
          <w:right w:w="108" w:type="dxa"/>
          <w:bottom w:w="0" w:type="dxa"/>
        </w:tblCellMar>
        <w:tblLook w:val="04A0" w:firstRow="1" w:lastRow="0" w:firstColumn="1" w:lastColumn="0" w:noHBand="0" w:noVBand="1"/>
      </w:tblPr>
      <w:tblGrid>
        <w:gridCol w:w="714"/>
        <w:gridCol w:w="1591"/>
        <w:gridCol w:w="2691"/>
        <w:gridCol w:w="880"/>
        <w:gridCol w:w="3368"/>
        <w:gridCol w:w="1389"/>
        <w:gridCol w:w="1877"/>
        <w:gridCol w:w="1970"/>
      </w:tblGrid>
      <w:tr>
        <w:trPr>
          <w:jc w:val="center"/>
          <w:trHeight w:val="90"/>
        </w:trPr>
        <w:tc>
          <w:tcPr>
            <w:gridSpan w:val="8"/>
            <w:tcBorders>
              <w:top w:val="none" w:color="000000" w:sz="4" w:space="0"/>
              <w:left w:val="none" w:color="000000" w:sz="4" w:space="0"/>
              <w:bottom w:val="none" w:color="000000" w:sz="4" w:space="0"/>
              <w:right w:val="none" w:color="000000" w:sz="4" w:space="0"/>
            </w:tcBorders>
            <w:tcW w:w="14480"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b/>
                <w:bCs/>
                <w:color w:val="auto"/>
                <w:sz w:val="24"/>
                <w:szCs w:val="24"/>
                <w:highlight w:val="none"/>
                <w:lang w:bidi="ar"/>
              </w:rPr>
              <w:t xml:space="preserve">养护管理考核表</w:t>
            </w:r>
            <w:r/>
          </w:p>
        </w:tc>
      </w:tr>
      <w:tr>
        <w:trPr>
          <w:jc w:val="center"/>
          <w:trHeight w:val="90"/>
        </w:trPr>
        <w:tc>
          <w:tcPr>
            <w:gridSpan w:val="8"/>
            <w:tcBorders>
              <w:top w:val="none" w:color="000000" w:sz="4" w:space="0"/>
              <w:left w:val="none" w:color="000000" w:sz="4" w:space="0"/>
              <w:bottom w:val="none" w:color="000000" w:sz="4" w:space="0"/>
              <w:right w:val="none" w:color="000000" w:sz="4" w:space="0"/>
            </w:tcBorders>
            <w:tcW w:w="14480" w:type="dxa"/>
            <w:vAlign w:val="center"/>
            <w:textDirection w:val="lrTb"/>
            <w:noWrap w:val="false"/>
          </w:tcPr>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养护单位：</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1591"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类别</w:t>
            </w:r>
            <w:r/>
          </w:p>
        </w:tc>
        <w:tc>
          <w:tcPr>
            <w:tcBorders>
              <w:top w:val="single" w:color="000000" w:sz="4" w:space="0"/>
              <w:left w:val="single" w:color="000000" w:sz="4" w:space="0"/>
              <w:bottom w:val="single" w:color="000000" w:sz="4" w:space="0"/>
              <w:right w:val="single" w:color="000000" w:sz="4" w:space="0"/>
            </w:tcBorders>
            <w:tcW w:w="2691"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检查项目</w:t>
            </w:r>
            <w:r/>
          </w:p>
        </w:tc>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分值</w:t>
            </w:r>
            <w:r/>
          </w:p>
        </w:tc>
        <w:tc>
          <w:tcPr>
            <w:tcBorders>
              <w:top w:val="single" w:color="000000" w:sz="4" w:space="0"/>
              <w:left w:val="single" w:color="000000" w:sz="4" w:space="0"/>
              <w:bottom w:val="single" w:color="000000" w:sz="4" w:space="0"/>
              <w:right w:val="single" w:color="000000" w:sz="4" w:space="0"/>
            </w:tcBorders>
            <w:tcW w:w="3368"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扣分标准</w:t>
            </w:r>
            <w:r/>
          </w:p>
        </w:tc>
        <w:tc>
          <w:tcPr>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得分</w:t>
            </w:r>
            <w:r/>
          </w:p>
        </w:tc>
        <w:tc>
          <w:tcPr>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扣分原因</w:t>
            </w:r>
            <w:r/>
          </w:p>
        </w:tc>
        <w:tc>
          <w:tcPr>
            <w:tcBorders>
              <w:top w:val="single" w:color="000000" w:sz="4" w:space="0"/>
              <w:left w:val="single" w:color="000000" w:sz="4" w:space="0"/>
              <w:bottom w:val="single" w:color="000000" w:sz="4" w:space="0"/>
              <w:right w:val="single" w:color="000000" w:sz="4" w:space="0"/>
            </w:tcBorders>
            <w:tcW w:w="1970"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备注</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591" w:type="dxa"/>
            <w:vAlign w:val="center"/>
            <w:vMerge w:val="restart"/>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雨污水检查井（26分）</w:t>
            </w:r>
            <w:r/>
          </w:p>
        </w:tc>
        <w:tc>
          <w:tcPr>
            <w:tcBorders>
              <w:top w:val="single" w:color="000000" w:sz="4" w:space="0"/>
              <w:left w:val="single" w:color="000000" w:sz="4" w:space="0"/>
              <w:bottom w:val="single" w:color="000000" w:sz="4" w:space="0"/>
              <w:right w:val="single" w:color="000000" w:sz="4" w:space="0"/>
            </w:tcBorders>
            <w:tcW w:w="2691" w:type="dxa"/>
            <w:vAlign w:val="center"/>
            <w:textDirection w:val="lrTb"/>
            <w:noWrap w:val="false"/>
          </w:tcPr>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检查井内水流畅通，无浮渣；</w:t>
            </w:r>
            <w:r/>
          </w:p>
        </w:tc>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3368" w:type="dxa"/>
            <w:vAlign w:val="center"/>
            <w:textDirection w:val="lrTb"/>
            <w:noWrap w:val="false"/>
          </w:tcPr>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发现水流不畅一处扣2分，发现浮渣一处扣1分</w:t>
            </w:r>
            <w:r/>
          </w:p>
        </w:tc>
        <w:tc>
          <w:tcPr>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970"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jc w:val="center"/>
          <w:trHeight w:val="837"/>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1591" w:type="dxa"/>
            <w:vAlign w:val="center"/>
            <w:vMerge w:val="continue"/>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691" w:type="dxa"/>
            <w:vAlign w:val="center"/>
            <w:textDirection w:val="lrTb"/>
            <w:noWrap w:val="false"/>
          </w:tcPr>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井盖无埋没、丢失、破损；井盖标识正确</w:t>
            </w:r>
            <w:r/>
          </w:p>
        </w:tc>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3368" w:type="dxa"/>
            <w:vAlign w:val="center"/>
            <w:textDirection w:val="lrTb"/>
            <w:noWrap w:val="false"/>
          </w:tcPr>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发现一处问题扣1分，井盖缺失一处扣2分</w:t>
            </w:r>
            <w:r/>
          </w:p>
        </w:tc>
        <w:tc>
          <w:tcPr>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970"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jc w:val="center"/>
          <w:trHeight w:val="867"/>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1591" w:type="dxa"/>
            <w:vAlign w:val="center"/>
            <w:vMerge w:val="continue"/>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691" w:type="dxa"/>
            <w:vAlign w:val="center"/>
            <w:textDirection w:val="lrTb"/>
            <w:noWrap w:val="false"/>
          </w:tcPr>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井框盖吻合，无破损，启闭灵活</w:t>
            </w:r>
            <w:r/>
          </w:p>
        </w:tc>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3368" w:type="dxa"/>
            <w:vAlign w:val="center"/>
            <w:textDirection w:val="lrTb"/>
            <w:noWrap w:val="false"/>
          </w:tcPr>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发现一处问题扣1分</w:t>
            </w:r>
            <w:r/>
          </w:p>
        </w:tc>
        <w:tc>
          <w:tcPr>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970"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jc w:val="center"/>
          <w:trHeight w:val="882"/>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1591" w:type="dxa"/>
            <w:vAlign w:val="center"/>
            <w:vMerge w:val="continue"/>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691" w:type="dxa"/>
            <w:vAlign w:val="center"/>
            <w:textDirection w:val="lrTb"/>
            <w:noWrap w:val="false"/>
          </w:tcPr>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井内爬梯完整，无松动、锈蚀或缺损</w:t>
            </w:r>
            <w:r/>
          </w:p>
        </w:tc>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3368" w:type="dxa"/>
            <w:vAlign w:val="center"/>
            <w:textDirection w:val="lrTb"/>
            <w:noWrap w:val="false"/>
          </w:tcPr>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发现一处问题扣1分</w:t>
            </w:r>
            <w:r/>
          </w:p>
        </w:tc>
        <w:tc>
          <w:tcPr>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970"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1591" w:type="dxa"/>
            <w:vAlign w:val="center"/>
            <w:vMerge w:val="continue"/>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691" w:type="dxa"/>
            <w:vAlign w:val="center"/>
            <w:textDirection w:val="lrTb"/>
            <w:noWrap w:val="false"/>
          </w:tcPr>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井内壁无泥垢、裂缝或渗漏，抹面无脱落</w:t>
            </w:r>
            <w:r/>
          </w:p>
        </w:tc>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3368" w:type="dxa"/>
            <w:vAlign w:val="center"/>
            <w:textDirection w:val="lrTb"/>
            <w:noWrap w:val="false"/>
          </w:tcPr>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发现一处问题扣1分</w:t>
            </w:r>
            <w:r/>
          </w:p>
        </w:tc>
        <w:tc>
          <w:tcPr>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970"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jc w:val="center"/>
          <w:trHeight w:val="1786"/>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1591" w:type="dxa"/>
            <w:vAlign w:val="center"/>
            <w:vMerge w:val="continue"/>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691" w:type="dxa"/>
            <w:vAlign w:val="center"/>
            <w:textDirection w:val="lrTb"/>
            <w:noWrap w:val="false"/>
          </w:tcPr>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检查井（有沉泥槽）允许积泥深度为管底以下50mm；检查井（无沉泥槽）允许积泥深度为主管径的1/5</w:t>
            </w:r>
            <w:r/>
          </w:p>
        </w:tc>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3368" w:type="dxa"/>
            <w:vAlign w:val="center"/>
            <w:textDirection w:val="lrTb"/>
            <w:noWrap w:val="false"/>
          </w:tcPr>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发现积泥超标一处扣2分</w:t>
            </w:r>
            <w:r/>
          </w:p>
        </w:tc>
        <w:tc>
          <w:tcPr>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970"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1591" w:type="dxa"/>
            <w:vAlign w:val="center"/>
            <w:vMerge w:val="restart"/>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收水井（20分）</w:t>
            </w:r>
            <w:r/>
          </w:p>
        </w:tc>
        <w:tc>
          <w:tcPr>
            <w:tcBorders>
              <w:top w:val="single" w:color="000000" w:sz="4" w:space="0"/>
              <w:left w:val="single" w:color="000000" w:sz="4" w:space="0"/>
              <w:bottom w:val="single" w:color="000000" w:sz="4" w:space="0"/>
              <w:right w:val="single" w:color="000000" w:sz="4" w:space="0"/>
            </w:tcBorders>
            <w:tcW w:w="2691" w:type="dxa"/>
            <w:vAlign w:val="center"/>
            <w:textDirection w:val="lrTb"/>
            <w:noWrap w:val="false"/>
          </w:tcPr>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收水井允许积泥深度为管底以下50mm</w:t>
            </w:r>
            <w:r/>
          </w:p>
        </w:tc>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3368" w:type="dxa"/>
            <w:vAlign w:val="center"/>
            <w:textDirection w:val="lrTb"/>
            <w:noWrap w:val="false"/>
          </w:tcPr>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发现积泥超标一处扣2分</w:t>
            </w:r>
            <w:r/>
          </w:p>
        </w:tc>
        <w:tc>
          <w:tcPr>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970"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jc w:val="center"/>
          <w:trHeight w:val="852"/>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1591" w:type="dxa"/>
            <w:vAlign w:val="center"/>
            <w:vMerge w:val="continue"/>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691" w:type="dxa"/>
            <w:vAlign w:val="center"/>
            <w:textDirection w:val="lrTb"/>
            <w:noWrap w:val="false"/>
          </w:tcPr>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雨篦口无堵塞、埋没、破损或丢失现象</w:t>
            </w:r>
            <w:r/>
          </w:p>
        </w:tc>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3368" w:type="dxa"/>
            <w:vAlign w:val="center"/>
            <w:textDirection w:val="lrTb"/>
            <w:noWrap w:val="false"/>
          </w:tcPr>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发现一处问题扣1分，雨篦缺失一处扣2分</w:t>
            </w:r>
            <w:r/>
          </w:p>
        </w:tc>
        <w:tc>
          <w:tcPr>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970"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9</w:t>
            </w:r>
            <w:r/>
          </w:p>
        </w:tc>
        <w:tc>
          <w:tcPr>
            <w:tcBorders>
              <w:top w:val="single" w:color="000000" w:sz="4" w:space="0"/>
              <w:left w:val="single" w:color="000000" w:sz="4" w:space="0"/>
              <w:bottom w:val="single" w:color="000000" w:sz="4" w:space="0"/>
              <w:right w:val="single" w:color="000000" w:sz="4" w:space="0"/>
            </w:tcBorders>
            <w:tcW w:w="1591" w:type="dxa"/>
            <w:vAlign w:val="center"/>
            <w:vMerge w:val="continue"/>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691" w:type="dxa"/>
            <w:vAlign w:val="center"/>
            <w:textDirection w:val="lrTb"/>
            <w:noWrap w:val="false"/>
          </w:tcPr>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绿化带排水沟畅通，无树叶、垃圾、淤泥等积聚</w:t>
            </w:r>
            <w:r/>
          </w:p>
        </w:tc>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3368" w:type="dxa"/>
            <w:vAlign w:val="center"/>
            <w:textDirection w:val="lrTb"/>
            <w:noWrap w:val="false"/>
          </w:tcPr>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发现一处问题扣1分</w:t>
            </w:r>
            <w:r/>
          </w:p>
        </w:tc>
        <w:tc>
          <w:tcPr>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970"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1591"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出水口（6分）</w:t>
            </w:r>
            <w:r/>
          </w:p>
        </w:tc>
        <w:tc>
          <w:tcPr>
            <w:tcBorders>
              <w:top w:val="single" w:color="000000" w:sz="4" w:space="0"/>
              <w:left w:val="single" w:color="000000" w:sz="4" w:space="0"/>
              <w:bottom w:val="single" w:color="000000" w:sz="4" w:space="0"/>
              <w:right w:val="single" w:color="000000" w:sz="4" w:space="0"/>
            </w:tcBorders>
            <w:tcW w:w="2691" w:type="dxa"/>
            <w:vAlign w:val="center"/>
            <w:textDirection w:val="lrTb"/>
            <w:noWrap w:val="false"/>
          </w:tcPr>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出水口畅通，未被遮挡、掩埋或堵塞</w:t>
            </w:r>
            <w:r/>
          </w:p>
        </w:tc>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3368" w:type="dxa"/>
            <w:vAlign w:val="center"/>
            <w:textDirection w:val="lrTb"/>
            <w:noWrap w:val="false"/>
          </w:tcPr>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发现一处问题扣2分</w:t>
            </w:r>
            <w:r/>
          </w:p>
        </w:tc>
        <w:tc>
          <w:tcPr>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970"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11</w:t>
            </w:r>
            <w:r/>
          </w:p>
        </w:tc>
        <w:tc>
          <w:tcPr>
            <w:tcBorders>
              <w:top w:val="single" w:color="000000" w:sz="4" w:space="0"/>
              <w:left w:val="single" w:color="000000" w:sz="4" w:space="0"/>
              <w:right w:val="single" w:color="000000" w:sz="4" w:space="0"/>
            </w:tcBorders>
            <w:tcW w:w="1591" w:type="dxa"/>
            <w:vAlign w:val="center"/>
            <w:vMerge w:val="restart"/>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雨污水管（20分）</w:t>
            </w:r>
            <w:r/>
          </w:p>
        </w:tc>
        <w:tc>
          <w:tcPr>
            <w:tcBorders>
              <w:top w:val="single" w:color="000000" w:sz="4" w:space="0"/>
              <w:left w:val="single" w:color="000000" w:sz="4" w:space="0"/>
              <w:bottom w:val="single" w:color="000000" w:sz="4" w:space="0"/>
              <w:right w:val="single" w:color="000000" w:sz="4" w:space="0"/>
            </w:tcBorders>
            <w:tcW w:w="2691" w:type="dxa"/>
            <w:vAlign w:val="center"/>
            <w:textDirection w:val="lrTb"/>
            <w:noWrap w:val="false"/>
          </w:tcPr>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管道无破损或沉降</w:t>
            </w:r>
            <w:r/>
          </w:p>
        </w:tc>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3368" w:type="dxa"/>
            <w:vAlign w:val="center"/>
            <w:textDirection w:val="lrTb"/>
            <w:noWrap w:val="false"/>
          </w:tcPr>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巡查无反馈，发现一处问题扣1分</w:t>
            </w:r>
            <w:r/>
          </w:p>
        </w:tc>
        <w:tc>
          <w:tcPr>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970"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12</w:t>
            </w:r>
            <w:r/>
          </w:p>
        </w:tc>
        <w:tc>
          <w:tcPr>
            <w:tcBorders>
              <w:left w:val="single" w:color="000000" w:sz="4" w:space="0"/>
              <w:right w:val="single" w:color="000000" w:sz="4" w:space="0"/>
            </w:tcBorders>
            <w:tcW w:w="1591" w:type="dxa"/>
            <w:vAlign w:val="center"/>
            <w:vMerge w:val="continue"/>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691" w:type="dxa"/>
            <w:vAlign w:val="center"/>
            <w:textDirection w:val="lrTb"/>
            <w:noWrap w:val="false"/>
          </w:tcPr>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沿线无违章占压、私自接管、雨污混接或违法排放现象</w:t>
            </w:r>
            <w:r/>
          </w:p>
        </w:tc>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3368" w:type="dxa"/>
            <w:vAlign w:val="center"/>
            <w:textDirection w:val="lrTb"/>
            <w:noWrap w:val="false"/>
          </w:tcPr>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发现一处问题扣1分</w:t>
            </w:r>
            <w:r/>
          </w:p>
        </w:tc>
        <w:tc>
          <w:tcPr>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970"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13</w:t>
            </w:r>
            <w:r/>
          </w:p>
        </w:tc>
        <w:tc>
          <w:tcPr>
            <w:tcBorders>
              <w:left w:val="single" w:color="000000" w:sz="4" w:space="0"/>
              <w:right w:val="single" w:color="000000" w:sz="4" w:space="0"/>
            </w:tcBorders>
            <w:tcW w:w="1591" w:type="dxa"/>
            <w:vAlign w:val="center"/>
            <w:vMerge w:val="continue"/>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691" w:type="dxa"/>
            <w:vAlign w:val="center"/>
            <w:textDirection w:val="lrTb"/>
            <w:noWrap w:val="false"/>
          </w:tcPr>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管道允许积泥深度为主管径的1/5</w:t>
            </w:r>
            <w:r/>
          </w:p>
        </w:tc>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3368" w:type="dxa"/>
            <w:vAlign w:val="center"/>
            <w:textDirection w:val="lrTb"/>
            <w:noWrap w:val="false"/>
          </w:tcPr>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发现积泥超标一处扣2分</w:t>
            </w:r>
            <w:r/>
          </w:p>
        </w:tc>
        <w:tc>
          <w:tcPr>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970"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14</w:t>
            </w:r>
            <w:r/>
          </w:p>
        </w:tc>
        <w:tc>
          <w:tcPr>
            <w:tcBorders>
              <w:left w:val="single" w:color="000000" w:sz="4" w:space="0"/>
              <w:right w:val="single" w:color="000000" w:sz="4" w:space="0"/>
            </w:tcBorders>
            <w:tcW w:w="1591" w:type="dxa"/>
            <w:vAlign w:val="center"/>
            <w:vMerge w:val="continue"/>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691" w:type="dxa"/>
            <w:vAlign w:val="center"/>
            <w:textDirection w:val="lrTb"/>
            <w:noWrap w:val="false"/>
          </w:tcPr>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道路沿线无积水影响车辆通行的状况</w:t>
            </w:r>
            <w:r/>
          </w:p>
        </w:tc>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3368" w:type="dxa"/>
            <w:vAlign w:val="center"/>
            <w:textDirection w:val="lrTb"/>
            <w:noWrap w:val="false"/>
          </w:tcPr>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因养护不当发现一处问题扣1分，积水严重造成车辆无法通行，养护考核不得分</w:t>
            </w:r>
            <w:r/>
          </w:p>
        </w:tc>
        <w:tc>
          <w:tcPr>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970"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因养护不当，造成路面大量积水车辆无法通行的，发包方可解除合同</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jc w:val="center"/>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15</w:t>
            </w:r>
            <w:r/>
          </w:p>
        </w:tc>
        <w:tc>
          <w:tcPr>
            <w:tcBorders>
              <w:left w:val="single" w:color="000000" w:sz="4" w:space="0"/>
              <w:bottom w:val="single" w:color="000000" w:sz="4" w:space="0"/>
              <w:right w:val="single" w:color="000000" w:sz="4" w:space="0"/>
            </w:tcBorders>
            <w:tcW w:w="1591" w:type="dxa"/>
            <w:vAlign w:val="center"/>
            <w:vMerge w:val="continue"/>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691" w:type="dxa"/>
            <w:vAlign w:val="center"/>
            <w:textDirection w:val="lrTb"/>
            <w:noWrap w:val="false"/>
          </w:tcPr>
          <w:p>
            <w:pPr>
              <w:jc w:val="left"/>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对问题排口进行溯源工作，并查清问题。</w:t>
            </w:r>
            <w:r/>
          </w:p>
        </w:tc>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jc w:val="center"/>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3368" w:type="dxa"/>
            <w:vAlign w:val="center"/>
            <w:textDirection w:val="lrTb"/>
            <w:noWrap w:val="false"/>
          </w:tcPr>
          <w:p>
            <w:pPr>
              <w:widowControl/>
              <w:rPr>
                <w:rFonts w:hint="eastAsia"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bidi="ar"/>
              </w:rPr>
              <w:t xml:space="preserve">巡查无反馈，发现一处问题扣1分</w:t>
            </w:r>
            <w:r/>
          </w:p>
        </w:tc>
        <w:tc>
          <w:tcPr>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970" w:type="dxa"/>
            <w:vAlign w:val="center"/>
            <w:textDirection w:val="lrTb"/>
            <w:noWrap w:val="false"/>
          </w:tcPr>
          <w:p>
            <w:pPr>
              <w:jc w:val="center"/>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如查不出问题</w:t>
            </w:r>
            <w:r>
              <w:rPr>
                <w:rFonts w:ascii="宋体" w:hAnsi="宋体" w:cs="宋体"/>
                <w:color w:val="auto"/>
                <w:sz w:val="24"/>
                <w:szCs w:val="24"/>
                <w:highlight w:val="none"/>
                <w:lang w:bidi="ar"/>
              </w:rPr>
              <w:t xml:space="preserve">，发包方选择委托其他单位进行调查，则相关费用应由养护单位承担</w:t>
            </w:r>
            <w:r>
              <w:rPr>
                <w:rFonts w:hint="eastAsia" w:ascii="宋体" w:hAnsi="宋体" w:cs="宋体"/>
                <w:color w:val="auto"/>
                <w:sz w:val="24"/>
                <w:szCs w:val="24"/>
                <w:highlight w:val="none"/>
                <w:lang w:bidi="ar"/>
              </w:rPr>
              <w:t xml:space="preserve">，并扣除</w:t>
            </w:r>
            <w:r>
              <w:rPr>
                <w:rFonts w:hint="eastAsia" w:ascii="宋体" w:hAnsi="宋体" w:cs="宋体"/>
                <w:color w:val="auto"/>
                <w:sz w:val="24"/>
                <w:szCs w:val="24"/>
                <w:highlight w:val="none"/>
                <w:lang w:val="en-US" w:eastAsia="zh-CN" w:bidi="ar"/>
              </w:rPr>
              <w:t xml:space="preserve">10000</w:t>
            </w:r>
            <w:r>
              <w:rPr>
                <w:rFonts w:hint="eastAsia" w:ascii="宋体" w:hAnsi="宋体" w:cs="宋体"/>
                <w:color w:val="auto"/>
                <w:sz w:val="24"/>
                <w:szCs w:val="24"/>
                <w:highlight w:val="none"/>
                <w:lang w:bidi="ar"/>
              </w:rPr>
              <w:t xml:space="preserve">元/次</w:t>
            </w:r>
            <w:r>
              <w:rPr>
                <w:rFonts w:ascii="宋体" w:hAnsi="宋体" w:cs="宋体"/>
                <w:color w:val="auto"/>
                <w:sz w:val="24"/>
                <w:szCs w:val="24"/>
                <w:highlight w:val="none"/>
                <w:lang w:bidi="ar"/>
              </w:rPr>
              <w:t xml:space="preserve">。</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16</w:t>
            </w:r>
            <w:r/>
          </w:p>
        </w:tc>
        <w:tc>
          <w:tcPr>
            <w:tcBorders>
              <w:top w:val="single" w:color="000000" w:sz="4" w:space="0"/>
              <w:left w:val="single" w:color="000000" w:sz="4" w:space="0"/>
              <w:bottom w:val="single" w:color="000000" w:sz="4" w:space="0"/>
              <w:right w:val="single" w:color="000000" w:sz="4" w:space="0"/>
            </w:tcBorders>
            <w:tcW w:w="1591" w:type="dxa"/>
            <w:vAlign w:val="center"/>
            <w:vMerge w:val="restart"/>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养护管理（10分）</w:t>
            </w:r>
            <w:r/>
          </w:p>
        </w:tc>
        <w:tc>
          <w:tcPr>
            <w:tcBorders>
              <w:top w:val="single" w:color="000000" w:sz="4" w:space="0"/>
              <w:left w:val="single" w:color="000000" w:sz="4" w:space="0"/>
              <w:bottom w:val="single" w:color="000000" w:sz="4" w:space="0"/>
              <w:right w:val="single" w:color="000000" w:sz="4" w:space="0"/>
            </w:tcBorders>
            <w:tcW w:w="2691" w:type="dxa"/>
            <w:vAlign w:val="center"/>
            <w:textDirection w:val="lrTb"/>
            <w:noWrap w:val="false"/>
          </w:tcPr>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淤泥及垃圾应及时装车外运，不得就地堆放，不得抛洒滴漏，清掏作业后必须保持路面清洁</w:t>
            </w:r>
            <w:r/>
          </w:p>
        </w:tc>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3368" w:type="dxa"/>
            <w:vAlign w:val="center"/>
            <w:textDirection w:val="lrTb"/>
            <w:noWrap w:val="false"/>
          </w:tcPr>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淤泥及垃圾没有及时处理的1次扣1分，出现抛洒滴漏1次扣1分，影响周边居民1次扣1分</w:t>
            </w:r>
            <w:r/>
          </w:p>
        </w:tc>
        <w:tc>
          <w:tcPr>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970"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17</w:t>
            </w:r>
            <w:r/>
          </w:p>
        </w:tc>
        <w:tc>
          <w:tcPr>
            <w:tcBorders>
              <w:top w:val="single" w:color="000000" w:sz="4" w:space="0"/>
              <w:left w:val="single" w:color="000000" w:sz="4" w:space="0"/>
              <w:bottom w:val="single" w:color="000000" w:sz="4" w:space="0"/>
              <w:right w:val="single" w:color="000000" w:sz="4" w:space="0"/>
            </w:tcBorders>
            <w:tcW w:w="1591" w:type="dxa"/>
            <w:vAlign w:val="center"/>
            <w:vMerge w:val="continue"/>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691" w:type="dxa"/>
            <w:vAlign w:val="center"/>
            <w:textDirection w:val="lrTb"/>
            <w:noWrap w:val="false"/>
          </w:tcPr>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严格按照养护计划开展工作，现场人员车辆到位</w:t>
            </w:r>
            <w:r/>
          </w:p>
        </w:tc>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3368" w:type="dxa"/>
            <w:vAlign w:val="center"/>
            <w:textDirection w:val="lrTb"/>
            <w:noWrap w:val="false"/>
          </w:tcPr>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无正当理由未按照养护计划实施养护的一次扣0.5分，计划调整未及时通知甲方的一次扣0.5分</w:t>
            </w:r>
            <w:r/>
          </w:p>
        </w:tc>
        <w:tc>
          <w:tcPr>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970"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18</w:t>
            </w:r>
            <w:r/>
          </w:p>
        </w:tc>
        <w:tc>
          <w:tcPr>
            <w:tcBorders>
              <w:top w:val="single" w:color="000000" w:sz="4" w:space="0"/>
              <w:left w:val="single" w:color="000000" w:sz="4" w:space="0"/>
              <w:bottom w:val="single" w:color="000000" w:sz="4" w:space="0"/>
              <w:right w:val="single" w:color="000000" w:sz="4" w:space="0"/>
            </w:tcBorders>
            <w:tcW w:w="1591" w:type="dxa"/>
            <w:vAlign w:val="center"/>
            <w:vMerge w:val="continue"/>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691" w:type="dxa"/>
            <w:vAlign w:val="center"/>
            <w:textDirection w:val="lrTb"/>
            <w:noWrap w:val="false"/>
          </w:tcPr>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养护人员知晓养护范围内的雨污水管网情况</w:t>
            </w:r>
            <w:r/>
          </w:p>
        </w:tc>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368" w:type="dxa"/>
            <w:vAlign w:val="center"/>
            <w:textDirection w:val="lrTb"/>
            <w:noWrap w:val="false"/>
          </w:tcPr>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对雨水管线情况不熟悉一次扣0.5分</w:t>
            </w:r>
            <w:r/>
          </w:p>
        </w:tc>
        <w:tc>
          <w:tcPr>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970"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19</w:t>
            </w:r>
            <w:r/>
          </w:p>
        </w:tc>
        <w:tc>
          <w:tcPr>
            <w:tcBorders>
              <w:top w:val="single" w:color="000000" w:sz="4" w:space="0"/>
              <w:left w:val="single" w:color="000000" w:sz="4" w:space="0"/>
              <w:bottom w:val="single" w:color="000000" w:sz="4" w:space="0"/>
              <w:right w:val="single" w:color="000000" w:sz="4" w:space="0"/>
            </w:tcBorders>
            <w:tcW w:w="1591" w:type="dxa"/>
            <w:vAlign w:val="center"/>
            <w:vMerge w:val="continue"/>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691" w:type="dxa"/>
            <w:vAlign w:val="center"/>
            <w:textDirection w:val="lrTb"/>
            <w:noWrap w:val="false"/>
          </w:tcPr>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及时参加发包方组织的各类养护会议和现场检查、督查</w:t>
            </w:r>
            <w:r/>
          </w:p>
        </w:tc>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3368" w:type="dxa"/>
            <w:vAlign w:val="center"/>
            <w:textDirection w:val="lrTb"/>
            <w:noWrap w:val="false"/>
          </w:tcPr>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未按时派员参加一次扣0.5分</w:t>
            </w:r>
            <w:r/>
          </w:p>
        </w:tc>
        <w:tc>
          <w:tcPr>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970"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缺席一次扣2000元</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20</w:t>
            </w:r>
            <w:r/>
          </w:p>
        </w:tc>
        <w:tc>
          <w:tcPr>
            <w:tcBorders>
              <w:top w:val="single" w:color="000000" w:sz="4" w:space="0"/>
              <w:left w:val="single" w:color="000000" w:sz="4" w:space="0"/>
              <w:right w:val="single" w:color="000000" w:sz="4" w:space="0"/>
            </w:tcBorders>
            <w:tcW w:w="1591" w:type="dxa"/>
            <w:vAlign w:val="center"/>
            <w:vMerge w:val="restart"/>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台账管理（8分）</w:t>
            </w:r>
            <w:r/>
          </w:p>
        </w:tc>
        <w:tc>
          <w:tcPr>
            <w:tcBorders>
              <w:top w:val="single" w:color="000000" w:sz="4" w:space="0"/>
              <w:left w:val="single" w:color="000000" w:sz="4" w:space="0"/>
              <w:bottom w:val="single" w:color="000000" w:sz="4" w:space="0"/>
              <w:right w:val="single" w:color="000000" w:sz="4" w:space="0"/>
            </w:tcBorders>
            <w:tcW w:w="2691" w:type="dxa"/>
            <w:vAlign w:val="center"/>
            <w:textDirection w:val="lrTb"/>
            <w:noWrap w:val="false"/>
          </w:tcPr>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检查巡查制度、应急处置方案和各类原始记录台账装订成册，各项资料完整齐全</w:t>
            </w:r>
            <w:r/>
          </w:p>
        </w:tc>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3368" w:type="dxa"/>
            <w:vAlign w:val="center"/>
            <w:textDirection w:val="lrTb"/>
            <w:noWrap w:val="false"/>
          </w:tcPr>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无台账、记录不计分，巡查记录少1天扣0.5分；设施联通资料缺一项扣0.5分，应急处置方案缺一项扣0.5分</w:t>
            </w:r>
            <w:r/>
          </w:p>
        </w:tc>
        <w:tc>
          <w:tcPr>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970"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雨污水设施清通频率（每年至少两次）如少一次，则扣除</w:t>
            </w:r>
            <w:r>
              <w:rPr>
                <w:rFonts w:hint="eastAsia" w:ascii="宋体" w:hAnsi="宋体" w:cs="宋体"/>
                <w:color w:val="auto"/>
                <w:sz w:val="24"/>
                <w:szCs w:val="24"/>
                <w:highlight w:val="none"/>
                <w:lang w:val="en-US" w:eastAsia="zh-CN" w:bidi="ar"/>
              </w:rPr>
              <w:t xml:space="preserve">2000</w:t>
            </w:r>
            <w:r>
              <w:rPr>
                <w:rFonts w:hint="eastAsia" w:ascii="宋体" w:hAnsi="宋体" w:cs="宋体"/>
                <w:color w:val="auto"/>
                <w:sz w:val="24"/>
                <w:szCs w:val="24"/>
                <w:highlight w:val="none"/>
                <w:lang w:bidi="ar"/>
              </w:rPr>
              <w:t xml:space="preserve">元/次，每年上限2万元。</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w:t>
            </w:r>
            <w:r/>
          </w:p>
        </w:tc>
        <w:tc>
          <w:tcPr>
            <w:tcBorders>
              <w:left w:val="single" w:color="000000" w:sz="4" w:space="0"/>
              <w:right w:val="single" w:color="000000" w:sz="4" w:space="0"/>
            </w:tcBorders>
            <w:tcW w:w="1591" w:type="dxa"/>
            <w:vAlign w:val="center"/>
            <w:vMerge w:val="continue"/>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691" w:type="dxa"/>
            <w:vAlign w:val="center"/>
            <w:textDirection w:val="lrTb"/>
            <w:noWrap w:val="false"/>
          </w:tcPr>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及时上报养护计划、管养场所资料、人员设备清单及管线电子图检测资料</w:t>
            </w:r>
            <w:r/>
          </w:p>
        </w:tc>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3368" w:type="dxa"/>
            <w:vAlign w:val="center"/>
            <w:textDirection w:val="lrTb"/>
            <w:noWrap w:val="false"/>
          </w:tcPr>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未及时上报相关材料一项扣0.5分</w:t>
            </w:r>
            <w:r/>
          </w:p>
        </w:tc>
        <w:tc>
          <w:tcPr>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970"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未提供雨污水管线电子图纸的管段不予支付养护资金。</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22</w:t>
            </w:r>
            <w:r/>
          </w:p>
        </w:tc>
        <w:tc>
          <w:tcPr>
            <w:tcBorders>
              <w:left w:val="single" w:color="000000" w:sz="4" w:space="0"/>
              <w:bottom w:val="single" w:color="000000" w:sz="4" w:space="0"/>
              <w:right w:val="single" w:color="000000" w:sz="4" w:space="0"/>
            </w:tcBorders>
            <w:tcW w:w="1591" w:type="dxa"/>
            <w:vAlign w:val="center"/>
            <w:vMerge w:val="continue"/>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691" w:type="dxa"/>
            <w:vAlign w:val="center"/>
            <w:textDirection w:val="lrTb"/>
            <w:noWrap w:val="false"/>
          </w:tcPr>
          <w:p>
            <w:pPr>
              <w:jc w:val="left"/>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及时上报</w:t>
            </w:r>
            <w:r>
              <w:rPr>
                <w:rFonts w:hint="eastAsia" w:ascii="宋体" w:hAnsi="宋体" w:cs="宋体"/>
                <w:color w:val="auto"/>
                <w:sz w:val="24"/>
                <w:szCs w:val="24"/>
                <w:highlight w:val="none"/>
                <w:lang w:eastAsia="zh-CN" w:bidi="ar"/>
              </w:rPr>
              <w:t xml:space="preserve">硕放</w:t>
            </w:r>
            <w:r>
              <w:rPr>
                <w:rFonts w:hint="eastAsia" w:ascii="宋体" w:hAnsi="宋体" w:cs="宋体"/>
                <w:color w:val="auto"/>
                <w:sz w:val="24"/>
                <w:szCs w:val="24"/>
                <w:highlight w:val="none"/>
                <w:lang w:bidi="ar"/>
              </w:rPr>
              <w:t xml:space="preserve">生态环境管理平台</w:t>
            </w:r>
            <w:r/>
          </w:p>
        </w:tc>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w:t>
            </w:r>
            <w:r/>
          </w:p>
        </w:tc>
        <w:tc>
          <w:tcPr>
            <w:tcBorders>
              <w:top w:val="single" w:color="000000" w:sz="4" w:space="0"/>
              <w:left w:val="single" w:color="000000" w:sz="4" w:space="0"/>
              <w:bottom w:val="single" w:color="000000" w:sz="4" w:space="0"/>
              <w:right w:val="single" w:color="000000" w:sz="4" w:space="0"/>
            </w:tcBorders>
            <w:tcW w:w="3368" w:type="dxa"/>
            <w:vAlign w:val="center"/>
            <w:textDirection w:val="lrTb"/>
            <w:noWrap w:val="false"/>
          </w:tcPr>
          <w:p>
            <w:pPr>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未按要求在平台填报资料或相关资料未及时上传扣1分</w:t>
            </w:r>
            <w:r/>
          </w:p>
        </w:tc>
        <w:tc>
          <w:tcPr>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970" w:type="dxa"/>
            <w:vAlign w:val="center"/>
            <w:textDirection w:val="lrTb"/>
            <w:noWrap w:val="false"/>
          </w:tcPr>
          <w:p>
            <w:pPr>
              <w:jc w:val="center"/>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23</w:t>
            </w:r>
            <w:r/>
          </w:p>
        </w:tc>
        <w:tc>
          <w:tcPr>
            <w:tcBorders>
              <w:top w:val="single" w:color="000000" w:sz="4" w:space="0"/>
              <w:left w:val="single" w:color="000000" w:sz="4" w:space="0"/>
              <w:right w:val="single" w:color="000000" w:sz="4" w:space="0"/>
            </w:tcBorders>
            <w:tcW w:w="1591" w:type="dxa"/>
            <w:vAlign w:val="center"/>
            <w:vMerge w:val="restart"/>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安全管理（10分）</w:t>
            </w:r>
            <w:r/>
          </w:p>
        </w:tc>
        <w:tc>
          <w:tcPr>
            <w:tcBorders>
              <w:top w:val="single" w:color="000000" w:sz="4" w:space="0"/>
              <w:left w:val="single" w:color="000000" w:sz="4" w:space="0"/>
              <w:bottom w:val="single" w:color="000000" w:sz="4" w:space="0"/>
              <w:right w:val="single" w:color="000000" w:sz="4" w:space="0"/>
            </w:tcBorders>
            <w:tcW w:w="2691" w:type="dxa"/>
            <w:vAlign w:val="center"/>
            <w:textDirection w:val="lrTb"/>
            <w:noWrap w:val="false"/>
          </w:tcPr>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突发事故（含井盖或雨篦缺失）响应及时，抢修迅速</w:t>
            </w:r>
            <w:r/>
          </w:p>
        </w:tc>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3368" w:type="dxa"/>
            <w:vAlign w:val="center"/>
            <w:textDirection w:val="lrTb"/>
            <w:noWrap w:val="false"/>
          </w:tcPr>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出现处置速度达不到合同规定的一次扣1分，未能在承诺时限内完成交办的应急抢修工作的，一次扣5分</w:t>
            </w:r>
            <w:r/>
          </w:p>
        </w:tc>
        <w:tc>
          <w:tcPr>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970"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检查井盖（含雨篦）缺失修复超过8小时（以甲方通知时间为准），每小时扣100元，每天上限1000元。</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jc w:val="center"/>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24</w:t>
            </w:r>
            <w:r/>
          </w:p>
        </w:tc>
        <w:tc>
          <w:tcPr>
            <w:tcBorders>
              <w:left w:val="single" w:color="000000" w:sz="4" w:space="0"/>
              <w:right w:val="single" w:color="000000" w:sz="4" w:space="0"/>
            </w:tcBorders>
            <w:tcW w:w="1591" w:type="dxa"/>
            <w:vAlign w:val="center"/>
            <w:vMerge w:val="continue"/>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691" w:type="dxa"/>
            <w:vAlign w:val="center"/>
            <w:textDirection w:val="lrTb"/>
            <w:noWrap w:val="false"/>
          </w:tcPr>
          <w:p>
            <w:pPr>
              <w:jc w:val="left"/>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被政府部门行政处罚、被社会有效行政投诉公众媒体报道产生负面影响。</w:t>
            </w:r>
            <w:r/>
          </w:p>
        </w:tc>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w:t>
            </w:r>
            <w:r/>
          </w:p>
        </w:tc>
        <w:tc>
          <w:tcPr>
            <w:tcBorders>
              <w:top w:val="single" w:color="000000" w:sz="4" w:space="0"/>
              <w:left w:val="single" w:color="000000" w:sz="4" w:space="0"/>
              <w:bottom w:val="single" w:color="000000" w:sz="4" w:space="0"/>
              <w:right w:val="single" w:color="000000" w:sz="4" w:space="0"/>
            </w:tcBorders>
            <w:tcW w:w="3368" w:type="dxa"/>
            <w:vAlign w:val="center"/>
            <w:textDirection w:val="lrTb"/>
            <w:noWrap w:val="false"/>
          </w:tcPr>
          <w:p>
            <w:pPr>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被政府部门行政处罚、被社会有效行政投诉或公众媒体报道产生负面影响，有一次扣1分。</w:t>
            </w:r>
            <w:r/>
          </w:p>
        </w:tc>
        <w:tc>
          <w:tcPr>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970" w:type="dxa"/>
            <w:vAlign w:val="center"/>
            <w:textDirection w:val="lrTb"/>
            <w:noWrap w:val="false"/>
          </w:tcPr>
          <w:p>
            <w:pPr>
              <w:jc w:val="center"/>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每发生一次扣</w:t>
            </w:r>
            <w:r>
              <w:rPr>
                <w:rFonts w:hint="eastAsia" w:ascii="宋体" w:hAnsi="宋体" w:cs="宋体"/>
                <w:color w:val="auto"/>
                <w:sz w:val="24"/>
                <w:szCs w:val="24"/>
                <w:highlight w:val="none"/>
                <w:lang w:val="en-US" w:eastAsia="zh-CN" w:bidi="ar"/>
              </w:rPr>
              <w:t xml:space="preserve">10000</w:t>
            </w:r>
            <w:r>
              <w:rPr>
                <w:rFonts w:hint="eastAsia" w:ascii="宋体" w:hAnsi="宋体" w:cs="宋体"/>
                <w:color w:val="auto"/>
                <w:sz w:val="24"/>
                <w:szCs w:val="24"/>
                <w:highlight w:val="none"/>
                <w:lang w:bidi="ar"/>
              </w:rPr>
              <w:t xml:space="preserve">元</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jc w:val="center"/>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25</w:t>
            </w:r>
            <w:r/>
          </w:p>
        </w:tc>
        <w:tc>
          <w:tcPr>
            <w:tcBorders>
              <w:left w:val="single" w:color="000000" w:sz="4" w:space="0"/>
              <w:right w:val="single" w:color="000000" w:sz="4" w:space="0"/>
            </w:tcBorders>
            <w:tcW w:w="1591" w:type="dxa"/>
            <w:vAlign w:val="center"/>
            <w:vMerge w:val="continue"/>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691" w:type="dxa"/>
            <w:vAlign w:val="center"/>
            <w:textDirection w:val="lrTb"/>
            <w:noWrap w:val="false"/>
          </w:tcPr>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无安全生产责任事故（含人员坠井、交通事故、硫化氢中毒等伤亡事故）</w:t>
            </w:r>
            <w:r/>
          </w:p>
        </w:tc>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368" w:type="dxa"/>
            <w:vAlign w:val="center"/>
            <w:textDirection w:val="lrTb"/>
            <w:noWrap w:val="false"/>
          </w:tcPr>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因巡查和养护作业不到位，发生安全生产责任事故，养护考核不得分</w:t>
            </w:r>
            <w:r/>
          </w:p>
        </w:tc>
        <w:tc>
          <w:tcPr>
            <w:shd w:val="clear" w:color="auto" w:fill="auto"/>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970"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发生安全生产责任事故，发包方可解除合同。</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jc w:val="center"/>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26</w:t>
            </w:r>
            <w:r/>
          </w:p>
        </w:tc>
        <w:tc>
          <w:tcPr>
            <w:tcBorders>
              <w:left w:val="single" w:color="000000" w:sz="4" w:space="0"/>
              <w:right w:val="single" w:color="000000" w:sz="4" w:space="0"/>
            </w:tcBorders>
            <w:tcW w:w="1591" w:type="dxa"/>
            <w:vAlign w:val="center"/>
            <w:vMerge w:val="continue"/>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691" w:type="dxa"/>
            <w:vAlign w:val="center"/>
            <w:textDirection w:val="lrTb"/>
            <w:noWrap w:val="false"/>
          </w:tcPr>
          <w:p>
            <w:pPr>
              <w:jc w:val="left"/>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发生重大恶劣事件</w:t>
            </w:r>
            <w:r/>
          </w:p>
        </w:tc>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3368" w:type="dxa"/>
            <w:vAlign w:val="center"/>
            <w:textDirection w:val="lrTb"/>
            <w:noWrap w:val="false"/>
          </w:tcPr>
          <w:p>
            <w:pPr>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因巡查和养护作业不到位，发生重大恶劣事件，养护考核不得分。</w:t>
            </w:r>
            <w:r/>
          </w:p>
        </w:tc>
        <w:tc>
          <w:tcPr>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970" w:type="dxa"/>
            <w:vAlign w:val="center"/>
            <w:textDirection w:val="lrTb"/>
            <w:noWrap w:val="false"/>
          </w:tcPr>
          <w:p>
            <w:pPr>
              <w:jc w:val="center"/>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发生重大恶劣事件，发包方可解除合同。</w:t>
            </w:r>
            <w:r/>
          </w:p>
        </w:tc>
      </w:tr>
      <w:tr>
        <w:trPr>
          <w:jc w:val="center"/>
          <w:trHeight w:val="90"/>
        </w:trPr>
        <w:tc>
          <w:tcPr>
            <w:gridSpan w:val="3"/>
            <w:tcBorders>
              <w:top w:val="single" w:color="000000" w:sz="4" w:space="0"/>
              <w:left w:val="single" w:color="000000" w:sz="4" w:space="0"/>
              <w:bottom w:val="single" w:color="000000" w:sz="4" w:space="0"/>
              <w:right w:val="single" w:color="000000" w:sz="4" w:space="0"/>
            </w:tcBorders>
            <w:tcW w:w="4996"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合计</w:t>
            </w:r>
            <w:r/>
          </w:p>
        </w:tc>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3368" w:type="dxa"/>
            <w:vAlign w:val="center"/>
            <w:textDirection w:val="lrTb"/>
            <w:noWrap w:val="false"/>
          </w:tcPr>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无问题不扣分，单项分值扣完即止</w:t>
            </w:r>
            <w:r/>
          </w:p>
        </w:tc>
        <w:tc>
          <w:tcPr>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970"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连续2个月得分低于75分的，发包方可解除合同。</w:t>
            </w:r>
            <w:r/>
          </w:p>
        </w:tc>
      </w:tr>
      <w:tr>
        <w:trPr>
          <w:jc w:val="center"/>
          <w:trHeight w:val="90"/>
        </w:trPr>
        <w:tc>
          <w:tcPr>
            <w:gridSpan w:val="8"/>
            <w:tcBorders>
              <w:top w:val="none" w:color="000000" w:sz="4" w:space="0"/>
              <w:left w:val="none" w:color="000000" w:sz="4" w:space="0"/>
              <w:bottom w:val="none" w:color="000000" w:sz="4" w:space="0"/>
              <w:right w:val="none" w:color="000000" w:sz="4" w:space="0"/>
            </w:tcBorders>
            <w:tcW w:w="14480" w:type="dxa"/>
            <w:vAlign w:val="center"/>
            <w:textDirection w:val="lrTb"/>
            <w:noWrap w:val="false"/>
          </w:tcPr>
          <w:p>
            <w:pPr>
              <w:widowControl/>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bidi="ar"/>
              </w:rPr>
              <w:t xml:space="preserve">考核人员：</w:t>
            </w:r>
            <w:r>
              <w:rPr>
                <w:rFonts w:hint="eastAsia" w:ascii="宋体" w:hAnsi="宋体" w:cs="宋体"/>
                <w:b/>
                <w:bCs/>
                <w:color w:val="auto"/>
                <w:sz w:val="24"/>
                <w:szCs w:val="24"/>
                <w:highlight w:val="none"/>
                <w:u w:val="single"/>
                <w:lang w:bidi="ar"/>
              </w:rPr>
              <w:t xml:space="preserve">          </w:t>
            </w:r>
            <w:r>
              <w:rPr>
                <w:rFonts w:hint="eastAsia" w:ascii="宋体" w:hAnsi="宋体" w:cs="宋体"/>
                <w:b/>
                <w:bCs/>
                <w:color w:val="auto"/>
                <w:sz w:val="24"/>
                <w:szCs w:val="24"/>
                <w:highlight w:val="none"/>
                <w:lang w:bidi="ar"/>
              </w:rPr>
              <w:t xml:space="preserve"> 　　　　　　　　　　　考核日期：</w:t>
            </w:r>
            <w:r>
              <w:rPr>
                <w:rFonts w:hint="eastAsia" w:ascii="宋体" w:hAnsi="宋体" w:cs="宋体"/>
                <w:b/>
                <w:bCs/>
                <w:color w:val="auto"/>
                <w:sz w:val="24"/>
                <w:szCs w:val="24"/>
                <w:highlight w:val="none"/>
                <w:u w:val="single"/>
                <w:lang w:bidi="ar"/>
              </w:rPr>
              <w:t xml:space="preserve">     </w:t>
            </w:r>
            <w:r>
              <w:rPr>
                <w:rFonts w:hint="eastAsia" w:ascii="宋体" w:hAnsi="宋体" w:cs="宋体"/>
                <w:b/>
                <w:bCs/>
                <w:color w:val="auto"/>
                <w:sz w:val="24"/>
                <w:szCs w:val="24"/>
                <w:highlight w:val="none"/>
                <w:lang w:bidi="ar"/>
              </w:rPr>
              <w:t xml:space="preserve">年</w:t>
            </w:r>
            <w:r>
              <w:rPr>
                <w:rFonts w:hint="eastAsia" w:ascii="宋体" w:hAnsi="宋体" w:cs="宋体"/>
                <w:b/>
                <w:bCs/>
                <w:color w:val="auto"/>
                <w:sz w:val="24"/>
                <w:szCs w:val="24"/>
                <w:highlight w:val="none"/>
                <w:u w:val="single"/>
                <w:lang w:bidi="ar"/>
              </w:rPr>
              <w:t xml:space="preserve">    </w:t>
            </w:r>
            <w:r>
              <w:rPr>
                <w:rFonts w:hint="eastAsia" w:ascii="宋体" w:hAnsi="宋体" w:cs="宋体"/>
                <w:b/>
                <w:bCs/>
                <w:color w:val="auto"/>
                <w:sz w:val="24"/>
                <w:szCs w:val="24"/>
                <w:highlight w:val="none"/>
                <w:lang w:bidi="ar"/>
              </w:rPr>
              <w:t xml:space="preserve">月</w:t>
            </w:r>
            <w:r>
              <w:rPr>
                <w:rFonts w:hint="eastAsia" w:ascii="宋体" w:hAnsi="宋体" w:cs="宋体"/>
                <w:b/>
                <w:bCs/>
                <w:color w:val="auto"/>
                <w:sz w:val="24"/>
                <w:szCs w:val="24"/>
                <w:highlight w:val="none"/>
                <w:u w:val="single"/>
                <w:lang w:bidi="ar"/>
              </w:rPr>
              <w:t xml:space="preserve">    </w:t>
            </w:r>
            <w:r>
              <w:rPr>
                <w:rFonts w:hint="eastAsia" w:ascii="宋体" w:hAnsi="宋体" w:cs="宋体"/>
                <w:b/>
                <w:bCs/>
                <w:color w:val="auto"/>
                <w:sz w:val="24"/>
                <w:szCs w:val="24"/>
                <w:highlight w:val="none"/>
                <w:lang w:bidi="ar"/>
              </w:rPr>
              <w:t xml:space="preserve">日</w:t>
            </w:r>
            <w:r/>
          </w:p>
        </w:tc>
      </w:tr>
    </w:tbl>
    <w:p>
      <w:pPr>
        <w:rPr>
          <w:rFonts w:hint="eastAsia" w:ascii="宋体" w:hAnsi="宋体" w:cs="宋体"/>
          <w:color w:val="auto"/>
          <w:sz w:val="24"/>
          <w:szCs w:val="24"/>
          <w:highlight w:val="none"/>
        </w:rPr>
      </w:pPr>
      <w:r>
        <w:rPr>
          <w:rFonts w:hint="eastAsia" w:ascii="宋体" w:hAnsi="宋体" w:cs="宋体"/>
          <w:color w:val="auto"/>
          <w:sz w:val="24"/>
          <w:szCs w:val="24"/>
          <w:highlight w:val="none"/>
        </w:rPr>
        <w:br w:type="page" w:clear="all"/>
      </w:r>
      <w:r/>
    </w:p>
    <w:p>
      <w:pPr>
        <w:ind w:firstLine="560"/>
        <w:jc w:val="center"/>
        <w:spacing w:line="360" w:lineRule="auto"/>
        <w:rPr>
          <w:rFonts w:ascii="黑体" w:eastAsia="黑体"/>
          <w:b/>
          <w:color w:val="auto"/>
          <w:sz w:val="28"/>
          <w:szCs w:val="28"/>
          <w:highlight w:val="none"/>
        </w:rPr>
        <w:sectPr>
          <w:footnotePr/>
          <w:endnotePr/>
          <w:type w:val="nextPage"/>
          <w:pgSz w:w="16838" w:h="11906" w:orient="landscape"/>
          <w:pgMar w:top="1134" w:right="1134" w:bottom="1134" w:left="1134" w:header="624" w:footer="907" w:gutter="0"/>
          <w:cols w:num="1" w:sep="0" w:space="0" w:equalWidth="1"/>
          <w:docGrid w:linePitch="360"/>
          <w:titlePg/>
        </w:sectPr>
        <w:outlineLvl w:val="0"/>
      </w:pPr>
      <w:r>
        <w:rPr>
          <w:rFonts w:ascii="黑体" w:eastAsia="黑体"/>
          <w:b/>
          <w:color w:val="auto"/>
          <w:sz w:val="28"/>
          <w:szCs w:val="28"/>
          <w:highlight w:val="none"/>
        </w:rPr>
      </w:r>
      <w:r/>
    </w:p>
    <w:p>
      <w:pPr>
        <w:jc w:val="center"/>
        <w:spacing w:before="60" w:line="184" w:lineRule="auto"/>
        <w:rPr>
          <w:rFonts w:hint="eastAsia" w:ascii="仿宋" w:hAnsi="仿宋" w:eastAsia="仿宋" w:cs="仿宋"/>
          <w:b/>
          <w:bCs/>
          <w:color w:val="auto"/>
          <w:spacing w:val="-1"/>
          <w:sz w:val="30"/>
          <w:szCs w:val="30"/>
          <w:highlight w:val="none"/>
          <w:lang w:val="zh-CN"/>
        </w:rPr>
      </w:pPr>
      <w:r>
        <w:rPr>
          <w:rFonts w:hint="eastAsia" w:ascii="仿宋" w:hAnsi="仿宋" w:eastAsia="仿宋" w:cs="仿宋"/>
          <w:b/>
          <w:bCs/>
          <w:color w:val="auto"/>
          <w:spacing w:val="-1"/>
          <w:sz w:val="30"/>
          <w:szCs w:val="30"/>
          <w:highlight w:val="none"/>
          <w:lang w:val="zh-CN"/>
        </w:rPr>
        <w:t xml:space="preserve">年度养护管理考核表</w:t>
      </w:r>
      <w:r/>
    </w:p>
    <w:tbl>
      <w:tblPr>
        <w:tblStyle w:val="778"/>
        <w:tblW w:w="1011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09"/>
        <w:gridCol w:w="1591"/>
        <w:gridCol w:w="5999"/>
        <w:gridCol w:w="700"/>
        <w:gridCol w:w="600"/>
        <w:gridCol w:w="614"/>
      </w:tblGrid>
      <w:tr>
        <w:trPr>
          <w:jc w:val="center"/>
          <w:trHeight w:val="422"/>
        </w:trPr>
        <w:tc>
          <w:tcPr>
            <w:tcW w:w="609" w:type="dxa"/>
            <w:vAlign w:val="center"/>
            <w:textDirection w:val="lrTb"/>
            <w:noWrap w:val="false"/>
          </w:tcPr>
          <w:p>
            <w:pPr>
              <w:jc w:val="center"/>
              <w:spacing w:line="400" w:lineRule="exact"/>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序号</w:t>
            </w:r>
            <w:r/>
          </w:p>
        </w:tc>
        <w:tc>
          <w:tcPr>
            <w:tcW w:w="1591" w:type="dxa"/>
            <w:vAlign w:val="center"/>
            <w:textDirection w:val="lrTb"/>
            <w:noWrap w:val="false"/>
          </w:tcPr>
          <w:p>
            <w:pPr>
              <w:jc w:val="center"/>
              <w:spacing w:line="400" w:lineRule="exact"/>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考核内容</w:t>
            </w:r>
            <w:r/>
          </w:p>
        </w:tc>
        <w:tc>
          <w:tcPr>
            <w:tcW w:w="5999" w:type="dxa"/>
            <w:vAlign w:val="center"/>
            <w:textDirection w:val="lrTb"/>
            <w:noWrap w:val="false"/>
          </w:tcPr>
          <w:p>
            <w:pPr>
              <w:jc w:val="center"/>
              <w:spacing w:line="400" w:lineRule="exact"/>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评分标准</w:t>
            </w:r>
            <w:r/>
          </w:p>
        </w:tc>
        <w:tc>
          <w:tcPr>
            <w:tcW w:w="700" w:type="dxa"/>
            <w:vAlign w:val="center"/>
            <w:textDirection w:val="lrTb"/>
            <w:noWrap w:val="false"/>
          </w:tcPr>
          <w:p>
            <w:pPr>
              <w:jc w:val="center"/>
              <w:spacing w:line="400" w:lineRule="exact"/>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分值</w:t>
            </w:r>
            <w:r/>
          </w:p>
        </w:tc>
        <w:tc>
          <w:tcPr>
            <w:tcW w:w="600" w:type="dxa"/>
            <w:vAlign w:val="center"/>
            <w:textDirection w:val="lrTb"/>
            <w:noWrap w:val="false"/>
          </w:tcPr>
          <w:p>
            <w:pPr>
              <w:jc w:val="center"/>
              <w:spacing w:line="400" w:lineRule="exact"/>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得分</w:t>
            </w:r>
            <w:r/>
          </w:p>
        </w:tc>
        <w:tc>
          <w:tcPr>
            <w:tcW w:w="614" w:type="dxa"/>
            <w:vAlign w:val="center"/>
            <w:textDirection w:val="lrTb"/>
            <w:noWrap w:val="false"/>
          </w:tcPr>
          <w:p>
            <w:pPr>
              <w:jc w:val="center"/>
              <w:spacing w:line="400" w:lineRule="exact"/>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备注</w:t>
            </w:r>
            <w:r/>
          </w:p>
        </w:tc>
      </w:tr>
      <w:tr>
        <w:trPr>
          <w:jc w:val="center"/>
          <w:trHeight w:val="592"/>
        </w:trPr>
        <w:tc>
          <w:tcPr>
            <w:tcW w:w="609" w:type="dxa"/>
            <w:vAlign w:val="center"/>
            <w:vMerge w:val="restart"/>
            <w:textDirection w:val="lrTb"/>
            <w:noWrap w:val="false"/>
          </w:tcPr>
          <w:p>
            <w:pPr>
              <w:jc w:val="both"/>
              <w:spacing w:line="400" w:lineRule="exact"/>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一</w:t>
            </w:r>
            <w:r/>
          </w:p>
        </w:tc>
        <w:tc>
          <w:tcPr>
            <w:tcW w:w="1591" w:type="dxa"/>
            <w:vAlign w:val="center"/>
            <w:vMerge w:val="restart"/>
            <w:textDirection w:val="lrTb"/>
            <w:noWrap w:val="false"/>
          </w:tcPr>
          <w:p>
            <w:pPr>
              <w:jc w:val="both"/>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基础</w:t>
            </w:r>
            <w:r>
              <w:rPr>
                <w:rFonts w:hint="eastAsia" w:ascii="宋体" w:hAnsi="宋体" w:eastAsia="宋体" w:cs="宋体"/>
                <w:bCs/>
                <w:color w:val="auto"/>
                <w:sz w:val="24"/>
                <w:szCs w:val="24"/>
                <w:highlight w:val="none"/>
                <w:lang w:eastAsia="zh-CN"/>
              </w:rPr>
              <w:t xml:space="preserve">台账</w:t>
            </w:r>
            <w:r>
              <w:rPr>
                <w:rFonts w:hint="eastAsia" w:ascii="宋体" w:hAnsi="宋体" w:eastAsia="宋体" w:cs="宋体"/>
                <w:bCs/>
                <w:color w:val="auto"/>
                <w:sz w:val="24"/>
                <w:szCs w:val="24"/>
                <w:highlight w:val="none"/>
              </w:rPr>
              <w:t xml:space="preserve">统计资料情况</w:t>
            </w:r>
            <w:r/>
          </w:p>
        </w:tc>
        <w:tc>
          <w:tcPr>
            <w:tcW w:w="5999" w:type="dxa"/>
            <w:vAlign w:val="center"/>
            <w:textDirection w:val="lrTb"/>
            <w:noWrap w:val="false"/>
          </w:tcPr>
          <w:p>
            <w:pPr>
              <w:jc w:val="both"/>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各项基础设施资料完整齐全，分类归档，整理成册得</w:t>
            </w: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分，少一项扣</w:t>
            </w: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分。上报统计报表及时正确得</w:t>
            </w:r>
            <w:r>
              <w:rPr>
                <w:rFonts w:hint="eastAsia" w:ascii="宋体" w:hAnsi="宋体" w:eastAsia="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rPr>
              <w:t xml:space="preserve">分，表式不统一扣</w:t>
            </w: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分，上报统计报表不及时扣</w:t>
            </w: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分，上报统计报表不正确扣</w:t>
            </w: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分，未上报统计报表扣</w:t>
            </w:r>
            <w:r>
              <w:rPr>
                <w:rFonts w:hint="eastAsia" w:ascii="宋体" w:hAnsi="宋体" w:eastAsia="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rPr>
              <w:t xml:space="preserve">分。</w:t>
            </w:r>
            <w:r/>
          </w:p>
        </w:tc>
        <w:tc>
          <w:tcPr>
            <w:tcW w:w="700" w:type="dxa"/>
            <w:vAlign w:val="center"/>
            <w:textDirection w:val="lrTb"/>
            <w:noWrap w:val="false"/>
          </w:tcPr>
          <w:p>
            <w:pPr>
              <w:jc w:val="center"/>
              <w:spacing w:line="400" w:lineRule="exact"/>
              <w:rPr>
                <w:rFonts w:hint="eastAsia" w:ascii="宋体" w:hAnsi="宋体" w:eastAsia="宋体" w:cs="宋体"/>
                <w:bCs/>
                <w:color w:val="auto"/>
                <w:sz w:val="24"/>
                <w:szCs w:val="24"/>
                <w:highlight w:val="none"/>
                <w:lang w:val="zh-CN" w:eastAsia="zh-CN"/>
              </w:rPr>
            </w:pPr>
            <w:r>
              <w:rPr>
                <w:rFonts w:hint="eastAsia" w:ascii="宋体" w:hAnsi="宋体" w:cs="宋体"/>
                <w:bCs/>
                <w:color w:val="auto"/>
                <w:sz w:val="24"/>
                <w:szCs w:val="24"/>
                <w:highlight w:val="none"/>
                <w:lang w:val="en-US" w:eastAsia="zh-CN"/>
              </w:rPr>
              <w:t xml:space="preserve">8</w:t>
            </w:r>
            <w:r/>
          </w:p>
        </w:tc>
        <w:tc>
          <w:tcPr>
            <w:tcW w:w="600" w:type="dxa"/>
            <w:vAlign w:val="center"/>
            <w:textDirection w:val="lrTb"/>
            <w:noWrap w:val="false"/>
          </w:tcPr>
          <w:p>
            <w:pPr>
              <w:jc w:val="both"/>
              <w:spacing w:line="400" w:lineRule="exact"/>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r>
            <w:r/>
          </w:p>
        </w:tc>
        <w:tc>
          <w:tcPr>
            <w:tcW w:w="614" w:type="dxa"/>
            <w:vAlign w:val="center"/>
            <w:textDirection w:val="lrTb"/>
            <w:noWrap w:val="false"/>
          </w:tcPr>
          <w:p>
            <w:pPr>
              <w:jc w:val="both"/>
              <w:spacing w:line="400" w:lineRule="exact"/>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r>
            <w:r/>
          </w:p>
        </w:tc>
      </w:tr>
      <w:tr>
        <w:trPr>
          <w:jc w:val="center"/>
          <w:trHeight w:val="592"/>
        </w:trPr>
        <w:tc>
          <w:tcPr>
            <w:tcBorders>
              <w:top w:val="none" w:color="000000" w:sz="4" w:space="0"/>
            </w:tcBorders>
            <w:tcW w:w="609" w:type="dxa"/>
            <w:vAlign w:val="center"/>
            <w:vMerge w:val="continue"/>
            <w:textDirection w:val="lrTb"/>
            <w:noWrap w:val="false"/>
          </w:tcPr>
          <w:p>
            <w:pPr>
              <w:jc w:val="both"/>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Borders>
              <w:top w:val="none" w:color="000000" w:sz="4" w:space="0"/>
            </w:tcBorders>
            <w:tcW w:w="1591" w:type="dxa"/>
            <w:vAlign w:val="center"/>
            <w:vMerge w:val="continue"/>
            <w:textDirection w:val="lrTb"/>
            <w:noWrap w:val="false"/>
          </w:tcPr>
          <w:p>
            <w:pPr>
              <w:jc w:val="both"/>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5999" w:type="dxa"/>
            <w:vAlign w:val="center"/>
            <w:textDirection w:val="lrTb"/>
            <w:noWrap w:val="false"/>
          </w:tcPr>
          <w:p>
            <w:pPr>
              <w:jc w:val="both"/>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养护作业单位管理制度齐全得</w:t>
            </w: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分，管理制度基本具备得</w:t>
            </w: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分，无管理制度扣</w:t>
            </w: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分。</w:t>
            </w:r>
            <w:r/>
          </w:p>
        </w:tc>
        <w:tc>
          <w:tcPr>
            <w:tcW w:w="700" w:type="dxa"/>
            <w:vAlign w:val="center"/>
            <w:textDirection w:val="lrTb"/>
            <w:noWrap w:val="false"/>
          </w:tcPr>
          <w:p>
            <w:pPr>
              <w:jc w:val="center"/>
              <w:spacing w:line="400" w:lineRule="exact"/>
              <w:rPr>
                <w:rFonts w:hint="eastAsia" w:ascii="宋体" w:hAnsi="宋体" w:eastAsia="宋体" w:cs="宋体"/>
                <w:bCs/>
                <w:color w:val="auto"/>
                <w:sz w:val="24"/>
                <w:szCs w:val="24"/>
                <w:highlight w:val="none"/>
                <w:lang w:val="zh-CN" w:eastAsia="zh-CN"/>
              </w:rPr>
            </w:pPr>
            <w:r>
              <w:rPr>
                <w:rFonts w:hint="eastAsia" w:ascii="宋体" w:hAnsi="宋体" w:eastAsia="宋体" w:cs="宋体"/>
                <w:bCs/>
                <w:color w:val="auto"/>
                <w:sz w:val="24"/>
                <w:szCs w:val="24"/>
                <w:highlight w:val="none"/>
                <w:lang w:val="en-US" w:eastAsia="zh-CN"/>
              </w:rPr>
              <w:t xml:space="preserve">2</w:t>
            </w:r>
            <w:r/>
          </w:p>
        </w:tc>
        <w:tc>
          <w:tcPr>
            <w:tcW w:w="600" w:type="dxa"/>
            <w:vAlign w:val="center"/>
            <w:textDirection w:val="lrTb"/>
            <w:noWrap w:val="false"/>
          </w:tcPr>
          <w:p>
            <w:pPr>
              <w:jc w:val="both"/>
              <w:spacing w:line="400" w:lineRule="exact"/>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r>
            <w:r/>
          </w:p>
        </w:tc>
        <w:tc>
          <w:tcPr>
            <w:tcW w:w="614" w:type="dxa"/>
            <w:vAlign w:val="center"/>
            <w:textDirection w:val="lrTb"/>
            <w:noWrap w:val="false"/>
          </w:tcPr>
          <w:p>
            <w:pPr>
              <w:jc w:val="both"/>
              <w:spacing w:line="400" w:lineRule="exact"/>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r>
            <w:r/>
          </w:p>
        </w:tc>
      </w:tr>
      <w:tr>
        <w:trPr>
          <w:jc w:val="center"/>
          <w:trHeight w:val="472"/>
        </w:trPr>
        <w:tc>
          <w:tcPr>
            <w:tcBorders>
              <w:top w:val="none" w:color="000000" w:sz="4" w:space="0"/>
            </w:tcBorders>
            <w:tcW w:w="609" w:type="dxa"/>
            <w:vAlign w:val="center"/>
            <w:vMerge w:val="continue"/>
            <w:textDirection w:val="lrTb"/>
            <w:noWrap w:val="false"/>
          </w:tcPr>
          <w:p>
            <w:pPr>
              <w:jc w:val="both"/>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Borders>
              <w:top w:val="none" w:color="000000" w:sz="4" w:space="0"/>
            </w:tcBorders>
            <w:tcW w:w="1591" w:type="dxa"/>
            <w:vAlign w:val="center"/>
            <w:vMerge w:val="continue"/>
            <w:textDirection w:val="lrTb"/>
            <w:noWrap w:val="false"/>
          </w:tcPr>
          <w:p>
            <w:pPr>
              <w:jc w:val="both"/>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5999" w:type="dxa"/>
            <w:vAlign w:val="center"/>
            <w:textDirection w:val="lrTb"/>
            <w:noWrap w:val="false"/>
          </w:tcPr>
          <w:p>
            <w:pPr>
              <w:jc w:val="both"/>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每月要有安全生产检查台账，缺少或不全每次扣</w:t>
            </w: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分，扣完为止。</w:t>
            </w:r>
            <w:r/>
          </w:p>
        </w:tc>
        <w:tc>
          <w:tcPr>
            <w:tcW w:w="700" w:type="dxa"/>
            <w:vAlign w:val="center"/>
            <w:textDirection w:val="lrTb"/>
            <w:noWrap w:val="false"/>
          </w:tcPr>
          <w:p>
            <w:pPr>
              <w:jc w:val="center"/>
              <w:spacing w:line="400" w:lineRule="exact"/>
              <w:rPr>
                <w:rFonts w:hint="eastAsia" w:ascii="宋体" w:hAnsi="宋体" w:eastAsia="宋体" w:cs="宋体"/>
                <w:bCs/>
                <w:color w:val="auto"/>
                <w:sz w:val="24"/>
                <w:szCs w:val="24"/>
                <w:highlight w:val="none"/>
                <w:lang w:val="zh-CN" w:eastAsia="zh-CN"/>
              </w:rPr>
            </w:pPr>
            <w:r>
              <w:rPr>
                <w:rFonts w:hint="eastAsia" w:ascii="宋体" w:hAnsi="宋体" w:eastAsia="宋体" w:cs="宋体"/>
                <w:bCs/>
                <w:color w:val="auto"/>
                <w:sz w:val="24"/>
                <w:szCs w:val="24"/>
                <w:highlight w:val="none"/>
                <w:lang w:val="en-US" w:eastAsia="zh-CN"/>
              </w:rPr>
              <w:t xml:space="preserve">4</w:t>
            </w:r>
            <w:r/>
          </w:p>
        </w:tc>
        <w:tc>
          <w:tcPr>
            <w:tcW w:w="600" w:type="dxa"/>
            <w:vAlign w:val="center"/>
            <w:textDirection w:val="lrTb"/>
            <w:noWrap w:val="false"/>
          </w:tcPr>
          <w:p>
            <w:pPr>
              <w:jc w:val="both"/>
              <w:spacing w:line="400" w:lineRule="exact"/>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r>
            <w:r/>
          </w:p>
        </w:tc>
        <w:tc>
          <w:tcPr>
            <w:tcW w:w="614" w:type="dxa"/>
            <w:vAlign w:val="center"/>
            <w:textDirection w:val="lrTb"/>
            <w:noWrap w:val="false"/>
          </w:tcPr>
          <w:p>
            <w:pPr>
              <w:jc w:val="both"/>
              <w:spacing w:line="400" w:lineRule="exact"/>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r>
            <w:r/>
          </w:p>
        </w:tc>
      </w:tr>
      <w:tr>
        <w:trPr>
          <w:jc w:val="center"/>
          <w:trHeight w:val="887"/>
        </w:trPr>
        <w:tc>
          <w:tcPr>
            <w:tcBorders>
              <w:top w:val="none" w:color="000000" w:sz="4" w:space="0"/>
            </w:tcBorders>
            <w:tcW w:w="609" w:type="dxa"/>
            <w:vAlign w:val="center"/>
            <w:vMerge w:val="continue"/>
            <w:textDirection w:val="lrTb"/>
            <w:noWrap w:val="false"/>
          </w:tcPr>
          <w:p>
            <w:pPr>
              <w:jc w:val="both"/>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Borders>
              <w:top w:val="none" w:color="000000" w:sz="4" w:space="0"/>
            </w:tcBorders>
            <w:tcW w:w="1591" w:type="dxa"/>
            <w:vAlign w:val="center"/>
            <w:vMerge w:val="continue"/>
            <w:textDirection w:val="lrTb"/>
            <w:noWrap w:val="false"/>
          </w:tcPr>
          <w:p>
            <w:pPr>
              <w:jc w:val="both"/>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5999" w:type="dxa"/>
            <w:vAlign w:val="center"/>
            <w:textDirection w:val="lrTb"/>
            <w:noWrap w:val="false"/>
          </w:tcPr>
          <w:p>
            <w:pPr>
              <w:jc w:val="both"/>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按</w:t>
            </w:r>
            <w:r>
              <w:rPr>
                <w:rFonts w:hint="eastAsia" w:ascii="宋体" w:hAnsi="宋体" w:eastAsia="宋体" w:cs="宋体"/>
                <w:bCs/>
                <w:color w:val="auto"/>
                <w:sz w:val="24"/>
                <w:szCs w:val="24"/>
                <w:highlight w:val="none"/>
                <w:lang w:val="en-US" w:eastAsia="zh-CN"/>
              </w:rPr>
              <w:t xml:space="preserve">甲方</w:t>
            </w:r>
            <w:r>
              <w:rPr>
                <w:rFonts w:hint="eastAsia" w:ascii="宋体" w:hAnsi="宋体" w:eastAsia="宋体" w:cs="宋体"/>
                <w:bCs/>
                <w:color w:val="auto"/>
                <w:sz w:val="24"/>
                <w:szCs w:val="24"/>
                <w:highlight w:val="none"/>
              </w:rPr>
              <w:t xml:space="preserve">要求巡查频率，有日常巡查记录，记录齐全，装订成册得5分，缺项扣2分，基本齐全得3分，装订成册得2分，无记录扣5分。</w:t>
            </w:r>
            <w:r/>
          </w:p>
        </w:tc>
        <w:tc>
          <w:tcPr>
            <w:tcW w:w="700" w:type="dxa"/>
            <w:vAlign w:val="center"/>
            <w:textDirection w:val="lrTb"/>
            <w:noWrap w:val="false"/>
          </w:tcPr>
          <w:p>
            <w:pPr>
              <w:jc w:val="center"/>
              <w:spacing w:line="400" w:lineRule="exact"/>
              <w:rPr>
                <w:rFonts w:hint="eastAsia" w:ascii="宋体" w:hAnsi="宋体" w:eastAsia="宋体" w:cs="宋体"/>
                <w:bCs/>
                <w:color w:val="auto"/>
                <w:sz w:val="24"/>
                <w:szCs w:val="24"/>
                <w:highlight w:val="none"/>
                <w:lang w:val="zh-CN" w:eastAsia="zh-CN"/>
              </w:rPr>
            </w:pPr>
            <w:r>
              <w:rPr>
                <w:rFonts w:hint="eastAsia" w:ascii="宋体" w:hAnsi="宋体" w:eastAsia="宋体" w:cs="宋体"/>
                <w:bCs/>
                <w:color w:val="auto"/>
                <w:sz w:val="24"/>
                <w:szCs w:val="24"/>
                <w:highlight w:val="none"/>
                <w:lang w:val="en-US" w:eastAsia="zh-CN"/>
              </w:rPr>
              <w:t xml:space="preserve">5</w:t>
            </w:r>
            <w:r/>
          </w:p>
        </w:tc>
        <w:tc>
          <w:tcPr>
            <w:tcW w:w="600" w:type="dxa"/>
            <w:vAlign w:val="center"/>
            <w:textDirection w:val="lrTb"/>
            <w:noWrap w:val="false"/>
          </w:tcPr>
          <w:p>
            <w:pPr>
              <w:jc w:val="both"/>
              <w:spacing w:line="400" w:lineRule="exact"/>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r>
            <w:r/>
          </w:p>
        </w:tc>
        <w:tc>
          <w:tcPr>
            <w:tcW w:w="614" w:type="dxa"/>
            <w:vAlign w:val="center"/>
            <w:textDirection w:val="lrTb"/>
            <w:noWrap w:val="false"/>
          </w:tcPr>
          <w:p>
            <w:pPr>
              <w:jc w:val="both"/>
              <w:spacing w:line="400" w:lineRule="exact"/>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r>
            <w:r/>
          </w:p>
        </w:tc>
      </w:tr>
      <w:tr>
        <w:trPr>
          <w:jc w:val="center"/>
          <w:trHeight w:val="861"/>
        </w:trPr>
        <w:tc>
          <w:tcPr>
            <w:tcBorders>
              <w:top w:val="none" w:color="000000" w:sz="4" w:space="0"/>
            </w:tcBorders>
            <w:tcW w:w="609" w:type="dxa"/>
            <w:vAlign w:val="center"/>
            <w:vMerge w:val="continue"/>
            <w:textDirection w:val="lrTb"/>
            <w:noWrap w:val="false"/>
          </w:tcPr>
          <w:p>
            <w:pPr>
              <w:jc w:val="both"/>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Borders>
              <w:top w:val="none" w:color="000000" w:sz="4" w:space="0"/>
            </w:tcBorders>
            <w:tcW w:w="1591" w:type="dxa"/>
            <w:vAlign w:val="center"/>
            <w:vMerge w:val="continue"/>
            <w:textDirection w:val="lrTb"/>
            <w:noWrap w:val="false"/>
          </w:tcPr>
          <w:p>
            <w:pPr>
              <w:jc w:val="both"/>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5999" w:type="dxa"/>
            <w:vAlign w:val="center"/>
            <w:textDirection w:val="lrTb"/>
            <w:noWrap w:val="false"/>
          </w:tcPr>
          <w:p>
            <w:pPr>
              <w:jc w:val="both"/>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有养护维修记录，记录齐全正确，装订成册得</w:t>
            </w: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分，缺项扣</w:t>
            </w: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分，基本齐全得1分，装订成册得1分，无记录扣</w:t>
            </w: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分。</w:t>
            </w:r>
            <w:r/>
          </w:p>
        </w:tc>
        <w:tc>
          <w:tcPr>
            <w:tcW w:w="700" w:type="dxa"/>
            <w:vAlign w:val="center"/>
            <w:textDirection w:val="lrTb"/>
            <w:noWrap w:val="false"/>
          </w:tcPr>
          <w:p>
            <w:pPr>
              <w:jc w:val="center"/>
              <w:spacing w:line="400" w:lineRule="exact"/>
              <w:rPr>
                <w:rFonts w:hint="eastAsia" w:ascii="宋体" w:hAnsi="宋体" w:eastAsia="宋体" w:cs="宋体"/>
                <w:bCs/>
                <w:color w:val="auto"/>
                <w:sz w:val="24"/>
                <w:szCs w:val="24"/>
                <w:highlight w:val="none"/>
                <w:lang w:val="zh-CN" w:eastAsia="zh-CN"/>
              </w:rPr>
            </w:pPr>
            <w:r>
              <w:rPr>
                <w:rFonts w:hint="eastAsia" w:ascii="宋体" w:hAnsi="宋体" w:eastAsia="宋体" w:cs="宋体"/>
                <w:bCs/>
                <w:color w:val="auto"/>
                <w:sz w:val="24"/>
                <w:szCs w:val="24"/>
                <w:highlight w:val="none"/>
                <w:lang w:val="en-US" w:eastAsia="zh-CN"/>
              </w:rPr>
              <w:t xml:space="preserve">3</w:t>
            </w:r>
            <w:r/>
          </w:p>
        </w:tc>
        <w:tc>
          <w:tcPr>
            <w:tcW w:w="600" w:type="dxa"/>
            <w:vAlign w:val="center"/>
            <w:textDirection w:val="lrTb"/>
            <w:noWrap w:val="false"/>
          </w:tcPr>
          <w:p>
            <w:pPr>
              <w:jc w:val="both"/>
              <w:spacing w:line="400" w:lineRule="exact"/>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r>
            <w:r/>
          </w:p>
        </w:tc>
        <w:tc>
          <w:tcPr>
            <w:tcW w:w="614" w:type="dxa"/>
            <w:vAlign w:val="center"/>
            <w:textDirection w:val="lrTb"/>
            <w:noWrap w:val="false"/>
          </w:tcPr>
          <w:p>
            <w:pPr>
              <w:jc w:val="both"/>
              <w:spacing w:line="400" w:lineRule="exact"/>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r>
            <w:r/>
          </w:p>
        </w:tc>
      </w:tr>
      <w:tr>
        <w:trPr>
          <w:jc w:val="center"/>
          <w:trHeight w:val="890"/>
        </w:trPr>
        <w:tc>
          <w:tcPr>
            <w:tcBorders>
              <w:top w:val="none" w:color="000000" w:sz="4" w:space="0"/>
            </w:tcBorders>
            <w:tcW w:w="609" w:type="dxa"/>
            <w:vAlign w:val="center"/>
            <w:vMerge w:val="continue"/>
            <w:textDirection w:val="lrTb"/>
            <w:noWrap w:val="false"/>
          </w:tcPr>
          <w:p>
            <w:pPr>
              <w:jc w:val="both"/>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Borders>
              <w:top w:val="none" w:color="000000" w:sz="4" w:space="0"/>
            </w:tcBorders>
            <w:tcW w:w="1591" w:type="dxa"/>
            <w:vAlign w:val="center"/>
            <w:vMerge w:val="continue"/>
            <w:textDirection w:val="lrTb"/>
            <w:noWrap w:val="false"/>
          </w:tcPr>
          <w:p>
            <w:pPr>
              <w:jc w:val="both"/>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5999" w:type="dxa"/>
            <w:vAlign w:val="center"/>
            <w:textDirection w:val="lrTb"/>
            <w:noWrap w:val="false"/>
          </w:tcPr>
          <w:p>
            <w:pPr>
              <w:jc w:val="both"/>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养护作业单位按要求进行养护质量评定，记录清楚正确得</w:t>
            </w: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分，有质量验收得1分，记录清楚正确得1分，无质量评定扣</w:t>
            </w: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分。</w:t>
            </w:r>
            <w:r/>
          </w:p>
        </w:tc>
        <w:tc>
          <w:tcPr>
            <w:tcW w:w="700" w:type="dxa"/>
            <w:vAlign w:val="center"/>
            <w:textDirection w:val="lrTb"/>
            <w:noWrap w:val="false"/>
          </w:tcPr>
          <w:p>
            <w:pPr>
              <w:jc w:val="center"/>
              <w:spacing w:line="400" w:lineRule="exact"/>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r>
            <w:r/>
          </w:p>
          <w:p>
            <w:pPr>
              <w:jc w:val="center"/>
              <w:spacing w:line="400" w:lineRule="exact"/>
              <w:rPr>
                <w:rFonts w:hint="eastAsia" w:ascii="宋体" w:hAnsi="宋体" w:eastAsia="宋体" w:cs="宋体"/>
                <w:bCs/>
                <w:color w:val="auto"/>
                <w:sz w:val="24"/>
                <w:szCs w:val="24"/>
                <w:highlight w:val="none"/>
                <w:lang w:val="zh-CN" w:eastAsia="zh-CN"/>
              </w:rPr>
            </w:pPr>
            <w:r>
              <w:rPr>
                <w:rFonts w:hint="eastAsia" w:ascii="宋体" w:hAnsi="宋体" w:eastAsia="宋体" w:cs="宋体"/>
                <w:bCs/>
                <w:color w:val="auto"/>
                <w:sz w:val="24"/>
                <w:szCs w:val="24"/>
                <w:highlight w:val="none"/>
                <w:lang w:val="en-US" w:eastAsia="zh-CN"/>
              </w:rPr>
              <w:t xml:space="preserve">3</w:t>
            </w:r>
            <w:r/>
          </w:p>
        </w:tc>
        <w:tc>
          <w:tcPr>
            <w:tcW w:w="600" w:type="dxa"/>
            <w:vAlign w:val="center"/>
            <w:textDirection w:val="lrTb"/>
            <w:noWrap w:val="false"/>
          </w:tcPr>
          <w:p>
            <w:pPr>
              <w:jc w:val="both"/>
              <w:spacing w:line="400" w:lineRule="exact"/>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r>
            <w:r/>
          </w:p>
        </w:tc>
        <w:tc>
          <w:tcPr>
            <w:tcW w:w="614" w:type="dxa"/>
            <w:vAlign w:val="center"/>
            <w:textDirection w:val="lrTb"/>
            <w:noWrap w:val="false"/>
          </w:tcPr>
          <w:p>
            <w:pPr>
              <w:jc w:val="both"/>
              <w:spacing w:line="400" w:lineRule="exact"/>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r>
            <w:r/>
          </w:p>
        </w:tc>
      </w:tr>
      <w:tr>
        <w:trPr>
          <w:jc w:val="center"/>
          <w:trHeight w:val="470"/>
        </w:trPr>
        <w:tc>
          <w:tcPr>
            <w:tcW w:w="609" w:type="dxa"/>
            <w:vAlign w:val="center"/>
            <w:textDirection w:val="lrTb"/>
            <w:noWrap w:val="false"/>
          </w:tcPr>
          <w:p>
            <w:pPr>
              <w:jc w:val="both"/>
              <w:spacing w:line="400" w:lineRule="exact"/>
              <w:rPr>
                <w:rFonts w:hint="eastAsia" w:ascii="宋体" w:hAnsi="宋体" w:eastAsia="宋体" w:cs="宋体"/>
                <w:bCs/>
                <w:color w:val="auto"/>
                <w:sz w:val="24"/>
                <w:szCs w:val="24"/>
                <w:highlight w:val="none"/>
                <w:lang w:val="zh-CN" w:eastAsia="zh-CN"/>
              </w:rPr>
            </w:pPr>
            <w:r>
              <w:rPr>
                <w:rFonts w:hint="eastAsia" w:ascii="宋体" w:hAnsi="宋体" w:eastAsia="宋体" w:cs="宋体"/>
                <w:bCs/>
                <w:color w:val="auto"/>
                <w:sz w:val="24"/>
                <w:szCs w:val="24"/>
                <w:highlight w:val="none"/>
                <w:lang w:val="en-US" w:eastAsia="zh-CN"/>
              </w:rPr>
              <w:t xml:space="preserve">二</w:t>
            </w:r>
            <w:r/>
          </w:p>
        </w:tc>
        <w:tc>
          <w:tcPr>
            <w:tcW w:w="1591" w:type="dxa"/>
            <w:vAlign w:val="center"/>
            <w:textDirection w:val="lrTb"/>
            <w:noWrap w:val="false"/>
          </w:tcPr>
          <w:p>
            <w:pPr>
              <w:jc w:val="both"/>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月度考核情况</w:t>
            </w:r>
            <w:r/>
          </w:p>
        </w:tc>
        <w:tc>
          <w:tcPr>
            <w:tcW w:w="5999" w:type="dxa"/>
            <w:vAlign w:val="center"/>
            <w:textDirection w:val="lrTb"/>
            <w:noWrap w:val="false"/>
          </w:tcPr>
          <w:p>
            <w:pPr>
              <w:jc w:val="both"/>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根据月度考核情况进行汇总，根据月度考核的平均分按比例计算得分。</w:t>
            </w:r>
            <w:r/>
          </w:p>
        </w:tc>
        <w:tc>
          <w:tcPr>
            <w:tcW w:w="700" w:type="dxa"/>
            <w:vAlign w:val="center"/>
            <w:textDirection w:val="lrTb"/>
            <w:noWrap w:val="false"/>
          </w:tcPr>
          <w:p>
            <w:pPr>
              <w:jc w:val="center"/>
              <w:spacing w:line="400" w:lineRule="exact"/>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60</w:t>
            </w:r>
            <w:r/>
          </w:p>
        </w:tc>
        <w:tc>
          <w:tcPr>
            <w:tcW w:w="600" w:type="dxa"/>
            <w:vAlign w:val="center"/>
            <w:textDirection w:val="lrTb"/>
            <w:noWrap w:val="false"/>
          </w:tcPr>
          <w:p>
            <w:pPr>
              <w:jc w:val="both"/>
              <w:spacing w:line="400" w:lineRule="exact"/>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r>
            <w:r/>
          </w:p>
        </w:tc>
        <w:tc>
          <w:tcPr>
            <w:tcW w:w="614" w:type="dxa"/>
            <w:vAlign w:val="center"/>
            <w:textDirection w:val="lrTb"/>
            <w:noWrap w:val="false"/>
          </w:tcPr>
          <w:p>
            <w:pPr>
              <w:jc w:val="both"/>
              <w:spacing w:line="400" w:lineRule="exact"/>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r>
            <w:r/>
          </w:p>
        </w:tc>
      </w:tr>
      <w:tr>
        <w:trPr>
          <w:jc w:val="center"/>
          <w:trHeight w:val="1201"/>
        </w:trPr>
        <w:tc>
          <w:tcPr>
            <w:tcW w:w="609" w:type="dxa"/>
            <w:vAlign w:val="center"/>
            <w:vMerge w:val="restart"/>
            <w:textDirection w:val="lrTb"/>
            <w:noWrap w:val="false"/>
          </w:tcPr>
          <w:p>
            <w:pPr>
              <w:jc w:val="both"/>
              <w:spacing w:line="400" w:lineRule="exact"/>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r>
            <w:r/>
          </w:p>
          <w:p>
            <w:pPr>
              <w:jc w:val="both"/>
              <w:spacing w:line="400" w:lineRule="exact"/>
              <w:rPr>
                <w:rFonts w:hint="eastAsia" w:ascii="宋体" w:hAnsi="宋体" w:eastAsia="宋体" w:cs="宋体"/>
                <w:bCs/>
                <w:color w:val="auto"/>
                <w:sz w:val="24"/>
                <w:szCs w:val="24"/>
                <w:highlight w:val="none"/>
                <w:lang w:val="zh-CN" w:eastAsia="zh-CN"/>
              </w:rPr>
            </w:pPr>
            <w:r>
              <w:rPr>
                <w:rFonts w:hint="eastAsia" w:ascii="宋体" w:hAnsi="宋体" w:eastAsia="宋体" w:cs="宋体"/>
                <w:bCs/>
                <w:color w:val="auto"/>
                <w:sz w:val="24"/>
                <w:szCs w:val="24"/>
                <w:highlight w:val="none"/>
                <w:lang w:val="en-US" w:eastAsia="zh-CN"/>
              </w:rPr>
              <w:t xml:space="preserve">三</w:t>
            </w:r>
            <w:r/>
          </w:p>
        </w:tc>
        <w:tc>
          <w:tcPr>
            <w:tcW w:w="1591" w:type="dxa"/>
            <w:vAlign w:val="center"/>
            <w:vMerge w:val="restart"/>
            <w:textDirection w:val="lrTb"/>
            <w:noWrap w:val="false"/>
          </w:tcPr>
          <w:p>
            <w:pPr>
              <w:jc w:val="both"/>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jc w:val="both"/>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专项任务完成方面</w:t>
            </w:r>
            <w:r/>
          </w:p>
        </w:tc>
        <w:tc>
          <w:tcPr>
            <w:tcW w:w="5999" w:type="dxa"/>
            <w:vAlign w:val="center"/>
            <w:textDirection w:val="lrTb"/>
            <w:noWrap w:val="false"/>
          </w:tcPr>
          <w:p>
            <w:pPr>
              <w:jc w:val="both"/>
              <w:spacing w:line="40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在规定时限内完成</w:t>
            </w:r>
            <w:r>
              <w:rPr>
                <w:rFonts w:hint="eastAsia" w:ascii="宋体" w:hAnsi="宋体" w:eastAsia="宋体" w:cs="宋体"/>
                <w:bCs/>
                <w:color w:val="auto"/>
                <w:sz w:val="24"/>
                <w:szCs w:val="24"/>
                <w:highlight w:val="none"/>
                <w:lang w:val="en-US" w:eastAsia="zh-CN"/>
              </w:rPr>
              <w:t xml:space="preserve">上级</w:t>
            </w:r>
            <w:r>
              <w:rPr>
                <w:rFonts w:hint="eastAsia" w:ascii="宋体" w:hAnsi="宋体" w:eastAsia="宋体" w:cs="宋体"/>
                <w:bCs/>
                <w:color w:val="auto"/>
                <w:sz w:val="24"/>
                <w:szCs w:val="24"/>
                <w:highlight w:val="none"/>
              </w:rPr>
              <w:t xml:space="preserve">目标（如</w:t>
            </w:r>
            <w:r>
              <w:rPr>
                <w:rFonts w:hint="eastAsia" w:ascii="宋体" w:hAnsi="宋体" w:cs="宋体"/>
                <w:color w:val="auto"/>
                <w:sz w:val="24"/>
                <w:highlight w:val="none"/>
              </w:rPr>
              <w:t xml:space="preserve">整治、验收、</w:t>
            </w:r>
            <w:r>
              <w:rPr>
                <w:rFonts w:ascii="宋体" w:hAnsi="宋体" w:cs="宋体"/>
                <w:color w:val="auto"/>
                <w:sz w:val="24"/>
                <w:highlight w:val="none"/>
              </w:rPr>
              <w:t xml:space="preserve">创建</w:t>
            </w:r>
            <w:r>
              <w:rPr>
                <w:rFonts w:hint="eastAsia" w:ascii="宋体" w:hAnsi="宋体" w:cs="宋体"/>
                <w:color w:val="auto"/>
                <w:sz w:val="24"/>
                <w:highlight w:val="none"/>
              </w:rPr>
              <w:t xml:space="preserve">、</w:t>
            </w:r>
            <w:r>
              <w:rPr>
                <w:rFonts w:ascii="宋体" w:hAnsi="宋体" w:cs="宋体"/>
                <w:color w:val="auto"/>
                <w:sz w:val="24"/>
                <w:highlight w:val="none"/>
              </w:rPr>
              <w:t xml:space="preserve">回头看</w:t>
            </w:r>
            <w:r>
              <w:rPr>
                <w:rFonts w:hint="eastAsia" w:ascii="宋体" w:hAnsi="宋体" w:eastAsia="宋体" w:cs="宋体"/>
                <w:bCs/>
                <w:color w:val="auto"/>
                <w:sz w:val="24"/>
                <w:szCs w:val="24"/>
                <w:highlight w:val="none"/>
              </w:rPr>
              <w:t xml:space="preserve">）、防汛、各类突发事件等专项任务，确保专项任务的质量、进度、安全管理等。纳入</w:t>
            </w:r>
            <w:r>
              <w:rPr>
                <w:rFonts w:hint="eastAsia" w:ascii="宋体" w:hAnsi="宋体" w:eastAsia="宋体" w:cs="宋体"/>
                <w:bCs/>
                <w:color w:val="auto"/>
                <w:sz w:val="24"/>
                <w:szCs w:val="24"/>
                <w:highlight w:val="none"/>
                <w:lang w:val="en-US" w:eastAsia="zh-CN"/>
              </w:rPr>
              <w:t xml:space="preserve">上级</w:t>
            </w:r>
            <w:r>
              <w:rPr>
                <w:rFonts w:hint="eastAsia" w:ascii="宋体" w:hAnsi="宋体" w:eastAsia="宋体" w:cs="宋体"/>
                <w:bCs/>
                <w:color w:val="auto"/>
                <w:sz w:val="24"/>
                <w:szCs w:val="24"/>
                <w:highlight w:val="none"/>
              </w:rPr>
              <w:t xml:space="preserve">目标考核的任务未完成每项扣1分。因防汛</w:t>
            </w:r>
            <w:r>
              <w:rPr>
                <w:rFonts w:hint="eastAsia" w:ascii="宋体" w:hAnsi="宋体" w:eastAsia="宋体" w:cs="宋体"/>
                <w:bCs/>
                <w:color w:val="auto"/>
                <w:sz w:val="24"/>
                <w:szCs w:val="24"/>
                <w:highlight w:val="none"/>
                <w:lang w:val="en-US" w:eastAsia="zh-CN"/>
              </w:rPr>
              <w:t xml:space="preserve">等</w:t>
            </w:r>
            <w:r>
              <w:rPr>
                <w:rFonts w:hint="eastAsia" w:ascii="宋体" w:hAnsi="宋体" w:eastAsia="宋体" w:cs="宋体"/>
                <w:bCs/>
                <w:color w:val="auto"/>
                <w:sz w:val="24"/>
                <w:szCs w:val="24"/>
                <w:highlight w:val="none"/>
              </w:rPr>
              <w:t xml:space="preserve">工作开展不力造成社会重大影响的每项扣2分</w:t>
            </w:r>
            <w:r>
              <w:rPr>
                <w:rFonts w:hint="eastAsia" w:ascii="宋体" w:hAnsi="宋体" w:eastAsia="宋体" w:cs="宋体"/>
                <w:bCs/>
                <w:color w:val="auto"/>
                <w:sz w:val="24"/>
                <w:szCs w:val="24"/>
                <w:highlight w:val="none"/>
                <w:lang w:eastAsia="zh-CN"/>
              </w:rPr>
              <w:t xml:space="preserve">。</w:t>
            </w:r>
            <w:r/>
          </w:p>
        </w:tc>
        <w:tc>
          <w:tcPr>
            <w:tcW w:w="700" w:type="dxa"/>
            <w:vAlign w:val="center"/>
            <w:textDirection w:val="lrTb"/>
            <w:noWrap w:val="false"/>
          </w:tcPr>
          <w:p>
            <w:pPr>
              <w:jc w:val="center"/>
              <w:spacing w:line="400" w:lineRule="exact"/>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r>
            <w:r/>
          </w:p>
          <w:p>
            <w:pPr>
              <w:jc w:val="center"/>
              <w:spacing w:line="400" w:lineRule="exact"/>
              <w:rPr>
                <w:rFonts w:hint="eastAsia" w:ascii="宋体" w:hAnsi="宋体" w:eastAsia="宋体" w:cs="宋体"/>
                <w:bCs/>
                <w:color w:val="auto"/>
                <w:sz w:val="24"/>
                <w:szCs w:val="24"/>
                <w:highlight w:val="none"/>
                <w:lang w:val="zh-CN" w:eastAsia="zh-CN"/>
              </w:rPr>
            </w:pPr>
            <w:r>
              <w:rPr>
                <w:rFonts w:hint="eastAsia" w:ascii="宋体" w:hAnsi="宋体" w:eastAsia="宋体" w:cs="宋体"/>
                <w:bCs/>
                <w:color w:val="auto"/>
                <w:sz w:val="24"/>
                <w:szCs w:val="24"/>
                <w:highlight w:val="none"/>
                <w:lang w:val="en-US" w:eastAsia="zh-CN"/>
              </w:rPr>
              <w:t xml:space="preserve">5</w:t>
            </w:r>
            <w:r/>
          </w:p>
        </w:tc>
        <w:tc>
          <w:tcPr>
            <w:tcW w:w="600" w:type="dxa"/>
            <w:vAlign w:val="center"/>
            <w:textDirection w:val="lrTb"/>
            <w:noWrap w:val="false"/>
          </w:tcPr>
          <w:p>
            <w:pPr>
              <w:jc w:val="both"/>
              <w:spacing w:line="400" w:lineRule="exact"/>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r>
            <w:r/>
          </w:p>
        </w:tc>
        <w:tc>
          <w:tcPr>
            <w:tcW w:w="614" w:type="dxa"/>
            <w:vAlign w:val="center"/>
            <w:textDirection w:val="lrTb"/>
            <w:noWrap w:val="false"/>
          </w:tcPr>
          <w:p>
            <w:pPr>
              <w:jc w:val="both"/>
              <w:spacing w:line="400" w:lineRule="exact"/>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r>
            <w:r/>
          </w:p>
        </w:tc>
      </w:tr>
      <w:tr>
        <w:trPr>
          <w:jc w:val="center"/>
          <w:trHeight w:val="1201"/>
        </w:trPr>
        <w:tc>
          <w:tcPr>
            <w:tcW w:w="609" w:type="dxa"/>
            <w:vAlign w:val="center"/>
            <w:vMerge w:val="continue"/>
            <w:textDirection w:val="lrTb"/>
            <w:noWrap w:val="false"/>
          </w:tcPr>
          <w:p>
            <w:pPr>
              <w:jc w:val="both"/>
              <w:spacing w:line="40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tc>
        <w:tc>
          <w:tcPr>
            <w:tcW w:w="1591" w:type="dxa"/>
            <w:vAlign w:val="center"/>
            <w:vMerge w:val="continue"/>
            <w:textDirection w:val="lrTb"/>
            <w:noWrap w:val="false"/>
          </w:tcPr>
          <w:p>
            <w:pPr>
              <w:jc w:val="both"/>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5999" w:type="dxa"/>
            <w:vAlign w:val="center"/>
            <w:textDirection w:val="lrTb"/>
            <w:noWrap w:val="false"/>
          </w:tcPr>
          <w:p>
            <w:pPr>
              <w:jc w:val="both"/>
              <w:spacing w:line="40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zh-CN"/>
              </w:rPr>
              <w:t xml:space="preserve">根据年度工作计划及</w:t>
            </w:r>
            <w:r>
              <w:rPr>
                <w:rFonts w:hint="eastAsia" w:ascii="宋体" w:hAnsi="宋体" w:eastAsia="宋体" w:cs="宋体"/>
                <w:bCs/>
                <w:color w:val="auto"/>
                <w:sz w:val="24"/>
                <w:szCs w:val="24"/>
                <w:highlight w:val="none"/>
                <w:lang w:val="en-US" w:eastAsia="zh-CN"/>
              </w:rPr>
              <w:t xml:space="preserve">甲方</w:t>
            </w:r>
            <w:r>
              <w:rPr>
                <w:rFonts w:hint="eastAsia" w:ascii="宋体" w:hAnsi="宋体" w:eastAsia="宋体" w:cs="宋体"/>
                <w:bCs/>
                <w:color w:val="auto"/>
                <w:sz w:val="24"/>
                <w:szCs w:val="24"/>
                <w:highlight w:val="none"/>
                <w:lang w:val="zh-CN"/>
              </w:rPr>
              <w:t xml:space="preserve">相关要求，下水道管道检测工作应严格遵循年度周期性检查机制，确保在每年汛期来临之前，</w:t>
            </w:r>
            <w:r>
              <w:rPr>
                <w:rFonts w:ascii="宋体" w:hAnsi="宋体" w:cs="宋体"/>
                <w:color w:val="auto"/>
                <w:sz w:val="24"/>
                <w:highlight w:val="none"/>
              </w:rPr>
              <w:t xml:space="preserve">全面</w:t>
            </w:r>
            <w:r>
              <w:rPr>
                <w:rFonts w:hint="eastAsia" w:ascii="宋体" w:hAnsi="宋体" w:cs="宋体"/>
                <w:color w:val="auto"/>
                <w:sz w:val="24"/>
                <w:highlight w:val="none"/>
                <w:lang w:val="en-US" w:eastAsia="zh-CN"/>
              </w:rPr>
              <w:t xml:space="preserve">完成相应管网的疏通工作，保障排水</w:t>
            </w:r>
            <w:r>
              <w:rPr>
                <w:rFonts w:ascii="宋体" w:hAnsi="宋体" w:cs="宋体"/>
                <w:color w:val="auto"/>
                <w:sz w:val="24"/>
                <w:highlight w:val="none"/>
              </w:rPr>
              <w:t xml:space="preserve">设施的完好</w:t>
            </w:r>
            <w:r>
              <w:rPr>
                <w:rFonts w:hint="eastAsia" w:ascii="宋体" w:hAnsi="宋体" w:cs="宋体"/>
                <w:color w:val="auto"/>
                <w:sz w:val="24"/>
                <w:highlight w:val="none"/>
              </w:rPr>
              <w:t xml:space="preserve">、通畅</w:t>
            </w:r>
            <w:r>
              <w:rPr>
                <w:rFonts w:hint="eastAsia" w:ascii="宋体" w:hAnsi="宋体" w:eastAsia="宋体" w:cs="宋体"/>
                <w:bCs/>
                <w:color w:val="auto"/>
                <w:sz w:val="24"/>
                <w:szCs w:val="24"/>
                <w:highlight w:val="none"/>
                <w:lang w:val="zh-CN"/>
              </w:rPr>
              <w:t xml:space="preserve">，并及时提交现场视频或含有水印的照片等翔实证明材料</w:t>
            </w:r>
            <w:r>
              <w:rPr>
                <w:rFonts w:hint="eastAsia" w:ascii="宋体" w:hAnsi="宋体" w:cs="宋体"/>
                <w:bCs/>
                <w:color w:val="auto"/>
                <w:sz w:val="24"/>
                <w:szCs w:val="24"/>
                <w:highlight w:val="none"/>
                <w:lang w:val="zh-CN"/>
              </w:rPr>
              <w:t xml:space="preserve">。</w:t>
            </w:r>
            <w:r>
              <w:rPr>
                <w:rFonts w:hint="eastAsia" w:ascii="宋体" w:hAnsi="宋体" w:eastAsia="宋体" w:cs="宋体"/>
                <w:bCs/>
                <w:color w:val="auto"/>
                <w:sz w:val="24"/>
                <w:szCs w:val="24"/>
                <w:highlight w:val="none"/>
                <w:lang w:val="en-US" w:eastAsia="zh-CN"/>
              </w:rPr>
              <w:t xml:space="preserve">未完成扣</w:t>
            </w:r>
            <w:r>
              <w:rPr>
                <w:rFonts w:hint="eastAsia" w:ascii="宋体" w:hAnsi="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lang w:val="en-US" w:eastAsia="zh-CN"/>
              </w:rPr>
              <w:t xml:space="preserve">分，上报资料不及时扣2分。</w:t>
            </w:r>
            <w:r/>
          </w:p>
        </w:tc>
        <w:tc>
          <w:tcPr>
            <w:tcW w:w="700" w:type="dxa"/>
            <w:vAlign w:val="center"/>
            <w:textDirection w:val="lrTb"/>
            <w:noWrap w:val="false"/>
          </w:tcPr>
          <w:p>
            <w:pPr>
              <w:jc w:val="center"/>
              <w:spacing w:line="400" w:lineRule="exact"/>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10</w:t>
            </w:r>
            <w:r/>
          </w:p>
        </w:tc>
        <w:tc>
          <w:tcPr>
            <w:tcW w:w="600" w:type="dxa"/>
            <w:vAlign w:val="center"/>
            <w:textDirection w:val="lrTb"/>
            <w:noWrap w:val="false"/>
          </w:tcPr>
          <w:p>
            <w:pPr>
              <w:jc w:val="both"/>
              <w:spacing w:line="400" w:lineRule="exact"/>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r>
            <w:r/>
          </w:p>
        </w:tc>
        <w:tc>
          <w:tcPr>
            <w:tcW w:w="614" w:type="dxa"/>
            <w:vAlign w:val="center"/>
            <w:textDirection w:val="lrTb"/>
            <w:noWrap w:val="false"/>
          </w:tcPr>
          <w:p>
            <w:pPr>
              <w:jc w:val="both"/>
              <w:spacing w:line="400" w:lineRule="exact"/>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r>
            <w:r/>
          </w:p>
        </w:tc>
      </w:tr>
      <w:tr>
        <w:trPr>
          <w:jc w:val="center"/>
          <w:trHeight w:val="699"/>
        </w:trPr>
        <w:tc>
          <w:tcPr>
            <w:tcW w:w="609" w:type="dxa"/>
            <w:vAlign w:val="center"/>
            <w:textDirection w:val="lrTb"/>
            <w:noWrap w:val="false"/>
          </w:tcPr>
          <w:p>
            <w:pPr>
              <w:jc w:val="both"/>
              <w:spacing w:line="400" w:lineRule="exact"/>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r>
            <w:r/>
          </w:p>
        </w:tc>
        <w:tc>
          <w:tcPr>
            <w:tcW w:w="1591" w:type="dxa"/>
            <w:vAlign w:val="center"/>
            <w:textDirection w:val="lrTb"/>
            <w:noWrap w:val="false"/>
          </w:tcPr>
          <w:p>
            <w:pPr>
              <w:jc w:val="both"/>
              <w:spacing w:line="400" w:lineRule="exact"/>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r>
            <w:r/>
          </w:p>
        </w:tc>
        <w:tc>
          <w:tcPr>
            <w:tcW w:w="5999" w:type="dxa"/>
            <w:vAlign w:val="center"/>
            <w:textDirection w:val="lrTb"/>
            <w:noWrap w:val="false"/>
          </w:tcPr>
          <w:p>
            <w:pPr>
              <w:jc w:val="both"/>
              <w:spacing w:line="400" w:lineRule="exact"/>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合计</w:t>
            </w:r>
            <w:r/>
          </w:p>
        </w:tc>
        <w:tc>
          <w:tcPr>
            <w:tcW w:w="700" w:type="dxa"/>
            <w:vAlign w:val="center"/>
            <w:textDirection w:val="lrTb"/>
            <w:noWrap w:val="false"/>
          </w:tcPr>
          <w:p>
            <w:pPr>
              <w:jc w:val="center"/>
              <w:spacing w:line="400" w:lineRule="exact"/>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100</w:t>
            </w:r>
            <w:r/>
          </w:p>
        </w:tc>
        <w:tc>
          <w:tcPr>
            <w:tcW w:w="600" w:type="dxa"/>
            <w:vAlign w:val="center"/>
            <w:textDirection w:val="lrTb"/>
            <w:noWrap w:val="false"/>
          </w:tcPr>
          <w:p>
            <w:pPr>
              <w:jc w:val="both"/>
              <w:spacing w:line="400" w:lineRule="exact"/>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r>
            <w:r/>
          </w:p>
        </w:tc>
        <w:tc>
          <w:tcPr>
            <w:tcW w:w="614" w:type="dxa"/>
            <w:vAlign w:val="center"/>
            <w:textDirection w:val="lrTb"/>
            <w:noWrap w:val="false"/>
          </w:tcPr>
          <w:p>
            <w:pPr>
              <w:jc w:val="both"/>
              <w:spacing w:line="400" w:lineRule="exact"/>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r>
            <w:r/>
          </w:p>
        </w:tc>
      </w:tr>
    </w:tbl>
    <w:p>
      <w:pPr>
        <w:spacing w:line="40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说明：综合得分小于 </w:t>
      </w:r>
      <w:r>
        <w:rPr>
          <w:rFonts w:hint="eastAsia" w:ascii="宋体" w:hAnsi="宋体" w:cs="宋体"/>
          <w:bCs/>
          <w:color w:val="auto"/>
          <w:szCs w:val="21"/>
          <w:highlight w:val="none"/>
          <w:lang w:val="en-US" w:eastAsia="zh-CN"/>
        </w:rPr>
        <w:t xml:space="preserve">8</w:t>
      </w:r>
      <w:r>
        <w:rPr>
          <w:rFonts w:hint="eastAsia" w:ascii="宋体" w:hAnsi="宋体" w:eastAsia="宋体" w:cs="宋体"/>
          <w:bCs/>
          <w:color w:val="auto"/>
          <w:szCs w:val="21"/>
          <w:highlight w:val="none"/>
        </w:rPr>
        <w:t xml:space="preserve">0 分为不合格，综合得分</w:t>
      </w:r>
      <w:r>
        <w:rPr>
          <w:rFonts w:hint="eastAsia" w:ascii="宋体" w:hAnsi="宋体" w:cs="宋体"/>
          <w:bCs/>
          <w:color w:val="auto"/>
          <w:szCs w:val="21"/>
          <w:highlight w:val="none"/>
          <w:lang w:val="en-US" w:eastAsia="zh-CN"/>
        </w:rPr>
        <w:t xml:space="preserve">80-85</w:t>
      </w:r>
      <w:r>
        <w:rPr>
          <w:rFonts w:hint="eastAsia" w:ascii="宋体" w:hAnsi="宋体" w:eastAsia="宋体" w:cs="宋体"/>
          <w:bCs/>
          <w:color w:val="auto"/>
          <w:szCs w:val="21"/>
          <w:highlight w:val="none"/>
        </w:rPr>
        <w:t xml:space="preserve">（包括</w:t>
      </w:r>
      <w:r>
        <w:rPr>
          <w:rFonts w:hint="eastAsia" w:ascii="宋体" w:hAnsi="宋体" w:cs="宋体"/>
          <w:bCs/>
          <w:color w:val="auto"/>
          <w:szCs w:val="21"/>
          <w:highlight w:val="none"/>
          <w:lang w:val="en-US" w:eastAsia="zh-CN"/>
        </w:rPr>
        <w:t xml:space="preserve">80</w:t>
      </w:r>
      <w:r>
        <w:rPr>
          <w:rFonts w:hint="eastAsia" w:ascii="宋体" w:hAnsi="宋体" w:eastAsia="宋体" w:cs="宋体"/>
          <w:bCs/>
          <w:color w:val="auto"/>
          <w:szCs w:val="21"/>
          <w:highlight w:val="none"/>
        </w:rPr>
        <w:t xml:space="preserve">分）为合格，综合得分</w:t>
      </w:r>
      <w:r>
        <w:rPr>
          <w:rFonts w:hint="eastAsia" w:ascii="宋体" w:hAnsi="宋体" w:cs="宋体"/>
          <w:bCs/>
          <w:color w:val="auto"/>
          <w:szCs w:val="21"/>
          <w:highlight w:val="none"/>
          <w:lang w:val="en-US" w:eastAsia="zh-CN"/>
        </w:rPr>
        <w:t xml:space="preserve">85</w:t>
      </w:r>
      <w:r>
        <w:rPr>
          <w:rFonts w:hint="eastAsia" w:ascii="宋体" w:hAnsi="宋体" w:eastAsia="宋体" w:cs="宋体"/>
          <w:bCs/>
          <w:color w:val="auto"/>
          <w:szCs w:val="21"/>
          <w:highlight w:val="none"/>
        </w:rPr>
        <w:t xml:space="preserve">-9</w:t>
      </w:r>
      <w:r>
        <w:rPr>
          <w:rFonts w:hint="eastAsia" w:ascii="宋体" w:hAnsi="宋体" w:cs="宋体"/>
          <w:bCs/>
          <w:color w:val="auto"/>
          <w:szCs w:val="21"/>
          <w:highlight w:val="none"/>
          <w:lang w:val="en-US" w:eastAsia="zh-CN"/>
        </w:rPr>
        <w:t xml:space="preserve">0</w:t>
      </w:r>
      <w:r>
        <w:rPr>
          <w:rFonts w:hint="eastAsia" w:ascii="宋体" w:hAnsi="宋体" w:eastAsia="宋体" w:cs="宋体"/>
          <w:bCs/>
          <w:color w:val="auto"/>
          <w:szCs w:val="21"/>
          <w:highlight w:val="none"/>
        </w:rPr>
        <w:t xml:space="preserve">分（包括</w:t>
      </w:r>
      <w:r>
        <w:rPr>
          <w:rFonts w:hint="eastAsia" w:ascii="宋体" w:hAnsi="宋体" w:cs="宋体"/>
          <w:bCs/>
          <w:color w:val="auto"/>
          <w:szCs w:val="21"/>
          <w:highlight w:val="none"/>
          <w:lang w:val="en-US" w:eastAsia="zh-CN"/>
        </w:rPr>
        <w:t xml:space="preserve">85</w:t>
      </w:r>
      <w:r>
        <w:rPr>
          <w:rFonts w:hint="eastAsia" w:ascii="宋体" w:hAnsi="宋体" w:eastAsia="宋体" w:cs="宋体"/>
          <w:bCs/>
          <w:color w:val="auto"/>
          <w:szCs w:val="21"/>
          <w:highlight w:val="none"/>
        </w:rPr>
        <w:t xml:space="preserve">分）为良好，综合得分9</w:t>
      </w:r>
      <w:r>
        <w:rPr>
          <w:rFonts w:hint="eastAsia" w:ascii="宋体" w:hAnsi="宋体" w:cs="宋体"/>
          <w:bCs/>
          <w:color w:val="auto"/>
          <w:szCs w:val="21"/>
          <w:highlight w:val="none"/>
          <w:lang w:val="en-US" w:eastAsia="zh-CN"/>
        </w:rPr>
        <w:t xml:space="preserve">0</w:t>
      </w:r>
      <w:r>
        <w:rPr>
          <w:rFonts w:hint="eastAsia" w:ascii="宋体" w:hAnsi="宋体" w:eastAsia="宋体" w:cs="宋体"/>
          <w:bCs/>
          <w:color w:val="auto"/>
          <w:szCs w:val="21"/>
          <w:highlight w:val="none"/>
        </w:rPr>
        <w:t xml:space="preserve">-100 分为优秀。</w:t>
      </w:r>
      <w:r/>
    </w:p>
    <w:p>
      <w:pPr>
        <w:spacing w:line="40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考核小组</w:t>
      </w:r>
      <w:r>
        <w:rPr>
          <w:rFonts w:hint="eastAsia" w:ascii="宋体" w:hAnsi="宋体" w:eastAsia="宋体" w:cs="宋体"/>
          <w:bCs/>
          <w:color w:val="auto"/>
          <w:szCs w:val="21"/>
          <w:highlight w:val="none"/>
          <w:lang w:eastAsia="zh-CN"/>
        </w:rPr>
        <w:t xml:space="preserve">（</w:t>
      </w:r>
      <w:r>
        <w:rPr>
          <w:rFonts w:hint="eastAsia" w:ascii="宋体" w:hAnsi="宋体" w:eastAsia="宋体" w:cs="宋体"/>
          <w:bCs/>
          <w:color w:val="auto"/>
          <w:szCs w:val="21"/>
          <w:highlight w:val="none"/>
        </w:rPr>
        <w:t xml:space="preserve">签字、盖章</w:t>
      </w:r>
      <w:r>
        <w:rPr>
          <w:rFonts w:hint="eastAsia" w:ascii="宋体" w:hAnsi="宋体" w:eastAsia="宋体" w:cs="宋体"/>
          <w:bCs/>
          <w:color w:val="auto"/>
          <w:szCs w:val="21"/>
          <w:highlight w:val="none"/>
          <w:lang w:eastAsia="zh-CN"/>
        </w:rPr>
        <w:t xml:space="preserve">）</w:t>
      </w:r>
      <w:r>
        <w:rPr>
          <w:rFonts w:hint="eastAsia" w:ascii="宋体" w:hAnsi="宋体" w:eastAsia="宋体" w:cs="宋体"/>
          <w:bCs/>
          <w:color w:val="auto"/>
          <w:szCs w:val="21"/>
          <w:highlight w:val="none"/>
        </w:rPr>
        <w:t xml:space="preserve">：</w:t>
      </w:r>
      <w:r/>
    </w:p>
    <w:p>
      <w:pPr>
        <w:spacing w:line="40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p>
      <w:pPr>
        <w:spacing w:line="40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考核</w:t>
      </w:r>
      <w:r>
        <w:rPr>
          <w:rFonts w:hint="eastAsia" w:ascii="宋体" w:hAnsi="宋体" w:eastAsia="宋体" w:cs="宋体"/>
          <w:bCs/>
          <w:color w:val="auto"/>
          <w:szCs w:val="21"/>
          <w:highlight w:val="none"/>
          <w:lang w:eastAsia="zh-CN"/>
        </w:rPr>
        <w:t xml:space="preserve">其他</w:t>
      </w:r>
      <w:r>
        <w:rPr>
          <w:rFonts w:hint="eastAsia" w:ascii="宋体" w:hAnsi="宋体" w:eastAsia="宋体" w:cs="宋体"/>
          <w:bCs/>
          <w:color w:val="auto"/>
          <w:szCs w:val="21"/>
          <w:highlight w:val="none"/>
        </w:rPr>
        <w:t xml:space="preserve">说明：</w:t>
      </w:r>
      <w:r/>
    </w:p>
    <w:p>
      <w:pPr>
        <w:spacing w:line="40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1.年度考核</w:t>
      </w:r>
      <w:r/>
    </w:p>
    <w:p>
      <w:pPr>
        <w:spacing w:line="40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（1）9</w:t>
      </w:r>
      <w:r>
        <w:rPr>
          <w:rFonts w:hint="eastAsia" w:ascii="宋体" w:hAnsi="宋体" w:cs="宋体"/>
          <w:bCs/>
          <w:color w:val="auto"/>
          <w:szCs w:val="21"/>
          <w:highlight w:val="none"/>
          <w:lang w:val="en-US" w:eastAsia="zh-CN"/>
        </w:rPr>
        <w:t xml:space="preserve">0</w:t>
      </w:r>
      <w:r>
        <w:rPr>
          <w:rFonts w:hint="eastAsia" w:ascii="宋体" w:hAnsi="宋体" w:eastAsia="宋体" w:cs="宋体"/>
          <w:bCs/>
          <w:color w:val="auto"/>
          <w:szCs w:val="21"/>
          <w:highlight w:val="none"/>
        </w:rPr>
        <w:t xml:space="preserve">分</w:t>
      </w:r>
      <w:r>
        <w:rPr>
          <w:rFonts w:hint="eastAsia" w:ascii="宋体" w:hAnsi="宋体" w:eastAsia="宋体" w:cs="宋体"/>
          <w:bCs/>
          <w:color w:val="auto"/>
          <w:szCs w:val="21"/>
          <w:highlight w:val="none"/>
          <w:lang w:eastAsia="zh-CN"/>
        </w:rPr>
        <w:t xml:space="preserve">（</w:t>
      </w:r>
      <w:r>
        <w:rPr>
          <w:rFonts w:hint="eastAsia" w:ascii="宋体" w:hAnsi="宋体" w:eastAsia="宋体" w:cs="宋体"/>
          <w:bCs/>
          <w:color w:val="auto"/>
          <w:szCs w:val="21"/>
          <w:highlight w:val="none"/>
        </w:rPr>
        <w:t xml:space="preserve">含</w:t>
      </w:r>
      <w:r>
        <w:rPr>
          <w:rFonts w:hint="eastAsia" w:ascii="宋体" w:hAnsi="宋体" w:eastAsia="宋体" w:cs="宋体"/>
          <w:bCs/>
          <w:color w:val="auto"/>
          <w:szCs w:val="21"/>
          <w:highlight w:val="none"/>
          <w:lang w:eastAsia="zh-CN"/>
        </w:rPr>
        <w:t xml:space="preserve">）</w:t>
      </w:r>
      <w:r>
        <w:rPr>
          <w:rFonts w:hint="eastAsia" w:ascii="宋体" w:hAnsi="宋体" w:eastAsia="宋体" w:cs="宋体"/>
          <w:bCs/>
          <w:color w:val="auto"/>
          <w:szCs w:val="21"/>
          <w:highlight w:val="none"/>
        </w:rPr>
        <w:t xml:space="preserve">以上</w:t>
      </w:r>
      <w:r>
        <w:rPr>
          <w:rFonts w:hint="eastAsia" w:ascii="宋体" w:hAnsi="宋体" w:eastAsia="宋体" w:cs="宋体"/>
          <w:bCs/>
          <w:color w:val="auto"/>
          <w:szCs w:val="21"/>
          <w:highlight w:val="none"/>
        </w:rPr>
        <w:tab/>
      </w:r>
      <w:r>
        <w:rPr>
          <w:rFonts w:hint="eastAsia" w:ascii="宋体" w:hAnsi="宋体" w:eastAsia="宋体" w:cs="宋体"/>
          <w:bCs/>
          <w:color w:val="auto"/>
          <w:szCs w:val="21"/>
          <w:highlight w:val="none"/>
        </w:rPr>
        <w:t xml:space="preserve">         不做处理；</w:t>
      </w:r>
      <w:r/>
    </w:p>
    <w:p>
      <w:pPr>
        <w:spacing w:line="40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w:t>
      </w:r>
      <w:r>
        <w:rPr>
          <w:rFonts w:hint="eastAsia" w:ascii="宋体" w:hAnsi="宋体" w:cs="宋体"/>
          <w:bCs/>
          <w:color w:val="auto"/>
          <w:szCs w:val="21"/>
          <w:highlight w:val="none"/>
          <w:lang w:val="en-US" w:eastAsia="zh-CN"/>
        </w:rPr>
        <w:t xml:space="preserve">85（</w:t>
      </w:r>
      <w:r>
        <w:rPr>
          <w:rFonts w:hint="eastAsia" w:ascii="宋体" w:hAnsi="宋体" w:eastAsia="宋体" w:cs="宋体"/>
          <w:bCs/>
          <w:color w:val="auto"/>
          <w:szCs w:val="21"/>
          <w:highlight w:val="none"/>
        </w:rPr>
        <w:t xml:space="preserve">含</w:t>
      </w:r>
      <w:r>
        <w:rPr>
          <w:rFonts w:hint="eastAsia" w:ascii="宋体" w:hAnsi="宋体" w:eastAsia="宋体" w:cs="宋体"/>
          <w:bCs/>
          <w:color w:val="auto"/>
          <w:szCs w:val="21"/>
          <w:highlight w:val="none"/>
          <w:lang w:eastAsia="zh-CN"/>
        </w:rPr>
        <w:t xml:space="preserve">）</w:t>
      </w:r>
      <w:r>
        <w:rPr>
          <w:rFonts w:hint="eastAsia" w:ascii="宋体" w:hAnsi="宋体" w:eastAsia="宋体" w:cs="宋体"/>
          <w:bCs/>
          <w:color w:val="auto"/>
          <w:szCs w:val="21"/>
          <w:highlight w:val="none"/>
        </w:rPr>
        <w:t xml:space="preserve">-</w:t>
      </w:r>
      <w:r>
        <w:rPr>
          <w:rFonts w:hint="eastAsia" w:ascii="宋体" w:hAnsi="宋体" w:cs="宋体"/>
          <w:bCs/>
          <w:color w:val="auto"/>
          <w:szCs w:val="21"/>
          <w:highlight w:val="none"/>
          <w:lang w:val="en-US" w:eastAsia="zh-CN"/>
        </w:rPr>
        <w:t xml:space="preserve">90</w:t>
      </w:r>
      <w:r>
        <w:rPr>
          <w:rFonts w:hint="eastAsia" w:ascii="宋体" w:hAnsi="宋体" w:eastAsia="宋体" w:cs="宋体"/>
          <w:bCs/>
          <w:color w:val="auto"/>
          <w:szCs w:val="21"/>
          <w:highlight w:val="none"/>
        </w:rPr>
        <w:t xml:space="preserve">分</w:t>
      </w:r>
      <w:r>
        <w:rPr>
          <w:rFonts w:hint="eastAsia" w:ascii="宋体" w:hAnsi="宋体" w:eastAsia="宋体" w:cs="宋体"/>
          <w:bCs/>
          <w:color w:val="auto"/>
          <w:szCs w:val="21"/>
          <w:highlight w:val="none"/>
        </w:rPr>
        <w:tab/>
      </w:r>
      <w:r>
        <w:rPr>
          <w:rFonts w:hint="eastAsia" w:ascii="宋体" w:hAnsi="宋体" w:eastAsia="宋体" w:cs="宋体"/>
          <w:bCs/>
          <w:color w:val="auto"/>
          <w:szCs w:val="21"/>
          <w:highlight w:val="none"/>
        </w:rPr>
        <w:t xml:space="preserve">         乙方承担违约金，每分</w:t>
      </w:r>
      <w:r>
        <w:rPr>
          <w:rFonts w:hint="eastAsia" w:ascii="宋体" w:hAnsi="宋体" w:cs="宋体"/>
          <w:bCs/>
          <w:color w:val="auto"/>
          <w:szCs w:val="21"/>
          <w:highlight w:val="none"/>
          <w:lang w:val="en-US" w:eastAsia="zh-CN"/>
        </w:rPr>
        <w:t xml:space="preserve">10000</w:t>
      </w:r>
      <w:r>
        <w:rPr>
          <w:rFonts w:hint="eastAsia" w:ascii="宋体" w:hAnsi="宋体" w:eastAsia="宋体" w:cs="宋体"/>
          <w:bCs/>
          <w:color w:val="auto"/>
          <w:szCs w:val="21"/>
          <w:highlight w:val="none"/>
        </w:rPr>
        <w:t xml:space="preserve">元；</w:t>
      </w:r>
      <w:r/>
    </w:p>
    <w:p>
      <w:pPr>
        <w:spacing w:line="40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w:t>
      </w:r>
      <w:r>
        <w:rPr>
          <w:rFonts w:hint="eastAsia" w:ascii="宋体" w:hAnsi="宋体" w:cs="宋体"/>
          <w:bCs/>
          <w:color w:val="auto"/>
          <w:szCs w:val="21"/>
          <w:highlight w:val="none"/>
          <w:lang w:val="en-US" w:eastAsia="zh-CN"/>
        </w:rPr>
        <w:t xml:space="preserve">80（</w:t>
      </w:r>
      <w:r>
        <w:rPr>
          <w:rFonts w:hint="eastAsia" w:ascii="宋体" w:hAnsi="宋体" w:eastAsia="宋体" w:cs="宋体"/>
          <w:bCs/>
          <w:color w:val="auto"/>
          <w:szCs w:val="21"/>
          <w:highlight w:val="none"/>
        </w:rPr>
        <w:t xml:space="preserve">含</w:t>
      </w:r>
      <w:r>
        <w:rPr>
          <w:rFonts w:hint="eastAsia" w:ascii="宋体" w:hAnsi="宋体" w:eastAsia="宋体" w:cs="宋体"/>
          <w:bCs/>
          <w:color w:val="auto"/>
          <w:szCs w:val="21"/>
          <w:highlight w:val="none"/>
          <w:lang w:eastAsia="zh-CN"/>
        </w:rPr>
        <w:t xml:space="preserve">）</w:t>
      </w:r>
      <w:r>
        <w:rPr>
          <w:rFonts w:hint="eastAsia" w:ascii="宋体" w:hAnsi="宋体" w:eastAsia="宋体" w:cs="宋体"/>
          <w:bCs/>
          <w:color w:val="auto"/>
          <w:szCs w:val="21"/>
          <w:highlight w:val="none"/>
        </w:rPr>
        <w:t xml:space="preserve">-</w:t>
      </w:r>
      <w:r>
        <w:rPr>
          <w:rFonts w:hint="eastAsia" w:ascii="宋体" w:hAnsi="宋体" w:cs="宋体"/>
          <w:bCs/>
          <w:color w:val="auto"/>
          <w:szCs w:val="21"/>
          <w:highlight w:val="none"/>
          <w:lang w:val="en-US" w:eastAsia="zh-CN"/>
        </w:rPr>
        <w:t xml:space="preserve">85</w:t>
      </w:r>
      <w:r>
        <w:rPr>
          <w:rFonts w:hint="eastAsia" w:ascii="宋体" w:hAnsi="宋体" w:eastAsia="宋体" w:cs="宋体"/>
          <w:bCs/>
          <w:color w:val="auto"/>
          <w:szCs w:val="21"/>
          <w:highlight w:val="none"/>
        </w:rPr>
        <w:t xml:space="preserve">分</w:t>
      </w:r>
      <w:r>
        <w:rPr>
          <w:rFonts w:hint="eastAsia" w:ascii="宋体" w:hAnsi="宋体" w:eastAsia="宋体" w:cs="宋体"/>
          <w:bCs/>
          <w:color w:val="auto"/>
          <w:szCs w:val="21"/>
          <w:highlight w:val="none"/>
        </w:rPr>
        <w:tab/>
      </w:r>
      <w:r>
        <w:rPr>
          <w:rFonts w:hint="eastAsia" w:ascii="宋体" w:hAnsi="宋体" w:eastAsia="宋体" w:cs="宋体"/>
          <w:bCs/>
          <w:color w:val="auto"/>
          <w:szCs w:val="21"/>
          <w:highlight w:val="none"/>
        </w:rPr>
        <w:t xml:space="preserve">         乙方承担违约金，每分</w:t>
      </w:r>
      <w:r>
        <w:rPr>
          <w:rFonts w:hint="eastAsia" w:ascii="宋体" w:hAnsi="宋体" w:cs="宋体"/>
          <w:bCs/>
          <w:color w:val="auto"/>
          <w:szCs w:val="21"/>
          <w:highlight w:val="none"/>
          <w:lang w:val="en-US" w:eastAsia="zh-CN"/>
        </w:rPr>
        <w:t xml:space="preserve">20000</w:t>
      </w:r>
      <w:r>
        <w:rPr>
          <w:rFonts w:hint="eastAsia" w:ascii="宋体" w:hAnsi="宋体" w:eastAsia="宋体" w:cs="宋体"/>
          <w:bCs/>
          <w:color w:val="auto"/>
          <w:szCs w:val="21"/>
          <w:highlight w:val="none"/>
        </w:rPr>
        <w:t xml:space="preserve">元；</w:t>
      </w:r>
      <w:r/>
    </w:p>
    <w:p>
      <w:pPr>
        <w:spacing w:line="40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（4）7</w:t>
      </w:r>
      <w:r>
        <w:rPr>
          <w:rFonts w:hint="eastAsia" w:ascii="宋体" w:hAnsi="宋体" w:cs="宋体"/>
          <w:bCs/>
          <w:color w:val="auto"/>
          <w:szCs w:val="21"/>
          <w:highlight w:val="none"/>
          <w:lang w:val="en-US" w:eastAsia="zh-CN"/>
        </w:rPr>
        <w:t xml:space="preserve">5（</w:t>
      </w:r>
      <w:r>
        <w:rPr>
          <w:rFonts w:hint="eastAsia" w:ascii="宋体" w:hAnsi="宋体" w:eastAsia="宋体" w:cs="宋体"/>
          <w:bCs/>
          <w:color w:val="auto"/>
          <w:szCs w:val="21"/>
          <w:highlight w:val="none"/>
        </w:rPr>
        <w:t xml:space="preserve">含</w:t>
      </w:r>
      <w:r>
        <w:rPr>
          <w:rFonts w:hint="eastAsia" w:ascii="宋体" w:hAnsi="宋体" w:eastAsia="宋体" w:cs="宋体"/>
          <w:bCs/>
          <w:color w:val="auto"/>
          <w:szCs w:val="21"/>
          <w:highlight w:val="none"/>
          <w:lang w:eastAsia="zh-CN"/>
        </w:rPr>
        <w:t xml:space="preserve">）</w:t>
      </w:r>
      <w:r>
        <w:rPr>
          <w:rFonts w:hint="eastAsia" w:ascii="宋体" w:hAnsi="宋体" w:eastAsia="宋体" w:cs="宋体"/>
          <w:bCs/>
          <w:color w:val="auto"/>
          <w:szCs w:val="21"/>
          <w:highlight w:val="none"/>
        </w:rPr>
        <w:t xml:space="preserve">-80分</w:t>
      </w:r>
      <w:r>
        <w:rPr>
          <w:rFonts w:hint="eastAsia" w:ascii="宋体" w:hAnsi="宋体" w:eastAsia="宋体" w:cs="宋体"/>
          <w:bCs/>
          <w:color w:val="auto"/>
          <w:szCs w:val="21"/>
          <w:highlight w:val="none"/>
        </w:rPr>
        <w:tab/>
      </w:r>
      <w:r>
        <w:rPr>
          <w:rFonts w:hint="eastAsia" w:ascii="宋体" w:hAnsi="宋体" w:eastAsia="宋体" w:cs="宋体"/>
          <w:bCs/>
          <w:color w:val="auto"/>
          <w:szCs w:val="21"/>
          <w:highlight w:val="none"/>
        </w:rPr>
        <w:t xml:space="preserve">         乙方承担违约金，每分</w:t>
      </w:r>
      <w:r>
        <w:rPr>
          <w:rFonts w:hint="eastAsia" w:ascii="宋体" w:hAnsi="宋体" w:cs="宋体"/>
          <w:bCs/>
          <w:color w:val="auto"/>
          <w:szCs w:val="21"/>
          <w:highlight w:val="none"/>
          <w:lang w:val="en-US" w:eastAsia="zh-CN"/>
        </w:rPr>
        <w:t xml:space="preserve">50000</w:t>
      </w:r>
      <w:r>
        <w:rPr>
          <w:rFonts w:hint="eastAsia" w:ascii="宋体" w:hAnsi="宋体" w:eastAsia="宋体" w:cs="宋体"/>
          <w:bCs/>
          <w:color w:val="auto"/>
          <w:szCs w:val="21"/>
          <w:highlight w:val="none"/>
        </w:rPr>
        <w:t xml:space="preserve">元；</w:t>
      </w:r>
      <w:r/>
    </w:p>
    <w:p>
      <w:pPr>
        <w:spacing w:line="400" w:lineRule="exact"/>
        <w:rPr>
          <w:rFonts w:hint="eastAsia" w:ascii="宋体" w:hAnsi="宋体" w:eastAsia="宋体" w:cs="宋体"/>
          <w:bCs/>
          <w:color w:val="auto"/>
          <w:szCs w:val="21"/>
          <w:highlight w:val="none"/>
        </w:rPr>
      </w:pP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lang w:val="en-US" w:eastAsia="zh-CN"/>
        </w:rPr>
        <w:t xml:space="preserve">5</w:t>
      </w:r>
      <w:r>
        <w:rPr>
          <w:rFonts w:hint="eastAsia" w:ascii="宋体" w:hAnsi="宋体" w:cs="宋体"/>
          <w:bCs/>
          <w:color w:val="auto"/>
          <w:szCs w:val="21"/>
          <w:highlight w:val="none"/>
          <w:lang w:eastAsia="zh-CN"/>
        </w:rPr>
        <w:t xml:space="preserve">）</w:t>
      </w:r>
      <w:r>
        <w:rPr>
          <w:rFonts w:hint="eastAsia" w:ascii="宋体" w:hAnsi="宋体" w:eastAsia="宋体" w:cs="宋体"/>
          <w:bCs/>
          <w:color w:val="auto"/>
          <w:szCs w:val="21"/>
          <w:highlight w:val="none"/>
        </w:rPr>
        <w:t xml:space="preserve">7</w:t>
      </w:r>
      <w:r>
        <w:rPr>
          <w:rFonts w:hint="eastAsia" w:ascii="宋体" w:hAnsi="宋体" w:cs="宋体"/>
          <w:bCs/>
          <w:color w:val="auto"/>
          <w:szCs w:val="21"/>
          <w:highlight w:val="none"/>
          <w:lang w:val="en-US" w:eastAsia="zh-CN"/>
        </w:rPr>
        <w:t xml:space="preserve">5</w:t>
      </w:r>
      <w:r>
        <w:rPr>
          <w:rFonts w:hint="eastAsia" w:ascii="宋体" w:hAnsi="宋体" w:eastAsia="宋体" w:cs="宋体"/>
          <w:bCs/>
          <w:color w:val="auto"/>
          <w:szCs w:val="21"/>
          <w:highlight w:val="none"/>
        </w:rPr>
        <w:t xml:space="preserve">分以下</w:t>
      </w:r>
      <w:r>
        <w:rPr>
          <w:rFonts w:hint="eastAsia" w:ascii="宋体" w:hAnsi="宋体" w:eastAsia="宋体" w:cs="宋体"/>
          <w:bCs/>
          <w:color w:val="auto"/>
          <w:szCs w:val="21"/>
          <w:highlight w:val="none"/>
        </w:rPr>
        <w:tab/>
      </w:r>
      <w:r>
        <w:rPr>
          <w:rFonts w:hint="eastAsia" w:ascii="宋体" w:hAnsi="宋体" w:eastAsia="宋体" w:cs="宋体"/>
          <w:bCs/>
          <w:color w:val="auto"/>
          <w:szCs w:val="21"/>
          <w:highlight w:val="none"/>
        </w:rPr>
        <w:t xml:space="preserve">             乙方承担违约金，</w:t>
      </w:r>
      <w:r>
        <w:rPr>
          <w:rFonts w:hint="eastAsia" w:ascii="宋体" w:hAnsi="宋体" w:eastAsia="宋体" w:cs="宋体"/>
          <w:bCs/>
          <w:color w:val="auto"/>
          <w:szCs w:val="21"/>
          <w:highlight w:val="none"/>
          <w:lang w:eastAsia="zh-CN"/>
        </w:rPr>
        <w:t xml:space="preserve">终止</w:t>
      </w:r>
      <w:r>
        <w:rPr>
          <w:rFonts w:hint="eastAsia" w:ascii="宋体" w:hAnsi="宋体" w:eastAsia="宋体" w:cs="宋体"/>
          <w:bCs/>
          <w:color w:val="auto"/>
          <w:szCs w:val="21"/>
          <w:highlight w:val="none"/>
        </w:rPr>
        <w:t xml:space="preserve">合同。</w:t>
      </w:r>
      <w:r/>
    </w:p>
    <w:p>
      <w:pPr>
        <w:spacing w:line="40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 日常月度考核</w:t>
      </w:r>
      <w:r/>
    </w:p>
    <w:p>
      <w:pPr>
        <w:spacing w:line="400" w:lineRule="exact"/>
        <w:rPr>
          <w:rFonts w:hint="eastAsia" w:ascii="宋体" w:hAnsi="宋体" w:cs="宋体"/>
          <w:bCs/>
          <w:color w:val="auto"/>
          <w:szCs w:val="21"/>
          <w:highlight w:val="none"/>
          <w:lang w:eastAsia="zh-CN"/>
        </w:rPr>
      </w:pPr>
      <w:r>
        <w:rPr>
          <w:rFonts w:hint="eastAsia" w:ascii="宋体" w:hAnsi="宋体" w:eastAsia="宋体" w:cs="宋体"/>
          <w:bCs/>
          <w:color w:val="auto"/>
          <w:szCs w:val="21"/>
          <w:highlight w:val="none"/>
        </w:rPr>
        <w:t xml:space="preserve">（1）</w:t>
      </w:r>
      <w:r>
        <w:rPr>
          <w:rFonts w:hint="eastAsia" w:ascii="宋体" w:hAnsi="宋体" w:cs="宋体"/>
          <w:bCs/>
          <w:color w:val="auto"/>
          <w:szCs w:val="21"/>
          <w:highlight w:val="none"/>
          <w:lang w:eastAsia="zh-CN"/>
        </w:rPr>
        <w:t xml:space="preserve">月考得分在</w:t>
      </w:r>
      <w:r>
        <w:rPr>
          <w:rFonts w:hint="eastAsia" w:ascii="宋体" w:hAnsi="宋体" w:cs="宋体"/>
          <w:bCs/>
          <w:color w:val="auto"/>
          <w:szCs w:val="21"/>
          <w:highlight w:val="none"/>
          <w:lang w:val="en-US" w:eastAsia="zh-CN"/>
        </w:rPr>
        <w:t xml:space="preserve">90分以上（包括90分），则全额支付该月度养护经费，</w:t>
      </w:r>
      <w:r>
        <w:rPr>
          <w:rFonts w:hint="eastAsia" w:ascii="宋体" w:hAnsi="宋体" w:eastAsia="宋体" w:cs="宋体"/>
          <w:bCs/>
          <w:color w:val="auto"/>
          <w:szCs w:val="21"/>
          <w:highlight w:val="none"/>
        </w:rPr>
        <w:t xml:space="preserve">考核分低于8</w:t>
      </w:r>
      <w:r>
        <w:rPr>
          <w:rFonts w:hint="eastAsia" w:ascii="宋体" w:hAnsi="宋体" w:cs="宋体"/>
          <w:bCs/>
          <w:color w:val="auto"/>
          <w:szCs w:val="21"/>
          <w:highlight w:val="none"/>
          <w:lang w:val="en-US" w:eastAsia="zh-CN"/>
        </w:rPr>
        <w:t xml:space="preserve">5-90</w:t>
      </w:r>
      <w:r>
        <w:rPr>
          <w:rFonts w:hint="eastAsia" w:ascii="宋体" w:hAnsi="宋体" w:eastAsia="宋体" w:cs="宋体"/>
          <w:bCs/>
          <w:color w:val="auto"/>
          <w:szCs w:val="21"/>
          <w:highlight w:val="none"/>
        </w:rPr>
        <w:t xml:space="preserve">分</w:t>
      </w:r>
      <w:r>
        <w:rPr>
          <w:rFonts w:hint="eastAsia" w:ascii="宋体" w:hAnsi="宋体" w:cs="宋体"/>
          <w:bCs/>
          <w:color w:val="auto"/>
          <w:szCs w:val="21"/>
          <w:highlight w:val="none"/>
          <w:lang w:eastAsia="zh-CN"/>
        </w:rPr>
        <w:t xml:space="preserve">（包括</w:t>
      </w:r>
      <w:r>
        <w:rPr>
          <w:rFonts w:hint="eastAsia" w:ascii="宋体" w:hAnsi="宋体" w:cs="宋体"/>
          <w:bCs/>
          <w:color w:val="auto"/>
          <w:szCs w:val="21"/>
          <w:highlight w:val="none"/>
          <w:lang w:val="en-US" w:eastAsia="zh-CN"/>
        </w:rPr>
        <w:t xml:space="preserve">85分</w:t>
      </w:r>
      <w:r>
        <w:rPr>
          <w:rFonts w:hint="eastAsia" w:ascii="宋体" w:hAnsi="宋体" w:cs="宋体"/>
          <w:bCs/>
          <w:color w:val="auto"/>
          <w:szCs w:val="21"/>
          <w:highlight w:val="none"/>
          <w:lang w:eastAsia="zh-CN"/>
        </w:rPr>
        <w:t xml:space="preserve">）</w:t>
      </w:r>
      <w:r>
        <w:rPr>
          <w:rFonts w:hint="eastAsia" w:ascii="宋体" w:hAnsi="宋体" w:eastAsia="宋体" w:cs="宋体"/>
          <w:bCs/>
          <w:color w:val="auto"/>
          <w:szCs w:val="21"/>
          <w:highlight w:val="none"/>
        </w:rPr>
        <w:t xml:space="preserve">的则扣除当月养护经费的</w:t>
      </w:r>
      <w:r>
        <w:rPr>
          <w:rFonts w:hint="eastAsia" w:ascii="宋体" w:hAnsi="宋体" w:cs="宋体"/>
          <w:bCs/>
          <w:color w:val="auto"/>
          <w:szCs w:val="21"/>
          <w:highlight w:val="none"/>
          <w:lang w:val="en-US" w:eastAsia="zh-CN"/>
        </w:rPr>
        <w:t xml:space="preserve">1</w:t>
      </w:r>
      <w:r>
        <w:rPr>
          <w:rFonts w:hint="eastAsia" w:ascii="宋体" w:hAnsi="宋体" w:eastAsia="宋体" w:cs="宋体"/>
          <w:bCs/>
          <w:color w:val="auto"/>
          <w:szCs w:val="21"/>
          <w:highlight w:val="none"/>
        </w:rPr>
        <w:t xml:space="preserve">0%</w:t>
      </w:r>
      <w:r>
        <w:rPr>
          <w:rFonts w:hint="eastAsia" w:ascii="宋体" w:hAnsi="宋体" w:cs="宋体"/>
          <w:bCs/>
          <w:color w:val="auto"/>
          <w:szCs w:val="21"/>
          <w:highlight w:val="none"/>
          <w:lang w:eastAsia="zh-CN"/>
        </w:rPr>
        <w:t xml:space="preserve">，</w:t>
      </w:r>
      <w:r>
        <w:rPr>
          <w:rFonts w:hint="eastAsia" w:ascii="宋体" w:hAnsi="宋体" w:eastAsia="宋体" w:cs="宋体"/>
          <w:bCs/>
          <w:color w:val="auto"/>
          <w:szCs w:val="21"/>
          <w:highlight w:val="none"/>
        </w:rPr>
        <w:t xml:space="preserve">考核分低于80分的则扣除当月养护经费的20%，或暂缓支付养护经费，待整改到位后支付。同时甲方有权无条件单方面终止该合同</w:t>
      </w:r>
      <w:r>
        <w:rPr>
          <w:rFonts w:hint="eastAsia" w:ascii="宋体" w:hAnsi="宋体" w:cs="宋体"/>
          <w:bCs/>
          <w:color w:val="auto"/>
          <w:szCs w:val="21"/>
          <w:highlight w:val="none"/>
          <w:lang w:eastAsia="zh-CN"/>
        </w:rPr>
        <w:t xml:space="preserve">。</w:t>
      </w:r>
      <w:r/>
    </w:p>
    <w:p>
      <w:pPr>
        <w:rPr>
          <w:rFonts w:hint="eastAsia" w:ascii="宋体" w:hAnsi="宋体" w:eastAsia="宋体" w:cs="宋体"/>
          <w:bCs/>
          <w:color w:val="auto"/>
          <w:szCs w:val="21"/>
          <w:highlight w:val="none"/>
        </w:rPr>
      </w:pP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lang w:val="en-US" w:eastAsia="zh-CN"/>
        </w:rPr>
        <w:t xml:space="preserve">2</w:t>
      </w:r>
      <w:r>
        <w:rPr>
          <w:rFonts w:hint="eastAsia" w:ascii="宋体" w:hAnsi="宋体" w:cs="宋体"/>
          <w:bCs/>
          <w:color w:val="auto"/>
          <w:szCs w:val="21"/>
          <w:highlight w:val="none"/>
          <w:lang w:eastAsia="zh-CN"/>
        </w:rPr>
        <w:t xml:space="preserve">）</w:t>
      </w:r>
      <w:r>
        <w:rPr>
          <w:rFonts w:hint="eastAsia" w:ascii="宋体" w:hAnsi="宋体" w:eastAsia="宋体" w:cs="宋体"/>
          <w:bCs/>
          <w:color w:val="auto"/>
          <w:szCs w:val="21"/>
          <w:highlight w:val="none"/>
        </w:rPr>
        <w:t xml:space="preserve">连续2个月得分低于75分的，</w:t>
      </w:r>
      <w:r>
        <w:rPr>
          <w:rFonts w:hint="eastAsia" w:ascii="宋体" w:hAnsi="宋体" w:cs="宋体"/>
          <w:bCs/>
          <w:color w:val="auto"/>
          <w:szCs w:val="21"/>
          <w:highlight w:val="none"/>
          <w:lang w:val="en-US" w:eastAsia="zh-CN"/>
        </w:rPr>
        <w:t xml:space="preserve">甲方</w:t>
      </w:r>
      <w:r>
        <w:rPr>
          <w:rFonts w:hint="eastAsia" w:ascii="宋体" w:hAnsi="宋体" w:eastAsia="宋体" w:cs="宋体"/>
          <w:bCs/>
          <w:color w:val="auto"/>
          <w:szCs w:val="21"/>
          <w:highlight w:val="none"/>
        </w:rPr>
        <w:t xml:space="preserve">可解除合同。</w:t>
      </w:r>
      <w:r/>
    </w:p>
    <w:p>
      <w:pPr>
        <w:rPr>
          <w:rFonts w:hint="eastAsia" w:ascii="宋体" w:hAnsi="宋体" w:cs="宋体"/>
          <w:bCs/>
          <w:color w:val="auto"/>
          <w:szCs w:val="21"/>
          <w:highlight w:val="none"/>
          <w:lang w:val="en-US" w:eastAsia="zh-CN"/>
        </w:rPr>
      </w:pPr>
      <w:r>
        <w:rPr>
          <w:rFonts w:hint="eastAsia" w:ascii="宋体" w:hAnsi="宋体" w:cs="宋体"/>
          <w:bCs/>
          <w:color w:val="auto"/>
          <w:szCs w:val="21"/>
          <w:highlight w:val="none"/>
          <w:lang w:val="en-US" w:eastAsia="zh-CN"/>
        </w:rPr>
      </w:r>
      <w:r/>
    </w:p>
    <w:p>
      <w:pPr>
        <w:rPr>
          <w:rFonts w:hint="eastAsia" w:ascii="宋体" w:hAnsi="宋体" w:eastAsia="宋体" w:cs="宋体"/>
          <w:bCs/>
          <w:color w:val="auto"/>
          <w:szCs w:val="21"/>
          <w:highlight w:val="none"/>
          <w:lang w:val="en-US" w:eastAsia="zh-CN"/>
        </w:rPr>
      </w:pPr>
      <w:r>
        <w:rPr>
          <w:rFonts w:hint="eastAsia" w:ascii="宋体" w:hAnsi="宋体" w:cs="宋体"/>
          <w:bCs/>
          <w:color w:val="auto"/>
          <w:szCs w:val="21"/>
          <w:highlight w:val="none"/>
          <w:lang w:val="en-US" w:eastAsia="zh-CN"/>
        </w:rPr>
        <w:t xml:space="preserve">注：年度考核、月度考核90分以上全额支付，不存在罚款。分数低于90分按分值罚款，指的是低于90部分的罚款。</w:t>
      </w:r>
      <w:r/>
    </w:p>
    <w:p>
      <w:pPr>
        <w:rPr>
          <w:rFonts w:hint="eastAsia" w:ascii="黑体" w:eastAsia="黑体"/>
          <w:b/>
          <w:color w:val="auto"/>
          <w:sz w:val="28"/>
          <w:szCs w:val="28"/>
          <w:highlight w:val="none"/>
        </w:rPr>
      </w:pPr>
      <w:r>
        <w:rPr>
          <w:rFonts w:hint="eastAsia" w:ascii="黑体" w:eastAsia="黑体"/>
          <w:b/>
          <w:color w:val="auto"/>
          <w:sz w:val="28"/>
          <w:szCs w:val="28"/>
          <w:highlight w:val="none"/>
        </w:rPr>
        <w:br w:type="page" w:clear="all"/>
      </w:r>
      <w:r/>
    </w:p>
    <w:p>
      <w:pPr>
        <w:ind w:firstLine="560"/>
        <w:jc w:val="center"/>
        <w:spacing w:line="360" w:lineRule="auto"/>
        <w:rPr>
          <w:rFonts w:hint="eastAsia" w:ascii="黑体" w:hAnsi="宋体" w:eastAsia="黑体"/>
          <w:b/>
          <w:color w:val="auto"/>
          <w:sz w:val="28"/>
          <w:szCs w:val="28"/>
          <w:highlight w:val="none"/>
        </w:rPr>
        <w:outlineLvl w:val="0"/>
      </w:pPr>
      <w:r>
        <w:rPr>
          <w:rFonts w:hint="eastAsia" w:ascii="黑体" w:eastAsia="黑体"/>
          <w:b/>
          <w:color w:val="auto"/>
          <w:sz w:val="28"/>
          <w:szCs w:val="28"/>
          <w:highlight w:val="none"/>
        </w:rPr>
        <w:t xml:space="preserve">四、</w:t>
      </w:r>
      <w:r>
        <w:rPr>
          <w:rFonts w:hint="eastAsia" w:ascii="黑体" w:hAnsi="宋体" w:eastAsia="黑体"/>
          <w:b/>
          <w:color w:val="auto"/>
          <w:sz w:val="28"/>
          <w:szCs w:val="28"/>
          <w:highlight w:val="none"/>
        </w:rPr>
        <w:t xml:space="preserve">合同书（格式文本）</w:t>
      </w:r>
      <w:r/>
    </w:p>
    <w:p>
      <w:p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采购人：（以下简称甲方）</w:t>
      </w:r>
      <w:r/>
    </w:p>
    <w:p>
      <w:p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供应商：（以下简称乙方）</w:t>
      </w:r>
      <w:r/>
    </w:p>
    <w:p>
      <w:p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依照《中华人民共和国政府采购法》《中华人民共和国民法典》及其他有关法律、行政法规，遵循平等、自愿、公平和诚实信用的原则，双方就本项目维护事项协商一致，订立本合同。</w:t>
      </w:r>
      <w:r/>
    </w:p>
    <w:p>
      <w:pPr>
        <w:ind w:firstLine="482"/>
        <w:spacing w:line="360" w:lineRule="auto"/>
        <w:rPr>
          <w:rFonts w:hint="eastAsia" w:ascii="宋体" w:hAnsi="宋体"/>
          <w:b/>
          <w:bCs/>
          <w:color w:val="auto"/>
          <w:sz w:val="24"/>
          <w:highlight w:val="none"/>
        </w:rPr>
      </w:pPr>
      <w:r>
        <w:rPr>
          <w:rFonts w:hint="eastAsia" w:ascii="宋体" w:hAnsi="宋体"/>
          <w:b/>
          <w:bCs/>
          <w:color w:val="auto"/>
          <w:sz w:val="24"/>
          <w:highlight w:val="none"/>
        </w:rPr>
        <w:t xml:space="preserve">一、合同内容：</w:t>
      </w:r>
      <w:r/>
    </w:p>
    <w:p>
      <w:pPr>
        <w:ind w:firstLine="480"/>
        <w:spacing w:line="360" w:lineRule="auto"/>
        <w:rPr>
          <w:rFonts w:hint="eastAsia" w:ascii="宋体" w:hAnsi="宋体"/>
          <w:color w:val="auto"/>
          <w:sz w:val="24"/>
          <w:highlight w:val="none"/>
          <w:u w:val="single"/>
        </w:rPr>
      </w:pPr>
      <w:r>
        <w:rPr>
          <w:rFonts w:hint="eastAsia" w:ascii="宋体" w:hAnsi="宋体"/>
          <w:color w:val="auto"/>
          <w:sz w:val="24"/>
          <w:highlight w:val="none"/>
        </w:rPr>
        <w:t xml:space="preserve">1、项目名称：</w:t>
      </w:r>
      <w:r>
        <w:rPr>
          <w:rFonts w:hint="eastAsia" w:ascii="宋体" w:hAnsi="宋体"/>
          <w:color w:val="auto"/>
          <w:sz w:val="24"/>
          <w:highlight w:val="none"/>
          <w:lang w:eastAsia="zh-CN"/>
        </w:rPr>
        <w:t xml:space="preserve">2026年-2029年硕放街道市政雨污管网养护服务外包项目</w:t>
      </w:r>
      <w:r>
        <w:rPr>
          <w:rFonts w:hint="eastAsia" w:ascii="宋体" w:hAnsi="宋体"/>
          <w:bCs/>
          <w:color w:val="auto"/>
          <w:sz w:val="24"/>
          <w:highlight w:val="none"/>
        </w:rPr>
        <w:t xml:space="preserve">标段（</w:t>
      </w:r>
      <w:r>
        <w:rPr>
          <w:rFonts w:hint="eastAsia" w:ascii="宋体" w:hAnsi="宋体"/>
          <w:bCs/>
          <w:color w:val="auto"/>
          <w:sz w:val="24"/>
          <w:highlight w:val="none"/>
          <w:u w:val="single"/>
          <w:lang w:val="en-US" w:eastAsia="zh-CN"/>
        </w:rPr>
        <w:t xml:space="preserve">  </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2、服务期限：</w:t>
      </w:r>
      <w:r>
        <w:rPr>
          <w:rFonts w:hint="eastAsia" w:ascii="宋体" w:hAnsi="宋体"/>
          <w:color w:val="auto"/>
          <w:sz w:val="24"/>
          <w:highlight w:val="none"/>
          <w:lang w:val="en-US" w:eastAsia="zh-CN"/>
        </w:rPr>
        <w:t xml:space="preserve">三</w:t>
      </w:r>
      <w:r>
        <w:rPr>
          <w:rFonts w:hint="eastAsia" w:ascii="宋体" w:hAnsi="宋体"/>
          <w:color w:val="auto"/>
          <w:sz w:val="24"/>
          <w:highlight w:val="none"/>
        </w:rPr>
        <w:t xml:space="preserve">年（年月日至年月日）</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3、服务内容：</w:t>
      </w:r>
      <w:r>
        <w:rPr>
          <w:rFonts w:hint="eastAsia" w:hAnsi="宋体" w:cs="宋体"/>
          <w:color w:val="auto"/>
          <w:sz w:val="24"/>
          <w:highlight w:val="none"/>
        </w:rPr>
        <w:t xml:space="preserve">对采购范围内的硕放街道雨污水管网进行日常巡查、养护清通、问题排口溯源排查等（包括雨污水管线及雨污水检查井等）；橡胶气囊或砖砌封头封堵雨污水管道封堵；拆除雨污水管道封堵；提升泵站的养护；潜水员掏井建筑垃圾和掏井垃圾；清掏雨水边井、污泥及垃圾外运、窨井人工捞漂浮物和化粪池、隔油池清污及外运，井圈、井盖等附属设施的维修、更换等，不含桥梁排水设施及公铁立交泵站,同时每年提供养护标段内</w:t>
      </w:r>
      <w:r>
        <w:rPr>
          <w:rFonts w:hint="eastAsia" w:hAnsi="宋体" w:cs="宋体"/>
          <w:color w:val="auto"/>
          <w:sz w:val="24"/>
          <w:highlight w:val="none"/>
          <w:lang w:val="en-US" w:eastAsia="zh-CN"/>
        </w:rPr>
        <w:t xml:space="preserve">30</w:t>
      </w:r>
      <w:r>
        <w:rPr>
          <w:rFonts w:hint="eastAsia" w:hAnsi="宋体" w:cs="宋体"/>
          <w:color w:val="auto"/>
          <w:sz w:val="24"/>
          <w:highlight w:val="none"/>
        </w:rPr>
        <w:t xml:space="preserve">%的管线视频检测资料（区排水处抽查）。保证管道、检查井和雨水口内不得留有石块等阻碍排水的杂物；管道内无建筑垃圾。雨污水管网在每年6月份汛期前完成一次养护（含管道疏通、管道冲洗、检查井清掏、垃圾外运处置等）。</w:t>
      </w:r>
      <w:r>
        <w:rPr>
          <w:rFonts w:hint="eastAsia" w:ascii="宋体" w:hAnsi="宋体"/>
          <w:color w:val="auto"/>
          <w:sz w:val="24"/>
          <w:highlight w:val="none"/>
        </w:rPr>
        <w:t xml:space="preserve">具体内</w:t>
      </w:r>
      <w:r>
        <w:rPr>
          <w:rFonts w:hint="eastAsia" w:ascii="宋体" w:hAnsi="宋体"/>
          <w:color w:val="auto"/>
          <w:sz w:val="24"/>
          <w:highlight w:val="none"/>
          <w:lang w:eastAsia="zh-CN"/>
        </w:rPr>
        <w:t xml:space="preserve">容详</w:t>
      </w:r>
      <w:r>
        <w:rPr>
          <w:rFonts w:hint="eastAsia" w:ascii="宋体" w:hAnsi="宋体"/>
          <w:color w:val="auto"/>
          <w:sz w:val="24"/>
          <w:highlight w:val="none"/>
        </w:rPr>
        <w:t xml:space="preserve">见招标文件。</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4、在合同有效期内一方不得擅自变更或终止此项合同，不得转包、分包，如未经双方同意，擅自变更或终止此项的一方要负违约责任。</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5、下列文件为本合同不可分割部分：</w:t>
      </w:r>
      <w:r/>
    </w:p>
    <w:p>
      <w:pPr>
        <w:pStyle w:val="1068"/>
        <w:ind w:firstLine="480"/>
        <w:spacing w:line="360" w:lineRule="auto"/>
        <w:rPr>
          <w:rFonts w:hint="eastAsia" w:cs="宋体"/>
          <w:color w:val="auto"/>
          <w:highlight w:val="none"/>
        </w:rPr>
      </w:pPr>
      <w:r>
        <w:rPr>
          <w:rFonts w:hint="eastAsia" w:cs="宋体"/>
          <w:color w:val="auto"/>
          <w:highlight w:val="none"/>
        </w:rPr>
        <w:t xml:space="preserve">①中标通知书；</w:t>
      </w:r>
      <w:r/>
    </w:p>
    <w:p>
      <w:pPr>
        <w:pStyle w:val="1068"/>
        <w:ind w:firstLine="480"/>
        <w:spacing w:line="360" w:lineRule="auto"/>
        <w:rPr>
          <w:rFonts w:hint="eastAsia" w:cs="宋体"/>
          <w:color w:val="auto"/>
          <w:highlight w:val="none"/>
        </w:rPr>
      </w:pPr>
      <w:r>
        <w:rPr>
          <w:rFonts w:hint="eastAsia" w:cs="宋体"/>
          <w:color w:val="auto"/>
          <w:highlight w:val="none"/>
        </w:rPr>
        <w:t xml:space="preserve">②招标文件； </w:t>
      </w:r>
      <w:r/>
    </w:p>
    <w:p>
      <w:pPr>
        <w:pStyle w:val="1068"/>
        <w:ind w:firstLine="480"/>
        <w:spacing w:line="360" w:lineRule="auto"/>
        <w:rPr>
          <w:rFonts w:hint="eastAsia" w:cs="宋体"/>
          <w:color w:val="auto"/>
          <w:highlight w:val="none"/>
        </w:rPr>
      </w:pPr>
      <w:r>
        <w:rPr>
          <w:rFonts w:hint="eastAsia" w:cs="宋体"/>
          <w:color w:val="auto"/>
          <w:highlight w:val="none"/>
        </w:rPr>
        <w:t xml:space="preserve">③乙方中标的投标文件；</w:t>
      </w:r>
      <w:r/>
    </w:p>
    <w:p>
      <w:pPr>
        <w:pStyle w:val="1068"/>
        <w:ind w:firstLine="480"/>
        <w:spacing w:line="360" w:lineRule="auto"/>
        <w:rPr>
          <w:rFonts w:hint="eastAsia" w:cs="宋体"/>
          <w:color w:val="auto"/>
          <w:highlight w:val="none"/>
        </w:rPr>
      </w:pPr>
      <w:r>
        <w:rPr>
          <w:rFonts w:hint="eastAsia" w:cs="宋体"/>
          <w:color w:val="auto"/>
          <w:highlight w:val="none"/>
        </w:rPr>
        <w:t xml:space="preserve">④乙方在招投标过程中所作的其他承诺、声明、书面澄清等</w:t>
      </w:r>
      <w:r>
        <w:rPr>
          <w:rFonts w:hint="eastAsia"/>
          <w:color w:val="auto"/>
          <w:highlight w:val="none"/>
        </w:rPr>
        <w:t xml:space="preserve">。</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以上与本合同具有同等法律效力。</w:t>
      </w:r>
      <w:r/>
    </w:p>
    <w:p>
      <w:pPr>
        <w:ind w:firstLine="482"/>
        <w:spacing w:line="360" w:lineRule="auto"/>
        <w:rPr>
          <w:rFonts w:hint="eastAsia" w:ascii="宋体" w:hAnsi="宋体"/>
          <w:b/>
          <w:bCs/>
          <w:color w:val="auto"/>
          <w:sz w:val="24"/>
          <w:highlight w:val="none"/>
        </w:rPr>
      </w:pPr>
      <w:r>
        <w:rPr>
          <w:rFonts w:hint="eastAsia" w:ascii="宋体" w:hAnsi="宋体"/>
          <w:b/>
          <w:bCs/>
          <w:color w:val="auto"/>
          <w:sz w:val="24"/>
          <w:highlight w:val="none"/>
        </w:rPr>
        <w:t xml:space="preserve">二、合同价款及付款办法：</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1、合同总价：人民币（大写）</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（小写）¥ </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2、全费用综合单价合同，合同价款包括完成本次服务项目所需的</w:t>
      </w:r>
      <w:r>
        <w:rPr>
          <w:rFonts w:hint="eastAsia" w:ascii="宋体" w:hAnsi="宋体" w:cs="宋体"/>
          <w:color w:val="auto"/>
          <w:sz w:val="24"/>
          <w:highlight w:val="none"/>
        </w:rPr>
        <w:t xml:space="preserve">人工、材料、机械、管理、维护、保险、利润、税金、专业统一服装、胸卡、通信器材、办公设备、巡检器材、政策性文件规定及合同包含的所有风险、责任等各项应有费用。</w:t>
      </w:r>
      <w:r>
        <w:rPr>
          <w:rFonts w:hint="eastAsia" w:ascii="宋体" w:hAnsi="宋体"/>
          <w:color w:val="auto"/>
          <w:sz w:val="24"/>
          <w:highlight w:val="none"/>
        </w:rPr>
        <w:t xml:space="preserve">现场施工所有措施费用包括但不限于：环境保护、文明施工、安全施工、临时设施、夜间施工、二次搬运、围护围挡、临时通行、施工标识标牌、警示警告等非工程实体的费用已综合计取，结算时不调整。</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3、付款方式：</w:t>
      </w:r>
      <w:r>
        <w:rPr>
          <w:rFonts w:hint="eastAsia" w:hAnsi="宋体"/>
          <w:color w:val="auto"/>
          <w:sz w:val="24"/>
          <w:highlight w:val="none"/>
        </w:rPr>
        <w:t xml:space="preserve">①巡查部分根据考核办法每半年支付一次；②其余部分每半年支付一次；每次支付按确认的已完成实际工作量的50%拨款；服务期满项目审计结束后，付至最终审定价的90%；审计结束的第</w:t>
      </w:r>
      <w:r>
        <w:rPr>
          <w:rFonts w:hint="eastAsia" w:hAnsi="宋体"/>
          <w:color w:val="auto"/>
          <w:sz w:val="24"/>
          <w:highlight w:val="none"/>
          <w:lang w:val="en-US" w:eastAsia="zh-CN"/>
        </w:rPr>
        <w:t xml:space="preserve">三</w:t>
      </w:r>
      <w:r>
        <w:rPr>
          <w:rFonts w:hint="eastAsia" w:hAnsi="宋体"/>
          <w:color w:val="auto"/>
          <w:sz w:val="24"/>
          <w:highlight w:val="none"/>
        </w:rPr>
        <w:t xml:space="preserve">年付清余款</w:t>
      </w:r>
      <w:r>
        <w:rPr>
          <w:rFonts w:hint="eastAsia" w:ascii="宋体" w:hAnsi="宋体"/>
          <w:color w:val="auto"/>
          <w:sz w:val="24"/>
          <w:highlight w:val="none"/>
        </w:rPr>
        <w:t xml:space="preserve">。</w:t>
      </w:r>
      <w:r/>
    </w:p>
    <w:p>
      <w:pPr>
        <w:ind w:firstLine="482"/>
        <w:spacing w:line="360" w:lineRule="auto"/>
        <w:rPr>
          <w:rFonts w:hint="eastAsia" w:ascii="宋体" w:hAnsi="宋体"/>
          <w:b/>
          <w:bCs/>
          <w:color w:val="auto"/>
          <w:sz w:val="24"/>
          <w:highlight w:val="none"/>
        </w:rPr>
      </w:pPr>
      <w:r>
        <w:rPr>
          <w:rFonts w:hint="eastAsia" w:ascii="宋体" w:hAnsi="宋体"/>
          <w:b/>
          <w:bCs/>
          <w:color w:val="auto"/>
          <w:sz w:val="24"/>
          <w:highlight w:val="none"/>
        </w:rPr>
        <w:t xml:space="preserve">三、服务要求</w:t>
      </w:r>
      <w:r/>
    </w:p>
    <w:p>
      <w:pPr>
        <w:ind w:firstLine="480"/>
        <w:spacing w:line="440" w:lineRule="exact"/>
        <w:tabs>
          <w:tab w:val="left" w:pos="1050" w:leader="none"/>
        </w:tabs>
        <w:rPr>
          <w:rFonts w:hint="eastAsia" w:ascii="宋体" w:hAnsi="宋体" w:cs="宋体"/>
          <w:color w:val="auto"/>
          <w:sz w:val="24"/>
          <w:highlight w:val="none"/>
        </w:rPr>
      </w:pPr>
      <w:r>
        <w:rPr>
          <w:rFonts w:hint="eastAsia" w:ascii="宋体" w:hAnsi="宋体" w:cs="宋体"/>
          <w:color w:val="auto"/>
          <w:sz w:val="24"/>
          <w:highlight w:val="none"/>
        </w:rPr>
        <w:t xml:space="preserve">（一）养护的质量标准和要求</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1、质量验收标准：</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A.依据《城镇排水管渠与泵站运行、维护及安全技术规程》（CJJ68-2016）、《新吴区公共雨污水管网（设施）养护作业参考标准》执行。</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B.</w:t>
      </w:r>
      <w:r>
        <w:rPr>
          <w:rFonts w:hint="eastAsia" w:ascii="宋体" w:hAnsi="宋体" w:cs="宋体"/>
          <w:color w:val="auto"/>
          <w:sz w:val="24"/>
          <w:highlight w:val="none"/>
          <w:lang w:eastAsia="zh-CN"/>
        </w:rPr>
        <w:t xml:space="preserve">雨污水管网及附属设施、沿河雨水排放口应每日进行巡查</w:t>
      </w:r>
      <w:r>
        <w:rPr>
          <w:rFonts w:hint="eastAsia" w:ascii="宋体" w:hAnsi="宋体" w:cs="宋体"/>
          <w:color w:val="auto"/>
          <w:sz w:val="24"/>
          <w:highlight w:val="none"/>
        </w:rPr>
        <w:t xml:space="preserve">，确保沟管畅通，检查井井框盖完好吻合，井内的积淤符合要求，井圈和井盖开裂、丢失应在6小时之内补装完整，并做好安全保护警示措施，以防发生意外事故。</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C.在对排水设施进行维修时，应按《无锡市建设工程文明施工管理办法》（市人民政府令第120号）和《无锡市建设工程安全生产管理条例》的要求实施，同时交通围护也应符合有关规范和规定的要求。</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2、考核方法和内容：</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A.考核分月度考核、年度考核。考核表参考《养护管理考核表》。</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B.各排水管理机构（</w:t>
      </w:r>
      <w:r>
        <w:rPr>
          <w:rFonts w:hint="eastAsia" w:ascii="宋体" w:hAnsi="宋体" w:cs="宋体"/>
          <w:color w:val="auto"/>
          <w:sz w:val="24"/>
          <w:highlight w:val="none"/>
          <w:lang w:eastAsia="zh-CN"/>
        </w:rPr>
        <w:t xml:space="preserve">硕放</w:t>
      </w:r>
      <w:r>
        <w:rPr>
          <w:rFonts w:hint="eastAsia" w:ascii="宋体" w:hAnsi="宋体" w:cs="宋体"/>
          <w:color w:val="auto"/>
          <w:sz w:val="24"/>
          <w:highlight w:val="none"/>
        </w:rPr>
        <w:t xml:space="preserve">街道）按月考得分向运行维护单位支付运行维护经费。同时甲方有权无条件单方面终止该合同。（注：每月考核经费为计算年度经费/12，如需扣除养护经费，在每个支付期支付时扣除相应的经费）。</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3、</w:t>
      </w:r>
      <w:r>
        <w:rPr>
          <w:rFonts w:hint="eastAsia" w:ascii="宋体" w:hAnsi="宋体" w:cs="宋体"/>
          <w:color w:val="auto"/>
          <w:sz w:val="24"/>
          <w:highlight w:val="none"/>
          <w:lang w:eastAsia="zh-CN"/>
        </w:rPr>
        <w:t xml:space="preserve">乙方</w:t>
      </w:r>
      <w:r>
        <w:rPr>
          <w:rFonts w:hint="eastAsia" w:ascii="宋体" w:hAnsi="宋体" w:cs="宋体"/>
          <w:color w:val="auto"/>
          <w:sz w:val="24"/>
          <w:highlight w:val="none"/>
        </w:rPr>
        <w:t xml:space="preserve">应建立有效的运行维护信息，按养护规范要求频率进行巡查。同时，每年对排水设施运行维护信息进行汇总</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制作运行维护信息年报表。分别于每年12月底前报（</w:t>
      </w:r>
      <w:r>
        <w:rPr>
          <w:rFonts w:hint="eastAsia" w:ascii="宋体" w:hAnsi="宋体" w:cs="宋体"/>
          <w:color w:val="auto"/>
          <w:sz w:val="24"/>
          <w:highlight w:val="none"/>
          <w:lang w:eastAsia="zh-CN"/>
        </w:rPr>
        <w:t xml:space="preserve">硕放</w:t>
      </w:r>
      <w:r>
        <w:rPr>
          <w:rFonts w:hint="eastAsia" w:ascii="宋体" w:hAnsi="宋体" w:cs="宋体"/>
          <w:color w:val="auto"/>
          <w:sz w:val="24"/>
          <w:highlight w:val="none"/>
        </w:rPr>
        <w:t xml:space="preserve">街道建设和生态环境办公室），并做好信息更新工作。巡视不到位、频率不满足要求、资料不齐全、不准确等，按《</w:t>
      </w:r>
      <w:r>
        <w:rPr>
          <w:rFonts w:hint="eastAsia" w:ascii="宋体" w:hAnsi="宋体" w:cs="宋体"/>
          <w:color w:val="auto"/>
          <w:sz w:val="24"/>
          <w:highlight w:val="none"/>
          <w:lang w:val="en-US" w:eastAsia="zh-CN"/>
        </w:rPr>
        <w:t xml:space="preserve">年度</w:t>
      </w:r>
      <w:r>
        <w:rPr>
          <w:rFonts w:hint="eastAsia" w:ascii="宋体" w:hAnsi="宋体" w:cs="宋体"/>
          <w:color w:val="auto"/>
          <w:sz w:val="24"/>
          <w:highlight w:val="none"/>
        </w:rPr>
        <w:t xml:space="preserve">养护管理考核表》处理。</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4、</w:t>
      </w:r>
      <w:r>
        <w:rPr>
          <w:rFonts w:hint="eastAsia" w:ascii="宋体" w:hAnsi="宋体" w:cs="宋体"/>
          <w:color w:val="auto"/>
          <w:sz w:val="24"/>
          <w:highlight w:val="none"/>
          <w:lang w:eastAsia="zh-CN"/>
        </w:rPr>
        <w:t xml:space="preserve">乙方</w:t>
      </w:r>
      <w:r>
        <w:rPr>
          <w:rFonts w:hint="eastAsia" w:ascii="宋体" w:hAnsi="宋体" w:cs="宋体"/>
          <w:color w:val="auto"/>
          <w:sz w:val="24"/>
          <w:highlight w:val="none"/>
        </w:rPr>
        <w:t xml:space="preserve">必须严格按照《城镇排水管渠与泵站运行、维护及安全技术规程》（CJJ68-2016）、《新吴区公共雨污水管网（设施）养护作业参考标准》和市、区有关养护作业标准等的规定。养护技术规范进行作业，针对病害维修要及时、规范，每月按时上报维修工作量、维修质量检查评定情况以及下月维修计划。并将自检评定资料于11月底前上报至甲方备案，甲方进行抽查复检单元设施综合完好率，如不及时缴纳，按《养护管理考核表》处理。</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5、养护质量考核要求：</w:t>
      </w:r>
      <w:r>
        <w:rPr>
          <w:rFonts w:hint="eastAsia" w:ascii="宋体" w:hAnsi="宋体" w:cs="宋体"/>
          <w:color w:val="auto"/>
          <w:sz w:val="24"/>
          <w:highlight w:val="none"/>
          <w:lang w:eastAsia="zh-CN"/>
        </w:rPr>
        <w:t xml:space="preserve">乙方</w:t>
      </w:r>
      <w:r>
        <w:rPr>
          <w:rFonts w:hint="eastAsia" w:ascii="宋体" w:hAnsi="宋体" w:cs="宋体"/>
          <w:color w:val="auto"/>
          <w:sz w:val="24"/>
          <w:highlight w:val="none"/>
        </w:rPr>
        <w:t xml:space="preserve">严格按照执行</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A.依据《城镇排水管渠与泵站运行、维护及安全技术规程》（CJJ68-2016）和《新吴区公共雨污水管网（设施）养护作业参考标准》执行。</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B.</w:t>
      </w:r>
      <w:r>
        <w:rPr>
          <w:rFonts w:hint="eastAsia" w:ascii="宋体" w:hAnsi="宋体" w:cs="宋体"/>
          <w:color w:val="auto"/>
          <w:sz w:val="24"/>
          <w:highlight w:val="none"/>
          <w:lang w:eastAsia="zh-CN"/>
        </w:rPr>
        <w:t xml:space="preserve">雨污水管网及附属设施、沿河雨水排放口应每日进行巡查</w:t>
      </w:r>
      <w:r>
        <w:rPr>
          <w:rFonts w:hint="eastAsia" w:ascii="宋体" w:hAnsi="宋体" w:cs="宋体"/>
          <w:color w:val="auto"/>
          <w:sz w:val="24"/>
          <w:highlight w:val="none"/>
        </w:rPr>
        <w:t xml:space="preserve">，确保沟管畅通，检查井井框盖完好吻合，井内的积淤符合要求，井圈和井盖开裂、丢失应在6小时之内补装完整，并做好安全保护警示措施，以防发生意外事故。</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C.在对排水设施进行维修时，应按《无锡市建设工程文明施工管理办法》（市人民政府令第120号）和《无锡市建设工程安全生产管理条例》的要求实施，同时交通围护也应符合有关规范和规定的要求。</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达到养护质量验收要求的，按时支付养护经费，未达到养护质量验收要求的，重新返工，费用由</w:t>
      </w:r>
      <w:r>
        <w:rPr>
          <w:rFonts w:hint="eastAsia" w:ascii="宋体" w:hAnsi="宋体" w:cs="宋体"/>
          <w:color w:val="auto"/>
          <w:sz w:val="24"/>
          <w:highlight w:val="none"/>
          <w:lang w:eastAsia="zh-CN"/>
        </w:rPr>
        <w:t xml:space="preserve">乙方</w:t>
      </w:r>
      <w:r>
        <w:rPr>
          <w:rFonts w:hint="eastAsia" w:ascii="宋体" w:hAnsi="宋体" w:cs="宋体"/>
          <w:color w:val="auto"/>
          <w:sz w:val="24"/>
          <w:highlight w:val="none"/>
        </w:rPr>
        <w:t xml:space="preserve">承担。</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6、安全责任：养护作业权合同期内，因养护不及时、不合格或不规范及对养护区域内存在安全隐患的设施清理处置不及时等原因所造成人身伤亡及安全等事故，其费用和责任</w:t>
      </w:r>
      <w:r>
        <w:rPr>
          <w:rFonts w:hint="eastAsia" w:ascii="宋体" w:hAnsi="宋体" w:cs="宋体"/>
          <w:color w:val="auto"/>
          <w:sz w:val="24"/>
          <w:highlight w:val="none"/>
          <w:lang w:eastAsia="zh-CN"/>
        </w:rPr>
        <w:t xml:space="preserve">由乙方承担</w:t>
      </w:r>
      <w:r>
        <w:rPr>
          <w:rFonts w:hint="eastAsia" w:ascii="宋体" w:hAnsi="宋体" w:cs="宋体"/>
          <w:color w:val="auto"/>
          <w:sz w:val="24"/>
          <w:highlight w:val="none"/>
        </w:rPr>
        <w:t xml:space="preserve">。</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7、具体考核扣分标准详见《养护管理考核表》。</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（二）管道及其附属设施的检查与养护要求</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1、管道及其附属设施的检查与养护要求：要求</w:t>
      </w:r>
      <w:r>
        <w:rPr>
          <w:rFonts w:hint="eastAsia" w:ascii="宋体" w:hAnsi="宋体" w:cs="宋体"/>
          <w:color w:val="auto"/>
          <w:sz w:val="24"/>
          <w:highlight w:val="none"/>
          <w:lang w:eastAsia="zh-CN"/>
        </w:rPr>
        <w:t xml:space="preserve">乙方</w:t>
      </w:r>
      <w:r>
        <w:rPr>
          <w:rFonts w:hint="eastAsia" w:ascii="宋体" w:hAnsi="宋体" w:cs="宋体"/>
          <w:color w:val="auto"/>
          <w:sz w:val="24"/>
          <w:highlight w:val="none"/>
        </w:rPr>
        <w:t xml:space="preserve">应定期对管道及其附属设施进行检查、维护，确保管道始终保持良好的通水功能和结构状态。巡查内容主要包括管道裂缝、腐蚀、沉降、变形、错口、脱节、破损、孔洞、异管穿入、渗漏、冒溢等情况。</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2、</w:t>
      </w:r>
      <w:r>
        <w:rPr>
          <w:rFonts w:hint="eastAsia" w:ascii="宋体" w:hAnsi="宋体" w:cs="宋体"/>
          <w:color w:val="auto"/>
          <w:sz w:val="24"/>
          <w:highlight w:val="none"/>
          <w:lang w:eastAsia="zh-CN"/>
        </w:rPr>
        <w:t xml:space="preserve">乙方</w:t>
      </w:r>
      <w:r>
        <w:rPr>
          <w:rFonts w:hint="eastAsia" w:ascii="宋体" w:hAnsi="宋体" w:cs="宋体"/>
          <w:color w:val="auto"/>
          <w:sz w:val="24"/>
          <w:highlight w:val="none"/>
        </w:rPr>
        <w:t xml:space="preserve">应在事故发生或接到报障、报修、投诉后2小时内到达现场，组织调查、抢修。重大事故应在12小时内向（</w:t>
      </w:r>
      <w:r>
        <w:rPr>
          <w:rFonts w:hint="eastAsia" w:ascii="宋体" w:hAnsi="宋体" w:cs="宋体"/>
          <w:color w:val="auto"/>
          <w:sz w:val="24"/>
          <w:highlight w:val="none"/>
          <w:lang w:eastAsia="zh-CN"/>
        </w:rPr>
        <w:t xml:space="preserve">硕放</w:t>
      </w:r>
      <w:r>
        <w:rPr>
          <w:rFonts w:hint="eastAsia" w:ascii="宋体" w:hAnsi="宋体" w:cs="宋体"/>
          <w:color w:val="auto"/>
          <w:sz w:val="24"/>
          <w:highlight w:val="none"/>
        </w:rPr>
        <w:t xml:space="preserve">街道建设和生态环境办公室）报告。</w:t>
      </w:r>
      <w:r/>
    </w:p>
    <w:p>
      <w:pPr>
        <w:ind w:firstLine="480"/>
        <w:spacing w:line="440" w:lineRule="exact"/>
        <w:rPr>
          <w:rFonts w:hint="eastAsia" w:hAnsi="宋体"/>
          <w:color w:val="auto"/>
          <w:sz w:val="24"/>
          <w:highlight w:val="none"/>
        </w:rPr>
      </w:pPr>
      <w:r>
        <w:rPr>
          <w:rFonts w:hint="eastAsia" w:ascii="宋体" w:hAnsi="宋体" w:cs="宋体"/>
          <w:color w:val="auto"/>
          <w:sz w:val="24"/>
          <w:highlight w:val="none"/>
        </w:rPr>
        <w:t xml:space="preserve">3、</w:t>
      </w:r>
      <w:r>
        <w:rPr>
          <w:rFonts w:hint="eastAsia" w:hAnsi="宋体"/>
          <w:color w:val="auto"/>
          <w:sz w:val="24"/>
          <w:highlight w:val="none"/>
        </w:rPr>
        <w:t xml:space="preserve">发现检查井掩埋、占压等情况，应在2小时内上报，并在24小时内恢复。如遇特殊情况书面报告。</w:t>
      </w:r>
      <w:r/>
    </w:p>
    <w:p>
      <w:pPr>
        <w:ind w:firstLine="480"/>
        <w:spacing w:line="440" w:lineRule="exact"/>
        <w:rPr>
          <w:rFonts w:hint="eastAsia" w:hAnsi="宋体"/>
          <w:color w:val="auto"/>
          <w:sz w:val="24"/>
          <w:highlight w:val="none"/>
        </w:rPr>
      </w:pPr>
      <w:r>
        <w:rPr>
          <w:rFonts w:hint="eastAsia" w:hAnsi="宋体"/>
          <w:color w:val="auto"/>
          <w:sz w:val="24"/>
          <w:highlight w:val="none"/>
        </w:rPr>
        <w:t xml:space="preserve">4、发现雨污水设施一、二级防护范围内，建造建筑物、打桩、堆放超过地面限载的重物、进行深度超过管顶的开挖施工和井点降水施工等行为，以及进行爆破、钻探、打桩、顶进、挖掘、取土等剧烈破坏行为应进行制止，并及时上报。</w:t>
      </w:r>
      <w:r/>
    </w:p>
    <w:p>
      <w:pPr>
        <w:ind w:firstLine="480"/>
        <w:spacing w:line="440" w:lineRule="exact"/>
        <w:rPr>
          <w:rFonts w:hint="eastAsia" w:hAnsi="宋体"/>
          <w:color w:val="auto"/>
          <w:sz w:val="24"/>
          <w:highlight w:val="none"/>
        </w:rPr>
      </w:pPr>
      <w:r>
        <w:rPr>
          <w:rFonts w:hint="eastAsia" w:hAnsi="宋体"/>
          <w:color w:val="auto"/>
          <w:sz w:val="24"/>
          <w:highlight w:val="none"/>
        </w:rPr>
        <w:t xml:space="preserve">5、加强巡视及时发现擅自向雨水设施排放污水、改变排水性质，或者工程施工造成雨污水设施严重堵塞、损坏、拆卸、移动和穿凿雨污水设施的行为，应在1个工作日内书面上报主管部门。</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6、养护方式可采用机械作业与人工作业相结合，具体应根据管径、管材、施工工艺等不同区别对待。</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7、</w:t>
      </w:r>
      <w:r>
        <w:rPr>
          <w:rFonts w:hint="eastAsia" w:ascii="宋体" w:hAnsi="宋体" w:cs="宋体"/>
          <w:color w:val="auto"/>
          <w:sz w:val="24"/>
          <w:highlight w:val="none"/>
          <w:lang w:eastAsia="zh-CN"/>
        </w:rPr>
        <w:t xml:space="preserve">乙方</w:t>
      </w:r>
      <w:r>
        <w:rPr>
          <w:rFonts w:hint="eastAsia" w:ascii="宋体" w:hAnsi="宋体" w:cs="宋体"/>
          <w:color w:val="auto"/>
          <w:sz w:val="24"/>
          <w:highlight w:val="none"/>
        </w:rPr>
        <w:t xml:space="preserve">应严格按照下表规定对检查井、排放口、管道、倒虹管等进行检查，并建立相应的检查记录以备核查。</w:t>
      </w:r>
      <w:r/>
    </w:p>
    <w:p>
      <w:pPr>
        <w:ind w:firstLine="480"/>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管道及附属设施的检查要求表</w:t>
      </w:r>
      <w:r/>
    </w:p>
    <w:tbl>
      <w:tblPr>
        <w:tblStyle w:val="778"/>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980"/>
        <w:gridCol w:w="1484"/>
        <w:gridCol w:w="6386"/>
      </w:tblGrid>
      <w:tr>
        <w:trPr>
          <w:jc w:val="center"/>
        </w:trPr>
        <w:tc>
          <w:tcPr>
            <w:tcW w:w="1005" w:type="pct"/>
            <w:vAlign w:val="center"/>
            <w:textDirection w:val="lrTb"/>
            <w:noWrap w:val="false"/>
          </w:tcPr>
          <w:p>
            <w:pPr>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设施种类</w:t>
            </w:r>
            <w:r/>
          </w:p>
        </w:tc>
        <w:tc>
          <w:tcPr>
            <w:tcW w:w="753" w:type="pct"/>
            <w:vAlign w:val="center"/>
            <w:textDirection w:val="lrTb"/>
            <w:noWrap w:val="false"/>
          </w:tcPr>
          <w:p>
            <w:pPr>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检查方法</w:t>
            </w:r>
            <w:r/>
          </w:p>
        </w:tc>
        <w:tc>
          <w:tcPr>
            <w:tcW w:w="3241" w:type="pct"/>
            <w:vAlign w:val="center"/>
            <w:textDirection w:val="lrTb"/>
            <w:noWrap w:val="false"/>
          </w:tcPr>
          <w:p>
            <w:pPr>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检查内容</w:t>
            </w:r>
            <w:r/>
          </w:p>
        </w:tc>
      </w:tr>
      <w:tr>
        <w:trPr>
          <w:jc w:val="center"/>
        </w:trPr>
        <w:tc>
          <w:tcPr>
            <w:tcW w:w="1005" w:type="pct"/>
            <w:vAlign w:val="center"/>
            <w:textDirection w:val="lrTb"/>
            <w:noWrap w:val="false"/>
          </w:tcPr>
          <w:p>
            <w:pPr>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检查井</w:t>
            </w:r>
            <w:r/>
          </w:p>
        </w:tc>
        <w:tc>
          <w:tcPr>
            <w:tcW w:w="753" w:type="pct"/>
            <w:vAlign w:val="center"/>
            <w:textDirection w:val="lrTb"/>
            <w:noWrap w:val="false"/>
          </w:tcPr>
          <w:p>
            <w:pPr>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目测</w:t>
            </w:r>
            <w:r/>
          </w:p>
        </w:tc>
        <w:tc>
          <w:tcPr>
            <w:tcW w:w="3241" w:type="pct"/>
            <w:vAlign w:val="center"/>
            <w:textDirection w:val="lrTb"/>
            <w:noWrap w:val="false"/>
          </w:tcPr>
          <w:p>
            <w:pPr>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违章占压、违章接管、井盖井座、梯蹬、井壁结垢、井底积泥、井身结构等</w:t>
            </w:r>
            <w:r/>
          </w:p>
        </w:tc>
      </w:tr>
      <w:tr>
        <w:trPr>
          <w:jc w:val="center"/>
        </w:trPr>
        <w:tc>
          <w:tcPr>
            <w:tcW w:w="1005" w:type="pct"/>
            <w:vAlign w:val="center"/>
            <w:vMerge w:val="restart"/>
            <w:textDirection w:val="lrTb"/>
            <w:noWrap w:val="false"/>
          </w:tcPr>
          <w:p>
            <w:pPr>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管道</w:t>
            </w:r>
            <w:r/>
          </w:p>
        </w:tc>
        <w:tc>
          <w:tcPr>
            <w:tcW w:w="753" w:type="pct"/>
            <w:vAlign w:val="center"/>
            <w:textDirection w:val="lrTb"/>
            <w:noWrap w:val="false"/>
          </w:tcPr>
          <w:p>
            <w:pPr>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目测</w:t>
            </w:r>
            <w:r/>
          </w:p>
        </w:tc>
        <w:tc>
          <w:tcPr>
            <w:tcW w:w="3241" w:type="pct"/>
            <w:vAlign w:val="center"/>
            <w:textDirection w:val="lrTb"/>
            <w:noWrap w:val="false"/>
          </w:tcPr>
          <w:p>
            <w:pPr>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违章占压、地面塌陷、水位、水流、淤积情况等</w:t>
            </w:r>
            <w:r/>
          </w:p>
        </w:tc>
      </w:tr>
      <w:tr>
        <w:trPr>
          <w:jc w:val="center"/>
          <w:trHeight w:val="672"/>
        </w:trPr>
        <w:tc>
          <w:tcPr>
            <w:tcW w:w="1005" w:type="pct"/>
            <w:vAlign w:val="center"/>
            <w:vMerge w:val="continue"/>
            <w:textDirection w:val="lrTb"/>
            <w:noWrap w:val="false"/>
          </w:tcPr>
          <w:p>
            <w:pPr>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753" w:type="pct"/>
            <w:vAlign w:val="center"/>
            <w:textDirection w:val="lrTb"/>
            <w:noWrap w:val="false"/>
          </w:tcPr>
          <w:p>
            <w:pPr>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管道反光镜或电视检测</w:t>
            </w:r>
            <w:r/>
          </w:p>
        </w:tc>
        <w:tc>
          <w:tcPr>
            <w:tcW w:w="3241" w:type="pct"/>
            <w:vAlign w:val="center"/>
            <w:textDirection w:val="lrTb"/>
            <w:noWrap w:val="false"/>
          </w:tcPr>
          <w:p>
            <w:pPr>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变形、腐蚀、渗漏、接口、结垢、错接等</w:t>
            </w:r>
            <w:r/>
          </w:p>
        </w:tc>
      </w:tr>
      <w:tr>
        <w:trPr>
          <w:jc w:val="center"/>
        </w:trPr>
        <w:tc>
          <w:tcPr>
            <w:tcW w:w="1005" w:type="pct"/>
            <w:vAlign w:val="center"/>
            <w:vMerge w:val="restart"/>
            <w:textDirection w:val="lrTb"/>
            <w:noWrap w:val="false"/>
          </w:tcPr>
          <w:p>
            <w:pPr>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倒虹管（一般是满水管，无法检查必须定期清淤）</w:t>
            </w:r>
            <w:r/>
          </w:p>
        </w:tc>
        <w:tc>
          <w:tcPr>
            <w:tcW w:w="753" w:type="pct"/>
            <w:vAlign w:val="center"/>
            <w:textDirection w:val="lrTb"/>
            <w:noWrap w:val="false"/>
          </w:tcPr>
          <w:p>
            <w:pPr>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目测</w:t>
            </w:r>
            <w:r/>
          </w:p>
        </w:tc>
        <w:tc>
          <w:tcPr>
            <w:tcW w:w="3241" w:type="pct"/>
            <w:vAlign w:val="center"/>
            <w:textDirection w:val="lrTb"/>
            <w:noWrap w:val="false"/>
          </w:tcPr>
          <w:p>
            <w:pPr>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标志牌、两端水位差、闸门等</w:t>
            </w:r>
            <w:r/>
          </w:p>
        </w:tc>
      </w:tr>
      <w:tr>
        <w:trPr>
          <w:jc w:val="center"/>
        </w:trPr>
        <w:tc>
          <w:tcPr>
            <w:tcW w:w="1005" w:type="pct"/>
            <w:vAlign w:val="center"/>
            <w:vMerge w:val="continue"/>
            <w:textDirection w:val="lrTb"/>
            <w:noWrap w:val="false"/>
          </w:tcPr>
          <w:p>
            <w:pPr>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753" w:type="pct"/>
            <w:vAlign w:val="center"/>
            <w:textDirection w:val="lrTb"/>
            <w:noWrap w:val="false"/>
          </w:tcPr>
          <w:p>
            <w:pPr>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电视检测</w:t>
            </w:r>
            <w:r/>
          </w:p>
        </w:tc>
        <w:tc>
          <w:tcPr>
            <w:tcW w:w="3241" w:type="pct"/>
            <w:vAlign w:val="center"/>
            <w:textDirection w:val="lrTb"/>
            <w:noWrap w:val="false"/>
          </w:tcPr>
          <w:p>
            <w:pPr>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淤积、腐蚀、接口渗漏、河床冲刷、管顶覆土等</w:t>
            </w:r>
            <w:r/>
          </w:p>
        </w:tc>
      </w:tr>
      <w:tr>
        <w:trPr>
          <w:jc w:val="center"/>
        </w:trPr>
        <w:tc>
          <w:tcPr>
            <w:tcW w:w="1005" w:type="pct"/>
            <w:vAlign w:val="center"/>
            <w:textDirection w:val="lrTb"/>
            <w:noWrap w:val="false"/>
          </w:tcPr>
          <w:p>
            <w:pPr>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三格式化粪池</w:t>
            </w:r>
            <w:r/>
          </w:p>
        </w:tc>
        <w:tc>
          <w:tcPr>
            <w:tcW w:w="753" w:type="pct"/>
            <w:vAlign w:val="center"/>
            <w:textDirection w:val="lrTb"/>
            <w:noWrap w:val="false"/>
          </w:tcPr>
          <w:p>
            <w:pPr>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目测</w:t>
            </w:r>
            <w:r/>
          </w:p>
        </w:tc>
        <w:tc>
          <w:tcPr>
            <w:tcW w:w="3241" w:type="pct"/>
            <w:vAlign w:val="center"/>
            <w:textDirection w:val="lrTb"/>
            <w:noWrap w:val="false"/>
          </w:tcPr>
          <w:p>
            <w:pPr>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违章占压、变形、结垢、渗漏、淤积情况等</w:t>
            </w:r>
            <w:r/>
          </w:p>
        </w:tc>
      </w:tr>
      <w:tr>
        <w:trPr>
          <w:jc w:val="center"/>
        </w:trPr>
        <w:tc>
          <w:tcPr>
            <w:tcW w:w="1005" w:type="pct"/>
            <w:vAlign w:val="center"/>
            <w:textDirection w:val="lrTb"/>
            <w:noWrap w:val="false"/>
          </w:tcPr>
          <w:p>
            <w:pPr>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隔油池和捞毛设施</w:t>
            </w:r>
            <w:r/>
          </w:p>
        </w:tc>
        <w:tc>
          <w:tcPr>
            <w:tcW w:w="753" w:type="pct"/>
            <w:vAlign w:val="center"/>
            <w:textDirection w:val="lrTb"/>
            <w:noWrap w:val="false"/>
          </w:tcPr>
          <w:p>
            <w:pPr>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目测</w:t>
            </w:r>
            <w:r/>
          </w:p>
        </w:tc>
        <w:tc>
          <w:tcPr>
            <w:tcW w:w="3241" w:type="pct"/>
            <w:vAlign w:val="center"/>
            <w:textDirection w:val="lrTb"/>
            <w:noWrap w:val="false"/>
          </w:tcPr>
          <w:p>
            <w:pPr>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违章占压、变形、结垢、淤积情况等</w:t>
            </w:r>
            <w:r/>
          </w:p>
        </w:tc>
      </w:tr>
    </w:tbl>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8、检查井日常巡查检查的内容应符合下表规定</w:t>
      </w:r>
      <w:r/>
    </w:p>
    <w:tbl>
      <w:tblPr>
        <w:tblStyle w:val="778"/>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531"/>
        <w:gridCol w:w="2099"/>
        <w:gridCol w:w="2024"/>
        <w:gridCol w:w="2909"/>
        <w:gridCol w:w="1289"/>
      </w:tblGrid>
      <w:tr>
        <w:trPr>
          <w:jc w:val="center"/>
        </w:trPr>
        <w:tc>
          <w:tcPr>
            <w:tcW w:w="777" w:type="pct"/>
            <w:vAlign w:val="center"/>
            <w:textDirection w:val="lrTb"/>
            <w:noWrap w:val="false"/>
          </w:tcPr>
          <w:p>
            <w:pPr>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部位</w:t>
            </w:r>
            <w:r/>
          </w:p>
        </w:tc>
        <w:tc>
          <w:tcPr>
            <w:gridSpan w:val="2"/>
            <w:tcW w:w="2092" w:type="pct"/>
            <w:vAlign w:val="center"/>
            <w:textDirection w:val="lrTb"/>
            <w:noWrap w:val="false"/>
          </w:tcPr>
          <w:p>
            <w:pPr>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外部巡查</w:t>
            </w:r>
            <w:r/>
          </w:p>
        </w:tc>
        <w:tc>
          <w:tcPr>
            <w:gridSpan w:val="2"/>
            <w:tcW w:w="2130" w:type="pct"/>
            <w:vAlign w:val="center"/>
            <w:textDirection w:val="lrTb"/>
            <w:noWrap w:val="false"/>
          </w:tcPr>
          <w:p>
            <w:pPr>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内部检查</w:t>
            </w:r>
            <w:r/>
          </w:p>
        </w:tc>
      </w:tr>
      <w:tr>
        <w:trPr>
          <w:jc w:val="center"/>
        </w:trPr>
        <w:tc>
          <w:tcPr>
            <w:tcW w:w="777" w:type="pct"/>
            <w:vAlign w:val="center"/>
            <w:vMerge w:val="restart"/>
            <w:textDirection w:val="lrTb"/>
            <w:noWrap w:val="false"/>
          </w:tcPr>
          <w:p>
            <w:pPr>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内容</w:t>
            </w:r>
            <w:r/>
          </w:p>
        </w:tc>
        <w:tc>
          <w:tcPr>
            <w:tcW w:w="1065" w:type="pct"/>
            <w:vAlign w:val="center"/>
            <w:textDirection w:val="lrTb"/>
            <w:noWrap w:val="false"/>
          </w:tcPr>
          <w:p>
            <w:pPr>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井的位置标识</w:t>
            </w:r>
            <w:r/>
          </w:p>
        </w:tc>
        <w:tc>
          <w:tcPr>
            <w:tcW w:w="1027" w:type="pct"/>
            <w:vAlign w:val="center"/>
            <w:textDirection w:val="lrTb"/>
            <w:noWrap w:val="false"/>
          </w:tcPr>
          <w:p>
            <w:pPr>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盖、框高差</w:t>
            </w:r>
            <w:r/>
          </w:p>
        </w:tc>
        <w:tc>
          <w:tcPr>
            <w:tcW w:w="1476" w:type="pct"/>
            <w:vAlign w:val="center"/>
            <w:textDirection w:val="lrTb"/>
            <w:noWrap w:val="false"/>
          </w:tcPr>
          <w:p>
            <w:pPr>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井位标高、井深的标识</w:t>
            </w:r>
            <w:r/>
          </w:p>
        </w:tc>
        <w:tc>
          <w:tcPr>
            <w:tcW w:w="653" w:type="pct"/>
            <w:vAlign w:val="center"/>
            <w:textDirection w:val="lrTb"/>
            <w:noWrap w:val="false"/>
          </w:tcPr>
          <w:p>
            <w:pPr>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管口孔洞</w:t>
            </w:r>
            <w:r/>
          </w:p>
        </w:tc>
      </w:tr>
      <w:tr>
        <w:trPr>
          <w:jc w:val="center"/>
        </w:trPr>
        <w:tc>
          <w:tcPr>
            <w:tcW w:w="777" w:type="pct"/>
            <w:vAlign w:val="center"/>
            <w:vMerge w:val="continue"/>
            <w:textDirection w:val="lrTb"/>
            <w:noWrap w:val="false"/>
          </w:tcPr>
          <w:p>
            <w:pPr>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065" w:type="pct"/>
            <w:vAlign w:val="center"/>
            <w:textDirection w:val="lrTb"/>
            <w:noWrap w:val="false"/>
          </w:tcPr>
          <w:p>
            <w:pPr>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井盖埋没</w:t>
            </w:r>
            <w:r/>
          </w:p>
        </w:tc>
        <w:tc>
          <w:tcPr>
            <w:tcW w:w="1027" w:type="pct"/>
            <w:vAlign w:val="center"/>
            <w:textDirection w:val="lrTb"/>
            <w:noWrap w:val="false"/>
          </w:tcPr>
          <w:p>
            <w:pPr>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盖框突出或凹陷</w:t>
            </w:r>
            <w:r/>
          </w:p>
        </w:tc>
        <w:tc>
          <w:tcPr>
            <w:tcW w:w="1476" w:type="pct"/>
            <w:vAlign w:val="center"/>
            <w:textDirection w:val="lrTb"/>
            <w:noWrap w:val="false"/>
          </w:tcPr>
          <w:p>
            <w:pPr>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爬梯松动、锈蚀或缺损</w:t>
            </w:r>
            <w:r/>
          </w:p>
        </w:tc>
        <w:tc>
          <w:tcPr>
            <w:tcW w:w="653" w:type="pct"/>
            <w:vAlign w:val="center"/>
            <w:textDirection w:val="lrTb"/>
            <w:noWrap w:val="false"/>
          </w:tcPr>
          <w:p>
            <w:pPr>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流槽破损</w:t>
            </w:r>
            <w:r/>
          </w:p>
        </w:tc>
      </w:tr>
      <w:tr>
        <w:trPr>
          <w:jc w:val="center"/>
        </w:trPr>
        <w:tc>
          <w:tcPr>
            <w:tcW w:w="777" w:type="pct"/>
            <w:vAlign w:val="center"/>
            <w:vMerge w:val="continue"/>
            <w:textDirection w:val="lrTb"/>
            <w:noWrap w:val="false"/>
          </w:tcPr>
          <w:p>
            <w:pPr>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065" w:type="pct"/>
            <w:vAlign w:val="center"/>
            <w:textDirection w:val="lrTb"/>
            <w:noWrap w:val="false"/>
          </w:tcPr>
          <w:p>
            <w:pPr>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井盖丢失</w:t>
            </w:r>
            <w:r/>
          </w:p>
        </w:tc>
        <w:tc>
          <w:tcPr>
            <w:tcW w:w="1027" w:type="pct"/>
            <w:vAlign w:val="center"/>
            <w:textDirection w:val="lrTb"/>
            <w:noWrap w:val="false"/>
          </w:tcPr>
          <w:p>
            <w:pPr>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跳动和声响</w:t>
            </w:r>
            <w:r/>
          </w:p>
        </w:tc>
        <w:tc>
          <w:tcPr>
            <w:tcW w:w="1476" w:type="pct"/>
            <w:vAlign w:val="center"/>
            <w:textDirection w:val="lrTb"/>
            <w:noWrap w:val="false"/>
          </w:tcPr>
          <w:p>
            <w:pPr>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井壁泥垢</w:t>
            </w:r>
            <w:r/>
          </w:p>
        </w:tc>
        <w:tc>
          <w:tcPr>
            <w:tcW w:w="653" w:type="pct"/>
            <w:vAlign w:val="center"/>
            <w:textDirection w:val="lrTb"/>
            <w:noWrap w:val="false"/>
          </w:tcPr>
          <w:p>
            <w:pPr>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井底积泥</w:t>
            </w:r>
            <w:r/>
          </w:p>
        </w:tc>
      </w:tr>
      <w:tr>
        <w:trPr>
          <w:jc w:val="center"/>
        </w:trPr>
        <w:tc>
          <w:tcPr>
            <w:tcW w:w="777" w:type="pct"/>
            <w:vAlign w:val="center"/>
            <w:vMerge w:val="continue"/>
            <w:textDirection w:val="lrTb"/>
            <w:noWrap w:val="false"/>
          </w:tcPr>
          <w:p>
            <w:pPr>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065" w:type="pct"/>
            <w:vAlign w:val="center"/>
            <w:textDirection w:val="lrTb"/>
            <w:noWrap w:val="false"/>
          </w:tcPr>
          <w:p>
            <w:pPr>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井盖破损</w:t>
            </w:r>
            <w:r/>
          </w:p>
        </w:tc>
        <w:tc>
          <w:tcPr>
            <w:tcW w:w="1027" w:type="pct"/>
            <w:vAlign w:val="center"/>
            <w:textDirection w:val="lrTb"/>
            <w:noWrap w:val="false"/>
          </w:tcPr>
          <w:p>
            <w:pPr>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周边路面破损</w:t>
            </w:r>
            <w:r/>
          </w:p>
        </w:tc>
        <w:tc>
          <w:tcPr>
            <w:tcW w:w="1476" w:type="pct"/>
            <w:vAlign w:val="center"/>
            <w:textDirection w:val="lrTb"/>
            <w:noWrap w:val="false"/>
          </w:tcPr>
          <w:p>
            <w:pPr>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井壁裂缝</w:t>
            </w:r>
            <w:r/>
          </w:p>
        </w:tc>
        <w:tc>
          <w:tcPr>
            <w:tcW w:w="653" w:type="pct"/>
            <w:vAlign w:val="center"/>
            <w:textDirection w:val="lrTb"/>
            <w:noWrap w:val="false"/>
          </w:tcPr>
          <w:p>
            <w:pPr>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水流不畅</w:t>
            </w:r>
            <w:r/>
          </w:p>
        </w:tc>
      </w:tr>
      <w:tr>
        <w:trPr>
          <w:jc w:val="center"/>
        </w:trPr>
        <w:tc>
          <w:tcPr>
            <w:tcW w:w="777" w:type="pct"/>
            <w:vAlign w:val="center"/>
            <w:vMerge w:val="continue"/>
            <w:textDirection w:val="lrTb"/>
            <w:noWrap w:val="false"/>
          </w:tcPr>
          <w:p>
            <w:pPr>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065" w:type="pct"/>
            <w:vAlign w:val="center"/>
            <w:textDirection w:val="lrTb"/>
            <w:noWrap w:val="false"/>
          </w:tcPr>
          <w:p>
            <w:pPr>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井框破损</w:t>
            </w:r>
            <w:r/>
          </w:p>
        </w:tc>
        <w:tc>
          <w:tcPr>
            <w:tcW w:w="1027" w:type="pct"/>
            <w:vAlign w:val="center"/>
            <w:textDirection w:val="lrTb"/>
            <w:noWrap w:val="false"/>
          </w:tcPr>
          <w:p>
            <w:pPr>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井盖标识错误</w:t>
            </w:r>
            <w:r/>
          </w:p>
        </w:tc>
        <w:tc>
          <w:tcPr>
            <w:tcW w:w="1476" w:type="pct"/>
            <w:vAlign w:val="center"/>
            <w:textDirection w:val="lrTb"/>
            <w:noWrap w:val="false"/>
          </w:tcPr>
          <w:p>
            <w:pPr>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井壁渗漏</w:t>
            </w:r>
            <w:r/>
          </w:p>
        </w:tc>
        <w:tc>
          <w:tcPr>
            <w:tcW w:w="653" w:type="pct"/>
            <w:vAlign w:val="center"/>
            <w:textDirection w:val="lrTb"/>
            <w:noWrap w:val="false"/>
          </w:tcPr>
          <w:p>
            <w:pPr>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浮渣</w:t>
            </w:r>
            <w:r/>
          </w:p>
        </w:tc>
      </w:tr>
      <w:tr>
        <w:trPr>
          <w:jc w:val="center"/>
        </w:trPr>
        <w:tc>
          <w:tcPr>
            <w:tcW w:w="777" w:type="pct"/>
            <w:vAlign w:val="center"/>
            <w:vMerge w:val="continue"/>
            <w:textDirection w:val="lrTb"/>
            <w:noWrap w:val="false"/>
          </w:tcPr>
          <w:p>
            <w:pPr>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065" w:type="pct"/>
            <w:vAlign w:val="center"/>
            <w:textDirection w:val="lrTb"/>
            <w:noWrap w:val="false"/>
          </w:tcPr>
          <w:p>
            <w:pPr>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盖、框间隙</w:t>
            </w:r>
            <w:r/>
          </w:p>
        </w:tc>
        <w:tc>
          <w:tcPr>
            <w:tcW w:w="1027" w:type="pct"/>
            <w:vAlign w:val="center"/>
            <w:textDirection w:val="lrTb"/>
            <w:noWrap w:val="false"/>
          </w:tcPr>
          <w:p>
            <w:pPr>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476" w:type="pct"/>
            <w:vAlign w:val="center"/>
            <w:textDirection w:val="lrTb"/>
            <w:noWrap w:val="false"/>
          </w:tcPr>
          <w:p>
            <w:pPr>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抹面脱落</w:t>
            </w:r>
            <w:r/>
          </w:p>
        </w:tc>
        <w:tc>
          <w:tcPr>
            <w:tcW w:w="653" w:type="pct"/>
            <w:vAlign w:val="center"/>
            <w:textDirection w:val="lrTb"/>
            <w:noWrap w:val="false"/>
          </w:tcPr>
          <w:p>
            <w:pPr>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r>
    </w:tbl>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9、井盖的选用应符合下表规定</w:t>
      </w:r>
      <w:r/>
    </w:p>
    <w:tbl>
      <w:tblPr>
        <w:tblStyle w:val="778"/>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460"/>
        <w:gridCol w:w="3862"/>
        <w:gridCol w:w="2528"/>
      </w:tblGrid>
      <w:tr>
        <w:trPr>
          <w:jc w:val="center"/>
        </w:trPr>
        <w:tc>
          <w:tcPr>
            <w:tcW w:w="1756" w:type="pct"/>
            <w:vAlign w:val="center"/>
            <w:textDirection w:val="lrTb"/>
            <w:noWrap w:val="false"/>
          </w:tcPr>
          <w:p>
            <w:pPr>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井盖种类</w:t>
            </w:r>
            <w:r/>
          </w:p>
        </w:tc>
        <w:tc>
          <w:tcPr>
            <w:tcW w:w="1960" w:type="pct"/>
            <w:vAlign w:val="center"/>
            <w:textDirection w:val="lrTb"/>
            <w:noWrap w:val="false"/>
          </w:tcPr>
          <w:p>
            <w:pPr>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标准名称</w:t>
            </w:r>
            <w:r/>
          </w:p>
        </w:tc>
        <w:tc>
          <w:tcPr>
            <w:tcW w:w="1283" w:type="pct"/>
            <w:vAlign w:val="center"/>
            <w:textDirection w:val="lrTb"/>
            <w:noWrap w:val="false"/>
          </w:tcPr>
          <w:p>
            <w:pPr>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标准标号</w:t>
            </w:r>
            <w:r/>
          </w:p>
        </w:tc>
      </w:tr>
      <w:tr>
        <w:trPr>
          <w:jc w:val="center"/>
        </w:trPr>
        <w:tc>
          <w:tcPr>
            <w:tcW w:w="1756" w:type="pct"/>
            <w:vAlign w:val="center"/>
            <w:textDirection w:val="lrTb"/>
            <w:noWrap w:val="false"/>
          </w:tcPr>
          <w:p>
            <w:pPr>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铸铁井盖</w:t>
            </w:r>
            <w:r/>
          </w:p>
        </w:tc>
        <w:tc>
          <w:tcPr>
            <w:tcW w:w="1960" w:type="pct"/>
            <w:vAlign w:val="center"/>
            <w:textDirection w:val="lrTb"/>
            <w:noWrap w:val="false"/>
          </w:tcPr>
          <w:p>
            <w:pPr>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CJ/T 511-2017《铸铁检查井盖》</w:t>
            </w:r>
            <w:r/>
          </w:p>
        </w:tc>
        <w:tc>
          <w:tcPr>
            <w:tcW w:w="1283" w:type="pct"/>
            <w:vAlign w:val="center"/>
            <w:textDirection w:val="lrTb"/>
            <w:noWrap w:val="false"/>
          </w:tcPr>
          <w:p>
            <w:pPr>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CJ/T 511-2017</w:t>
            </w:r>
            <w:r/>
          </w:p>
        </w:tc>
      </w:tr>
      <w:tr>
        <w:trPr>
          <w:jc w:val="center"/>
        </w:trPr>
        <w:tc>
          <w:tcPr>
            <w:tcW w:w="1756" w:type="pct"/>
            <w:vAlign w:val="center"/>
            <w:textDirection w:val="lrTb"/>
            <w:noWrap w:val="false"/>
          </w:tcPr>
          <w:p>
            <w:pPr>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混凝土井盖</w:t>
            </w:r>
            <w:r/>
          </w:p>
        </w:tc>
        <w:tc>
          <w:tcPr>
            <w:tcW w:w="1960" w:type="pct"/>
            <w:vAlign w:val="center"/>
            <w:textDirection w:val="lrTb"/>
            <w:noWrap w:val="false"/>
          </w:tcPr>
          <w:p>
            <w:pPr>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《钢纤维混凝土检查井盖》</w:t>
            </w:r>
            <w:r/>
          </w:p>
        </w:tc>
        <w:tc>
          <w:tcPr>
            <w:tcW w:w="1283" w:type="pct"/>
            <w:vAlign w:val="center"/>
            <w:textDirection w:val="lrTb"/>
            <w:noWrap w:val="false"/>
          </w:tcPr>
          <w:p>
            <w:pPr>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JC 889-2001</w:t>
            </w:r>
            <w:r/>
          </w:p>
        </w:tc>
      </w:tr>
      <w:tr>
        <w:trPr>
          <w:jc w:val="center"/>
        </w:trPr>
        <w:tc>
          <w:tcPr>
            <w:tcW w:w="1756" w:type="pct"/>
            <w:vAlign w:val="center"/>
            <w:textDirection w:val="lrTb"/>
            <w:noWrap w:val="false"/>
          </w:tcPr>
          <w:p>
            <w:pPr>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塑料树脂类井盖</w:t>
            </w:r>
            <w:r/>
          </w:p>
        </w:tc>
        <w:tc>
          <w:tcPr>
            <w:tcW w:w="1960" w:type="pct"/>
            <w:vAlign w:val="center"/>
            <w:textDirection w:val="lrTb"/>
            <w:noWrap w:val="false"/>
          </w:tcPr>
          <w:p>
            <w:pPr>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《再生树脂复合材料检查井盖》</w:t>
            </w:r>
            <w:r/>
          </w:p>
        </w:tc>
        <w:tc>
          <w:tcPr>
            <w:tcW w:w="1283" w:type="pct"/>
            <w:vAlign w:val="center"/>
            <w:textDirection w:val="lrTb"/>
            <w:noWrap w:val="false"/>
          </w:tcPr>
          <w:p>
            <w:pPr>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CJ/T 121-2000</w:t>
            </w:r>
            <w:r/>
          </w:p>
        </w:tc>
      </w:tr>
      <w:tr>
        <w:trPr>
          <w:jc w:val="center"/>
        </w:trPr>
        <w:tc>
          <w:tcPr>
            <w:tcW w:w="1756" w:type="pct"/>
            <w:vAlign w:val="center"/>
            <w:textDirection w:val="lrTb"/>
            <w:noWrap w:val="false"/>
          </w:tcPr>
          <w:p>
            <w:pPr>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塑料树脂类井箅</w:t>
            </w:r>
            <w:r/>
          </w:p>
        </w:tc>
        <w:tc>
          <w:tcPr>
            <w:tcW w:w="1960" w:type="pct"/>
            <w:vAlign w:val="center"/>
            <w:textDirection w:val="lrTb"/>
            <w:noWrap w:val="false"/>
          </w:tcPr>
          <w:p>
            <w:pPr>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《再生树脂复合材料检查井箅》</w:t>
            </w:r>
            <w:r/>
          </w:p>
        </w:tc>
        <w:tc>
          <w:tcPr>
            <w:tcW w:w="1283" w:type="pct"/>
            <w:vAlign w:val="center"/>
            <w:textDirection w:val="lrTb"/>
            <w:noWrap w:val="false"/>
          </w:tcPr>
          <w:p>
            <w:pPr>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CJ/T 130-2001</w:t>
            </w:r>
            <w:r/>
          </w:p>
        </w:tc>
      </w:tr>
    </w:tbl>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10、在车辆经过时，井盖不应出现跳动和声响。井盖与井框间允许误差应符合下表规定。</w:t>
      </w:r>
      <w:r/>
    </w:p>
    <w:p>
      <w:pPr>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井盖与井框间允许误差（mm）</w:t>
      </w:r>
      <w:r/>
    </w:p>
    <w:tbl>
      <w:tblPr>
        <w:tblStyle w:val="778"/>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589"/>
        <w:gridCol w:w="2590"/>
        <w:gridCol w:w="2282"/>
        <w:gridCol w:w="2389"/>
      </w:tblGrid>
      <w:tr>
        <w:trPr>
          <w:jc w:val="center"/>
        </w:trPr>
        <w:tc>
          <w:tcPr>
            <w:tcW w:w="1314" w:type="pct"/>
            <w:vAlign w:val="center"/>
            <w:textDirection w:val="lrTb"/>
            <w:noWrap w:val="false"/>
          </w:tcPr>
          <w:p>
            <w:pPr>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设施种类</w:t>
            </w:r>
            <w:r/>
          </w:p>
        </w:tc>
        <w:tc>
          <w:tcPr>
            <w:tcW w:w="1314" w:type="pct"/>
            <w:vAlign w:val="center"/>
            <w:textDirection w:val="lrTb"/>
            <w:noWrap w:val="false"/>
          </w:tcPr>
          <w:p>
            <w:pPr>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盖框间隙</w:t>
            </w:r>
            <w:r/>
          </w:p>
        </w:tc>
        <w:tc>
          <w:tcPr>
            <w:tcW w:w="1158" w:type="pct"/>
            <w:vAlign w:val="center"/>
            <w:textDirection w:val="lrTb"/>
            <w:noWrap w:val="false"/>
          </w:tcPr>
          <w:p>
            <w:pPr>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井盖与井框高低差</w:t>
            </w:r>
            <w:r/>
          </w:p>
        </w:tc>
        <w:tc>
          <w:tcPr>
            <w:tcW w:w="1212" w:type="pct"/>
            <w:vAlign w:val="center"/>
            <w:textDirection w:val="lrTb"/>
            <w:noWrap w:val="false"/>
          </w:tcPr>
          <w:p>
            <w:pPr>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井框与路面高低差</w:t>
            </w:r>
            <w:r/>
          </w:p>
        </w:tc>
      </w:tr>
      <w:tr>
        <w:trPr>
          <w:jc w:val="center"/>
        </w:trPr>
        <w:tc>
          <w:tcPr>
            <w:tcW w:w="1314" w:type="pct"/>
            <w:vAlign w:val="center"/>
            <w:textDirection w:val="lrTb"/>
            <w:noWrap w:val="false"/>
          </w:tcPr>
          <w:p>
            <w:pPr>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检查井</w:t>
            </w:r>
            <w:r/>
          </w:p>
        </w:tc>
        <w:tc>
          <w:tcPr>
            <w:tcW w:w="1314" w:type="pct"/>
            <w:vAlign w:val="center"/>
            <w:textDirection w:val="lrTb"/>
            <w:noWrap w:val="false"/>
          </w:tcPr>
          <w:p>
            <w:pPr>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&lt;8</w:t>
            </w:r>
            <w:r/>
          </w:p>
        </w:tc>
        <w:tc>
          <w:tcPr>
            <w:tcW w:w="1158" w:type="pct"/>
            <w:vAlign w:val="center"/>
            <w:textDirection w:val="lrTb"/>
            <w:noWrap w:val="false"/>
          </w:tcPr>
          <w:p>
            <w:pPr>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+5,-10</w:t>
            </w:r>
            <w:r/>
          </w:p>
        </w:tc>
        <w:tc>
          <w:tcPr>
            <w:tcW w:w="1212" w:type="pct"/>
            <w:vAlign w:val="center"/>
            <w:textDirection w:val="lrTb"/>
            <w:noWrap w:val="false"/>
          </w:tcPr>
          <w:p>
            <w:pPr>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+15,-15</w:t>
            </w:r>
            <w:r/>
          </w:p>
        </w:tc>
      </w:tr>
    </w:tbl>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11、发现井盖缺失或损坏后，须及时安放护栏和警示标志，并在6小时内修复。</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12、检查井的清掏宜采用吸泥车、抓泥车等机械设备。</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13、管道检查项目可分为功能状况和结构状况两类，主要检查项目包括下表内容。</w:t>
      </w:r>
      <w:r/>
    </w:p>
    <w:p>
      <w:pPr>
        <w:ind w:firstLine="480"/>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管道状况主要检查项目</w:t>
      </w:r>
      <w:r/>
    </w:p>
    <w:tbl>
      <w:tblPr>
        <w:tblStyle w:val="778"/>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185"/>
        <w:gridCol w:w="3823"/>
        <w:gridCol w:w="2844"/>
      </w:tblGrid>
      <w:tr>
        <w:trPr>
          <w:jc w:val="center"/>
          <w:trHeight w:val="316"/>
        </w:trPr>
        <w:tc>
          <w:tcPr>
            <w:tcW w:w="1616" w:type="pct"/>
            <w:vAlign w:val="center"/>
            <w:textDirection w:val="lrTb"/>
            <w:noWrap w:val="false"/>
          </w:tcPr>
          <w:p>
            <w:pPr>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检查类别</w:t>
            </w:r>
            <w:r/>
          </w:p>
        </w:tc>
        <w:tc>
          <w:tcPr>
            <w:tcW w:w="1940" w:type="pct"/>
            <w:vAlign w:val="center"/>
            <w:textDirection w:val="lrTb"/>
            <w:noWrap w:val="false"/>
          </w:tcPr>
          <w:p>
            <w:pPr>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功能状况</w:t>
            </w:r>
            <w:r/>
          </w:p>
        </w:tc>
        <w:tc>
          <w:tcPr>
            <w:tcW w:w="1443" w:type="pct"/>
            <w:vAlign w:val="center"/>
            <w:textDirection w:val="lrTb"/>
            <w:noWrap w:val="false"/>
          </w:tcPr>
          <w:p>
            <w:pPr>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结构状况</w:t>
            </w:r>
            <w:r/>
          </w:p>
        </w:tc>
      </w:tr>
      <w:tr>
        <w:trPr>
          <w:jc w:val="center"/>
        </w:trPr>
        <w:tc>
          <w:tcPr>
            <w:tcW w:w="1616" w:type="pct"/>
            <w:vAlign w:val="center"/>
            <w:vMerge w:val="restart"/>
            <w:textDirection w:val="lrTb"/>
            <w:noWrap w:val="false"/>
          </w:tcPr>
          <w:p>
            <w:pPr>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检查项目</w:t>
            </w:r>
            <w:r/>
          </w:p>
        </w:tc>
        <w:tc>
          <w:tcPr>
            <w:tcW w:w="1940" w:type="pct"/>
            <w:vAlign w:val="center"/>
            <w:textDirection w:val="lrTb"/>
            <w:noWrap w:val="false"/>
          </w:tcPr>
          <w:p>
            <w:pPr>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管道积泥</w:t>
            </w:r>
            <w:r/>
          </w:p>
        </w:tc>
        <w:tc>
          <w:tcPr>
            <w:tcW w:w="1443" w:type="pct"/>
            <w:vAlign w:val="center"/>
            <w:textDirection w:val="lrTb"/>
            <w:noWrap w:val="false"/>
          </w:tcPr>
          <w:p>
            <w:pPr>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裂缝</w:t>
            </w:r>
            <w:r/>
          </w:p>
        </w:tc>
      </w:tr>
      <w:tr>
        <w:trPr>
          <w:jc w:val="center"/>
        </w:trPr>
        <w:tc>
          <w:tcPr>
            <w:tcW w:w="1616" w:type="pct"/>
            <w:vAlign w:val="center"/>
            <w:vMerge w:val="continue"/>
            <w:textDirection w:val="lrTb"/>
            <w:noWrap w:val="false"/>
          </w:tcPr>
          <w:p>
            <w:pPr>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940" w:type="pct"/>
            <w:vAlign w:val="center"/>
            <w:textDirection w:val="lrTb"/>
            <w:noWrap w:val="false"/>
          </w:tcPr>
          <w:p>
            <w:pPr>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检查井积泥</w:t>
            </w:r>
            <w:r/>
          </w:p>
        </w:tc>
        <w:tc>
          <w:tcPr>
            <w:tcW w:w="1443" w:type="pct"/>
            <w:vAlign w:val="center"/>
            <w:textDirection w:val="lrTb"/>
            <w:noWrap w:val="false"/>
          </w:tcPr>
          <w:p>
            <w:pPr>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变形</w:t>
            </w:r>
            <w:r/>
          </w:p>
        </w:tc>
      </w:tr>
      <w:tr>
        <w:trPr>
          <w:jc w:val="center"/>
        </w:trPr>
        <w:tc>
          <w:tcPr>
            <w:tcW w:w="1616" w:type="pct"/>
            <w:vAlign w:val="center"/>
            <w:vMerge w:val="continue"/>
            <w:textDirection w:val="lrTb"/>
            <w:noWrap w:val="false"/>
          </w:tcPr>
          <w:p>
            <w:pPr>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940" w:type="pct"/>
            <w:vAlign w:val="center"/>
            <w:textDirection w:val="lrTb"/>
            <w:noWrap w:val="false"/>
          </w:tcPr>
          <w:p>
            <w:pPr>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排放口积泥</w:t>
            </w:r>
            <w:r/>
          </w:p>
        </w:tc>
        <w:tc>
          <w:tcPr>
            <w:tcW w:w="1443" w:type="pct"/>
            <w:vAlign w:val="center"/>
            <w:textDirection w:val="lrTb"/>
            <w:noWrap w:val="false"/>
          </w:tcPr>
          <w:p>
            <w:pPr>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错口</w:t>
            </w:r>
            <w:r/>
          </w:p>
        </w:tc>
      </w:tr>
      <w:tr>
        <w:trPr>
          <w:jc w:val="center"/>
        </w:trPr>
        <w:tc>
          <w:tcPr>
            <w:tcW w:w="1616" w:type="pct"/>
            <w:vAlign w:val="center"/>
            <w:vMerge w:val="continue"/>
            <w:textDirection w:val="lrTb"/>
            <w:noWrap w:val="false"/>
          </w:tcPr>
          <w:p>
            <w:pPr>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940" w:type="pct"/>
            <w:vAlign w:val="center"/>
            <w:textDirection w:val="lrTb"/>
            <w:noWrap w:val="false"/>
          </w:tcPr>
          <w:p>
            <w:pPr>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泥垢和油脂</w:t>
            </w:r>
            <w:r/>
          </w:p>
        </w:tc>
        <w:tc>
          <w:tcPr>
            <w:tcW w:w="1443" w:type="pct"/>
            <w:vAlign w:val="center"/>
            <w:textDirection w:val="lrTb"/>
            <w:noWrap w:val="false"/>
          </w:tcPr>
          <w:p>
            <w:pPr>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脱节</w:t>
            </w:r>
            <w:r/>
          </w:p>
        </w:tc>
      </w:tr>
      <w:tr>
        <w:trPr>
          <w:jc w:val="center"/>
        </w:trPr>
        <w:tc>
          <w:tcPr>
            <w:tcW w:w="1616" w:type="pct"/>
            <w:vAlign w:val="center"/>
            <w:vMerge w:val="continue"/>
            <w:textDirection w:val="lrTb"/>
            <w:noWrap w:val="false"/>
          </w:tcPr>
          <w:p>
            <w:pPr>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940" w:type="pct"/>
            <w:vAlign w:val="center"/>
            <w:textDirection w:val="lrTb"/>
            <w:noWrap w:val="false"/>
          </w:tcPr>
          <w:p>
            <w:pPr>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树根</w:t>
            </w:r>
            <w:r/>
          </w:p>
        </w:tc>
        <w:tc>
          <w:tcPr>
            <w:tcW w:w="1443" w:type="pct"/>
            <w:vAlign w:val="center"/>
            <w:textDirection w:val="lrTb"/>
            <w:noWrap w:val="false"/>
          </w:tcPr>
          <w:p>
            <w:pPr>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破损与孔洞</w:t>
            </w:r>
            <w:r/>
          </w:p>
        </w:tc>
      </w:tr>
      <w:tr>
        <w:trPr>
          <w:jc w:val="center"/>
        </w:trPr>
        <w:tc>
          <w:tcPr>
            <w:tcW w:w="1616" w:type="pct"/>
            <w:vAlign w:val="center"/>
            <w:vMerge w:val="continue"/>
            <w:textDirection w:val="lrTb"/>
            <w:noWrap w:val="false"/>
          </w:tcPr>
          <w:p>
            <w:pPr>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940" w:type="pct"/>
            <w:vAlign w:val="center"/>
            <w:textDirection w:val="lrTb"/>
            <w:noWrap w:val="false"/>
          </w:tcPr>
          <w:p>
            <w:pPr>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水位和水流</w:t>
            </w:r>
            <w:r/>
          </w:p>
        </w:tc>
        <w:tc>
          <w:tcPr>
            <w:tcW w:w="1443" w:type="pct"/>
            <w:vAlign w:val="center"/>
            <w:textDirection w:val="lrTb"/>
            <w:noWrap w:val="false"/>
          </w:tcPr>
          <w:p>
            <w:pPr>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渗漏</w:t>
            </w:r>
            <w:r/>
          </w:p>
        </w:tc>
      </w:tr>
      <w:tr>
        <w:trPr>
          <w:jc w:val="center"/>
        </w:trPr>
        <w:tc>
          <w:tcPr>
            <w:tcW w:w="1616" w:type="pct"/>
            <w:vAlign w:val="center"/>
            <w:vMerge w:val="continue"/>
            <w:textDirection w:val="lrTb"/>
            <w:noWrap w:val="false"/>
          </w:tcPr>
          <w:p>
            <w:pPr>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940" w:type="pct"/>
            <w:vAlign w:val="center"/>
            <w:textDirection w:val="lrTb"/>
            <w:noWrap w:val="false"/>
          </w:tcPr>
          <w:p>
            <w:pPr>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残墙、坝根</w:t>
            </w:r>
            <w:r/>
          </w:p>
        </w:tc>
        <w:tc>
          <w:tcPr>
            <w:tcW w:w="1443" w:type="pct"/>
            <w:vAlign w:val="center"/>
            <w:textDirection w:val="lrTb"/>
            <w:noWrap w:val="false"/>
          </w:tcPr>
          <w:p>
            <w:pPr>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异管穿入</w:t>
            </w:r>
            <w:r/>
          </w:p>
        </w:tc>
      </w:tr>
    </w:tbl>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14、污水井日常养护</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A</w:t>
      </w:r>
      <w:r>
        <w:rPr>
          <w:rFonts w:hint="eastAsia" w:ascii="宋体" w:hAnsi="宋体" w:cs="宋体"/>
          <w:color w:val="auto"/>
          <w:sz w:val="24"/>
          <w:highlight w:val="none"/>
        </w:rPr>
        <w:t xml:space="preserve">、养护频次</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标段内的所有</w:t>
      </w:r>
      <w:r>
        <w:rPr>
          <w:rFonts w:hint="eastAsia" w:ascii="宋体" w:hAnsi="宋体" w:cs="宋体"/>
          <w:color w:val="auto"/>
          <w:sz w:val="24"/>
          <w:highlight w:val="none"/>
          <w:lang w:eastAsia="zh-CN"/>
        </w:rPr>
        <w:t xml:space="preserve">雨</w:t>
      </w:r>
      <w:r>
        <w:rPr>
          <w:rFonts w:hint="eastAsia" w:ascii="宋体" w:hAnsi="宋体" w:cs="宋体"/>
          <w:color w:val="auto"/>
          <w:sz w:val="24"/>
          <w:highlight w:val="none"/>
        </w:rPr>
        <w:t xml:space="preserve">污水井日常养护的频次为</w:t>
      </w:r>
      <w:r>
        <w:rPr>
          <w:rFonts w:hint="eastAsia" w:ascii="宋体" w:hAnsi="宋体" w:cs="宋体"/>
          <w:color w:val="auto"/>
          <w:sz w:val="24"/>
          <w:highlight w:val="none"/>
          <w:lang w:eastAsia="zh-CN"/>
        </w:rPr>
        <w:t xml:space="preserve">每年不少于两次</w:t>
      </w:r>
      <w:r>
        <w:rPr>
          <w:rFonts w:hint="eastAsia" w:ascii="宋体" w:hAnsi="宋体" w:cs="宋体"/>
          <w:color w:val="auto"/>
          <w:sz w:val="24"/>
          <w:highlight w:val="none"/>
        </w:rPr>
        <w:t xml:space="preserve">。</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B</w:t>
      </w:r>
      <w:r>
        <w:rPr>
          <w:rFonts w:hint="eastAsia" w:ascii="宋体" w:hAnsi="宋体" w:cs="宋体"/>
          <w:color w:val="auto"/>
          <w:sz w:val="24"/>
          <w:highlight w:val="none"/>
        </w:rPr>
        <w:t xml:space="preserve">、工作内容及标准</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①</w:t>
      </w:r>
      <w:r>
        <w:rPr>
          <w:rFonts w:hint="eastAsia" w:ascii="宋体" w:hAnsi="宋体" w:cs="宋体"/>
          <w:color w:val="auto"/>
          <w:sz w:val="24"/>
          <w:highlight w:val="none"/>
        </w:rPr>
        <w:t xml:space="preserve">漂浮物清掏：使用网兜等工具对检查井内存在的漂浮物进行清掏；</w:t>
      </w:r>
      <w:r/>
    </w:p>
    <w:p>
      <w:pPr>
        <w:ind w:firstLine="480"/>
        <w:spacing w:line="44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 xml:space="preserve">②</w:t>
      </w:r>
      <w:r>
        <w:rPr>
          <w:rFonts w:hint="eastAsia" w:ascii="宋体" w:hAnsi="宋体" w:cs="宋体"/>
          <w:color w:val="auto"/>
          <w:sz w:val="24"/>
          <w:highlight w:val="none"/>
        </w:rPr>
        <w:t xml:space="preserve">检查井液位测量，水位有高程差的节点及时记录并上报</w:t>
      </w:r>
      <w:r>
        <w:rPr>
          <w:rFonts w:hint="eastAsia" w:ascii="宋体" w:hAnsi="宋体" w:cs="宋体"/>
          <w:color w:val="auto"/>
          <w:sz w:val="24"/>
          <w:highlight w:val="none"/>
          <w:lang w:eastAsia="zh-CN"/>
        </w:rPr>
        <w:t xml:space="preserve">；</w:t>
      </w:r>
      <w:r/>
    </w:p>
    <w:p>
      <w:pPr>
        <w:ind w:firstLine="480"/>
        <w:spacing w:line="44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 xml:space="preserve">③</w:t>
      </w:r>
      <w:r>
        <w:rPr>
          <w:rFonts w:hint="eastAsia" w:ascii="宋体" w:hAnsi="宋体" w:cs="宋体"/>
          <w:color w:val="auto"/>
          <w:sz w:val="24"/>
          <w:highlight w:val="none"/>
        </w:rPr>
        <w:t xml:space="preserve">检查井积淤情况测量，管道淤泥不得超过管径1/4应登记并上报</w:t>
      </w:r>
      <w:r>
        <w:rPr>
          <w:rFonts w:hint="eastAsia" w:ascii="宋体" w:hAnsi="宋体" w:cs="宋体"/>
          <w:color w:val="auto"/>
          <w:sz w:val="24"/>
          <w:highlight w:val="none"/>
          <w:lang w:eastAsia="zh-CN"/>
        </w:rPr>
        <w:t xml:space="preserve">；</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④</w:t>
      </w:r>
      <w:r>
        <w:rPr>
          <w:rFonts w:hint="eastAsia" w:ascii="宋体" w:hAnsi="宋体" w:cs="宋体"/>
          <w:color w:val="auto"/>
          <w:sz w:val="24"/>
          <w:highlight w:val="none"/>
        </w:rPr>
        <w:t xml:space="preserve">检查井内如存在大量淤积或建筑垃圾等需下井清掏的情况，需上报</w:t>
      </w:r>
      <w:r>
        <w:rPr>
          <w:rFonts w:hint="eastAsia" w:ascii="宋体" w:hAnsi="宋体" w:cs="宋体"/>
          <w:color w:val="auto"/>
          <w:sz w:val="24"/>
          <w:highlight w:val="none"/>
          <w:lang w:eastAsia="zh-CN"/>
        </w:rPr>
        <w:t xml:space="preserve">硕放</w:t>
      </w:r>
      <w:r>
        <w:rPr>
          <w:rFonts w:hint="eastAsia" w:ascii="宋体" w:hAnsi="宋体" w:cs="宋体"/>
          <w:color w:val="auto"/>
          <w:sz w:val="24"/>
          <w:highlight w:val="none"/>
        </w:rPr>
        <w:t xml:space="preserve">街道建设和生态环境办公室，经现场核实、办理相关手续后，方可下井清掏；</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⑤</w:t>
      </w:r>
      <w:r>
        <w:rPr>
          <w:rFonts w:hint="eastAsia" w:ascii="宋体" w:hAnsi="宋体" w:cs="宋体"/>
          <w:color w:val="auto"/>
          <w:sz w:val="24"/>
          <w:highlight w:val="none"/>
          <w:lang w:eastAsia="zh-CN"/>
        </w:rPr>
        <w:t xml:space="preserve">乙方</w:t>
      </w:r>
      <w:r>
        <w:rPr>
          <w:rFonts w:hint="eastAsia" w:ascii="宋体" w:hAnsi="宋体" w:cs="宋体"/>
          <w:color w:val="auto"/>
          <w:sz w:val="24"/>
          <w:highlight w:val="none"/>
        </w:rPr>
        <w:t xml:space="preserve">在养护过程中发现其他问题</w:t>
      </w:r>
      <w:r>
        <w:rPr>
          <w:rFonts w:hint="eastAsia" w:ascii="宋体" w:hAnsi="宋体" w:cs="宋体"/>
          <w:color w:val="auto"/>
          <w:sz w:val="24"/>
          <w:highlight w:val="none"/>
          <w:lang w:eastAsia="zh-CN"/>
        </w:rPr>
        <w:t xml:space="preserve">后</w:t>
      </w:r>
      <w:r>
        <w:rPr>
          <w:rFonts w:hint="eastAsia" w:ascii="宋体" w:hAnsi="宋体" w:cs="宋体"/>
          <w:color w:val="auto"/>
          <w:sz w:val="24"/>
          <w:highlight w:val="none"/>
        </w:rPr>
        <w:t xml:space="preserve">，应及时向</w:t>
      </w:r>
      <w:r>
        <w:rPr>
          <w:rFonts w:hint="eastAsia" w:ascii="宋体" w:hAnsi="宋体" w:cs="宋体"/>
          <w:color w:val="auto"/>
          <w:sz w:val="24"/>
          <w:highlight w:val="none"/>
          <w:lang w:eastAsia="zh-CN"/>
        </w:rPr>
        <w:t xml:space="preserve">硕放</w:t>
      </w:r>
      <w:r>
        <w:rPr>
          <w:rFonts w:hint="eastAsia" w:ascii="宋体" w:hAnsi="宋体" w:cs="宋体"/>
          <w:color w:val="auto"/>
          <w:sz w:val="24"/>
          <w:highlight w:val="none"/>
        </w:rPr>
        <w:t xml:space="preserve">街道建设和生态环境办公室汇报并提供相关资料，</w:t>
      </w:r>
      <w:r>
        <w:rPr>
          <w:rFonts w:hint="eastAsia" w:ascii="宋体" w:hAnsi="宋体" w:cs="宋体"/>
          <w:color w:val="auto"/>
          <w:sz w:val="24"/>
          <w:highlight w:val="none"/>
          <w:lang w:eastAsia="zh-CN"/>
        </w:rPr>
        <w:t xml:space="preserve">硕放</w:t>
      </w:r>
      <w:r>
        <w:rPr>
          <w:rFonts w:hint="eastAsia" w:ascii="宋体" w:hAnsi="宋体" w:cs="宋体"/>
          <w:color w:val="auto"/>
          <w:sz w:val="24"/>
          <w:highlight w:val="none"/>
        </w:rPr>
        <w:t xml:space="preserve">街道建设和生态环境办公室确认并提出处理意见后，对相应问题立即采取处理措施。</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养护过程中清理出的垃圾必须按要求外运处置，不得随意抛洒。</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C</w:t>
      </w:r>
      <w:r>
        <w:rPr>
          <w:rFonts w:hint="eastAsia" w:ascii="宋体" w:hAnsi="宋体" w:cs="宋体"/>
          <w:color w:val="auto"/>
          <w:sz w:val="24"/>
          <w:highlight w:val="none"/>
        </w:rPr>
        <w:t xml:space="preserve">、台账资料及其他</w:t>
      </w:r>
      <w:r>
        <w:rPr>
          <w:rFonts w:hint="eastAsia" w:ascii="宋体" w:hAnsi="宋体" w:cs="宋体"/>
          <w:color w:val="auto"/>
          <w:sz w:val="24"/>
          <w:highlight w:val="none"/>
          <w:lang w:eastAsia="zh-CN"/>
        </w:rPr>
        <w:t xml:space="preserve">：雨</w:t>
      </w:r>
      <w:r>
        <w:rPr>
          <w:rFonts w:hint="eastAsia" w:ascii="宋体" w:hAnsi="宋体" w:cs="宋体"/>
          <w:color w:val="auto"/>
          <w:sz w:val="24"/>
          <w:highlight w:val="none"/>
        </w:rPr>
        <w:t xml:space="preserve">污水井养护必须提前7个工作日上报养护计划经审核后实施，养护记录填写规范、完整（</w:t>
      </w:r>
      <w:r>
        <w:rPr>
          <w:rFonts w:hint="eastAsia" w:ascii="宋体" w:hAnsi="宋体" w:cs="宋体"/>
          <w:color w:val="auto"/>
          <w:sz w:val="24"/>
          <w:highlight w:val="none"/>
          <w:lang w:val="en-US" w:eastAsia="zh-CN"/>
        </w:rPr>
        <w:t xml:space="preserve">详见：《硕放街道排水管网养护工作管理质量标准 </w:t>
      </w:r>
      <w:r>
        <w:rPr>
          <w:rFonts w:hint="eastAsia" w:ascii="宋体" w:hAnsi="宋体" w:cs="宋体"/>
          <w:color w:val="auto"/>
          <w:sz w:val="24"/>
          <w:highlight w:val="none"/>
        </w:rPr>
        <w:t xml:space="preserve">附件</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）及每季度将《养护总结报告》（</w:t>
      </w:r>
      <w:r>
        <w:rPr>
          <w:rFonts w:hint="eastAsia" w:ascii="宋体" w:hAnsi="宋体" w:cs="宋体"/>
          <w:color w:val="auto"/>
          <w:sz w:val="24"/>
          <w:highlight w:val="none"/>
          <w:lang w:val="en-US" w:eastAsia="zh-CN"/>
        </w:rPr>
        <w:t xml:space="preserve">详见：《硕放街道排水管网养护工作管理质量标准 </w:t>
      </w:r>
      <w:r>
        <w:rPr>
          <w:rFonts w:hint="eastAsia" w:ascii="宋体" w:hAnsi="宋体" w:cs="宋体"/>
          <w:color w:val="auto"/>
          <w:sz w:val="24"/>
          <w:highlight w:val="none"/>
        </w:rPr>
        <w:t xml:space="preserve">附件</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）装订成册，于次月10日前上报。</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15、</w:t>
      </w:r>
      <w:r>
        <w:rPr>
          <w:rFonts w:hint="eastAsia" w:ascii="宋体" w:hAnsi="宋体" w:cs="宋体"/>
          <w:color w:val="auto"/>
          <w:sz w:val="24"/>
          <w:highlight w:val="none"/>
        </w:rPr>
        <w:t xml:space="preserve">管道养护应符合下列规定：</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A.定期巡视、及时发现和修理管道裂缝、腐蚀、沉降、变形、错口、脱节、破损、孔洞、异管穿入、渗漏、冒溢等情况。</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B.压力管养护应采用满负荷开泵的方式进行水力冲洗，至少每3个月1次。</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C.定期开盖检查压力井盖板，发现盖板锈蚀、密封垫老化、井体裂缝、管内积泥等情况应及时维修和保养。</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D.管道和检查井内不得留有石块等阻碍排水的杂物。管道和检查井的最大积泥深度符合下表规定。</w:t>
      </w:r>
      <w:r/>
    </w:p>
    <w:p>
      <w:pPr>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管道和检查井的允许积泥深度</w:t>
      </w:r>
      <w:r/>
    </w:p>
    <w:tbl>
      <w:tblPr>
        <w:tblStyle w:val="778"/>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098"/>
        <w:gridCol w:w="2225"/>
        <w:gridCol w:w="4529"/>
      </w:tblGrid>
      <w:tr>
        <w:trPr>
          <w:jc w:val="center"/>
        </w:trPr>
        <w:tc>
          <w:tcPr>
            <w:gridSpan w:val="2"/>
            <w:tcW w:w="2701" w:type="pct"/>
            <w:vAlign w:val="center"/>
            <w:textDirection w:val="lrTb"/>
            <w:noWrap w:val="false"/>
          </w:tcPr>
          <w:p>
            <w:pPr>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设施类别</w:t>
            </w:r>
            <w:r/>
          </w:p>
        </w:tc>
        <w:tc>
          <w:tcPr>
            <w:tcW w:w="2298" w:type="pct"/>
            <w:vAlign w:val="center"/>
            <w:textDirection w:val="lrTb"/>
            <w:noWrap w:val="false"/>
          </w:tcPr>
          <w:p>
            <w:pPr>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允许积泥深度</w:t>
            </w:r>
            <w:r/>
          </w:p>
        </w:tc>
      </w:tr>
      <w:tr>
        <w:trPr>
          <w:jc w:val="center"/>
        </w:trPr>
        <w:tc>
          <w:tcPr>
            <w:gridSpan w:val="2"/>
            <w:tcW w:w="2701" w:type="pct"/>
            <w:vAlign w:val="center"/>
            <w:textDirection w:val="lrTb"/>
            <w:noWrap w:val="false"/>
          </w:tcPr>
          <w:p>
            <w:pPr>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管道</w:t>
            </w:r>
            <w:r/>
          </w:p>
        </w:tc>
        <w:tc>
          <w:tcPr>
            <w:tcW w:w="2298" w:type="pct"/>
            <w:vAlign w:val="center"/>
            <w:textDirection w:val="lrTb"/>
            <w:noWrap w:val="false"/>
          </w:tcPr>
          <w:p>
            <w:pPr>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管径的1/5</w:t>
            </w:r>
            <w:r/>
          </w:p>
        </w:tc>
      </w:tr>
      <w:tr>
        <w:trPr>
          <w:jc w:val="center"/>
        </w:trPr>
        <w:tc>
          <w:tcPr>
            <w:tcW w:w="1572" w:type="pct"/>
            <w:vAlign w:val="center"/>
            <w:vMerge w:val="restart"/>
            <w:textDirection w:val="lrTb"/>
            <w:noWrap w:val="false"/>
          </w:tcPr>
          <w:p>
            <w:pPr>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检查井</w:t>
            </w:r>
            <w:r/>
          </w:p>
        </w:tc>
        <w:tc>
          <w:tcPr>
            <w:tcW w:w="1129" w:type="pct"/>
            <w:vAlign w:val="center"/>
            <w:textDirection w:val="lrTb"/>
            <w:noWrap w:val="false"/>
          </w:tcPr>
          <w:p>
            <w:pPr>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有沉泥槽</w:t>
            </w:r>
            <w:r/>
          </w:p>
        </w:tc>
        <w:tc>
          <w:tcPr>
            <w:tcW w:w="2298" w:type="pct"/>
            <w:vAlign w:val="center"/>
            <w:textDirection w:val="lrTb"/>
            <w:noWrap w:val="false"/>
          </w:tcPr>
          <w:p>
            <w:pPr>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管底以下50mm</w:t>
            </w:r>
            <w:r/>
          </w:p>
        </w:tc>
      </w:tr>
      <w:tr>
        <w:trPr>
          <w:jc w:val="center"/>
        </w:trPr>
        <w:tc>
          <w:tcPr>
            <w:tcW w:w="1572" w:type="pct"/>
            <w:vAlign w:val="center"/>
            <w:vMerge w:val="continue"/>
            <w:textDirection w:val="lrTb"/>
            <w:noWrap w:val="false"/>
          </w:tcPr>
          <w:p>
            <w:pPr>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29" w:type="pct"/>
            <w:vAlign w:val="center"/>
            <w:textDirection w:val="lrTb"/>
            <w:noWrap w:val="false"/>
          </w:tcPr>
          <w:p>
            <w:pPr>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无沉泥槽</w:t>
            </w:r>
            <w:r/>
          </w:p>
        </w:tc>
        <w:tc>
          <w:tcPr>
            <w:tcW w:w="2298" w:type="pct"/>
            <w:vAlign w:val="center"/>
            <w:textDirection w:val="lrTb"/>
            <w:noWrap w:val="false"/>
          </w:tcPr>
          <w:p>
            <w:pPr>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主管径的1/5</w:t>
            </w:r>
            <w:r/>
          </w:p>
        </w:tc>
      </w:tr>
    </w:tbl>
    <w:p>
      <w:pPr>
        <w:ind w:firstLine="480"/>
        <w:spacing w:line="440" w:lineRule="exact"/>
        <w:rPr>
          <w:rFonts w:hint="eastAsia" w:ascii="宋体" w:hAnsi="宋体" w:cs="宋体"/>
          <w:color w:val="auto"/>
          <w:sz w:val="24"/>
          <w:highlight w:val="none"/>
        </w:rPr>
      </w:pPr>
      <w:r>
        <w:rPr>
          <w:rFonts w:ascii="宋体" w:hAnsi="宋体" w:cs="宋体"/>
          <w:color w:val="auto"/>
          <w:sz w:val="24"/>
          <w:highlight w:val="none"/>
        </w:rPr>
        <w:t xml:space="preserve">E.</w:t>
      </w:r>
      <w:r>
        <w:rPr>
          <w:rFonts w:hint="eastAsia" w:ascii="宋体" w:hAnsi="宋体" w:cs="宋体"/>
          <w:color w:val="auto"/>
          <w:sz w:val="24"/>
          <w:highlight w:val="none"/>
        </w:rPr>
        <w:t xml:space="preserve">根据每季度</w:t>
      </w:r>
      <w:r>
        <w:rPr>
          <w:rFonts w:hint="eastAsia" w:ascii="宋体" w:hAnsi="宋体" w:cs="宋体"/>
          <w:color w:val="auto"/>
          <w:sz w:val="24"/>
          <w:highlight w:val="none"/>
          <w:lang w:eastAsia="zh-CN"/>
        </w:rPr>
        <w:t xml:space="preserve">雨</w:t>
      </w:r>
      <w:r>
        <w:rPr>
          <w:rFonts w:hint="eastAsia" w:ascii="宋体" w:hAnsi="宋体" w:cs="宋体"/>
          <w:color w:val="auto"/>
          <w:sz w:val="24"/>
          <w:highlight w:val="none"/>
        </w:rPr>
        <w:t xml:space="preserve">污水井养护结合日常巡查等工作，对管内淤积情况进行分类。淤积超过标准值，上报清单，报批后开展带水疏通作业，如带水疏通效果不佳，根据情况，</w:t>
      </w:r>
      <w:r>
        <w:rPr>
          <w:rFonts w:hint="eastAsia" w:ascii="宋体" w:hAnsi="宋体" w:cs="宋体"/>
          <w:color w:val="auto"/>
          <w:sz w:val="24"/>
          <w:highlight w:val="none"/>
          <w:lang w:eastAsia="zh-CN"/>
        </w:rPr>
        <w:t xml:space="preserve">硕放</w:t>
      </w:r>
      <w:r>
        <w:rPr>
          <w:rFonts w:hint="eastAsia" w:ascii="宋体" w:hAnsi="宋体" w:cs="宋体"/>
          <w:color w:val="auto"/>
          <w:sz w:val="24"/>
          <w:highlight w:val="none"/>
        </w:rPr>
        <w:t xml:space="preserve">街道建设和生态环境办公室认可后开展断水清通。</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①</w:t>
      </w:r>
      <w:r>
        <w:rPr>
          <w:rFonts w:hint="eastAsia" w:ascii="宋体" w:hAnsi="宋体" w:cs="宋体"/>
          <w:color w:val="auto"/>
          <w:sz w:val="24"/>
          <w:highlight w:val="none"/>
        </w:rPr>
        <w:t xml:space="preserve">带水疏通方式与标准</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疏通应采取高压射水机方式开展，疏通后管道积淤不得超过管径1/8。疏通车压力应符合下表参数设置。</w:t>
      </w:r>
      <w:r/>
    </w:p>
    <w:tbl>
      <w:tblPr>
        <w:tblStyle w:val="778"/>
        <w:tblW w:w="943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67"/>
        <w:gridCol w:w="2707"/>
        <w:gridCol w:w="1887"/>
        <w:gridCol w:w="1236"/>
        <w:gridCol w:w="2541"/>
      </w:tblGrid>
      <w:tr>
        <w:trPr>
          <w:trHeight w:val="720"/>
        </w:trPr>
        <w:tc>
          <w:tcPr>
            <w:tcW w:w="1067" w:type="dxa"/>
            <w:vAlign w:val="center"/>
            <w:vMerge w:val="restart"/>
            <w:textDirection w:val="lrTb"/>
            <w:noWrap w:val="false"/>
          </w:tcPr>
          <w:p>
            <w:pPr>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序号</w:t>
            </w:r>
            <w:r/>
          </w:p>
        </w:tc>
        <w:tc>
          <w:tcPr>
            <w:tcW w:w="2707" w:type="dxa"/>
            <w:vAlign w:val="center"/>
            <w:vMerge w:val="restart"/>
            <w:textDirection w:val="lrTb"/>
            <w:noWrap w:val="false"/>
          </w:tcPr>
          <w:p>
            <w:pPr>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管径</w:t>
            </w:r>
            <w:r/>
          </w:p>
        </w:tc>
        <w:tc>
          <w:tcPr>
            <w:gridSpan w:val="2"/>
            <w:tcW w:w="3123" w:type="dxa"/>
            <w:vAlign w:val="center"/>
            <w:textDirection w:val="lrTb"/>
            <w:noWrap w:val="false"/>
          </w:tcPr>
          <w:p>
            <w:pPr>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疏通压力（Mpa=10公斤）</w:t>
            </w:r>
            <w:r/>
          </w:p>
        </w:tc>
        <w:tc>
          <w:tcPr>
            <w:tcW w:w="2541" w:type="dxa"/>
            <w:vAlign w:val="center"/>
            <w:textDirection w:val="lrTb"/>
            <w:noWrap w:val="false"/>
          </w:tcPr>
          <w:p>
            <w:pPr>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流速（L/min）</w:t>
            </w:r>
            <w:r/>
          </w:p>
        </w:tc>
      </w:tr>
      <w:tr>
        <w:trPr>
          <w:trHeight w:val="363"/>
        </w:trPr>
        <w:tc>
          <w:tcPr>
            <w:tcW w:w="1067" w:type="dxa"/>
            <w:vAlign w:val="center"/>
            <w:vMerge w:val="continue"/>
            <w:textDirection w:val="lrTb"/>
            <w:noWrap w:val="false"/>
          </w:tcPr>
          <w:p>
            <w:pPr>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2707" w:type="dxa"/>
            <w:vAlign w:val="center"/>
            <w:vMerge w:val="continue"/>
            <w:textDirection w:val="lrTb"/>
            <w:noWrap w:val="false"/>
          </w:tcPr>
          <w:p>
            <w:pPr>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887" w:type="dxa"/>
            <w:vAlign w:val="center"/>
            <w:textDirection w:val="lrTb"/>
            <w:noWrap w:val="false"/>
          </w:tcPr>
          <w:p>
            <w:pPr>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塑料管</w:t>
            </w:r>
            <w:r/>
          </w:p>
        </w:tc>
        <w:tc>
          <w:tcPr>
            <w:tcW w:w="1236" w:type="dxa"/>
            <w:vAlign w:val="center"/>
            <w:textDirection w:val="lrTb"/>
            <w:noWrap w:val="false"/>
          </w:tcPr>
          <w:p>
            <w:pPr>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水泥管</w:t>
            </w:r>
            <w:r/>
          </w:p>
        </w:tc>
        <w:tc>
          <w:tcPr>
            <w:tcW w:w="2541" w:type="dxa"/>
            <w:vAlign w:val="center"/>
            <w:textDirection w:val="lrTb"/>
            <w:noWrap w:val="false"/>
          </w:tcPr>
          <w:p>
            <w:pPr>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trHeight w:val="720"/>
        </w:trPr>
        <w:tc>
          <w:tcPr>
            <w:tcW w:w="1067" w:type="dxa"/>
            <w:vAlign w:val="center"/>
            <w:textDirection w:val="lrTb"/>
            <w:noWrap w:val="false"/>
          </w:tcPr>
          <w:p>
            <w:pPr>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w:t>
            </w:r>
            <w:r/>
          </w:p>
        </w:tc>
        <w:tc>
          <w:tcPr>
            <w:tcW w:w="2707" w:type="dxa"/>
            <w:vAlign w:val="center"/>
            <w:textDirection w:val="lrTb"/>
            <w:noWrap w:val="false"/>
          </w:tcPr>
          <w:p>
            <w:pPr>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DN300及以下</w:t>
            </w:r>
            <w:r/>
          </w:p>
        </w:tc>
        <w:tc>
          <w:tcPr>
            <w:tcW w:w="1887" w:type="dxa"/>
            <w:vAlign w:val="center"/>
            <w:textDirection w:val="lrTb"/>
            <w:noWrap w:val="false"/>
          </w:tcPr>
          <w:p>
            <w:pPr>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0.5</w:t>
            </w:r>
            <w:r/>
          </w:p>
        </w:tc>
        <w:tc>
          <w:tcPr>
            <w:tcW w:w="1236" w:type="dxa"/>
            <w:vAlign w:val="center"/>
            <w:textDirection w:val="lrTb"/>
            <w:noWrap w:val="false"/>
          </w:tcPr>
          <w:p>
            <w:pPr>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0.6</w:t>
            </w:r>
            <w:r/>
          </w:p>
        </w:tc>
        <w:tc>
          <w:tcPr>
            <w:tcW w:w="2541" w:type="dxa"/>
            <w:vAlign w:val="center"/>
            <w:textDirection w:val="lrTb"/>
            <w:noWrap w:val="false"/>
          </w:tcPr>
          <w:p>
            <w:pPr>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不低于180</w:t>
            </w:r>
            <w:r/>
          </w:p>
        </w:tc>
      </w:tr>
      <w:tr>
        <w:trPr>
          <w:trHeight w:val="363"/>
        </w:trPr>
        <w:tc>
          <w:tcPr>
            <w:tcW w:w="1067" w:type="dxa"/>
            <w:vAlign w:val="center"/>
            <w:textDirection w:val="lrTb"/>
            <w:noWrap w:val="false"/>
          </w:tcPr>
          <w:p>
            <w:pPr>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2</w:t>
            </w:r>
            <w:r/>
          </w:p>
        </w:tc>
        <w:tc>
          <w:tcPr>
            <w:tcW w:w="2707" w:type="dxa"/>
            <w:vAlign w:val="center"/>
            <w:textDirection w:val="lrTb"/>
            <w:noWrap w:val="false"/>
          </w:tcPr>
          <w:p>
            <w:pPr>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DN400，500</w:t>
            </w:r>
            <w:r/>
          </w:p>
        </w:tc>
        <w:tc>
          <w:tcPr>
            <w:tcW w:w="1887" w:type="dxa"/>
            <w:vAlign w:val="center"/>
            <w:textDirection w:val="lrTb"/>
            <w:noWrap w:val="false"/>
          </w:tcPr>
          <w:p>
            <w:pPr>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0.6</w:t>
            </w:r>
            <w:r/>
          </w:p>
        </w:tc>
        <w:tc>
          <w:tcPr>
            <w:tcW w:w="1236" w:type="dxa"/>
            <w:vAlign w:val="center"/>
            <w:textDirection w:val="lrTb"/>
            <w:noWrap w:val="false"/>
          </w:tcPr>
          <w:p>
            <w:pPr>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0.7</w:t>
            </w:r>
            <w:r/>
          </w:p>
        </w:tc>
        <w:tc>
          <w:tcPr>
            <w:tcW w:w="2541" w:type="dxa"/>
            <w:vAlign w:val="center"/>
            <w:textDirection w:val="lrTb"/>
            <w:noWrap w:val="false"/>
          </w:tcPr>
          <w:p>
            <w:pPr>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不低于180</w:t>
            </w:r>
            <w:r/>
          </w:p>
        </w:tc>
      </w:tr>
      <w:tr>
        <w:trPr>
          <w:trHeight w:val="363"/>
        </w:trPr>
        <w:tc>
          <w:tcPr>
            <w:tcW w:w="1067" w:type="dxa"/>
            <w:vAlign w:val="center"/>
            <w:textDirection w:val="lrTb"/>
            <w:noWrap w:val="false"/>
          </w:tcPr>
          <w:p>
            <w:pPr>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3</w:t>
            </w:r>
            <w:r/>
          </w:p>
        </w:tc>
        <w:tc>
          <w:tcPr>
            <w:tcW w:w="2707" w:type="dxa"/>
            <w:vAlign w:val="center"/>
            <w:textDirection w:val="lrTb"/>
            <w:noWrap w:val="false"/>
          </w:tcPr>
          <w:p>
            <w:pPr>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DN600</w:t>
            </w:r>
            <w:r/>
          </w:p>
        </w:tc>
        <w:tc>
          <w:tcPr>
            <w:tcW w:w="1887" w:type="dxa"/>
            <w:vAlign w:val="center"/>
            <w:textDirection w:val="lrTb"/>
            <w:noWrap w:val="false"/>
          </w:tcPr>
          <w:p>
            <w:pPr>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0.7</w:t>
            </w:r>
            <w:r/>
          </w:p>
        </w:tc>
        <w:tc>
          <w:tcPr>
            <w:tcW w:w="1236" w:type="dxa"/>
            <w:vAlign w:val="center"/>
            <w:textDirection w:val="lrTb"/>
            <w:noWrap w:val="false"/>
          </w:tcPr>
          <w:p>
            <w:pPr>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1.0</w:t>
            </w:r>
            <w:r/>
          </w:p>
        </w:tc>
        <w:tc>
          <w:tcPr>
            <w:tcW w:w="2541" w:type="dxa"/>
            <w:vAlign w:val="center"/>
            <w:textDirection w:val="lrTb"/>
            <w:noWrap w:val="false"/>
          </w:tcPr>
          <w:p>
            <w:pPr>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不低于180</w:t>
            </w:r>
            <w:r/>
          </w:p>
        </w:tc>
      </w:tr>
      <w:tr>
        <w:trPr>
          <w:trHeight w:val="363"/>
        </w:trPr>
        <w:tc>
          <w:tcPr>
            <w:tcW w:w="1067" w:type="dxa"/>
            <w:vAlign w:val="center"/>
            <w:textDirection w:val="lrTb"/>
            <w:noWrap w:val="false"/>
          </w:tcPr>
          <w:p>
            <w:pPr>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4</w:t>
            </w:r>
            <w:r/>
          </w:p>
        </w:tc>
        <w:tc>
          <w:tcPr>
            <w:tcW w:w="2707" w:type="dxa"/>
            <w:vAlign w:val="center"/>
            <w:textDirection w:val="lrTb"/>
            <w:noWrap w:val="false"/>
          </w:tcPr>
          <w:p>
            <w:pPr>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DN800</w:t>
            </w:r>
            <w:r/>
          </w:p>
        </w:tc>
        <w:tc>
          <w:tcPr>
            <w:tcW w:w="1887" w:type="dxa"/>
            <w:vAlign w:val="center"/>
            <w:textDirection w:val="lrTb"/>
            <w:noWrap w:val="false"/>
          </w:tcPr>
          <w:p>
            <w:pPr>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1.0</w:t>
            </w:r>
            <w:r/>
          </w:p>
        </w:tc>
        <w:tc>
          <w:tcPr>
            <w:tcW w:w="1236" w:type="dxa"/>
            <w:vAlign w:val="center"/>
            <w:textDirection w:val="lrTb"/>
            <w:noWrap w:val="false"/>
          </w:tcPr>
          <w:p>
            <w:pPr>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1.5</w:t>
            </w:r>
            <w:r/>
          </w:p>
        </w:tc>
        <w:tc>
          <w:tcPr>
            <w:tcW w:w="2541" w:type="dxa"/>
            <w:vAlign w:val="center"/>
            <w:textDirection w:val="lrTb"/>
            <w:noWrap w:val="false"/>
          </w:tcPr>
          <w:p>
            <w:pPr>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不低于180</w:t>
            </w:r>
            <w:r/>
          </w:p>
        </w:tc>
      </w:tr>
      <w:tr>
        <w:trPr>
          <w:trHeight w:val="363"/>
        </w:trPr>
        <w:tc>
          <w:tcPr>
            <w:tcW w:w="1067" w:type="dxa"/>
            <w:vAlign w:val="center"/>
            <w:textDirection w:val="lrTb"/>
            <w:noWrap w:val="false"/>
          </w:tcPr>
          <w:p>
            <w:pPr>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5</w:t>
            </w:r>
            <w:r/>
          </w:p>
        </w:tc>
        <w:tc>
          <w:tcPr>
            <w:tcW w:w="2707" w:type="dxa"/>
            <w:vAlign w:val="center"/>
            <w:textDirection w:val="lrTb"/>
            <w:noWrap w:val="false"/>
          </w:tcPr>
          <w:p>
            <w:pPr>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DN1000</w:t>
            </w:r>
            <w:r/>
          </w:p>
        </w:tc>
        <w:tc>
          <w:tcPr>
            <w:tcW w:w="1887" w:type="dxa"/>
            <w:vAlign w:val="center"/>
            <w:textDirection w:val="lrTb"/>
            <w:noWrap w:val="false"/>
          </w:tcPr>
          <w:p>
            <w:pPr>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1.5</w:t>
            </w:r>
            <w:r/>
          </w:p>
        </w:tc>
        <w:tc>
          <w:tcPr>
            <w:tcW w:w="1236" w:type="dxa"/>
            <w:vAlign w:val="center"/>
            <w:textDirection w:val="lrTb"/>
            <w:noWrap w:val="false"/>
          </w:tcPr>
          <w:p>
            <w:pPr>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2.0</w:t>
            </w:r>
            <w:r/>
          </w:p>
        </w:tc>
        <w:tc>
          <w:tcPr>
            <w:tcW w:w="2541" w:type="dxa"/>
            <w:vAlign w:val="center"/>
            <w:textDirection w:val="lrTb"/>
            <w:noWrap w:val="false"/>
          </w:tcPr>
          <w:p>
            <w:pPr>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不低于180</w:t>
            </w:r>
            <w:r/>
          </w:p>
        </w:tc>
      </w:tr>
      <w:tr>
        <w:trPr>
          <w:trHeight w:val="369"/>
        </w:trPr>
        <w:tc>
          <w:tcPr>
            <w:tcW w:w="1067" w:type="dxa"/>
            <w:vAlign w:val="center"/>
            <w:textDirection w:val="lrTb"/>
            <w:noWrap w:val="false"/>
          </w:tcPr>
          <w:p>
            <w:pPr>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6</w:t>
            </w:r>
            <w:r/>
          </w:p>
        </w:tc>
        <w:tc>
          <w:tcPr>
            <w:tcW w:w="2707" w:type="dxa"/>
            <w:vAlign w:val="center"/>
            <w:textDirection w:val="lrTb"/>
            <w:noWrap w:val="false"/>
          </w:tcPr>
          <w:p>
            <w:pPr>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DN1000以上</w:t>
            </w:r>
            <w:r/>
          </w:p>
        </w:tc>
        <w:tc>
          <w:tcPr>
            <w:tcW w:w="1887" w:type="dxa"/>
            <w:vAlign w:val="center"/>
            <w:textDirection w:val="lrTb"/>
            <w:noWrap w:val="false"/>
          </w:tcPr>
          <w:p>
            <w:pPr>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236" w:type="dxa"/>
            <w:vAlign w:val="center"/>
            <w:textDirection w:val="lrTb"/>
            <w:noWrap w:val="false"/>
          </w:tcPr>
          <w:p>
            <w:pPr>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2.5</w:t>
            </w:r>
            <w:r/>
          </w:p>
        </w:tc>
        <w:tc>
          <w:tcPr>
            <w:tcW w:w="2541" w:type="dxa"/>
            <w:vAlign w:val="center"/>
            <w:textDirection w:val="lrTb"/>
            <w:noWrap w:val="false"/>
          </w:tcPr>
          <w:p>
            <w:pPr>
              <w:jc w:val="cente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不低于180</w:t>
            </w:r>
            <w:r/>
          </w:p>
        </w:tc>
      </w:tr>
    </w:tbl>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②</w:t>
      </w:r>
      <w:r>
        <w:rPr>
          <w:rFonts w:hint="eastAsia" w:ascii="宋体" w:hAnsi="宋体" w:cs="宋体"/>
          <w:color w:val="auto"/>
          <w:sz w:val="24"/>
          <w:highlight w:val="none"/>
        </w:rPr>
        <w:t xml:space="preserve">断水清通方式与标准</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当管内淤塞严重，淤泥已</w:t>
      </w:r>
      <w:r>
        <w:rPr>
          <w:rFonts w:hint="eastAsia" w:ascii="宋体" w:hAnsi="宋体" w:cs="宋体"/>
          <w:color w:val="auto"/>
          <w:sz w:val="24"/>
          <w:highlight w:val="none"/>
          <w:lang w:eastAsia="zh-CN"/>
        </w:rPr>
        <w:t xml:space="preserve">黏结</w:t>
      </w:r>
      <w:r>
        <w:rPr>
          <w:rFonts w:hint="eastAsia" w:ascii="宋体" w:hAnsi="宋体" w:cs="宋体"/>
          <w:color w:val="auto"/>
          <w:sz w:val="24"/>
          <w:highlight w:val="none"/>
        </w:rPr>
        <w:t xml:space="preserve">密实，带水疏通效果不佳时，应采取封堵断水后，开展清通工作，及时恢复管道功能。</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a</w:t>
      </w:r>
      <w:r>
        <w:rPr>
          <w:rFonts w:hint="eastAsia" w:ascii="宋体" w:hAnsi="宋体" w:cs="宋体"/>
          <w:color w:val="auto"/>
          <w:sz w:val="24"/>
          <w:highlight w:val="none"/>
        </w:rPr>
        <w:t xml:space="preserve">.断水清通养护标准：管道内所有淤积及垃圾均需要清理干净。</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b</w:t>
      </w:r>
      <w:r>
        <w:rPr>
          <w:rFonts w:hint="eastAsia" w:ascii="宋体" w:hAnsi="宋体" w:cs="宋体"/>
          <w:color w:val="auto"/>
          <w:sz w:val="24"/>
          <w:highlight w:val="none"/>
        </w:rPr>
        <w:t xml:space="preserve">.需提供疏通前后淤积深度测量照片、断水清通必须由现场进行视频验收。</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F.</w:t>
      </w:r>
      <w:r>
        <w:rPr>
          <w:rFonts w:ascii="宋体" w:hAnsi="宋体" w:cs="宋体"/>
          <w:color w:val="auto"/>
          <w:sz w:val="24"/>
          <w:highlight w:val="none"/>
        </w:rPr>
        <w:t xml:space="preserve">根据年度工作计划及招标人相关要求，下水道管道检测工作应严格遵循年度周期性检查机制，确保在每年汛期来临之前，全面</w:t>
      </w:r>
      <w:r>
        <w:rPr>
          <w:rFonts w:hint="eastAsia" w:ascii="宋体" w:hAnsi="宋体" w:cs="宋体"/>
          <w:color w:val="auto"/>
          <w:sz w:val="24"/>
          <w:highlight w:val="none"/>
          <w:lang w:val="en-US" w:eastAsia="zh-CN"/>
        </w:rPr>
        <w:t xml:space="preserve">完成相应管网的疏通工作，保障排水</w:t>
      </w:r>
      <w:r>
        <w:rPr>
          <w:rFonts w:ascii="宋体" w:hAnsi="宋体" w:cs="宋体"/>
          <w:color w:val="auto"/>
          <w:sz w:val="24"/>
          <w:highlight w:val="none"/>
        </w:rPr>
        <w:t xml:space="preserve">设施的完好</w:t>
      </w:r>
      <w:r>
        <w:rPr>
          <w:rFonts w:hint="eastAsia" w:ascii="宋体" w:hAnsi="宋体" w:cs="宋体"/>
          <w:color w:val="auto"/>
          <w:sz w:val="24"/>
          <w:highlight w:val="none"/>
        </w:rPr>
        <w:t xml:space="preserve">、通畅</w:t>
      </w:r>
      <w:r>
        <w:rPr>
          <w:rFonts w:ascii="宋体" w:hAnsi="宋体" w:cs="宋体"/>
          <w:color w:val="auto"/>
          <w:sz w:val="24"/>
          <w:highlight w:val="none"/>
        </w:rPr>
        <w:t xml:space="preserve">，并及时提交现场视频或含有水印的照片等</w:t>
      </w:r>
      <w:r>
        <w:rPr>
          <w:rFonts w:hint="eastAsia" w:ascii="宋体" w:hAnsi="宋体" w:cs="宋体"/>
          <w:color w:val="auto"/>
          <w:sz w:val="24"/>
          <w:highlight w:val="none"/>
        </w:rPr>
        <w:t xml:space="preserve">翔实</w:t>
      </w:r>
      <w:r>
        <w:rPr>
          <w:rFonts w:ascii="宋体" w:hAnsi="宋体" w:cs="宋体"/>
          <w:color w:val="auto"/>
          <w:sz w:val="24"/>
          <w:highlight w:val="none"/>
        </w:rPr>
        <w:t xml:space="preserve">证明材料，以确证设施运行的安全性和可靠性。</w:t>
      </w:r>
      <w:r/>
    </w:p>
    <w:p>
      <w:pPr>
        <w:ind w:firstLine="480"/>
        <w:spacing w:line="520" w:lineRule="exact"/>
        <w:rPr>
          <w:rFonts w:hint="eastAsia" w:hAnsi="宋体"/>
          <w:color w:val="auto"/>
          <w:sz w:val="24"/>
          <w:highlight w:val="none"/>
        </w:rPr>
      </w:pPr>
      <w:r>
        <w:rPr>
          <w:rFonts w:hint="eastAsia" w:ascii="宋体" w:hAnsi="宋体" w:cs="宋体"/>
          <w:color w:val="auto"/>
          <w:sz w:val="24"/>
          <w:highlight w:val="none"/>
        </w:rPr>
        <w:t xml:space="preserve">（三）</w:t>
      </w:r>
      <w:r>
        <w:rPr>
          <w:rFonts w:hint="eastAsia" w:hAnsi="宋体"/>
          <w:color w:val="auto"/>
          <w:sz w:val="24"/>
          <w:highlight w:val="none"/>
        </w:rPr>
        <w:t xml:space="preserve">雨水收水口和总排口维护</w:t>
      </w:r>
      <w:r/>
    </w:p>
    <w:p>
      <w:pPr>
        <w:ind w:firstLine="480"/>
        <w:spacing w:line="440" w:lineRule="exact"/>
        <w:rPr>
          <w:rFonts w:hint="eastAsia" w:hAnsi="宋体"/>
          <w:color w:val="auto"/>
          <w:sz w:val="24"/>
          <w:highlight w:val="none"/>
        </w:rPr>
      </w:pPr>
      <w:r>
        <w:rPr>
          <w:rFonts w:hint="eastAsia" w:hAnsi="宋体"/>
          <w:color w:val="auto"/>
          <w:sz w:val="24"/>
          <w:highlight w:val="none"/>
        </w:rPr>
        <w:t xml:space="preserve">1、雨水收水口附近不得有积水现象。</w:t>
      </w:r>
      <w:r/>
    </w:p>
    <w:p>
      <w:pPr>
        <w:ind w:firstLine="480"/>
        <w:spacing w:line="440" w:lineRule="exact"/>
        <w:rPr>
          <w:rFonts w:hint="eastAsia" w:hAnsi="宋体"/>
          <w:color w:val="auto"/>
          <w:sz w:val="24"/>
          <w:highlight w:val="none"/>
        </w:rPr>
      </w:pPr>
      <w:r>
        <w:rPr>
          <w:rFonts w:hint="eastAsia" w:hAnsi="宋体"/>
          <w:color w:val="auto"/>
          <w:sz w:val="24"/>
          <w:highlight w:val="none"/>
        </w:rPr>
        <w:t xml:space="preserve">2、雨水收水口孔盖眼不得堵塞，雨水收水口连接管不得堵塞，雨水收水口完好。</w:t>
      </w:r>
      <w:r/>
    </w:p>
    <w:p>
      <w:pPr>
        <w:ind w:firstLine="480"/>
        <w:spacing w:line="440" w:lineRule="exact"/>
        <w:rPr>
          <w:rFonts w:hint="eastAsia" w:hAnsi="宋体"/>
          <w:color w:val="auto"/>
          <w:sz w:val="24"/>
          <w:highlight w:val="none"/>
        </w:rPr>
      </w:pPr>
      <w:r>
        <w:rPr>
          <w:rFonts w:hint="eastAsia" w:hAnsi="宋体"/>
          <w:color w:val="auto"/>
          <w:sz w:val="24"/>
          <w:highlight w:val="none"/>
        </w:rPr>
        <w:t xml:space="preserve">3、雨水排放口八字墙或端墙外积淤不得高于出水口管底标高。雨水排放口不得有损坏、倾斜。</w:t>
      </w:r>
      <w:r/>
    </w:p>
    <w:p>
      <w:pPr>
        <w:ind w:firstLine="480"/>
        <w:spacing w:line="440" w:lineRule="exact"/>
        <w:rPr>
          <w:rFonts w:hint="eastAsia" w:hAnsi="宋体"/>
          <w:color w:val="auto"/>
          <w:sz w:val="24"/>
          <w:highlight w:val="none"/>
        </w:rPr>
      </w:pPr>
      <w:r>
        <w:rPr>
          <w:rFonts w:hint="eastAsia" w:hAnsi="宋体"/>
          <w:color w:val="auto"/>
          <w:sz w:val="24"/>
          <w:highlight w:val="none"/>
        </w:rPr>
        <w:t xml:space="preserve">4、雨水排放口上游淤泥应及时清理，确保淤泥不进入河道。</w:t>
      </w:r>
      <w:r/>
    </w:p>
    <w:p>
      <w:pPr>
        <w:ind w:firstLine="480"/>
        <w:spacing w:line="440" w:lineRule="exact"/>
        <w:rPr>
          <w:rFonts w:hint="eastAsia" w:ascii="宋体" w:hAnsi="宋体" w:cs="宋体"/>
          <w:color w:val="auto"/>
          <w:sz w:val="24"/>
          <w:highlight w:val="none"/>
        </w:rPr>
      </w:pPr>
      <w:r>
        <w:rPr>
          <w:rFonts w:hint="eastAsia" w:hAnsi="宋体"/>
          <w:color w:val="auto"/>
          <w:sz w:val="24"/>
          <w:highlight w:val="none"/>
        </w:rPr>
        <w:t xml:space="preserve">5、接通知或发现部分低洼路段存在积水，应在一周内对该区域增设收水井。</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（四）污泥运输与处置</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1、污泥盛器和车辆在街道上停放应设置安全标志，夜间应悬挂警示灯。疏通作业完毕后，应及时撤离现场。</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2、污泥运输应符合下列规定：</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A.通沟污泥可采用罐车、自卸卡车或污泥拖斗运输，也可采用水陆联运。</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B.在运输过程中，应做到污泥不落地、沿途无洒落。</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C.污泥运输车辆应加盖，并定期清洗保持整洁。</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D.污泥在长运输距离前宜进行脱水处理，脱水过程可在中转站进行或送污水处理厂处理。</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3、污泥处置应符合下列规定：</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A.污泥在送处置场前，宜进行脱水处理。</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B.脱水后淤泥运至项目所在地有焚烧资质的专业公司合法合规焚烧处置，淤泥处置不得对环境造成污染。</w:t>
      </w:r>
      <w:r>
        <w:rPr>
          <w:rFonts w:hint="eastAsia" w:ascii="宋体" w:hAnsi="宋体" w:cs="宋体"/>
          <w:b/>
          <w:bCs/>
          <w:color w:val="auto"/>
          <w:sz w:val="24"/>
          <w:szCs w:val="24"/>
          <w:highlight w:val="none"/>
        </w:rPr>
        <w:t xml:space="preserve">（提供承诺书）</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（五）台账资料</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1、应建立健全雨污水管网及设施的档案资料管理制度，完善竣工资料，配备专职人员。</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2、雨污水管网日常运行、维护维修、巡视巡察、安全管理等运行记录应完整清晰、准确、规范，及时汇编成册、归档。</w:t>
      </w:r>
      <w:r/>
    </w:p>
    <w:p>
      <w:pPr>
        <w:ind w:firstLine="480"/>
        <w:spacing w:line="44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巡查记录按要求规范填写（</w:t>
      </w:r>
      <w:r>
        <w:rPr>
          <w:rFonts w:hint="eastAsia" w:ascii="宋体" w:hAnsi="宋体" w:cs="宋体"/>
          <w:color w:val="auto"/>
          <w:sz w:val="24"/>
          <w:highlight w:val="none"/>
          <w:lang w:val="en-US" w:eastAsia="zh-CN"/>
        </w:rPr>
        <w:t xml:space="preserve">详见：《硕放街道排水管网养护工作管理质量标准 </w:t>
      </w:r>
      <w:r>
        <w:rPr>
          <w:rFonts w:hint="eastAsia" w:ascii="宋体" w:hAnsi="宋体" w:cs="宋体"/>
          <w:color w:val="auto"/>
          <w:sz w:val="24"/>
          <w:highlight w:val="none"/>
        </w:rPr>
        <w:t xml:space="preserve">附件1</w:t>
      </w:r>
      <w:r>
        <w:rPr>
          <w:rFonts w:hint="eastAsia" w:ascii="宋体" w:hAnsi="宋体" w:cs="宋体"/>
          <w:color w:val="auto"/>
          <w:sz w:val="24"/>
          <w:highlight w:val="none"/>
          <w:lang w:val="en-US" w:eastAsia="zh-CN"/>
        </w:rPr>
        <w:t xml:space="preserve">》</w:t>
      </w:r>
      <w:r>
        <w:rPr>
          <w:rFonts w:hint="eastAsia" w:ascii="宋体" w:hAnsi="宋体" w:cs="宋体"/>
          <w:color w:val="auto"/>
          <w:sz w:val="24"/>
          <w:highlight w:val="none"/>
        </w:rPr>
        <w:t xml:space="preserve">）必须按实填写完整、真实、有效、字迹清楚。每月汇总，并形成《巡查总结报告》（</w:t>
      </w:r>
      <w:r>
        <w:rPr>
          <w:rFonts w:hint="eastAsia" w:ascii="宋体" w:hAnsi="宋体" w:cs="宋体"/>
          <w:color w:val="auto"/>
          <w:sz w:val="24"/>
          <w:highlight w:val="none"/>
          <w:lang w:val="en-US" w:eastAsia="zh-CN"/>
        </w:rPr>
        <w:t xml:space="preserve">详见：《硕放街道排水管网养护工作管理质量标准 </w:t>
      </w:r>
      <w:r>
        <w:rPr>
          <w:rFonts w:hint="eastAsia" w:ascii="宋体" w:hAnsi="宋体" w:cs="宋体"/>
          <w:color w:val="auto"/>
          <w:sz w:val="24"/>
          <w:highlight w:val="none"/>
        </w:rPr>
        <w:t xml:space="preserve">附件</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），经审核后上报，每月装订成册，于次月10日前将以上资料汇总后作为任务单的回复资料</w:t>
      </w:r>
      <w:r>
        <w:rPr>
          <w:rFonts w:hint="eastAsia" w:ascii="宋体" w:hAnsi="宋体" w:cs="宋体"/>
          <w:color w:val="auto"/>
          <w:sz w:val="24"/>
          <w:highlight w:val="none"/>
          <w:lang w:eastAsia="zh-CN"/>
        </w:rPr>
        <w:t xml:space="preserve">。</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3、</w:t>
      </w:r>
      <w:r>
        <w:rPr>
          <w:rFonts w:hint="eastAsia" w:ascii="宋体" w:hAnsi="宋体" w:cs="宋体"/>
          <w:color w:val="auto"/>
          <w:sz w:val="24"/>
          <w:highlight w:val="none"/>
          <w:lang w:eastAsia="zh-CN"/>
        </w:rPr>
        <w:t xml:space="preserve">乙方</w:t>
      </w:r>
      <w:r>
        <w:rPr>
          <w:rFonts w:hint="eastAsia" w:ascii="宋体" w:hAnsi="宋体" w:cs="宋体"/>
          <w:color w:val="auto"/>
          <w:sz w:val="24"/>
          <w:highlight w:val="none"/>
        </w:rPr>
        <w:t xml:space="preserve">应整理、汇总设施量变更情况，每个月10日前把上个月设施量变更情况书面报送至甲方。</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4、</w:t>
      </w:r>
      <w:r>
        <w:rPr>
          <w:rFonts w:hint="eastAsia" w:ascii="宋体" w:hAnsi="宋体" w:cs="宋体"/>
          <w:color w:val="auto"/>
          <w:sz w:val="24"/>
          <w:highlight w:val="none"/>
          <w:lang w:eastAsia="zh-CN"/>
        </w:rPr>
        <w:t xml:space="preserve">乙方</w:t>
      </w:r>
      <w:r>
        <w:rPr>
          <w:rFonts w:hint="eastAsia" w:ascii="宋体" w:hAnsi="宋体" w:cs="宋体"/>
          <w:color w:val="auto"/>
          <w:sz w:val="24"/>
          <w:highlight w:val="none"/>
        </w:rPr>
        <w:t xml:space="preserve">根据甲方要求，在</w:t>
      </w:r>
      <w:r>
        <w:rPr>
          <w:rFonts w:hint="eastAsia" w:ascii="宋体" w:hAnsi="宋体" w:cs="宋体"/>
          <w:color w:val="auto"/>
          <w:sz w:val="24"/>
          <w:highlight w:val="none"/>
          <w:lang w:eastAsia="zh-CN"/>
        </w:rPr>
        <w:t xml:space="preserve">硕放</w:t>
      </w:r>
      <w:r>
        <w:rPr>
          <w:rFonts w:hint="eastAsia" w:ascii="宋体" w:hAnsi="宋体" w:cs="宋体"/>
          <w:color w:val="auto"/>
          <w:sz w:val="24"/>
          <w:highlight w:val="none"/>
        </w:rPr>
        <w:t xml:space="preserve">街道生态环境管理平台上实施养护内容及相关作业流转，上传相关养护资料等</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确保信息共享和管理工作的顺畅进行。</w:t>
      </w:r>
      <w:r/>
    </w:p>
    <w:p>
      <w:pPr>
        <w:ind w:firstLine="480"/>
        <w:spacing w:line="44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下雨前、后或特殊条件下，应24小时无条件响应</w:t>
      </w:r>
      <w:r>
        <w:rPr>
          <w:rFonts w:hint="eastAsia" w:ascii="宋体" w:hAnsi="宋体" w:cs="宋体"/>
          <w:color w:val="auto"/>
          <w:sz w:val="24"/>
          <w:highlight w:val="none"/>
          <w:lang w:eastAsia="zh-CN"/>
        </w:rPr>
        <w:t xml:space="preserve">硕放</w:t>
      </w:r>
      <w:r>
        <w:rPr>
          <w:rFonts w:hint="eastAsia" w:ascii="宋体" w:hAnsi="宋体" w:cs="宋体"/>
          <w:color w:val="auto"/>
          <w:sz w:val="24"/>
          <w:highlight w:val="none"/>
        </w:rPr>
        <w:t xml:space="preserve">街道建设和生态环境办公室要求，及时对主要市政管网及低洼路段加密监测，并做好一定的防护措施；配合对重点排放口的加密巡查</w:t>
      </w:r>
      <w:r>
        <w:rPr>
          <w:rFonts w:hint="eastAsia" w:ascii="宋体" w:hAnsi="宋体" w:cs="宋体"/>
          <w:color w:val="auto"/>
          <w:sz w:val="24"/>
          <w:highlight w:val="none"/>
          <w:lang w:eastAsia="zh-CN"/>
        </w:rPr>
        <w:t xml:space="preserve">。</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（六）应急工作</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eastAsia="zh-CN"/>
        </w:rPr>
        <w:t xml:space="preserve">乙方</w:t>
      </w:r>
      <w:r>
        <w:rPr>
          <w:rFonts w:hint="eastAsia" w:ascii="宋体" w:hAnsi="宋体" w:cs="宋体"/>
          <w:color w:val="auto"/>
          <w:sz w:val="24"/>
          <w:highlight w:val="none"/>
        </w:rPr>
        <w:t xml:space="preserve">应组建一支应急队伍，根据养护工作量能合理覆盖养护范围内的各类应急突发事件，能够及时处置各类突发事件的抢险工作。</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在管网巡查养护过程中发现管网存在破损、渗漏、下沉等问题，且易引起环境污染或可能造成人身伤害的，</w:t>
      </w:r>
      <w:r>
        <w:rPr>
          <w:rFonts w:hint="eastAsia" w:ascii="宋体" w:hAnsi="宋体" w:cs="宋体"/>
          <w:color w:val="auto"/>
          <w:sz w:val="24"/>
          <w:highlight w:val="none"/>
          <w:lang w:eastAsia="zh-CN"/>
        </w:rPr>
        <w:t xml:space="preserve">乙方</w:t>
      </w:r>
      <w:r>
        <w:rPr>
          <w:rFonts w:hint="eastAsia" w:ascii="宋体" w:hAnsi="宋体" w:cs="宋体"/>
          <w:color w:val="auto"/>
          <w:sz w:val="24"/>
          <w:highlight w:val="none"/>
        </w:rPr>
        <w:t xml:space="preserve">应第一时间联系</w:t>
      </w:r>
      <w:r>
        <w:rPr>
          <w:rFonts w:hint="eastAsia" w:ascii="宋体" w:hAnsi="宋体" w:cs="宋体"/>
          <w:color w:val="auto"/>
          <w:sz w:val="24"/>
          <w:highlight w:val="none"/>
          <w:lang w:eastAsia="zh-CN"/>
        </w:rPr>
        <w:t xml:space="preserve">硕放</w:t>
      </w:r>
      <w:r>
        <w:rPr>
          <w:rFonts w:hint="eastAsia" w:ascii="宋体" w:hAnsi="宋体" w:cs="宋体"/>
          <w:color w:val="auto"/>
          <w:sz w:val="24"/>
          <w:highlight w:val="none"/>
        </w:rPr>
        <w:t xml:space="preserve">街道建设和生态环境办公室，并以报告形式上报具体情况，经确认后，第一时间采取围挡、调水等应急处置措施。</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在事故发生或接到报障、报修、投诉后2小时内到达现场，组织调查和应急处置，并立即向主管部门报告。</w:t>
      </w:r>
      <w:r/>
    </w:p>
    <w:p>
      <w:pPr>
        <w:ind w:firstLine="480"/>
        <w:spacing w:line="440" w:lineRule="exact"/>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 xml:space="preserve">乙方</w:t>
      </w:r>
      <w:r>
        <w:rPr>
          <w:rFonts w:hint="eastAsia" w:ascii="宋体" w:hAnsi="宋体" w:cs="宋体"/>
          <w:color w:val="auto"/>
          <w:sz w:val="24"/>
          <w:highlight w:val="none"/>
        </w:rPr>
        <w:t xml:space="preserve">配合</w:t>
      </w:r>
      <w:r>
        <w:rPr>
          <w:rFonts w:hint="eastAsia" w:ascii="宋体" w:hAnsi="宋体" w:cs="宋体"/>
          <w:color w:val="auto"/>
          <w:sz w:val="24"/>
          <w:highlight w:val="none"/>
          <w:lang w:eastAsia="zh-CN"/>
        </w:rPr>
        <w:t xml:space="preserve">硕放</w:t>
      </w:r>
      <w:r>
        <w:rPr>
          <w:rFonts w:hint="eastAsia" w:ascii="宋体" w:hAnsi="宋体" w:cs="宋体"/>
          <w:color w:val="auto"/>
          <w:sz w:val="24"/>
          <w:highlight w:val="none"/>
        </w:rPr>
        <w:t xml:space="preserve">街道建设和生态环境办公室及设计单位，确定抢修方案及施工预算，并根据</w:t>
      </w:r>
      <w:r>
        <w:rPr>
          <w:rFonts w:hint="eastAsia" w:ascii="宋体" w:hAnsi="宋体" w:cs="宋体"/>
          <w:color w:val="auto"/>
          <w:sz w:val="24"/>
          <w:highlight w:val="none"/>
          <w:lang w:eastAsia="zh-CN"/>
        </w:rPr>
        <w:t xml:space="preserve">硕放</w:t>
      </w:r>
      <w:r>
        <w:rPr>
          <w:rFonts w:hint="eastAsia" w:ascii="宋体" w:hAnsi="宋体" w:cs="宋体"/>
          <w:color w:val="auto"/>
          <w:sz w:val="24"/>
          <w:highlight w:val="none"/>
        </w:rPr>
        <w:t xml:space="preserve">街道建设和生态环境办公室下发的抢修任务书，及时组织抢修队伍</w:t>
      </w:r>
      <w:r>
        <w:rPr>
          <w:rFonts w:hint="eastAsia" w:ascii="宋体" w:hAnsi="宋体" w:cs="宋体"/>
          <w:color w:val="auto"/>
          <w:sz w:val="24"/>
          <w:highlight w:val="none"/>
          <w:lang w:eastAsia="zh-CN"/>
        </w:rPr>
        <w:t xml:space="preserve">。</w:t>
      </w:r>
      <w:r/>
    </w:p>
    <w:p>
      <w:pPr>
        <w:ind w:firstLine="480"/>
        <w:jc w:val="both"/>
        <w:spacing w:line="440" w:lineRule="exact"/>
        <w:widowControl w:val="off"/>
        <w:rPr>
          <w:rFonts w:ascii="宋体" w:hAnsi="宋体" w:eastAsia="宋体" w:cs="宋体"/>
          <w:color w:val="auto"/>
          <w:sz w:val="24"/>
          <w:highlight w:val="none"/>
          <w:lang w:bidi="ar-SA"/>
        </w:rPr>
      </w:pPr>
      <w:r>
        <w:rPr>
          <w:rFonts w:ascii="宋体" w:hAnsi="宋体" w:eastAsia="宋体" w:cs="宋体"/>
          <w:color w:val="auto"/>
          <w:sz w:val="24"/>
          <w:highlight w:val="none"/>
          <w:lang w:bidi="ar-SA"/>
        </w:rPr>
        <w:t xml:space="preserve">必须依照设计图纸及施工方案严格执行抢修工程，对施工过程实施严格监控。在开工前，应立即通知</w:t>
      </w:r>
      <w:r>
        <w:rPr>
          <w:rFonts w:hint="eastAsia" w:ascii="宋体" w:hAnsi="宋体" w:cs="宋体"/>
          <w:color w:val="auto"/>
          <w:sz w:val="24"/>
          <w:highlight w:val="none"/>
          <w:lang w:eastAsia="zh-CN" w:bidi="ar-SA"/>
        </w:rPr>
        <w:t xml:space="preserve">硕放</w:t>
      </w:r>
      <w:r>
        <w:rPr>
          <w:rFonts w:ascii="宋体" w:hAnsi="宋体" w:eastAsia="宋体" w:cs="宋体"/>
          <w:color w:val="auto"/>
          <w:sz w:val="24"/>
          <w:highlight w:val="none"/>
          <w:lang w:bidi="ar-SA"/>
        </w:rPr>
        <w:t xml:space="preserve">街道建设与生态环境办公室、跟踪审计、监理等相关单位，并在施工过程中如有任何变更，</w:t>
      </w:r>
      <w:r>
        <w:rPr>
          <w:rFonts w:hint="eastAsia" w:ascii="宋体" w:hAnsi="宋体" w:cs="宋体"/>
          <w:color w:val="auto"/>
          <w:sz w:val="24"/>
          <w:highlight w:val="none"/>
          <w:lang w:eastAsia="zh-CN" w:bidi="ar-SA"/>
        </w:rPr>
        <w:t xml:space="preserve">须</w:t>
      </w:r>
      <w:r>
        <w:rPr>
          <w:rFonts w:ascii="宋体" w:hAnsi="宋体" w:eastAsia="宋体" w:cs="宋体"/>
          <w:color w:val="auto"/>
          <w:sz w:val="24"/>
          <w:highlight w:val="none"/>
          <w:lang w:bidi="ar-SA"/>
        </w:rPr>
        <w:t xml:space="preserve">及时上报并获得确认后方可执行。同时，应与甲方协作完成道路、绿化、交警等部门的相关行政审批手续，确保满足开工条件后方可开始施工。</w:t>
      </w:r>
      <w:r/>
    </w:p>
    <w:p>
      <w:pPr>
        <w:ind w:firstLine="480"/>
        <w:jc w:val="both"/>
        <w:spacing w:line="440" w:lineRule="exact"/>
        <w:widowControl w:val="off"/>
        <w:rPr>
          <w:rFonts w:hint="eastAsia" w:ascii="宋体" w:hAnsi="宋体" w:eastAsia="宋体" w:cs="宋体"/>
          <w:color w:val="auto"/>
          <w:sz w:val="24"/>
          <w:highlight w:val="none"/>
          <w:lang w:eastAsia="zh-CN" w:bidi="ar-SA"/>
        </w:rPr>
      </w:pPr>
      <w:r>
        <w:rPr>
          <w:rFonts w:hint="eastAsia" w:ascii="宋体" w:hAnsi="宋体" w:cs="宋体"/>
          <w:color w:val="auto"/>
          <w:sz w:val="24"/>
          <w:highlight w:val="none"/>
        </w:rPr>
        <w:t xml:space="preserve">抢修结束后，通知并配合</w:t>
      </w:r>
      <w:r>
        <w:rPr>
          <w:rFonts w:hint="eastAsia" w:ascii="宋体" w:hAnsi="宋体" w:cs="宋体"/>
          <w:color w:val="auto"/>
          <w:sz w:val="24"/>
          <w:highlight w:val="none"/>
          <w:lang w:eastAsia="zh-CN"/>
        </w:rPr>
        <w:t xml:space="preserve">硕放</w:t>
      </w:r>
      <w:r>
        <w:rPr>
          <w:rFonts w:hint="eastAsia" w:ascii="宋体" w:hAnsi="宋体" w:cs="宋体"/>
          <w:color w:val="auto"/>
          <w:sz w:val="24"/>
          <w:highlight w:val="none"/>
        </w:rPr>
        <w:t xml:space="preserve">街道建设和生态环境办公室组织竣工验收，验收通过后，方可进行项目结算。</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3、具备多台大排量应急排涝设备，每台排涝设备排水能力应能达到</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lang w:eastAsia="zh-CN"/>
        </w:rPr>
        <w:t xml:space="preserve">00立方米</w:t>
      </w:r>
      <w:r>
        <w:rPr>
          <w:rFonts w:hint="eastAsia" w:ascii="宋体" w:hAnsi="宋体" w:cs="宋体"/>
          <w:color w:val="auto"/>
          <w:sz w:val="24"/>
          <w:highlight w:val="none"/>
        </w:rPr>
        <w:t xml:space="preserve">每小时以上，应具有短时间内排空道路积水的能力。</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、如</w:t>
      </w:r>
      <w:r>
        <w:rPr>
          <w:rFonts w:hint="eastAsia" w:ascii="宋体" w:hAnsi="宋体" w:cs="宋体"/>
          <w:color w:val="auto"/>
          <w:sz w:val="24"/>
          <w:highlight w:val="none"/>
          <w:lang w:eastAsia="zh-CN"/>
        </w:rPr>
        <w:t xml:space="preserve">乙方</w:t>
      </w:r>
      <w:r>
        <w:rPr>
          <w:rFonts w:hint="eastAsia" w:ascii="宋体" w:hAnsi="宋体" w:cs="宋体"/>
          <w:color w:val="auto"/>
          <w:sz w:val="24"/>
          <w:highlight w:val="none"/>
        </w:rPr>
        <w:t xml:space="preserve">无法满足</w:t>
      </w:r>
      <w:r>
        <w:rPr>
          <w:rFonts w:hint="eastAsia" w:ascii="宋体" w:hAnsi="宋体" w:cs="宋体"/>
          <w:color w:val="auto"/>
          <w:sz w:val="24"/>
          <w:highlight w:val="none"/>
          <w:lang w:eastAsia="zh-CN"/>
        </w:rPr>
        <w:t xml:space="preserve">硕放</w:t>
      </w:r>
      <w:r>
        <w:rPr>
          <w:rFonts w:hint="eastAsia" w:ascii="宋体" w:hAnsi="宋体" w:cs="宋体"/>
          <w:color w:val="auto"/>
          <w:sz w:val="24"/>
          <w:highlight w:val="none"/>
        </w:rPr>
        <w:t xml:space="preserve">街道建设和生态环境办公室相关抢修要求，</w:t>
      </w:r>
      <w:r>
        <w:rPr>
          <w:rFonts w:hint="eastAsia" w:ascii="宋体" w:hAnsi="宋体" w:cs="宋体"/>
          <w:color w:val="auto"/>
          <w:sz w:val="24"/>
          <w:highlight w:val="none"/>
          <w:lang w:eastAsia="zh-CN"/>
        </w:rPr>
        <w:t xml:space="preserve">硕放</w:t>
      </w:r>
      <w:r>
        <w:rPr>
          <w:rFonts w:hint="eastAsia" w:ascii="宋体" w:hAnsi="宋体" w:cs="宋体"/>
          <w:color w:val="auto"/>
          <w:sz w:val="24"/>
          <w:highlight w:val="none"/>
        </w:rPr>
        <w:t xml:space="preserve">街道建设和生态环境办公室可根据实际情况，安排其他满足条件的抢修队伍进行应急抢修工作。</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（七）安全文明作业</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1、养护作业人员上岗前须接受必要的安全作业技术培训，掌握人工急救、防护用具、照明、通信设备的使用方法及相关安全知识、经考核合格后持证上岗。</w:t>
      </w:r>
      <w:r>
        <w:rPr>
          <w:rFonts w:hint="eastAsia" w:hAnsi="宋体"/>
          <w:color w:val="auto"/>
          <w:sz w:val="24"/>
          <w:highlight w:val="none"/>
          <w:lang w:eastAsia="zh-CN"/>
        </w:rPr>
        <w:t xml:space="preserve">乙方</w:t>
      </w:r>
      <w:r>
        <w:rPr>
          <w:rFonts w:hint="eastAsia" w:hAnsi="宋体"/>
          <w:color w:val="auto"/>
          <w:sz w:val="24"/>
          <w:highlight w:val="none"/>
        </w:rPr>
        <w:t xml:space="preserve">须购买企业安全生产责任险，并为作业人员购买人身意外保险，在工作中引发的任何安全责任和事故，均由中标人自行承担。</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2、检查井井盖开启后，须立即采取相应安全措施，如加盖安全网盖或设置安全护栏，白天加挂三角红旗，夜间加挂安全红灯或设置反光锥。</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3、作业现场、检查井及管道内严禁明火，车辆、行人不得进入作业区；作业人员下井后，井上应有2人监护；如需人员进入管道作业（管径小于0.8M的管道严禁进入作业），还需在井内增加监护人员做中间联络；监护人员不得擅离职守。</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4、在征得交管部门同意中断交通后，应在道路两端设置断绝交通的警示标志；在繁华地区作业时，应指派专人指挥交通、维护现场秩序。</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5、下井作业经过严格的审批手续，管道维护和检查严格按照现行行业标</w:t>
      </w:r>
      <w:r>
        <w:rPr>
          <w:rFonts w:hint="eastAsia" w:ascii="宋体" w:hAnsi="宋体" w:cs="宋体"/>
          <w:color w:val="auto"/>
          <w:sz w:val="24"/>
          <w:highlight w:val="none"/>
          <w:lang w:eastAsia="zh-CN"/>
        </w:rPr>
        <w:t xml:space="preserve">准和</w:t>
      </w:r>
      <w:r>
        <w:rPr>
          <w:rFonts w:hint="eastAsia" w:ascii="宋体" w:hAnsi="宋体" w:cs="宋体"/>
          <w:color w:val="auto"/>
          <w:sz w:val="24"/>
          <w:highlight w:val="none"/>
        </w:rPr>
        <w:t xml:space="preserve">《排水管道维护安全技术规程》的规定操作、执行；所有下井作业必须提交下井作业申请表，征得</w:t>
      </w:r>
      <w:r>
        <w:rPr>
          <w:rFonts w:hint="eastAsia" w:ascii="宋体" w:hAnsi="宋体" w:cs="宋体"/>
          <w:color w:val="auto"/>
          <w:sz w:val="24"/>
          <w:highlight w:val="none"/>
          <w:lang w:eastAsia="zh-CN"/>
        </w:rPr>
        <w:t xml:space="preserve">硕放街道建设和生态环境办公室</w:t>
      </w:r>
      <w:r>
        <w:rPr>
          <w:rFonts w:hint="eastAsia" w:ascii="宋体" w:hAnsi="宋体" w:cs="宋体"/>
          <w:color w:val="auto"/>
          <w:sz w:val="24"/>
          <w:highlight w:val="none"/>
        </w:rPr>
        <w:t xml:space="preserve">安全负责人确认后方可下井作业，下井作业时施工单位按规定填写下井作业票。</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6、防毒面具应定期校验，下井作业前须再次校验，合格后方可使用。</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7、养护人员应统一着装，作业时应按要求设置警示标志和安全护栏，无抛洒滴漏，工完场清，文明作业。</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8、疏通作业完毕后，污泥盛器和运输车辆应及时撤离现场；确需在街道上暂时停放的，</w:t>
      </w:r>
      <w:r>
        <w:rPr>
          <w:rFonts w:hint="eastAsia" w:ascii="宋体" w:hAnsi="宋体" w:cs="宋体"/>
          <w:color w:val="auto"/>
          <w:sz w:val="24"/>
          <w:highlight w:val="none"/>
          <w:lang w:eastAsia="zh-CN"/>
        </w:rPr>
        <w:t xml:space="preserve">需</w:t>
      </w:r>
      <w:r>
        <w:rPr>
          <w:rFonts w:hint="eastAsia" w:ascii="宋体" w:hAnsi="宋体" w:cs="宋体"/>
          <w:color w:val="auto"/>
          <w:sz w:val="24"/>
          <w:highlight w:val="none"/>
        </w:rPr>
        <w:t xml:space="preserve">经主管部门同意，停放时间不宜超过一昼夜；污泥盛器和运输车辆在街道上停放过夜时，应悬挂安全红灯或设置反光锥。</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9、巡查、养护、抢修车辆车况应经常保持良好状态，车容整洁，标志明显。</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10、</w:t>
      </w:r>
      <w:r>
        <w:rPr>
          <w:rFonts w:hint="eastAsia" w:ascii="宋体" w:hAnsi="宋体" w:cs="宋体"/>
          <w:color w:val="auto"/>
          <w:sz w:val="24"/>
          <w:highlight w:val="none"/>
          <w:lang w:eastAsia="zh-CN"/>
        </w:rPr>
        <w:t xml:space="preserve">乙方</w:t>
      </w:r>
      <w:r>
        <w:rPr>
          <w:rFonts w:hint="eastAsia" w:ascii="宋体" w:hAnsi="宋体" w:cs="宋体"/>
          <w:color w:val="auto"/>
          <w:sz w:val="24"/>
          <w:highlight w:val="none"/>
        </w:rPr>
        <w:t xml:space="preserve">应建立健全管道及其附属设施档案资料管理制度，配备专职档案资料管理人员。各项管网、设施维护台账健全，记录详细，装订规范。运营档案、资料实行计算机自动化管理。</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11、</w:t>
      </w:r>
      <w:r>
        <w:rPr>
          <w:rFonts w:hint="eastAsia" w:ascii="宋体" w:hAnsi="宋体" w:cs="宋体"/>
          <w:color w:val="auto"/>
          <w:sz w:val="24"/>
          <w:highlight w:val="none"/>
          <w:lang w:eastAsia="zh-CN"/>
        </w:rPr>
        <w:t xml:space="preserve">乙方</w:t>
      </w:r>
      <w:r>
        <w:rPr>
          <w:rFonts w:hint="eastAsia" w:ascii="宋体" w:hAnsi="宋体" w:cs="宋体"/>
          <w:color w:val="auto"/>
          <w:sz w:val="24"/>
          <w:highlight w:val="none"/>
        </w:rPr>
        <w:t xml:space="preserve">应向社会公布服务承诺、投诉电话和电子信箱。</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12、每个</w:t>
      </w:r>
      <w:r>
        <w:rPr>
          <w:rFonts w:hint="eastAsia" w:ascii="宋体" w:hAnsi="宋体" w:cs="宋体"/>
          <w:color w:val="auto"/>
          <w:sz w:val="24"/>
          <w:highlight w:val="none"/>
          <w:lang w:val="en-US" w:eastAsia="zh-CN"/>
        </w:rPr>
        <w:t xml:space="preserve">标段养护单位</w:t>
      </w:r>
      <w:r>
        <w:rPr>
          <w:rFonts w:hint="eastAsia" w:ascii="宋体" w:hAnsi="宋体" w:cs="宋体"/>
          <w:color w:val="auto"/>
          <w:sz w:val="24"/>
          <w:highlight w:val="none"/>
        </w:rPr>
        <w:t xml:space="preserve">养护范围内每年被政府部门行政处罚、被社会有效行政投诉或公众媒体有负面报道次数应少于6次。</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13、</w:t>
      </w:r>
      <w:r>
        <w:rPr>
          <w:rFonts w:hint="eastAsia" w:ascii="宋体" w:hAnsi="宋体" w:cs="宋体"/>
          <w:color w:val="auto"/>
          <w:sz w:val="24"/>
          <w:highlight w:val="none"/>
          <w:lang w:eastAsia="zh-CN"/>
        </w:rPr>
        <w:t xml:space="preserve">乙方</w:t>
      </w:r>
      <w:r>
        <w:rPr>
          <w:rFonts w:hint="eastAsia" w:ascii="宋体" w:hAnsi="宋体" w:cs="宋体"/>
          <w:color w:val="auto"/>
          <w:sz w:val="24"/>
          <w:highlight w:val="none"/>
          <w:lang w:val="en-US" w:eastAsia="zh-CN"/>
        </w:rPr>
        <w:t xml:space="preserve">在</w:t>
      </w:r>
      <w:r>
        <w:rPr>
          <w:rFonts w:hint="eastAsia" w:ascii="宋体" w:hAnsi="宋体" w:cs="宋体"/>
          <w:color w:val="auto"/>
          <w:sz w:val="24"/>
          <w:highlight w:val="none"/>
        </w:rPr>
        <w:t xml:space="preserve">接到投诉处理时，必须</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小时之内赶赴现场，立即处置，如无法及时处置的，必须采取有效的应急手段及警示标识，确保不发生次生灾害，污水井井盖问题当天必须处理完成</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每个投诉处理完成后必须按时回复。处理投诉时，</w:t>
      </w:r>
      <w:r>
        <w:rPr>
          <w:rFonts w:hint="eastAsia" w:ascii="宋体" w:hAnsi="宋体" w:cs="宋体"/>
          <w:color w:val="auto"/>
          <w:sz w:val="24"/>
          <w:highlight w:val="none"/>
          <w:lang w:eastAsia="zh-CN"/>
        </w:rPr>
        <w:t xml:space="preserve">乙方</w:t>
      </w:r>
      <w:r>
        <w:rPr>
          <w:rFonts w:hint="eastAsia" w:ascii="宋体" w:hAnsi="宋体" w:cs="宋体"/>
          <w:color w:val="auto"/>
          <w:sz w:val="24"/>
          <w:highlight w:val="none"/>
        </w:rPr>
        <w:t xml:space="preserve">必须直接联系甲方提供的投诉人，并及时向片管员及投诉人告知处理结果。</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w:t>
      </w:r>
      <w:r>
        <w:rPr>
          <w:rFonts w:hint="eastAsia" w:hAnsi="宋体"/>
          <w:color w:val="auto"/>
          <w:sz w:val="24"/>
          <w:highlight w:val="none"/>
        </w:rPr>
        <w:t xml:space="preserve">在对设施进行维修时，应按建设部第15号令《建设工程施工现场管理规定》的要求实施，同时交通围护也应符合有关规范和规定的要求。</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（八）其他：</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1、对采购人提出的工作要求须积极响应。</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2、对中标人的安全管理要求：</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（1）安全应包括正常营运及养护作业时发生事故的交通组织和安全防护。 </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（2）中标人在现场作业或养护时，应作出预测，采用必要的预防性安全措施。 </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（3）每月应进行一次安全教育学习。 </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3、对中标人保护技术资料的要求：</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（1）中标人不得向任何单位和个人提供采购人所提供的各种资料。</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（2）中标人必须按采购方要求对每个养护项目制作项目基础资料。</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（3）中标人在合同期满后须向采购人交回所有由采购人提供的技术资料。</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4、</w:t>
      </w:r>
      <w:r>
        <w:rPr>
          <w:rFonts w:hint="eastAsia" w:ascii="宋体" w:hAnsi="宋体" w:cs="宋体"/>
          <w:color w:val="auto"/>
          <w:sz w:val="24"/>
          <w:highlight w:val="none"/>
          <w:lang w:eastAsia="zh-CN"/>
        </w:rPr>
        <w:t xml:space="preserve">乙方</w:t>
      </w:r>
      <w:r>
        <w:rPr>
          <w:rFonts w:hint="eastAsia" w:ascii="宋体" w:hAnsi="宋体" w:cs="宋体"/>
          <w:color w:val="auto"/>
          <w:sz w:val="24"/>
          <w:highlight w:val="none"/>
        </w:rPr>
        <w:t xml:space="preserve">负责公共秩序维护管理，防止人为破坏、杜绝各类事故的发生。</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5、在遇到异常情况或紧急求助时，工作人员应在15分钟内赶到现场采取相应措施控制局面。</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6、</w:t>
      </w:r>
      <w:r>
        <w:rPr>
          <w:rFonts w:hint="eastAsia" w:ascii="宋体" w:hAnsi="宋体" w:cs="宋体"/>
          <w:color w:val="auto"/>
          <w:sz w:val="24"/>
          <w:highlight w:val="none"/>
          <w:lang w:eastAsia="zh-CN"/>
        </w:rPr>
        <w:t xml:space="preserve">乙方</w:t>
      </w:r>
      <w:r>
        <w:rPr>
          <w:rFonts w:ascii="宋体" w:hAnsi="宋体" w:cs="宋体"/>
          <w:color w:val="auto"/>
          <w:sz w:val="24"/>
          <w:highlight w:val="none"/>
        </w:rPr>
        <w:t xml:space="preserve">应</w:t>
      </w:r>
      <w:r>
        <w:rPr>
          <w:rFonts w:hint="eastAsia" w:ascii="宋体" w:hAnsi="宋体" w:cs="宋体"/>
          <w:color w:val="auto"/>
          <w:sz w:val="24"/>
          <w:highlight w:val="none"/>
        </w:rPr>
        <w:t xml:space="preserve">配合</w:t>
      </w:r>
      <w:r>
        <w:rPr>
          <w:rFonts w:ascii="宋体" w:hAnsi="宋体" w:cs="宋体"/>
          <w:color w:val="auto"/>
          <w:sz w:val="24"/>
          <w:highlight w:val="none"/>
        </w:rPr>
        <w:t xml:space="preserve">招标人，执行上级指令，进行</w:t>
      </w:r>
      <w:r>
        <w:rPr>
          <w:rFonts w:hint="eastAsia" w:ascii="宋体" w:hAnsi="宋体" w:cs="宋体"/>
          <w:color w:val="auto"/>
          <w:sz w:val="24"/>
          <w:highlight w:val="none"/>
        </w:rPr>
        <w:t xml:space="preserve">整治、验收、</w:t>
      </w:r>
      <w:r>
        <w:rPr>
          <w:rFonts w:ascii="宋体" w:hAnsi="宋体" w:cs="宋体"/>
          <w:color w:val="auto"/>
          <w:sz w:val="24"/>
          <w:highlight w:val="none"/>
        </w:rPr>
        <w:t xml:space="preserve">创建</w:t>
      </w:r>
      <w:r>
        <w:rPr>
          <w:rFonts w:hint="eastAsia" w:ascii="宋体" w:hAnsi="宋体" w:cs="宋体"/>
          <w:color w:val="auto"/>
          <w:sz w:val="24"/>
          <w:highlight w:val="none"/>
        </w:rPr>
        <w:t xml:space="preserve">、</w:t>
      </w:r>
      <w:r>
        <w:rPr>
          <w:rFonts w:ascii="宋体" w:hAnsi="宋体" w:cs="宋体"/>
          <w:color w:val="auto"/>
          <w:sz w:val="24"/>
          <w:highlight w:val="none"/>
        </w:rPr>
        <w:t xml:space="preserve">回头看</w:t>
      </w:r>
      <w:r>
        <w:rPr>
          <w:rFonts w:hint="eastAsia" w:ascii="宋体" w:hAnsi="宋体" w:cs="宋体"/>
          <w:color w:val="auto"/>
          <w:sz w:val="24"/>
          <w:highlight w:val="none"/>
        </w:rPr>
        <w:t xml:space="preserve">等，并提供</w:t>
      </w:r>
      <w:r>
        <w:rPr>
          <w:rFonts w:ascii="宋体" w:hAnsi="宋体" w:cs="宋体"/>
          <w:color w:val="auto"/>
          <w:sz w:val="24"/>
          <w:highlight w:val="none"/>
        </w:rPr>
        <w:t xml:space="preserve">相关</w:t>
      </w:r>
      <w:r>
        <w:rPr>
          <w:rFonts w:hint="eastAsia" w:ascii="宋体" w:hAnsi="宋体" w:cs="宋体"/>
          <w:color w:val="auto"/>
          <w:sz w:val="24"/>
          <w:highlight w:val="none"/>
        </w:rPr>
        <w:t xml:space="preserve">资料。</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7、</w:t>
      </w:r>
      <w:r>
        <w:rPr>
          <w:rFonts w:hint="eastAsia" w:ascii="宋体" w:hAnsi="宋体" w:cs="宋体"/>
          <w:color w:val="auto"/>
          <w:sz w:val="24"/>
          <w:highlight w:val="none"/>
          <w:lang w:eastAsia="zh-CN"/>
        </w:rPr>
        <w:t xml:space="preserve">乙方</w:t>
      </w:r>
      <w:r>
        <w:rPr>
          <w:rFonts w:hint="eastAsia" w:ascii="宋体" w:hAnsi="宋体" w:cs="宋体"/>
          <w:color w:val="auto"/>
          <w:sz w:val="24"/>
          <w:highlight w:val="none"/>
        </w:rPr>
        <w:t xml:space="preserve">根据招标人要求，</w:t>
      </w:r>
      <w:r>
        <w:rPr>
          <w:rFonts w:hint="eastAsia" w:ascii="宋体" w:hAnsi="宋体" w:cs="宋体"/>
          <w:color w:val="auto"/>
          <w:sz w:val="24"/>
          <w:szCs w:val="24"/>
          <w:highlight w:val="none"/>
          <w:lang w:bidi="ar"/>
        </w:rPr>
        <w:t xml:space="preserve">对标段范围内雨污水管网进行全覆盖检查，并开展问题排查溯源工作，查清问题。</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8、</w:t>
      </w:r>
      <w:r>
        <w:rPr>
          <w:rFonts w:ascii="宋体" w:hAnsi="宋体" w:cs="宋体"/>
          <w:color w:val="auto"/>
          <w:sz w:val="24"/>
          <w:highlight w:val="none"/>
        </w:rPr>
        <w:t xml:space="preserve">对小区内部排水设施的标识标牌进行必要的补充与完善</w:t>
      </w:r>
      <w:r>
        <w:rPr>
          <w:rFonts w:hint="eastAsia" w:ascii="宋体" w:hAnsi="宋体" w:cs="宋体"/>
          <w:color w:val="auto"/>
          <w:sz w:val="24"/>
          <w:highlight w:val="none"/>
        </w:rPr>
        <w:t xml:space="preserve">。</w:t>
      </w:r>
      <w:r/>
    </w:p>
    <w:p>
      <w:pPr>
        <w:ind w:firstLine="480"/>
        <w:spacing w:line="440" w:lineRule="exact"/>
        <w:rPr>
          <w:rFonts w:hint="eastAsia" w:ascii="宋体" w:hAnsi="宋体" w:cs="宋体"/>
          <w:color w:val="auto"/>
          <w:sz w:val="24"/>
          <w:szCs w:val="22"/>
          <w:highlight w:val="none"/>
        </w:rPr>
      </w:pPr>
      <w:r>
        <w:rPr>
          <w:rFonts w:hint="eastAsia" w:ascii="宋体" w:hAnsi="宋体" w:cs="宋体"/>
          <w:color w:val="auto"/>
          <w:sz w:val="24"/>
          <w:highlight w:val="none"/>
        </w:rPr>
        <w:t xml:space="preserve">9、在合同生效期间，标段地理范围内新建、改建、废除的设施应按本次中标单价纳入或解除养护，所产生的费用变化由本合同最后一次支付。</w:t>
      </w:r>
      <w:r/>
    </w:p>
    <w:p>
      <w:pPr>
        <w:ind w:firstLine="482"/>
        <w:spacing w:line="360" w:lineRule="auto"/>
        <w:rPr>
          <w:rFonts w:hint="eastAsia" w:ascii="宋体" w:hAnsi="宋体"/>
          <w:b/>
          <w:bCs/>
          <w:color w:val="auto"/>
          <w:sz w:val="24"/>
          <w:highlight w:val="none"/>
        </w:rPr>
      </w:pPr>
      <w:r>
        <w:rPr>
          <w:rFonts w:hint="eastAsia" w:ascii="宋体" w:hAnsi="宋体"/>
          <w:b/>
          <w:bCs/>
          <w:color w:val="auto"/>
          <w:sz w:val="24"/>
          <w:highlight w:val="none"/>
        </w:rPr>
        <w:t xml:space="preserve">四、项目验收</w:t>
      </w:r>
      <w:r/>
    </w:p>
    <w:p>
      <w:pPr>
        <w:ind w:firstLine="480"/>
        <w:spacing w:line="360" w:lineRule="auto"/>
        <w:rPr>
          <w:rFonts w:hint="eastAsia" w:ascii="宋体" w:hAnsi="宋体"/>
          <w:color w:val="auto"/>
          <w:sz w:val="24"/>
          <w:highlight w:val="none"/>
        </w:rPr>
      </w:pPr>
      <w:r>
        <w:rPr>
          <w:rFonts w:hint="eastAsia" w:ascii="宋体" w:hAnsi="宋体" w:cs="宋体"/>
          <w:color w:val="auto"/>
          <w:sz w:val="24"/>
          <w:highlight w:val="none"/>
        </w:rPr>
        <w:t xml:space="preserve">1、满足《城镇排水管渠与泵站运行、维护及安全技术规程》（CJJ68-2016）和《新吴区公共雨污水管网（设施）养护作业参考标准》，按照《养护管理考核表》进行季度考核，考核分需达90以上。</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2、本项目所有外运外弃余方、垃圾、淤泥、拆除物、废旧材料等外运运距及弃置物处理均由乙方自行考虑（不得随意乱弃，不得破坏环境，否则承担城管、环保、投诉等造成的一切法律后果与经济损失）。</w:t>
      </w:r>
      <w:r/>
    </w:p>
    <w:p>
      <w:pPr>
        <w:ind w:firstLine="482"/>
        <w:spacing w:line="360" w:lineRule="auto"/>
        <w:rPr>
          <w:rFonts w:hint="eastAsia" w:ascii="宋体" w:hAnsi="宋体"/>
          <w:b/>
          <w:bCs/>
          <w:color w:val="auto"/>
          <w:sz w:val="24"/>
          <w:highlight w:val="none"/>
        </w:rPr>
      </w:pPr>
      <w:r>
        <w:rPr>
          <w:rFonts w:hint="eastAsia" w:ascii="宋体" w:hAnsi="宋体"/>
          <w:b/>
          <w:bCs/>
          <w:color w:val="auto"/>
          <w:sz w:val="24"/>
          <w:highlight w:val="none"/>
        </w:rPr>
        <w:t xml:space="preserve">五、甲乙双方责任</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（一）甲方责任：</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1、指定专人作为甲方联系人予以协调工作。加强与乙方沟通，交流情况，互通信息。</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2、甲方应教育其所属人员尊重乙方工作人员的劳动成果，积极配合乙方工作人员履行好合同所规定的职责和义务。对甲方人员因使用设备、器材器械不当而造成的损失与乙方无关。</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（二）乙方责任：</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乙方在从事养护服务工作中应当做到文明工作、安全生产，采取必要的安全防范措施，合同期内，乙方养护工作人员发生的一切安全问题包括由于乙方提供的养护服务导致的安全事故的责任，均由乙方自行负责，与甲方无关。</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2、乙方应及时调整不适应工作需求的管理人员及其员工。如甲方认为该员工不能胜任本职工作的，必须调整。</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3、乙方应经常对员工进行岗位职责和安全教育，加强岗位责任考核。因管理不当、违规操作发生设备损坏、被盗等安全事故对甲方造成一定损失的，乙方需承担相应的赔偿责任。具体办法于合同签订后经甲乙双方协商后确定。</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4、乙方负有对自己员工的安全责任，甲方不承担任何相关责任。</w:t>
      </w:r>
      <w:r/>
    </w:p>
    <w:p>
      <w:pPr>
        <w:ind w:firstLine="482"/>
        <w:spacing w:line="360" w:lineRule="auto"/>
        <w:rPr>
          <w:rFonts w:hint="eastAsia" w:ascii="宋体" w:hAnsi="宋体"/>
          <w:b/>
          <w:bCs/>
          <w:color w:val="auto"/>
          <w:sz w:val="24"/>
          <w:highlight w:val="none"/>
        </w:rPr>
      </w:pPr>
      <w:r>
        <w:rPr>
          <w:rFonts w:hint="eastAsia" w:ascii="宋体" w:hAnsi="宋体"/>
          <w:b/>
          <w:bCs/>
          <w:color w:val="auto"/>
          <w:sz w:val="24"/>
          <w:highlight w:val="none"/>
        </w:rPr>
        <w:t xml:space="preserve">六、不可抗力</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1、因不可抗力（或甲、乙双方不能控制的原因）不能履行合同的，根据不可抗力的影响，部分或者全部免除责任。但合同一方迟延履行后发生不可抗力的，不能免除责任。</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2、合同一方因不可抗力不能履行合同的，应当及时通知对方，以减轻可能给对方造成的损失，并应当在合理期限内提供证明。</w:t>
      </w:r>
      <w:r/>
    </w:p>
    <w:p>
      <w:pPr>
        <w:ind w:firstLine="482"/>
        <w:spacing w:line="360" w:lineRule="auto"/>
        <w:rPr>
          <w:rFonts w:hint="eastAsia" w:ascii="宋体" w:hAnsi="宋体"/>
          <w:b/>
          <w:bCs/>
          <w:color w:val="auto"/>
          <w:sz w:val="24"/>
          <w:highlight w:val="none"/>
        </w:rPr>
      </w:pPr>
      <w:r>
        <w:rPr>
          <w:rFonts w:hint="eastAsia" w:ascii="宋体" w:hAnsi="宋体"/>
          <w:b/>
          <w:bCs/>
          <w:color w:val="auto"/>
          <w:sz w:val="24"/>
          <w:highlight w:val="none"/>
        </w:rPr>
        <w:t xml:space="preserve">七、合同的解除和转让</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1、合同的解除</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1.1甲方和乙方协商一致，可以解除合同；并报政府采购监管部门审查备案。</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1.2有下列情形之一，合同一方可以解除合同：</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1.2.1 因不可抗力致使不能实现合同目的，未受不可抗力影响的一方有权解除合同；</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1.2.2 因合同一方违约导致合同不能履行，另一方有权解除合同。</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1.2.3有权解除合同的一方，应当在违约事实或不可抗力发生之后三十天内书面通知对方以主张解除合同，合同在书面通知到达对方时解除。</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1.3 乙方出现严重失误，经整改后无法达到甲方要求的，甲方可单方面提出终止合同</w:t>
      </w:r>
      <w:r>
        <w:rPr>
          <w:rFonts w:hint="eastAsia" w:ascii="宋体" w:hAnsi="宋体"/>
          <w:color w:val="auto"/>
          <w:sz w:val="24"/>
          <w:highlight w:val="none"/>
          <w:lang w:eastAsia="zh-CN"/>
        </w:rPr>
        <w:t xml:space="preserve">，由</w:t>
      </w:r>
      <w:r>
        <w:rPr>
          <w:rFonts w:hint="eastAsia" w:ascii="宋体" w:hAnsi="宋体"/>
          <w:color w:val="auto"/>
          <w:sz w:val="24"/>
          <w:highlight w:val="none"/>
        </w:rPr>
        <w:t xml:space="preserve">乙方承担相关经济损失。</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2、合同的转让</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合同的部分和全部都不得转让。</w:t>
      </w:r>
      <w:r/>
    </w:p>
    <w:p>
      <w:pPr>
        <w:ind w:firstLine="482"/>
        <w:spacing w:line="360" w:lineRule="auto"/>
        <w:rPr>
          <w:rFonts w:hint="eastAsia" w:ascii="宋体" w:hAnsi="宋体"/>
          <w:b/>
          <w:bCs/>
          <w:color w:val="auto"/>
          <w:sz w:val="24"/>
          <w:highlight w:val="none"/>
        </w:rPr>
      </w:pPr>
      <w:r>
        <w:rPr>
          <w:rFonts w:hint="eastAsia" w:ascii="宋体" w:hAnsi="宋体"/>
          <w:b/>
          <w:bCs/>
          <w:color w:val="auto"/>
          <w:sz w:val="24"/>
          <w:highlight w:val="none"/>
        </w:rPr>
        <w:t xml:space="preserve">八、合同的生效</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本合同在双方签字盖章后生效，合同签订生效后送至采购代理机构备案。</w:t>
      </w:r>
      <w:r/>
    </w:p>
    <w:p>
      <w:pPr>
        <w:ind w:firstLine="482"/>
        <w:spacing w:line="360" w:lineRule="auto"/>
        <w:rPr>
          <w:rFonts w:hint="eastAsia" w:ascii="宋体" w:hAnsi="宋体"/>
          <w:b/>
          <w:bCs/>
          <w:color w:val="auto"/>
          <w:sz w:val="24"/>
          <w:highlight w:val="none"/>
        </w:rPr>
      </w:pPr>
      <w:r>
        <w:rPr>
          <w:rFonts w:hint="eastAsia" w:ascii="宋体" w:hAnsi="宋体"/>
          <w:b/>
          <w:bCs/>
          <w:color w:val="auto"/>
          <w:sz w:val="24"/>
          <w:highlight w:val="none"/>
        </w:rPr>
        <w:t xml:space="preserve">九、附则</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1、合同份数</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本合同一式</w:t>
      </w:r>
      <w:r>
        <w:rPr>
          <w:rFonts w:hint="eastAsia" w:ascii="宋体" w:hAnsi="宋体"/>
          <w:color w:val="auto"/>
          <w:sz w:val="24"/>
          <w:highlight w:val="none"/>
          <w:lang w:val="en-US" w:eastAsia="zh-CN"/>
        </w:rPr>
        <w:t xml:space="preserve">九</w:t>
      </w:r>
      <w:r>
        <w:rPr>
          <w:rFonts w:hint="eastAsia" w:ascii="宋体" w:hAnsi="宋体"/>
          <w:color w:val="auto"/>
          <w:sz w:val="24"/>
          <w:highlight w:val="none"/>
        </w:rPr>
        <w:t xml:space="preserve">份，甲乙双方各执</w:t>
      </w:r>
      <w:r>
        <w:rPr>
          <w:rFonts w:hint="eastAsia" w:ascii="宋体" w:hAnsi="宋体"/>
          <w:color w:val="auto"/>
          <w:sz w:val="24"/>
          <w:highlight w:val="none"/>
          <w:lang w:eastAsia="zh-CN"/>
        </w:rPr>
        <w:t xml:space="preserve">四份</w:t>
      </w:r>
      <w:r>
        <w:rPr>
          <w:rFonts w:hint="eastAsia" w:ascii="宋体" w:hAnsi="宋体"/>
          <w:color w:val="auto"/>
          <w:sz w:val="24"/>
          <w:highlight w:val="none"/>
        </w:rPr>
        <w:t xml:space="preserve">，采购代理机构一份。</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2、争议解决</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甲乙双方因合同发生争议，签约双方应友好协商解决。协商不成，任何一方可以向甲方所在地人民法院起诉。</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3、未尽事宜</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本合同未尽事宜应按《中华人民共和国民法典》《中华人民共和国政府采购法》以及其他相关法律法规之规定解释。</w:t>
      </w:r>
      <w:r/>
    </w:p>
    <w:p>
      <w:pPr>
        <w:spacing w:line="360" w:lineRule="auto"/>
        <w:tabs>
          <w:tab w:val="left" w:pos="0" w:leader="none"/>
        </w:tabs>
        <w:rPr>
          <w:rFonts w:hint="eastAsia" w:ascii="宋体" w:hAnsi="宋体"/>
          <w:color w:val="auto"/>
          <w:sz w:val="24"/>
          <w:highlight w:val="none"/>
        </w:rPr>
      </w:pPr>
      <w:r>
        <w:rPr>
          <w:rFonts w:hint="eastAsia" w:ascii="宋体" w:hAnsi="宋体"/>
          <w:color w:val="auto"/>
          <w:sz w:val="24"/>
          <w:highlight w:val="none"/>
          <w:lang w:val="zh-CN"/>
        </w:rPr>
        <w:t xml:space="preserve">甲方</w:t>
      </w:r>
      <w:r>
        <w:rPr>
          <w:rFonts w:hint="eastAsia" w:ascii="宋体" w:hAnsi="宋体"/>
          <w:color w:val="auto"/>
          <w:sz w:val="24"/>
          <w:highlight w:val="none"/>
        </w:rPr>
        <w:t xml:space="preserve">（</w:t>
      </w:r>
      <w:r>
        <w:rPr>
          <w:rFonts w:hint="eastAsia" w:ascii="宋体" w:hAnsi="宋体"/>
          <w:color w:val="auto"/>
          <w:sz w:val="24"/>
          <w:highlight w:val="none"/>
          <w:lang w:val="zh-CN"/>
        </w:rPr>
        <w:t xml:space="preserve">公章</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乙方</w:t>
      </w:r>
      <w:r>
        <w:rPr>
          <w:rFonts w:hint="eastAsia" w:ascii="宋体" w:hAnsi="宋体"/>
          <w:color w:val="auto"/>
          <w:sz w:val="24"/>
          <w:highlight w:val="none"/>
        </w:rPr>
        <w:t xml:space="preserve">（</w:t>
      </w:r>
      <w:r>
        <w:rPr>
          <w:rFonts w:hint="eastAsia" w:ascii="宋体" w:hAnsi="宋体"/>
          <w:color w:val="auto"/>
          <w:sz w:val="24"/>
          <w:highlight w:val="none"/>
          <w:lang w:val="zh-CN"/>
        </w:rPr>
        <w:t xml:space="preserve">公章</w:t>
      </w:r>
      <w:r>
        <w:rPr>
          <w:rFonts w:hint="eastAsia" w:ascii="宋体" w:hAnsi="宋体"/>
          <w:color w:val="auto"/>
          <w:sz w:val="24"/>
          <w:highlight w:val="none"/>
        </w:rPr>
        <w:t xml:space="preserve">）：</w:t>
      </w:r>
      <w:r/>
    </w:p>
    <w:p>
      <w:pPr>
        <w:spacing w:line="360" w:lineRule="auto"/>
        <w:tabs>
          <w:tab w:val="left" w:pos="0" w:leader="none"/>
        </w:tabs>
        <w:rPr>
          <w:rFonts w:hint="eastAsia" w:ascii="宋体" w:hAnsi="宋体"/>
          <w:color w:val="auto"/>
          <w:sz w:val="24"/>
          <w:highlight w:val="none"/>
          <w:lang w:val="zh-CN"/>
        </w:rPr>
      </w:pPr>
      <w:r>
        <w:rPr>
          <w:rFonts w:hint="eastAsia" w:ascii="宋体" w:hAnsi="宋体"/>
          <w:color w:val="auto"/>
          <w:sz w:val="24"/>
          <w:highlight w:val="none"/>
          <w:lang w:val="zh-CN"/>
        </w:rPr>
        <w:t xml:space="preserve">法人代表（签章）：</w:t>
      </w:r>
      <w:r>
        <w:rPr>
          <w:rFonts w:ascii="宋体" w:hAnsi="宋体"/>
          <w:color w:val="auto"/>
          <w:sz w:val="24"/>
          <w:highlight w:val="none"/>
          <w:lang w:val="zh-CN"/>
        </w:rPr>
        <w:tab/>
      </w:r>
      <w:r>
        <w:rPr>
          <w:rFonts w:hint="eastAsia" w:ascii="宋体" w:hAnsi="宋体"/>
          <w:color w:val="auto"/>
          <w:sz w:val="24"/>
          <w:highlight w:val="none"/>
          <w:lang w:val="zh-CN"/>
        </w:rPr>
        <w:t xml:space="preserve">                法人代表（签章）：</w:t>
      </w:r>
      <w:r>
        <w:rPr>
          <w:rFonts w:ascii="宋体" w:hAnsi="宋体"/>
          <w:color w:val="auto"/>
          <w:sz w:val="24"/>
          <w:highlight w:val="none"/>
          <w:lang w:val="zh-CN"/>
        </w:rPr>
        <w:tab/>
      </w:r>
      <w:r/>
    </w:p>
    <w:p>
      <w:pPr>
        <w:spacing w:line="360" w:lineRule="auto"/>
        <w:tabs>
          <w:tab w:val="left" w:pos="0" w:leader="none"/>
        </w:tabs>
        <w:rPr>
          <w:rFonts w:hint="eastAsia" w:ascii="宋体" w:hAnsi="宋体"/>
          <w:color w:val="auto"/>
          <w:sz w:val="24"/>
          <w:highlight w:val="none"/>
          <w:lang w:val="zh-CN"/>
        </w:rPr>
      </w:pPr>
      <w:r>
        <w:rPr>
          <w:rFonts w:hint="eastAsia" w:ascii="宋体" w:hAnsi="宋体"/>
          <w:color w:val="auto"/>
          <w:sz w:val="24"/>
          <w:highlight w:val="none"/>
          <w:lang w:val="zh-CN"/>
        </w:rPr>
        <w:t xml:space="preserve">或其授权代理人（签章）：</w:t>
      </w:r>
      <w:r>
        <w:rPr>
          <w:rFonts w:ascii="宋体" w:hAnsi="宋体"/>
          <w:color w:val="auto"/>
          <w:sz w:val="24"/>
          <w:highlight w:val="none"/>
          <w:lang w:val="zh-CN"/>
        </w:rPr>
        <w:tab/>
      </w:r>
      <w:r>
        <w:rPr>
          <w:rFonts w:ascii="宋体" w:hAnsi="宋体"/>
          <w:color w:val="auto"/>
          <w:sz w:val="24"/>
          <w:highlight w:val="none"/>
          <w:lang w:val="zh-CN"/>
        </w:rPr>
        <w:tab/>
      </w:r>
      <w:r>
        <w:rPr>
          <w:rFonts w:hint="eastAsia" w:ascii="宋体" w:hAnsi="宋体"/>
          <w:color w:val="auto"/>
          <w:sz w:val="24"/>
          <w:highlight w:val="none"/>
          <w:lang w:val="zh-CN"/>
        </w:rPr>
        <w:t xml:space="preserve">         或其授权代理人（签章）：</w:t>
      </w:r>
      <w:r>
        <w:rPr>
          <w:rFonts w:ascii="宋体" w:hAnsi="宋体"/>
          <w:color w:val="auto"/>
          <w:sz w:val="24"/>
          <w:highlight w:val="none"/>
          <w:lang w:val="zh-CN"/>
        </w:rPr>
        <w:tab/>
      </w:r>
      <w:r/>
    </w:p>
    <w:p>
      <w:pPr>
        <w:spacing w:line="360" w:lineRule="auto"/>
        <w:tabs>
          <w:tab w:val="left" w:pos="0" w:leader="none"/>
        </w:tabs>
        <w:rPr>
          <w:rFonts w:hint="eastAsia" w:ascii="宋体" w:hAnsi="宋体"/>
          <w:color w:val="auto"/>
          <w:sz w:val="24"/>
          <w:highlight w:val="none"/>
          <w:lang w:val="zh-CN"/>
        </w:rPr>
      </w:pPr>
      <w:r>
        <w:rPr>
          <w:rFonts w:hint="eastAsia" w:ascii="宋体" w:hAnsi="宋体"/>
          <w:color w:val="auto"/>
          <w:sz w:val="24"/>
          <w:highlight w:val="none"/>
        </w:rPr>
        <w:t xml:space="preserve">日期：   </w:t>
      </w:r>
      <w:r>
        <w:rPr>
          <w:rFonts w:hint="eastAsia" w:ascii="宋体" w:hAnsi="宋体"/>
          <w:color w:val="auto"/>
          <w:sz w:val="24"/>
          <w:highlight w:val="none"/>
          <w:lang w:val="zh-CN"/>
        </w:rPr>
        <w:t xml:space="preserve">年月日</w:t>
      </w:r>
      <w:r>
        <w:rPr>
          <w:rFonts w:hint="eastAsia" w:ascii="宋体" w:hAnsi="宋体"/>
          <w:color w:val="auto"/>
          <w:sz w:val="24"/>
          <w:highlight w:val="none"/>
        </w:rPr>
        <w:t xml:space="preserve">                      日期：   </w:t>
      </w:r>
      <w:r>
        <w:rPr>
          <w:rFonts w:hint="eastAsia" w:ascii="宋体" w:hAnsi="宋体"/>
          <w:color w:val="auto"/>
          <w:sz w:val="24"/>
          <w:highlight w:val="none"/>
          <w:lang w:val="zh-CN"/>
        </w:rPr>
        <w:t xml:space="preserve">年月日</w:t>
      </w:r>
      <w:r/>
    </w:p>
    <w:p>
      <w:pPr>
        <w:pStyle w:val="1069"/>
        <w:rPr>
          <w:color w:val="auto"/>
          <w:highlight w:val="none"/>
          <w:lang w:val="zh-CN"/>
        </w:rPr>
      </w:pPr>
      <w:r>
        <w:rPr>
          <w:color w:val="auto"/>
          <w:highlight w:val="none"/>
          <w:lang w:val="zh-CN"/>
        </w:rPr>
      </w:r>
      <w:r/>
    </w:p>
    <w:p>
      <w:pPr>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见证方：              （盖章）                                                     </w:t>
      </w:r>
      <w:r/>
    </w:p>
    <w:p>
      <w:pPr>
        <w:ind w:firstLine="480"/>
        <w:jc w:val="left"/>
        <w:spacing w:line="360" w:lineRule="auto"/>
        <w:widowControl/>
        <w:rPr>
          <w:rFonts w:hint="eastAsia" w:ascii="宋体" w:hAnsi="宋体" w:cs="宋体"/>
          <w:bCs/>
          <w:color w:val="auto"/>
          <w:sz w:val="24"/>
          <w:highlight w:val="none"/>
          <w:lang w:val="zh-CN"/>
        </w:rPr>
      </w:pPr>
      <w:r>
        <w:rPr>
          <w:rFonts w:hint="eastAsia" w:ascii="宋体" w:hAnsi="宋体"/>
          <w:bCs/>
          <w:color w:val="auto"/>
          <w:sz w:val="24"/>
          <w:highlight w:val="none"/>
        </w:rPr>
        <w:t xml:space="preserve">        年      月       日</w:t>
      </w:r>
      <w:r/>
    </w:p>
    <w:p>
      <w:pPr>
        <w:rPr>
          <w:rFonts w:ascii="黑体" w:eastAsia="黑体"/>
          <w:bCs/>
          <w:color w:val="auto"/>
          <w:sz w:val="28"/>
          <w:szCs w:val="28"/>
          <w:highlight w:val="none"/>
        </w:rPr>
      </w:pPr>
      <w:r>
        <w:rPr>
          <w:rFonts w:hint="eastAsia" w:ascii="黑体" w:eastAsia="黑体"/>
          <w:bCs/>
          <w:color w:val="auto"/>
          <w:sz w:val="28"/>
          <w:szCs w:val="28"/>
          <w:highlight w:val="none"/>
        </w:rPr>
        <w:br w:type="page" w:clear="all"/>
      </w:r>
      <w:r/>
    </w:p>
    <w:p>
      <w:pPr>
        <w:jc w:val="center"/>
        <w:rPr>
          <w:rFonts w:ascii="黑体" w:eastAsia="黑体"/>
          <w:bCs/>
          <w:color w:val="auto"/>
          <w:sz w:val="28"/>
          <w:szCs w:val="28"/>
          <w:highlight w:val="none"/>
        </w:rPr>
        <w:outlineLvl w:val="0"/>
      </w:pPr>
      <w:r>
        <w:rPr>
          <w:rFonts w:hint="eastAsia" w:ascii="黑体" w:eastAsia="黑体"/>
          <w:bCs/>
          <w:color w:val="auto"/>
          <w:sz w:val="28"/>
          <w:szCs w:val="28"/>
          <w:highlight w:val="none"/>
        </w:rPr>
        <w:t xml:space="preserve">六、附件</w:t>
      </w:r>
      <w:r/>
    </w:p>
    <w:p>
      <w:pPr>
        <w:ind w:firstLine="480"/>
        <w:jc w:val="left"/>
        <w:spacing w:line="360" w:lineRule="auto"/>
        <w:rPr>
          <w:rFonts w:ascii="黑体" w:eastAsia="黑体"/>
          <w:bCs/>
          <w:color w:val="auto"/>
          <w:sz w:val="24"/>
          <w:szCs w:val="24"/>
          <w:highlight w:val="none"/>
        </w:rPr>
      </w:pPr>
      <w:r>
        <w:rPr>
          <w:rFonts w:hint="eastAsia" w:ascii="黑体" w:eastAsia="黑体"/>
          <w:bCs/>
          <w:color w:val="auto"/>
          <w:sz w:val="24"/>
          <w:szCs w:val="24"/>
          <w:highlight w:val="none"/>
        </w:rPr>
        <w:t xml:space="preserve">附件一：评分标准</w:t>
      </w:r>
      <w:r/>
    </w:p>
    <w:p>
      <w:pPr>
        <w:ind w:firstLine="482"/>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特别注意：本项目采用暗标形式，投标人须对商务部分和技术文件部分分别进行制作。其中技术文件部分属于暗标，投标人在制作技术文件部分相关内容时不得有体现投标人身份的内容，否则投标无效。</w:t>
      </w:r>
      <w:r/>
    </w:p>
    <w:p>
      <w:pPr>
        <w:ind w:firstLine="482"/>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评分标准：</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（一）评分项目及分值（总分100分）</w:t>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1.投标报价                                     30分</w:t>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2.</w:t>
      </w:r>
      <w:r>
        <w:rPr>
          <w:rFonts w:hint="eastAsia" w:ascii="宋体" w:hAnsi="宋体" w:cs="宋体"/>
          <w:b/>
          <w:color w:val="auto"/>
          <w:sz w:val="24"/>
          <w:highlight w:val="none"/>
          <w:lang w:eastAsia="zh-CN"/>
        </w:rPr>
        <w:t xml:space="preserve">投标人</w:t>
      </w:r>
      <w:r>
        <w:rPr>
          <w:rFonts w:hint="eastAsia" w:ascii="宋体" w:hAnsi="宋体" w:cs="宋体"/>
          <w:b/>
          <w:color w:val="auto"/>
          <w:sz w:val="24"/>
          <w:highlight w:val="none"/>
        </w:rPr>
        <w:t xml:space="preserve">评价                              </w:t>
      </w:r>
      <w:r>
        <w:rPr>
          <w:rFonts w:hint="eastAsia" w:ascii="宋体" w:hAnsi="宋体" w:cs="宋体"/>
          <w:b/>
          <w:color w:val="auto"/>
          <w:sz w:val="24"/>
          <w:highlight w:val="none"/>
          <w:lang w:val="en-US" w:eastAsia="zh-CN"/>
        </w:rPr>
        <w:t xml:space="preserve">    </w:t>
      </w:r>
      <w:r>
        <w:rPr>
          <w:rFonts w:hint="eastAsia" w:ascii="宋体" w:hAnsi="宋体" w:cs="宋体"/>
          <w:b/>
          <w:color w:val="auto"/>
          <w:sz w:val="24"/>
          <w:highlight w:val="none"/>
        </w:rPr>
        <w:t xml:space="preserve"> </w:t>
      </w:r>
      <w:r>
        <w:rPr>
          <w:rFonts w:hint="eastAsia" w:ascii="宋体" w:hAnsi="宋体" w:cs="宋体"/>
          <w:b/>
          <w:color w:val="auto"/>
          <w:sz w:val="24"/>
          <w:highlight w:val="none"/>
          <w:lang w:val="en-US" w:eastAsia="zh-CN"/>
        </w:rPr>
        <w:t xml:space="preserve">20</w:t>
      </w:r>
      <w:r>
        <w:rPr>
          <w:rFonts w:hint="eastAsia" w:ascii="宋体" w:hAnsi="宋体" w:cs="宋体"/>
          <w:b/>
          <w:color w:val="auto"/>
          <w:sz w:val="24"/>
          <w:highlight w:val="none"/>
        </w:rPr>
        <w:t xml:space="preserve">分</w:t>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3.技术文件（暗标）                             5</w:t>
      </w:r>
      <w:r>
        <w:rPr>
          <w:rFonts w:hint="eastAsia" w:ascii="宋体" w:hAnsi="宋体" w:cs="宋体"/>
          <w:b/>
          <w:color w:val="auto"/>
          <w:sz w:val="24"/>
          <w:highlight w:val="none"/>
          <w:lang w:val="en-US" w:eastAsia="zh-CN"/>
        </w:rPr>
        <w:t xml:space="preserve">0</w:t>
      </w:r>
      <w:r>
        <w:rPr>
          <w:rFonts w:hint="eastAsia" w:ascii="宋体" w:hAnsi="宋体" w:cs="宋体"/>
          <w:b/>
          <w:color w:val="auto"/>
          <w:sz w:val="24"/>
          <w:highlight w:val="none"/>
        </w:rPr>
        <w:t xml:space="preserve">分</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（二）各项目评分标准</w:t>
      </w:r>
      <w:r/>
    </w:p>
    <w:p>
      <w:pPr>
        <w:ind w:firstLine="482"/>
        <w:jc w:val="left"/>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1.投标报价（30分）</w:t>
      </w:r>
      <w:r/>
    </w:p>
    <w:p>
      <w:pPr>
        <w:ind w:firstLine="480"/>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采用低价优先法计算，即满足招标文件要求且投标价格最低的投标报价为评标基准价，其价格分为满分。其他</w:t>
      </w:r>
      <w:r>
        <w:rPr>
          <w:rFonts w:hint="eastAsia" w:ascii="宋体" w:hAnsi="宋体" w:cs="宋体"/>
          <w:bCs/>
          <w:color w:val="auto"/>
          <w:sz w:val="24"/>
          <w:szCs w:val="24"/>
          <w:highlight w:val="none"/>
          <w:lang w:eastAsia="zh-CN"/>
        </w:rPr>
        <w:t xml:space="preserve">投标人</w:t>
      </w:r>
      <w:r>
        <w:rPr>
          <w:rFonts w:hint="eastAsia" w:ascii="宋体" w:hAnsi="宋体" w:cs="宋体"/>
          <w:bCs/>
          <w:color w:val="auto"/>
          <w:sz w:val="24"/>
          <w:szCs w:val="24"/>
          <w:highlight w:val="none"/>
        </w:rPr>
        <w:t xml:space="preserve">的价格分统一按照下列公式计算：</w:t>
      </w:r>
      <w:r/>
    </w:p>
    <w:p>
      <w:pPr>
        <w:ind w:firstLine="480"/>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投标报价得分=（评标基准价／投标报价）×价格权值×100。</w:t>
      </w:r>
      <w:r/>
    </w:p>
    <w:p>
      <w:pPr>
        <w:ind w:left="0" w:firstLine="480"/>
        <w:keepLines w:val="0"/>
        <w:keepNext w:val="0"/>
        <w:pageBreakBefore w:val="0"/>
        <w:spacing w:line="360" w:lineRule="auto"/>
        <w:widowControl w:val="off"/>
        <w:tabs>
          <w:tab w:val="left" w:pos="136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备注：（一）政府采购评审中出现下列情形之一的，评审委员会应当启动异常低价投标（响应）审查程序： </w:t>
      </w:r>
      <w:r/>
    </w:p>
    <w:p>
      <w:pPr>
        <w:ind w:left="0" w:firstLine="480"/>
        <w:keepLines w:val="0"/>
        <w:keepNext w:val="0"/>
        <w:pageBreakBefore w:val="0"/>
        <w:spacing w:line="360" w:lineRule="auto"/>
        <w:widowControl w:val="off"/>
        <w:tabs>
          <w:tab w:val="left" w:pos="136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1.投标（响应）报价低于全部通过符合性审查供应商投标（响应）报价平均值50%的，即投标（响应）报价〈全部通过符合性审查供应商投标（响应）报价平均值×50%； </w:t>
      </w:r>
      <w:r/>
    </w:p>
    <w:p>
      <w:pPr>
        <w:ind w:left="0" w:firstLine="480"/>
        <w:keepLines w:val="0"/>
        <w:keepNext w:val="0"/>
        <w:pageBreakBefore w:val="0"/>
        <w:spacing w:line="360" w:lineRule="auto"/>
        <w:widowControl w:val="off"/>
        <w:tabs>
          <w:tab w:val="left" w:pos="136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2.投标（响应）报价低于通过符合性审查的次低报价供应商投标（响应）报价50%的，即投标（响应）报价〈通过符合性审查的次低报价供应商投标（响应）报价×50%； </w:t>
      </w:r>
      <w:r/>
    </w:p>
    <w:p>
      <w:pPr>
        <w:ind w:left="0" w:firstLine="480"/>
        <w:keepLines w:val="0"/>
        <w:keepNext w:val="0"/>
        <w:pageBreakBefore w:val="0"/>
        <w:spacing w:line="360" w:lineRule="auto"/>
        <w:widowControl w:val="off"/>
        <w:tabs>
          <w:tab w:val="left" w:pos="136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3.投标（响应）报价低于采购项目最高限价45%的，即投标（响应）报价〈采购项目最高限价×45%； </w:t>
      </w:r>
      <w:r/>
    </w:p>
    <w:p>
      <w:pPr>
        <w:ind w:left="0" w:firstLine="480"/>
        <w:keepLines w:val="0"/>
        <w:keepNext w:val="0"/>
        <w:pageBreakBefore w:val="0"/>
        <w:spacing w:line="360" w:lineRule="auto"/>
        <w:widowControl w:val="off"/>
        <w:tabs>
          <w:tab w:val="left" w:pos="136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4.评审委员会基于专业判断，认为供应商报价过低，有可能影响产品质量或者不能诚信履约的其他情形。</w:t>
      </w:r>
      <w:r/>
    </w:p>
    <w:p>
      <w:pPr>
        <w:ind w:left="0" w:firstLine="480"/>
        <w:keepLines w:val="0"/>
        <w:keepNext w:val="0"/>
        <w:pageBreakBefore w:val="0"/>
        <w:spacing w:line="360" w:lineRule="auto"/>
        <w:widowControl w:val="off"/>
        <w:tabs>
          <w:tab w:val="left" w:pos="136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二）评审委员会启动异常低价投标（响应）审查后，属于前述第1项至第4项情形的，应当要求相关供应商在评审现场合理的时间（40分钟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pStyle w:val="789"/>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异常低价投标（响应）审查的启动原因、审查意见和审查结果应当在评审报告中记录。</w:t>
      </w:r>
      <w:r/>
    </w:p>
    <w:p>
      <w:pPr>
        <w:ind w:firstLine="482"/>
        <w:spacing w:line="360" w:lineRule="auto"/>
        <w:tabs>
          <w:tab w:val="left" w:pos="420" w:leader="none"/>
          <w:tab w:val="left" w:pos="945" w:leader="none"/>
          <w:tab w:val="left" w:pos="1155"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w:t>
      </w:r>
      <w:r>
        <w:rPr>
          <w:rFonts w:hint="eastAsia" w:ascii="宋体" w:hAnsi="宋体" w:eastAsia="宋体" w:cs="宋体"/>
          <w:b/>
          <w:bCs/>
          <w:color w:val="auto"/>
          <w:sz w:val="24"/>
          <w:szCs w:val="24"/>
          <w:highlight w:val="none"/>
          <w:lang w:eastAsia="zh-CN"/>
        </w:rPr>
        <w:t xml:space="preserve">投标人</w:t>
      </w:r>
      <w:r>
        <w:rPr>
          <w:rFonts w:hint="eastAsia" w:ascii="宋体" w:hAnsi="宋体" w:eastAsia="宋体" w:cs="宋体"/>
          <w:b/>
          <w:bCs/>
          <w:color w:val="auto"/>
          <w:sz w:val="24"/>
          <w:szCs w:val="24"/>
          <w:highlight w:val="none"/>
        </w:rPr>
        <w:t xml:space="preserve">评价（</w:t>
      </w:r>
      <w:r>
        <w:rPr>
          <w:rFonts w:hint="eastAsia" w:ascii="宋体" w:hAnsi="宋体" w:cs="宋体"/>
          <w:b/>
          <w:bCs/>
          <w:color w:val="auto"/>
          <w:sz w:val="24"/>
          <w:szCs w:val="24"/>
          <w:highlight w:val="none"/>
          <w:lang w:val="en-US" w:eastAsia="zh-CN"/>
        </w:rPr>
        <w:t xml:space="preserve">20</w:t>
      </w:r>
      <w:r>
        <w:rPr>
          <w:rFonts w:hint="eastAsia" w:ascii="宋体" w:hAnsi="宋体" w:eastAsia="宋体" w:cs="宋体"/>
          <w:b/>
          <w:bCs/>
          <w:color w:val="auto"/>
          <w:sz w:val="24"/>
          <w:szCs w:val="24"/>
          <w:highlight w:val="none"/>
        </w:rPr>
        <w:t xml:space="preserve">分）</w:t>
      </w:r>
      <w:r/>
    </w:p>
    <w:p>
      <w:pPr>
        <w:ind w:left="0" w:firstLine="480"/>
        <w:keepLines w:val="0"/>
        <w:keepNext w:val="0"/>
        <w:pageBreakBefore w:val="0"/>
        <w:spacing w:line="360" w:lineRule="auto"/>
        <w:widowControl w:val="off"/>
        <w:tabs>
          <w:tab w:val="left" w:pos="136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（1）业绩（1分）</w:t>
      </w:r>
      <w:r/>
    </w:p>
    <w:p>
      <w:pPr>
        <w:ind w:left="0" w:firstLine="480"/>
        <w:keepLines w:val="0"/>
        <w:keepNext w:val="0"/>
        <w:pageBreakBefore w:val="0"/>
        <w:spacing w:line="360" w:lineRule="auto"/>
        <w:widowControl w:val="off"/>
        <w:tabs>
          <w:tab w:val="left" w:pos="136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投标供应商自202</w:t>
      </w: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年1月1日以来承担过类似养护项目</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包含雨水和污水管网养护）</w:t>
      </w:r>
      <w:r>
        <w:rPr>
          <w:rFonts w:hint="eastAsia" w:ascii="宋体" w:hAnsi="宋体" w:eastAsia="宋体" w:cs="宋体"/>
          <w:bCs/>
          <w:color w:val="auto"/>
          <w:sz w:val="24"/>
          <w:szCs w:val="24"/>
          <w:highlight w:val="none"/>
        </w:rPr>
        <w:t xml:space="preserve">，有1个得</w:t>
      </w: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分，本项最高得1分</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时间以合同签订日期为准，提供中标通知书、合同以及履约证明（履约证明是指在本项目招标公告发布之日之前已开具的发票记录、对应收款记录等能够证明合同履约的相关文件）扫描件上传至电子投标文件，未按要求提供不得分】</w:t>
      </w:r>
      <w:r/>
    </w:p>
    <w:p>
      <w:pPr>
        <w:ind w:left="0" w:firstLine="480"/>
        <w:keepLines w:val="0"/>
        <w:keepNext w:val="0"/>
        <w:pageBreakBefore w:val="0"/>
        <w:spacing w:line="360" w:lineRule="auto"/>
        <w:widowControl w:val="off"/>
        <w:tabs>
          <w:tab w:val="left" w:pos="136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（2）投标供应商综合能力（</w:t>
      </w: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分）</w:t>
      </w:r>
      <w:r/>
    </w:p>
    <w:p>
      <w:pPr>
        <w:ind w:left="0" w:firstLine="480"/>
        <w:keepLines w:val="0"/>
        <w:keepNext w:val="0"/>
        <w:pageBreakBefore w:val="0"/>
        <w:spacing w:line="360" w:lineRule="auto"/>
        <w:widowControl w:val="off"/>
        <w:tabs>
          <w:tab w:val="left" w:pos="136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供应商提供有效期内的</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排水管道检测与评估作业能力等级证书</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，《排水管道清淤疏通及化粪池清理作业能力等级证书》，</w:t>
      </w:r>
      <w:r>
        <w:rPr>
          <w:rFonts w:hint="eastAsia" w:ascii="宋体" w:hAnsi="宋体" w:eastAsia="宋体" w:cs="宋体"/>
          <w:bCs/>
          <w:color w:val="auto"/>
          <w:sz w:val="24"/>
          <w:szCs w:val="24"/>
          <w:highlight w:val="none"/>
        </w:rPr>
        <w:t xml:space="preserve">有一个得</w:t>
      </w:r>
      <w:r>
        <w:rPr>
          <w:rFonts w:hint="eastAsia" w:ascii="宋体" w:hAnsi="宋体" w:eastAsia="宋体" w:cs="宋体"/>
          <w:bCs/>
          <w:color w:val="auto"/>
          <w:sz w:val="24"/>
          <w:szCs w:val="24"/>
          <w:highlight w:val="none"/>
          <w:lang w:val="en-US" w:eastAsia="zh-CN"/>
        </w:rPr>
        <w:t xml:space="preserve">1.5</w:t>
      </w:r>
      <w:r>
        <w:rPr>
          <w:rFonts w:hint="eastAsia" w:ascii="宋体" w:hAnsi="宋体" w:eastAsia="宋体" w:cs="宋体"/>
          <w:bCs/>
          <w:color w:val="auto"/>
          <w:sz w:val="24"/>
          <w:szCs w:val="24"/>
          <w:highlight w:val="none"/>
        </w:rPr>
        <w:t xml:space="preserve">分，本项最高得</w:t>
      </w: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分【需提供证书原件扫描件上传至投标文件中，未提供或提供不全均不得分</w:t>
      </w:r>
      <w:r>
        <w:rPr>
          <w:rFonts w:hint="eastAsia" w:ascii="宋体" w:hAnsi="宋体" w:cs="宋体"/>
          <w:bCs/>
          <w:color w:val="auto"/>
          <w:sz w:val="24"/>
          <w:szCs w:val="24"/>
          <w:highlight w:val="none"/>
          <w:lang w:eastAsia="zh-CN"/>
        </w:rPr>
        <w:t xml:space="preserve">】</w:t>
      </w:r>
      <w:r/>
    </w:p>
    <w:p>
      <w:pPr>
        <w:ind w:left="0" w:firstLine="480"/>
        <w:keepLines w:val="0"/>
        <w:keepNext w:val="0"/>
        <w:pageBreakBefore w:val="0"/>
        <w:spacing w:line="360" w:lineRule="auto"/>
        <w:widowControl w:val="off"/>
        <w:tabs>
          <w:tab w:val="left" w:pos="1365" w:leader="none"/>
        </w:tabs>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投标供应商荣誉（2分）</w:t>
      </w:r>
      <w:r/>
    </w:p>
    <w:p>
      <w:pPr>
        <w:ind w:left="0" w:firstLine="480"/>
        <w:keepLines w:val="0"/>
        <w:keepNext w:val="0"/>
        <w:pageBreakBefore w:val="0"/>
        <w:spacing w:line="360" w:lineRule="auto"/>
        <w:widowControl w:val="off"/>
        <w:tabs>
          <w:tab w:val="left" w:pos="136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自 202</w:t>
      </w: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年1月1日以来，</w:t>
      </w:r>
      <w:r>
        <w:rPr>
          <w:rFonts w:hint="eastAsia" w:ascii="宋体" w:hAnsi="宋体" w:eastAsia="宋体" w:cs="宋体"/>
          <w:bCs/>
          <w:color w:val="auto"/>
          <w:sz w:val="24"/>
          <w:szCs w:val="24"/>
          <w:highlight w:val="none"/>
          <w:lang w:val="en-US" w:eastAsia="zh-CN"/>
        </w:rPr>
        <w:t xml:space="preserve">投标供应商</w:t>
      </w:r>
      <w:r>
        <w:rPr>
          <w:rFonts w:hint="eastAsia" w:ascii="宋体" w:hAnsi="宋体" w:eastAsia="宋体" w:cs="宋体"/>
          <w:bCs/>
          <w:color w:val="auto"/>
          <w:sz w:val="24"/>
          <w:szCs w:val="24"/>
          <w:highlight w:val="none"/>
        </w:rPr>
        <w:t xml:space="preserve">获得过县（区）及以上党政机关颁发的抗雪防冻或防汛抗台或</w:t>
      </w:r>
      <w:r>
        <w:rPr>
          <w:rFonts w:hint="eastAsia" w:ascii="宋体" w:hAnsi="宋体" w:eastAsia="宋体" w:cs="宋体"/>
          <w:bCs/>
          <w:color w:val="auto"/>
          <w:sz w:val="24"/>
          <w:szCs w:val="24"/>
          <w:highlight w:val="none"/>
          <w:lang w:val="en-US" w:eastAsia="zh-CN"/>
        </w:rPr>
        <w:t xml:space="preserve">抢险救灾</w:t>
      </w:r>
      <w:r>
        <w:rPr>
          <w:rFonts w:hint="eastAsia" w:ascii="宋体" w:hAnsi="宋体" w:eastAsia="宋体" w:cs="宋体"/>
          <w:bCs/>
          <w:color w:val="auto"/>
          <w:sz w:val="24"/>
          <w:szCs w:val="24"/>
          <w:highlight w:val="none"/>
        </w:rPr>
        <w:t xml:space="preserve">等应急保障类荣誉或表彰的，有1个得</w:t>
      </w: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分，本项最高得</w:t>
      </w: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分</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提供相关颁奖文件原件</w:t>
      </w:r>
      <w:r>
        <w:rPr>
          <w:rFonts w:hint="eastAsia" w:ascii="宋体" w:hAnsi="宋体" w:eastAsia="宋体" w:cs="宋体"/>
          <w:bCs/>
          <w:color w:val="auto"/>
          <w:sz w:val="24"/>
          <w:szCs w:val="24"/>
          <w:highlight w:val="none"/>
        </w:rPr>
        <w:t xml:space="preserve">扫描件上传至投标文件中</w:t>
      </w:r>
      <w:r>
        <w:rPr>
          <w:rFonts w:hint="eastAsia" w:ascii="宋体" w:hAnsi="宋体" w:eastAsia="宋体" w:cs="宋体"/>
          <w:bCs/>
          <w:color w:val="auto"/>
          <w:sz w:val="24"/>
          <w:szCs w:val="24"/>
          <w:highlight w:val="none"/>
          <w:lang w:val="en-US" w:eastAsia="zh-CN"/>
        </w:rPr>
        <w:t xml:space="preserve">，不提供不得分。日期以颁奖文件落款日期为准</w:t>
      </w:r>
      <w:r>
        <w:rPr>
          <w:rFonts w:hint="eastAsia" w:ascii="宋体" w:hAnsi="宋体" w:cs="宋体"/>
          <w:bCs/>
          <w:color w:val="auto"/>
          <w:sz w:val="24"/>
          <w:szCs w:val="24"/>
          <w:highlight w:val="none"/>
          <w:lang w:val="en-US" w:eastAsia="zh-CN"/>
        </w:rPr>
        <w:t xml:space="preserve">】</w:t>
      </w:r>
      <w:r/>
    </w:p>
    <w:p>
      <w:pPr>
        <w:ind w:left="0" w:firstLine="480"/>
        <w:keepLines w:val="0"/>
        <w:keepNext w:val="0"/>
        <w:pageBreakBefore w:val="0"/>
        <w:spacing w:line="360" w:lineRule="auto"/>
        <w:widowControl w:val="off"/>
        <w:tabs>
          <w:tab w:val="left" w:pos="136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）人员配备（</w:t>
      </w:r>
      <w:r>
        <w:rPr>
          <w:rFonts w:hint="eastAsia" w:ascii="宋体" w:hAnsi="宋体" w:eastAsia="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rPr>
        <w:t xml:space="preserve">分）</w:t>
      </w:r>
      <w:r/>
    </w:p>
    <w:p>
      <w:pPr>
        <w:ind w:left="0" w:firstLine="480"/>
        <w:keepLines w:val="0"/>
        <w:keepNext w:val="0"/>
        <w:pageBreakBefore w:val="0"/>
        <w:spacing w:line="360" w:lineRule="auto"/>
        <w:widowControl w:val="off"/>
        <w:tabs>
          <w:tab w:val="left" w:pos="136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①项目负责人（</w:t>
      </w:r>
      <w:r>
        <w:rPr>
          <w:rFonts w:hint="eastAsia" w:ascii="宋体" w:hAnsi="宋体" w:eastAsia="宋体" w:cs="宋体"/>
          <w:bCs/>
          <w:color w:val="auto"/>
          <w:sz w:val="24"/>
          <w:szCs w:val="24"/>
          <w:highlight w:val="none"/>
          <w:lang w:val="en-US" w:eastAsia="zh-CN"/>
        </w:rPr>
        <w:t xml:space="preserve">0.5分</w:t>
      </w:r>
      <w:r>
        <w:rPr>
          <w:rFonts w:hint="eastAsia" w:ascii="宋体" w:hAnsi="宋体" w:eastAsia="宋体" w:cs="宋体"/>
          <w:bCs/>
          <w:color w:val="auto"/>
          <w:sz w:val="24"/>
          <w:szCs w:val="24"/>
          <w:highlight w:val="none"/>
        </w:rPr>
        <w:t xml:space="preserve">）</w:t>
      </w:r>
      <w:r/>
    </w:p>
    <w:p>
      <w:pPr>
        <w:ind w:left="0" w:firstLine="480"/>
        <w:keepLines w:val="0"/>
        <w:keepNext w:val="0"/>
        <w:pageBreakBefore w:val="0"/>
        <w:spacing w:line="360" w:lineRule="auto"/>
        <w:widowControl w:val="off"/>
        <w:tabs>
          <w:tab w:val="left" w:pos="1365" w:leader="none"/>
        </w:tabs>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拟派本项目的项目负责人具有</w:t>
      </w:r>
      <w:r>
        <w:rPr>
          <w:rFonts w:hint="eastAsia" w:ascii="宋体" w:hAnsi="宋体" w:eastAsia="宋体" w:cs="宋体"/>
          <w:bCs/>
          <w:color w:val="auto"/>
          <w:sz w:val="24"/>
          <w:szCs w:val="24"/>
          <w:highlight w:val="none"/>
          <w:lang w:val="en-US" w:eastAsia="zh-CN"/>
        </w:rPr>
        <w:t xml:space="preserve">专</w:t>
      </w:r>
      <w:r>
        <w:rPr>
          <w:rFonts w:hint="eastAsia" w:ascii="宋体" w:hAnsi="宋体" w:eastAsia="宋体" w:cs="宋体"/>
          <w:bCs/>
          <w:color w:val="auto"/>
          <w:sz w:val="24"/>
          <w:szCs w:val="24"/>
          <w:highlight w:val="none"/>
        </w:rPr>
        <w:t xml:space="preserve">科及以上学历</w:t>
      </w:r>
      <w:r>
        <w:rPr>
          <w:rFonts w:hint="eastAsia" w:ascii="宋体" w:hAnsi="宋体" w:eastAsia="宋体" w:cs="宋体"/>
          <w:bCs/>
          <w:color w:val="auto"/>
          <w:sz w:val="24"/>
          <w:szCs w:val="24"/>
          <w:highlight w:val="none"/>
          <w:lang w:val="en-US" w:eastAsia="zh-CN"/>
        </w:rPr>
        <w:t xml:space="preserve">且</w:t>
      </w:r>
      <w:r>
        <w:rPr>
          <w:rFonts w:hint="eastAsia" w:ascii="宋体" w:hAnsi="宋体" w:eastAsia="宋体" w:cs="宋体"/>
          <w:bCs/>
          <w:color w:val="auto"/>
          <w:sz w:val="24"/>
          <w:szCs w:val="24"/>
          <w:highlight w:val="none"/>
        </w:rPr>
        <w:t xml:space="preserve">具</w:t>
      </w:r>
      <w:r>
        <w:rPr>
          <w:rFonts w:hint="eastAsia" w:ascii="宋体" w:hAnsi="宋体" w:eastAsia="宋体" w:cs="宋体"/>
          <w:bCs/>
          <w:color w:val="auto"/>
          <w:sz w:val="24"/>
          <w:szCs w:val="24"/>
          <w:highlight w:val="none"/>
          <w:lang w:val="en-US" w:eastAsia="zh-CN"/>
        </w:rPr>
        <w:t xml:space="preserve">备一级及以上注册建造师（市政公用工程）</w:t>
      </w:r>
      <w:r>
        <w:rPr>
          <w:rFonts w:hint="eastAsia" w:ascii="宋体" w:hAnsi="宋体" w:eastAsia="宋体" w:cs="宋体"/>
          <w:bCs/>
          <w:color w:val="auto"/>
          <w:sz w:val="24"/>
          <w:szCs w:val="24"/>
          <w:highlight w:val="none"/>
        </w:rPr>
        <w:t xml:space="preserve">得</w:t>
      </w:r>
      <w:r>
        <w:rPr>
          <w:rFonts w:hint="eastAsia" w:ascii="宋体" w:hAnsi="宋体" w:eastAsia="宋体" w:cs="宋体"/>
          <w:bCs/>
          <w:color w:val="auto"/>
          <w:sz w:val="24"/>
          <w:szCs w:val="24"/>
          <w:highlight w:val="none"/>
          <w:lang w:val="en-US" w:eastAsia="zh-CN"/>
        </w:rPr>
        <w:t xml:space="preserve">0.5</w:t>
      </w:r>
      <w:r>
        <w:rPr>
          <w:rFonts w:hint="eastAsia" w:ascii="宋体" w:hAnsi="宋体" w:eastAsia="宋体" w:cs="宋体"/>
          <w:bCs/>
          <w:color w:val="auto"/>
          <w:sz w:val="24"/>
          <w:szCs w:val="24"/>
          <w:highlight w:val="none"/>
        </w:rPr>
        <w:t xml:space="preserve">分</w:t>
      </w:r>
      <w:r>
        <w:rPr>
          <w:rFonts w:hint="eastAsia" w:ascii="宋体" w:hAnsi="宋体" w:eastAsia="宋体" w:cs="宋体"/>
          <w:bCs/>
          <w:color w:val="auto"/>
          <w:sz w:val="24"/>
          <w:szCs w:val="24"/>
          <w:highlight w:val="none"/>
          <w:lang w:eastAsia="zh-CN"/>
        </w:rPr>
        <w:t xml:space="preserve">；</w:t>
      </w:r>
      <w:r/>
    </w:p>
    <w:p>
      <w:pPr>
        <w:ind w:left="0" w:firstLine="480"/>
        <w:keepLines w:val="0"/>
        <w:keepNext w:val="0"/>
        <w:pageBreakBefore w:val="0"/>
        <w:spacing w:line="360" w:lineRule="auto"/>
        <w:widowControl w:val="off"/>
        <w:tabs>
          <w:tab w:val="left" w:pos="136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②</w:t>
      </w:r>
      <w:r>
        <w:rPr>
          <w:rFonts w:hint="eastAsia" w:ascii="宋体" w:hAnsi="宋体" w:eastAsia="宋体" w:cs="宋体"/>
          <w:bCs/>
          <w:color w:val="auto"/>
          <w:sz w:val="24"/>
          <w:szCs w:val="24"/>
          <w:highlight w:val="none"/>
          <w:lang w:val="en-US" w:eastAsia="zh-CN"/>
        </w:rPr>
        <w:t xml:space="preserve">技术</w:t>
      </w:r>
      <w:r>
        <w:rPr>
          <w:rFonts w:hint="eastAsia" w:ascii="宋体" w:hAnsi="宋体" w:eastAsia="宋体" w:cs="宋体"/>
          <w:bCs/>
          <w:color w:val="auto"/>
          <w:sz w:val="24"/>
          <w:szCs w:val="24"/>
          <w:highlight w:val="none"/>
        </w:rPr>
        <w:t xml:space="preserve">负责人（</w:t>
      </w:r>
      <w:r>
        <w:rPr>
          <w:rFonts w:hint="eastAsia" w:ascii="宋体" w:hAnsi="宋体" w:eastAsia="宋体" w:cs="宋体"/>
          <w:bCs/>
          <w:color w:val="auto"/>
          <w:sz w:val="24"/>
          <w:szCs w:val="24"/>
          <w:highlight w:val="none"/>
          <w:lang w:val="en-US" w:eastAsia="zh-CN"/>
        </w:rPr>
        <w:t xml:space="preserve">0.5</w:t>
      </w:r>
      <w:r>
        <w:rPr>
          <w:rFonts w:hint="eastAsia" w:ascii="宋体" w:hAnsi="宋体" w:eastAsia="宋体" w:cs="宋体"/>
          <w:bCs/>
          <w:color w:val="auto"/>
          <w:sz w:val="24"/>
          <w:szCs w:val="24"/>
          <w:highlight w:val="none"/>
        </w:rPr>
        <w:t xml:space="preserve">分）</w:t>
      </w:r>
      <w:r/>
    </w:p>
    <w:p>
      <w:pPr>
        <w:ind w:left="0" w:firstLine="480"/>
        <w:keepLines w:val="0"/>
        <w:keepNext w:val="0"/>
        <w:pageBreakBefore w:val="0"/>
        <w:spacing w:line="360" w:lineRule="auto"/>
        <w:widowControl w:val="off"/>
        <w:tabs>
          <w:tab w:val="left" w:pos="136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除项目负责人外，拟派技术负责人具有高级及以上职称（市政工程相关专业）得</w:t>
      </w:r>
      <w:r>
        <w:rPr>
          <w:rFonts w:hint="eastAsia" w:ascii="宋体" w:hAnsi="宋体" w:eastAsia="宋体" w:cs="宋体"/>
          <w:bCs/>
          <w:color w:val="auto"/>
          <w:sz w:val="24"/>
          <w:szCs w:val="24"/>
          <w:highlight w:val="none"/>
          <w:lang w:val="en-US" w:eastAsia="zh-CN"/>
        </w:rPr>
        <w:t xml:space="preserve">0.5</w:t>
      </w:r>
      <w:r>
        <w:rPr>
          <w:rFonts w:hint="eastAsia" w:ascii="宋体" w:hAnsi="宋体" w:eastAsia="宋体" w:cs="宋体"/>
          <w:bCs/>
          <w:color w:val="auto"/>
          <w:sz w:val="24"/>
          <w:szCs w:val="24"/>
          <w:highlight w:val="none"/>
        </w:rPr>
        <w:t xml:space="preserve">分。</w:t>
      </w:r>
      <w:r/>
    </w:p>
    <w:p>
      <w:pPr>
        <w:ind w:left="0" w:firstLine="480"/>
        <w:keepLines w:val="0"/>
        <w:keepNext w:val="0"/>
        <w:pageBreakBefore w:val="0"/>
        <w:spacing w:line="360" w:lineRule="auto"/>
        <w:widowControl w:val="off"/>
        <w:tabs>
          <w:tab w:val="left" w:pos="136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③其他技术作业人员配备（</w:t>
      </w: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分）</w:t>
      </w:r>
      <w:r/>
    </w:p>
    <w:p>
      <w:pPr>
        <w:ind w:left="0" w:firstLine="480"/>
        <w:keepLines w:val="0"/>
        <w:keepNext w:val="0"/>
        <w:pageBreakBefore w:val="0"/>
        <w:spacing w:line="360" w:lineRule="auto"/>
        <w:widowControl w:val="off"/>
        <w:tabs>
          <w:tab w:val="left" w:pos="1365" w:leader="none"/>
        </w:tabs>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1）拟派技术员具有</w:t>
      </w:r>
      <w:r>
        <w:rPr>
          <w:rFonts w:hint="eastAsia" w:ascii="宋体" w:hAnsi="宋体" w:eastAsia="宋体" w:cs="宋体"/>
          <w:bCs/>
          <w:color w:val="auto"/>
          <w:sz w:val="24"/>
          <w:szCs w:val="24"/>
          <w:highlight w:val="none"/>
          <w:lang w:val="en-US" w:eastAsia="zh-CN"/>
        </w:rPr>
        <w:t xml:space="preserve">专</w:t>
      </w:r>
      <w:r>
        <w:rPr>
          <w:rFonts w:hint="eastAsia" w:ascii="宋体" w:hAnsi="宋体" w:eastAsia="宋体" w:cs="宋体"/>
          <w:bCs/>
          <w:color w:val="auto"/>
          <w:sz w:val="24"/>
          <w:szCs w:val="24"/>
          <w:highlight w:val="none"/>
        </w:rPr>
        <w:t xml:space="preserve">科及以上学历且具备中级及以上职称（市政工程相关专业）的得</w:t>
      </w:r>
      <w:r>
        <w:rPr>
          <w:rFonts w:hint="eastAsia" w:ascii="宋体" w:hAnsi="宋体" w:eastAsia="宋体" w:cs="宋体"/>
          <w:bCs/>
          <w:color w:val="auto"/>
          <w:sz w:val="24"/>
          <w:szCs w:val="24"/>
          <w:highlight w:val="none"/>
          <w:lang w:val="en-US" w:eastAsia="zh-CN"/>
        </w:rPr>
        <w:t xml:space="preserve">0.25</w:t>
      </w:r>
      <w:r>
        <w:rPr>
          <w:rFonts w:hint="eastAsia" w:ascii="宋体" w:hAnsi="宋体" w:eastAsia="宋体" w:cs="宋体"/>
          <w:bCs/>
          <w:color w:val="auto"/>
          <w:sz w:val="24"/>
          <w:szCs w:val="24"/>
          <w:highlight w:val="none"/>
        </w:rPr>
        <w:t xml:space="preserve">分，</w:t>
      </w:r>
      <w:r>
        <w:rPr>
          <w:rFonts w:hint="eastAsia" w:ascii="宋体" w:hAnsi="宋体" w:eastAsia="宋体" w:cs="宋体"/>
          <w:bCs/>
          <w:color w:val="auto"/>
          <w:sz w:val="24"/>
          <w:szCs w:val="24"/>
          <w:highlight w:val="none"/>
          <w:lang w:val="en-US" w:eastAsia="zh-CN"/>
        </w:rPr>
        <w:t xml:space="preserve">同时具备二级及以上注册建造师（市政公用工程）的得0.25分，</w:t>
      </w:r>
      <w:r>
        <w:rPr>
          <w:rFonts w:hint="eastAsia" w:ascii="宋体" w:hAnsi="宋体" w:eastAsia="宋体" w:cs="宋体"/>
          <w:bCs/>
          <w:color w:val="auto"/>
          <w:sz w:val="24"/>
          <w:szCs w:val="24"/>
          <w:highlight w:val="none"/>
        </w:rPr>
        <w:t xml:space="preserve">最高得</w:t>
      </w:r>
      <w:r>
        <w:rPr>
          <w:rFonts w:hint="eastAsia" w:ascii="宋体" w:hAnsi="宋体" w:eastAsia="宋体" w:cs="宋体"/>
          <w:bCs/>
          <w:color w:val="auto"/>
          <w:sz w:val="24"/>
          <w:szCs w:val="24"/>
          <w:highlight w:val="none"/>
          <w:lang w:val="en-US" w:eastAsia="zh-CN"/>
        </w:rPr>
        <w:t xml:space="preserve">0.5</w:t>
      </w:r>
      <w:r>
        <w:rPr>
          <w:rFonts w:hint="eastAsia" w:ascii="宋体" w:hAnsi="宋体" w:eastAsia="宋体" w:cs="宋体"/>
          <w:bCs/>
          <w:color w:val="auto"/>
          <w:sz w:val="24"/>
          <w:szCs w:val="24"/>
          <w:highlight w:val="none"/>
        </w:rPr>
        <w:t xml:space="preserve">分</w:t>
      </w:r>
      <w:r>
        <w:rPr>
          <w:rFonts w:hint="eastAsia" w:ascii="宋体" w:hAnsi="宋体" w:eastAsia="宋体" w:cs="宋体"/>
          <w:bCs/>
          <w:color w:val="auto"/>
          <w:sz w:val="24"/>
          <w:szCs w:val="24"/>
          <w:highlight w:val="none"/>
          <w:lang w:eastAsia="zh-CN"/>
        </w:rPr>
        <w:t xml:space="preserve">；</w:t>
      </w:r>
      <w:r/>
    </w:p>
    <w:p>
      <w:pPr>
        <w:ind w:left="0" w:firstLine="480"/>
        <w:keepLines w:val="0"/>
        <w:keepNext w:val="0"/>
        <w:pageBreakBefore w:val="0"/>
        <w:spacing w:line="360" w:lineRule="auto"/>
        <w:widowControl w:val="off"/>
        <w:tabs>
          <w:tab w:val="left" w:pos="136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2）拟派</w:t>
      </w:r>
      <w:r>
        <w:rPr>
          <w:rFonts w:hint="eastAsia" w:ascii="宋体" w:hAnsi="宋体" w:eastAsia="宋体" w:cs="宋体"/>
          <w:bCs/>
          <w:color w:val="auto"/>
          <w:sz w:val="24"/>
          <w:szCs w:val="24"/>
          <w:highlight w:val="none"/>
          <w:lang w:val="en-US" w:eastAsia="zh-CN"/>
        </w:rPr>
        <w:t xml:space="preserve">人员</w:t>
      </w:r>
      <w:r>
        <w:rPr>
          <w:rFonts w:hint="eastAsia" w:ascii="宋体" w:hAnsi="宋体" w:eastAsia="宋体" w:cs="宋体"/>
          <w:bCs/>
          <w:color w:val="auto"/>
          <w:sz w:val="24"/>
          <w:szCs w:val="24"/>
          <w:highlight w:val="none"/>
        </w:rPr>
        <w:t xml:space="preserve">具备</w:t>
      </w:r>
      <w:r>
        <w:rPr>
          <w:rFonts w:hint="eastAsia" w:ascii="宋体" w:hAnsi="宋体" w:eastAsia="宋体" w:cs="宋体"/>
          <w:bCs/>
          <w:color w:val="auto"/>
          <w:sz w:val="24"/>
          <w:szCs w:val="24"/>
          <w:highlight w:val="none"/>
          <w:lang w:val="en-US" w:eastAsia="zh-CN"/>
        </w:rPr>
        <w:t xml:space="preserve">专科及以上学历且具备</w:t>
      </w:r>
      <w:r>
        <w:rPr>
          <w:rFonts w:hint="eastAsia" w:ascii="宋体" w:hAnsi="宋体" w:eastAsia="宋体" w:cs="宋体"/>
          <w:bCs/>
          <w:color w:val="auto"/>
          <w:sz w:val="24"/>
          <w:szCs w:val="24"/>
          <w:highlight w:val="none"/>
        </w:rPr>
        <w:t xml:space="preserve">市政排水管道修复与更新应用</w:t>
      </w:r>
      <w:r>
        <w:rPr>
          <w:rFonts w:hint="eastAsia" w:ascii="宋体" w:hAnsi="宋体" w:eastAsia="宋体" w:cs="宋体"/>
          <w:bCs/>
          <w:color w:val="auto"/>
          <w:sz w:val="24"/>
          <w:szCs w:val="24"/>
          <w:highlight w:val="none"/>
          <w:lang w:val="en-US" w:eastAsia="zh-CN"/>
        </w:rPr>
        <w:t xml:space="preserve">证书</w:t>
      </w:r>
      <w:r>
        <w:rPr>
          <w:rFonts w:hint="eastAsia" w:ascii="宋体" w:hAnsi="宋体" w:eastAsia="宋体" w:cs="宋体"/>
          <w:bCs/>
          <w:color w:val="auto"/>
          <w:sz w:val="24"/>
          <w:szCs w:val="24"/>
          <w:highlight w:val="none"/>
        </w:rPr>
        <w:t xml:space="preserve">的得</w:t>
      </w:r>
      <w:r>
        <w:rPr>
          <w:rFonts w:hint="eastAsia" w:ascii="宋体" w:hAnsi="宋体" w:eastAsia="宋体" w:cs="宋体"/>
          <w:bCs/>
          <w:color w:val="auto"/>
          <w:sz w:val="24"/>
          <w:szCs w:val="24"/>
          <w:highlight w:val="none"/>
          <w:lang w:val="en-US" w:eastAsia="zh-CN"/>
        </w:rPr>
        <w:t xml:space="preserve">0.5</w:t>
      </w:r>
      <w:r>
        <w:rPr>
          <w:rFonts w:hint="eastAsia" w:ascii="宋体" w:hAnsi="宋体" w:eastAsia="宋体" w:cs="宋体"/>
          <w:bCs/>
          <w:color w:val="auto"/>
          <w:sz w:val="24"/>
          <w:szCs w:val="24"/>
          <w:highlight w:val="none"/>
        </w:rPr>
        <w:t xml:space="preserve">分，最高得</w:t>
      </w:r>
      <w:r>
        <w:rPr>
          <w:rFonts w:hint="eastAsia" w:ascii="宋体" w:hAnsi="宋体" w:eastAsia="宋体" w:cs="宋体"/>
          <w:bCs/>
          <w:color w:val="auto"/>
          <w:sz w:val="24"/>
          <w:szCs w:val="24"/>
          <w:highlight w:val="none"/>
          <w:lang w:val="en-US" w:eastAsia="zh-CN"/>
        </w:rPr>
        <w:t xml:space="preserve">0.5</w:t>
      </w:r>
      <w:r>
        <w:rPr>
          <w:rFonts w:hint="eastAsia" w:ascii="宋体" w:hAnsi="宋体" w:eastAsia="宋体" w:cs="宋体"/>
          <w:bCs/>
          <w:color w:val="auto"/>
          <w:sz w:val="24"/>
          <w:szCs w:val="24"/>
          <w:highlight w:val="none"/>
        </w:rPr>
        <w:t xml:space="preserve">分；</w:t>
      </w:r>
      <w:r/>
    </w:p>
    <w:p>
      <w:pPr>
        <w:ind w:left="0" w:firstLine="480"/>
        <w:keepLines w:val="0"/>
        <w:keepNext w:val="0"/>
        <w:pageBreakBefore w:val="0"/>
        <w:spacing w:line="360" w:lineRule="auto"/>
        <w:widowControl w:val="off"/>
        <w:tabs>
          <w:tab w:val="left" w:pos="1365"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 xml:space="preserve">3）拟派</w:t>
      </w:r>
      <w:r>
        <w:rPr>
          <w:rFonts w:hint="eastAsia" w:ascii="宋体" w:hAnsi="宋体" w:eastAsia="宋体" w:cs="宋体"/>
          <w:bCs/>
          <w:color w:val="auto"/>
          <w:sz w:val="24"/>
          <w:szCs w:val="24"/>
          <w:highlight w:val="none"/>
          <w:lang w:val="en-US" w:eastAsia="zh-CN"/>
        </w:rPr>
        <w:t xml:space="preserve">人员</w:t>
      </w:r>
      <w:r>
        <w:rPr>
          <w:rFonts w:hint="eastAsia" w:ascii="宋体" w:hAnsi="宋体" w:eastAsia="宋体" w:cs="宋体"/>
          <w:bCs/>
          <w:color w:val="auto"/>
          <w:sz w:val="24"/>
          <w:szCs w:val="24"/>
          <w:highlight w:val="none"/>
        </w:rPr>
        <w:t xml:space="preserve">具备</w:t>
      </w:r>
      <w:r>
        <w:rPr>
          <w:rFonts w:hint="eastAsia" w:ascii="宋体" w:hAnsi="宋体" w:eastAsia="宋体" w:cs="宋体"/>
          <w:bCs/>
          <w:color w:val="auto"/>
          <w:sz w:val="24"/>
          <w:szCs w:val="24"/>
          <w:highlight w:val="none"/>
          <w:lang w:val="en-US" w:eastAsia="zh-CN"/>
        </w:rPr>
        <w:t xml:space="preserve">专科及以上学历且具备排水管道检测与评估证书的得0.5分，最高得0.5分；</w:t>
      </w:r>
      <w:r/>
    </w:p>
    <w:p>
      <w:pPr>
        <w:ind w:left="0" w:firstLine="480"/>
        <w:keepLines w:val="0"/>
        <w:keepNext w:val="0"/>
        <w:pageBreakBefore w:val="0"/>
        <w:spacing w:line="360" w:lineRule="auto"/>
        <w:widowControl w:val="off"/>
        <w:tabs>
          <w:tab w:val="left" w:pos="136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拟派</w:t>
      </w:r>
      <w:r>
        <w:rPr>
          <w:rFonts w:hint="eastAsia" w:ascii="宋体" w:hAnsi="宋体" w:eastAsia="宋体" w:cs="宋体"/>
          <w:bCs/>
          <w:color w:val="auto"/>
          <w:sz w:val="24"/>
          <w:szCs w:val="24"/>
          <w:highlight w:val="none"/>
          <w:lang w:val="en-US" w:eastAsia="zh-CN"/>
        </w:rPr>
        <w:t xml:space="preserve">人员</w:t>
      </w:r>
      <w:r>
        <w:rPr>
          <w:rFonts w:hint="eastAsia" w:ascii="宋体" w:hAnsi="宋体" w:eastAsia="宋体" w:cs="宋体"/>
          <w:bCs/>
          <w:color w:val="auto"/>
          <w:sz w:val="24"/>
          <w:szCs w:val="24"/>
          <w:highlight w:val="none"/>
        </w:rPr>
        <w:t xml:space="preserve">具备市政工程潜水员证的得0.5分，最高得</w:t>
      </w: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分；</w:t>
      </w:r>
      <w:r/>
    </w:p>
    <w:p>
      <w:pPr>
        <w:ind w:left="0" w:firstLine="480"/>
        <w:keepLines w:val="0"/>
        <w:keepNext w:val="0"/>
        <w:pageBreakBefore w:val="0"/>
        <w:spacing w:line="360" w:lineRule="auto"/>
        <w:widowControl w:val="off"/>
        <w:tabs>
          <w:tab w:val="left" w:pos="136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rPr>
        <w:t xml:space="preserve">）拟派</w:t>
      </w:r>
      <w:r>
        <w:rPr>
          <w:rFonts w:hint="eastAsia" w:ascii="宋体" w:hAnsi="宋体" w:eastAsia="宋体" w:cs="宋体"/>
          <w:bCs/>
          <w:color w:val="auto"/>
          <w:sz w:val="24"/>
          <w:szCs w:val="24"/>
          <w:highlight w:val="none"/>
          <w:lang w:val="en-US" w:eastAsia="zh-CN"/>
        </w:rPr>
        <w:t xml:space="preserve">人员</w:t>
      </w:r>
      <w:r>
        <w:rPr>
          <w:rFonts w:hint="eastAsia" w:ascii="宋体" w:hAnsi="宋体" w:eastAsia="宋体" w:cs="宋体"/>
          <w:bCs/>
          <w:color w:val="auto"/>
          <w:sz w:val="24"/>
          <w:szCs w:val="24"/>
          <w:highlight w:val="none"/>
        </w:rPr>
        <w:t xml:space="preserve">具备下水道养护工（高级）</w:t>
      </w:r>
      <w:r>
        <w:rPr>
          <w:rFonts w:hint="eastAsia" w:ascii="宋体" w:hAnsi="宋体" w:eastAsia="宋体" w:cs="宋体"/>
          <w:bCs/>
          <w:color w:val="auto"/>
          <w:sz w:val="24"/>
          <w:szCs w:val="24"/>
          <w:highlight w:val="none"/>
          <w:lang w:val="en-US" w:eastAsia="zh-CN"/>
        </w:rPr>
        <w:t xml:space="preserve">证书</w:t>
      </w:r>
      <w:r>
        <w:rPr>
          <w:rFonts w:hint="eastAsia" w:ascii="宋体" w:hAnsi="宋体" w:eastAsia="宋体" w:cs="宋体"/>
          <w:bCs/>
          <w:color w:val="auto"/>
          <w:sz w:val="24"/>
          <w:szCs w:val="24"/>
          <w:highlight w:val="none"/>
        </w:rPr>
        <w:t xml:space="preserve">的得0.5分，最高得0.5分；</w:t>
      </w:r>
      <w:r/>
    </w:p>
    <w:p>
      <w:pPr>
        <w:ind w:left="0" w:firstLine="480"/>
        <w:keepLines w:val="0"/>
        <w:keepNext w:val="0"/>
        <w:pageBreakBefore w:val="0"/>
        <w:spacing w:line="360" w:lineRule="auto"/>
        <w:widowControl w:val="off"/>
        <w:tabs>
          <w:tab w:val="left" w:pos="136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6）拟派人员具备管道CCTV检测（高级）证书的得0.5分，最高得0.5分；</w:t>
      </w:r>
      <w:r/>
    </w:p>
    <w:p>
      <w:pPr>
        <w:ind w:left="0" w:firstLine="480"/>
        <w:keepLines w:val="0"/>
        <w:keepNext w:val="0"/>
        <w:pageBreakBefore w:val="0"/>
        <w:spacing w:line="360" w:lineRule="auto"/>
        <w:widowControl w:val="off"/>
        <w:tabs>
          <w:tab w:val="left" w:pos="136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7</w:t>
      </w:r>
      <w:r>
        <w:rPr>
          <w:rFonts w:hint="eastAsia" w:ascii="宋体" w:hAnsi="宋体" w:eastAsia="宋体" w:cs="宋体"/>
          <w:bCs/>
          <w:color w:val="auto"/>
          <w:sz w:val="24"/>
          <w:szCs w:val="24"/>
          <w:highlight w:val="none"/>
        </w:rPr>
        <w:t xml:space="preserve">）拟派</w:t>
      </w:r>
      <w:r>
        <w:rPr>
          <w:rFonts w:hint="eastAsia" w:ascii="宋体" w:hAnsi="宋体" w:eastAsia="宋体" w:cs="宋体"/>
          <w:bCs/>
          <w:color w:val="auto"/>
          <w:sz w:val="24"/>
          <w:szCs w:val="24"/>
          <w:highlight w:val="none"/>
          <w:lang w:val="en-US" w:eastAsia="zh-CN"/>
        </w:rPr>
        <w:t xml:space="preserve">人员</w:t>
      </w:r>
      <w:r>
        <w:rPr>
          <w:rFonts w:hint="eastAsia" w:ascii="宋体" w:hAnsi="宋体" w:eastAsia="宋体" w:cs="宋体"/>
          <w:bCs/>
          <w:color w:val="auto"/>
          <w:sz w:val="24"/>
          <w:szCs w:val="24"/>
          <w:highlight w:val="none"/>
        </w:rPr>
        <w:t xml:space="preserve">具有</w:t>
      </w:r>
      <w:r>
        <w:rPr>
          <w:rFonts w:hint="eastAsia" w:ascii="宋体" w:hAnsi="宋体" w:eastAsia="宋体" w:cs="宋体"/>
          <w:bCs/>
          <w:color w:val="auto"/>
          <w:sz w:val="24"/>
          <w:szCs w:val="24"/>
          <w:highlight w:val="none"/>
          <w:lang w:val="en-US" w:eastAsia="zh-CN"/>
        </w:rPr>
        <w:t xml:space="preserve">住建厅颁发的</w:t>
      </w:r>
      <w:r>
        <w:rPr>
          <w:rFonts w:hint="eastAsia" w:ascii="宋体" w:hAnsi="宋体" w:eastAsia="宋体" w:cs="宋体"/>
          <w:bCs/>
          <w:color w:val="auto"/>
          <w:sz w:val="24"/>
          <w:szCs w:val="24"/>
          <w:highlight w:val="none"/>
        </w:rPr>
        <w:t xml:space="preserve">建筑施工特种作业操作资格</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建筑电工）</w:t>
      </w:r>
      <w:r>
        <w:rPr>
          <w:rFonts w:hint="eastAsia" w:ascii="宋体" w:hAnsi="宋体" w:eastAsia="宋体" w:cs="宋体"/>
          <w:bCs/>
          <w:color w:val="auto"/>
          <w:sz w:val="24"/>
          <w:szCs w:val="24"/>
          <w:highlight w:val="none"/>
        </w:rPr>
        <w:t xml:space="preserve">的得0.5分，本项最高得</w:t>
      </w:r>
      <w:r>
        <w:rPr>
          <w:rFonts w:hint="eastAsia" w:ascii="宋体" w:hAnsi="宋体" w:eastAsia="宋体" w:cs="宋体"/>
          <w:bCs/>
          <w:color w:val="auto"/>
          <w:sz w:val="24"/>
          <w:szCs w:val="24"/>
          <w:highlight w:val="none"/>
          <w:lang w:val="en-US" w:eastAsia="zh-CN"/>
        </w:rPr>
        <w:t xml:space="preserve">0.5</w:t>
      </w:r>
      <w:r>
        <w:rPr>
          <w:rFonts w:hint="eastAsia" w:ascii="宋体" w:hAnsi="宋体" w:eastAsia="宋体" w:cs="宋体"/>
          <w:bCs/>
          <w:color w:val="auto"/>
          <w:sz w:val="24"/>
          <w:szCs w:val="24"/>
          <w:highlight w:val="none"/>
        </w:rPr>
        <w:t xml:space="preserve">分。</w:t>
      </w:r>
      <w:r/>
    </w:p>
    <w:p>
      <w:pPr>
        <w:ind w:left="0" w:firstLine="480"/>
        <w:keepLines w:val="0"/>
        <w:keepNext w:val="0"/>
        <w:pageBreakBefore w:val="0"/>
        <w:spacing w:line="360" w:lineRule="auto"/>
        <w:widowControl w:val="off"/>
        <w:tabs>
          <w:tab w:val="left" w:pos="136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以上人员不得兼任，学历扫描件上传投标系统中并加盖公章或电子签章；（2001年及以后毕业的另需提供中国高等教育学生信息网（网址http://www.chsi.com.cn）验证的《教育部学历证书电子注册备案表》电子件）上传至投标文件中；职称证书无法显示专业的，另提供毕业证书或专业技术资格评审申报表，以毕业证书或专业技术资格评审申报表上所填专业为准。相关证书及投标人为其缴纳的近三个月中任意一个月份（不含开标当月）的社会保障资金的证明材料扫描件上传投标系统中并加盖公章或电子签章，不提供或提供不全不得分】</w:t>
      </w:r>
      <w:r/>
    </w:p>
    <w:p>
      <w:pPr>
        <w:ind w:left="0" w:firstLine="480"/>
        <w:keepLines w:val="0"/>
        <w:keepNext w:val="0"/>
        <w:pageBreakBefore w:val="0"/>
        <w:spacing w:line="360" w:lineRule="auto"/>
        <w:widowControl w:val="off"/>
        <w:tabs>
          <w:tab w:val="left" w:pos="136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rPr>
        <w:t xml:space="preserve">）车辆设备配备（</w:t>
      </w:r>
      <w:r>
        <w:rPr>
          <w:rFonts w:hint="eastAsia" w:ascii="宋体" w:hAnsi="宋体" w:eastAsia="宋体" w:cs="宋体"/>
          <w:bCs/>
          <w:color w:val="auto"/>
          <w:sz w:val="24"/>
          <w:szCs w:val="24"/>
          <w:highlight w:val="none"/>
          <w:lang w:val="en-US" w:eastAsia="zh-CN"/>
        </w:rPr>
        <w:t xml:space="preserve">9</w:t>
      </w:r>
      <w:r>
        <w:rPr>
          <w:rFonts w:hint="eastAsia" w:ascii="宋体" w:hAnsi="宋体" w:eastAsia="宋体" w:cs="宋体"/>
          <w:bCs/>
          <w:color w:val="auto"/>
          <w:sz w:val="24"/>
          <w:szCs w:val="24"/>
          <w:highlight w:val="none"/>
        </w:rPr>
        <w:t xml:space="preserve">分）</w:t>
      </w:r>
      <w:r/>
    </w:p>
    <w:p>
      <w:pPr>
        <w:ind w:left="0" w:firstLine="480"/>
        <w:keepLines w:val="0"/>
        <w:keepNext w:val="0"/>
        <w:pageBreakBefore w:val="0"/>
        <w:spacing w:line="360" w:lineRule="auto"/>
        <w:widowControl w:val="off"/>
        <w:tabs>
          <w:tab w:val="left" w:pos="1365" w:leader="none"/>
        </w:tabs>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 xml:space="preserve">1）供应商配备清洗吸污车的，有1辆得1分，本项最高得2分；</w:t>
      </w:r>
      <w:r/>
    </w:p>
    <w:p>
      <w:pPr>
        <w:ind w:left="0" w:firstLine="480"/>
        <w:keepLines w:val="0"/>
        <w:keepNext w:val="0"/>
        <w:pageBreakBefore w:val="0"/>
        <w:spacing w:line="360" w:lineRule="auto"/>
        <w:widowControl w:val="off"/>
        <w:tabs>
          <w:tab w:val="left" w:pos="136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2）供应商配备巡查车，有1辆得0.</w:t>
      </w:r>
      <w:r>
        <w:rPr>
          <w:rFonts w:hint="eastAsia" w:ascii="宋体" w:hAnsi="宋体" w:eastAsia="宋体" w:cs="宋体"/>
          <w:bCs/>
          <w:color w:val="auto"/>
          <w:sz w:val="24"/>
          <w:szCs w:val="24"/>
          <w:highlight w:val="none"/>
          <w:lang w:val="en-US" w:eastAsia="zh-CN"/>
        </w:rPr>
        <w:t xml:space="preserve">25</w:t>
      </w:r>
      <w:r>
        <w:rPr>
          <w:rFonts w:hint="eastAsia" w:ascii="宋体" w:hAnsi="宋体" w:eastAsia="宋体" w:cs="宋体"/>
          <w:bCs/>
          <w:color w:val="auto"/>
          <w:sz w:val="24"/>
          <w:szCs w:val="24"/>
          <w:highlight w:val="none"/>
        </w:rPr>
        <w:t xml:space="preserve">分，本项最高得</w:t>
      </w: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分；</w:t>
      </w:r>
      <w:r/>
    </w:p>
    <w:p>
      <w:pPr>
        <w:ind w:left="0" w:firstLine="480"/>
        <w:keepLines w:val="0"/>
        <w:keepNext w:val="0"/>
        <w:pageBreakBefore w:val="0"/>
        <w:spacing w:line="360" w:lineRule="auto"/>
        <w:widowControl w:val="off"/>
        <w:tabs>
          <w:tab w:val="left" w:pos="136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）供应商配备应急</w:t>
      </w:r>
      <w:r>
        <w:rPr>
          <w:rFonts w:hint="eastAsia" w:ascii="宋体" w:hAnsi="宋体" w:eastAsia="宋体" w:cs="宋体"/>
          <w:bCs/>
          <w:color w:val="auto"/>
          <w:sz w:val="24"/>
          <w:szCs w:val="24"/>
          <w:highlight w:val="none"/>
          <w:lang w:val="en-US" w:eastAsia="zh-CN"/>
        </w:rPr>
        <w:t xml:space="preserve">移动</w:t>
      </w:r>
      <w:r>
        <w:rPr>
          <w:rFonts w:hint="eastAsia" w:ascii="宋体" w:hAnsi="宋体" w:eastAsia="宋体" w:cs="宋体"/>
          <w:bCs/>
          <w:color w:val="auto"/>
          <w:sz w:val="24"/>
          <w:szCs w:val="24"/>
          <w:highlight w:val="none"/>
        </w:rPr>
        <w:t xml:space="preserve">泵车（排水量≥</w:t>
      </w: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000m³/h）的，有1辆得1分，本项最高得1分； </w:t>
      </w:r>
      <w:r/>
    </w:p>
    <w:p>
      <w:pPr>
        <w:ind w:left="0" w:firstLine="480"/>
        <w:keepLines w:val="0"/>
        <w:keepNext w:val="0"/>
        <w:pageBreakBefore w:val="0"/>
        <w:spacing w:line="360" w:lineRule="auto"/>
        <w:widowControl w:val="off"/>
        <w:tabs>
          <w:tab w:val="left" w:pos="136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）供应商配备高压疏通车的，有1辆得0.5分，本项最高得</w:t>
      </w: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分；</w:t>
      </w:r>
      <w:r/>
    </w:p>
    <w:p>
      <w:pPr>
        <w:ind w:left="0" w:firstLine="480"/>
        <w:keepLines w:val="0"/>
        <w:keepNext w:val="0"/>
        <w:pageBreakBefore w:val="0"/>
        <w:spacing w:line="360" w:lineRule="auto"/>
        <w:widowControl w:val="off"/>
        <w:tabs>
          <w:tab w:val="left" w:pos="136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rPr>
        <w:t xml:space="preserve">供应商配备自装卸式垃圾车（污泥自卸车或污泥抓斗车），有1辆得1分，本项最高得</w:t>
      </w: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分；</w:t>
      </w:r>
      <w:r/>
    </w:p>
    <w:p>
      <w:pPr>
        <w:ind w:left="0" w:firstLine="480"/>
        <w:keepLines w:val="0"/>
        <w:keepNext w:val="0"/>
        <w:pageBreakBefore w:val="0"/>
        <w:spacing w:line="360" w:lineRule="auto"/>
        <w:widowControl w:val="off"/>
        <w:tabs>
          <w:tab w:val="left" w:pos="136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rPr>
        <w:t xml:space="preserve">供应商配备静音发电机组（功率≥200kW），每台得</w:t>
      </w:r>
      <w:r>
        <w:rPr>
          <w:rFonts w:hint="eastAsia" w:ascii="宋体" w:hAnsi="宋体" w:eastAsia="宋体" w:cs="宋体"/>
          <w:bCs/>
          <w:color w:val="auto"/>
          <w:sz w:val="24"/>
          <w:szCs w:val="24"/>
          <w:highlight w:val="none"/>
          <w:lang w:val="en-US" w:eastAsia="zh-CN"/>
        </w:rPr>
        <w:t xml:space="preserve">0.5</w:t>
      </w:r>
      <w:r>
        <w:rPr>
          <w:rFonts w:hint="eastAsia" w:ascii="宋体" w:hAnsi="宋体" w:eastAsia="宋体" w:cs="宋体"/>
          <w:bCs/>
          <w:color w:val="auto"/>
          <w:sz w:val="24"/>
          <w:szCs w:val="24"/>
          <w:highlight w:val="none"/>
        </w:rPr>
        <w:t xml:space="preserve">分，本项最高得</w:t>
      </w:r>
      <w:r>
        <w:rPr>
          <w:rFonts w:hint="eastAsia" w:ascii="宋体" w:hAnsi="宋体" w:eastAsia="宋体" w:cs="宋体"/>
          <w:bCs/>
          <w:color w:val="auto"/>
          <w:sz w:val="24"/>
          <w:szCs w:val="24"/>
          <w:highlight w:val="none"/>
          <w:lang w:val="en-US" w:eastAsia="zh-CN"/>
        </w:rPr>
        <w:t xml:space="preserve">0.5</w:t>
      </w:r>
      <w:r>
        <w:rPr>
          <w:rFonts w:hint="eastAsia" w:ascii="宋体" w:hAnsi="宋体" w:eastAsia="宋体" w:cs="宋体"/>
          <w:bCs/>
          <w:color w:val="auto"/>
          <w:sz w:val="24"/>
          <w:szCs w:val="24"/>
          <w:highlight w:val="none"/>
        </w:rPr>
        <w:t xml:space="preserve">分；</w:t>
      </w:r>
      <w:r/>
    </w:p>
    <w:p>
      <w:pPr>
        <w:ind w:left="0" w:firstLine="480"/>
        <w:keepLines w:val="0"/>
        <w:keepNext w:val="0"/>
        <w:pageBreakBefore w:val="0"/>
        <w:spacing w:line="360" w:lineRule="auto"/>
        <w:widowControl w:val="off"/>
        <w:tabs>
          <w:tab w:val="left" w:pos="1365"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7）</w:t>
      </w:r>
      <w:r>
        <w:rPr>
          <w:rFonts w:hint="eastAsia" w:ascii="宋体" w:hAnsi="宋体" w:eastAsia="宋体" w:cs="宋体"/>
          <w:bCs/>
          <w:color w:val="auto"/>
          <w:sz w:val="24"/>
          <w:szCs w:val="24"/>
          <w:highlight w:val="none"/>
        </w:rPr>
        <w:t xml:space="preserve">供应商配备</w:t>
      </w:r>
      <w:r>
        <w:rPr>
          <w:rFonts w:hint="eastAsia" w:ascii="宋体" w:hAnsi="宋体" w:eastAsia="宋体" w:cs="宋体"/>
          <w:bCs/>
          <w:color w:val="auto"/>
          <w:sz w:val="24"/>
          <w:szCs w:val="24"/>
          <w:highlight w:val="none"/>
          <w:lang w:val="en-US" w:eastAsia="zh-CN"/>
        </w:rPr>
        <w:t xml:space="preserve">防撞车（防撞等级≥70K）</w:t>
      </w:r>
      <w:r>
        <w:rPr>
          <w:rFonts w:hint="eastAsia" w:ascii="宋体" w:hAnsi="宋体" w:eastAsia="宋体" w:cs="宋体"/>
          <w:bCs/>
          <w:color w:val="auto"/>
          <w:sz w:val="24"/>
          <w:szCs w:val="24"/>
          <w:highlight w:val="none"/>
        </w:rPr>
        <w:t xml:space="preserve">有1辆</w:t>
      </w:r>
      <w:r>
        <w:rPr>
          <w:rFonts w:hint="eastAsia" w:ascii="宋体" w:hAnsi="宋体" w:eastAsia="宋体" w:cs="宋体"/>
          <w:bCs/>
          <w:color w:val="auto"/>
          <w:sz w:val="24"/>
          <w:szCs w:val="24"/>
          <w:highlight w:val="none"/>
          <w:lang w:val="en-US" w:eastAsia="zh-CN"/>
        </w:rPr>
        <w:t xml:space="preserve">得1分，</w:t>
      </w:r>
      <w:r>
        <w:rPr>
          <w:rFonts w:hint="eastAsia" w:ascii="宋体" w:hAnsi="宋体" w:eastAsia="宋体" w:cs="宋体"/>
          <w:bCs/>
          <w:color w:val="auto"/>
          <w:sz w:val="24"/>
          <w:szCs w:val="24"/>
          <w:highlight w:val="none"/>
        </w:rPr>
        <w:t xml:space="preserve">本项最高得</w:t>
      </w: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分；</w:t>
      </w:r>
      <w:r/>
    </w:p>
    <w:p>
      <w:pPr>
        <w:ind w:left="0" w:firstLine="480"/>
        <w:keepLines w:val="0"/>
        <w:keepNext w:val="0"/>
        <w:pageBreakBefore w:val="0"/>
        <w:spacing w:line="360" w:lineRule="auto"/>
        <w:widowControl w:val="off"/>
        <w:tabs>
          <w:tab w:val="left" w:pos="1365" w:leader="none"/>
        </w:tabs>
        <w:rPr>
          <w:rFonts w:hint="default" w:ascii="宋体" w:hAnsi="宋体" w:eastAsia="宋体" w:cs="宋体"/>
          <w:bCs/>
          <w:color w:val="auto"/>
          <w:sz w:val="24"/>
          <w:szCs w:val="24"/>
          <w:highlight w:val="none"/>
          <w:lang w:val="en-US"/>
        </w:rPr>
      </w:pPr>
      <w:r>
        <w:rPr>
          <w:rFonts w:hint="eastAsia" w:ascii="宋体" w:hAnsi="宋体" w:eastAsia="宋体" w:cs="宋体"/>
          <w:bCs/>
          <w:color w:val="auto"/>
          <w:sz w:val="24"/>
          <w:szCs w:val="24"/>
          <w:highlight w:val="none"/>
          <w:lang w:val="en-US" w:eastAsia="zh-CN"/>
        </w:rPr>
        <w:t xml:space="preserve">8）供应商配备多功能抑尘车</w:t>
      </w:r>
      <w:r>
        <w:rPr>
          <w:rFonts w:hint="eastAsia" w:ascii="宋体" w:hAnsi="宋体" w:eastAsia="宋体" w:cs="宋体"/>
          <w:bCs/>
          <w:color w:val="auto"/>
          <w:sz w:val="24"/>
          <w:szCs w:val="24"/>
          <w:highlight w:val="none"/>
        </w:rPr>
        <w:t xml:space="preserve">有1辆</w:t>
      </w:r>
      <w:r>
        <w:rPr>
          <w:rFonts w:hint="eastAsia" w:ascii="宋体" w:hAnsi="宋体" w:eastAsia="宋体" w:cs="宋体"/>
          <w:bCs/>
          <w:color w:val="auto"/>
          <w:sz w:val="24"/>
          <w:szCs w:val="24"/>
          <w:highlight w:val="none"/>
          <w:lang w:val="en-US" w:eastAsia="zh-CN"/>
        </w:rPr>
        <w:t xml:space="preserve">得0.5分，</w:t>
      </w:r>
      <w:r>
        <w:rPr>
          <w:rFonts w:hint="eastAsia" w:ascii="宋体" w:hAnsi="宋体" w:eastAsia="宋体" w:cs="宋体"/>
          <w:bCs/>
          <w:color w:val="auto"/>
          <w:sz w:val="24"/>
          <w:szCs w:val="24"/>
          <w:highlight w:val="none"/>
        </w:rPr>
        <w:t xml:space="preserve">本项最高得</w:t>
      </w:r>
      <w:r>
        <w:rPr>
          <w:rFonts w:hint="eastAsia" w:ascii="宋体" w:hAnsi="宋体" w:eastAsia="宋体" w:cs="宋体"/>
          <w:bCs/>
          <w:color w:val="auto"/>
          <w:sz w:val="24"/>
          <w:szCs w:val="24"/>
          <w:highlight w:val="none"/>
          <w:lang w:val="en-US" w:eastAsia="zh-CN"/>
        </w:rPr>
        <w:t xml:space="preserve">0.5</w:t>
      </w:r>
      <w:r>
        <w:rPr>
          <w:rFonts w:hint="eastAsia" w:ascii="宋体" w:hAnsi="宋体" w:eastAsia="宋体" w:cs="宋体"/>
          <w:bCs/>
          <w:color w:val="auto"/>
          <w:sz w:val="24"/>
          <w:szCs w:val="24"/>
          <w:highlight w:val="none"/>
        </w:rPr>
        <w:t xml:space="preserve">分；</w:t>
      </w:r>
      <w:r/>
    </w:p>
    <w:p>
      <w:pPr>
        <w:ind w:left="0" w:firstLine="480"/>
        <w:keepLines w:val="0"/>
        <w:keepNext w:val="0"/>
        <w:pageBreakBefore w:val="0"/>
        <w:spacing w:line="360" w:lineRule="auto"/>
        <w:widowControl w:val="off"/>
        <w:tabs>
          <w:tab w:val="left" w:pos="1365"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9</w:t>
      </w:r>
      <w:r>
        <w:rPr>
          <w:rFonts w:hint="eastAsia" w:ascii="宋体" w:hAnsi="宋体" w:eastAsia="宋体" w:cs="宋体"/>
          <w:bCs/>
          <w:color w:val="auto"/>
          <w:sz w:val="24"/>
          <w:szCs w:val="24"/>
          <w:highlight w:val="none"/>
        </w:rPr>
        <w:t xml:space="preserve">）供应商配备</w:t>
      </w:r>
      <w:r>
        <w:rPr>
          <w:rFonts w:hint="eastAsia" w:ascii="宋体" w:hAnsi="宋体" w:eastAsia="宋体" w:cs="宋体"/>
          <w:bCs/>
          <w:color w:val="auto"/>
          <w:sz w:val="24"/>
          <w:szCs w:val="24"/>
          <w:highlight w:val="none"/>
          <w:lang w:val="en-US" w:eastAsia="zh-CN"/>
        </w:rPr>
        <w:t xml:space="preserve">有管道检测设备：</w:t>
      </w:r>
      <w:r>
        <w:rPr>
          <w:rFonts w:hint="eastAsia" w:ascii="宋体" w:hAnsi="宋体" w:eastAsia="宋体" w:cs="宋体"/>
          <w:bCs/>
          <w:color w:val="auto"/>
          <w:sz w:val="24"/>
          <w:szCs w:val="24"/>
          <w:highlight w:val="none"/>
        </w:rPr>
        <w:t xml:space="preserve">CCTV管道机器人</w:t>
      </w:r>
      <w:r>
        <w:rPr>
          <w:rFonts w:hint="eastAsia" w:ascii="宋体" w:hAnsi="宋体" w:eastAsia="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rPr>
        <w:t xml:space="preserve">QV内窥镜</w:t>
      </w:r>
      <w:r>
        <w:rPr>
          <w:rFonts w:hint="eastAsia" w:ascii="宋体" w:hAnsi="宋体" w:eastAsia="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rPr>
        <w:t xml:space="preserve">气体检测仪</w:t>
      </w:r>
      <w:r>
        <w:rPr>
          <w:rFonts w:hint="eastAsia" w:ascii="宋体" w:hAnsi="宋体" w:eastAsia="宋体" w:cs="宋体"/>
          <w:bCs/>
          <w:color w:val="auto"/>
          <w:sz w:val="24"/>
          <w:szCs w:val="24"/>
          <w:highlight w:val="none"/>
          <w:lang w:val="en-US" w:eastAsia="zh-CN"/>
        </w:rPr>
        <w:t xml:space="preserve">，整</w:t>
      </w:r>
      <w:r>
        <w:rPr>
          <w:rFonts w:hint="eastAsia" w:ascii="宋体" w:hAnsi="宋体" w:eastAsia="宋体" w:cs="宋体"/>
          <w:bCs/>
          <w:color w:val="auto"/>
          <w:sz w:val="24"/>
          <w:szCs w:val="24"/>
          <w:highlight w:val="none"/>
        </w:rPr>
        <w:t xml:space="preserve">套</w:t>
      </w:r>
      <w:r>
        <w:rPr>
          <w:rFonts w:hint="eastAsia" w:ascii="宋体" w:hAnsi="宋体" w:eastAsia="宋体" w:cs="宋体"/>
          <w:bCs/>
          <w:color w:val="auto"/>
          <w:sz w:val="24"/>
          <w:szCs w:val="24"/>
          <w:highlight w:val="none"/>
          <w:lang w:val="en-US" w:eastAsia="zh-CN"/>
        </w:rPr>
        <w:t xml:space="preserve">配置齐全</w:t>
      </w:r>
      <w:r>
        <w:rPr>
          <w:rFonts w:hint="eastAsia" w:ascii="宋体" w:hAnsi="宋体" w:eastAsia="宋体" w:cs="宋体"/>
          <w:bCs/>
          <w:color w:val="auto"/>
          <w:sz w:val="24"/>
          <w:szCs w:val="24"/>
          <w:highlight w:val="none"/>
        </w:rPr>
        <w:t xml:space="preserve">得</w:t>
      </w:r>
      <w:r>
        <w:rPr>
          <w:rFonts w:hint="eastAsia" w:ascii="宋体" w:hAnsi="宋体" w:eastAsia="宋体" w:cs="宋体"/>
          <w:bCs/>
          <w:color w:val="auto"/>
          <w:sz w:val="24"/>
          <w:szCs w:val="24"/>
          <w:highlight w:val="none"/>
          <w:lang w:val="en-US" w:eastAsia="zh-CN"/>
        </w:rPr>
        <w:t xml:space="preserve">0.5分；</w:t>
      </w:r>
      <w:r/>
    </w:p>
    <w:p>
      <w:pPr>
        <w:ind w:left="0" w:firstLine="480"/>
        <w:keepLines w:val="0"/>
        <w:keepNext w:val="0"/>
        <w:pageBreakBefore w:val="0"/>
        <w:spacing w:line="360" w:lineRule="auto"/>
        <w:widowControl w:val="off"/>
        <w:tabs>
          <w:tab w:val="left" w:pos="136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10）</w:t>
      </w:r>
      <w:r>
        <w:rPr>
          <w:rFonts w:hint="eastAsia" w:ascii="宋体" w:hAnsi="宋体" w:eastAsia="宋体" w:cs="宋体"/>
          <w:bCs/>
          <w:color w:val="auto"/>
          <w:sz w:val="24"/>
          <w:szCs w:val="24"/>
          <w:highlight w:val="none"/>
        </w:rPr>
        <w:t xml:space="preserve">供应商配备</w:t>
      </w:r>
      <w:r>
        <w:rPr>
          <w:rFonts w:hint="eastAsia" w:ascii="宋体" w:hAnsi="宋体" w:eastAsia="宋体" w:cs="宋体"/>
          <w:bCs/>
          <w:color w:val="auto"/>
          <w:sz w:val="24"/>
          <w:szCs w:val="24"/>
          <w:highlight w:val="none"/>
          <w:lang w:val="en-US" w:eastAsia="zh-CN"/>
        </w:rPr>
        <w:t xml:space="preserve">有防护设备：堵水气囊、潜水服、呼吸器，配套齐全的得0.5分；</w:t>
      </w:r>
      <w:r/>
    </w:p>
    <w:p>
      <w:pPr>
        <w:ind w:left="0" w:firstLine="480"/>
        <w:keepLines w:val="0"/>
        <w:keepNext w:val="0"/>
        <w:pageBreakBefore w:val="0"/>
        <w:spacing w:line="360" w:lineRule="auto"/>
        <w:widowControl w:val="off"/>
        <w:tabs>
          <w:tab w:val="left" w:pos="136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自有的车辆需提供车辆购置发票（发票上的购买单位应为投标单位）、车辆照片、行驶证及车辆登记证；租赁的车辆需提供购买方发票、租赁合同、机械设备租赁发票（发票上的租赁方应为投标单位）、车辆照片、行驶证及车辆登记证（注：其中3）、</w:t>
      </w:r>
      <w:r>
        <w:rPr>
          <w:rFonts w:hint="eastAsia" w:ascii="宋体" w:hAnsi="宋体" w:eastAsia="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7</w:t>
      </w:r>
      <w:r>
        <w:rPr>
          <w:rFonts w:hint="eastAsia" w:ascii="宋体" w:hAnsi="宋体" w:eastAsia="宋体" w:cs="宋体"/>
          <w:bCs/>
          <w:color w:val="auto"/>
          <w:sz w:val="24"/>
          <w:szCs w:val="24"/>
          <w:highlight w:val="none"/>
        </w:rPr>
        <w:t xml:space="preserve">）还需要提供相关参数证明文件）。自有的设备需提供购置发票（发票上的购买单位应为投标单位）、设备照片；租赁的设备需提供购买方发票、租赁合同、设备租赁发票（发票上的租赁方应为投标单位）</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设备照片</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以上租赁发票开具时间需要在本工程招标公告之前，以上证明文件未提供或提供不全不得分】</w:t>
      </w:r>
      <w:r/>
    </w:p>
    <w:p>
      <w:pPr>
        <w:ind w:left="0" w:firstLine="480"/>
        <w:keepLines w:val="0"/>
        <w:keepNext w:val="0"/>
        <w:pageBreakBefore w:val="0"/>
        <w:spacing w:line="360" w:lineRule="auto"/>
        <w:widowControl w:val="off"/>
        <w:tabs>
          <w:tab w:val="left" w:pos="1365" w:leader="none"/>
        </w:tabs>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注：中标方在合同签订前将以上具备的养护车辆、养护设备集中至采购人指定的场所现场核查，达到可规范使用状态，包括但不限于养护车辆的通行、作业。如中标方所配备的养护车辆、养护设备没有达到投标文件的设备要求，导致项目无法正常运行，采购人有权取消其中标资格，一切损失由中标单位负责。</w:t>
      </w:r>
      <w:r/>
    </w:p>
    <w:p>
      <w:pPr>
        <w:ind w:firstLine="482"/>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3.技术文件（暗标）（5</w:t>
      </w:r>
      <w:r>
        <w:rPr>
          <w:rFonts w:hint="eastAsia" w:ascii="宋体" w:hAnsi="宋体" w:cs="宋体"/>
          <w:b/>
          <w:bCs/>
          <w:color w:val="auto"/>
          <w:sz w:val="24"/>
          <w:szCs w:val="24"/>
          <w:highlight w:val="none"/>
          <w:lang w:val="en-US" w:eastAsia="zh-CN"/>
        </w:rPr>
        <w:t xml:space="preserve">0</w:t>
      </w:r>
      <w:r>
        <w:rPr>
          <w:rFonts w:hint="eastAsia" w:ascii="宋体" w:hAnsi="宋体" w:eastAsia="宋体" w:cs="宋体"/>
          <w:b/>
          <w:bCs/>
          <w:color w:val="auto"/>
          <w:sz w:val="24"/>
          <w:szCs w:val="24"/>
          <w:highlight w:val="none"/>
        </w:rPr>
        <w:t xml:space="preserve">分）</w:t>
      </w:r>
      <w:r/>
    </w:p>
    <w:p>
      <w:pPr>
        <w:ind w:firstLine="482"/>
        <w:jc w:val="left"/>
        <w:spacing w:line="360" w:lineRule="auto"/>
        <w:rPr>
          <w:rFonts w:hint="eastAsia" w:ascii="宋体" w:hAnsi="宋体" w:eastAsia="宋体" w:cs="宋体"/>
          <w:b/>
          <w:color w:val="auto"/>
          <w:sz w:val="24"/>
          <w:szCs w:val="24"/>
          <w:highlight w:val="none"/>
          <w:u w:val="single"/>
          <w:lang w:val="zh-CN"/>
        </w:rPr>
      </w:pPr>
      <w:r>
        <w:rPr>
          <w:rFonts w:hint="eastAsia" w:ascii="宋体" w:hAnsi="宋体" w:eastAsia="宋体" w:cs="宋体"/>
          <w:b/>
          <w:color w:val="auto"/>
          <w:sz w:val="24"/>
          <w:szCs w:val="24"/>
          <w:highlight w:val="none"/>
          <w:u w:val="single"/>
          <w:lang w:val="zh-CN"/>
        </w:rPr>
        <w:t xml:space="preserve">注：技术</w:t>
      </w:r>
      <w:r>
        <w:rPr>
          <w:rFonts w:hint="eastAsia" w:ascii="宋体" w:hAnsi="宋体" w:eastAsia="宋体" w:cs="宋体"/>
          <w:b/>
          <w:color w:val="auto"/>
          <w:sz w:val="24"/>
          <w:szCs w:val="24"/>
          <w:highlight w:val="none"/>
          <w:u w:val="single"/>
        </w:rPr>
        <w:t xml:space="preserve">文件</w:t>
      </w:r>
      <w:r>
        <w:rPr>
          <w:rFonts w:hint="eastAsia" w:ascii="宋体" w:hAnsi="宋体" w:eastAsia="宋体" w:cs="宋体"/>
          <w:b/>
          <w:color w:val="auto"/>
          <w:sz w:val="24"/>
          <w:szCs w:val="24"/>
          <w:highlight w:val="none"/>
          <w:u w:val="single"/>
          <w:lang w:val="zh-CN"/>
        </w:rPr>
        <w:t xml:space="preserve">部分属于暗标，投标人在制作技术</w:t>
      </w:r>
      <w:r>
        <w:rPr>
          <w:rFonts w:hint="eastAsia" w:ascii="宋体" w:hAnsi="宋体" w:eastAsia="宋体" w:cs="宋体"/>
          <w:b/>
          <w:color w:val="auto"/>
          <w:sz w:val="24"/>
          <w:szCs w:val="24"/>
          <w:highlight w:val="none"/>
          <w:u w:val="single"/>
        </w:rPr>
        <w:t xml:space="preserve">文件</w:t>
      </w:r>
      <w:r>
        <w:rPr>
          <w:rFonts w:hint="eastAsia" w:ascii="宋体" w:hAnsi="宋体" w:eastAsia="宋体" w:cs="宋体"/>
          <w:b/>
          <w:color w:val="auto"/>
          <w:sz w:val="24"/>
          <w:szCs w:val="24"/>
          <w:highlight w:val="none"/>
          <w:u w:val="single"/>
          <w:lang w:val="zh-CN"/>
        </w:rPr>
        <w:t xml:space="preserve">部分相关内容时不得有体现投标人身份的内容，否则投标无效。</w:t>
      </w:r>
      <w:r/>
    </w:p>
    <w:p>
      <w:pPr>
        <w:ind w:firstLine="482"/>
        <w:jc w:val="left"/>
        <w:spacing w:line="360" w:lineRule="auto"/>
        <w:tabs>
          <w:tab w:val="left" w:pos="1401" w:leader="none"/>
        </w:tabs>
        <w:rPr>
          <w:rFonts w:hint="eastAsia" w:ascii="宋体" w:hAnsi="宋体" w:eastAsia="宋体" w:cs="宋体"/>
          <w:b w:val="0"/>
          <w:bCs w:val="0"/>
          <w:color w:val="auto"/>
          <w:sz w:val="24"/>
          <w:szCs w:val="24"/>
          <w:highlight w:val="none"/>
          <w:shd w:val="clear" w:color="auto" w:fill="ffffff"/>
        </w:rPr>
      </w:pPr>
      <w:r>
        <w:rPr>
          <w:rFonts w:hint="eastAsia" w:ascii="宋体" w:hAnsi="宋体" w:eastAsia="宋体" w:cs="宋体"/>
          <w:b w:val="0"/>
          <w:bCs w:val="0"/>
          <w:color w:val="auto"/>
          <w:sz w:val="24"/>
          <w:szCs w:val="24"/>
          <w:highlight w:val="none"/>
          <w:shd w:val="clear" w:color="auto" w:fill="ffffff"/>
        </w:rPr>
        <w:t xml:space="preserve">（1）服务方案（12分）</w:t>
      </w:r>
      <w:r/>
    </w:p>
    <w:p>
      <w:pPr>
        <w:ind w:firstLine="482"/>
        <w:jc w:val="left"/>
        <w:spacing w:line="360" w:lineRule="auto"/>
        <w:tabs>
          <w:tab w:val="left" w:pos="1401" w:leader="none"/>
        </w:tabs>
        <w:rPr>
          <w:rFonts w:hint="eastAsia" w:ascii="宋体" w:hAnsi="宋体" w:eastAsia="宋体" w:cs="宋体"/>
          <w:b w:val="0"/>
          <w:bCs w:val="0"/>
          <w:color w:val="auto"/>
          <w:sz w:val="24"/>
          <w:szCs w:val="24"/>
          <w:highlight w:val="none"/>
          <w:shd w:val="clear" w:color="auto" w:fill="ffffff"/>
        </w:rPr>
      </w:pPr>
      <w:r>
        <w:rPr>
          <w:rFonts w:hint="eastAsia" w:ascii="宋体" w:hAnsi="宋体" w:eastAsia="宋体" w:cs="宋体"/>
          <w:b w:val="0"/>
          <w:bCs w:val="0"/>
          <w:color w:val="auto"/>
          <w:sz w:val="24"/>
          <w:szCs w:val="24"/>
          <w:highlight w:val="none"/>
          <w:shd w:val="clear" w:color="auto" w:fill="ffffff"/>
        </w:rPr>
        <w:t xml:space="preserve">投标人须针对以下内容进行阐述，包括：①针对本项目实施区域内排水管网现状实际情况摸底排查情况；②日常巡检；③养护方案，④清掏疏通方案。</w:t>
      </w:r>
      <w:r/>
    </w:p>
    <w:p>
      <w:pPr>
        <w:ind w:firstLine="482"/>
        <w:jc w:val="left"/>
        <w:spacing w:line="360" w:lineRule="auto"/>
        <w:tabs>
          <w:tab w:val="left" w:pos="1401" w:leader="none"/>
        </w:tabs>
        <w:rPr>
          <w:rFonts w:hint="eastAsia" w:ascii="宋体" w:hAnsi="宋体" w:eastAsia="宋体" w:cs="宋体"/>
          <w:b w:val="0"/>
          <w:bCs w:val="0"/>
          <w:color w:val="auto"/>
          <w:sz w:val="24"/>
          <w:szCs w:val="24"/>
          <w:highlight w:val="none"/>
          <w:shd w:val="clear" w:color="auto" w:fill="ffffff"/>
        </w:rPr>
      </w:pPr>
      <w:r>
        <w:rPr>
          <w:rFonts w:hint="eastAsia" w:ascii="宋体" w:hAnsi="宋体" w:eastAsia="宋体" w:cs="宋体"/>
          <w:b w:val="0"/>
          <w:bCs w:val="0"/>
          <w:color w:val="auto"/>
          <w:sz w:val="24"/>
          <w:szCs w:val="24"/>
          <w:highlight w:val="none"/>
          <w:shd w:val="clear" w:color="auto" w:fill="ffffff"/>
        </w:rPr>
        <w:t xml:space="preserve">以上每点内容</w:t>
      </w:r>
      <w:r>
        <w:rPr>
          <w:rFonts w:hint="eastAsia" w:ascii="宋体" w:hAnsi="宋体" w:cs="宋体"/>
          <w:b w:val="0"/>
          <w:bCs w:val="0"/>
          <w:color w:val="auto"/>
          <w:sz w:val="24"/>
          <w:szCs w:val="24"/>
          <w:highlight w:val="none"/>
          <w:shd w:val="clear" w:color="auto" w:fill="ffffff"/>
          <w:lang w:eastAsia="zh-CN"/>
        </w:rPr>
        <w:t xml:space="preserve">翔实</w:t>
      </w:r>
      <w:r>
        <w:rPr>
          <w:rFonts w:hint="eastAsia" w:ascii="宋体" w:hAnsi="宋体" w:eastAsia="宋体" w:cs="宋体"/>
          <w:b w:val="0"/>
          <w:bCs w:val="0"/>
          <w:color w:val="auto"/>
          <w:sz w:val="24"/>
          <w:szCs w:val="24"/>
          <w:highlight w:val="none"/>
          <w:shd w:val="clear" w:color="auto" w:fill="ffffff"/>
        </w:rPr>
        <w:t xml:space="preserve">、需求贴合度高且条理清晰的该条得3分；内容较为简单、可行、细节有待完善的该条得2分；内容粗略、无针对性、基本满足采购需求的该条得1分；内容缺失或内容存在不能满足采购需求，或存在逻辑错误、前后矛盾，或存在违反现行相关规范的，该条不得分。本项共计4点内容，本项最高得12分。</w:t>
      </w:r>
      <w:r/>
    </w:p>
    <w:p>
      <w:pPr>
        <w:ind w:firstLine="482"/>
        <w:jc w:val="left"/>
        <w:spacing w:line="360" w:lineRule="auto"/>
        <w:tabs>
          <w:tab w:val="left" w:pos="1401" w:leader="none"/>
        </w:tabs>
        <w:rPr>
          <w:rFonts w:hint="eastAsia" w:ascii="宋体" w:hAnsi="宋体" w:eastAsia="宋体" w:cs="宋体"/>
          <w:b w:val="0"/>
          <w:bCs w:val="0"/>
          <w:color w:val="auto"/>
          <w:sz w:val="24"/>
          <w:szCs w:val="24"/>
          <w:highlight w:val="none"/>
          <w:shd w:val="clear" w:color="auto" w:fill="ffffff"/>
        </w:rPr>
      </w:pPr>
      <w:r>
        <w:rPr>
          <w:rFonts w:hint="eastAsia" w:ascii="宋体" w:hAnsi="宋体" w:eastAsia="宋体" w:cs="宋体"/>
          <w:b w:val="0"/>
          <w:bCs w:val="0"/>
          <w:color w:val="auto"/>
          <w:sz w:val="24"/>
          <w:szCs w:val="24"/>
          <w:highlight w:val="none"/>
          <w:shd w:val="clear" w:color="auto" w:fill="ffffff"/>
        </w:rPr>
        <w:t xml:space="preserve">（2）突发状况应急预案（9分）</w:t>
      </w:r>
      <w:r/>
    </w:p>
    <w:p>
      <w:pPr>
        <w:ind w:firstLine="482"/>
        <w:jc w:val="left"/>
        <w:spacing w:line="360" w:lineRule="auto"/>
        <w:tabs>
          <w:tab w:val="left" w:pos="1401" w:leader="none"/>
        </w:tabs>
        <w:rPr>
          <w:rFonts w:hint="eastAsia" w:ascii="宋体" w:hAnsi="宋体" w:eastAsia="宋体" w:cs="宋体"/>
          <w:b w:val="0"/>
          <w:bCs w:val="0"/>
          <w:color w:val="auto"/>
          <w:sz w:val="24"/>
          <w:szCs w:val="24"/>
          <w:highlight w:val="none"/>
          <w:shd w:val="clear" w:color="auto" w:fill="ffffff"/>
        </w:rPr>
      </w:pPr>
      <w:r>
        <w:rPr>
          <w:rFonts w:hint="eastAsia" w:ascii="宋体" w:hAnsi="宋体" w:eastAsia="宋体" w:cs="宋体"/>
          <w:b w:val="0"/>
          <w:bCs w:val="0"/>
          <w:color w:val="auto"/>
          <w:sz w:val="24"/>
          <w:szCs w:val="24"/>
          <w:highlight w:val="none"/>
          <w:shd w:val="clear" w:color="auto" w:fill="ffffff"/>
        </w:rPr>
        <w:t xml:space="preserve">投标人须针对以下内容进行阐述，包括：①为雨污水管网及附属设施运行服务提供相关的污水外溢处置方案；②养护中产生的垃圾及淤泥安全处置方案；③井盖沉降损坏处置方案。</w:t>
      </w:r>
      <w:r/>
    </w:p>
    <w:p>
      <w:pPr>
        <w:ind w:firstLine="482"/>
        <w:jc w:val="left"/>
        <w:spacing w:line="360" w:lineRule="auto"/>
        <w:tabs>
          <w:tab w:val="left" w:pos="1401" w:leader="none"/>
        </w:tabs>
        <w:rPr>
          <w:rFonts w:hint="eastAsia" w:ascii="宋体" w:hAnsi="宋体" w:eastAsia="宋体" w:cs="宋体"/>
          <w:b w:val="0"/>
          <w:bCs w:val="0"/>
          <w:color w:val="auto"/>
          <w:sz w:val="24"/>
          <w:szCs w:val="24"/>
          <w:highlight w:val="none"/>
          <w:shd w:val="clear" w:color="auto" w:fill="ffffff"/>
        </w:rPr>
      </w:pPr>
      <w:r>
        <w:rPr>
          <w:rFonts w:hint="eastAsia" w:ascii="宋体" w:hAnsi="宋体" w:eastAsia="宋体" w:cs="宋体"/>
          <w:b w:val="0"/>
          <w:bCs w:val="0"/>
          <w:color w:val="auto"/>
          <w:sz w:val="24"/>
          <w:szCs w:val="24"/>
          <w:highlight w:val="none"/>
          <w:shd w:val="clear" w:color="auto" w:fill="ffffff"/>
        </w:rPr>
        <w:t xml:space="preserve">以上每点内容</w:t>
      </w:r>
      <w:r>
        <w:rPr>
          <w:rFonts w:hint="eastAsia" w:ascii="宋体" w:hAnsi="宋体" w:cs="宋体"/>
          <w:b w:val="0"/>
          <w:bCs w:val="0"/>
          <w:color w:val="auto"/>
          <w:sz w:val="24"/>
          <w:szCs w:val="24"/>
          <w:highlight w:val="none"/>
          <w:shd w:val="clear" w:color="auto" w:fill="ffffff"/>
          <w:lang w:eastAsia="zh-CN"/>
        </w:rPr>
        <w:t xml:space="preserve">翔实</w:t>
      </w:r>
      <w:r>
        <w:rPr>
          <w:rFonts w:hint="eastAsia" w:ascii="宋体" w:hAnsi="宋体" w:eastAsia="宋体" w:cs="宋体"/>
          <w:b w:val="0"/>
          <w:bCs w:val="0"/>
          <w:color w:val="auto"/>
          <w:sz w:val="24"/>
          <w:szCs w:val="24"/>
          <w:highlight w:val="none"/>
          <w:shd w:val="clear" w:color="auto" w:fill="ffffff"/>
        </w:rPr>
        <w:t xml:space="preserve">、需求贴合度高且条理清晰的该条得3分；内容较为简单、可行、细节有待完善的该条得2分；内容粗略、无针对性、基本满足采购需求的该条得1分；内容缺失或内容存在不能满足采购需求，或存在逻辑错误、前后矛盾，或存在违反现行相关规范的，该条不得分。本项共计3点内容，本项最高得9分。</w:t>
      </w:r>
      <w:r/>
    </w:p>
    <w:p>
      <w:pPr>
        <w:ind w:firstLine="482"/>
        <w:jc w:val="left"/>
        <w:spacing w:line="360" w:lineRule="auto"/>
        <w:tabs>
          <w:tab w:val="left" w:pos="1401" w:leader="none"/>
        </w:tabs>
        <w:rPr>
          <w:rFonts w:hint="eastAsia" w:ascii="宋体" w:hAnsi="宋体" w:eastAsia="宋体" w:cs="宋体"/>
          <w:b w:val="0"/>
          <w:bCs w:val="0"/>
          <w:color w:val="auto"/>
          <w:sz w:val="24"/>
          <w:szCs w:val="24"/>
          <w:highlight w:val="none"/>
          <w:shd w:val="clear" w:color="auto" w:fill="ffffff"/>
        </w:rPr>
      </w:pPr>
      <w:r>
        <w:rPr>
          <w:rFonts w:hint="eastAsia" w:ascii="宋体" w:hAnsi="宋体" w:eastAsia="宋体" w:cs="宋体"/>
          <w:b w:val="0"/>
          <w:bCs w:val="0"/>
          <w:color w:val="auto"/>
          <w:sz w:val="24"/>
          <w:szCs w:val="24"/>
          <w:highlight w:val="none"/>
          <w:shd w:val="clear" w:color="auto" w:fill="ffffff"/>
        </w:rPr>
        <w:t xml:space="preserve">（3）本项目质量保证措施及安全管理方案（8分）</w:t>
      </w:r>
      <w:r/>
    </w:p>
    <w:p>
      <w:pPr>
        <w:ind w:firstLine="482"/>
        <w:jc w:val="left"/>
        <w:spacing w:line="360" w:lineRule="auto"/>
        <w:tabs>
          <w:tab w:val="left" w:pos="1401" w:leader="none"/>
        </w:tabs>
        <w:rPr>
          <w:rFonts w:hint="eastAsia" w:ascii="宋体" w:hAnsi="宋体" w:eastAsia="宋体" w:cs="宋体"/>
          <w:b w:val="0"/>
          <w:bCs w:val="0"/>
          <w:color w:val="auto"/>
          <w:sz w:val="24"/>
          <w:szCs w:val="24"/>
          <w:highlight w:val="none"/>
          <w:shd w:val="clear" w:color="auto" w:fill="ffffff"/>
        </w:rPr>
      </w:pPr>
      <w:r>
        <w:rPr>
          <w:rFonts w:hint="eastAsia" w:ascii="宋体" w:hAnsi="宋体" w:eastAsia="宋体" w:cs="宋体"/>
          <w:b w:val="0"/>
          <w:bCs w:val="0"/>
          <w:color w:val="auto"/>
          <w:sz w:val="24"/>
          <w:szCs w:val="24"/>
          <w:highlight w:val="none"/>
          <w:shd w:val="clear" w:color="auto" w:fill="ffffff"/>
        </w:rPr>
        <w:t xml:space="preserve">投标人须针对以下内容进行阐述，包括：①管理范围内的雨污水管网及附属设施的清通方案质量措施；②检测方案、评估方案质量措施；③质量保障措施质量措施；④正常营运及养护作业时的安全管理方案。</w:t>
      </w:r>
      <w:r/>
    </w:p>
    <w:p>
      <w:pPr>
        <w:ind w:firstLine="482"/>
        <w:jc w:val="left"/>
        <w:spacing w:line="360" w:lineRule="auto"/>
        <w:tabs>
          <w:tab w:val="left" w:pos="1401" w:leader="none"/>
        </w:tabs>
        <w:rPr>
          <w:rFonts w:hint="eastAsia" w:ascii="宋体" w:hAnsi="宋体" w:eastAsia="宋体" w:cs="宋体"/>
          <w:b w:val="0"/>
          <w:bCs w:val="0"/>
          <w:color w:val="auto"/>
          <w:sz w:val="24"/>
          <w:szCs w:val="24"/>
          <w:highlight w:val="none"/>
          <w:shd w:val="clear" w:color="auto" w:fill="ffffff"/>
        </w:rPr>
      </w:pPr>
      <w:r>
        <w:rPr>
          <w:rFonts w:hint="eastAsia" w:ascii="宋体" w:hAnsi="宋体" w:eastAsia="宋体" w:cs="宋体"/>
          <w:b w:val="0"/>
          <w:bCs w:val="0"/>
          <w:color w:val="auto"/>
          <w:sz w:val="24"/>
          <w:szCs w:val="24"/>
          <w:highlight w:val="none"/>
          <w:shd w:val="clear" w:color="auto" w:fill="ffffff"/>
        </w:rPr>
        <w:t xml:space="preserve">以上每点内容</w:t>
      </w:r>
      <w:r>
        <w:rPr>
          <w:rFonts w:hint="eastAsia" w:ascii="宋体" w:hAnsi="宋体" w:cs="宋体"/>
          <w:b w:val="0"/>
          <w:bCs w:val="0"/>
          <w:color w:val="auto"/>
          <w:sz w:val="24"/>
          <w:szCs w:val="24"/>
          <w:highlight w:val="none"/>
          <w:shd w:val="clear" w:color="auto" w:fill="ffffff"/>
          <w:lang w:eastAsia="zh-CN"/>
        </w:rPr>
        <w:t xml:space="preserve">翔实</w:t>
      </w:r>
      <w:r>
        <w:rPr>
          <w:rFonts w:hint="eastAsia" w:ascii="宋体" w:hAnsi="宋体" w:eastAsia="宋体" w:cs="宋体"/>
          <w:b w:val="0"/>
          <w:bCs w:val="0"/>
          <w:color w:val="auto"/>
          <w:sz w:val="24"/>
          <w:szCs w:val="24"/>
          <w:highlight w:val="none"/>
          <w:shd w:val="clear" w:color="auto" w:fill="ffffff"/>
        </w:rPr>
        <w:t xml:space="preserve">、需求贴合度高且条理清晰的该条得2分；内容较为简单、可行、细节有待完善的该条得1分；内容粗略、无针对性、基本满足采购需求的该条得0.5分；内容缺失或内容存在不能满足采购需求，或存在逻辑错误、前后矛盾，或存在违反现行相关规范的，该条不得分。本项共计4点内容，本项最高得8分。</w:t>
      </w:r>
      <w:r/>
    </w:p>
    <w:p>
      <w:pPr>
        <w:ind w:firstLine="482"/>
        <w:jc w:val="left"/>
        <w:spacing w:line="360" w:lineRule="auto"/>
        <w:tabs>
          <w:tab w:val="left" w:pos="1401" w:leader="none"/>
        </w:tabs>
        <w:rPr>
          <w:rFonts w:hint="eastAsia" w:ascii="宋体" w:hAnsi="宋体" w:eastAsia="宋体" w:cs="宋体"/>
          <w:b w:val="0"/>
          <w:bCs w:val="0"/>
          <w:color w:val="auto"/>
          <w:sz w:val="24"/>
          <w:szCs w:val="24"/>
          <w:highlight w:val="none"/>
          <w:shd w:val="clear" w:color="auto" w:fill="ffffff"/>
        </w:rPr>
      </w:pPr>
      <w:r>
        <w:rPr>
          <w:rFonts w:hint="eastAsia" w:ascii="宋体" w:hAnsi="宋体" w:eastAsia="宋体" w:cs="宋体"/>
          <w:b w:val="0"/>
          <w:bCs w:val="0"/>
          <w:color w:val="auto"/>
          <w:sz w:val="24"/>
          <w:szCs w:val="24"/>
          <w:highlight w:val="none"/>
          <w:shd w:val="clear" w:color="auto" w:fill="ffffff"/>
        </w:rPr>
        <w:t xml:space="preserve">（4）劳动力、机械设备和材料投入计划（9分）</w:t>
      </w:r>
      <w:r/>
    </w:p>
    <w:p>
      <w:pPr>
        <w:ind w:firstLine="482"/>
        <w:jc w:val="left"/>
        <w:spacing w:line="360" w:lineRule="auto"/>
        <w:tabs>
          <w:tab w:val="left" w:pos="1401" w:leader="none"/>
        </w:tabs>
        <w:rPr>
          <w:rFonts w:hint="eastAsia" w:ascii="宋体" w:hAnsi="宋体" w:eastAsia="宋体" w:cs="宋体"/>
          <w:b w:val="0"/>
          <w:bCs w:val="0"/>
          <w:color w:val="auto"/>
          <w:sz w:val="24"/>
          <w:szCs w:val="24"/>
          <w:highlight w:val="none"/>
          <w:shd w:val="clear" w:color="auto" w:fill="ffffff"/>
        </w:rPr>
      </w:pPr>
      <w:r>
        <w:rPr>
          <w:rFonts w:hint="eastAsia" w:ascii="宋体" w:hAnsi="宋体" w:eastAsia="宋体" w:cs="宋体"/>
          <w:b w:val="0"/>
          <w:bCs w:val="0"/>
          <w:color w:val="auto"/>
          <w:sz w:val="24"/>
          <w:szCs w:val="24"/>
          <w:highlight w:val="none"/>
          <w:shd w:val="clear" w:color="auto" w:fill="ffffff"/>
        </w:rPr>
        <w:t xml:space="preserve">投标人须针对以下内容进行阐述，包括：①劳动力投入计划②机械设备投入计划③材料投入计划</w:t>
      </w:r>
      <w:r/>
    </w:p>
    <w:p>
      <w:pPr>
        <w:ind w:firstLine="482"/>
        <w:jc w:val="left"/>
        <w:spacing w:line="360" w:lineRule="auto"/>
        <w:tabs>
          <w:tab w:val="left" w:pos="1401" w:leader="none"/>
        </w:tabs>
        <w:rPr>
          <w:rFonts w:hint="eastAsia" w:ascii="宋体" w:hAnsi="宋体" w:eastAsia="宋体" w:cs="宋体"/>
          <w:b w:val="0"/>
          <w:bCs w:val="0"/>
          <w:color w:val="auto"/>
          <w:sz w:val="24"/>
          <w:szCs w:val="24"/>
          <w:highlight w:val="none"/>
          <w:shd w:val="clear" w:color="auto" w:fill="ffffff"/>
        </w:rPr>
      </w:pPr>
      <w:r>
        <w:rPr>
          <w:rFonts w:hint="eastAsia" w:ascii="宋体" w:hAnsi="宋体" w:eastAsia="宋体" w:cs="宋体"/>
          <w:b w:val="0"/>
          <w:bCs w:val="0"/>
          <w:color w:val="auto"/>
          <w:sz w:val="24"/>
          <w:szCs w:val="24"/>
          <w:highlight w:val="none"/>
          <w:shd w:val="clear" w:color="auto" w:fill="ffffff"/>
        </w:rPr>
        <w:t xml:space="preserve">以上每点内容</w:t>
      </w:r>
      <w:r>
        <w:rPr>
          <w:rFonts w:hint="eastAsia" w:ascii="宋体" w:hAnsi="宋体" w:cs="宋体"/>
          <w:b w:val="0"/>
          <w:bCs w:val="0"/>
          <w:color w:val="auto"/>
          <w:sz w:val="24"/>
          <w:szCs w:val="24"/>
          <w:highlight w:val="none"/>
          <w:shd w:val="clear" w:color="auto" w:fill="ffffff"/>
          <w:lang w:eastAsia="zh-CN"/>
        </w:rPr>
        <w:t xml:space="preserve">翔实</w:t>
      </w:r>
      <w:r>
        <w:rPr>
          <w:rFonts w:hint="eastAsia" w:ascii="宋体" w:hAnsi="宋体" w:eastAsia="宋体" w:cs="宋体"/>
          <w:b w:val="0"/>
          <w:bCs w:val="0"/>
          <w:color w:val="auto"/>
          <w:sz w:val="24"/>
          <w:szCs w:val="24"/>
          <w:highlight w:val="none"/>
          <w:shd w:val="clear" w:color="auto" w:fill="ffffff"/>
        </w:rPr>
        <w:t xml:space="preserve">、需求贴合度高且条理清晰的该条得3分；内容较为简单、可行、细节有待完善的该条得2分；内容粗略、无针对性、基本满足采购需求的该条得1分；内容缺失或内容存在不能满足采购需求，或存在逻辑错误、前后矛盾，或存在违反现行相关规范的，该条不得分。本项共计3点内容，本项最高得9分。</w:t>
      </w:r>
      <w:r/>
    </w:p>
    <w:p>
      <w:pPr>
        <w:ind w:firstLine="482"/>
        <w:jc w:val="left"/>
        <w:spacing w:line="360" w:lineRule="auto"/>
        <w:tabs>
          <w:tab w:val="left" w:pos="1401" w:leader="none"/>
        </w:tabs>
        <w:rPr>
          <w:rFonts w:hint="eastAsia" w:ascii="宋体" w:hAnsi="宋体" w:eastAsia="宋体" w:cs="宋体"/>
          <w:b w:val="0"/>
          <w:bCs w:val="0"/>
          <w:color w:val="auto"/>
          <w:sz w:val="24"/>
          <w:szCs w:val="24"/>
          <w:highlight w:val="none"/>
          <w:shd w:val="clear" w:color="auto" w:fill="ffffff"/>
        </w:rPr>
      </w:pPr>
      <w:r>
        <w:rPr>
          <w:rFonts w:hint="eastAsia" w:ascii="宋体" w:hAnsi="宋体" w:eastAsia="宋体" w:cs="宋体"/>
          <w:b w:val="0"/>
          <w:bCs w:val="0"/>
          <w:color w:val="auto"/>
          <w:sz w:val="24"/>
          <w:szCs w:val="24"/>
          <w:highlight w:val="none"/>
          <w:shd w:val="clear" w:color="auto" w:fill="ffffff"/>
        </w:rPr>
        <w:t xml:space="preserve">（5）针对本项目的重点难点分析及解决方案（4分）</w:t>
      </w:r>
      <w:r/>
    </w:p>
    <w:p>
      <w:pPr>
        <w:ind w:firstLine="482"/>
        <w:jc w:val="left"/>
        <w:spacing w:line="360" w:lineRule="auto"/>
        <w:tabs>
          <w:tab w:val="left" w:pos="1401" w:leader="none"/>
        </w:tabs>
        <w:rPr>
          <w:rFonts w:hint="eastAsia" w:ascii="宋体" w:hAnsi="宋体" w:eastAsia="宋体" w:cs="宋体"/>
          <w:b w:val="0"/>
          <w:bCs w:val="0"/>
          <w:color w:val="auto"/>
          <w:sz w:val="24"/>
          <w:szCs w:val="24"/>
          <w:highlight w:val="none"/>
          <w:shd w:val="clear" w:color="auto" w:fill="ffffff"/>
        </w:rPr>
      </w:pPr>
      <w:r>
        <w:rPr>
          <w:rFonts w:hint="eastAsia" w:ascii="宋体" w:hAnsi="宋体" w:eastAsia="宋体" w:cs="宋体"/>
          <w:b w:val="0"/>
          <w:bCs w:val="0"/>
          <w:color w:val="auto"/>
          <w:sz w:val="24"/>
          <w:szCs w:val="24"/>
          <w:highlight w:val="none"/>
          <w:shd w:val="clear" w:color="auto" w:fill="ffffff"/>
        </w:rPr>
        <w:t xml:space="preserve">投标人须针对以下内容进行阐述，包括：①针对本项目的重点难点分析；②针对本项目的重点难点解决方案；</w:t>
      </w:r>
      <w:r/>
    </w:p>
    <w:p>
      <w:pPr>
        <w:ind w:firstLine="482"/>
        <w:jc w:val="left"/>
        <w:spacing w:line="360" w:lineRule="auto"/>
        <w:tabs>
          <w:tab w:val="left" w:pos="1401" w:leader="none"/>
        </w:tabs>
        <w:rPr>
          <w:rFonts w:hint="eastAsia" w:ascii="宋体" w:hAnsi="宋体" w:eastAsia="宋体" w:cs="宋体"/>
          <w:b w:val="0"/>
          <w:bCs w:val="0"/>
          <w:color w:val="auto"/>
          <w:sz w:val="24"/>
          <w:szCs w:val="24"/>
          <w:highlight w:val="none"/>
          <w:shd w:val="clear" w:color="auto" w:fill="ffffff"/>
        </w:rPr>
      </w:pPr>
      <w:r>
        <w:rPr>
          <w:rFonts w:hint="eastAsia" w:ascii="宋体" w:hAnsi="宋体" w:eastAsia="宋体" w:cs="宋体"/>
          <w:b w:val="0"/>
          <w:bCs w:val="0"/>
          <w:color w:val="auto"/>
          <w:sz w:val="24"/>
          <w:szCs w:val="24"/>
          <w:highlight w:val="none"/>
          <w:shd w:val="clear" w:color="auto" w:fill="ffffff"/>
        </w:rPr>
        <w:t xml:space="preserve">以上每点内容</w:t>
      </w:r>
      <w:r>
        <w:rPr>
          <w:rFonts w:hint="eastAsia" w:ascii="宋体" w:hAnsi="宋体" w:cs="宋体"/>
          <w:b w:val="0"/>
          <w:bCs w:val="0"/>
          <w:color w:val="auto"/>
          <w:sz w:val="24"/>
          <w:szCs w:val="24"/>
          <w:highlight w:val="none"/>
          <w:shd w:val="clear" w:color="auto" w:fill="ffffff"/>
          <w:lang w:eastAsia="zh-CN"/>
        </w:rPr>
        <w:t xml:space="preserve">翔实</w:t>
      </w:r>
      <w:r>
        <w:rPr>
          <w:rFonts w:hint="eastAsia" w:ascii="宋体" w:hAnsi="宋体" w:eastAsia="宋体" w:cs="宋体"/>
          <w:b w:val="0"/>
          <w:bCs w:val="0"/>
          <w:color w:val="auto"/>
          <w:sz w:val="24"/>
          <w:szCs w:val="24"/>
          <w:highlight w:val="none"/>
          <w:shd w:val="clear" w:color="auto" w:fill="ffffff"/>
        </w:rPr>
        <w:t xml:space="preserve">、需求贴合度高且条理清晰的该条得2分；内容较为简单、可行、细节有待完善的该条得1分；内容粗略、无针对性、基本满足采购需求的该条得0.5分；内容缺失或内容存在不能满足采购需求，或存在逻辑错误、前后矛盾，或存在违反现行相关规范的，该条不得分。本项共计2点内容，本项最高得4分。</w:t>
      </w:r>
      <w:r/>
    </w:p>
    <w:p>
      <w:pPr>
        <w:ind w:firstLine="482"/>
        <w:jc w:val="left"/>
        <w:spacing w:line="360" w:lineRule="auto"/>
        <w:tabs>
          <w:tab w:val="left" w:pos="1401" w:leader="none"/>
        </w:tabs>
        <w:rPr>
          <w:rFonts w:hint="eastAsia" w:ascii="宋体" w:hAnsi="宋体" w:eastAsia="宋体" w:cs="宋体"/>
          <w:b w:val="0"/>
          <w:bCs w:val="0"/>
          <w:color w:val="auto"/>
          <w:sz w:val="24"/>
          <w:szCs w:val="24"/>
          <w:highlight w:val="none"/>
          <w:shd w:val="clear" w:color="auto" w:fill="ffffff"/>
        </w:rPr>
      </w:pPr>
      <w:r>
        <w:rPr>
          <w:rFonts w:hint="eastAsia" w:ascii="宋体" w:hAnsi="宋体" w:eastAsia="宋体" w:cs="宋体"/>
          <w:b w:val="0"/>
          <w:bCs w:val="0"/>
          <w:color w:val="auto"/>
          <w:sz w:val="24"/>
          <w:szCs w:val="24"/>
          <w:highlight w:val="none"/>
          <w:shd w:val="clear" w:color="auto" w:fill="ffffff"/>
        </w:rPr>
        <w:t xml:space="preserve">（6）其他方案及措施（8分）</w:t>
      </w:r>
      <w:r/>
    </w:p>
    <w:p>
      <w:pPr>
        <w:ind w:firstLine="482"/>
        <w:jc w:val="left"/>
        <w:spacing w:line="360" w:lineRule="auto"/>
        <w:tabs>
          <w:tab w:val="left" w:pos="1401" w:leader="none"/>
        </w:tabs>
        <w:rPr>
          <w:rFonts w:hint="eastAsia" w:ascii="宋体" w:hAnsi="宋体" w:eastAsia="宋体" w:cs="宋体"/>
          <w:b w:val="0"/>
          <w:bCs w:val="0"/>
          <w:color w:val="auto"/>
          <w:sz w:val="24"/>
          <w:szCs w:val="24"/>
          <w:highlight w:val="none"/>
          <w:shd w:val="clear" w:color="auto" w:fill="ffffff"/>
        </w:rPr>
      </w:pPr>
      <w:r>
        <w:rPr>
          <w:rFonts w:hint="eastAsia" w:ascii="宋体" w:hAnsi="宋体" w:eastAsia="宋体" w:cs="宋体"/>
          <w:b w:val="0"/>
          <w:bCs w:val="0"/>
          <w:color w:val="auto"/>
          <w:sz w:val="24"/>
          <w:szCs w:val="24"/>
          <w:highlight w:val="none"/>
          <w:shd w:val="clear" w:color="auto" w:fill="ffffff"/>
        </w:rPr>
        <w:t xml:space="preserve">投标人须针对以下内容进行阐述，包括：①养护期间交通组织方案；②环境保护措施；③养护管理制度；④养护台账管理。</w:t>
      </w:r>
      <w:r/>
    </w:p>
    <w:p>
      <w:pPr>
        <w:ind w:firstLine="482"/>
        <w:jc w:val="left"/>
        <w:spacing w:line="360" w:lineRule="auto"/>
        <w:tabs>
          <w:tab w:val="left" w:pos="1401" w:leader="none"/>
        </w:tabs>
        <w:rPr>
          <w:rFonts w:hint="eastAsia" w:ascii="宋体" w:hAnsi="宋体" w:eastAsia="宋体" w:cs="宋体"/>
          <w:b w:val="0"/>
          <w:bCs w:val="0"/>
          <w:color w:val="auto"/>
          <w:sz w:val="24"/>
          <w:szCs w:val="24"/>
          <w:highlight w:val="none"/>
          <w:shd w:val="clear" w:color="auto" w:fill="ffffff"/>
        </w:rPr>
      </w:pPr>
      <w:r>
        <w:rPr>
          <w:rFonts w:hint="eastAsia" w:ascii="宋体" w:hAnsi="宋体" w:eastAsia="宋体" w:cs="宋体"/>
          <w:b w:val="0"/>
          <w:bCs w:val="0"/>
          <w:color w:val="auto"/>
          <w:sz w:val="24"/>
          <w:szCs w:val="24"/>
          <w:highlight w:val="none"/>
          <w:shd w:val="clear" w:color="auto" w:fill="ffffff"/>
        </w:rPr>
        <w:t xml:space="preserve">以上每点内容</w:t>
      </w:r>
      <w:r>
        <w:rPr>
          <w:rFonts w:hint="eastAsia" w:ascii="宋体" w:hAnsi="宋体" w:cs="宋体"/>
          <w:b w:val="0"/>
          <w:bCs w:val="0"/>
          <w:color w:val="auto"/>
          <w:sz w:val="24"/>
          <w:szCs w:val="24"/>
          <w:highlight w:val="none"/>
          <w:shd w:val="clear" w:color="auto" w:fill="ffffff"/>
          <w:lang w:eastAsia="zh-CN"/>
        </w:rPr>
        <w:t xml:space="preserve">翔实</w:t>
      </w:r>
      <w:r>
        <w:rPr>
          <w:rFonts w:hint="eastAsia" w:ascii="宋体" w:hAnsi="宋体" w:eastAsia="宋体" w:cs="宋体"/>
          <w:b w:val="0"/>
          <w:bCs w:val="0"/>
          <w:color w:val="auto"/>
          <w:sz w:val="24"/>
          <w:szCs w:val="24"/>
          <w:highlight w:val="none"/>
          <w:shd w:val="clear" w:color="auto" w:fill="ffffff"/>
        </w:rPr>
        <w:t xml:space="preserve">、需求贴合度高且条理清晰的该条得2分；内容较为简单、可行、细节有待完善的该条得1分；内容粗略、无针对性、基本满足采购需求的该条得0.5分；内容缺失或内容存在不能满足采购需求，或存在逻辑错误、前后矛盾，或存在违反现行相关规范的，该条不得分。本项共计4点内容，本项最高得8分。</w:t>
      </w:r>
      <w:r/>
    </w:p>
    <w:p>
      <w:pPr>
        <w:ind w:firstLine="480"/>
        <w:keepLines w:val="0"/>
        <w:keepNext w:val="0"/>
        <w:pageBreakBefore w:val="0"/>
        <w:spacing w:line="44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技术方案应当合理编写内容，页数范围控制在200页内，超出该范围作无效标处理。</w:t>
      </w:r>
      <w:r/>
    </w:p>
    <w:p>
      <w:pPr>
        <w:ind w:firstLine="482"/>
        <w:jc w:val="left"/>
        <w:keepLines w:val="0"/>
        <w:keepNext w:val="0"/>
        <w:pageBreakBefore w:val="0"/>
        <w:spacing w:line="440" w:lineRule="exact"/>
        <w:widowControl w:val="off"/>
        <w:rPr>
          <w:color w:val="auto"/>
          <w:sz w:val="24"/>
          <w:szCs w:val="24"/>
          <w:highlight w:val="none"/>
        </w:rPr>
      </w:pPr>
      <w:r>
        <w:rPr>
          <w:rFonts w:hint="eastAsia" w:ascii="宋体" w:hAnsi="宋体" w:eastAsia="宋体" w:cs="宋体"/>
          <w:b/>
          <w:bCs/>
          <w:color w:val="auto"/>
          <w:sz w:val="24"/>
          <w:szCs w:val="24"/>
          <w:highlight w:val="none"/>
        </w:rPr>
        <w:t xml:space="preserve">技术标评委在5人及5人以上的，取所有成员的平均值。</w:t>
      </w:r>
      <w:r>
        <w:rPr>
          <w:rFonts w:hint="eastAsia" w:ascii="宋体" w:hAnsi="宋体" w:eastAsia="宋体" w:cs="宋体"/>
          <w:b/>
          <w:bCs/>
          <w:color w:val="auto"/>
          <w:sz w:val="24"/>
          <w:szCs w:val="24"/>
          <w:highlight w:val="none"/>
          <w:shd w:val="clear" w:color="auto" w:fill="ffffff"/>
          <w:lang w:bidi="ar"/>
        </w:rPr>
        <w:t xml:space="preserve">未列入本评分细则的其他条件不作为评分内容。</w:t>
      </w:r>
      <w:r/>
    </w:p>
    <w:p>
      <w:pPr>
        <w:rPr>
          <w:rFonts w:hint="eastAsia" w:ascii="黑体" w:eastAsia="黑体"/>
          <w:bCs/>
          <w:color w:val="auto"/>
          <w:sz w:val="24"/>
          <w:szCs w:val="24"/>
          <w:highlight w:val="none"/>
        </w:rPr>
      </w:pPr>
      <w:r>
        <w:rPr>
          <w:rFonts w:hint="eastAsia" w:ascii="黑体" w:eastAsia="黑体"/>
          <w:bCs/>
          <w:color w:val="auto"/>
          <w:sz w:val="24"/>
          <w:szCs w:val="24"/>
          <w:highlight w:val="none"/>
        </w:rPr>
        <w:br w:type="page" w:clear="all"/>
      </w:r>
      <w:r/>
    </w:p>
    <w:p>
      <w:pPr>
        <w:ind w:firstLine="482"/>
        <w:jc w:val="left"/>
        <w:spacing w:line="360" w:lineRule="auto"/>
        <w:tabs>
          <w:tab w:val="left" w:pos="1401" w:leader="none"/>
        </w:tabs>
        <w:rPr>
          <w:rFonts w:ascii="黑体" w:eastAsia="黑体"/>
          <w:bCs/>
          <w:color w:val="auto"/>
          <w:sz w:val="24"/>
          <w:szCs w:val="24"/>
          <w:highlight w:val="none"/>
        </w:rPr>
      </w:pPr>
      <w:r>
        <w:rPr>
          <w:rFonts w:hint="eastAsia" w:ascii="黑体" w:eastAsia="黑体"/>
          <w:bCs/>
          <w:color w:val="auto"/>
          <w:sz w:val="24"/>
          <w:szCs w:val="24"/>
          <w:highlight w:val="none"/>
        </w:rPr>
        <w:t xml:space="preserve">附件二：投标文件格式</w:t>
      </w:r>
      <w:r/>
    </w:p>
    <w:p>
      <w:pPr>
        <w:rPr>
          <w:rFonts w:ascii="黑体" w:eastAsia="黑体"/>
          <w:bCs/>
          <w:color w:val="auto"/>
          <w:sz w:val="32"/>
          <w:highlight w:val="none"/>
        </w:rPr>
      </w:pPr>
      <w:r>
        <w:rPr>
          <w:rFonts w:ascii="黑体" w:eastAsia="黑体"/>
          <w:bCs/>
          <w:color w:val="auto"/>
          <w:sz w:val="32"/>
          <w:highlight w:val="none"/>
        </w:rPr>
      </w:r>
      <w:r/>
    </w:p>
    <w:p>
      <w:pPr>
        <w:pStyle w:val="779"/>
        <w:rPr>
          <w:rFonts w:ascii="黑体" w:eastAsia="黑体"/>
          <w:color w:val="auto"/>
          <w:sz w:val="32"/>
          <w:highlight w:val="none"/>
        </w:rPr>
      </w:pPr>
      <w:r>
        <w:rPr>
          <w:rFonts w:ascii="黑体" w:eastAsia="黑体"/>
          <w:color w:val="auto"/>
          <w:sz w:val="32"/>
          <w:highlight w:val="none"/>
        </w:rPr>
      </w:r>
      <w:r/>
    </w:p>
    <w:p>
      <w:pPr>
        <w:pStyle w:val="779"/>
        <w:rPr>
          <w:rFonts w:ascii="黑体" w:eastAsia="黑体"/>
          <w:color w:val="auto"/>
          <w:sz w:val="32"/>
          <w:highlight w:val="none"/>
        </w:rPr>
      </w:pPr>
      <w:r>
        <w:rPr>
          <w:rFonts w:ascii="黑体" w:eastAsia="黑体"/>
          <w:color w:val="auto"/>
          <w:sz w:val="32"/>
          <w:highlight w:val="none"/>
        </w:rPr>
      </w:r>
      <w:r/>
    </w:p>
    <w:p>
      <w:pPr>
        <w:pStyle w:val="779"/>
        <w:rPr>
          <w:rFonts w:ascii="黑体" w:eastAsia="黑体"/>
          <w:color w:val="auto"/>
          <w:sz w:val="32"/>
          <w:highlight w:val="none"/>
        </w:rPr>
      </w:pPr>
      <w:r>
        <w:rPr>
          <w:rFonts w:ascii="黑体" w:eastAsia="黑体"/>
          <w:color w:val="auto"/>
          <w:sz w:val="32"/>
          <w:highlight w:val="none"/>
        </w:rPr>
      </w:r>
      <w:r/>
    </w:p>
    <w:p>
      <w:pPr>
        <w:pStyle w:val="779"/>
        <w:rPr>
          <w:rFonts w:ascii="黑体" w:eastAsia="黑体"/>
          <w:color w:val="auto"/>
          <w:sz w:val="32"/>
          <w:highlight w:val="none"/>
        </w:rPr>
      </w:pPr>
      <w:r>
        <w:rPr>
          <w:rFonts w:ascii="黑体" w:eastAsia="黑体"/>
          <w:color w:val="auto"/>
          <w:sz w:val="32"/>
          <w:highlight w:val="none"/>
        </w:rPr>
      </w:r>
      <w:r/>
    </w:p>
    <w:p>
      <w:pPr>
        <w:pStyle w:val="779"/>
        <w:rPr>
          <w:rFonts w:ascii="黑体" w:eastAsia="黑体"/>
          <w:color w:val="auto"/>
          <w:sz w:val="32"/>
          <w:highlight w:val="none"/>
        </w:rPr>
      </w:pPr>
      <w:r>
        <w:rPr>
          <w:rFonts w:ascii="黑体" w:eastAsia="黑体"/>
          <w:color w:val="auto"/>
          <w:sz w:val="32"/>
          <w:highlight w:val="none"/>
        </w:rPr>
      </w:r>
      <w:r/>
    </w:p>
    <w:p>
      <w:pPr>
        <w:pStyle w:val="779"/>
        <w:rPr>
          <w:rFonts w:ascii="黑体" w:eastAsia="黑体"/>
          <w:color w:val="auto"/>
          <w:sz w:val="32"/>
          <w:highlight w:val="none"/>
        </w:rPr>
      </w:pPr>
      <w:r>
        <w:rPr>
          <w:rFonts w:ascii="黑体" w:eastAsia="黑体"/>
          <w:color w:val="auto"/>
          <w:sz w:val="32"/>
          <w:highlight w:val="none"/>
        </w:rPr>
      </w:r>
      <w:r/>
    </w:p>
    <w:p>
      <w:pPr>
        <w:rPr>
          <w:rFonts w:ascii="黑体" w:eastAsia="黑体"/>
          <w:bCs/>
          <w:color w:val="auto"/>
          <w:sz w:val="32"/>
          <w:highlight w:val="none"/>
        </w:rPr>
      </w:pPr>
      <w:r>
        <w:rPr>
          <w:rFonts w:ascii="黑体" w:eastAsia="黑体"/>
          <w:bCs/>
          <w:color w:val="auto"/>
          <w:sz w:val="32"/>
          <w:highlight w:val="none"/>
        </w:rPr>
      </w:r>
      <w:r/>
    </w:p>
    <w:p>
      <w:pPr>
        <w:jc w:val="center"/>
        <w:rPr>
          <w:rFonts w:ascii="黑体" w:eastAsia="黑体"/>
          <w:bCs/>
          <w:color w:val="auto"/>
          <w:sz w:val="52"/>
          <w:szCs w:val="52"/>
          <w:highlight w:val="none"/>
        </w:rPr>
      </w:pPr>
      <w:r>
        <w:rPr>
          <w:rFonts w:hint="eastAsia" w:ascii="黑体" w:eastAsia="黑体"/>
          <w:bCs/>
          <w:color w:val="auto"/>
          <w:sz w:val="52"/>
          <w:szCs w:val="52"/>
          <w:highlight w:val="none"/>
        </w:rPr>
        <w:t xml:space="preserve">投</w:t>
      </w:r>
      <w:r/>
    </w:p>
    <w:p>
      <w:pPr>
        <w:jc w:val="center"/>
        <w:rPr>
          <w:rFonts w:ascii="黑体" w:eastAsia="黑体"/>
          <w:bCs/>
          <w:color w:val="auto"/>
          <w:sz w:val="72"/>
          <w:highlight w:val="none"/>
        </w:rPr>
      </w:pPr>
      <w:r>
        <w:rPr>
          <w:rFonts w:ascii="黑体" w:eastAsia="黑体"/>
          <w:bCs/>
          <w:color w:val="auto"/>
          <w:sz w:val="72"/>
          <w:highlight w:val="none"/>
        </w:rPr>
      </w:r>
      <w:r/>
    </w:p>
    <w:p>
      <w:pPr>
        <w:jc w:val="center"/>
        <w:rPr>
          <w:rFonts w:ascii="黑体" w:eastAsia="黑体"/>
          <w:bCs/>
          <w:color w:val="auto"/>
          <w:sz w:val="52"/>
          <w:szCs w:val="52"/>
          <w:highlight w:val="none"/>
        </w:rPr>
      </w:pPr>
      <w:r>
        <w:rPr>
          <w:rFonts w:hint="eastAsia" w:ascii="黑体" w:eastAsia="黑体"/>
          <w:bCs/>
          <w:color w:val="auto"/>
          <w:sz w:val="52"/>
          <w:szCs w:val="52"/>
          <w:highlight w:val="none"/>
        </w:rPr>
        <w:t xml:space="preserve">标</w:t>
      </w:r>
      <w:r/>
    </w:p>
    <w:p>
      <w:pPr>
        <w:jc w:val="center"/>
        <w:rPr>
          <w:rFonts w:ascii="黑体" w:eastAsia="黑体"/>
          <w:bCs/>
          <w:color w:val="auto"/>
          <w:sz w:val="72"/>
          <w:highlight w:val="none"/>
        </w:rPr>
      </w:pPr>
      <w:r>
        <w:rPr>
          <w:rFonts w:ascii="黑体" w:eastAsia="黑体"/>
          <w:bCs/>
          <w:color w:val="auto"/>
          <w:sz w:val="72"/>
          <w:highlight w:val="none"/>
        </w:rPr>
      </w:r>
      <w:r/>
    </w:p>
    <w:p>
      <w:pPr>
        <w:jc w:val="center"/>
        <w:rPr>
          <w:rFonts w:ascii="黑体" w:eastAsia="黑体"/>
          <w:bCs/>
          <w:color w:val="auto"/>
          <w:sz w:val="52"/>
          <w:szCs w:val="52"/>
          <w:highlight w:val="none"/>
        </w:rPr>
      </w:pPr>
      <w:r>
        <w:rPr>
          <w:rFonts w:hint="eastAsia" w:ascii="黑体" w:eastAsia="黑体"/>
          <w:bCs/>
          <w:color w:val="auto"/>
          <w:sz w:val="52"/>
          <w:szCs w:val="52"/>
          <w:highlight w:val="none"/>
        </w:rPr>
        <w:t xml:space="preserve">文</w:t>
      </w:r>
      <w:r/>
    </w:p>
    <w:p>
      <w:pPr>
        <w:jc w:val="center"/>
        <w:rPr>
          <w:rFonts w:ascii="黑体" w:eastAsia="黑体"/>
          <w:bCs/>
          <w:color w:val="auto"/>
          <w:sz w:val="52"/>
          <w:szCs w:val="52"/>
          <w:highlight w:val="none"/>
        </w:rPr>
      </w:pPr>
      <w:r>
        <w:rPr>
          <w:rFonts w:ascii="黑体" w:eastAsia="黑体"/>
          <w:bCs/>
          <w:color w:val="auto"/>
          <w:sz w:val="52"/>
          <w:szCs w:val="52"/>
          <w:highlight w:val="none"/>
        </w:rPr>
      </w:r>
      <w:r/>
    </w:p>
    <w:p>
      <w:pPr>
        <w:jc w:val="center"/>
        <w:rPr>
          <w:rFonts w:ascii="黑体" w:eastAsia="黑体"/>
          <w:bCs/>
          <w:color w:val="auto"/>
          <w:sz w:val="52"/>
          <w:szCs w:val="52"/>
          <w:highlight w:val="none"/>
        </w:rPr>
      </w:pPr>
      <w:r>
        <w:rPr>
          <w:rFonts w:hint="eastAsia" w:ascii="黑体" w:eastAsia="黑体"/>
          <w:bCs/>
          <w:color w:val="auto"/>
          <w:sz w:val="52"/>
          <w:szCs w:val="52"/>
          <w:highlight w:val="none"/>
        </w:rPr>
        <w:t xml:space="preserve">件</w:t>
      </w:r>
      <w:r/>
    </w:p>
    <w:p>
      <w:pPr>
        <w:rPr>
          <w:rFonts w:ascii="楷体_GB2312" w:eastAsia="楷体_GB2312"/>
          <w:bCs/>
          <w:color w:val="auto"/>
          <w:sz w:val="72"/>
          <w:highlight w:val="none"/>
        </w:rPr>
      </w:pPr>
      <w:r>
        <w:rPr>
          <w:rFonts w:ascii="楷体_GB2312" w:eastAsia="楷体_GB2312"/>
          <w:bCs/>
          <w:color w:val="auto"/>
          <w:sz w:val="72"/>
          <w:highlight w:val="none"/>
        </w:rPr>
      </w:r>
      <w:r/>
    </w:p>
    <w:p>
      <w:pPr>
        <w:rPr>
          <w:rFonts w:ascii="楷体_GB2312" w:eastAsia="楷体_GB2312"/>
          <w:bCs/>
          <w:color w:val="auto"/>
          <w:sz w:val="28"/>
          <w:highlight w:val="none"/>
        </w:rPr>
      </w:pPr>
      <w:r>
        <w:rPr>
          <w:rFonts w:ascii="楷体_GB2312" w:eastAsia="楷体_GB2312"/>
          <w:bCs/>
          <w:color w:val="auto"/>
          <w:sz w:val="28"/>
          <w:highlight w:val="none"/>
        </w:rPr>
      </w:r>
      <w:r/>
    </w:p>
    <w:p>
      <w:pPr>
        <w:ind w:firstLine="560"/>
        <w:rPr>
          <w:rFonts w:hint="eastAsia" w:ascii="黑体" w:eastAsia="黑体"/>
          <w:bCs/>
          <w:color w:val="auto"/>
          <w:sz w:val="28"/>
          <w:szCs w:val="28"/>
          <w:highlight w:val="none"/>
          <w:lang w:eastAsia="zh-CN"/>
        </w:rPr>
      </w:pPr>
      <w:r>
        <w:rPr>
          <w:rFonts w:hint="eastAsia" w:ascii="黑体" w:eastAsia="黑体"/>
          <w:bCs/>
          <w:color w:val="auto"/>
          <w:sz w:val="28"/>
          <w:szCs w:val="28"/>
          <w:highlight w:val="none"/>
        </w:rPr>
        <w:t xml:space="preserve">采购项目编号：</w:t>
      </w:r>
      <w:r>
        <w:rPr>
          <w:rFonts w:hint="eastAsia" w:ascii="黑体" w:eastAsia="黑体"/>
          <w:bCs/>
          <w:color w:val="auto"/>
          <w:sz w:val="28"/>
          <w:szCs w:val="28"/>
          <w:highlight w:val="none"/>
          <w:lang w:eastAsia="zh-CN"/>
        </w:rPr>
        <w:t xml:space="preserve">JSZC-320214-JAGC-G2026-0003</w:t>
      </w:r>
      <w:r/>
    </w:p>
    <w:p>
      <w:pPr>
        <w:ind w:firstLine="560"/>
        <w:rPr>
          <w:rFonts w:hint="eastAsia" w:ascii="黑体" w:eastAsia="黑体"/>
          <w:bCs/>
          <w:color w:val="auto"/>
          <w:sz w:val="28"/>
          <w:szCs w:val="28"/>
          <w:highlight w:val="none"/>
          <w:lang w:eastAsia="zh-CN"/>
        </w:rPr>
      </w:pPr>
      <w:r>
        <w:rPr>
          <w:rFonts w:hint="eastAsia" w:ascii="黑体" w:eastAsia="黑体"/>
          <w:bCs/>
          <w:color w:val="auto"/>
          <w:sz w:val="28"/>
          <w:szCs w:val="28"/>
          <w:highlight w:val="none"/>
        </w:rPr>
        <w:t xml:space="preserve">采购项目名称：</w:t>
      </w:r>
      <w:r>
        <w:rPr>
          <w:rFonts w:hint="eastAsia" w:ascii="黑体" w:eastAsia="黑体"/>
          <w:bCs/>
          <w:color w:val="auto"/>
          <w:sz w:val="28"/>
          <w:szCs w:val="28"/>
          <w:highlight w:val="none"/>
          <w:lang w:eastAsia="zh-CN"/>
        </w:rPr>
        <w:t xml:space="preserve">2026年-2029年硕放街道市政雨污管网养护服务外包项目</w:t>
      </w:r>
      <w:r/>
    </w:p>
    <w:p>
      <w:pPr>
        <w:ind w:firstLine="560"/>
        <w:rPr>
          <w:rFonts w:ascii="黑体" w:eastAsia="黑体"/>
          <w:bCs/>
          <w:color w:val="auto"/>
          <w:sz w:val="28"/>
          <w:szCs w:val="28"/>
          <w:highlight w:val="none"/>
        </w:rPr>
      </w:pPr>
      <w:r>
        <w:rPr>
          <w:rFonts w:hint="eastAsia" w:ascii="黑体" w:eastAsia="黑体"/>
          <w:bCs/>
          <w:color w:val="auto"/>
          <w:sz w:val="28"/>
          <w:szCs w:val="28"/>
          <w:highlight w:val="none"/>
        </w:rPr>
        <w:t xml:space="preserve">投标人：</w:t>
      </w:r>
      <w:r/>
    </w:p>
    <w:p>
      <w:pPr>
        <w:rPr>
          <w:rFonts w:ascii="黑体" w:eastAsia="黑体"/>
          <w:bCs/>
          <w:color w:val="auto"/>
          <w:sz w:val="32"/>
          <w:highlight w:val="none"/>
        </w:rPr>
      </w:pPr>
      <w:r>
        <w:rPr>
          <w:rFonts w:ascii="黑体" w:eastAsia="黑体"/>
          <w:bCs/>
          <w:color w:val="auto"/>
          <w:sz w:val="32"/>
          <w:highlight w:val="none"/>
        </w:rPr>
      </w:r>
      <w:r/>
    </w:p>
    <w:p>
      <w:pPr>
        <w:jc w:val="center"/>
        <w:rPr>
          <w:rFonts w:ascii="黑体" w:eastAsia="黑体"/>
          <w:bCs/>
          <w:color w:val="auto"/>
          <w:sz w:val="36"/>
          <w:szCs w:val="36"/>
          <w:highlight w:val="none"/>
        </w:rPr>
      </w:pPr>
      <w:r>
        <w:rPr>
          <w:rFonts w:hint="eastAsia" w:ascii="黑体" w:eastAsia="黑体"/>
          <w:bCs/>
          <w:color w:val="auto"/>
          <w:sz w:val="36"/>
          <w:szCs w:val="36"/>
          <w:highlight w:val="none"/>
          <w:lang w:eastAsia="zh-CN"/>
        </w:rPr>
        <w:t xml:space="preserve">二〇二六</w:t>
      </w:r>
      <w:r>
        <w:rPr>
          <w:rFonts w:hint="eastAsia" w:ascii="黑体" w:eastAsia="黑体"/>
          <w:bCs/>
          <w:color w:val="auto"/>
          <w:sz w:val="36"/>
          <w:szCs w:val="36"/>
          <w:highlight w:val="none"/>
        </w:rPr>
        <w:t xml:space="preserve">年一月</w:t>
      </w:r>
      <w:r/>
    </w:p>
    <w:p>
      <w:pPr>
        <w:rPr>
          <w:rFonts w:hint="eastAsia" w:ascii="黑体" w:hAnsi="宋体" w:eastAsia="黑体"/>
          <w:bCs/>
          <w:color w:val="auto"/>
          <w:sz w:val="24"/>
          <w:szCs w:val="24"/>
          <w:highlight w:val="none"/>
        </w:rPr>
      </w:pPr>
      <w:r/>
      <w:bookmarkStart w:id="3" w:name="一．报价函（格式）"/>
      <w:r/>
      <w:bookmarkEnd w:id="3"/>
      <w:r>
        <w:rPr>
          <w:rFonts w:hint="eastAsia" w:ascii="黑体" w:hAnsi="宋体" w:eastAsia="黑体"/>
          <w:bCs/>
          <w:color w:val="auto"/>
          <w:sz w:val="24"/>
          <w:szCs w:val="24"/>
          <w:highlight w:val="none"/>
        </w:rPr>
        <w:br w:type="page" w:clear="all"/>
      </w:r>
      <w:r/>
    </w:p>
    <w:p>
      <w:pPr>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t xml:space="preserve">（一）投标函（格式）：</w:t>
      </w:r>
      <w:r/>
    </w:p>
    <w:p>
      <w:pPr>
        <w:jc w:val="center"/>
        <w:spacing w:line="360" w:lineRule="auto"/>
        <w:rPr>
          <w:rFonts w:ascii="宋体"/>
          <w:bCs/>
          <w:color w:val="auto"/>
          <w:sz w:val="24"/>
          <w:szCs w:val="24"/>
          <w:highlight w:val="none"/>
        </w:rPr>
      </w:pPr>
      <w:r>
        <w:rPr>
          <w:rFonts w:hint="eastAsia" w:ascii="黑体" w:eastAsia="黑体"/>
          <w:bCs/>
          <w:color w:val="auto"/>
          <w:sz w:val="28"/>
          <w:szCs w:val="28"/>
          <w:highlight w:val="none"/>
        </w:rPr>
        <w:t xml:space="preserve">投标函</w:t>
      </w:r>
      <w:r/>
    </w:p>
    <w:p>
      <w:pPr>
        <w:spacing w:line="360" w:lineRule="auto"/>
        <w:rPr>
          <w:rFonts w:ascii="宋体"/>
          <w:bCs/>
          <w:color w:val="auto"/>
          <w:sz w:val="24"/>
          <w:szCs w:val="24"/>
          <w:highlight w:val="none"/>
        </w:rPr>
      </w:pPr>
      <w:r>
        <w:rPr>
          <w:rFonts w:hint="eastAsia" w:ascii="宋体" w:hAnsi="宋体"/>
          <w:bCs/>
          <w:color w:val="auto"/>
          <w:sz w:val="24"/>
          <w:szCs w:val="24"/>
          <w:highlight w:val="none"/>
        </w:rPr>
        <w:t xml:space="preserve">致无锡市新吴区人民政府</w:t>
      </w:r>
      <w:r>
        <w:rPr>
          <w:rFonts w:hint="eastAsia" w:ascii="宋体" w:hAnsi="宋体"/>
          <w:bCs/>
          <w:color w:val="auto"/>
          <w:sz w:val="24"/>
          <w:szCs w:val="24"/>
          <w:highlight w:val="none"/>
          <w:lang w:eastAsia="zh-CN"/>
        </w:rPr>
        <w:t xml:space="preserve">硕放</w:t>
      </w:r>
      <w:r>
        <w:rPr>
          <w:rFonts w:hint="eastAsia" w:ascii="宋体" w:hAnsi="宋体"/>
          <w:bCs/>
          <w:color w:val="auto"/>
          <w:sz w:val="24"/>
          <w:szCs w:val="24"/>
          <w:highlight w:val="none"/>
        </w:rPr>
        <w:t xml:space="preserve">街道办事处：</w:t>
      </w:r>
      <w:r/>
    </w:p>
    <w:p>
      <w:pPr>
        <w:ind w:firstLine="480"/>
        <w:spacing w:line="360" w:lineRule="auto"/>
        <w:rPr>
          <w:rFonts w:ascii="宋体"/>
          <w:bCs/>
          <w:color w:val="auto"/>
          <w:sz w:val="24"/>
          <w:szCs w:val="24"/>
          <w:highlight w:val="none"/>
        </w:rPr>
      </w:pPr>
      <w:r>
        <w:rPr>
          <w:rFonts w:hint="eastAsia" w:ascii="宋体" w:hAnsi="宋体"/>
          <w:bCs/>
          <w:color w:val="auto"/>
          <w:sz w:val="24"/>
          <w:szCs w:val="24"/>
          <w:highlight w:val="none"/>
        </w:rPr>
        <w:t xml:space="preserve">我方收到贵方编号</w:t>
      </w:r>
      <w:r>
        <w:rPr>
          <w:rFonts w:hint="eastAsia" w:ascii="宋体" w:hAnsi="宋体"/>
          <w:bCs/>
          <w:color w:val="auto"/>
          <w:sz w:val="24"/>
          <w:szCs w:val="24"/>
          <w:highlight w:val="none"/>
          <w:lang w:eastAsia="zh-CN"/>
        </w:rPr>
        <w:t xml:space="preserve">JSZC-320214-JAGC-G2026-0002</w:t>
      </w:r>
      <w:r>
        <w:rPr>
          <w:rFonts w:hint="eastAsia" w:ascii="宋体" w:hAnsi="宋体"/>
          <w:bCs/>
          <w:color w:val="auto"/>
          <w:sz w:val="24"/>
          <w:szCs w:val="24"/>
          <w:highlight w:val="none"/>
        </w:rPr>
        <w:t xml:space="preserve">招标文件，经仔细阅读和研究，我方决定参加此项目的投标。</w:t>
      </w:r>
      <w:r/>
    </w:p>
    <w:p>
      <w:pPr>
        <w:numPr>
          <w:ilvl w:val="0"/>
          <w:numId w:val="16"/>
        </w:numPr>
        <w:ind w:left="0" w:firstLine="525"/>
        <w:spacing w:line="360" w:lineRule="auto"/>
        <w:tabs>
          <w:tab w:val="left" w:pos="315" w:leader="none"/>
          <w:tab w:val="left" w:pos="840" w:leader="none"/>
          <w:tab w:val="left" w:pos="945" w:leader="none"/>
          <w:tab w:val="left" w:pos="1050" w:leader="none"/>
          <w:tab w:val="left" w:pos="1260" w:leader="none"/>
        </w:tabs>
        <w:rPr>
          <w:rFonts w:ascii="宋体"/>
          <w:bCs/>
          <w:color w:val="auto"/>
          <w:sz w:val="24"/>
          <w:szCs w:val="24"/>
          <w:highlight w:val="none"/>
        </w:rPr>
      </w:pPr>
      <w:r>
        <w:rPr>
          <w:rFonts w:hint="eastAsia" w:ascii="宋体" w:hAnsi="宋体"/>
          <w:bCs/>
          <w:color w:val="auto"/>
          <w:sz w:val="24"/>
          <w:szCs w:val="24"/>
          <w:highlight w:val="none"/>
        </w:rPr>
        <w:t xml:space="preserve">我方愿意按照招标文件的一切要求，提供本项目的投标，投标总价见《开标一览表》。</w:t>
      </w:r>
      <w:r/>
    </w:p>
    <w:p>
      <w:pPr>
        <w:numPr>
          <w:ilvl w:val="0"/>
          <w:numId w:val="16"/>
        </w:numPr>
        <w:ind w:left="0" w:firstLine="523"/>
        <w:spacing w:line="360" w:lineRule="auto"/>
        <w:tabs>
          <w:tab w:val="left" w:pos="0" w:leader="none"/>
          <w:tab w:val="left" w:pos="315" w:leader="none"/>
          <w:tab w:val="left" w:pos="525" w:leader="none"/>
          <w:tab w:val="left" w:pos="840" w:leader="none"/>
          <w:tab w:val="left" w:pos="945" w:leader="none"/>
          <w:tab w:val="left" w:pos="1050" w:leader="none"/>
        </w:tabs>
        <w:rPr>
          <w:rStyle w:val="820"/>
          <w:rFonts w:hint="eastAsia"/>
          <w:bCs/>
          <w:color w:val="auto"/>
          <w:highlight w:val="none"/>
        </w:rPr>
      </w:pPr>
      <w:r>
        <w:rPr>
          <w:rFonts w:hint="eastAsia" w:ascii="宋体" w:hAnsi="宋体"/>
          <w:bCs/>
          <w:color w:val="auto"/>
          <w:sz w:val="24"/>
          <w:szCs w:val="24"/>
          <w:highlight w:val="none"/>
        </w:rPr>
        <w:t xml:space="preserve">我方愿意提供</w:t>
      </w:r>
      <w:r>
        <w:rPr>
          <w:rFonts w:hint="eastAsia" w:ascii="宋体" w:hAnsi="宋体"/>
          <w:bCs/>
          <w:color w:val="auto"/>
          <w:sz w:val="24"/>
          <w:szCs w:val="24"/>
          <w:highlight w:val="none"/>
          <w:lang w:eastAsia="zh-CN"/>
        </w:rPr>
        <w:t xml:space="preserve">江苏君安工程管理咨询有限公司</w:t>
      </w:r>
      <w:r>
        <w:rPr>
          <w:rFonts w:hint="eastAsia" w:ascii="宋体" w:hAnsi="宋体"/>
          <w:bCs/>
          <w:color w:val="auto"/>
          <w:sz w:val="24"/>
          <w:szCs w:val="24"/>
          <w:highlight w:val="none"/>
        </w:rPr>
        <w:t xml:space="preserve">在招标文件中要求的文件、资料。</w:t>
      </w:r>
      <w:r/>
    </w:p>
    <w:p>
      <w:pPr>
        <w:numPr>
          <w:ilvl w:val="0"/>
          <w:numId w:val="16"/>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我方同意按照招标文件中的规定，本投标文件投标的有效期限为开标之日起</w:t>
      </w:r>
      <w:r>
        <w:rPr>
          <w:rFonts w:ascii="宋体" w:hAnsi="宋体"/>
          <w:bCs/>
          <w:color w:val="auto"/>
          <w:sz w:val="24"/>
          <w:szCs w:val="24"/>
          <w:highlight w:val="none"/>
        </w:rPr>
        <w:t xml:space="preserve">90</w:t>
      </w:r>
      <w:r>
        <w:rPr>
          <w:rFonts w:hint="eastAsia" w:ascii="宋体" w:hAnsi="宋体"/>
          <w:bCs/>
          <w:color w:val="auto"/>
          <w:sz w:val="24"/>
          <w:szCs w:val="24"/>
          <w:highlight w:val="none"/>
        </w:rPr>
        <w:t xml:space="preserve">天。</w:t>
      </w:r>
      <w:r/>
    </w:p>
    <w:p>
      <w:pPr>
        <w:numPr>
          <w:ilvl w:val="0"/>
          <w:numId w:val="16"/>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如果我方的投标文件被接受，我方将履行招标文件中规定的每一项要求，按期、按质、按量，完成交货任务。</w:t>
      </w:r>
      <w:r/>
    </w:p>
    <w:p>
      <w:pPr>
        <w:numPr>
          <w:ilvl w:val="0"/>
          <w:numId w:val="16"/>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我方认为贵局有权决定中标者。</w:t>
      </w:r>
      <w:r/>
    </w:p>
    <w:p>
      <w:pPr>
        <w:numPr>
          <w:ilvl w:val="0"/>
          <w:numId w:val="16"/>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我方愿意遵守《中华人民共和国政府采购法》，并</w:t>
      </w:r>
      <w:r>
        <w:rPr>
          <w:rFonts w:hint="eastAsia" w:ascii="宋体" w:hAnsi="宋体"/>
          <w:bCs/>
          <w:color w:val="auto"/>
          <w:sz w:val="24"/>
          <w:szCs w:val="24"/>
          <w:highlight w:val="none"/>
          <w:lang w:eastAsia="zh-CN"/>
        </w:rPr>
        <w:t xml:space="preserve">按照</w:t>
      </w:r>
      <w:r>
        <w:rPr>
          <w:rFonts w:hint="eastAsia" w:ascii="宋体" w:hAnsi="宋体"/>
          <w:bCs/>
          <w:color w:val="auto"/>
          <w:sz w:val="24"/>
          <w:szCs w:val="24"/>
          <w:highlight w:val="none"/>
        </w:rPr>
        <w:t xml:space="preserve">《中华人民共和国民法典》、财政部《政府采购货物和服务招标投标管理办法》</w:t>
      </w:r>
      <w:r>
        <w:rPr>
          <w:rFonts w:hint="eastAsia" w:ascii="宋体" w:hAnsi="宋体"/>
          <w:color w:val="auto"/>
          <w:sz w:val="24"/>
          <w:szCs w:val="24"/>
          <w:highlight w:val="none"/>
        </w:rPr>
        <w:t xml:space="preserve">和</w:t>
      </w:r>
      <w:r>
        <w:rPr>
          <w:rFonts w:hint="eastAsia" w:ascii="宋体" w:hAnsi="宋体"/>
          <w:bCs/>
          <w:color w:val="auto"/>
          <w:sz w:val="24"/>
          <w:szCs w:val="24"/>
          <w:highlight w:val="none"/>
        </w:rPr>
        <w:t xml:space="preserve">合同条款履行自己的全部责任。</w:t>
      </w:r>
      <w:r/>
    </w:p>
    <w:p>
      <w:pPr>
        <w:numPr>
          <w:ilvl w:val="0"/>
          <w:numId w:val="16"/>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我方认可并遵守招标文件的所有规定，放弃对招标文件提出质疑的权利。</w:t>
      </w:r>
      <w:r/>
    </w:p>
    <w:p>
      <w:pPr>
        <w:numPr>
          <w:ilvl w:val="0"/>
          <w:numId w:val="16"/>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我方愿意按招标文件的规定上传《投标（报价）承诺函》。如我方在投标截止期后撤回投标及中标后拒绝遵守投标承诺或拒绝在规定的时间内与采购人签订合同，则接受政府采购监督管理部门的处理。</w:t>
      </w:r>
      <w:r/>
    </w:p>
    <w:p>
      <w:pPr>
        <w:numPr>
          <w:ilvl w:val="0"/>
          <w:numId w:val="16"/>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如果我方被确定为中标供应商，我方愿意</w:t>
      </w:r>
      <w:r>
        <w:rPr>
          <w:rFonts w:hint="eastAsia" w:ascii="宋体" w:hAnsi="宋体"/>
          <w:color w:val="auto"/>
          <w:sz w:val="24"/>
          <w:szCs w:val="24"/>
          <w:highlight w:val="none"/>
        </w:rPr>
        <w:t xml:space="preserve">向</w:t>
      </w:r>
      <w:r>
        <w:rPr>
          <w:rFonts w:hint="eastAsia" w:ascii="宋体" w:hAnsi="宋体"/>
          <w:bCs/>
          <w:color w:val="auto"/>
          <w:sz w:val="24"/>
          <w:szCs w:val="24"/>
          <w:highlight w:val="none"/>
        </w:rPr>
        <w:t xml:space="preserve">采购人缴纳履约保证金。且我方如无不可抗力，又未履行招标文件、投标文件和合同条款的，一经查实，我方愿意赔偿由此而造成的一切损失，并同意接受按招标文件的相关要求对我方进行的处理。</w:t>
      </w:r>
      <w:r/>
    </w:p>
    <w:p>
      <w:pPr>
        <w:numPr>
          <w:ilvl w:val="0"/>
          <w:numId w:val="16"/>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决不提供虚假材料谋取中标、决不采取不正当手段诋毁、排挤其他供应商、决不与采购人、其他供应商或者采购中心恶意串通、决不向采购人、采购代理机构和评委进行商业贿赂、决不在采购过程中与采购人进行协商谈判、决不拒绝有关部门监督检查或提供虚假情况，如有违反，无条件接受贵方及相关管理部门的处罚。</w:t>
      </w:r>
      <w:r/>
    </w:p>
    <w:p>
      <w:pPr>
        <w:ind w:firstLine="480"/>
        <w:spacing w:line="400" w:lineRule="exact"/>
        <w:rPr>
          <w:rFonts w:ascii="宋体"/>
          <w:bCs/>
          <w:color w:val="auto"/>
          <w:sz w:val="24"/>
          <w:szCs w:val="24"/>
          <w:highlight w:val="none"/>
        </w:rPr>
      </w:pPr>
      <w:r>
        <w:rPr>
          <w:rFonts w:hint="eastAsia" w:ascii="宋体" w:hAnsi="宋体"/>
          <w:bCs/>
          <w:color w:val="auto"/>
          <w:sz w:val="24"/>
          <w:szCs w:val="24"/>
          <w:highlight w:val="none"/>
        </w:rPr>
        <w:t xml:space="preserve">投标人（盖章）：</w:t>
      </w:r>
      <w:r/>
    </w:p>
    <w:p>
      <w:pPr>
        <w:ind w:firstLine="480"/>
        <w:spacing w:line="400" w:lineRule="exact"/>
        <w:rPr>
          <w:rFonts w:ascii="宋体"/>
          <w:bCs/>
          <w:color w:val="auto"/>
          <w:sz w:val="24"/>
          <w:szCs w:val="24"/>
          <w:highlight w:val="none"/>
        </w:rPr>
      </w:pPr>
      <w:r>
        <w:rPr>
          <w:rFonts w:hint="eastAsia" w:ascii="宋体" w:hAnsi="宋体"/>
          <w:bCs/>
          <w:color w:val="auto"/>
          <w:sz w:val="24"/>
          <w:szCs w:val="24"/>
          <w:highlight w:val="none"/>
        </w:rPr>
        <w:t xml:space="preserve">法定代表人或法定代表人授权代表签字或盖章：</w:t>
      </w:r>
      <w:r/>
    </w:p>
    <w:p>
      <w:pPr>
        <w:ind w:firstLine="480"/>
        <w:spacing w:line="400" w:lineRule="exact"/>
        <w:rPr>
          <w:rFonts w:ascii="宋体"/>
          <w:bCs/>
          <w:color w:val="auto"/>
          <w:sz w:val="24"/>
          <w:szCs w:val="24"/>
          <w:highlight w:val="none"/>
        </w:rPr>
      </w:pPr>
      <w:r>
        <w:rPr>
          <w:rFonts w:hint="eastAsia" w:ascii="宋体" w:hAnsi="宋体"/>
          <w:bCs/>
          <w:color w:val="auto"/>
          <w:sz w:val="24"/>
          <w:szCs w:val="24"/>
          <w:highlight w:val="none"/>
        </w:rPr>
        <w:t xml:space="preserve">电话：                         传真：</w:t>
      </w:r>
      <w:r/>
    </w:p>
    <w:p>
      <w:pPr>
        <w:ind w:firstLine="480"/>
        <w:spacing w:line="4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通讯地址：                     邮编：</w:t>
      </w:r>
      <w:r/>
    </w:p>
    <w:p>
      <w:pPr>
        <w:rPr>
          <w:rFonts w:ascii="黑体" w:eastAsia="黑体"/>
          <w:bCs/>
          <w:color w:val="auto"/>
          <w:sz w:val="28"/>
          <w:szCs w:val="28"/>
          <w:highlight w:val="none"/>
        </w:rPr>
      </w:pPr>
      <w:r>
        <w:rPr>
          <w:rFonts w:hint="eastAsia"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 xml:space="preserve">（二）（投标人）关于资格的声明函（格式）：</w:t>
      </w:r>
      <w:r/>
    </w:p>
    <w:p>
      <w:pPr>
        <w:spacing w:line="360" w:lineRule="auto"/>
        <w:rPr>
          <w:rFonts w:ascii="黑体" w:eastAsia="黑体"/>
          <w:bCs/>
          <w:color w:val="auto"/>
          <w:sz w:val="36"/>
          <w:highlight w:val="none"/>
        </w:rPr>
      </w:pPr>
      <w:r>
        <w:rPr>
          <w:rFonts w:ascii="黑体" w:eastAsia="黑体"/>
          <w:bCs/>
          <w:color w:val="auto"/>
          <w:sz w:val="36"/>
          <w:highlight w:val="none"/>
        </w:rPr>
      </w:r>
      <w:r/>
    </w:p>
    <w:p>
      <w:pPr>
        <w:jc w:val="center"/>
        <w:rPr>
          <w:rFonts w:ascii="黑体" w:eastAsia="黑体"/>
          <w:bCs/>
          <w:color w:val="auto"/>
          <w:sz w:val="28"/>
          <w:szCs w:val="28"/>
          <w:highlight w:val="none"/>
        </w:rPr>
      </w:pPr>
      <w:r/>
      <w:bookmarkStart w:id="4" w:name="报价方关于资格的声明函（格式）"/>
      <w:r/>
      <w:bookmarkEnd w:id="4"/>
      <w:r>
        <w:rPr>
          <w:rFonts w:hint="eastAsia" w:ascii="黑体" w:eastAsia="黑体"/>
          <w:bCs/>
          <w:color w:val="auto"/>
          <w:sz w:val="28"/>
          <w:szCs w:val="28"/>
          <w:highlight w:val="none"/>
        </w:rPr>
        <w:t xml:space="preserve">关于资格的声明函</w:t>
      </w:r>
      <w:r/>
    </w:p>
    <w:p>
      <w:pPr>
        <w:jc w:val="center"/>
        <w:rPr>
          <w:rFonts w:ascii="黑体" w:eastAsia="黑体"/>
          <w:bCs/>
          <w:color w:val="auto"/>
          <w:sz w:val="32"/>
          <w:highlight w:val="none"/>
        </w:rPr>
      </w:pPr>
      <w:r>
        <w:rPr>
          <w:rFonts w:ascii="黑体" w:eastAsia="黑体"/>
          <w:bCs/>
          <w:color w:val="auto"/>
          <w:sz w:val="32"/>
          <w:highlight w:val="none"/>
        </w:rPr>
      </w:r>
      <w:r/>
    </w:p>
    <w:p>
      <w:pPr>
        <w:jc w:val="center"/>
        <w:spacing w:line="480" w:lineRule="auto"/>
        <w:rPr>
          <w:rFonts w:ascii="宋体"/>
          <w:bCs/>
          <w:color w:val="auto"/>
          <w:sz w:val="24"/>
          <w:szCs w:val="24"/>
          <w:highlight w:val="none"/>
        </w:rPr>
      </w:pPr>
      <w:r>
        <w:rPr>
          <w:rFonts w:hint="eastAsia" w:ascii="宋体" w:hAnsi="宋体"/>
          <w:bCs/>
          <w:color w:val="auto"/>
          <w:sz w:val="24"/>
          <w:szCs w:val="24"/>
          <w:highlight w:val="none"/>
        </w:rPr>
        <w:t xml:space="preserve">采购项目编号：</w:t>
      </w:r>
      <w:r/>
    </w:p>
    <w:p>
      <w:pPr>
        <w:jc w:val="center"/>
        <w:spacing w:line="480" w:lineRule="auto"/>
        <w:tabs>
          <w:tab w:val="left" w:pos="6300" w:leader="none"/>
        </w:tabs>
        <w:rPr>
          <w:rFonts w:ascii="宋体"/>
          <w:bCs/>
          <w:color w:val="auto"/>
          <w:sz w:val="24"/>
          <w:szCs w:val="24"/>
          <w:highlight w:val="none"/>
        </w:rPr>
      </w:pPr>
      <w:r>
        <w:rPr>
          <w:rFonts w:hint="eastAsia" w:ascii="宋体" w:hAnsi="宋体"/>
          <w:bCs/>
          <w:color w:val="auto"/>
          <w:sz w:val="24"/>
          <w:szCs w:val="24"/>
          <w:highlight w:val="none"/>
        </w:rPr>
        <w:t xml:space="preserve">日期：</w:t>
      </w:r>
      <w:r/>
    </w:p>
    <w:p>
      <w:pPr>
        <w:spacing w:line="480" w:lineRule="auto"/>
        <w:rPr>
          <w:rFonts w:ascii="宋体"/>
          <w:bCs/>
          <w:color w:val="auto"/>
          <w:sz w:val="24"/>
          <w:szCs w:val="24"/>
          <w:highlight w:val="none"/>
        </w:rPr>
      </w:pPr>
      <w:r>
        <w:rPr>
          <w:rFonts w:hint="eastAsia" w:ascii="宋体" w:hAnsi="宋体"/>
          <w:bCs/>
          <w:color w:val="auto"/>
          <w:sz w:val="24"/>
          <w:szCs w:val="24"/>
          <w:highlight w:val="none"/>
        </w:rPr>
        <w:t xml:space="preserve">无锡市新吴区人民政府</w:t>
      </w:r>
      <w:r>
        <w:rPr>
          <w:rFonts w:hint="eastAsia" w:ascii="宋体" w:hAnsi="宋体"/>
          <w:bCs/>
          <w:color w:val="auto"/>
          <w:sz w:val="24"/>
          <w:szCs w:val="24"/>
          <w:highlight w:val="none"/>
          <w:lang w:eastAsia="zh-CN"/>
        </w:rPr>
        <w:t xml:space="preserve">硕放</w:t>
      </w:r>
      <w:r>
        <w:rPr>
          <w:rFonts w:hint="eastAsia" w:ascii="宋体" w:hAnsi="宋体"/>
          <w:bCs/>
          <w:color w:val="auto"/>
          <w:sz w:val="24"/>
          <w:szCs w:val="24"/>
          <w:highlight w:val="none"/>
        </w:rPr>
        <w:t xml:space="preserve">街道办事处：</w:t>
      </w:r>
      <w:r/>
    </w:p>
    <w:p>
      <w:pPr>
        <w:spacing w:line="480" w:lineRule="auto"/>
        <w:rPr>
          <w:rFonts w:ascii="宋体"/>
          <w:bCs/>
          <w:color w:val="auto"/>
          <w:sz w:val="24"/>
          <w:szCs w:val="24"/>
          <w:highlight w:val="none"/>
        </w:rPr>
      </w:pPr>
      <w:r>
        <w:rPr>
          <w:rFonts w:ascii="宋体"/>
          <w:bCs/>
          <w:color w:val="auto"/>
          <w:sz w:val="24"/>
          <w:szCs w:val="24"/>
          <w:highlight w:val="none"/>
        </w:rPr>
      </w:r>
      <w:r/>
    </w:p>
    <w:p>
      <w:pPr>
        <w:ind w:firstLine="480"/>
        <w:spacing w:line="48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我公司（单位）参加本次项目（</w:t>
      </w:r>
      <w:r>
        <w:rPr>
          <w:rFonts w:hint="eastAsia" w:ascii="宋体" w:hAnsi="宋体"/>
          <w:bCs/>
          <w:color w:val="auto"/>
          <w:sz w:val="24"/>
          <w:szCs w:val="24"/>
          <w:highlight w:val="none"/>
          <w:lang w:eastAsia="zh-CN"/>
        </w:rPr>
        <w:t xml:space="preserve">JSZC-320214-JAGC-G2026-0003</w:t>
      </w:r>
      <w:r>
        <w:rPr>
          <w:rFonts w:hint="eastAsia" w:ascii="宋体" w:hAnsi="宋体"/>
          <w:bCs/>
          <w:color w:val="auto"/>
          <w:sz w:val="24"/>
          <w:szCs w:val="24"/>
          <w:highlight w:val="none"/>
        </w:rPr>
        <w:t xml:space="preserve">）政府采购活动前三年内，在经营活动中没有重大违法记录，我公司（单位）愿针对本次项目（</w:t>
      </w:r>
      <w:r>
        <w:rPr>
          <w:rFonts w:hint="eastAsia" w:ascii="宋体" w:hAnsi="宋体"/>
          <w:bCs/>
          <w:color w:val="auto"/>
          <w:sz w:val="24"/>
          <w:szCs w:val="24"/>
          <w:highlight w:val="none"/>
          <w:lang w:eastAsia="zh-CN"/>
        </w:rPr>
        <w:t xml:space="preserve">JSZC-320214-JAGC-G2026-0003</w:t>
      </w:r>
      <w:r>
        <w:rPr>
          <w:rFonts w:hint="eastAsia" w:ascii="宋体" w:hAnsi="宋体"/>
          <w:bCs/>
          <w:color w:val="auto"/>
          <w:sz w:val="24"/>
          <w:szCs w:val="24"/>
          <w:highlight w:val="none"/>
        </w:rPr>
        <w:t xml:space="preserve">）进行投标，投标文件中所有关于投标资格的文件、证明、陈述均是真实的、准确的。若有违背，我公司（单位）愿意承担由此而产生的一切后果。</w:t>
      </w:r>
      <w:r/>
    </w:p>
    <w:p>
      <w:pPr>
        <w:spacing w:line="480" w:lineRule="auto"/>
        <w:rPr>
          <w:rFonts w:ascii="宋体"/>
          <w:bCs/>
          <w:color w:val="auto"/>
          <w:sz w:val="24"/>
          <w:szCs w:val="24"/>
          <w:highlight w:val="none"/>
        </w:rPr>
      </w:pPr>
      <w:r>
        <w:rPr>
          <w:rFonts w:ascii="宋体"/>
          <w:bCs/>
          <w:color w:val="auto"/>
          <w:sz w:val="24"/>
          <w:szCs w:val="24"/>
          <w:highlight w:val="none"/>
        </w:rPr>
      </w:r>
      <w:r/>
    </w:p>
    <w:p>
      <w:pPr>
        <w:spacing w:line="480" w:lineRule="auto"/>
        <w:rPr>
          <w:rFonts w:ascii="宋体"/>
          <w:bCs/>
          <w:color w:val="auto"/>
          <w:sz w:val="24"/>
          <w:szCs w:val="24"/>
          <w:highlight w:val="none"/>
        </w:rPr>
      </w:pPr>
      <w:r>
        <w:rPr>
          <w:rFonts w:hint="eastAsia" w:ascii="宋体" w:hAnsi="宋体"/>
          <w:bCs/>
          <w:color w:val="auto"/>
          <w:sz w:val="24"/>
          <w:szCs w:val="24"/>
          <w:highlight w:val="none"/>
        </w:rPr>
        <w:t xml:space="preserve">投标人（盖章）：</w:t>
      </w:r>
      <w:r/>
    </w:p>
    <w:p>
      <w:pPr>
        <w:spacing w:line="480" w:lineRule="auto"/>
        <w:rPr>
          <w:rFonts w:ascii="宋体"/>
          <w:bCs/>
          <w:color w:val="auto"/>
          <w:sz w:val="24"/>
          <w:szCs w:val="24"/>
          <w:highlight w:val="none"/>
        </w:rPr>
      </w:pPr>
      <w:r>
        <w:rPr>
          <w:rFonts w:hint="eastAsia" w:ascii="宋体" w:hAnsi="宋体"/>
          <w:bCs/>
          <w:color w:val="auto"/>
          <w:sz w:val="24"/>
          <w:szCs w:val="24"/>
          <w:highlight w:val="none"/>
        </w:rPr>
        <w:t xml:space="preserve">法定代表人或法定代表人授权代表（签字或盖章）：</w:t>
      </w:r>
      <w:r/>
    </w:p>
    <w:p>
      <w:pPr>
        <w:spacing w:line="480" w:lineRule="auto"/>
        <w:rPr>
          <w:rFonts w:ascii="宋体"/>
          <w:bCs/>
          <w:color w:val="auto"/>
          <w:sz w:val="24"/>
          <w:szCs w:val="24"/>
          <w:highlight w:val="none"/>
        </w:rPr>
      </w:pPr>
      <w:r>
        <w:rPr>
          <w:rFonts w:ascii="宋体"/>
          <w:bCs/>
          <w:color w:val="auto"/>
          <w:sz w:val="24"/>
          <w:szCs w:val="24"/>
          <w:highlight w:val="none"/>
        </w:rPr>
      </w:r>
      <w:r/>
    </w:p>
    <w:p>
      <w:pPr>
        <w:ind w:firstLine="480"/>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20"/>
        <w:rPr>
          <w:rFonts w:hint="eastAsia" w:ascii="黑体" w:hAnsi="宋体" w:eastAsia="黑体"/>
          <w:bCs/>
          <w:color w:val="auto"/>
          <w:sz w:val="24"/>
          <w:szCs w:val="24"/>
          <w:highlight w:val="none"/>
        </w:rPr>
      </w:pPr>
      <w:r>
        <w:rPr>
          <w:rFonts w:hint="eastAsia"/>
          <w:color w:val="auto"/>
          <w:highlight w:val="none"/>
        </w:rPr>
        <w:t xml:space="preserve">备注：上述所称“重大违法记录”，是指供应商因违法经营受到刑事处罚或者责令停产停业、吊销许可证或者执照、较大数额罚款等行政处罚。</w:t>
      </w:r>
      <w:r/>
    </w:p>
    <w:p>
      <w:pPr>
        <w:ind w:firstLine="480"/>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rPr>
          <w:rFonts w:ascii="黑体" w:eastAsia="黑体"/>
          <w:bCs/>
          <w:color w:val="auto"/>
          <w:sz w:val="28"/>
          <w:szCs w:val="28"/>
          <w:highlight w:val="none"/>
        </w:rPr>
      </w:pPr>
      <w:r>
        <w:rPr>
          <w:rFonts w:hint="eastAsia"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 xml:space="preserve">（三）（投标人）法定代表人授权委托书（格式）：</w:t>
      </w:r>
      <w:r/>
    </w:p>
    <w:p>
      <w:pPr>
        <w:rPr>
          <w:rFonts w:ascii="黑体" w:eastAsia="黑体"/>
          <w:bCs/>
          <w:color w:val="auto"/>
          <w:sz w:val="28"/>
          <w:szCs w:val="28"/>
          <w:highlight w:val="none"/>
        </w:rPr>
      </w:pPr>
      <w:r>
        <w:rPr>
          <w:rFonts w:ascii="黑体" w:eastAsia="黑体"/>
          <w:bCs/>
          <w:color w:val="auto"/>
          <w:sz w:val="28"/>
          <w:szCs w:val="28"/>
          <w:highlight w:val="none"/>
        </w:rPr>
      </w:r>
      <w:r/>
    </w:p>
    <w:p>
      <w:pPr>
        <w:jc w:val="center"/>
        <w:rPr>
          <w:rFonts w:ascii="黑体" w:eastAsia="黑体"/>
          <w:bCs/>
          <w:color w:val="auto"/>
          <w:sz w:val="28"/>
          <w:szCs w:val="28"/>
          <w:highlight w:val="none"/>
        </w:rPr>
      </w:pPr>
      <w:r>
        <w:rPr>
          <w:rFonts w:hint="eastAsia" w:ascii="黑体" w:eastAsia="黑体"/>
          <w:bCs/>
          <w:color w:val="auto"/>
          <w:sz w:val="28"/>
          <w:szCs w:val="28"/>
          <w:highlight w:val="none"/>
        </w:rPr>
        <w:t xml:space="preserve">法定代表人授权委托书</w:t>
      </w:r>
      <w:r/>
    </w:p>
    <w:p>
      <w:pPr>
        <w:jc w:val="center"/>
        <w:spacing w:line="360" w:lineRule="auto"/>
        <w:rPr>
          <w:rFonts w:ascii="楷体_GB2312" w:eastAsia="楷体_GB2312"/>
          <w:bCs/>
          <w:color w:val="auto"/>
          <w:sz w:val="36"/>
          <w:highlight w:val="none"/>
        </w:rPr>
      </w:pPr>
      <w:r>
        <w:rPr>
          <w:rFonts w:ascii="楷体_GB2312" w:eastAsia="楷体_GB2312"/>
          <w:bCs/>
          <w:color w:val="auto"/>
          <w:sz w:val="36"/>
          <w:highlight w:val="none"/>
        </w:rPr>
      </w:r>
      <w:r/>
    </w:p>
    <w:p>
      <w:pPr>
        <w:jc w:val="center"/>
        <w:spacing w:line="480" w:lineRule="auto"/>
        <w:rPr>
          <w:rFonts w:ascii="宋体"/>
          <w:bCs/>
          <w:color w:val="auto"/>
          <w:sz w:val="24"/>
          <w:szCs w:val="24"/>
          <w:highlight w:val="none"/>
        </w:rPr>
      </w:pPr>
      <w:r>
        <w:rPr>
          <w:rFonts w:hint="eastAsia" w:ascii="宋体" w:hAnsi="宋体"/>
          <w:bCs/>
          <w:color w:val="auto"/>
          <w:sz w:val="24"/>
          <w:szCs w:val="24"/>
          <w:highlight w:val="none"/>
        </w:rPr>
        <w:t xml:space="preserve">采购项目编号：</w:t>
      </w:r>
      <w:r/>
    </w:p>
    <w:p>
      <w:pPr>
        <w:ind w:firstLine="4080"/>
        <w:spacing w:line="580" w:lineRule="exact"/>
        <w:rPr>
          <w:rFonts w:ascii="宋体"/>
          <w:bCs/>
          <w:color w:val="auto"/>
          <w:sz w:val="24"/>
          <w:szCs w:val="24"/>
          <w:highlight w:val="none"/>
        </w:rPr>
      </w:pPr>
      <w:r>
        <w:rPr>
          <w:rFonts w:hint="eastAsia" w:ascii="宋体" w:hAnsi="宋体"/>
          <w:bCs/>
          <w:color w:val="auto"/>
          <w:sz w:val="24"/>
          <w:szCs w:val="24"/>
          <w:highlight w:val="none"/>
        </w:rPr>
        <w:t xml:space="preserve">日期：</w:t>
      </w:r>
      <w:r/>
    </w:p>
    <w:p>
      <w:pPr>
        <w:spacing w:line="600" w:lineRule="exact"/>
        <w:rPr>
          <w:rFonts w:ascii="宋体"/>
          <w:bCs/>
          <w:color w:val="auto"/>
          <w:sz w:val="24"/>
          <w:szCs w:val="24"/>
          <w:highlight w:val="none"/>
        </w:rPr>
      </w:pPr>
      <w:r>
        <w:rPr>
          <w:rFonts w:hint="eastAsia" w:ascii="宋体" w:hAnsi="宋体"/>
          <w:bCs/>
          <w:color w:val="auto"/>
          <w:sz w:val="24"/>
          <w:szCs w:val="24"/>
          <w:highlight w:val="none"/>
        </w:rPr>
        <w:t xml:space="preserve">无锡市新吴区人民政府</w:t>
      </w:r>
      <w:r>
        <w:rPr>
          <w:rFonts w:hint="eastAsia" w:ascii="宋体" w:hAnsi="宋体"/>
          <w:bCs/>
          <w:color w:val="auto"/>
          <w:sz w:val="24"/>
          <w:szCs w:val="24"/>
          <w:highlight w:val="none"/>
          <w:lang w:eastAsia="zh-CN"/>
        </w:rPr>
        <w:t xml:space="preserve">硕放</w:t>
      </w:r>
      <w:r>
        <w:rPr>
          <w:rFonts w:hint="eastAsia" w:ascii="宋体" w:hAnsi="宋体"/>
          <w:bCs/>
          <w:color w:val="auto"/>
          <w:sz w:val="24"/>
          <w:szCs w:val="24"/>
          <w:highlight w:val="none"/>
        </w:rPr>
        <w:t xml:space="preserve">街道办事处：</w:t>
      </w:r>
      <w:r/>
    </w:p>
    <w:p>
      <w:pPr>
        <w:ind w:firstLine="480"/>
        <w:spacing w:line="600" w:lineRule="exact"/>
        <w:rPr>
          <w:rFonts w:hint="eastAsia" w:ascii="宋体" w:hAnsi="宋体"/>
          <w:bCs/>
          <w:color w:val="auto"/>
          <w:sz w:val="24"/>
          <w:szCs w:val="24"/>
          <w:highlight w:val="none"/>
        </w:rPr>
      </w:pP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系中华人民共和国合法公司（单位），特授权</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代表我公司（单位）全权办理针对本项目（</w:t>
      </w:r>
      <w:r>
        <w:rPr>
          <w:rFonts w:hint="eastAsia" w:ascii="宋体" w:hAnsi="宋体"/>
          <w:bCs/>
          <w:color w:val="auto"/>
          <w:sz w:val="24"/>
          <w:szCs w:val="24"/>
          <w:highlight w:val="none"/>
          <w:lang w:eastAsia="zh-CN"/>
        </w:rPr>
        <w:t xml:space="preserve">JSZC-320214-JAGC-G2026-0003</w:t>
      </w:r>
      <w:r>
        <w:rPr>
          <w:rFonts w:hint="eastAsia" w:ascii="宋体" w:hAnsi="宋体"/>
          <w:bCs/>
          <w:color w:val="auto"/>
          <w:sz w:val="24"/>
          <w:szCs w:val="24"/>
          <w:highlight w:val="none"/>
        </w:rPr>
        <w:t xml:space="preserve">）的投标、参与开标、评标、签约等具体工作，并签署全部有关的文件、协议及合同。</w:t>
      </w:r>
      <w:r/>
    </w:p>
    <w:p>
      <w:pPr>
        <w:ind w:firstLine="480"/>
        <w:spacing w:line="580" w:lineRule="exact"/>
        <w:rPr>
          <w:rFonts w:ascii="宋体"/>
          <w:bCs/>
          <w:color w:val="auto"/>
          <w:sz w:val="24"/>
          <w:szCs w:val="24"/>
          <w:highlight w:val="none"/>
        </w:rPr>
      </w:pPr>
      <w:r>
        <w:rPr>
          <w:rFonts w:hint="eastAsia" w:ascii="宋体" w:hAnsi="宋体"/>
          <w:bCs/>
          <w:color w:val="auto"/>
          <w:sz w:val="24"/>
          <w:szCs w:val="24"/>
          <w:highlight w:val="none"/>
        </w:rPr>
        <w:t xml:space="preserve">我公司（单位）对被授权代表的签名负全部责任。</w:t>
      </w:r>
      <w:r/>
    </w:p>
    <w:p>
      <w:pPr>
        <w:ind w:firstLine="480"/>
        <w:spacing w:line="580" w:lineRule="exact"/>
        <w:rPr>
          <w:rFonts w:ascii="宋体"/>
          <w:bCs/>
          <w:color w:val="auto"/>
          <w:sz w:val="24"/>
          <w:szCs w:val="24"/>
          <w:highlight w:val="none"/>
        </w:rPr>
      </w:pPr>
      <w:r>
        <w:rPr>
          <w:rFonts w:hint="eastAsia" w:ascii="宋体" w:hAnsi="宋体"/>
          <w:bCs/>
          <w:color w:val="auto"/>
          <w:sz w:val="24"/>
          <w:szCs w:val="24"/>
          <w:highlight w:val="none"/>
        </w:rPr>
        <w:t xml:space="preserve">在撤销授权的书面通知送达你处以前，本授权书一直有效，被授权代表签署的所有文件（在授权书有效期内签署的）不因授权的撤销而失效。</w:t>
      </w:r>
      <w:r/>
    </w:p>
    <w:p>
      <w:pPr>
        <w:ind w:firstLine="480"/>
        <w:spacing w:line="580" w:lineRule="exact"/>
        <w:rPr>
          <w:rFonts w:ascii="宋体"/>
          <w:bCs/>
          <w:color w:val="auto"/>
          <w:sz w:val="24"/>
          <w:szCs w:val="24"/>
          <w:highlight w:val="none"/>
        </w:rPr>
      </w:pPr>
      <w:r>
        <w:rPr>
          <w:rFonts w:hint="eastAsia" w:ascii="宋体" w:hAnsi="宋体"/>
          <w:bCs/>
          <w:color w:val="auto"/>
          <w:sz w:val="24"/>
          <w:szCs w:val="24"/>
          <w:highlight w:val="none"/>
        </w:rPr>
        <w:t xml:space="preserve">被授权代表情况：</w:t>
      </w:r>
      <w:r/>
    </w:p>
    <w:p>
      <w:pPr>
        <w:ind w:firstLine="525"/>
        <w:spacing w:line="580" w:lineRule="exact"/>
        <w:rPr>
          <w:rFonts w:ascii="宋体"/>
          <w:bCs/>
          <w:color w:val="auto"/>
          <w:sz w:val="24"/>
          <w:szCs w:val="24"/>
          <w:highlight w:val="none"/>
        </w:rPr>
      </w:pPr>
      <w:r>
        <w:rPr>
          <w:rFonts w:hint="eastAsia" w:ascii="宋体" w:hAnsi="宋体"/>
          <w:bCs/>
          <w:color w:val="auto"/>
          <w:sz w:val="24"/>
          <w:szCs w:val="24"/>
          <w:highlight w:val="none"/>
        </w:rPr>
        <w:t xml:space="preserve">姓名：         性别：               电话：</w:t>
      </w:r>
      <w:r/>
    </w:p>
    <w:p>
      <w:pPr>
        <w:ind w:firstLine="3240"/>
        <w:spacing w:line="580" w:lineRule="exact"/>
        <w:rPr>
          <w:rFonts w:ascii="宋体"/>
          <w:bCs/>
          <w:color w:val="auto"/>
          <w:sz w:val="24"/>
          <w:szCs w:val="24"/>
          <w:highlight w:val="none"/>
        </w:rPr>
      </w:pPr>
      <w:r>
        <w:rPr>
          <w:rFonts w:ascii="宋体"/>
          <w:bCs/>
          <w:color w:val="auto"/>
          <w:sz w:val="24"/>
          <w:szCs w:val="24"/>
          <w:highlight w:val="none"/>
        </w:rPr>
      </w:r>
      <w:r/>
    </w:p>
    <w:p>
      <w:pPr>
        <w:ind w:firstLine="3240"/>
        <w:spacing w:line="580" w:lineRule="exact"/>
        <w:rPr>
          <w:rFonts w:ascii="宋体"/>
          <w:bCs/>
          <w:color w:val="auto"/>
          <w:sz w:val="24"/>
          <w:szCs w:val="24"/>
          <w:highlight w:val="none"/>
        </w:rPr>
      </w:pPr>
      <w:r>
        <w:rPr>
          <w:rFonts w:ascii="宋体"/>
          <w:bCs/>
          <w:color w:val="auto"/>
          <w:sz w:val="24"/>
          <w:szCs w:val="24"/>
          <w:highlight w:val="none"/>
        </w:rPr>
      </w:r>
      <w:r/>
    </w:p>
    <w:p>
      <w:pPr>
        <w:ind w:firstLine="4180"/>
        <w:spacing w:line="580" w:lineRule="exact"/>
        <w:rPr>
          <w:rFonts w:ascii="宋体"/>
          <w:bCs/>
          <w:color w:val="auto"/>
          <w:sz w:val="24"/>
          <w:szCs w:val="24"/>
          <w:highlight w:val="none"/>
        </w:rPr>
      </w:pPr>
      <w:r>
        <w:rPr>
          <w:rFonts w:hint="eastAsia" w:ascii="宋体" w:hAnsi="宋体"/>
          <w:bCs/>
          <w:color w:val="auto"/>
          <w:sz w:val="24"/>
          <w:szCs w:val="24"/>
          <w:highlight w:val="none"/>
        </w:rPr>
        <w:t xml:space="preserve">单位名称（盖章）：</w:t>
      </w:r>
      <w:r/>
    </w:p>
    <w:p>
      <w:pPr>
        <w:ind w:firstLine="4080"/>
        <w:spacing w:line="58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法定代表人（签字或盖章）：</w:t>
      </w:r>
      <w:r/>
    </w:p>
    <w:p>
      <w:pPr>
        <w:ind w:firstLine="420"/>
        <w:spacing w:line="580" w:lineRule="exact"/>
        <w:rPr>
          <w:rFonts w:ascii="宋体"/>
          <w:bCs/>
          <w:color w:val="auto"/>
          <w:sz w:val="24"/>
          <w:szCs w:val="24"/>
          <w:highlight w:val="none"/>
        </w:rPr>
      </w:pPr>
      <w:r>
        <w:rPr>
          <w:rFonts w:ascii="宋体"/>
          <w:bCs/>
          <w:color w:val="auto"/>
          <w:sz w:val="24"/>
          <w:szCs w:val="24"/>
          <w:highlight w:val="none"/>
        </w:rPr>
      </w:r>
      <w:r/>
    </w:p>
    <w:p>
      <w:pPr>
        <w:rPr>
          <w:rFonts w:ascii="黑体" w:eastAsia="黑体"/>
          <w:bCs/>
          <w:color w:val="auto"/>
          <w:sz w:val="28"/>
          <w:szCs w:val="28"/>
          <w:highlight w:val="none"/>
        </w:rPr>
      </w:pPr>
      <w:r>
        <w:rPr>
          <w:rFonts w:hint="eastAsia"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 xml:space="preserve">（四）（投标人）中小企业声明函（格式）：</w:t>
      </w:r>
      <w:r/>
    </w:p>
    <w:p>
      <w:pPr>
        <w:jc w:val="center"/>
        <w:rPr>
          <w:rFonts w:ascii="黑体" w:eastAsia="黑体"/>
          <w:bCs/>
          <w:color w:val="auto"/>
          <w:sz w:val="28"/>
          <w:szCs w:val="28"/>
          <w:highlight w:val="none"/>
        </w:rPr>
      </w:pPr>
      <w:r>
        <w:rPr>
          <w:rFonts w:ascii="黑体" w:eastAsia="黑体"/>
          <w:bCs/>
          <w:color w:val="auto"/>
          <w:sz w:val="28"/>
          <w:szCs w:val="28"/>
          <w:highlight w:val="none"/>
        </w:rPr>
        <w:t xml:space="preserve">中小企业声明函（服务）</w:t>
      </w:r>
      <w:r/>
    </w:p>
    <w:p>
      <w:pPr>
        <w:ind w:firstLine="480"/>
        <w:spacing w:line="580" w:lineRule="exact"/>
        <w:rPr>
          <w:rFonts w:hint="eastAsia" w:ascii="宋体" w:hAnsi="宋体"/>
          <w:bCs/>
          <w:color w:val="auto"/>
          <w:sz w:val="24"/>
          <w:szCs w:val="24"/>
          <w:highlight w:val="none"/>
        </w:rPr>
      </w:pPr>
      <w:r>
        <w:rPr>
          <w:rFonts w:ascii="宋体" w:hAnsi="宋体"/>
          <w:bCs/>
          <w:color w:val="auto"/>
          <w:sz w:val="24"/>
          <w:szCs w:val="24"/>
          <w:highlight w:val="none"/>
        </w:rPr>
        <w:t xml:space="preserve">本公司（联合体）郑重声明，根据《政府采购促进中小企业发展管理办法》（财库﹝2020﹞46 号）的规定，本公司（联合体）参加</w:t>
      </w:r>
      <w:r>
        <w:rPr>
          <w:rFonts w:ascii="宋体" w:hAnsi="宋体"/>
          <w:bCs/>
          <w:color w:val="auto"/>
          <w:sz w:val="24"/>
          <w:szCs w:val="24"/>
          <w:highlight w:val="none"/>
          <w:u w:val="single"/>
        </w:rPr>
        <w:t xml:space="preserve">（单位名称）</w:t>
      </w:r>
      <w:r>
        <w:rPr>
          <w:rFonts w:ascii="宋体" w:hAnsi="宋体"/>
          <w:bCs/>
          <w:color w:val="auto"/>
          <w:sz w:val="24"/>
          <w:szCs w:val="24"/>
          <w:highlight w:val="none"/>
        </w:rPr>
        <w:t xml:space="preserve">的</w:t>
      </w:r>
      <w:r>
        <w:rPr>
          <w:rFonts w:ascii="宋体" w:hAnsi="宋体"/>
          <w:bCs/>
          <w:color w:val="auto"/>
          <w:sz w:val="24"/>
          <w:szCs w:val="24"/>
          <w:highlight w:val="none"/>
          <w:u w:val="single"/>
        </w:rPr>
        <w:t xml:space="preserve">（项目名称）</w:t>
      </w:r>
      <w:r>
        <w:rPr>
          <w:rFonts w:ascii="宋体" w:hAnsi="宋体"/>
          <w:bCs/>
          <w:color w:val="auto"/>
          <w:sz w:val="24"/>
          <w:szCs w:val="24"/>
          <w:highlight w:val="none"/>
        </w:rPr>
        <w:t xml:space="preserve">采购活动，服务全部由符合政策要求的中小企业承接。相关企业（含联合体中的中小企业、签订分包意向协议的中小企业）的具体情况如下：</w:t>
      </w:r>
      <w:r/>
    </w:p>
    <w:p>
      <w:pPr>
        <w:ind w:firstLine="480"/>
        <w:spacing w:line="580" w:lineRule="exact"/>
        <w:rPr>
          <w:rFonts w:hint="eastAsia" w:ascii="宋体" w:hAnsi="宋体"/>
          <w:bCs/>
          <w:color w:val="auto"/>
          <w:sz w:val="24"/>
          <w:szCs w:val="24"/>
          <w:highlight w:val="none"/>
        </w:rPr>
      </w:pPr>
      <w:r>
        <w:rPr>
          <w:rFonts w:ascii="宋体" w:hAnsi="宋体"/>
          <w:bCs/>
          <w:color w:val="auto"/>
          <w:sz w:val="24"/>
          <w:szCs w:val="24"/>
          <w:highlight w:val="none"/>
        </w:rPr>
        <w:t xml:space="preserve">1.</w:t>
      </w:r>
      <w:r>
        <w:rPr>
          <w:rFonts w:ascii="宋体" w:hAnsi="宋体"/>
          <w:bCs/>
          <w:color w:val="auto"/>
          <w:sz w:val="24"/>
          <w:szCs w:val="24"/>
          <w:highlight w:val="none"/>
          <w:u w:val="single"/>
        </w:rPr>
        <w:t xml:space="preserve"> （标的名称） </w:t>
      </w:r>
      <w:r>
        <w:rPr>
          <w:rFonts w:ascii="宋体" w:hAnsi="宋体"/>
          <w:bCs/>
          <w:color w:val="auto"/>
          <w:sz w:val="24"/>
          <w:szCs w:val="24"/>
          <w:highlight w:val="none"/>
        </w:rPr>
        <w:t xml:space="preserve">，属于</w:t>
      </w:r>
      <w:r>
        <w:rPr>
          <w:rFonts w:ascii="宋体" w:hAnsi="宋体"/>
          <w:bCs/>
          <w:color w:val="auto"/>
          <w:sz w:val="24"/>
          <w:szCs w:val="24"/>
          <w:highlight w:val="none"/>
          <w:u w:val="single"/>
        </w:rPr>
        <w:t xml:space="preserve">（采购文件中明确的所属行业）</w:t>
      </w:r>
      <w:r>
        <w:rPr>
          <w:rFonts w:ascii="宋体" w:hAnsi="宋体"/>
          <w:bCs/>
          <w:color w:val="auto"/>
          <w:sz w:val="24"/>
          <w:szCs w:val="24"/>
          <w:highlight w:val="none"/>
        </w:rPr>
        <w:t xml:space="preserve">； 承建（承接）企业为</w:t>
      </w:r>
      <w:r>
        <w:rPr>
          <w:rFonts w:ascii="宋体" w:hAnsi="宋体"/>
          <w:bCs/>
          <w:color w:val="auto"/>
          <w:sz w:val="24"/>
          <w:szCs w:val="24"/>
          <w:highlight w:val="none"/>
          <w:u w:val="single"/>
        </w:rPr>
        <w:t xml:space="preserve">（企业名称）</w:t>
      </w:r>
      <w:r>
        <w:rPr>
          <w:rFonts w:ascii="宋体" w:hAnsi="宋体"/>
          <w:bCs/>
          <w:color w:val="auto"/>
          <w:sz w:val="24"/>
          <w:szCs w:val="24"/>
          <w:highlight w:val="none"/>
        </w:rPr>
        <w:t xml:space="preserve">，从业人员</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人，营业收入为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万元，资产总额为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万元，属于</w:t>
      </w:r>
      <w:r>
        <w:rPr>
          <w:rFonts w:ascii="宋体" w:hAnsi="宋体"/>
          <w:bCs/>
          <w:color w:val="auto"/>
          <w:sz w:val="24"/>
          <w:szCs w:val="24"/>
          <w:highlight w:val="none"/>
          <w:u w:val="single"/>
        </w:rPr>
        <w:t xml:space="preserve">（中型企业、 小型企业、微型企业）</w:t>
      </w:r>
      <w:r>
        <w:rPr>
          <w:rFonts w:ascii="宋体" w:hAnsi="宋体"/>
          <w:bCs/>
          <w:color w:val="auto"/>
          <w:sz w:val="24"/>
          <w:szCs w:val="24"/>
          <w:highlight w:val="none"/>
        </w:rPr>
        <w:t xml:space="preserve">；</w:t>
      </w:r>
      <w:r/>
    </w:p>
    <w:p>
      <w:pPr>
        <w:ind w:firstLine="480"/>
        <w:spacing w:line="58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u w:val="single"/>
        </w:rPr>
        <w:t xml:space="preserve"> （标的名称） </w:t>
      </w:r>
      <w:r>
        <w:rPr>
          <w:rFonts w:ascii="宋体" w:hAnsi="宋体"/>
          <w:bCs/>
          <w:color w:val="auto"/>
          <w:sz w:val="24"/>
          <w:szCs w:val="24"/>
          <w:highlight w:val="none"/>
        </w:rPr>
        <w:t xml:space="preserve">，属于</w:t>
      </w:r>
      <w:r>
        <w:rPr>
          <w:rFonts w:ascii="宋体" w:hAnsi="宋体"/>
          <w:bCs/>
          <w:color w:val="auto"/>
          <w:sz w:val="24"/>
          <w:szCs w:val="24"/>
          <w:highlight w:val="none"/>
          <w:u w:val="single"/>
        </w:rPr>
        <w:t xml:space="preserve">（采购文件中明确的所属行业）</w:t>
      </w:r>
      <w:r>
        <w:rPr>
          <w:rFonts w:ascii="宋体" w:hAnsi="宋体"/>
          <w:bCs/>
          <w:color w:val="auto"/>
          <w:sz w:val="24"/>
          <w:szCs w:val="24"/>
          <w:highlight w:val="none"/>
        </w:rPr>
        <w:t xml:space="preserve">； 承建（承接）企业为</w:t>
      </w:r>
      <w:r>
        <w:rPr>
          <w:rFonts w:ascii="宋体" w:hAnsi="宋体"/>
          <w:bCs/>
          <w:color w:val="auto"/>
          <w:sz w:val="24"/>
          <w:szCs w:val="24"/>
          <w:highlight w:val="none"/>
          <w:u w:val="single"/>
        </w:rPr>
        <w:t xml:space="preserve">（企业名称）</w:t>
      </w:r>
      <w:r>
        <w:rPr>
          <w:rFonts w:ascii="宋体" w:hAnsi="宋体"/>
          <w:bCs/>
          <w:color w:val="auto"/>
          <w:sz w:val="24"/>
          <w:szCs w:val="24"/>
          <w:highlight w:val="none"/>
        </w:rPr>
        <w:t xml:space="preserve">，从业人员</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人，营业收入为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万元，资产总额为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万元，属于</w:t>
      </w:r>
      <w:r>
        <w:rPr>
          <w:rFonts w:ascii="宋体" w:hAnsi="宋体"/>
          <w:bCs/>
          <w:color w:val="auto"/>
          <w:sz w:val="24"/>
          <w:szCs w:val="24"/>
          <w:highlight w:val="none"/>
          <w:u w:val="single"/>
        </w:rPr>
        <w:t xml:space="preserve">（中型企业、 小型企业、微型企业）</w:t>
      </w:r>
      <w:r>
        <w:rPr>
          <w:rFonts w:ascii="宋体" w:hAnsi="宋体"/>
          <w:bCs/>
          <w:color w:val="auto"/>
          <w:sz w:val="24"/>
          <w:szCs w:val="24"/>
          <w:highlight w:val="none"/>
        </w:rPr>
        <w:t xml:space="preserve">；</w:t>
      </w:r>
      <w:r/>
    </w:p>
    <w:p>
      <w:pPr>
        <w:ind w:firstLine="480"/>
        <w:spacing w:line="580" w:lineRule="exact"/>
        <w:rPr>
          <w:rFonts w:hint="eastAsia" w:ascii="宋体" w:hAnsi="宋体"/>
          <w:bCs/>
          <w:color w:val="auto"/>
          <w:sz w:val="24"/>
          <w:szCs w:val="24"/>
          <w:highlight w:val="none"/>
        </w:rPr>
      </w:pPr>
      <w:r>
        <w:rPr>
          <w:rFonts w:ascii="宋体" w:hAnsi="宋体"/>
          <w:bCs/>
          <w:color w:val="auto"/>
          <w:sz w:val="24"/>
          <w:szCs w:val="24"/>
          <w:highlight w:val="none"/>
        </w:rPr>
        <w:t xml:space="preserve">……</w:t>
      </w:r>
      <w:r/>
    </w:p>
    <w:p>
      <w:pPr>
        <w:ind w:firstLine="480"/>
        <w:spacing w:line="580" w:lineRule="exact"/>
        <w:rPr>
          <w:rFonts w:hint="eastAsia" w:ascii="宋体" w:hAnsi="宋体"/>
          <w:bCs/>
          <w:color w:val="auto"/>
          <w:sz w:val="24"/>
          <w:szCs w:val="24"/>
          <w:highlight w:val="none"/>
        </w:rPr>
      </w:pPr>
      <w:r>
        <w:rPr>
          <w:rFonts w:ascii="宋体" w:hAnsi="宋体"/>
          <w:bCs/>
          <w:color w:val="auto"/>
          <w:sz w:val="24"/>
          <w:szCs w:val="24"/>
          <w:highlight w:val="none"/>
        </w:rPr>
        <w:t xml:space="preserve">以上企业，不属于大企业的分支机构，不存在控股股东为大企业的情形，也不存在与大企业的负责人为同一人的情形。 本企业对上述声明内容的真实性负责。如有虚假，将依法承担相应责任。</w:t>
      </w:r>
      <w:r/>
    </w:p>
    <w:p>
      <w:pPr>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企业名称（盖章）：</w:t>
      </w:r>
      <w:r/>
    </w:p>
    <w:p>
      <w:pPr>
        <w:ind w:firstLine="480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日　　　　　　期：</w:t>
      </w:r>
      <w:r/>
    </w:p>
    <w:p>
      <w:pPr>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r>
      <w:r/>
    </w:p>
    <w:p>
      <w:pPr>
        <w:rPr>
          <w:color w:val="auto"/>
          <w:highlight w:val="none"/>
        </w:rPr>
      </w:pPr>
      <w:r>
        <w:rPr>
          <w:rFonts w:hint="eastAsia"/>
          <w:color w:val="auto"/>
          <w:highlight w:val="none"/>
        </w:rPr>
        <w:t xml:space="preserve">注：1.</w:t>
      </w:r>
      <w:r>
        <w:rPr>
          <w:color w:val="auto"/>
          <w:highlight w:val="none"/>
        </w:rPr>
        <w:t xml:space="preserve">从业人员、营业收入、资产总额填报上一年度数据，无上一年度数据的新成立企业可不填报。</w:t>
      </w:r>
      <w:r/>
    </w:p>
    <w:p>
      <w:pPr>
        <w:ind w:firstLine="420"/>
        <w:rPr>
          <w:color w:val="auto"/>
          <w:highlight w:val="none"/>
        </w:rPr>
      </w:pPr>
      <w:r>
        <w:rPr>
          <w:rFonts w:hint="eastAsia"/>
          <w:color w:val="auto"/>
          <w:highlight w:val="none"/>
        </w:rPr>
        <w:t xml:space="preserve">2.中标供应商的《</w:t>
      </w:r>
      <w:r>
        <w:rPr>
          <w:color w:val="auto"/>
          <w:highlight w:val="none"/>
        </w:rPr>
        <w:t xml:space="preserve">中小企业声明函</w:t>
      </w:r>
      <w:r>
        <w:rPr>
          <w:rFonts w:hint="eastAsia"/>
          <w:color w:val="auto"/>
          <w:highlight w:val="none"/>
        </w:rPr>
        <w:t xml:space="preserve">》将随中标公告进行公示。供应商按照本办法规定提</w:t>
      </w:r>
      <w:r>
        <w:rPr>
          <w:rFonts w:hint="eastAsia"/>
          <w:color w:val="auto"/>
          <w:highlight w:val="none"/>
          <w:lang w:eastAsia="zh-CN"/>
        </w:rPr>
        <w:t xml:space="preserve">供的</w:t>
      </w:r>
      <w:r>
        <w:rPr>
          <w:rFonts w:hint="eastAsia"/>
          <w:color w:val="auto"/>
          <w:highlight w:val="none"/>
        </w:rPr>
        <w:t xml:space="preserve">声明函内容不实的，属于提供虚假材料谋取中标</w:t>
      </w:r>
      <w:r>
        <w:rPr>
          <w:rFonts w:hint="eastAsia"/>
          <w:color w:val="auto"/>
          <w:highlight w:val="none"/>
          <w:lang w:eastAsia="zh-CN"/>
        </w:rPr>
        <w:t xml:space="preserve">，将</w:t>
      </w:r>
      <w:r>
        <w:rPr>
          <w:rFonts w:hint="eastAsia"/>
          <w:color w:val="auto"/>
          <w:highlight w:val="none"/>
        </w:rPr>
        <w:t xml:space="preserve">依照《中华人民共和国政府采购法》等国家有关规定追究相应责任。</w:t>
      </w:r>
      <w:r/>
    </w:p>
    <w:p>
      <w:pPr>
        <w:ind w:firstLine="420"/>
        <w:rPr>
          <w:rFonts w:hint="eastAsia" w:ascii="黑体" w:hAnsi="宋体" w:eastAsia="黑体"/>
          <w:bCs/>
          <w:color w:val="auto"/>
          <w:sz w:val="24"/>
          <w:szCs w:val="24"/>
          <w:highlight w:val="none"/>
        </w:rPr>
      </w:pPr>
      <w:r>
        <w:rPr>
          <w:rFonts w:hint="eastAsia"/>
          <w:color w:val="auto"/>
          <w:highlight w:val="none"/>
        </w:rPr>
        <w:t xml:space="preserve">3.投标时本表附在《明细报价表》之后（如有）。</w:t>
      </w:r>
      <w:r>
        <w:rPr>
          <w:rFonts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 xml:space="preserve">（五）（投标人）残疾人福利性单位声明函（格式）：</w:t>
      </w:r>
      <w:r/>
    </w:p>
    <w:p>
      <w:pPr>
        <w:spacing w:line="480" w:lineRule="auto"/>
        <w:rPr>
          <w:rFonts w:ascii="宋体"/>
          <w:bCs/>
          <w:color w:val="auto"/>
          <w:sz w:val="24"/>
          <w:szCs w:val="24"/>
          <w:highlight w:val="none"/>
        </w:rPr>
      </w:pPr>
      <w:r>
        <w:rPr>
          <w:rFonts w:ascii="宋体"/>
          <w:bCs/>
          <w:color w:val="auto"/>
          <w:sz w:val="24"/>
          <w:szCs w:val="24"/>
          <w:highlight w:val="none"/>
        </w:rPr>
      </w:r>
      <w:r/>
    </w:p>
    <w:p>
      <w:pPr>
        <w:jc w:val="center"/>
        <w:rPr>
          <w:rFonts w:ascii="黑体" w:eastAsia="黑体"/>
          <w:bCs/>
          <w:color w:val="auto"/>
          <w:sz w:val="28"/>
          <w:szCs w:val="28"/>
          <w:highlight w:val="none"/>
        </w:rPr>
      </w:pPr>
      <w:r>
        <w:rPr>
          <w:rFonts w:hint="eastAsia" w:ascii="黑体" w:eastAsia="黑体"/>
          <w:bCs/>
          <w:color w:val="auto"/>
          <w:sz w:val="28"/>
          <w:szCs w:val="28"/>
          <w:highlight w:val="none"/>
        </w:rPr>
        <w:t xml:space="preserve">残疾人福利性单位声明函</w:t>
      </w:r>
      <w:r/>
    </w:p>
    <w:p>
      <w:pPr>
        <w:jc w:val="center"/>
        <w:rPr>
          <w:rFonts w:ascii="黑体" w:eastAsia="黑体"/>
          <w:bCs/>
          <w:color w:val="auto"/>
          <w:sz w:val="28"/>
          <w:szCs w:val="28"/>
          <w:highlight w:val="none"/>
        </w:rPr>
      </w:pPr>
      <w:r>
        <w:rPr>
          <w:rFonts w:ascii="黑体" w:eastAsia="黑体"/>
          <w:bCs/>
          <w:color w:val="auto"/>
          <w:sz w:val="28"/>
          <w:szCs w:val="28"/>
          <w:highlight w:val="none"/>
        </w:rPr>
      </w:r>
      <w:r/>
    </w:p>
    <w:p>
      <w:pPr>
        <w:ind w:firstLine="480"/>
        <w:spacing w:line="58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本单位对上述声明的真实性负责。如有虚假，将依法承担相应责任。</w:t>
      </w:r>
      <w:r/>
    </w:p>
    <w:p>
      <w:pPr>
        <w:ind w:firstLine="480"/>
        <w:spacing w:line="580" w:lineRule="exact"/>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480"/>
        <w:spacing w:line="580" w:lineRule="exact"/>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480"/>
        <w:spacing w:line="58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单位名称（盖章）：</w:t>
      </w:r>
      <w:r/>
    </w:p>
    <w:p>
      <w:pPr>
        <w:ind w:firstLine="480"/>
        <w:spacing w:line="58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日期：</w:t>
      </w:r>
      <w:r/>
    </w:p>
    <w:p>
      <w:pPr>
        <w:ind w:firstLine="480"/>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 xml:space="preserve">（六）承诺书（格式）：</w:t>
      </w:r>
      <w:r/>
    </w:p>
    <w:p>
      <w:pPr>
        <w:pStyle w:val="787"/>
        <w:jc w:val="center"/>
        <w:spacing w:before="312" w:after="312"/>
        <w:rPr>
          <w:rFonts w:hint="eastAsia" w:ascii="宋体" w:hAnsi="宋体" w:eastAsia="宋体" w:cs="宋体"/>
          <w:b/>
          <w:color w:val="auto"/>
          <w:szCs w:val="28"/>
          <w:highlight w:val="none"/>
        </w:rPr>
      </w:pPr>
      <w:r>
        <w:rPr>
          <w:rFonts w:hint="eastAsia" w:ascii="宋体" w:hAnsi="宋体" w:eastAsia="宋体" w:cs="宋体"/>
          <w:b/>
          <w:color w:val="auto"/>
          <w:szCs w:val="28"/>
          <w:highlight w:val="none"/>
        </w:rPr>
        <w:t xml:space="preserve">承诺书一（格式）</w:t>
      </w:r>
      <w:r/>
    </w:p>
    <w:p>
      <w:pPr>
        <w:spacing w:line="360" w:lineRule="auto"/>
        <w:rPr>
          <w:rFonts w:hint="eastAsia" w:hAnsi="宋体" w:cs="宋体"/>
          <w:color w:val="auto"/>
          <w:sz w:val="24"/>
          <w:highlight w:val="none"/>
        </w:rPr>
      </w:pPr>
      <w:r>
        <w:rPr>
          <w:rFonts w:hint="eastAsia" w:hAnsi="宋体" w:cs="宋体"/>
          <w:color w:val="auto"/>
          <w:sz w:val="24"/>
          <w:highlight w:val="none"/>
        </w:rPr>
        <w:t xml:space="preserve">致：</w:t>
      </w:r>
      <w:r>
        <w:rPr>
          <w:rFonts w:hint="eastAsia" w:hAnsi="宋体" w:cs="宋体"/>
          <w:color w:val="auto"/>
          <w:sz w:val="24"/>
          <w:highlight w:val="none"/>
          <w:u w:val="single"/>
        </w:rPr>
        <w:t xml:space="preserve">（采购人）</w:t>
      </w:r>
      <w:r/>
    </w:p>
    <w:p>
      <w:pPr>
        <w:ind w:firstLine="660"/>
        <w:spacing w:line="360" w:lineRule="auto"/>
        <w:rPr>
          <w:rFonts w:hint="eastAsia" w:hAnsi="宋体" w:cs="宋体"/>
          <w:color w:val="auto"/>
          <w:sz w:val="24"/>
          <w:highlight w:val="none"/>
        </w:rPr>
      </w:pPr>
      <w:r>
        <w:rPr>
          <w:rFonts w:hint="eastAsia" w:hAnsi="宋体" w:cs="宋体"/>
          <w:color w:val="auto"/>
          <w:sz w:val="24"/>
          <w:highlight w:val="none"/>
        </w:rPr>
      </w:r>
      <w:r/>
    </w:p>
    <w:p>
      <w:pPr>
        <w:ind w:firstLine="480"/>
        <w:spacing w:line="360" w:lineRule="auto"/>
        <w:rPr>
          <w:rFonts w:hint="eastAsia" w:hAnsi="宋体" w:cs="宋体"/>
          <w:color w:val="auto"/>
          <w:sz w:val="24"/>
          <w:highlight w:val="none"/>
        </w:rPr>
      </w:pPr>
      <w:r>
        <w:rPr>
          <w:rFonts w:hint="eastAsia" w:hAnsi="宋体" w:cs="宋体"/>
          <w:color w:val="auto"/>
          <w:sz w:val="24"/>
          <w:highlight w:val="none"/>
        </w:rPr>
        <w:t xml:space="preserve">我公司自愿参加采购人项目的报价，并接受对我公司的资格审查，我公司承诺：我公司未处于被责令停业、报价资格被取消或者财产被接管、冻结和破产状态，近三年以来企业没有因骗取成交或者严重违约以及发生重大工程质量事故、安全事故、文明施工不良记录等问题，没有被有关部门暂停报价资格并在暂停期内。我公司、法定代表人、项目负责人均不存在向采购人或者采购代理机构行贿或者提供其他不正当利益；向公开招标小组成员行贿或者提供其他不正当利益等严重失信行为。</w:t>
      </w:r>
      <w:r/>
    </w:p>
    <w:p>
      <w:pPr>
        <w:ind w:firstLine="480"/>
        <w:spacing w:line="360" w:lineRule="auto"/>
        <w:rPr>
          <w:rFonts w:hint="eastAsia" w:hAnsi="宋体" w:cs="宋体"/>
          <w:color w:val="auto"/>
          <w:sz w:val="24"/>
          <w:highlight w:val="none"/>
        </w:rPr>
      </w:pPr>
      <w:r>
        <w:rPr>
          <w:rFonts w:hint="eastAsia" w:hAnsi="宋体" w:cs="宋体"/>
          <w:color w:val="auto"/>
          <w:sz w:val="24"/>
          <w:highlight w:val="none"/>
        </w:rPr>
        <w:t xml:space="preserve">我公司知道虚假的声明与资料是严重的违法行为，此次投标文件提供的资料如有虚假，本企业愿意承担因我方就此弄虚作假所引起的一切法律后果，愿意接受行政主管部门及其他有关部门依法给予的处罚。同时我公司将无条件地自动放弃该项目的报价资格和成交资格；如果我公司已经收到了成交通知书，我公司无条件地承认，我公司所收到的该项目成交通知书为无效文件，对采购人不具有任何法律约束力；由此造成的任何后果和损失由我公司承担。</w:t>
      </w:r>
      <w:r/>
    </w:p>
    <w:p>
      <w:pPr>
        <w:ind w:firstLine="480"/>
        <w:spacing w:line="360" w:lineRule="auto"/>
        <w:rPr>
          <w:rFonts w:hint="eastAsia" w:hAnsi="宋体" w:cs="宋体"/>
          <w:color w:val="auto"/>
          <w:sz w:val="24"/>
          <w:highlight w:val="none"/>
        </w:rPr>
      </w:pPr>
      <w:r>
        <w:rPr>
          <w:rFonts w:hint="eastAsia" w:hAnsi="宋体" w:cs="宋体"/>
          <w:color w:val="auto"/>
          <w:sz w:val="24"/>
          <w:highlight w:val="none"/>
        </w:rPr>
      </w:r>
      <w:r/>
    </w:p>
    <w:p>
      <w:pPr>
        <w:spacing w:line="480" w:lineRule="auto"/>
        <w:rPr>
          <w:rFonts w:hint="eastAsia" w:hAnsi="宋体" w:cs="宋体"/>
          <w:bCs/>
          <w:color w:val="auto"/>
          <w:sz w:val="24"/>
          <w:highlight w:val="none"/>
        </w:rPr>
      </w:pPr>
      <w:r>
        <w:rPr>
          <w:rFonts w:hint="eastAsia" w:hAnsi="宋体" w:cs="宋体"/>
          <w:bCs/>
          <w:color w:val="auto"/>
          <w:sz w:val="24"/>
          <w:highlight w:val="none"/>
        </w:rPr>
      </w:r>
      <w:r/>
    </w:p>
    <w:p>
      <w:pPr>
        <w:ind w:firstLine="5040"/>
        <w:jc w:val="left"/>
        <w:spacing w:line="480" w:lineRule="auto"/>
        <w:rPr>
          <w:rFonts w:hint="eastAsia" w:hAnsi="宋体" w:cs="宋体"/>
          <w:bCs/>
          <w:color w:val="auto"/>
          <w:sz w:val="24"/>
          <w:highlight w:val="none"/>
        </w:rPr>
      </w:pPr>
      <w:r>
        <w:rPr>
          <w:rFonts w:hint="eastAsia" w:hAnsi="宋体" w:cs="宋体"/>
          <w:bCs/>
          <w:color w:val="auto"/>
          <w:sz w:val="24"/>
          <w:highlight w:val="none"/>
          <w:lang w:eastAsia="zh-CN"/>
        </w:rPr>
        <w:t xml:space="preserve">投标人</w:t>
      </w:r>
      <w:r>
        <w:rPr>
          <w:rFonts w:hint="eastAsia" w:hAnsi="宋体" w:cs="宋体"/>
          <w:bCs/>
          <w:color w:val="auto"/>
          <w:sz w:val="24"/>
          <w:highlight w:val="none"/>
        </w:rPr>
        <w:t xml:space="preserve">（盖章）：</w:t>
      </w:r>
      <w:r/>
    </w:p>
    <w:p>
      <w:pPr>
        <w:jc w:val="left"/>
        <w:spacing w:line="480" w:lineRule="auto"/>
        <w:rPr>
          <w:rFonts w:hint="eastAsia" w:hAnsi="宋体" w:cs="宋体"/>
          <w:bCs/>
          <w:color w:val="auto"/>
          <w:sz w:val="24"/>
          <w:highlight w:val="none"/>
        </w:rPr>
      </w:pPr>
      <w:r>
        <w:rPr>
          <w:rFonts w:hint="eastAsia" w:hAnsi="宋体" w:cs="宋体"/>
          <w:bCs/>
          <w:color w:val="auto"/>
          <w:sz w:val="24"/>
          <w:highlight w:val="none"/>
        </w:rPr>
      </w:r>
      <w:r/>
    </w:p>
    <w:p>
      <w:pPr>
        <w:ind w:firstLine="5040"/>
        <w:jc w:val="left"/>
        <w:spacing w:line="480" w:lineRule="auto"/>
        <w:rPr>
          <w:rFonts w:hint="eastAsia" w:hAnsi="宋体" w:cs="宋体"/>
          <w:bCs/>
          <w:color w:val="auto"/>
          <w:sz w:val="24"/>
          <w:highlight w:val="none"/>
        </w:rPr>
      </w:pPr>
      <w:r>
        <w:rPr>
          <w:rFonts w:hint="eastAsia" w:hAnsi="宋体" w:cs="宋体"/>
          <w:color w:val="auto"/>
          <w:sz w:val="24"/>
          <w:highlight w:val="none"/>
        </w:rPr>
        <w:t xml:space="preserve">法定代表人或授权代表（</w:t>
      </w:r>
      <w:r>
        <w:rPr>
          <w:rFonts w:hint="eastAsia" w:hAnsi="宋体" w:cs="宋体"/>
          <w:bCs/>
          <w:color w:val="auto"/>
          <w:sz w:val="24"/>
          <w:highlight w:val="none"/>
        </w:rPr>
        <w:t xml:space="preserve">签字或盖章）：</w:t>
      </w:r>
      <w:r/>
    </w:p>
    <w:p>
      <w:pPr>
        <w:ind w:firstLine="5040"/>
        <w:jc w:val="left"/>
        <w:spacing w:line="480" w:lineRule="auto"/>
        <w:rPr>
          <w:rFonts w:hint="eastAsia" w:hAnsi="宋体" w:cs="宋体"/>
          <w:bCs/>
          <w:color w:val="auto"/>
          <w:sz w:val="24"/>
          <w:highlight w:val="none"/>
        </w:rPr>
      </w:pPr>
      <w:r>
        <w:rPr>
          <w:rFonts w:hint="eastAsia" w:hAnsi="宋体" w:cs="宋体"/>
          <w:bCs/>
          <w:color w:val="auto"/>
          <w:sz w:val="24"/>
          <w:highlight w:val="none"/>
        </w:rPr>
      </w:r>
      <w:r/>
    </w:p>
    <w:p>
      <w:pPr>
        <w:ind w:firstLine="5040"/>
        <w:jc w:val="left"/>
        <w:spacing w:line="480" w:lineRule="auto"/>
        <w:rPr>
          <w:rFonts w:hint="eastAsia" w:hAnsi="宋体" w:cs="宋体"/>
          <w:bCs/>
          <w:color w:val="auto"/>
          <w:sz w:val="24"/>
          <w:highlight w:val="none"/>
        </w:rPr>
        <w:sectPr>
          <w:footnotePr/>
          <w:endnotePr/>
          <w:type w:val="nextPage"/>
          <w:pgSz w:w="11906" w:h="16838" w:orient="portrait"/>
          <w:pgMar w:top="1134" w:right="1134" w:bottom="1134" w:left="1134" w:header="624" w:footer="907" w:gutter="0"/>
          <w:cols w:num="1" w:sep="0" w:space="0" w:equalWidth="1"/>
          <w:docGrid w:linePitch="360"/>
          <w:titlePg/>
        </w:sectPr>
      </w:pPr>
      <w:r>
        <w:rPr>
          <w:rFonts w:hint="eastAsia" w:ascii="宋体" w:hAnsi="宋体"/>
          <w:color w:val="auto"/>
          <w:sz w:val="24"/>
          <w:szCs w:val="22"/>
          <w:highlight w:val="none"/>
        </w:rPr>
        <w:t xml:space="preserve"> 年    月    日</w:t>
      </w:r>
      <w:r/>
    </w:p>
    <w:p>
      <w:pPr>
        <w:pStyle w:val="1054"/>
        <w:rPr>
          <w:color w:val="auto"/>
          <w:highlight w:val="none"/>
        </w:rPr>
      </w:pPr>
      <w:r>
        <w:rPr>
          <w:color w:val="auto"/>
          <w:highlight w:val="none"/>
        </w:rPr>
      </w:r>
      <w:r/>
    </w:p>
    <w:p>
      <w:pPr>
        <w:jc w:val="center"/>
        <w:rPr>
          <w:rFonts w:hint="eastAsia" w:ascii="宋体" w:hAnsi="宋体" w:cs="宋体"/>
          <w:b/>
          <w:bCs/>
          <w:color w:val="auto"/>
          <w:sz w:val="28"/>
          <w:szCs w:val="21"/>
          <w:highlight w:val="none"/>
        </w:rPr>
      </w:pPr>
      <w:r>
        <w:rPr>
          <w:rFonts w:hint="eastAsia" w:ascii="宋体" w:hAnsi="宋体" w:cs="宋体"/>
          <w:b/>
          <w:bCs/>
          <w:color w:val="auto"/>
          <w:sz w:val="28"/>
          <w:szCs w:val="21"/>
          <w:highlight w:val="none"/>
        </w:rPr>
        <w:t xml:space="preserve">承诺书二（廉洁承诺书格式）</w:t>
      </w:r>
      <w:r/>
    </w:p>
    <w:p>
      <w:pPr>
        <w:ind w:firstLine="480"/>
        <w:spacing w:line="520" w:lineRule="exact"/>
        <w:rPr>
          <w:rFonts w:hint="eastAsia" w:ascii="宋体" w:hAnsi="宋体"/>
          <w:color w:val="auto"/>
          <w:sz w:val="24"/>
          <w:highlight w:val="none"/>
        </w:rPr>
      </w:pPr>
      <w:r>
        <w:rPr>
          <w:rFonts w:hint="eastAsia" w:ascii="宋体" w:hAnsi="宋体"/>
          <w:color w:val="auto"/>
          <w:sz w:val="24"/>
          <w:highlight w:val="none"/>
        </w:rPr>
        <w:t xml:space="preserve">为了积极配合采购人的招标工作，有效遏制不公平竞争和违规违纪问题的发生，确保招标工作的公平、公正、公开，我们保证认真贯彻相关规定以及相关廉洁要求，特向采购人承诺如下事项：</w:t>
      </w:r>
      <w:r/>
    </w:p>
    <w:p>
      <w:pPr>
        <w:ind w:firstLine="480"/>
        <w:spacing w:line="520" w:lineRule="exact"/>
        <w:rPr>
          <w:rFonts w:hint="eastAsia" w:ascii="宋体" w:hAnsi="宋体"/>
          <w:color w:val="auto"/>
          <w:sz w:val="24"/>
          <w:highlight w:val="none"/>
        </w:rPr>
      </w:pPr>
      <w:r>
        <w:rPr>
          <w:rFonts w:hint="eastAsia" w:ascii="宋体" w:hAnsi="宋体"/>
          <w:color w:val="auto"/>
          <w:sz w:val="24"/>
          <w:highlight w:val="none"/>
        </w:rPr>
        <w:t xml:space="preserve">1、自觉遵守国家法律法规及有关廉政建设制度。</w:t>
      </w:r>
      <w:r/>
    </w:p>
    <w:p>
      <w:pPr>
        <w:ind w:firstLine="480"/>
        <w:spacing w:line="520" w:lineRule="exact"/>
        <w:rPr>
          <w:rFonts w:hint="eastAsia" w:ascii="宋体" w:hAnsi="宋体"/>
          <w:color w:val="auto"/>
          <w:sz w:val="24"/>
          <w:highlight w:val="none"/>
        </w:rPr>
      </w:pPr>
      <w:r>
        <w:rPr>
          <w:rFonts w:hint="eastAsia" w:ascii="宋体" w:hAnsi="宋体"/>
          <w:color w:val="auto"/>
          <w:sz w:val="24"/>
          <w:highlight w:val="none"/>
        </w:rPr>
        <w:t xml:space="preserve">2、主动了解招投标纪律，积极配合执行招投标廉政建设的有关规定。</w:t>
      </w:r>
      <w:r/>
    </w:p>
    <w:p>
      <w:pPr>
        <w:ind w:firstLine="480"/>
        <w:spacing w:line="520" w:lineRule="exact"/>
        <w:rPr>
          <w:rFonts w:hint="eastAsia" w:ascii="宋体" w:hAnsi="宋体"/>
          <w:color w:val="auto"/>
          <w:sz w:val="24"/>
          <w:highlight w:val="none"/>
        </w:rPr>
      </w:pPr>
      <w:r>
        <w:rPr>
          <w:rFonts w:hint="eastAsia" w:ascii="宋体" w:hAnsi="宋体"/>
          <w:color w:val="auto"/>
          <w:sz w:val="24"/>
          <w:highlight w:val="none"/>
        </w:rPr>
        <w:t xml:space="preserve">3、不使用不正当手段妨碍、排挤其他投标单位或串通投标。</w:t>
      </w:r>
      <w:r/>
    </w:p>
    <w:p>
      <w:pPr>
        <w:ind w:firstLine="480"/>
        <w:spacing w:line="520" w:lineRule="exact"/>
        <w:rPr>
          <w:rFonts w:hint="eastAsia" w:ascii="宋体" w:hAnsi="宋体"/>
          <w:color w:val="auto"/>
          <w:sz w:val="24"/>
          <w:highlight w:val="none"/>
        </w:rPr>
      </w:pPr>
      <w:r>
        <w:rPr>
          <w:rFonts w:hint="eastAsia" w:ascii="宋体" w:hAnsi="宋体"/>
          <w:color w:val="auto"/>
          <w:sz w:val="24"/>
          <w:highlight w:val="none"/>
        </w:rPr>
        <w:t xml:space="preserve">4、按照响应文件规定的方式进行投标，不隐瞒本单位投标资质的真实情况，投标资质符合规定。</w:t>
      </w:r>
      <w:r/>
    </w:p>
    <w:p>
      <w:pPr>
        <w:ind w:firstLine="480"/>
        <w:spacing w:line="520" w:lineRule="exact"/>
        <w:rPr>
          <w:rFonts w:hint="eastAsia" w:ascii="宋体" w:hAnsi="宋体"/>
          <w:color w:val="auto"/>
          <w:sz w:val="24"/>
          <w:highlight w:val="none"/>
        </w:rPr>
      </w:pPr>
      <w:r>
        <w:rPr>
          <w:rFonts w:hint="eastAsia" w:ascii="宋体" w:hAnsi="宋体"/>
          <w:color w:val="auto"/>
          <w:sz w:val="24"/>
          <w:highlight w:val="none"/>
        </w:rPr>
        <w:t xml:space="preserve">5、不以任何方式向采购人员赠送礼品、礼金及有价证券；不宴请或邀请采购方的任何人参加高档娱乐消费、旅游、考察、参观等活动；不以任何形式报销采购方的任何人以及亲友的各种票据及费用；不进行可能影响招投标公平、公正的任何活动。</w:t>
      </w:r>
      <w:r/>
    </w:p>
    <w:p>
      <w:pPr>
        <w:ind w:firstLine="480"/>
        <w:spacing w:line="520" w:lineRule="exact"/>
        <w:rPr>
          <w:rFonts w:hint="eastAsia" w:ascii="宋体" w:hAnsi="宋体"/>
          <w:color w:val="auto"/>
          <w:sz w:val="24"/>
          <w:highlight w:val="none"/>
        </w:rPr>
      </w:pPr>
      <w:r>
        <w:rPr>
          <w:rFonts w:hint="eastAsia" w:ascii="宋体" w:hAnsi="宋体"/>
          <w:color w:val="auto"/>
          <w:sz w:val="24"/>
          <w:highlight w:val="none"/>
        </w:rPr>
        <w:t xml:space="preserve">6、不向涉及采购的单位及个人购置或提供通信工具、交通工具和高档办公用品等。</w:t>
      </w:r>
      <w:r/>
    </w:p>
    <w:p>
      <w:pPr>
        <w:ind w:firstLine="480"/>
        <w:spacing w:line="520" w:lineRule="exact"/>
        <w:rPr>
          <w:rFonts w:hint="eastAsia" w:ascii="宋体" w:hAnsi="宋体"/>
          <w:color w:val="auto"/>
          <w:sz w:val="24"/>
          <w:highlight w:val="none"/>
        </w:rPr>
      </w:pPr>
      <w:r>
        <w:rPr>
          <w:rFonts w:hint="eastAsia" w:ascii="宋体" w:hAnsi="宋体"/>
          <w:color w:val="auto"/>
          <w:sz w:val="24"/>
          <w:highlight w:val="none"/>
        </w:rPr>
        <w:t xml:space="preserve">7、不向涉及采购的单位及个人的配偶、子女、亲属分包此次招标项目。</w:t>
      </w:r>
      <w:r/>
    </w:p>
    <w:p>
      <w:pPr>
        <w:ind w:firstLine="480"/>
        <w:spacing w:line="520" w:lineRule="exact"/>
        <w:rPr>
          <w:rFonts w:hint="eastAsia" w:ascii="宋体" w:hAnsi="宋体"/>
          <w:color w:val="auto"/>
          <w:sz w:val="24"/>
          <w:highlight w:val="none"/>
        </w:rPr>
      </w:pPr>
      <w:r>
        <w:rPr>
          <w:rFonts w:hint="eastAsia" w:ascii="宋体" w:hAnsi="宋体"/>
          <w:color w:val="auto"/>
          <w:sz w:val="24"/>
          <w:highlight w:val="none"/>
        </w:rPr>
        <w:t xml:space="preserve">8、不向涉及采购的单位及个人支付好处费、介绍费。</w:t>
      </w:r>
      <w:r/>
    </w:p>
    <w:p>
      <w:pPr>
        <w:ind w:firstLine="480"/>
        <w:spacing w:line="520" w:lineRule="exact"/>
        <w:rPr>
          <w:rFonts w:hint="eastAsia" w:ascii="宋体" w:hAnsi="宋体"/>
          <w:color w:val="auto"/>
          <w:sz w:val="24"/>
          <w:highlight w:val="none"/>
        </w:rPr>
      </w:pPr>
      <w:r>
        <w:rPr>
          <w:rFonts w:hint="eastAsia" w:ascii="宋体" w:hAnsi="宋体"/>
          <w:color w:val="auto"/>
          <w:sz w:val="24"/>
          <w:highlight w:val="none"/>
        </w:rPr>
        <w:t xml:space="preserve">9、一旦发现相关人员在招标过程中有索要财物等不廉洁行为，坚决予以抵制，并及时向采购人纪检监察室举报。</w:t>
      </w:r>
      <w:r/>
    </w:p>
    <w:p>
      <w:pPr>
        <w:ind w:firstLine="480"/>
        <w:spacing w:line="520" w:lineRule="exact"/>
        <w:rPr>
          <w:rFonts w:hint="eastAsia" w:ascii="宋体" w:hAnsi="宋体"/>
          <w:color w:val="auto"/>
          <w:sz w:val="24"/>
          <w:highlight w:val="none"/>
        </w:rPr>
      </w:pPr>
      <w:r>
        <w:rPr>
          <w:rFonts w:hint="eastAsia" w:ascii="宋体" w:hAnsi="宋体"/>
          <w:color w:val="auto"/>
          <w:sz w:val="24"/>
          <w:highlight w:val="none"/>
        </w:rPr>
        <w:t xml:space="preserve">我们若违反上述承诺</w:t>
      </w:r>
      <w:r>
        <w:rPr>
          <w:rFonts w:hint="eastAsia" w:ascii="宋体" w:hAnsi="宋体"/>
          <w:color w:val="auto"/>
          <w:sz w:val="24"/>
          <w:highlight w:val="none"/>
          <w:lang w:eastAsia="zh-CN"/>
        </w:rPr>
        <w:t xml:space="preserve">，自</w:t>
      </w:r>
      <w:r>
        <w:rPr>
          <w:rFonts w:hint="eastAsia" w:ascii="宋体" w:hAnsi="宋体"/>
          <w:color w:val="auto"/>
          <w:sz w:val="24"/>
          <w:highlight w:val="none"/>
        </w:rPr>
        <w:t xml:space="preserve">愿</w:t>
      </w:r>
      <w:r>
        <w:rPr>
          <w:rFonts w:hint="eastAsia" w:ascii="宋体" w:hAnsi="宋体"/>
          <w:color w:val="auto"/>
          <w:sz w:val="24"/>
          <w:highlight w:val="none"/>
          <w:lang w:eastAsia="zh-CN"/>
        </w:rPr>
        <w:t xml:space="preserve">接受</w:t>
      </w:r>
      <w:r>
        <w:rPr>
          <w:rFonts w:hint="eastAsia" w:ascii="宋体" w:hAnsi="宋体"/>
          <w:color w:val="auto"/>
          <w:sz w:val="24"/>
          <w:highlight w:val="none"/>
        </w:rPr>
        <w:t xml:space="preserve">取消投标资格及其他任何形式的处理。</w:t>
      </w:r>
      <w:r/>
    </w:p>
    <w:p>
      <w:pPr>
        <w:ind w:right="480" w:firstLine="4800"/>
        <w:spacing w:before="240" w:line="360" w:lineRule="auto"/>
        <w:rPr>
          <w:rFonts w:hint="eastAsia" w:ascii="宋体" w:hAnsi="宋体"/>
          <w:color w:val="auto"/>
          <w:sz w:val="24"/>
          <w:highlight w:val="none"/>
        </w:rPr>
      </w:pPr>
      <w:r>
        <w:rPr>
          <w:rFonts w:hint="eastAsia" w:ascii="宋体" w:hAnsi="宋体"/>
          <w:color w:val="auto"/>
          <w:sz w:val="24"/>
          <w:highlight w:val="none"/>
          <w:lang w:eastAsia="zh-CN"/>
        </w:rPr>
        <w:t xml:space="preserve">投标人</w:t>
      </w:r>
      <w:r>
        <w:rPr>
          <w:rFonts w:hint="eastAsia" w:ascii="宋体" w:hAnsi="宋体"/>
          <w:color w:val="auto"/>
          <w:sz w:val="24"/>
          <w:highlight w:val="none"/>
        </w:rPr>
        <w:t xml:space="preserve">：（公章）</w:t>
      </w:r>
      <w:r/>
    </w:p>
    <w:p>
      <w:pPr>
        <w:ind w:firstLine="480"/>
        <w:jc w:val="right"/>
        <w:spacing w:before="240" w:line="360" w:lineRule="auto"/>
        <w:rPr>
          <w:rFonts w:hint="eastAsia" w:ascii="宋体" w:hAnsi="宋体"/>
          <w:color w:val="auto"/>
          <w:sz w:val="24"/>
          <w:highlight w:val="none"/>
        </w:rPr>
      </w:pPr>
      <w:r>
        <w:rPr>
          <w:rFonts w:ascii="宋体" w:hAnsi="宋体"/>
          <w:color w:val="auto"/>
          <w:sz w:val="24"/>
          <w:highlight w:val="none"/>
        </w:rPr>
        <w:t xml:space="preserve">法定代表人</w:t>
      </w:r>
      <w:r>
        <w:rPr>
          <w:rFonts w:hint="eastAsia" w:ascii="宋体" w:hAnsi="宋体"/>
          <w:color w:val="auto"/>
          <w:sz w:val="24"/>
          <w:highlight w:val="none"/>
        </w:rPr>
        <w:t xml:space="preserve">或其授权代理人</w:t>
      </w:r>
      <w:r>
        <w:rPr>
          <w:rFonts w:ascii="宋体" w:hAnsi="宋体"/>
          <w:color w:val="auto"/>
          <w:sz w:val="24"/>
          <w:highlight w:val="none"/>
        </w:rPr>
        <w:t xml:space="preserve">：   （签字</w:t>
      </w:r>
      <w:r>
        <w:rPr>
          <w:rFonts w:hint="eastAsia" w:ascii="宋体" w:hAnsi="宋体"/>
          <w:color w:val="auto"/>
          <w:sz w:val="24"/>
          <w:highlight w:val="none"/>
        </w:rPr>
        <w:t xml:space="preserve">和盖章</w:t>
      </w:r>
      <w:r>
        <w:rPr>
          <w:rFonts w:ascii="宋体" w:hAnsi="宋体"/>
          <w:color w:val="auto"/>
          <w:sz w:val="24"/>
          <w:highlight w:val="none"/>
        </w:rPr>
        <w:t xml:space="preserve">）</w:t>
      </w:r>
      <w:r/>
    </w:p>
    <w:p>
      <w:pPr>
        <w:pStyle w:val="1069"/>
        <w:rPr>
          <w:color w:val="auto"/>
          <w:highlight w:val="none"/>
        </w:rPr>
      </w:pPr>
      <w:r>
        <w:rPr>
          <w:color w:val="auto"/>
          <w:highlight w:val="none"/>
        </w:rPr>
      </w:r>
      <w:r/>
    </w:p>
    <w:p>
      <w:pPr>
        <w:ind w:firstLine="420"/>
        <w:spacing w:line="480" w:lineRule="auto"/>
        <w:rPr>
          <w:rFonts w:ascii="宋体"/>
          <w:bCs/>
          <w:color w:val="auto"/>
          <w:sz w:val="24"/>
          <w:szCs w:val="24"/>
          <w:highlight w:val="none"/>
        </w:rPr>
      </w:pPr>
      <w:r>
        <w:rPr>
          <w:rFonts w:hint="eastAsia" w:ascii="宋体" w:hAnsi="宋体"/>
          <w:color w:val="auto"/>
          <w:sz w:val="24"/>
          <w:highlight w:val="none"/>
        </w:rPr>
        <w:t xml:space="preserve">                     </w:t>
      </w:r>
      <w:r>
        <w:rPr>
          <w:rFonts w:hint="eastAsia" w:ascii="宋体" w:hAnsi="宋体"/>
          <w:color w:val="auto"/>
          <w:sz w:val="24"/>
          <w:szCs w:val="22"/>
          <w:highlight w:val="none"/>
        </w:rPr>
        <w:t xml:space="preserve">                      年    月    日</w:t>
      </w:r>
      <w:r/>
    </w:p>
    <w:p>
      <w:pPr>
        <w:ind w:firstLine="480"/>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jc w:val="left"/>
        <w:rPr>
          <w:rFonts w:ascii="黑体" w:eastAsia="黑体"/>
          <w:bCs/>
          <w:color w:val="auto"/>
          <w:sz w:val="28"/>
          <w:szCs w:val="28"/>
          <w:highlight w:val="none"/>
        </w:rPr>
      </w:pPr>
      <w:r>
        <w:rPr>
          <w:rFonts w:hint="eastAsia"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 xml:space="preserve">（七）开标一览表（格式）：</w:t>
      </w:r>
      <w:r/>
    </w:p>
    <w:p>
      <w:pPr>
        <w:jc w:val="center"/>
        <w:rPr>
          <w:rFonts w:ascii="黑体" w:eastAsia="黑体"/>
          <w:bCs/>
          <w:color w:val="auto"/>
          <w:sz w:val="28"/>
          <w:szCs w:val="28"/>
          <w:highlight w:val="none"/>
        </w:rPr>
      </w:pPr>
      <w:r>
        <w:rPr>
          <w:rFonts w:hint="eastAsia" w:ascii="黑体" w:eastAsia="黑体"/>
          <w:bCs/>
          <w:color w:val="auto"/>
          <w:sz w:val="28"/>
          <w:szCs w:val="28"/>
          <w:highlight w:val="none"/>
        </w:rPr>
        <w:t xml:space="preserve">开标一览表</w:t>
      </w:r>
      <w:r/>
    </w:p>
    <w:p>
      <w:pPr>
        <w:spacing w:line="300" w:lineRule="auto"/>
        <w:rPr>
          <w:rFonts w:hint="eastAsia" w:ascii="宋体" w:hAnsi="宋体" w:cs="宋体"/>
          <w:color w:val="auto"/>
          <w:highlight w:val="none"/>
        </w:rPr>
      </w:pPr>
      <w:r>
        <w:rPr>
          <w:rFonts w:hint="eastAsia" w:ascii="黑体" w:eastAsia="黑体"/>
          <w:bCs/>
          <w:color w:val="auto"/>
          <w:sz w:val="24"/>
          <w:szCs w:val="24"/>
          <w:highlight w:val="none"/>
        </w:rPr>
        <w:t xml:space="preserve">投标人名称（盖章）</w:t>
      </w:r>
      <w:r>
        <w:rPr>
          <w:rFonts w:hint="eastAsia" w:ascii="黑体" w:eastAsia="黑体"/>
          <w:bCs/>
          <w:color w:val="auto"/>
          <w:sz w:val="24"/>
          <w:szCs w:val="24"/>
          <w:highlight w:val="none"/>
          <w:lang w:val="en-US" w:eastAsia="zh-CN"/>
        </w:rPr>
        <w:t xml:space="preserve">                </w:t>
      </w:r>
      <w:r>
        <w:rPr>
          <w:rFonts w:hint="eastAsia" w:ascii="黑体" w:eastAsia="黑体"/>
          <w:bCs/>
          <w:color w:val="auto"/>
          <w:sz w:val="24"/>
          <w:szCs w:val="24"/>
          <w:highlight w:val="none"/>
        </w:rPr>
        <w:t xml:space="preserve">采购项目编号：</w:t>
      </w:r>
      <w:r>
        <w:rPr>
          <w:rFonts w:hint="eastAsia" w:ascii="黑体" w:eastAsia="黑体"/>
          <w:bCs/>
          <w:color w:val="auto"/>
          <w:sz w:val="24"/>
          <w:szCs w:val="24"/>
          <w:highlight w:val="none"/>
          <w:lang w:eastAsia="zh-CN"/>
        </w:rPr>
        <w:t xml:space="preserve">JSZC-320214-JAGC-G2026-0003</w:t>
      </w:r>
      <w:r/>
    </w:p>
    <w:tbl>
      <w:tblPr>
        <w:tblStyle w:val="778"/>
        <w:tblW w:w="1008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971"/>
        <w:gridCol w:w="6109"/>
      </w:tblGrid>
      <w:tr>
        <w:trPr>
          <w:cantSplit/>
          <w:jc w:val="center"/>
          <w:trHeight w:val="567"/>
        </w:trPr>
        <w:tc>
          <w:tcPr>
            <w:tcW w:w="3971" w:type="dxa"/>
            <w:vAlign w:val="center"/>
            <w:textDirection w:val="lrTb"/>
            <w:noWrap/>
          </w:tcPr>
          <w:p>
            <w:pPr>
              <w:jc w:val="center"/>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项目名称</w:t>
            </w:r>
            <w:r/>
          </w:p>
        </w:tc>
        <w:tc>
          <w:tcPr>
            <w:tcW w:w="6109" w:type="dxa"/>
            <w:vAlign w:val="center"/>
            <w:textDirection w:val="lrTb"/>
            <w:noWrap/>
          </w:tcPr>
          <w:p>
            <w:pPr>
              <w:jc w:val="center"/>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投标报价</w:t>
            </w:r>
            <w:r/>
          </w:p>
        </w:tc>
      </w:tr>
      <w:tr>
        <w:trPr>
          <w:cantSplit/>
          <w:jc w:val="center"/>
          <w:trHeight w:val="1229"/>
        </w:trPr>
        <w:tc>
          <w:tcPr>
            <w:tcW w:w="3971" w:type="dxa"/>
            <w:vAlign w:val="center"/>
            <w:textDirection w:val="lrTb"/>
            <w:noWrap/>
          </w:tcPr>
          <w:p>
            <w:pPr>
              <w:pStyle w:val="1052"/>
              <w:jc w:val="center"/>
              <w:spacing w:line="400" w:lineRule="exact"/>
              <w:rPr>
                <w:rFonts w:hint="eastAsia" w:hAnsi="宋体"/>
                <w:bCs/>
                <w:color w:val="auto"/>
                <w:szCs w:val="24"/>
                <w:highlight w:val="none"/>
              </w:rPr>
            </w:pPr>
            <w:r>
              <w:rPr>
                <w:rFonts w:hint="eastAsia" w:hAnsi="宋体"/>
                <w:bCs/>
                <w:color w:val="auto"/>
                <w:szCs w:val="24"/>
                <w:highlight w:val="none"/>
                <w:lang w:eastAsia="zh-CN"/>
              </w:rPr>
              <w:t xml:space="preserve">2026年-2029年硕放街道市政雨污管网养护服务外包项目</w:t>
            </w:r>
            <w:r>
              <w:rPr>
                <w:rFonts w:hint="eastAsia" w:hAnsi="宋体"/>
                <w:bCs/>
                <w:color w:val="auto"/>
                <w:szCs w:val="24"/>
                <w:highlight w:val="none"/>
              </w:rPr>
              <w:t xml:space="preserve">（</w:t>
            </w:r>
            <w:r>
              <w:rPr>
                <w:rFonts w:hint="eastAsia" w:hAnsi="宋体"/>
                <w:bCs/>
                <w:color w:val="auto"/>
                <w:szCs w:val="24"/>
                <w:highlight w:val="none"/>
                <w:u w:val="single"/>
              </w:rPr>
              <w:t xml:space="preserve">     </w:t>
            </w:r>
            <w:r>
              <w:rPr>
                <w:rFonts w:hint="eastAsia" w:hAnsi="宋体"/>
                <w:bCs/>
                <w:color w:val="auto"/>
                <w:szCs w:val="24"/>
                <w:highlight w:val="none"/>
              </w:rPr>
              <w:t xml:space="preserve">标段）</w:t>
            </w:r>
            <w:r/>
          </w:p>
        </w:tc>
        <w:tc>
          <w:tcPr>
            <w:tcW w:w="6109" w:type="dxa"/>
            <w:vAlign w:val="center"/>
            <w:textDirection w:val="lrTb"/>
            <w:noWrap/>
          </w:tcPr>
          <w:p>
            <w:pPr>
              <w:pStyle w:val="1052"/>
              <w:spacing w:line="360" w:lineRule="auto"/>
              <w:rPr>
                <w:rFonts w:hint="eastAsia" w:hAnsi="宋体"/>
                <w:bCs/>
                <w:color w:val="auto"/>
                <w:szCs w:val="24"/>
                <w:highlight w:val="none"/>
              </w:rPr>
            </w:pPr>
            <w:r>
              <w:rPr>
                <w:rFonts w:hint="eastAsia" w:hAnsi="宋体"/>
                <w:bCs/>
                <w:color w:val="auto"/>
                <w:szCs w:val="24"/>
                <w:highlight w:val="none"/>
              </w:rPr>
              <w:t xml:space="preserve">投标报价（小写）：</w:t>
            </w:r>
            <w:r>
              <w:rPr>
                <w:rFonts w:hint="eastAsia" w:hAnsi="宋体"/>
                <w:bCs/>
                <w:color w:val="auto"/>
                <w:szCs w:val="24"/>
                <w:highlight w:val="none"/>
                <w:u w:val="single"/>
              </w:rPr>
              <w:t xml:space="preserve">             </w:t>
            </w:r>
            <w:r>
              <w:rPr>
                <w:rFonts w:hint="eastAsia" w:hAnsi="宋体"/>
                <w:bCs/>
                <w:color w:val="auto"/>
                <w:szCs w:val="24"/>
                <w:highlight w:val="none"/>
              </w:rPr>
              <w:t xml:space="preserve">元</w:t>
            </w:r>
            <w:r/>
          </w:p>
          <w:p>
            <w:pPr>
              <w:pStyle w:val="1052"/>
              <w:spacing w:line="360" w:lineRule="auto"/>
              <w:rPr>
                <w:bCs/>
                <w:color w:val="auto"/>
                <w:highlight w:val="none"/>
              </w:rPr>
            </w:pPr>
            <w:r>
              <w:rPr>
                <w:rFonts w:hint="eastAsia" w:hAnsi="宋体"/>
                <w:bCs/>
                <w:color w:val="auto"/>
                <w:szCs w:val="24"/>
                <w:highlight w:val="none"/>
              </w:rPr>
              <w:t xml:space="preserve">投标报价（大写）：</w:t>
            </w:r>
            <w:r>
              <w:rPr>
                <w:rFonts w:hint="eastAsia" w:hAnsi="宋体"/>
                <w:bCs/>
                <w:color w:val="auto"/>
                <w:szCs w:val="24"/>
                <w:highlight w:val="none"/>
                <w:u w:val="single"/>
              </w:rPr>
              <w:t xml:space="preserve"> 　</w:t>
            </w:r>
            <w:r>
              <w:rPr>
                <w:rFonts w:hint="eastAsia"/>
                <w:bCs/>
                <w:color w:val="auto"/>
                <w:highlight w:val="none"/>
                <w:u w:val="single"/>
              </w:rPr>
              <w:t xml:space="preserve">　　     </w:t>
            </w:r>
            <w:r/>
          </w:p>
        </w:tc>
      </w:tr>
      <w:tr>
        <w:trPr>
          <w:cantSplit/>
          <w:jc w:val="center"/>
          <w:trHeight w:val="641"/>
        </w:trPr>
        <w:tc>
          <w:tcPr>
            <w:gridSpan w:val="2"/>
            <w:tcW w:w="10080" w:type="dxa"/>
            <w:vAlign w:val="center"/>
            <w:textDirection w:val="lrTb"/>
            <w:noWrap/>
          </w:tcPr>
          <w:p>
            <w:pPr>
              <w:jc w:val="left"/>
              <w:spacing w:line="300" w:lineRule="auto"/>
              <w:rPr>
                <w:rFonts w:hint="eastAsia" w:ascii="宋体" w:hAnsi="宋体" w:cs="宋体"/>
                <w:color w:val="auto"/>
                <w:sz w:val="24"/>
                <w:highlight w:val="none"/>
              </w:rPr>
            </w:pPr>
            <w:r>
              <w:rPr>
                <w:rFonts w:hint="eastAsia" w:ascii="宋体" w:hAnsi="宋体"/>
                <w:color w:val="auto"/>
                <w:sz w:val="24"/>
                <w:highlight w:val="none"/>
              </w:rPr>
              <w:t xml:space="preserve">服务期：</w:t>
            </w:r>
            <w:r/>
          </w:p>
        </w:tc>
      </w:tr>
      <w:tr>
        <w:trPr>
          <w:cantSplit/>
          <w:jc w:val="center"/>
          <w:trHeight w:val="826"/>
        </w:trPr>
        <w:tc>
          <w:tcPr>
            <w:gridSpan w:val="2"/>
            <w:tcW w:w="10080" w:type="dxa"/>
            <w:vAlign w:val="center"/>
            <w:textDirection w:val="lrTb"/>
            <w:noWrap/>
          </w:tcPr>
          <w:p>
            <w:pPr>
              <w:jc w:val="left"/>
              <w:spacing w:line="300" w:lineRule="auto"/>
              <w:rPr>
                <w:rFonts w:hint="eastAsia" w:ascii="宋体" w:hAnsi="宋体" w:cs="宋体"/>
                <w:color w:val="auto"/>
                <w:sz w:val="24"/>
                <w:highlight w:val="none"/>
              </w:rPr>
            </w:pPr>
            <w:r>
              <w:rPr>
                <w:rFonts w:hint="eastAsia" w:ascii="宋体" w:hAnsi="宋体" w:cs="宋体"/>
                <w:color w:val="auto"/>
                <w:sz w:val="24"/>
                <w:highlight w:val="none"/>
              </w:rPr>
              <w:t xml:space="preserve">服务质量：</w:t>
            </w:r>
            <w:r/>
          </w:p>
        </w:tc>
      </w:tr>
      <w:tr>
        <w:trPr>
          <w:cantSplit/>
          <w:jc w:val="center"/>
          <w:trHeight w:val="788"/>
        </w:trPr>
        <w:tc>
          <w:tcPr>
            <w:gridSpan w:val="2"/>
            <w:tcW w:w="10080" w:type="dxa"/>
            <w:vAlign w:val="center"/>
            <w:textDirection w:val="lrTb"/>
            <w:noWrap/>
          </w:tcPr>
          <w:p>
            <w:pPr>
              <w:jc w:val="left"/>
              <w:spacing w:line="300" w:lineRule="auto"/>
              <w:rPr>
                <w:rFonts w:hint="eastAsia" w:ascii="宋体" w:hAnsi="宋体" w:cs="宋体"/>
                <w:color w:val="auto"/>
                <w:sz w:val="24"/>
                <w:highlight w:val="none"/>
              </w:rPr>
            </w:pPr>
            <w:r>
              <w:rPr>
                <w:rFonts w:hint="eastAsia" w:ascii="宋体" w:hAnsi="宋体" w:cs="宋体"/>
                <w:color w:val="auto"/>
                <w:sz w:val="24"/>
                <w:highlight w:val="none"/>
              </w:rPr>
              <w:t xml:space="preserve">项目负责人：</w:t>
            </w:r>
            <w:r/>
          </w:p>
        </w:tc>
      </w:tr>
    </w:tbl>
    <w:p>
      <w:pPr>
        <w:spacing w:before="5"/>
        <w:rPr>
          <w:b/>
          <w:bCs/>
          <w:color w:val="auto"/>
          <w:sz w:val="24"/>
          <w:szCs w:val="24"/>
          <w:highlight w:val="none"/>
        </w:rPr>
      </w:pPr>
      <w:r>
        <w:rPr>
          <w:b/>
          <w:bCs/>
          <w:color w:val="auto"/>
          <w:sz w:val="24"/>
          <w:szCs w:val="24"/>
          <w:highlight w:val="none"/>
        </w:rPr>
      </w:r>
      <w:r/>
    </w:p>
    <w:p>
      <w:pPr>
        <w:spacing w:before="5"/>
        <w:rPr>
          <w:b/>
          <w:bCs/>
          <w:color w:val="auto"/>
          <w:sz w:val="24"/>
          <w:szCs w:val="24"/>
          <w:highlight w:val="none"/>
        </w:rPr>
      </w:pPr>
      <w:r>
        <w:rPr>
          <w:rFonts w:hint="eastAsia"/>
          <w:b/>
          <w:bCs/>
          <w:color w:val="auto"/>
          <w:sz w:val="24"/>
          <w:szCs w:val="24"/>
          <w:highlight w:val="none"/>
        </w:rPr>
        <w:t xml:space="preserve">法定代表人或法定代表人授权代表签字或盖章：</w:t>
      </w:r>
      <w:r/>
    </w:p>
    <w:p>
      <w:pPr>
        <w:spacing w:line="400" w:lineRule="exact"/>
        <w:rPr>
          <w:rFonts w:ascii="黑体" w:eastAsia="黑体"/>
          <w:bCs/>
          <w:color w:val="auto"/>
          <w:sz w:val="32"/>
          <w:highlight w:val="none"/>
        </w:rPr>
      </w:pPr>
      <w:r>
        <w:rPr>
          <w:rFonts w:ascii="黑体" w:eastAsia="黑体"/>
          <w:bCs/>
          <w:color w:val="auto"/>
          <w:sz w:val="32"/>
          <w:highlight w:val="none"/>
        </w:rPr>
      </w:r>
      <w:r/>
    </w:p>
    <w:p>
      <w:pPr>
        <w:spacing w:line="50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填写说明：</w:t>
      </w:r>
      <w:r/>
    </w:p>
    <w:p>
      <w:pPr>
        <w:spacing w:line="50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1.评标时一律按开标一览表中内容为准，开标一览表中必须盖章或签字。</w:t>
      </w:r>
      <w:r/>
    </w:p>
    <w:p>
      <w:pPr>
        <w:spacing w:line="500" w:lineRule="exact"/>
        <w:rPr>
          <w:rFonts w:hint="eastAsia" w:ascii="宋体" w:hAnsi="宋体" w:cs="宋体"/>
          <w:b/>
          <w:color w:val="auto"/>
          <w:sz w:val="24"/>
          <w:highlight w:val="none"/>
        </w:rPr>
      </w:pPr>
      <w:r>
        <w:rPr>
          <w:rFonts w:hint="eastAsia" w:ascii="宋体" w:hAnsi="宋体" w:cs="宋体"/>
          <w:b/>
          <w:bCs/>
          <w:color w:val="auto"/>
          <w:sz w:val="24"/>
          <w:highlight w:val="none"/>
        </w:rPr>
        <w:t xml:space="preserve">2.供应商的投标报价的总额应是供应商在报价文件中提出的各项支付金额的总和，也应是完成投标文件所列采购需求的全部费用。</w:t>
      </w:r>
      <w:r/>
    </w:p>
    <w:p>
      <w:pPr>
        <w:rPr>
          <w:rFonts w:hint="eastAsia" w:ascii="黑体" w:hAnsi="宋体" w:eastAsia="黑体"/>
          <w:bCs/>
          <w:color w:val="auto"/>
          <w:sz w:val="24"/>
          <w:szCs w:val="24"/>
          <w:highlight w:val="none"/>
        </w:rPr>
        <w:sectPr>
          <w:headerReference w:type="default" r:id="rId10"/>
          <w:headerReference w:type="first" r:id="rId11"/>
          <w:footerReference w:type="default" r:id="rId14"/>
          <w:footnotePr/>
          <w:endnotePr/>
          <w:type w:val="nextPage"/>
          <w:pgSz w:w="11906" w:h="16838" w:orient="portrait"/>
          <w:pgMar w:top="1134" w:right="1134" w:bottom="1134" w:left="1134" w:header="624" w:footer="907" w:gutter="0"/>
          <w:cols w:num="1" w:sep="0" w:space="0" w:equalWidth="1"/>
          <w:docGrid w:linePitch="360"/>
          <w:titlePg/>
        </w:sectPr>
      </w:pPr>
      <w:r>
        <w:rPr>
          <w:rFonts w:hint="eastAsia" w:ascii="黑体" w:hAnsi="宋体" w:eastAsia="黑体"/>
          <w:bCs/>
          <w:color w:val="auto"/>
          <w:sz w:val="24"/>
          <w:szCs w:val="24"/>
          <w:highlight w:val="none"/>
        </w:rPr>
        <w:br w:type="page" w:clear="all"/>
      </w:r>
      <w:r/>
    </w:p>
    <w:p>
      <w:pPr>
        <w:rPr>
          <w:rFonts w:ascii="黑体" w:eastAsia="黑体"/>
          <w:bCs/>
          <w:color w:val="auto"/>
          <w:sz w:val="28"/>
          <w:szCs w:val="28"/>
          <w:highlight w:val="none"/>
        </w:rPr>
      </w:pPr>
      <w:r>
        <w:rPr>
          <w:rFonts w:hint="eastAsia" w:ascii="黑体" w:hAnsi="宋体" w:eastAsia="黑体"/>
          <w:bCs/>
          <w:color w:val="auto"/>
          <w:sz w:val="24"/>
          <w:szCs w:val="24"/>
          <w:highlight w:val="none"/>
        </w:rPr>
        <w:t xml:space="preserve">（八）报价明细表（格式</w:t>
      </w:r>
      <w:r>
        <w:rPr>
          <w:rFonts w:hint="eastAsia" w:ascii="黑体" w:hAnsi="宋体" w:eastAsia="黑体"/>
          <w:bCs/>
          <w:color w:val="auto"/>
          <w:sz w:val="24"/>
          <w:szCs w:val="24"/>
          <w:highlight w:val="none"/>
          <w:lang w:val="en-US" w:eastAsia="zh-CN"/>
        </w:rPr>
        <w:t xml:space="preserve">自拟</w:t>
      </w:r>
      <w:r>
        <w:rPr>
          <w:rFonts w:hint="eastAsia" w:ascii="黑体" w:hAnsi="宋体" w:eastAsia="黑体"/>
          <w:bCs/>
          <w:color w:val="auto"/>
          <w:sz w:val="24"/>
          <w:szCs w:val="24"/>
          <w:highlight w:val="none"/>
        </w:rPr>
        <w:t xml:space="preserve">）：</w:t>
      </w:r>
      <w:r/>
    </w:p>
    <w:p>
      <w:pPr>
        <w:jc w:val="center"/>
        <w:spacing w:line="400" w:lineRule="exact"/>
        <w:rPr>
          <w:rFonts w:hint="eastAsia" w:ascii="宋体" w:hAnsi="宋体"/>
          <w:bCs/>
          <w:color w:val="auto"/>
          <w:sz w:val="28"/>
          <w:szCs w:val="28"/>
          <w:highlight w:val="none"/>
        </w:rPr>
      </w:pPr>
      <w:r>
        <w:rPr>
          <w:rFonts w:hint="eastAsia" w:ascii="宋体" w:hAnsi="宋体"/>
          <w:bCs/>
          <w:color w:val="auto"/>
          <w:sz w:val="28"/>
          <w:szCs w:val="28"/>
          <w:highlight w:val="none"/>
        </w:rPr>
        <w:t xml:space="preserve">报价明细表（一标段）</w:t>
      </w:r>
      <w:r/>
    </w:p>
    <w:p>
      <w:pPr>
        <w:ind w:firstLine="840"/>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p>
      <w:pPr>
        <w:spacing w:line="360" w:lineRule="auto"/>
        <w:rPr>
          <w:rFonts w:hint="eastAsia" w:ascii="黑体" w:eastAsia="黑体"/>
          <w:bCs/>
          <w:color w:val="auto"/>
          <w:sz w:val="24"/>
          <w:szCs w:val="24"/>
          <w:highlight w:val="none"/>
          <w:lang w:eastAsia="zh-CN"/>
        </w:rPr>
      </w:pPr>
      <w:r>
        <w:rPr>
          <w:rFonts w:hint="eastAsia" w:ascii="黑体" w:eastAsia="黑体"/>
          <w:bCs/>
          <w:color w:val="auto"/>
          <w:sz w:val="24"/>
          <w:szCs w:val="24"/>
          <w:highlight w:val="none"/>
        </w:rPr>
        <w:t xml:space="preserve">投标人名称（盖章）                 采购项目编号：</w:t>
      </w:r>
      <w:r/>
    </w:p>
    <w:p>
      <w:pPr>
        <w:pStyle w:val="782"/>
        <w:ind w:firstLine="480"/>
        <w:rPr>
          <w:rFonts w:hint="eastAsia" w:ascii="宋体" w:hAnsi="宋体"/>
          <w:color w:val="auto"/>
          <w:sz w:val="24"/>
          <w:highlight w:val="none"/>
        </w:rPr>
      </w:pPr>
      <w:r>
        <w:rPr>
          <w:rFonts w:hint="eastAsia" w:ascii="宋体" w:hAnsi="宋体"/>
          <w:color w:val="auto"/>
          <w:sz w:val="24"/>
          <w:highlight w:val="none"/>
        </w:rPr>
      </w:r>
      <w:r/>
    </w:p>
    <w:p>
      <w:pPr>
        <w:pStyle w:val="782"/>
        <w:ind w:firstLine="0"/>
        <w:rPr>
          <w:rFonts w:hint="eastAsia" w:ascii="宋体" w:hAnsi="宋体"/>
          <w:color w:val="auto"/>
          <w:sz w:val="24"/>
          <w:highlight w:val="none"/>
        </w:rPr>
      </w:pPr>
      <w:r>
        <w:rPr>
          <w:rFonts w:hint="eastAsia" w:ascii="宋体" w:hAnsi="宋体"/>
          <w:color w:val="auto"/>
          <w:sz w:val="24"/>
          <w:highlight w:val="none"/>
        </w:rPr>
      </w:r>
      <w:r/>
    </w:p>
    <w:p>
      <w:pPr>
        <w:pStyle w:val="782"/>
        <w:ind w:firstLine="480"/>
        <w:rPr>
          <w:rFonts w:hint="eastAsia" w:ascii="宋体" w:hAnsi="宋体"/>
          <w:color w:val="auto"/>
          <w:sz w:val="24"/>
          <w:highlight w:val="none"/>
        </w:rPr>
      </w:pPr>
      <w:r>
        <w:rPr>
          <w:rFonts w:hint="eastAsia" w:ascii="宋体" w:hAnsi="宋体"/>
          <w:color w:val="auto"/>
          <w:sz w:val="24"/>
          <w:highlight w:val="none"/>
        </w:rPr>
      </w:r>
      <w:r/>
    </w:p>
    <w:p>
      <w:pPr>
        <w:pStyle w:val="782"/>
        <w:ind w:firstLine="480"/>
        <w:rPr>
          <w:rFonts w:hint="eastAsia" w:ascii="宋体" w:hAnsi="宋体"/>
          <w:color w:val="auto"/>
          <w:sz w:val="24"/>
          <w:highlight w:val="none"/>
        </w:rPr>
      </w:pPr>
      <w:r>
        <w:rPr>
          <w:rFonts w:hint="eastAsia" w:ascii="宋体" w:hAnsi="宋体"/>
          <w:color w:val="auto"/>
          <w:sz w:val="24"/>
          <w:highlight w:val="none"/>
        </w:rPr>
      </w:r>
      <w:r/>
    </w:p>
    <w:p>
      <w:pPr>
        <w:spacing w:line="480" w:lineRule="auto"/>
        <w:rPr>
          <w:rFonts w:hint="eastAsia" w:ascii="宋体" w:hAnsi="宋体"/>
          <w:bCs/>
          <w:color w:val="auto"/>
          <w:sz w:val="24"/>
          <w:highlight w:val="none"/>
        </w:rPr>
      </w:pPr>
      <w:r>
        <w:rPr>
          <w:rFonts w:hint="eastAsia" w:ascii="宋体" w:hAnsi="宋体"/>
          <w:bCs/>
          <w:color w:val="auto"/>
          <w:sz w:val="24"/>
          <w:highlight w:val="none"/>
        </w:rPr>
        <w:t xml:space="preserve">供应商（盖章）：</w:t>
      </w:r>
      <w:r/>
    </w:p>
    <w:p>
      <w:pPr>
        <w:spacing w:line="480" w:lineRule="auto"/>
        <w:rPr>
          <w:rFonts w:hint="eastAsia" w:ascii="宋体" w:hAnsi="宋体"/>
          <w:bCs/>
          <w:color w:val="auto"/>
          <w:sz w:val="24"/>
          <w:highlight w:val="none"/>
        </w:rPr>
      </w:pPr>
      <w:r>
        <w:rPr>
          <w:rFonts w:hint="eastAsia" w:ascii="宋体" w:hAnsi="宋体"/>
          <w:bCs/>
          <w:color w:val="auto"/>
          <w:sz w:val="24"/>
          <w:highlight w:val="none"/>
        </w:rPr>
        <w:t xml:space="preserve">法定代表人或授权代表签字或盖章：</w:t>
      </w:r>
      <w:r/>
    </w:p>
    <w:p>
      <w:pPr>
        <w:jc w:val="center"/>
        <w:spacing w:line="400" w:lineRule="exact"/>
        <w:rPr>
          <w:rFonts w:hint="eastAsia" w:ascii="宋体" w:hAnsi="宋体"/>
          <w:bCs/>
          <w:color w:val="auto"/>
          <w:sz w:val="28"/>
          <w:szCs w:val="28"/>
          <w:highlight w:val="none"/>
        </w:rPr>
      </w:pPr>
      <w:r>
        <w:rPr>
          <w:rFonts w:hint="eastAsia" w:ascii="宋体" w:hAnsi="宋体"/>
          <w:bCs/>
          <w:color w:val="auto"/>
          <w:sz w:val="24"/>
          <w:highlight w:val="none"/>
        </w:rPr>
        <w:t xml:space="preserve">日期：</w:t>
      </w:r>
      <w:r>
        <w:rPr>
          <w:rFonts w:hint="eastAsia" w:ascii="黑体" w:hAnsi="宋体" w:eastAsia="黑体"/>
          <w:bCs/>
          <w:color w:val="auto"/>
          <w:sz w:val="24"/>
          <w:szCs w:val="24"/>
          <w:highlight w:val="none"/>
        </w:rPr>
        <w:br w:type="page" w:clear="all"/>
      </w:r>
      <w:r>
        <w:rPr>
          <w:rFonts w:hint="eastAsia" w:ascii="宋体" w:hAnsi="宋体"/>
          <w:bCs/>
          <w:color w:val="auto"/>
          <w:sz w:val="28"/>
          <w:szCs w:val="28"/>
          <w:highlight w:val="none"/>
        </w:rPr>
        <w:t xml:space="preserve">报价明细表（二标段）</w:t>
      </w:r>
      <w:r/>
    </w:p>
    <w:p>
      <w:pPr>
        <w:ind w:firstLine="840"/>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p>
      <w:pPr>
        <w:spacing w:line="360" w:lineRule="auto"/>
        <w:rPr>
          <w:rFonts w:hint="eastAsia" w:ascii="黑体" w:eastAsia="黑体"/>
          <w:bCs/>
          <w:color w:val="auto"/>
          <w:sz w:val="24"/>
          <w:szCs w:val="24"/>
          <w:highlight w:val="none"/>
          <w:lang w:eastAsia="zh-CN"/>
        </w:rPr>
      </w:pPr>
      <w:r>
        <w:rPr>
          <w:rFonts w:hint="eastAsia" w:ascii="黑体" w:eastAsia="黑体"/>
          <w:bCs/>
          <w:color w:val="auto"/>
          <w:sz w:val="24"/>
          <w:szCs w:val="24"/>
          <w:highlight w:val="none"/>
        </w:rPr>
        <w:t xml:space="preserve">投标人名称（盖章）                 采购项目编号：</w:t>
      </w:r>
      <w:r/>
    </w:p>
    <w:p>
      <w:pPr>
        <w:pStyle w:val="782"/>
        <w:ind w:firstLine="480"/>
        <w:rPr>
          <w:rFonts w:hint="eastAsia" w:ascii="宋体" w:hAnsi="宋体"/>
          <w:color w:val="auto"/>
          <w:sz w:val="24"/>
          <w:highlight w:val="none"/>
        </w:rPr>
      </w:pPr>
      <w:r>
        <w:rPr>
          <w:rFonts w:hint="eastAsia" w:ascii="宋体" w:hAnsi="宋体"/>
          <w:color w:val="auto"/>
          <w:sz w:val="24"/>
          <w:highlight w:val="none"/>
        </w:rPr>
      </w:r>
      <w:r/>
    </w:p>
    <w:p>
      <w:pPr>
        <w:pStyle w:val="782"/>
        <w:ind w:firstLine="0"/>
        <w:rPr>
          <w:rFonts w:hint="eastAsia" w:ascii="宋体" w:hAnsi="宋体"/>
          <w:color w:val="auto"/>
          <w:sz w:val="24"/>
          <w:highlight w:val="none"/>
        </w:rPr>
      </w:pPr>
      <w:r>
        <w:rPr>
          <w:rFonts w:hint="eastAsia" w:ascii="宋体" w:hAnsi="宋体"/>
          <w:color w:val="auto"/>
          <w:sz w:val="24"/>
          <w:highlight w:val="none"/>
        </w:rPr>
      </w:r>
      <w:r/>
    </w:p>
    <w:p>
      <w:pPr>
        <w:pStyle w:val="782"/>
        <w:ind w:firstLine="480"/>
        <w:rPr>
          <w:rFonts w:hint="eastAsia" w:ascii="宋体" w:hAnsi="宋体"/>
          <w:color w:val="auto"/>
          <w:sz w:val="24"/>
          <w:highlight w:val="none"/>
        </w:rPr>
      </w:pPr>
      <w:r>
        <w:rPr>
          <w:rFonts w:hint="eastAsia" w:ascii="宋体" w:hAnsi="宋体"/>
          <w:color w:val="auto"/>
          <w:sz w:val="24"/>
          <w:highlight w:val="none"/>
        </w:rPr>
      </w:r>
      <w:r/>
    </w:p>
    <w:p>
      <w:pPr>
        <w:spacing w:line="480" w:lineRule="auto"/>
        <w:rPr>
          <w:rFonts w:hint="eastAsia" w:ascii="宋体" w:hAnsi="宋体"/>
          <w:bCs/>
          <w:color w:val="auto"/>
          <w:sz w:val="24"/>
          <w:highlight w:val="none"/>
        </w:rPr>
      </w:pPr>
      <w:r>
        <w:rPr>
          <w:rFonts w:hint="eastAsia" w:ascii="宋体" w:hAnsi="宋体"/>
          <w:bCs/>
          <w:color w:val="auto"/>
          <w:sz w:val="24"/>
          <w:highlight w:val="none"/>
        </w:rPr>
        <w:t xml:space="preserve">供应商（盖章）：</w:t>
      </w:r>
      <w:r/>
    </w:p>
    <w:p>
      <w:pPr>
        <w:spacing w:line="480" w:lineRule="auto"/>
        <w:rPr>
          <w:rFonts w:hint="eastAsia" w:ascii="宋体" w:hAnsi="宋体"/>
          <w:bCs/>
          <w:color w:val="auto"/>
          <w:sz w:val="24"/>
          <w:highlight w:val="none"/>
        </w:rPr>
      </w:pPr>
      <w:r>
        <w:rPr>
          <w:rFonts w:hint="eastAsia" w:ascii="宋体" w:hAnsi="宋体"/>
          <w:bCs/>
          <w:color w:val="auto"/>
          <w:sz w:val="24"/>
          <w:highlight w:val="none"/>
        </w:rPr>
        <w:t xml:space="preserve">法定代表人或授权代表签字或盖章：</w:t>
      </w:r>
      <w:r/>
    </w:p>
    <w:p>
      <w:pPr>
        <w:rPr>
          <w:rFonts w:hint="eastAsia" w:ascii="宋体" w:hAnsi="宋体"/>
          <w:bCs/>
          <w:color w:val="auto"/>
          <w:sz w:val="24"/>
          <w:highlight w:val="none"/>
        </w:rPr>
      </w:pPr>
      <w:r>
        <w:rPr>
          <w:rFonts w:hint="eastAsia" w:ascii="宋体" w:hAnsi="宋体"/>
          <w:bCs/>
          <w:color w:val="auto"/>
          <w:sz w:val="24"/>
          <w:highlight w:val="none"/>
        </w:rPr>
        <w:t xml:space="preserve">日期：</w:t>
      </w:r>
      <w:r/>
    </w:p>
    <w:p>
      <w:pPr>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br w:type="page" w:clear="all"/>
      </w:r>
      <w:r/>
    </w:p>
    <w:p>
      <w:pPr>
        <w:jc w:val="center"/>
        <w:spacing w:line="400" w:lineRule="exact"/>
        <w:rPr>
          <w:rFonts w:hint="eastAsia" w:ascii="宋体" w:hAnsi="宋体"/>
          <w:bCs/>
          <w:color w:val="auto"/>
          <w:sz w:val="28"/>
          <w:szCs w:val="28"/>
          <w:highlight w:val="none"/>
        </w:rPr>
      </w:pPr>
      <w:r>
        <w:rPr>
          <w:rFonts w:hint="eastAsia" w:ascii="宋体" w:hAnsi="宋体"/>
          <w:bCs/>
          <w:color w:val="auto"/>
          <w:sz w:val="28"/>
          <w:szCs w:val="28"/>
          <w:highlight w:val="none"/>
        </w:rPr>
        <w:t xml:space="preserve">报价明细表（三标段）</w:t>
      </w:r>
      <w:r/>
    </w:p>
    <w:p>
      <w:pPr>
        <w:ind w:firstLine="840"/>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p>
      <w:pPr>
        <w:spacing w:line="360" w:lineRule="auto"/>
        <w:rPr>
          <w:rFonts w:hint="eastAsia" w:ascii="黑体" w:eastAsia="黑体"/>
          <w:bCs/>
          <w:color w:val="auto"/>
          <w:sz w:val="24"/>
          <w:szCs w:val="24"/>
          <w:highlight w:val="none"/>
          <w:lang w:eastAsia="zh-CN"/>
        </w:rPr>
      </w:pPr>
      <w:r>
        <w:rPr>
          <w:rFonts w:hint="eastAsia" w:ascii="黑体" w:eastAsia="黑体"/>
          <w:bCs/>
          <w:color w:val="auto"/>
          <w:sz w:val="24"/>
          <w:szCs w:val="24"/>
          <w:highlight w:val="none"/>
        </w:rPr>
        <w:t xml:space="preserve">投标人名称（盖章）                 采购项目编号：</w:t>
      </w:r>
      <w:r/>
    </w:p>
    <w:p>
      <w:pPr>
        <w:pStyle w:val="782"/>
        <w:ind w:firstLine="480"/>
        <w:rPr>
          <w:rFonts w:hint="eastAsia" w:ascii="宋体" w:hAnsi="宋体"/>
          <w:color w:val="auto"/>
          <w:sz w:val="24"/>
          <w:highlight w:val="none"/>
        </w:rPr>
      </w:pPr>
      <w:r>
        <w:rPr>
          <w:rFonts w:hint="eastAsia" w:ascii="宋体" w:hAnsi="宋体"/>
          <w:color w:val="auto"/>
          <w:sz w:val="24"/>
          <w:highlight w:val="none"/>
        </w:rPr>
      </w:r>
      <w:r/>
    </w:p>
    <w:p>
      <w:pPr>
        <w:pStyle w:val="782"/>
        <w:ind w:firstLine="0"/>
        <w:rPr>
          <w:rFonts w:hint="eastAsia" w:ascii="宋体" w:hAnsi="宋体"/>
          <w:color w:val="auto"/>
          <w:sz w:val="24"/>
          <w:highlight w:val="none"/>
        </w:rPr>
      </w:pPr>
      <w:r>
        <w:rPr>
          <w:rFonts w:hint="eastAsia" w:ascii="宋体" w:hAnsi="宋体"/>
          <w:color w:val="auto"/>
          <w:sz w:val="24"/>
          <w:highlight w:val="none"/>
        </w:rPr>
      </w:r>
      <w:r/>
    </w:p>
    <w:p>
      <w:pPr>
        <w:pStyle w:val="782"/>
        <w:ind w:firstLine="480"/>
        <w:rPr>
          <w:rFonts w:hint="eastAsia" w:ascii="宋体" w:hAnsi="宋体"/>
          <w:color w:val="auto"/>
          <w:sz w:val="24"/>
          <w:highlight w:val="none"/>
        </w:rPr>
      </w:pPr>
      <w:r>
        <w:rPr>
          <w:rFonts w:hint="eastAsia" w:ascii="宋体" w:hAnsi="宋体"/>
          <w:color w:val="auto"/>
          <w:sz w:val="24"/>
          <w:highlight w:val="none"/>
        </w:rPr>
      </w:r>
      <w:r/>
    </w:p>
    <w:p>
      <w:pPr>
        <w:pStyle w:val="782"/>
        <w:ind w:firstLine="480"/>
        <w:rPr>
          <w:rFonts w:hint="eastAsia" w:ascii="宋体" w:hAnsi="宋体"/>
          <w:color w:val="auto"/>
          <w:sz w:val="24"/>
          <w:highlight w:val="none"/>
        </w:rPr>
      </w:pPr>
      <w:r>
        <w:rPr>
          <w:rFonts w:hint="eastAsia" w:ascii="宋体" w:hAnsi="宋体"/>
          <w:color w:val="auto"/>
          <w:sz w:val="24"/>
          <w:highlight w:val="none"/>
        </w:rPr>
      </w:r>
      <w:r/>
    </w:p>
    <w:p>
      <w:pPr>
        <w:spacing w:line="480" w:lineRule="auto"/>
        <w:rPr>
          <w:rFonts w:hint="eastAsia" w:ascii="宋体" w:hAnsi="宋体"/>
          <w:bCs/>
          <w:color w:val="auto"/>
          <w:sz w:val="24"/>
          <w:highlight w:val="none"/>
        </w:rPr>
      </w:pPr>
      <w:r>
        <w:rPr>
          <w:rFonts w:hint="eastAsia" w:ascii="宋体" w:hAnsi="宋体"/>
          <w:bCs/>
          <w:color w:val="auto"/>
          <w:sz w:val="24"/>
          <w:highlight w:val="none"/>
        </w:rPr>
        <w:t xml:space="preserve">供应商（盖章）：</w:t>
      </w:r>
      <w:r/>
    </w:p>
    <w:p>
      <w:pPr>
        <w:spacing w:line="480" w:lineRule="auto"/>
        <w:rPr>
          <w:rFonts w:hint="eastAsia" w:ascii="宋体" w:hAnsi="宋体"/>
          <w:bCs/>
          <w:color w:val="auto"/>
          <w:sz w:val="24"/>
          <w:highlight w:val="none"/>
        </w:rPr>
      </w:pPr>
      <w:r>
        <w:rPr>
          <w:rFonts w:hint="eastAsia" w:ascii="宋体" w:hAnsi="宋体"/>
          <w:bCs/>
          <w:color w:val="auto"/>
          <w:sz w:val="24"/>
          <w:highlight w:val="none"/>
        </w:rPr>
        <w:t xml:space="preserve">法定代表人或授权代表签字或盖章：</w:t>
      </w:r>
      <w:r/>
    </w:p>
    <w:p>
      <w:pPr>
        <w:rPr>
          <w:rFonts w:hint="eastAsia" w:ascii="宋体" w:hAnsi="宋体"/>
          <w:bCs/>
          <w:color w:val="auto"/>
          <w:sz w:val="24"/>
          <w:highlight w:val="none"/>
        </w:rPr>
      </w:pPr>
      <w:r>
        <w:rPr>
          <w:rFonts w:hint="eastAsia" w:ascii="宋体" w:hAnsi="宋体"/>
          <w:bCs/>
          <w:color w:val="auto"/>
          <w:sz w:val="24"/>
          <w:highlight w:val="none"/>
        </w:rPr>
        <w:t xml:space="preserve">日期：</w:t>
      </w:r>
      <w:r/>
    </w:p>
    <w:p>
      <w:pPr>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br w:type="page" w:clear="all"/>
      </w:r>
      <w:r/>
    </w:p>
    <w:p>
      <w:pPr>
        <w:jc w:val="center"/>
        <w:spacing w:line="400" w:lineRule="exact"/>
        <w:rPr>
          <w:rFonts w:hint="eastAsia" w:ascii="宋体" w:hAnsi="宋体"/>
          <w:bCs/>
          <w:color w:val="auto"/>
          <w:sz w:val="28"/>
          <w:szCs w:val="28"/>
          <w:highlight w:val="none"/>
        </w:rPr>
      </w:pPr>
      <w:r>
        <w:rPr>
          <w:rFonts w:hint="eastAsia" w:ascii="宋体" w:hAnsi="宋体"/>
          <w:bCs/>
          <w:color w:val="auto"/>
          <w:sz w:val="28"/>
          <w:szCs w:val="28"/>
          <w:highlight w:val="none"/>
        </w:rPr>
        <w:t xml:space="preserve">报价明细表（</w:t>
      </w:r>
      <w:r>
        <w:rPr>
          <w:rFonts w:hint="eastAsia" w:ascii="宋体" w:hAnsi="宋体"/>
          <w:bCs/>
          <w:color w:val="auto"/>
          <w:sz w:val="28"/>
          <w:szCs w:val="28"/>
          <w:highlight w:val="none"/>
          <w:lang w:val="en-US" w:eastAsia="zh-CN"/>
        </w:rPr>
        <w:t xml:space="preserve">四</w:t>
      </w:r>
      <w:r>
        <w:rPr>
          <w:rFonts w:hint="eastAsia" w:ascii="宋体" w:hAnsi="宋体"/>
          <w:bCs/>
          <w:color w:val="auto"/>
          <w:sz w:val="28"/>
          <w:szCs w:val="28"/>
          <w:highlight w:val="none"/>
        </w:rPr>
        <w:t xml:space="preserve">标段）</w:t>
      </w:r>
      <w:r/>
    </w:p>
    <w:p>
      <w:pPr>
        <w:ind w:firstLine="840"/>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p>
      <w:pPr>
        <w:spacing w:line="360" w:lineRule="auto"/>
        <w:rPr>
          <w:rFonts w:hint="eastAsia" w:ascii="黑体" w:eastAsia="黑体"/>
          <w:bCs/>
          <w:color w:val="auto"/>
          <w:sz w:val="24"/>
          <w:szCs w:val="24"/>
          <w:highlight w:val="none"/>
          <w:lang w:eastAsia="zh-CN"/>
        </w:rPr>
      </w:pPr>
      <w:r>
        <w:rPr>
          <w:rFonts w:hint="eastAsia" w:ascii="黑体" w:eastAsia="黑体"/>
          <w:bCs/>
          <w:color w:val="auto"/>
          <w:sz w:val="24"/>
          <w:szCs w:val="24"/>
          <w:highlight w:val="none"/>
        </w:rPr>
        <w:t xml:space="preserve">投标人名称（盖章）                 采购项目编号：</w:t>
      </w:r>
      <w:r/>
    </w:p>
    <w:p>
      <w:pPr>
        <w:pStyle w:val="782"/>
        <w:ind w:firstLine="480"/>
        <w:rPr>
          <w:rFonts w:hint="eastAsia" w:ascii="宋体" w:hAnsi="宋体"/>
          <w:color w:val="auto"/>
          <w:sz w:val="24"/>
          <w:highlight w:val="none"/>
        </w:rPr>
      </w:pPr>
      <w:r>
        <w:rPr>
          <w:rFonts w:hint="eastAsia" w:ascii="宋体" w:hAnsi="宋体"/>
          <w:color w:val="auto"/>
          <w:sz w:val="24"/>
          <w:highlight w:val="none"/>
        </w:rPr>
      </w:r>
      <w:r/>
    </w:p>
    <w:p>
      <w:pPr>
        <w:pStyle w:val="782"/>
        <w:ind w:firstLine="0"/>
        <w:rPr>
          <w:rFonts w:hint="eastAsia" w:ascii="宋体" w:hAnsi="宋体"/>
          <w:color w:val="auto"/>
          <w:sz w:val="24"/>
          <w:highlight w:val="none"/>
        </w:rPr>
      </w:pPr>
      <w:r>
        <w:rPr>
          <w:rFonts w:hint="eastAsia" w:ascii="宋体" w:hAnsi="宋体"/>
          <w:color w:val="auto"/>
          <w:sz w:val="24"/>
          <w:highlight w:val="none"/>
        </w:rPr>
      </w:r>
      <w:r/>
    </w:p>
    <w:p>
      <w:pPr>
        <w:pStyle w:val="782"/>
        <w:ind w:firstLine="480"/>
        <w:rPr>
          <w:rFonts w:hint="eastAsia" w:ascii="宋体" w:hAnsi="宋体"/>
          <w:color w:val="auto"/>
          <w:sz w:val="24"/>
          <w:highlight w:val="none"/>
        </w:rPr>
      </w:pPr>
      <w:r>
        <w:rPr>
          <w:rFonts w:hint="eastAsia" w:ascii="宋体" w:hAnsi="宋体"/>
          <w:color w:val="auto"/>
          <w:sz w:val="24"/>
          <w:highlight w:val="none"/>
        </w:rPr>
      </w:r>
      <w:r/>
    </w:p>
    <w:p>
      <w:pPr>
        <w:pStyle w:val="782"/>
        <w:ind w:firstLine="480"/>
        <w:rPr>
          <w:rFonts w:hint="eastAsia" w:ascii="宋体" w:hAnsi="宋体"/>
          <w:color w:val="auto"/>
          <w:sz w:val="24"/>
          <w:highlight w:val="none"/>
        </w:rPr>
      </w:pPr>
      <w:r>
        <w:rPr>
          <w:rFonts w:hint="eastAsia" w:ascii="宋体" w:hAnsi="宋体"/>
          <w:color w:val="auto"/>
          <w:sz w:val="24"/>
          <w:highlight w:val="none"/>
        </w:rPr>
      </w:r>
      <w:r/>
    </w:p>
    <w:p>
      <w:pPr>
        <w:spacing w:line="480" w:lineRule="auto"/>
        <w:rPr>
          <w:rFonts w:hint="eastAsia" w:ascii="宋体" w:hAnsi="宋体"/>
          <w:bCs/>
          <w:color w:val="auto"/>
          <w:sz w:val="24"/>
          <w:highlight w:val="none"/>
        </w:rPr>
      </w:pPr>
      <w:r>
        <w:rPr>
          <w:rFonts w:hint="eastAsia" w:ascii="宋体" w:hAnsi="宋体"/>
          <w:bCs/>
          <w:color w:val="auto"/>
          <w:sz w:val="24"/>
          <w:highlight w:val="none"/>
        </w:rPr>
        <w:t xml:space="preserve">供应商（盖章）：</w:t>
      </w:r>
      <w:r/>
    </w:p>
    <w:p>
      <w:pPr>
        <w:spacing w:line="480" w:lineRule="auto"/>
        <w:rPr>
          <w:rFonts w:hint="eastAsia" w:ascii="宋体" w:hAnsi="宋体"/>
          <w:bCs/>
          <w:color w:val="auto"/>
          <w:sz w:val="24"/>
          <w:highlight w:val="none"/>
        </w:rPr>
      </w:pPr>
      <w:r>
        <w:rPr>
          <w:rFonts w:hint="eastAsia" w:ascii="宋体" w:hAnsi="宋体"/>
          <w:bCs/>
          <w:color w:val="auto"/>
          <w:sz w:val="24"/>
          <w:highlight w:val="none"/>
        </w:rPr>
        <w:t xml:space="preserve">法定代表人或授权代表签字或盖章：</w:t>
      </w:r>
      <w:r/>
    </w:p>
    <w:p>
      <w:pPr>
        <w:rPr>
          <w:rFonts w:hint="eastAsia" w:ascii="宋体" w:hAnsi="宋体"/>
          <w:bCs/>
          <w:color w:val="auto"/>
          <w:sz w:val="24"/>
          <w:highlight w:val="none"/>
        </w:rPr>
      </w:pPr>
      <w:r>
        <w:rPr>
          <w:rFonts w:hint="eastAsia" w:ascii="宋体" w:hAnsi="宋体"/>
          <w:bCs/>
          <w:color w:val="auto"/>
          <w:sz w:val="24"/>
          <w:highlight w:val="none"/>
        </w:rPr>
        <w:t xml:space="preserve">日期：</w:t>
      </w:r>
      <w:r/>
    </w:p>
    <w:p>
      <w:pPr>
        <w:pStyle w:val="779"/>
        <w:rPr>
          <w:rFonts w:hint="eastAsia"/>
          <w:color w:val="auto"/>
          <w:highlight w:val="none"/>
        </w:rPr>
      </w:pPr>
      <w:r>
        <w:rPr>
          <w:rFonts w:hint="eastAsia"/>
          <w:color w:val="auto"/>
          <w:highlight w:val="none"/>
        </w:rPr>
      </w:r>
      <w:r/>
    </w:p>
    <w:p>
      <w:pPr>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br w:type="page" w:clear="all"/>
      </w:r>
      <w:r/>
    </w:p>
    <w:p>
      <w:pPr>
        <w:spacing w:line="480" w:lineRule="auto"/>
        <w:rPr>
          <w:rFonts w:ascii="黑体" w:eastAsia="黑体"/>
          <w:bCs/>
          <w:color w:val="auto"/>
          <w:sz w:val="28"/>
          <w:szCs w:val="28"/>
          <w:highlight w:val="none"/>
        </w:rPr>
      </w:pPr>
      <w:r>
        <w:rPr>
          <w:rFonts w:hint="eastAsia" w:ascii="黑体" w:hAnsi="宋体" w:eastAsia="黑体"/>
          <w:bCs/>
          <w:color w:val="auto"/>
          <w:sz w:val="24"/>
          <w:szCs w:val="24"/>
          <w:highlight w:val="none"/>
        </w:rPr>
        <w:t xml:space="preserve">（九）投标偏离表（格式）：</w:t>
      </w:r>
      <w:r/>
    </w:p>
    <w:p>
      <w:pPr>
        <w:ind w:firstLine="490"/>
        <w:jc w:val="center"/>
        <w:rPr>
          <w:rFonts w:ascii="黑体" w:eastAsia="黑体"/>
          <w:bCs/>
          <w:color w:val="auto"/>
          <w:sz w:val="28"/>
          <w:szCs w:val="28"/>
          <w:highlight w:val="none"/>
        </w:rPr>
      </w:pPr>
      <w:r>
        <w:rPr>
          <w:rFonts w:hint="eastAsia" w:ascii="黑体" w:eastAsia="黑体"/>
          <w:bCs/>
          <w:color w:val="auto"/>
          <w:sz w:val="28"/>
          <w:szCs w:val="28"/>
          <w:highlight w:val="none"/>
        </w:rPr>
        <w:t xml:space="preserve">投标偏离表</w:t>
      </w:r>
      <w:r/>
    </w:p>
    <w:p>
      <w:pPr>
        <w:jc w:val="center"/>
        <w:spacing w:line="400" w:lineRule="exact"/>
        <w:rPr>
          <w:rFonts w:ascii="黑体" w:eastAsia="黑体"/>
          <w:bCs/>
          <w:color w:val="auto"/>
          <w:sz w:val="28"/>
          <w:szCs w:val="28"/>
          <w:highlight w:val="none"/>
        </w:rPr>
      </w:pPr>
      <w:r>
        <w:rPr>
          <w:rFonts w:ascii="黑体" w:eastAsia="黑体"/>
          <w:bCs/>
          <w:color w:val="auto"/>
          <w:sz w:val="28"/>
          <w:szCs w:val="28"/>
          <w:highlight w:val="none"/>
        </w:rPr>
      </w:r>
      <w:r/>
    </w:p>
    <w:p>
      <w:pPr>
        <w:spacing w:line="400" w:lineRule="exact"/>
        <w:rPr>
          <w:rFonts w:hint="eastAsia" w:ascii="黑体" w:eastAsia="黑体"/>
          <w:bCs/>
          <w:color w:val="auto"/>
          <w:sz w:val="24"/>
          <w:szCs w:val="24"/>
          <w:highlight w:val="none"/>
          <w:lang w:eastAsia="zh-CN"/>
        </w:rPr>
      </w:pPr>
      <w:r>
        <w:rPr>
          <w:rFonts w:hint="eastAsia" w:ascii="黑体" w:eastAsia="黑体"/>
          <w:bCs/>
          <w:color w:val="auto"/>
          <w:sz w:val="24"/>
          <w:szCs w:val="24"/>
          <w:highlight w:val="none"/>
        </w:rPr>
        <w:t xml:space="preserve">投标人名称（盖章）    </w:t>
      </w:r>
      <w:r>
        <w:rPr>
          <w:rFonts w:hint="eastAsia" w:ascii="黑体" w:eastAsia="黑体"/>
          <w:bCs/>
          <w:color w:val="auto"/>
          <w:sz w:val="24"/>
          <w:szCs w:val="24"/>
          <w:highlight w:val="none"/>
          <w:lang w:val="en-US" w:eastAsia="zh-CN"/>
        </w:rPr>
        <w:t xml:space="preserve">                                   </w:t>
      </w:r>
      <w:r>
        <w:rPr>
          <w:rFonts w:hint="eastAsia" w:ascii="黑体" w:eastAsia="黑体"/>
          <w:bCs/>
          <w:color w:val="auto"/>
          <w:sz w:val="24"/>
          <w:szCs w:val="24"/>
          <w:highlight w:val="none"/>
        </w:rPr>
        <w:t xml:space="preserve"> 采购项目编号：</w:t>
      </w:r>
      <w:r/>
    </w:p>
    <w:tbl>
      <w:tblPr>
        <w:tblStyle w:val="778"/>
        <w:tblW w:w="0" w:type="auto"/>
        <w:tblInd w:w="-15" w:type="dxa"/>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采购要求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实报内容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偏离说明</w:t>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rPr>
                <w:rFonts w:ascii="宋体"/>
                <w:bCs/>
                <w:color w:val="auto"/>
                <w:highlight w:val="none"/>
              </w:rPr>
            </w:pPr>
            <w:r>
              <w:rPr>
                <w:rFonts w:ascii="宋体"/>
                <w:bCs/>
                <w:color w:val="auto"/>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rPr>
                <w:rFonts w:ascii="宋体"/>
                <w:bCs/>
                <w:color w:val="auto"/>
                <w:highlight w:val="none"/>
              </w:rPr>
            </w:pPr>
            <w:r>
              <w:rPr>
                <w:rFonts w:ascii="宋体"/>
                <w:bCs/>
                <w:color w:val="auto"/>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rPr>
                <w:rFonts w:ascii="宋体"/>
                <w:bCs/>
                <w:color w:val="auto"/>
                <w:highlight w:val="none"/>
              </w:rPr>
            </w:pPr>
            <w:r>
              <w:rPr>
                <w:rFonts w:ascii="宋体"/>
                <w:bCs/>
                <w:color w:val="auto"/>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rPr>
                <w:rFonts w:ascii="宋体"/>
                <w:bCs/>
                <w:color w:val="auto"/>
                <w:highlight w:val="none"/>
              </w:rPr>
            </w:pPr>
            <w:r>
              <w:rPr>
                <w:rFonts w:ascii="宋体"/>
                <w:bCs/>
                <w:color w:val="auto"/>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rPr>
                <w:rFonts w:ascii="宋体"/>
                <w:bCs/>
                <w:color w:val="auto"/>
                <w:highlight w:val="none"/>
              </w:rPr>
            </w:pPr>
            <w:r>
              <w:rPr>
                <w:rFonts w:ascii="宋体"/>
                <w:bCs/>
                <w:color w:val="auto"/>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rPr>
                <w:rFonts w:ascii="宋体"/>
                <w:bCs/>
                <w:color w:val="auto"/>
                <w:highlight w:val="none"/>
              </w:rPr>
            </w:pPr>
            <w:r>
              <w:rPr>
                <w:rFonts w:ascii="宋体"/>
                <w:bCs/>
                <w:color w:val="auto"/>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rPr>
                <w:rFonts w:ascii="宋体"/>
                <w:bCs/>
                <w:color w:val="auto"/>
                <w:highlight w:val="none"/>
              </w:rPr>
            </w:pPr>
            <w:r>
              <w:rPr>
                <w:rFonts w:ascii="宋体"/>
                <w:bCs/>
                <w:color w:val="auto"/>
                <w:highlight w:val="none"/>
              </w:rPr>
            </w:r>
            <w:r/>
          </w:p>
        </w:tc>
      </w:tr>
    </w:tbl>
    <w:p>
      <w:pPr>
        <w:rPr>
          <w:rFonts w:ascii="宋体"/>
          <w:b/>
          <w:color w:val="auto"/>
          <w:sz w:val="24"/>
          <w:szCs w:val="24"/>
          <w:highlight w:val="none"/>
        </w:rPr>
      </w:pPr>
      <w:r>
        <w:rPr>
          <w:rFonts w:ascii="宋体"/>
          <w:b/>
          <w:color w:val="auto"/>
          <w:sz w:val="24"/>
          <w:szCs w:val="24"/>
          <w:highlight w:val="none"/>
        </w:rPr>
      </w:r>
      <w:r/>
    </w:p>
    <w:p>
      <w:pPr>
        <w:rPr>
          <w:b/>
          <w:bCs/>
          <w:color w:val="auto"/>
          <w:sz w:val="24"/>
          <w:szCs w:val="24"/>
          <w:highlight w:val="none"/>
        </w:rPr>
      </w:pPr>
      <w:r>
        <w:rPr>
          <w:rFonts w:hint="eastAsia"/>
          <w:b/>
          <w:bCs/>
          <w:color w:val="auto"/>
          <w:sz w:val="24"/>
          <w:szCs w:val="24"/>
          <w:highlight w:val="none"/>
        </w:rPr>
        <w:t xml:space="preserve">法定代表人或法定代表人授权代表签字或盖章：</w:t>
      </w:r>
      <w:r/>
    </w:p>
    <w:p>
      <w:pPr>
        <w:rPr>
          <w:rFonts w:ascii="宋体"/>
          <w:bCs/>
          <w:color w:val="auto"/>
          <w:sz w:val="30"/>
          <w:highlight w:val="none"/>
        </w:rPr>
      </w:pPr>
      <w:r>
        <w:rPr>
          <w:rFonts w:ascii="宋体"/>
          <w:bCs/>
          <w:color w:val="auto"/>
          <w:sz w:val="30"/>
          <w:highlight w:val="none"/>
        </w:rPr>
      </w:r>
      <w:r/>
    </w:p>
    <w:p>
      <w:pPr>
        <w:rPr>
          <w:rFonts w:hint="eastAsia" w:ascii="宋体" w:hAnsi="宋体"/>
          <w:bCs/>
          <w:color w:val="auto"/>
          <w:sz w:val="24"/>
          <w:szCs w:val="24"/>
          <w:highlight w:val="none"/>
        </w:rPr>
      </w:pPr>
      <w:r>
        <w:rPr>
          <w:rFonts w:hint="eastAsia" w:ascii="宋体" w:hAnsi="宋体"/>
          <w:bCs/>
          <w:color w:val="auto"/>
          <w:sz w:val="24"/>
          <w:szCs w:val="24"/>
          <w:highlight w:val="none"/>
        </w:rPr>
        <w:t xml:space="preserve">注：（</w:t>
      </w:r>
      <w:r>
        <w:rPr>
          <w:rFonts w:ascii="宋体" w:hAnsi="宋体"/>
          <w:bCs/>
          <w:color w:val="auto"/>
          <w:sz w:val="24"/>
          <w:szCs w:val="24"/>
          <w:highlight w:val="none"/>
        </w:rPr>
        <w:t xml:space="preserve">1</w:t>
      </w:r>
      <w:r>
        <w:rPr>
          <w:rFonts w:hint="eastAsia" w:ascii="宋体" w:hAnsi="宋体"/>
          <w:bCs/>
          <w:color w:val="auto"/>
          <w:sz w:val="24"/>
          <w:szCs w:val="24"/>
          <w:highlight w:val="none"/>
        </w:rPr>
        <w:t xml:space="preserve">）本表不得删除；</w:t>
      </w:r>
      <w:r/>
    </w:p>
    <w:p>
      <w:pPr>
        <w:rPr>
          <w:rFonts w:hint="eastAsia" w:ascii="宋体" w:hAnsi="宋体"/>
          <w:bCs/>
          <w:color w:val="auto"/>
          <w:sz w:val="24"/>
          <w:szCs w:val="24"/>
          <w:highlight w:val="none"/>
        </w:rPr>
      </w:pP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2</w:t>
      </w:r>
      <w:r>
        <w:rPr>
          <w:rFonts w:hint="eastAsia" w:ascii="宋体" w:hAnsi="宋体"/>
          <w:bCs/>
          <w:color w:val="auto"/>
          <w:sz w:val="24"/>
          <w:szCs w:val="24"/>
          <w:highlight w:val="none"/>
        </w:rPr>
        <w:t xml:space="preserve">）如无任何服务偏离，请于本表“偏离说明”中注明“无偏离”；</w:t>
      </w:r>
      <w:r/>
    </w:p>
    <w:p>
      <w:pPr>
        <w:rPr>
          <w:rFonts w:ascii="宋体"/>
          <w:bCs/>
          <w:color w:val="auto"/>
          <w:sz w:val="24"/>
          <w:szCs w:val="24"/>
          <w:highlight w:val="none"/>
        </w:rPr>
      </w:pPr>
      <w:r>
        <w:rPr>
          <w:rFonts w:hint="eastAsia" w:ascii="宋体" w:hAnsi="宋体"/>
          <w:bCs/>
          <w:color w:val="auto"/>
          <w:sz w:val="24"/>
          <w:szCs w:val="24"/>
          <w:highlight w:val="none"/>
        </w:rPr>
        <w:t xml:space="preserve">   （3）如有服务偏离项，请于本表中列明偏离内容，如需要可自行延长，其余无偏离内容</w:t>
      </w:r>
      <w:r>
        <w:rPr>
          <w:rFonts w:hint="eastAsia" w:ascii="宋体" w:hAnsi="宋体"/>
          <w:bCs/>
          <w:color w:val="auto"/>
          <w:sz w:val="24"/>
          <w:szCs w:val="24"/>
          <w:highlight w:val="none"/>
          <w:lang w:eastAsia="zh-CN"/>
        </w:rPr>
        <w:t xml:space="preserve">无需</w:t>
      </w:r>
      <w:r>
        <w:rPr>
          <w:rFonts w:hint="eastAsia" w:ascii="宋体" w:hAnsi="宋体"/>
          <w:bCs/>
          <w:color w:val="auto"/>
          <w:sz w:val="24"/>
          <w:szCs w:val="24"/>
          <w:highlight w:val="none"/>
        </w:rPr>
        <w:t xml:space="preserve">赘述。</w:t>
      </w:r>
      <w:r/>
    </w:p>
    <w:p>
      <w:pPr>
        <w:ind w:firstLine="420"/>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20"/>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jc w:val="left"/>
        <w:rPr>
          <w:rFonts w:hint="eastAsia" w:ascii="黑体" w:hAnsi="宋体" w:eastAsia="黑体"/>
          <w:bCs/>
          <w:color w:val="auto"/>
          <w:sz w:val="24"/>
          <w:szCs w:val="24"/>
          <w:highlight w:val="none"/>
        </w:rPr>
      </w:pPr>
      <w:r>
        <w:rPr>
          <w:rFonts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 xml:space="preserve">（十）项目管理机构配备情况表（格式）</w:t>
      </w:r>
      <w:r/>
    </w:p>
    <w:p>
      <w:pPr>
        <w:jc w:val="center"/>
        <w:rPr>
          <w:rFonts w:hint="eastAsia" w:ascii="宋体" w:hAnsi="宋体"/>
          <w:bCs/>
          <w:color w:val="auto"/>
          <w:sz w:val="24"/>
          <w:szCs w:val="24"/>
          <w:highlight w:val="none"/>
        </w:rPr>
      </w:pPr>
      <w:r>
        <w:rPr>
          <w:rFonts w:hint="eastAsia" w:ascii="宋体" w:hAnsi="宋体"/>
          <w:bCs/>
          <w:color w:val="auto"/>
          <w:sz w:val="24"/>
          <w:szCs w:val="24"/>
          <w:highlight w:val="none"/>
        </w:rPr>
      </w:r>
      <w:r/>
    </w:p>
    <w:p>
      <w:pPr>
        <w:jc w:val="center"/>
        <w:rPr>
          <w:rFonts w:hint="eastAsia" w:ascii="宋体" w:hAnsi="宋体"/>
          <w:bCs/>
          <w:color w:val="auto"/>
          <w:sz w:val="24"/>
          <w:szCs w:val="24"/>
          <w:highlight w:val="none"/>
        </w:rPr>
      </w:pPr>
      <w:r>
        <w:rPr>
          <w:rFonts w:hint="eastAsia" w:ascii="宋体" w:hAnsi="宋体"/>
          <w:bCs/>
          <w:color w:val="auto"/>
          <w:sz w:val="24"/>
          <w:szCs w:val="24"/>
          <w:highlight w:val="none"/>
        </w:rPr>
        <w:t xml:space="preserve">项目管理机构配备情况表</w:t>
      </w:r>
      <w:r/>
    </w:p>
    <w:p>
      <w:pPr>
        <w:pStyle w:val="813"/>
        <w:ind w:firstLine="210"/>
        <w:rPr>
          <w:rFonts w:hint="eastAsia" w:ascii="宋体" w:hAnsi="宋体" w:cs="宋体"/>
          <w:color w:val="auto"/>
          <w:highlight w:val="none"/>
        </w:rPr>
      </w:pPr>
      <w:r>
        <w:rPr>
          <w:rFonts w:hint="eastAsia" w:ascii="宋体" w:hAnsi="宋体" w:cs="宋体"/>
          <w:color w:val="auto"/>
          <w:highlight w:val="none"/>
        </w:rPr>
      </w:r>
      <w:r/>
    </w:p>
    <w:p>
      <w:pPr>
        <w:spacing w:line="360" w:lineRule="auto"/>
        <w:rPr>
          <w:rFonts w:hint="eastAsia" w:ascii="宋体" w:hAnsi="宋体" w:cs="宋体"/>
          <w:bCs/>
          <w:color w:val="auto"/>
          <w:szCs w:val="21"/>
          <w:highlight w:val="none"/>
        </w:rPr>
      </w:pPr>
      <w:r>
        <w:rPr>
          <w:rFonts w:hint="eastAsia" w:ascii="宋体" w:hAnsi="宋体" w:cs="宋体"/>
          <w:bCs/>
          <w:color w:val="auto"/>
          <w:sz w:val="24"/>
          <w:szCs w:val="24"/>
          <w:highlight w:val="none"/>
        </w:rPr>
        <w:t xml:space="preserve">供应商名称（盖章）                                       项目编号： </w:t>
      </w:r>
      <w:r/>
    </w:p>
    <w:tbl>
      <w:tblPr>
        <w:tblStyle w:val="778"/>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1"/>
        <w:gridCol w:w="1047"/>
        <w:gridCol w:w="730"/>
        <w:gridCol w:w="709"/>
        <w:gridCol w:w="1477"/>
        <w:gridCol w:w="1236"/>
        <w:gridCol w:w="1236"/>
        <w:gridCol w:w="1857"/>
        <w:gridCol w:w="932"/>
      </w:tblGrid>
      <w:tr>
        <w:trPr>
          <w:trHeight w:val="607"/>
        </w:trPr>
        <w:tc>
          <w:tcPr>
            <w:tcW w:w="741" w:type="dxa"/>
            <w:vAlign w:val="center"/>
            <w:textDirection w:val="lrTb"/>
            <w:noWrap/>
          </w:tcPr>
          <w:p>
            <w:pPr>
              <w:jc w:val="center"/>
              <w:spacing w:line="300" w:lineRule="exact"/>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序号</w:t>
            </w:r>
            <w:r/>
          </w:p>
        </w:tc>
        <w:tc>
          <w:tcPr>
            <w:tcW w:w="1047" w:type="dxa"/>
            <w:vAlign w:val="center"/>
            <w:textDirection w:val="lrTb"/>
            <w:noWrap/>
          </w:tcPr>
          <w:p>
            <w:pPr>
              <w:jc w:val="center"/>
              <w:spacing w:line="300" w:lineRule="exact"/>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姓名</w:t>
            </w:r>
            <w:r/>
          </w:p>
        </w:tc>
        <w:tc>
          <w:tcPr>
            <w:tcW w:w="730" w:type="dxa"/>
            <w:vAlign w:val="center"/>
            <w:textDirection w:val="lrTb"/>
            <w:noWrap/>
          </w:tcPr>
          <w:p>
            <w:pPr>
              <w:jc w:val="center"/>
              <w:spacing w:line="300" w:lineRule="exact"/>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性别</w:t>
            </w:r>
            <w:r/>
          </w:p>
        </w:tc>
        <w:tc>
          <w:tcPr>
            <w:tcW w:w="709" w:type="dxa"/>
            <w:vAlign w:val="center"/>
            <w:textDirection w:val="lrTb"/>
            <w:noWrap/>
          </w:tcPr>
          <w:p>
            <w:pPr>
              <w:jc w:val="center"/>
              <w:spacing w:line="300" w:lineRule="exact"/>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年龄</w:t>
            </w:r>
            <w:r/>
          </w:p>
        </w:tc>
        <w:tc>
          <w:tcPr>
            <w:tcW w:w="1477" w:type="dxa"/>
            <w:vAlign w:val="center"/>
            <w:textDirection w:val="lrTb"/>
            <w:noWrap/>
          </w:tcPr>
          <w:p>
            <w:pPr>
              <w:jc w:val="center"/>
              <w:spacing w:line="300" w:lineRule="exact"/>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岗位名称</w:t>
            </w:r>
            <w:r/>
          </w:p>
        </w:tc>
        <w:tc>
          <w:tcPr>
            <w:tcW w:w="1236" w:type="dxa"/>
            <w:vAlign w:val="center"/>
            <w:textDirection w:val="lrTb"/>
            <w:noWrap/>
          </w:tcPr>
          <w:p>
            <w:pPr>
              <w:jc w:val="center"/>
              <w:spacing w:line="300" w:lineRule="exact"/>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学历</w:t>
            </w:r>
            <w:r/>
          </w:p>
        </w:tc>
        <w:tc>
          <w:tcPr>
            <w:tcW w:w="1236" w:type="dxa"/>
            <w:vAlign w:val="center"/>
            <w:textDirection w:val="lrTb"/>
            <w:noWrap/>
          </w:tcPr>
          <w:p>
            <w:pPr>
              <w:jc w:val="center"/>
              <w:spacing w:line="300" w:lineRule="exact"/>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职称</w:t>
            </w:r>
            <w:r/>
          </w:p>
        </w:tc>
        <w:tc>
          <w:tcPr>
            <w:tcW w:w="1857" w:type="dxa"/>
            <w:vAlign w:val="center"/>
            <w:textDirection w:val="lrTb"/>
            <w:noWrap/>
          </w:tcPr>
          <w:p>
            <w:pPr>
              <w:jc w:val="center"/>
              <w:spacing w:line="300" w:lineRule="exact"/>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主要资历、经验及承担过的项目</w:t>
            </w:r>
            <w:r/>
          </w:p>
        </w:tc>
        <w:tc>
          <w:tcPr>
            <w:tcW w:w="932" w:type="dxa"/>
            <w:vAlign w:val="center"/>
            <w:textDirection w:val="lrTb"/>
            <w:noWrap/>
          </w:tcPr>
          <w:p>
            <w:pPr>
              <w:jc w:val="center"/>
              <w:spacing w:line="300" w:lineRule="exact"/>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备注</w:t>
            </w:r>
            <w:r/>
          </w:p>
        </w:tc>
      </w:tr>
      <w:tr>
        <w:trPr>
          <w:trHeight w:val="521"/>
        </w:trPr>
        <w:tc>
          <w:tcPr>
            <w:tcW w:w="741"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W w:w="1047"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730"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709"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477"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236"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236"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857"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932"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457"/>
        </w:trPr>
        <w:tc>
          <w:tcPr>
            <w:tcW w:w="741"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W w:w="1047"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730"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709"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477"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236"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236"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857"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932"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463"/>
        </w:trPr>
        <w:tc>
          <w:tcPr>
            <w:tcW w:w="741"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p>
        </w:tc>
        <w:tc>
          <w:tcPr>
            <w:tcW w:w="1047"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730"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709"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477"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236"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236"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857"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932"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441"/>
        </w:trPr>
        <w:tc>
          <w:tcPr>
            <w:tcW w:w="741"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w:t>
            </w:r>
            <w:r/>
          </w:p>
        </w:tc>
        <w:tc>
          <w:tcPr>
            <w:tcW w:w="1047"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730"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709"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477"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236"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236"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857"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932"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503"/>
        </w:trPr>
        <w:tc>
          <w:tcPr>
            <w:tcW w:w="741"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w:t>
            </w:r>
            <w:r/>
          </w:p>
        </w:tc>
        <w:tc>
          <w:tcPr>
            <w:tcW w:w="1047"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730"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709"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477"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236"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236"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857"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932"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495"/>
        </w:trPr>
        <w:tc>
          <w:tcPr>
            <w:tcW w:w="741"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w:t>
            </w:r>
            <w:r/>
          </w:p>
        </w:tc>
        <w:tc>
          <w:tcPr>
            <w:tcW w:w="1047"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730"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709"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477"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236"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236"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857"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932"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495"/>
        </w:trPr>
        <w:tc>
          <w:tcPr>
            <w:tcW w:w="741"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w:t>
            </w:r>
            <w:r/>
          </w:p>
        </w:tc>
        <w:tc>
          <w:tcPr>
            <w:tcW w:w="1047"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730"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709"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477"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236"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236"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857"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932"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465"/>
        </w:trPr>
        <w:tc>
          <w:tcPr>
            <w:tcW w:w="741"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w:t>
            </w:r>
            <w:r/>
          </w:p>
        </w:tc>
        <w:tc>
          <w:tcPr>
            <w:tcW w:w="1047"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730"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709"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477"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236"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236"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857"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932"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450"/>
        </w:trPr>
        <w:tc>
          <w:tcPr>
            <w:tcW w:w="741"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9</w:t>
            </w:r>
            <w:r/>
          </w:p>
        </w:tc>
        <w:tc>
          <w:tcPr>
            <w:tcW w:w="1047"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730"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709"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477"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236"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236"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857"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932"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447"/>
        </w:trPr>
        <w:tc>
          <w:tcPr>
            <w:tcW w:w="741"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10</w:t>
            </w:r>
            <w:r/>
          </w:p>
        </w:tc>
        <w:tc>
          <w:tcPr>
            <w:tcW w:w="1047"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730"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709"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477"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236"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236"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857"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932"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cantSplit/>
          <w:trHeight w:val="630"/>
        </w:trPr>
        <w:tc>
          <w:tcPr>
            <w:tcW w:w="741"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W w:w="1047"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730"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709"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477"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236"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236"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857"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932"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bl>
    <w:p>
      <w:pPr>
        <w:spacing w:line="480" w:lineRule="auto"/>
        <w:rPr>
          <w:rFonts w:hint="eastAsia" w:ascii="宋体" w:hAnsi="宋体"/>
          <w:bCs/>
          <w:color w:val="auto"/>
          <w:sz w:val="24"/>
          <w:highlight w:val="none"/>
        </w:rPr>
      </w:pPr>
      <w:r>
        <w:rPr>
          <w:rFonts w:hint="eastAsia" w:ascii="宋体" w:hAnsi="宋体"/>
          <w:bCs/>
          <w:color w:val="auto"/>
          <w:sz w:val="24"/>
          <w:highlight w:val="none"/>
        </w:rPr>
        <w:t xml:space="preserve">法定代表人或法定代表人授权代表签字或盖章：</w:t>
      </w:r>
      <w:r/>
    </w:p>
    <w:p>
      <w:pPr>
        <w:spacing w:line="480" w:lineRule="auto"/>
        <w:rPr>
          <w:rFonts w:hint="eastAsia" w:ascii="宋体" w:hAnsi="宋体"/>
          <w:bCs/>
          <w:color w:val="auto"/>
          <w:sz w:val="24"/>
          <w:highlight w:val="none"/>
        </w:rPr>
      </w:pPr>
      <w:r>
        <w:rPr>
          <w:rFonts w:hint="eastAsia" w:ascii="宋体" w:hAnsi="宋体"/>
          <w:bCs/>
          <w:color w:val="auto"/>
          <w:sz w:val="24"/>
          <w:highlight w:val="none"/>
        </w:rPr>
      </w:r>
      <w:r/>
    </w:p>
    <w:p>
      <w:pPr>
        <w:spacing w:line="480" w:lineRule="auto"/>
        <w:rPr>
          <w:rFonts w:hint="eastAsia" w:ascii="宋体" w:hAnsi="宋体"/>
          <w:bCs/>
          <w:color w:val="auto"/>
          <w:szCs w:val="21"/>
          <w:highlight w:val="none"/>
        </w:rPr>
      </w:pPr>
      <w:r>
        <w:rPr>
          <w:rFonts w:hint="eastAsia" w:ascii="宋体" w:hAnsi="宋体"/>
          <w:bCs/>
          <w:color w:val="auto"/>
          <w:szCs w:val="21"/>
          <w:highlight w:val="none"/>
        </w:rPr>
        <w:t xml:space="preserve">注：上表可自行延长。</w:t>
      </w:r>
      <w:r/>
    </w:p>
    <w:p>
      <w:pPr>
        <w:jc w:val="left"/>
        <w:spacing w:line="460" w:lineRule="exact"/>
        <w:rPr>
          <w:rFonts w:hint="eastAsia" w:ascii="黑体" w:hAnsi="宋体" w:eastAsia="黑体"/>
          <w:bCs/>
          <w:color w:val="auto"/>
          <w:sz w:val="24"/>
          <w:szCs w:val="24"/>
          <w:highlight w:val="none"/>
        </w:rPr>
      </w:pPr>
      <w:r>
        <w:rPr>
          <w:rFonts w:ascii="宋体" w:hAnsi="宋体"/>
          <w:bCs/>
          <w:color w:val="auto"/>
          <w:szCs w:val="21"/>
          <w:highlight w:val="none"/>
        </w:rPr>
        <w:br w:type="page" w:clear="all"/>
      </w:r>
      <w:r>
        <w:rPr>
          <w:rFonts w:hint="eastAsia" w:ascii="黑体" w:hAnsi="宋体" w:eastAsia="黑体"/>
          <w:bCs/>
          <w:color w:val="auto"/>
          <w:sz w:val="24"/>
          <w:szCs w:val="24"/>
          <w:highlight w:val="none"/>
        </w:rPr>
        <w:t xml:space="preserve">（十一）项目负责人简历表（格式）</w:t>
      </w:r>
      <w:r/>
    </w:p>
    <w:p>
      <w:pPr>
        <w:jc w:val="center"/>
        <w:rPr>
          <w:rFonts w:ascii="黑体" w:eastAsia="黑体"/>
          <w:bCs/>
          <w:color w:val="auto"/>
          <w:sz w:val="28"/>
          <w:szCs w:val="28"/>
          <w:highlight w:val="none"/>
        </w:rPr>
      </w:pPr>
      <w:r>
        <w:rPr>
          <w:rFonts w:hint="eastAsia" w:ascii="黑体" w:eastAsia="黑体"/>
          <w:bCs/>
          <w:color w:val="auto"/>
          <w:sz w:val="28"/>
          <w:szCs w:val="28"/>
          <w:highlight w:val="none"/>
        </w:rPr>
        <w:t xml:space="preserve">项目负责人简历表</w:t>
      </w:r>
      <w:r/>
    </w:p>
    <w:p>
      <w:pPr>
        <w:pStyle w:val="1053"/>
        <w:rPr>
          <w:rFonts w:hint="eastAsia" w:ascii="黑体" w:eastAsia="黑体"/>
          <w:bCs w:val="0"/>
          <w:color w:val="auto"/>
          <w:highlight w:val="none"/>
        </w:rPr>
      </w:pPr>
      <w:r>
        <w:rPr>
          <w:rFonts w:hint="eastAsia" w:ascii="黑体" w:eastAsia="黑体"/>
          <w:bCs w:val="0"/>
          <w:color w:val="auto"/>
          <w:highlight w:val="none"/>
        </w:rPr>
      </w:r>
      <w:r/>
    </w:p>
    <w:p>
      <w:pPr>
        <w:pStyle w:val="1053"/>
        <w:rPr>
          <w:rFonts w:hint="eastAsia" w:ascii="黑体" w:eastAsia="黑体"/>
          <w:bCs w:val="0"/>
          <w:color w:val="auto"/>
          <w:highlight w:val="none"/>
        </w:rPr>
      </w:pPr>
      <w:r>
        <w:rPr>
          <w:rFonts w:hint="eastAsia" w:ascii="黑体" w:eastAsia="黑体"/>
          <w:bCs w:val="0"/>
          <w:color w:val="auto"/>
          <w:highlight w:val="none"/>
          <w:lang w:eastAsia="zh-CN"/>
        </w:rPr>
        <w:t xml:space="preserve">投标人</w:t>
      </w:r>
      <w:r>
        <w:rPr>
          <w:rFonts w:hint="eastAsia" w:ascii="黑体" w:eastAsia="黑体"/>
          <w:bCs w:val="0"/>
          <w:color w:val="auto"/>
          <w:highlight w:val="none"/>
        </w:rPr>
        <w:t xml:space="preserve">名称（盖章）                             采购项目编号： </w:t>
      </w:r>
      <w:r/>
    </w:p>
    <w:tbl>
      <w:tblPr>
        <w:tblStyle w:val="77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775"/>
        <w:gridCol w:w="1851"/>
        <w:gridCol w:w="2394"/>
        <w:gridCol w:w="1083"/>
        <w:gridCol w:w="1254"/>
        <w:gridCol w:w="2358"/>
      </w:tblGrid>
      <w:tr>
        <w:trPr>
          <w:cantSplit/>
          <w:jc w:val="center"/>
          <w:trHeight w:val="594"/>
        </w:trPr>
        <w:tc>
          <w:tcPr>
            <w:tcW w:w="775" w:type="dxa"/>
            <w:vAlign w:val="center"/>
            <w:textDirection w:val="lrTb"/>
            <w:noWrap/>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1</w:t>
            </w:r>
            <w:r/>
          </w:p>
        </w:tc>
        <w:tc>
          <w:tcPr>
            <w:tcW w:w="1851" w:type="dxa"/>
            <w:vAlign w:val="center"/>
            <w:textDirection w:val="lrTb"/>
            <w:noWrap/>
          </w:tcPr>
          <w:p>
            <w:pPr>
              <w:pStyle w:val="782"/>
              <w:ind w:firstLine="0"/>
              <w:jc w:val="center"/>
              <w:rPr>
                <w:rFonts w:hint="eastAsia" w:ascii="宋体" w:hAnsi="宋体" w:cs="宋体"/>
                <w:color w:val="auto"/>
                <w:sz w:val="24"/>
                <w:highlight w:val="none"/>
              </w:rPr>
            </w:pPr>
            <w:r>
              <w:rPr>
                <w:rFonts w:hint="eastAsia" w:ascii="宋体" w:hAnsi="宋体" w:cs="宋体"/>
                <w:color w:val="auto"/>
                <w:sz w:val="24"/>
                <w:highlight w:val="none"/>
              </w:rPr>
              <w:t xml:space="preserve">姓名</w:t>
            </w:r>
            <w:r/>
          </w:p>
        </w:tc>
        <w:tc>
          <w:tcPr>
            <w:tcW w:w="2394" w:type="dxa"/>
            <w:vAlign w:val="center"/>
            <w:textDirection w:val="lrTb"/>
            <w:noWrap/>
          </w:tcPr>
          <w:p>
            <w:pPr>
              <w:pStyle w:val="782"/>
              <w:ind w:firstLine="480"/>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083" w:type="dxa"/>
            <w:vAlign w:val="center"/>
            <w:textDirection w:val="lrTb"/>
            <w:noWrap/>
          </w:tcPr>
          <w:p>
            <w:pPr>
              <w:pStyle w:val="782"/>
              <w:ind w:firstLine="0"/>
              <w:jc w:val="center"/>
              <w:rPr>
                <w:rFonts w:hint="eastAsia" w:ascii="宋体" w:hAnsi="宋体" w:cs="宋体"/>
                <w:color w:val="auto"/>
                <w:sz w:val="24"/>
                <w:highlight w:val="none"/>
              </w:rPr>
            </w:pPr>
            <w:r>
              <w:rPr>
                <w:rFonts w:hint="eastAsia" w:ascii="宋体" w:hAnsi="宋体" w:cs="宋体"/>
                <w:color w:val="auto"/>
                <w:sz w:val="24"/>
                <w:highlight w:val="none"/>
              </w:rPr>
              <w:t xml:space="preserve">性别</w:t>
            </w:r>
            <w:r/>
          </w:p>
        </w:tc>
        <w:tc>
          <w:tcPr>
            <w:gridSpan w:val="2"/>
            <w:tcW w:w="3612" w:type="dxa"/>
            <w:vAlign w:val="center"/>
            <w:textDirection w:val="lrTb"/>
            <w:noWrap/>
          </w:tcPr>
          <w:p>
            <w:pPr>
              <w:pStyle w:val="782"/>
              <w:ind w:firstLine="480"/>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645"/>
        </w:trPr>
        <w:tc>
          <w:tcPr>
            <w:tcW w:w="775" w:type="dxa"/>
            <w:vAlign w:val="center"/>
            <w:textDirection w:val="lrTb"/>
            <w:noWrap/>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2</w:t>
            </w:r>
            <w:r/>
          </w:p>
        </w:tc>
        <w:tc>
          <w:tcPr>
            <w:tcW w:w="1851" w:type="dxa"/>
            <w:vAlign w:val="center"/>
            <w:textDirection w:val="lrTb"/>
            <w:noWrap/>
          </w:tcPr>
          <w:p>
            <w:pPr>
              <w:pStyle w:val="782"/>
              <w:ind w:firstLine="0"/>
              <w:jc w:val="center"/>
              <w:rPr>
                <w:rFonts w:hint="eastAsia" w:ascii="宋体" w:hAnsi="宋体" w:cs="宋体"/>
                <w:color w:val="auto"/>
                <w:sz w:val="24"/>
                <w:highlight w:val="none"/>
              </w:rPr>
            </w:pPr>
            <w:r>
              <w:rPr>
                <w:rFonts w:hint="eastAsia" w:ascii="宋体" w:hAnsi="宋体" w:cs="宋体"/>
                <w:color w:val="auto"/>
                <w:sz w:val="24"/>
                <w:highlight w:val="none"/>
              </w:rPr>
              <w:t xml:space="preserve">身份证号码</w:t>
            </w:r>
            <w:r/>
          </w:p>
        </w:tc>
        <w:tc>
          <w:tcPr>
            <w:gridSpan w:val="2"/>
            <w:tcW w:w="3477" w:type="dxa"/>
            <w:vAlign w:val="center"/>
            <w:textDirection w:val="lrTb"/>
            <w:noWrap/>
          </w:tcPr>
          <w:p>
            <w:pPr>
              <w:pStyle w:val="782"/>
              <w:ind w:firstLine="480"/>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254" w:type="dxa"/>
            <w:vAlign w:val="center"/>
            <w:textDirection w:val="lrTb"/>
            <w:noWrap/>
          </w:tcPr>
          <w:p>
            <w:pPr>
              <w:pStyle w:val="782"/>
              <w:ind w:firstLine="0"/>
              <w:jc w:val="center"/>
              <w:rPr>
                <w:rFonts w:hint="eastAsia" w:ascii="宋体" w:hAnsi="宋体" w:cs="宋体"/>
                <w:color w:val="auto"/>
                <w:sz w:val="24"/>
                <w:highlight w:val="none"/>
              </w:rPr>
            </w:pPr>
            <w:r>
              <w:rPr>
                <w:rFonts w:hint="eastAsia" w:ascii="宋体" w:hAnsi="宋体" w:cs="宋体"/>
                <w:color w:val="auto"/>
                <w:sz w:val="24"/>
                <w:highlight w:val="none"/>
              </w:rPr>
              <w:t xml:space="preserve">出生年月</w:t>
            </w:r>
            <w:r/>
          </w:p>
        </w:tc>
        <w:tc>
          <w:tcPr>
            <w:tcW w:w="2358" w:type="dxa"/>
            <w:vAlign w:val="center"/>
            <w:textDirection w:val="lrTb"/>
            <w:noWrap/>
          </w:tcPr>
          <w:p>
            <w:pPr>
              <w:pStyle w:val="782"/>
              <w:ind w:firstLine="480"/>
              <w:jc w:val="center"/>
              <w:rPr>
                <w:rFonts w:hint="eastAsia" w:ascii="宋体" w:hAnsi="宋体" w:cs="宋体"/>
                <w:color w:val="auto"/>
                <w:sz w:val="24"/>
                <w:highlight w:val="none"/>
              </w:rPr>
            </w:pPr>
            <w:r>
              <w:rPr>
                <w:rFonts w:hint="eastAsia" w:ascii="宋体" w:hAnsi="宋体" w:cs="宋体"/>
                <w:color w:val="auto"/>
                <w:sz w:val="24"/>
                <w:highlight w:val="none"/>
              </w:rPr>
              <w:t xml:space="preserve">年     月</w:t>
            </w:r>
            <w:r/>
          </w:p>
        </w:tc>
      </w:tr>
      <w:tr>
        <w:trPr>
          <w:cantSplit/>
          <w:jc w:val="center"/>
          <w:trHeight w:val="645"/>
        </w:trPr>
        <w:tc>
          <w:tcPr>
            <w:tcW w:w="775" w:type="dxa"/>
            <w:vAlign w:val="center"/>
            <w:textDirection w:val="lrTb"/>
            <w:noWrap/>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3</w:t>
            </w:r>
            <w:r/>
          </w:p>
        </w:tc>
        <w:tc>
          <w:tcPr>
            <w:gridSpan w:val="5"/>
            <w:tcW w:w="8940" w:type="dxa"/>
            <w:vAlign w:val="center"/>
            <w:textDirection w:val="lrTb"/>
            <w:noWrap/>
          </w:tcPr>
          <w:p>
            <w:pPr>
              <w:pStyle w:val="782"/>
              <w:ind w:firstLine="480"/>
              <w:jc w:val="center"/>
              <w:rPr>
                <w:rFonts w:hint="eastAsia" w:ascii="宋体" w:hAnsi="宋体" w:cs="宋体"/>
                <w:color w:val="auto"/>
                <w:sz w:val="24"/>
                <w:highlight w:val="none"/>
              </w:rPr>
            </w:pPr>
            <w:r>
              <w:rPr>
                <w:rFonts w:hint="eastAsia" w:ascii="宋体" w:hAnsi="宋体" w:cs="宋体"/>
                <w:color w:val="auto"/>
                <w:sz w:val="24"/>
                <w:highlight w:val="none"/>
              </w:rPr>
              <w:t xml:space="preserve">联系电话/传真：</w:t>
            </w:r>
            <w:r/>
          </w:p>
        </w:tc>
      </w:tr>
      <w:tr>
        <w:trPr>
          <w:cantSplit/>
          <w:jc w:val="center"/>
          <w:trHeight w:val="1964"/>
        </w:trPr>
        <w:tc>
          <w:tcPr>
            <w:tcW w:w="775" w:type="dxa"/>
            <w:vAlign w:val="center"/>
            <w:textDirection w:val="lrTb"/>
            <w:noWrap/>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4</w:t>
            </w:r>
            <w:r/>
          </w:p>
        </w:tc>
        <w:tc>
          <w:tcPr>
            <w:gridSpan w:val="5"/>
            <w:tcW w:w="8940" w:type="dxa"/>
            <w:textDirection w:val="lrTb"/>
            <w:noWrap/>
          </w:tcPr>
          <w:p>
            <w:pPr>
              <w:pStyle w:val="782"/>
              <w:ind w:firstLine="480"/>
              <w:jc w:val="left"/>
              <w:rPr>
                <w:rFonts w:hint="eastAsia" w:ascii="宋体" w:hAnsi="宋体" w:cs="宋体"/>
                <w:color w:val="auto"/>
                <w:sz w:val="24"/>
                <w:highlight w:val="none"/>
              </w:rPr>
            </w:pPr>
            <w:r>
              <w:rPr>
                <w:rFonts w:hint="eastAsia" w:ascii="宋体" w:hAnsi="宋体" w:cs="宋体"/>
                <w:color w:val="auto"/>
                <w:sz w:val="24"/>
                <w:highlight w:val="none"/>
              </w:rPr>
              <w:t xml:space="preserve">从事本项工作时间及工作经历：</w:t>
            </w:r>
            <w:r/>
          </w:p>
        </w:tc>
      </w:tr>
      <w:tr>
        <w:trPr>
          <w:cantSplit/>
          <w:jc w:val="center"/>
          <w:trHeight w:val="625"/>
        </w:trPr>
        <w:tc>
          <w:tcPr>
            <w:tcW w:w="775" w:type="dxa"/>
            <w:vAlign w:val="center"/>
            <w:textDirection w:val="lrTb"/>
            <w:noWrap/>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5</w:t>
            </w:r>
            <w:r/>
          </w:p>
        </w:tc>
        <w:tc>
          <w:tcPr>
            <w:gridSpan w:val="5"/>
            <w:tcW w:w="8940" w:type="dxa"/>
            <w:vAlign w:val="center"/>
            <w:textDirection w:val="lrTb"/>
            <w:noWrap/>
          </w:tcPr>
          <w:p>
            <w:pPr>
              <w:pStyle w:val="782"/>
              <w:ind w:firstLine="480"/>
              <w:jc w:val="left"/>
              <w:rPr>
                <w:rFonts w:hint="eastAsia" w:ascii="宋体" w:hAnsi="宋体" w:cs="宋体"/>
                <w:color w:val="auto"/>
                <w:sz w:val="24"/>
                <w:highlight w:val="none"/>
              </w:rPr>
            </w:pPr>
            <w:r>
              <w:rPr>
                <w:rFonts w:hint="eastAsia" w:ascii="宋体" w:hAnsi="宋体" w:cs="宋体"/>
                <w:color w:val="auto"/>
                <w:sz w:val="24"/>
                <w:highlight w:val="none"/>
              </w:rPr>
              <w:t xml:space="preserve">拥有关于本项服务方面的职称：</w:t>
            </w:r>
            <w:r/>
          </w:p>
        </w:tc>
      </w:tr>
      <w:tr>
        <w:trPr>
          <w:cantSplit/>
          <w:jc w:val="center"/>
          <w:trHeight w:val="641"/>
        </w:trPr>
        <w:tc>
          <w:tcPr>
            <w:tcW w:w="775" w:type="dxa"/>
            <w:vAlign w:val="center"/>
            <w:textDirection w:val="lrTb"/>
            <w:noWrap/>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6</w:t>
            </w:r>
            <w:r/>
          </w:p>
        </w:tc>
        <w:tc>
          <w:tcPr>
            <w:gridSpan w:val="5"/>
            <w:tcW w:w="8940" w:type="dxa"/>
            <w:vAlign w:val="center"/>
            <w:textDirection w:val="lrTb"/>
            <w:noWrap/>
          </w:tcPr>
          <w:p>
            <w:pPr>
              <w:pStyle w:val="782"/>
              <w:ind w:firstLine="480"/>
              <w:jc w:val="left"/>
              <w:rPr>
                <w:rFonts w:hint="eastAsia" w:ascii="宋体" w:hAnsi="宋体" w:cs="宋体"/>
                <w:color w:val="auto"/>
                <w:sz w:val="24"/>
                <w:highlight w:val="none"/>
              </w:rPr>
            </w:pPr>
            <w:r>
              <w:rPr>
                <w:rFonts w:hint="eastAsia" w:ascii="宋体" w:hAnsi="宋体" w:cs="宋体"/>
                <w:color w:val="auto"/>
                <w:sz w:val="24"/>
                <w:highlight w:val="none"/>
              </w:rPr>
              <w:t xml:space="preserve">曾获得的关于本项服务方面的奖励情况：</w:t>
            </w:r>
            <w:r/>
          </w:p>
        </w:tc>
      </w:tr>
      <w:tr>
        <w:trPr>
          <w:cantSplit/>
          <w:jc w:val="center"/>
          <w:trHeight w:val="1708"/>
        </w:trPr>
        <w:tc>
          <w:tcPr>
            <w:tcW w:w="775" w:type="dxa"/>
            <w:vAlign w:val="center"/>
            <w:textDirection w:val="lrTb"/>
            <w:noWrap/>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7</w:t>
            </w:r>
            <w:r/>
          </w:p>
        </w:tc>
        <w:tc>
          <w:tcPr>
            <w:gridSpan w:val="5"/>
            <w:tcW w:w="8940" w:type="dxa"/>
            <w:textDirection w:val="lrTb"/>
            <w:noWrap/>
          </w:tcPr>
          <w:p>
            <w:pPr>
              <w:pStyle w:val="782"/>
              <w:ind w:firstLine="480"/>
              <w:jc w:val="left"/>
              <w:rPr>
                <w:rFonts w:hint="eastAsia" w:ascii="宋体" w:hAnsi="宋体" w:cs="宋体"/>
                <w:color w:val="auto"/>
                <w:sz w:val="24"/>
                <w:highlight w:val="none"/>
              </w:rPr>
            </w:pPr>
            <w:r>
              <w:rPr>
                <w:rFonts w:hint="eastAsia" w:ascii="宋体" w:hAnsi="宋体" w:cs="宋体"/>
                <w:color w:val="auto"/>
                <w:sz w:val="24"/>
                <w:highlight w:val="none"/>
              </w:rPr>
              <w:t xml:space="preserve">近5年内负责的服务项目：</w:t>
            </w:r>
            <w:r/>
          </w:p>
        </w:tc>
      </w:tr>
      <w:tr>
        <w:trPr>
          <w:cantSplit/>
          <w:jc w:val="center"/>
          <w:trHeight w:val="607"/>
        </w:trPr>
        <w:tc>
          <w:tcPr>
            <w:tcW w:w="775" w:type="dxa"/>
            <w:vAlign w:val="center"/>
            <w:textDirection w:val="lrTb"/>
            <w:noWrap/>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8</w:t>
            </w:r>
            <w:r/>
          </w:p>
        </w:tc>
        <w:tc>
          <w:tcPr>
            <w:gridSpan w:val="5"/>
            <w:tcW w:w="8940" w:type="dxa"/>
            <w:vAlign w:val="center"/>
            <w:textDirection w:val="lrTb"/>
            <w:noWrap/>
          </w:tcPr>
          <w:p>
            <w:pPr>
              <w:pStyle w:val="782"/>
              <w:ind w:firstLine="480"/>
              <w:jc w:val="left"/>
              <w:rPr>
                <w:rFonts w:hint="eastAsia" w:ascii="宋体" w:hAnsi="宋体" w:cs="宋体"/>
                <w:color w:val="auto"/>
                <w:sz w:val="24"/>
                <w:highlight w:val="none"/>
              </w:rPr>
            </w:pPr>
            <w:r>
              <w:rPr>
                <w:rFonts w:hint="eastAsia" w:ascii="宋体" w:hAnsi="宋体" w:cs="宋体"/>
                <w:color w:val="auto"/>
                <w:sz w:val="24"/>
                <w:highlight w:val="none"/>
              </w:rPr>
              <w:t xml:space="preserve">其他需要说明的情况</w:t>
            </w:r>
            <w:r/>
          </w:p>
        </w:tc>
      </w:tr>
    </w:tbl>
    <w:p>
      <w:pPr>
        <w:ind w:firstLine="312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r>
      <w:r/>
    </w:p>
    <w:p>
      <w:pPr>
        <w:ind w:firstLine="3600"/>
        <w:spacing w:line="360" w:lineRule="auto"/>
        <w:rPr>
          <w:rFonts w:hint="eastAsia" w:ascii="宋体" w:hAnsi="宋体" w:cs="宋体"/>
          <w:bCs/>
          <w:color w:val="auto"/>
          <w:szCs w:val="21"/>
          <w:highlight w:val="none"/>
        </w:rPr>
      </w:pPr>
      <w:r>
        <w:rPr>
          <w:rFonts w:hint="eastAsia" w:ascii="宋体" w:hAnsi="宋体" w:cs="宋体"/>
          <w:b/>
          <w:bCs/>
          <w:color w:val="auto"/>
          <w:sz w:val="24"/>
          <w:highlight w:val="none"/>
        </w:rPr>
        <w:t xml:space="preserve">法定代表人或法定代表人授权代表签字或盖章：</w:t>
      </w:r>
      <w:r/>
    </w:p>
    <w:p>
      <w:pPr>
        <w:ind w:firstLine="240"/>
        <w:spacing w:line="360" w:lineRule="auto"/>
        <w:rPr>
          <w:rFonts w:hint="eastAsia" w:ascii="宋体" w:hAnsi="宋体" w:cs="宋体"/>
          <w:color w:val="auto"/>
          <w:sz w:val="24"/>
          <w:highlight w:val="none"/>
          <w:lang w:val="zh-CN"/>
        </w:rPr>
      </w:pPr>
      <w:r>
        <w:rPr>
          <w:rFonts w:hint="eastAsia" w:ascii="宋体" w:hAnsi="宋体" w:cs="宋体"/>
          <w:bCs/>
          <w:color w:val="auto"/>
          <w:sz w:val="24"/>
          <w:highlight w:val="none"/>
        </w:rPr>
        <w:t xml:space="preserve">注：请附身份证、相关资格证明（如有）扫描件。</w:t>
      </w:r>
      <w:r/>
    </w:p>
    <w:p>
      <w:pPr>
        <w:jc w:val="left"/>
        <w:spacing w:line="460" w:lineRule="exact"/>
        <w:rPr>
          <w:rFonts w:hint="eastAsia" w:ascii="黑体" w:hAnsi="宋体" w:eastAsia="黑体"/>
          <w:bCs/>
          <w:color w:val="auto"/>
          <w:sz w:val="24"/>
          <w:highlight w:val="none"/>
        </w:rPr>
      </w:pPr>
      <w:r>
        <w:rPr>
          <w:rFonts w:hint="eastAsia"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 xml:space="preserve">（十二）投标人基本情况声明</w:t>
      </w:r>
      <w:r/>
    </w:p>
    <w:p>
      <w:pPr>
        <w:jc w:val="center"/>
        <w:spacing w:line="460" w:lineRule="exact"/>
        <w:rPr>
          <w:rFonts w:hint="eastAsia" w:ascii="宋体" w:hAnsi="宋体"/>
          <w:color w:val="auto"/>
          <w:sz w:val="24"/>
          <w:highlight w:val="none"/>
        </w:rPr>
      </w:pPr>
      <w:r>
        <w:rPr>
          <w:rFonts w:hint="eastAsia" w:ascii="宋体" w:hAnsi="宋体"/>
          <w:color w:val="auto"/>
          <w:sz w:val="24"/>
          <w:highlight w:val="none"/>
        </w:rPr>
        <w:t xml:space="preserve">（内容写不完的栏目可相应扩展）</w:t>
      </w:r>
      <w:r/>
    </w:p>
    <w:p>
      <w:pPr>
        <w:pStyle w:val="782"/>
        <w:ind w:firstLine="480"/>
        <w:rPr>
          <w:rFonts w:hint="eastAsia" w:ascii="宋体" w:hAnsi="宋体"/>
          <w:color w:val="auto"/>
          <w:sz w:val="24"/>
          <w:highlight w:val="none"/>
        </w:rPr>
      </w:pPr>
      <w:r>
        <w:rPr>
          <w:rFonts w:hint="eastAsia" w:ascii="宋体" w:hAnsi="宋体"/>
          <w:color w:val="auto"/>
          <w:sz w:val="24"/>
          <w:highlight w:val="none"/>
        </w:rPr>
        <w:t xml:space="preserve">投标人情况表1</w:t>
      </w:r>
      <w:r/>
    </w:p>
    <w:p>
      <w:pPr>
        <w:pStyle w:val="782"/>
        <w:ind w:firstLine="480"/>
        <w:rPr>
          <w:rFonts w:hint="eastAsia" w:ascii="宋体" w:hAnsi="宋体"/>
          <w:color w:val="auto"/>
          <w:sz w:val="24"/>
          <w:highlight w:val="none"/>
        </w:rPr>
      </w:pPr>
      <w:r>
        <w:rPr>
          <w:rFonts w:hint="eastAsia" w:ascii="宋体" w:hAnsi="宋体"/>
          <w:color w:val="auto"/>
          <w:sz w:val="24"/>
          <w:highlight w:val="none"/>
        </w:rPr>
        <w:t xml:space="preserve">单位名称（盖章）</w:t>
      </w:r>
      <w:r/>
    </w:p>
    <w:tbl>
      <w:tblPr>
        <w:tblStyle w:val="77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510"/>
        <w:gridCol w:w="2110"/>
        <w:gridCol w:w="149"/>
        <w:gridCol w:w="1757"/>
        <w:gridCol w:w="2601"/>
      </w:tblGrid>
      <w:tr>
        <w:trPr/>
        <w:tc>
          <w:tcPr>
            <w:tcW w:w="2510" w:type="dxa"/>
            <w:textDirection w:val="lrTb"/>
            <w:noWrap/>
          </w:tcPr>
          <w:p>
            <w:pPr>
              <w:pStyle w:val="782"/>
              <w:ind w:firstLine="0"/>
              <w:spacing w:line="400" w:lineRule="exact"/>
              <w:rPr>
                <w:rFonts w:hint="eastAsia" w:ascii="宋体" w:hAnsi="宋体"/>
                <w:color w:val="auto"/>
                <w:sz w:val="24"/>
                <w:highlight w:val="none"/>
              </w:rPr>
            </w:pPr>
            <w:r>
              <w:rPr>
                <w:rFonts w:hint="eastAsia" w:ascii="宋体" w:hAnsi="宋体"/>
                <w:color w:val="auto"/>
                <w:sz w:val="24"/>
                <w:highlight w:val="none"/>
              </w:rPr>
              <w:t xml:space="preserve">法定代表人</w:t>
            </w:r>
            <w:r/>
          </w:p>
        </w:tc>
        <w:tc>
          <w:tcPr>
            <w:gridSpan w:val="2"/>
            <w:tcW w:w="2259" w:type="dxa"/>
            <w:textDirection w:val="lrTb"/>
            <w:noWrap/>
          </w:tcPr>
          <w:p>
            <w:pPr>
              <w:pStyle w:val="782"/>
              <w:ind w:firstLine="0"/>
              <w:spacing w:line="400" w:lineRule="exact"/>
              <w:rPr>
                <w:rFonts w:hint="eastAsia" w:ascii="宋体" w:hAnsi="宋体"/>
                <w:color w:val="auto"/>
                <w:sz w:val="24"/>
                <w:highlight w:val="none"/>
              </w:rPr>
            </w:pPr>
            <w:r>
              <w:rPr>
                <w:rFonts w:hint="eastAsia" w:ascii="宋体" w:hAnsi="宋体"/>
                <w:color w:val="auto"/>
                <w:sz w:val="24"/>
                <w:highlight w:val="none"/>
              </w:rPr>
            </w:r>
            <w:r/>
          </w:p>
        </w:tc>
        <w:tc>
          <w:tcPr>
            <w:tcW w:w="1757" w:type="dxa"/>
            <w:textDirection w:val="lrTb"/>
            <w:noWrap/>
          </w:tcPr>
          <w:p>
            <w:pPr>
              <w:pStyle w:val="782"/>
              <w:ind w:firstLine="0"/>
              <w:spacing w:line="400" w:lineRule="exact"/>
              <w:rPr>
                <w:rFonts w:hint="eastAsia" w:ascii="宋体" w:hAnsi="宋体"/>
                <w:color w:val="auto"/>
                <w:sz w:val="24"/>
                <w:highlight w:val="none"/>
              </w:rPr>
            </w:pPr>
            <w:r>
              <w:rPr>
                <w:rFonts w:hint="eastAsia" w:ascii="宋体" w:hAnsi="宋体"/>
                <w:color w:val="auto"/>
                <w:sz w:val="24"/>
                <w:highlight w:val="none"/>
              </w:rPr>
              <w:t xml:space="preserve">成立日期</w:t>
            </w:r>
            <w:r/>
          </w:p>
        </w:tc>
        <w:tc>
          <w:tcPr>
            <w:tcW w:w="2601" w:type="dxa"/>
            <w:textDirection w:val="lrTb"/>
            <w:noWrap/>
          </w:tcPr>
          <w:p>
            <w:pPr>
              <w:pStyle w:val="782"/>
              <w:ind w:firstLine="0"/>
              <w:spacing w:line="400" w:lineRule="exact"/>
              <w:rPr>
                <w:rFonts w:hint="eastAsia" w:ascii="宋体" w:hAnsi="宋体"/>
                <w:color w:val="auto"/>
                <w:sz w:val="24"/>
                <w:highlight w:val="none"/>
              </w:rPr>
            </w:pPr>
            <w:r>
              <w:rPr>
                <w:rFonts w:hint="eastAsia" w:ascii="宋体" w:hAnsi="宋体"/>
                <w:color w:val="auto"/>
                <w:sz w:val="24"/>
                <w:highlight w:val="none"/>
              </w:rPr>
            </w:r>
            <w:r/>
          </w:p>
        </w:tc>
      </w:tr>
      <w:tr>
        <w:trPr/>
        <w:tc>
          <w:tcPr>
            <w:tcW w:w="2510" w:type="dxa"/>
            <w:textDirection w:val="lrTb"/>
            <w:noWrap/>
          </w:tcPr>
          <w:p>
            <w:pPr>
              <w:pStyle w:val="782"/>
              <w:ind w:firstLine="0"/>
              <w:spacing w:line="400" w:lineRule="exact"/>
              <w:rPr>
                <w:rFonts w:hint="eastAsia" w:ascii="宋体" w:hAnsi="宋体"/>
                <w:color w:val="auto"/>
                <w:sz w:val="24"/>
                <w:highlight w:val="none"/>
              </w:rPr>
            </w:pPr>
            <w:r>
              <w:rPr>
                <w:rFonts w:hint="eastAsia" w:ascii="宋体" w:hAnsi="宋体"/>
                <w:color w:val="auto"/>
                <w:sz w:val="24"/>
                <w:highlight w:val="none"/>
              </w:rPr>
              <w:t xml:space="preserve">企业地址</w:t>
            </w:r>
            <w:r/>
          </w:p>
        </w:tc>
        <w:tc>
          <w:tcPr>
            <w:gridSpan w:val="2"/>
            <w:tcW w:w="2259" w:type="dxa"/>
            <w:textDirection w:val="lrTb"/>
            <w:noWrap/>
          </w:tcPr>
          <w:p>
            <w:pPr>
              <w:pStyle w:val="782"/>
              <w:ind w:firstLine="0"/>
              <w:spacing w:line="400" w:lineRule="exact"/>
              <w:rPr>
                <w:rFonts w:hint="eastAsia" w:ascii="宋体" w:hAnsi="宋体"/>
                <w:color w:val="auto"/>
                <w:sz w:val="24"/>
                <w:highlight w:val="none"/>
              </w:rPr>
            </w:pPr>
            <w:r>
              <w:rPr>
                <w:rFonts w:hint="eastAsia" w:ascii="宋体" w:hAnsi="宋体"/>
                <w:color w:val="auto"/>
                <w:sz w:val="24"/>
                <w:highlight w:val="none"/>
              </w:rPr>
            </w:r>
            <w:r/>
          </w:p>
        </w:tc>
        <w:tc>
          <w:tcPr>
            <w:tcW w:w="1757" w:type="dxa"/>
            <w:textDirection w:val="lrTb"/>
            <w:noWrap/>
          </w:tcPr>
          <w:p>
            <w:pPr>
              <w:pStyle w:val="782"/>
              <w:ind w:firstLine="0"/>
              <w:spacing w:line="400" w:lineRule="exact"/>
              <w:rPr>
                <w:rFonts w:hint="eastAsia" w:ascii="宋体" w:hAnsi="宋体"/>
                <w:color w:val="auto"/>
                <w:sz w:val="24"/>
                <w:highlight w:val="none"/>
              </w:rPr>
            </w:pPr>
            <w:r>
              <w:rPr>
                <w:rFonts w:hint="eastAsia" w:ascii="宋体" w:hAnsi="宋体"/>
                <w:color w:val="auto"/>
                <w:sz w:val="24"/>
                <w:highlight w:val="none"/>
              </w:rPr>
              <w:t xml:space="preserve">注册资本</w:t>
            </w:r>
            <w:r/>
          </w:p>
        </w:tc>
        <w:tc>
          <w:tcPr>
            <w:tcW w:w="2601" w:type="dxa"/>
            <w:textDirection w:val="lrTb"/>
            <w:noWrap/>
          </w:tcPr>
          <w:p>
            <w:pPr>
              <w:pStyle w:val="782"/>
              <w:ind w:firstLine="0"/>
              <w:spacing w:line="400" w:lineRule="exact"/>
              <w:rPr>
                <w:rFonts w:hint="eastAsia" w:ascii="宋体" w:hAnsi="宋体"/>
                <w:color w:val="auto"/>
                <w:sz w:val="24"/>
                <w:highlight w:val="none"/>
              </w:rPr>
            </w:pPr>
            <w:r>
              <w:rPr>
                <w:rFonts w:hint="eastAsia" w:ascii="宋体" w:hAnsi="宋体"/>
                <w:color w:val="auto"/>
                <w:sz w:val="24"/>
                <w:highlight w:val="none"/>
              </w:rPr>
              <w:t xml:space="preserve">万元</w:t>
            </w:r>
            <w:r/>
          </w:p>
        </w:tc>
      </w:tr>
      <w:tr>
        <w:trPr/>
        <w:tc>
          <w:tcPr>
            <w:tcW w:w="2510" w:type="dxa"/>
            <w:textDirection w:val="lrTb"/>
            <w:noWrap/>
          </w:tcPr>
          <w:p>
            <w:pPr>
              <w:pStyle w:val="782"/>
              <w:ind w:firstLine="0"/>
              <w:spacing w:line="400" w:lineRule="exact"/>
              <w:rPr>
                <w:rFonts w:hint="eastAsia" w:ascii="宋体" w:hAnsi="宋体"/>
                <w:color w:val="auto"/>
                <w:sz w:val="24"/>
                <w:highlight w:val="none"/>
              </w:rPr>
            </w:pPr>
            <w:r>
              <w:rPr>
                <w:rFonts w:hint="eastAsia" w:ascii="宋体" w:hAnsi="宋体"/>
                <w:color w:val="auto"/>
                <w:sz w:val="24"/>
                <w:highlight w:val="none"/>
              </w:rPr>
              <w:t xml:space="preserve">经营范围</w:t>
            </w:r>
            <w:r/>
          </w:p>
        </w:tc>
        <w:tc>
          <w:tcPr>
            <w:gridSpan w:val="4"/>
            <w:tcW w:w="6617" w:type="dxa"/>
            <w:textDirection w:val="lrTb"/>
            <w:noWrap/>
          </w:tcPr>
          <w:p>
            <w:pPr>
              <w:pStyle w:val="782"/>
              <w:ind w:firstLine="0"/>
              <w:spacing w:line="400" w:lineRule="exact"/>
              <w:rPr>
                <w:rFonts w:hint="eastAsia" w:ascii="宋体" w:hAnsi="宋体"/>
                <w:color w:val="auto"/>
                <w:sz w:val="24"/>
                <w:highlight w:val="none"/>
              </w:rPr>
            </w:pPr>
            <w:r>
              <w:rPr>
                <w:rFonts w:hint="eastAsia" w:ascii="宋体" w:hAnsi="宋体"/>
                <w:color w:val="auto"/>
                <w:sz w:val="24"/>
                <w:highlight w:val="none"/>
              </w:rPr>
            </w:r>
            <w:r/>
          </w:p>
        </w:tc>
      </w:tr>
      <w:tr>
        <w:trPr/>
        <w:tc>
          <w:tcPr>
            <w:tcW w:w="2510" w:type="dxa"/>
            <w:textDirection w:val="lrTb"/>
            <w:noWrap/>
          </w:tcPr>
          <w:p>
            <w:pPr>
              <w:pStyle w:val="782"/>
              <w:ind w:firstLine="0"/>
              <w:spacing w:line="400" w:lineRule="exact"/>
              <w:rPr>
                <w:rFonts w:hint="eastAsia" w:ascii="宋体" w:hAnsi="宋体"/>
                <w:color w:val="auto"/>
                <w:sz w:val="24"/>
                <w:highlight w:val="none"/>
              </w:rPr>
            </w:pPr>
            <w:r>
              <w:rPr>
                <w:rFonts w:hint="eastAsia" w:ascii="宋体" w:hAnsi="宋体"/>
                <w:color w:val="auto"/>
                <w:sz w:val="24"/>
                <w:highlight w:val="none"/>
              </w:rPr>
              <w:t xml:space="preserve">职工人数</w:t>
            </w:r>
            <w:r/>
          </w:p>
        </w:tc>
        <w:tc>
          <w:tcPr>
            <w:tcW w:w="2110" w:type="dxa"/>
            <w:textDirection w:val="lrTb"/>
            <w:noWrap/>
          </w:tcPr>
          <w:p>
            <w:pPr>
              <w:pStyle w:val="782"/>
              <w:ind w:firstLine="0"/>
              <w:spacing w:line="400" w:lineRule="exact"/>
              <w:rPr>
                <w:rFonts w:hint="eastAsia" w:ascii="宋体" w:hAnsi="宋体"/>
                <w:color w:val="auto"/>
                <w:sz w:val="24"/>
                <w:highlight w:val="none"/>
              </w:rPr>
            </w:pPr>
            <w:r>
              <w:rPr>
                <w:rFonts w:hint="eastAsia" w:ascii="宋体" w:hAnsi="宋体"/>
                <w:color w:val="auto"/>
                <w:sz w:val="24"/>
                <w:highlight w:val="none"/>
              </w:rPr>
            </w:r>
            <w:r/>
          </w:p>
        </w:tc>
        <w:tc>
          <w:tcPr>
            <w:gridSpan w:val="3"/>
            <w:tcW w:w="4507" w:type="dxa"/>
            <w:textDirection w:val="lrTb"/>
            <w:noWrap/>
          </w:tcPr>
          <w:p>
            <w:pPr>
              <w:pStyle w:val="782"/>
              <w:ind w:firstLine="0"/>
              <w:spacing w:line="400" w:lineRule="exact"/>
              <w:rPr>
                <w:rFonts w:hint="eastAsia" w:ascii="宋体" w:hAnsi="宋体"/>
                <w:color w:val="auto"/>
                <w:sz w:val="24"/>
                <w:highlight w:val="none"/>
              </w:rPr>
            </w:pPr>
            <w:r>
              <w:rPr>
                <w:rFonts w:hint="eastAsia" w:ascii="宋体" w:hAnsi="宋体"/>
                <w:color w:val="auto"/>
                <w:sz w:val="24"/>
                <w:highlight w:val="none"/>
              </w:rPr>
              <w:t xml:space="preserve">其中：</w:t>
            </w:r>
            <w:r/>
          </w:p>
          <w:p>
            <w:pPr>
              <w:pStyle w:val="782"/>
              <w:ind w:left="478" w:firstLine="0"/>
              <w:spacing w:line="400" w:lineRule="exact"/>
              <w:rPr>
                <w:rFonts w:hint="eastAsia" w:ascii="宋体" w:hAnsi="宋体"/>
                <w:color w:val="auto"/>
                <w:sz w:val="24"/>
                <w:highlight w:val="none"/>
              </w:rPr>
            </w:pPr>
            <w:r>
              <w:rPr>
                <w:rFonts w:hint="eastAsia" w:ascii="宋体" w:hAnsi="宋体"/>
                <w:color w:val="auto"/>
                <w:sz w:val="24"/>
                <w:highlight w:val="none"/>
              </w:rPr>
              <w:t xml:space="preserve">中级职称人数、</w:t>
            </w:r>
            <w:r/>
          </w:p>
          <w:p>
            <w:pPr>
              <w:pStyle w:val="782"/>
              <w:ind w:left="478" w:firstLine="0"/>
              <w:spacing w:line="400" w:lineRule="exact"/>
              <w:rPr>
                <w:rFonts w:hint="eastAsia" w:ascii="宋体" w:hAnsi="宋体"/>
                <w:color w:val="auto"/>
                <w:sz w:val="24"/>
                <w:highlight w:val="none"/>
              </w:rPr>
            </w:pPr>
            <w:r>
              <w:rPr>
                <w:rFonts w:hint="eastAsia" w:ascii="宋体" w:hAnsi="宋体"/>
                <w:color w:val="auto"/>
                <w:sz w:val="24"/>
                <w:highlight w:val="none"/>
              </w:rPr>
              <w:t xml:space="preserve">高级职称人数</w:t>
            </w:r>
            <w:r/>
          </w:p>
        </w:tc>
      </w:tr>
      <w:tr>
        <w:trPr>
          <w:trHeight w:val="566"/>
        </w:trPr>
        <w:tc>
          <w:tcPr>
            <w:tcW w:w="2510" w:type="dxa"/>
            <w:textDirection w:val="lrTb"/>
            <w:noWrap/>
          </w:tcPr>
          <w:p>
            <w:pPr>
              <w:pStyle w:val="782"/>
              <w:ind w:firstLine="0"/>
              <w:spacing w:line="400" w:lineRule="exact"/>
              <w:rPr>
                <w:rFonts w:hint="eastAsia" w:ascii="宋体" w:hAnsi="宋体"/>
                <w:color w:val="auto"/>
                <w:sz w:val="24"/>
                <w:highlight w:val="none"/>
              </w:rPr>
            </w:pPr>
            <w:r>
              <w:rPr>
                <w:rFonts w:hint="eastAsia" w:ascii="宋体" w:hAnsi="宋体"/>
                <w:color w:val="auto"/>
                <w:sz w:val="24"/>
                <w:highlight w:val="none"/>
              </w:rPr>
              <w:t xml:space="preserve">202</w:t>
            </w:r>
            <w:r>
              <w:rPr>
                <w:rFonts w:hint="eastAsia" w:ascii="宋体" w:hAnsi="宋体"/>
                <w:color w:val="auto"/>
                <w:sz w:val="24"/>
                <w:highlight w:val="none"/>
                <w:lang w:val="en-US" w:eastAsia="zh-CN"/>
              </w:rPr>
              <w:t xml:space="preserve">5</w:t>
            </w:r>
            <w:r>
              <w:rPr>
                <w:rFonts w:hint="eastAsia" w:ascii="宋体" w:hAnsi="宋体"/>
                <w:color w:val="auto"/>
                <w:sz w:val="24"/>
                <w:highlight w:val="none"/>
              </w:rPr>
              <w:t xml:space="preserve">年12月资产总额</w:t>
            </w:r>
            <w:r/>
          </w:p>
        </w:tc>
        <w:tc>
          <w:tcPr>
            <w:tcW w:w="2110" w:type="dxa"/>
            <w:textDirection w:val="lrTb"/>
            <w:noWrap/>
          </w:tcPr>
          <w:p>
            <w:pPr>
              <w:pStyle w:val="782"/>
              <w:ind w:firstLine="0"/>
              <w:spacing w:line="400" w:lineRule="exact"/>
              <w:rPr>
                <w:rFonts w:hint="eastAsia" w:ascii="宋体" w:hAnsi="宋体"/>
                <w:color w:val="auto"/>
                <w:sz w:val="24"/>
                <w:highlight w:val="none"/>
              </w:rPr>
            </w:pPr>
            <w:r>
              <w:rPr>
                <w:rFonts w:hint="eastAsia" w:ascii="宋体" w:hAnsi="宋体"/>
                <w:color w:val="auto"/>
                <w:sz w:val="24"/>
                <w:highlight w:val="none"/>
              </w:rPr>
              <w:t xml:space="preserve">  万元</w:t>
            </w:r>
            <w:r/>
          </w:p>
        </w:tc>
        <w:tc>
          <w:tcPr>
            <w:gridSpan w:val="2"/>
            <w:tcW w:w="1906" w:type="dxa"/>
            <w:textDirection w:val="lrTb"/>
            <w:noWrap/>
          </w:tcPr>
          <w:p>
            <w:pPr>
              <w:pStyle w:val="782"/>
              <w:ind w:firstLine="0"/>
              <w:spacing w:line="400" w:lineRule="exact"/>
              <w:rPr>
                <w:rFonts w:hint="eastAsia" w:ascii="宋体" w:hAnsi="宋体"/>
                <w:color w:val="auto"/>
                <w:sz w:val="24"/>
                <w:highlight w:val="none"/>
              </w:rPr>
            </w:pPr>
            <w:r>
              <w:rPr>
                <w:rFonts w:hint="eastAsia" w:ascii="宋体" w:hAnsi="宋体"/>
                <w:color w:val="auto"/>
                <w:sz w:val="24"/>
                <w:highlight w:val="none"/>
              </w:rPr>
              <w:t xml:space="preserve">净资产</w:t>
            </w:r>
            <w:r/>
          </w:p>
        </w:tc>
        <w:tc>
          <w:tcPr>
            <w:tcW w:w="2601" w:type="dxa"/>
            <w:textDirection w:val="lrTb"/>
            <w:noWrap/>
          </w:tcPr>
          <w:p>
            <w:pPr>
              <w:pStyle w:val="782"/>
              <w:ind w:firstLine="0"/>
              <w:spacing w:line="400" w:lineRule="exact"/>
              <w:rPr>
                <w:rFonts w:hint="eastAsia" w:ascii="宋体" w:hAnsi="宋体"/>
                <w:color w:val="auto"/>
                <w:sz w:val="24"/>
                <w:highlight w:val="none"/>
              </w:rPr>
            </w:pPr>
            <w:r>
              <w:rPr>
                <w:rFonts w:hint="eastAsia" w:ascii="宋体" w:hAnsi="宋体"/>
                <w:color w:val="auto"/>
                <w:sz w:val="24"/>
                <w:highlight w:val="none"/>
              </w:rPr>
              <w:t xml:space="preserve">万元</w:t>
            </w:r>
            <w:r/>
          </w:p>
        </w:tc>
      </w:tr>
      <w:tr>
        <w:trPr/>
        <w:tc>
          <w:tcPr>
            <w:tcW w:w="2510" w:type="dxa"/>
            <w:textDirection w:val="lrTb"/>
            <w:noWrap/>
          </w:tcPr>
          <w:p>
            <w:pPr>
              <w:pStyle w:val="782"/>
              <w:ind w:firstLine="0"/>
              <w:spacing w:line="400" w:lineRule="exact"/>
              <w:rPr>
                <w:rFonts w:hint="eastAsia" w:ascii="宋体" w:hAnsi="宋体"/>
                <w:color w:val="auto"/>
                <w:sz w:val="24"/>
                <w:highlight w:val="none"/>
              </w:rPr>
            </w:pPr>
            <w:r>
              <w:rPr>
                <w:rFonts w:hint="eastAsia" w:ascii="宋体" w:hAnsi="宋体"/>
                <w:color w:val="auto"/>
                <w:sz w:val="24"/>
                <w:highlight w:val="none"/>
              </w:rPr>
              <w:t xml:space="preserve">202</w:t>
            </w:r>
            <w:r>
              <w:rPr>
                <w:rFonts w:hint="eastAsia" w:ascii="宋体" w:hAnsi="宋体"/>
                <w:color w:val="auto"/>
                <w:sz w:val="24"/>
                <w:highlight w:val="none"/>
                <w:lang w:val="en-US" w:eastAsia="zh-CN"/>
              </w:rPr>
              <w:t xml:space="preserve">5</w:t>
            </w:r>
            <w:r>
              <w:rPr>
                <w:rFonts w:hint="eastAsia" w:ascii="宋体" w:hAnsi="宋体"/>
                <w:color w:val="auto"/>
                <w:sz w:val="24"/>
                <w:highlight w:val="none"/>
              </w:rPr>
              <w:t xml:space="preserve">年12月股东权益</w:t>
            </w:r>
            <w:r/>
          </w:p>
        </w:tc>
        <w:tc>
          <w:tcPr>
            <w:tcW w:w="2110" w:type="dxa"/>
            <w:textDirection w:val="lrTb"/>
            <w:noWrap/>
          </w:tcPr>
          <w:p>
            <w:pPr>
              <w:pStyle w:val="782"/>
              <w:ind w:firstLine="0"/>
              <w:spacing w:line="400" w:lineRule="exact"/>
              <w:rPr>
                <w:rFonts w:hint="eastAsia" w:ascii="宋体" w:hAnsi="宋体"/>
                <w:color w:val="auto"/>
                <w:sz w:val="24"/>
                <w:highlight w:val="none"/>
              </w:rPr>
            </w:pPr>
            <w:r>
              <w:rPr>
                <w:rFonts w:hint="eastAsia" w:ascii="宋体" w:hAnsi="宋体"/>
                <w:color w:val="auto"/>
                <w:sz w:val="24"/>
                <w:highlight w:val="none"/>
              </w:rPr>
              <w:t xml:space="preserve"> 万元</w:t>
            </w:r>
            <w:r/>
          </w:p>
        </w:tc>
        <w:tc>
          <w:tcPr>
            <w:gridSpan w:val="2"/>
            <w:tcW w:w="1906" w:type="dxa"/>
            <w:textDirection w:val="lrTb"/>
            <w:noWrap/>
          </w:tcPr>
          <w:p>
            <w:pPr>
              <w:pStyle w:val="782"/>
              <w:ind w:firstLine="0"/>
              <w:spacing w:line="400" w:lineRule="exact"/>
              <w:rPr>
                <w:rFonts w:hint="eastAsia" w:ascii="宋体" w:hAnsi="宋体"/>
                <w:color w:val="auto"/>
                <w:sz w:val="24"/>
                <w:highlight w:val="none"/>
              </w:rPr>
            </w:pPr>
            <w:r>
              <w:rPr>
                <w:rFonts w:hint="eastAsia" w:ascii="宋体" w:hAnsi="宋体"/>
                <w:color w:val="auto"/>
                <w:sz w:val="24"/>
                <w:highlight w:val="none"/>
              </w:rPr>
              <w:t xml:space="preserve">202</w:t>
            </w:r>
            <w:r>
              <w:rPr>
                <w:rFonts w:hint="eastAsia" w:ascii="宋体" w:hAnsi="宋体"/>
                <w:color w:val="auto"/>
                <w:sz w:val="24"/>
                <w:highlight w:val="none"/>
                <w:lang w:val="en-US" w:eastAsia="zh-CN"/>
              </w:rPr>
              <w:t xml:space="preserve">5</w:t>
            </w:r>
            <w:r>
              <w:rPr>
                <w:rFonts w:ascii="宋体" w:hAnsi="宋体"/>
                <w:color w:val="auto"/>
                <w:sz w:val="24"/>
                <w:highlight w:val="none"/>
              </w:rPr>
              <w:t xml:space="preserve">年</w:t>
            </w:r>
            <w:r>
              <w:rPr>
                <w:rFonts w:hint="eastAsia" w:ascii="宋体" w:hAnsi="宋体"/>
                <w:color w:val="auto"/>
                <w:sz w:val="24"/>
                <w:highlight w:val="none"/>
              </w:rPr>
              <w:t xml:space="preserve">业务收入</w:t>
            </w:r>
            <w:r/>
          </w:p>
        </w:tc>
        <w:tc>
          <w:tcPr>
            <w:tcW w:w="2601" w:type="dxa"/>
            <w:textDirection w:val="lrTb"/>
            <w:noWrap/>
          </w:tcPr>
          <w:p>
            <w:pPr>
              <w:pStyle w:val="782"/>
              <w:ind w:firstLine="0"/>
              <w:spacing w:line="400" w:lineRule="exact"/>
              <w:rPr>
                <w:rFonts w:hint="eastAsia" w:ascii="宋体" w:hAnsi="宋体"/>
                <w:color w:val="auto"/>
                <w:sz w:val="24"/>
                <w:highlight w:val="none"/>
              </w:rPr>
            </w:pPr>
            <w:r>
              <w:rPr>
                <w:rFonts w:hint="eastAsia" w:ascii="宋体" w:hAnsi="宋体"/>
                <w:color w:val="auto"/>
                <w:sz w:val="24"/>
                <w:highlight w:val="none"/>
              </w:rPr>
              <w:t xml:space="preserve">万元</w:t>
            </w:r>
            <w:r/>
          </w:p>
        </w:tc>
      </w:tr>
      <w:tr>
        <w:trPr/>
        <w:tc>
          <w:tcPr>
            <w:tcW w:w="2510" w:type="dxa"/>
            <w:textDirection w:val="lrTb"/>
            <w:noWrap/>
          </w:tcPr>
          <w:p>
            <w:pPr>
              <w:pStyle w:val="782"/>
              <w:ind w:firstLine="0"/>
              <w:spacing w:line="400" w:lineRule="exact"/>
              <w:rPr>
                <w:rFonts w:hint="eastAsia" w:ascii="宋体" w:hAnsi="宋体"/>
                <w:color w:val="auto"/>
                <w:sz w:val="24"/>
                <w:highlight w:val="none"/>
              </w:rPr>
            </w:pPr>
            <w:r>
              <w:rPr>
                <w:rFonts w:hint="eastAsia" w:ascii="宋体" w:hAnsi="宋体"/>
                <w:color w:val="auto"/>
                <w:sz w:val="24"/>
                <w:highlight w:val="none"/>
              </w:rPr>
              <w:t xml:space="preserve">202</w:t>
            </w:r>
            <w:r>
              <w:rPr>
                <w:rFonts w:hint="eastAsia" w:ascii="宋体" w:hAnsi="宋体"/>
                <w:color w:val="auto"/>
                <w:sz w:val="24"/>
                <w:highlight w:val="none"/>
                <w:lang w:val="en-US" w:eastAsia="zh-CN"/>
              </w:rPr>
              <w:t xml:space="preserve">5</w:t>
            </w:r>
            <w:r>
              <w:rPr>
                <w:rFonts w:hint="eastAsia" w:ascii="宋体" w:hAnsi="宋体"/>
                <w:color w:val="auto"/>
                <w:sz w:val="24"/>
                <w:highlight w:val="none"/>
              </w:rPr>
              <w:t xml:space="preserve">年实现利润</w:t>
            </w:r>
            <w:r/>
          </w:p>
        </w:tc>
        <w:tc>
          <w:tcPr>
            <w:tcW w:w="2110" w:type="dxa"/>
            <w:textDirection w:val="lrTb"/>
            <w:noWrap/>
          </w:tcPr>
          <w:p>
            <w:pPr>
              <w:pStyle w:val="782"/>
              <w:ind w:firstLine="0"/>
              <w:spacing w:line="400" w:lineRule="exact"/>
              <w:rPr>
                <w:rFonts w:hint="eastAsia" w:ascii="宋体" w:hAnsi="宋体"/>
                <w:color w:val="auto"/>
                <w:sz w:val="24"/>
                <w:highlight w:val="none"/>
              </w:rPr>
            </w:pPr>
            <w:r>
              <w:rPr>
                <w:rFonts w:hint="eastAsia" w:ascii="宋体" w:hAnsi="宋体"/>
                <w:color w:val="auto"/>
                <w:sz w:val="24"/>
                <w:highlight w:val="none"/>
              </w:rPr>
              <w:t xml:space="preserve">万元</w:t>
            </w:r>
            <w:r/>
          </w:p>
        </w:tc>
        <w:tc>
          <w:tcPr>
            <w:gridSpan w:val="2"/>
            <w:tcW w:w="1906" w:type="dxa"/>
            <w:textDirection w:val="lrTb"/>
            <w:noWrap/>
          </w:tcPr>
          <w:p>
            <w:pPr>
              <w:pStyle w:val="782"/>
              <w:ind w:firstLine="0"/>
              <w:spacing w:line="400" w:lineRule="exact"/>
              <w:rPr>
                <w:rFonts w:hint="eastAsia" w:ascii="宋体" w:hAnsi="宋体"/>
                <w:color w:val="auto"/>
                <w:sz w:val="24"/>
                <w:highlight w:val="none"/>
              </w:rPr>
            </w:pPr>
            <w:r>
              <w:rPr>
                <w:rFonts w:hint="eastAsia" w:ascii="宋体" w:hAnsi="宋体"/>
                <w:color w:val="auto"/>
                <w:sz w:val="24"/>
                <w:highlight w:val="none"/>
              </w:rPr>
            </w:r>
            <w:r/>
          </w:p>
        </w:tc>
        <w:tc>
          <w:tcPr>
            <w:tcW w:w="2601" w:type="dxa"/>
            <w:textDirection w:val="lrTb"/>
            <w:noWrap/>
          </w:tcPr>
          <w:p>
            <w:pPr>
              <w:pStyle w:val="782"/>
              <w:ind w:firstLine="0"/>
              <w:spacing w:line="400" w:lineRule="exact"/>
              <w:rPr>
                <w:rFonts w:hint="eastAsia" w:ascii="宋体" w:hAnsi="宋体"/>
                <w:color w:val="auto"/>
                <w:sz w:val="24"/>
                <w:highlight w:val="none"/>
              </w:rPr>
            </w:pPr>
            <w:r>
              <w:rPr>
                <w:rFonts w:hint="eastAsia" w:ascii="宋体" w:hAnsi="宋体"/>
                <w:color w:val="auto"/>
                <w:sz w:val="24"/>
                <w:highlight w:val="none"/>
              </w:rPr>
            </w:r>
            <w:r/>
          </w:p>
        </w:tc>
      </w:tr>
      <w:tr>
        <w:trPr/>
        <w:tc>
          <w:tcPr>
            <w:tcW w:w="2510" w:type="dxa"/>
            <w:textDirection w:val="lrTb"/>
            <w:noWrap/>
          </w:tcPr>
          <w:p>
            <w:pPr>
              <w:pStyle w:val="782"/>
              <w:ind w:firstLine="0"/>
              <w:spacing w:line="400" w:lineRule="exact"/>
              <w:rPr>
                <w:rFonts w:hint="eastAsia" w:ascii="宋体" w:hAnsi="宋体"/>
                <w:color w:val="auto"/>
                <w:sz w:val="24"/>
                <w:highlight w:val="none"/>
              </w:rPr>
            </w:pPr>
            <w:r>
              <w:rPr>
                <w:rFonts w:hint="eastAsia" w:ascii="宋体" w:hAnsi="宋体"/>
                <w:color w:val="auto"/>
                <w:sz w:val="24"/>
                <w:highlight w:val="none"/>
              </w:rPr>
              <w:t xml:space="preserve">办公面积</w:t>
            </w:r>
            <w:r/>
          </w:p>
          <w:p>
            <w:pPr>
              <w:pStyle w:val="782"/>
              <w:ind w:firstLine="0"/>
              <w:spacing w:line="400" w:lineRule="exact"/>
              <w:rPr>
                <w:rFonts w:hint="eastAsia" w:ascii="宋体" w:hAnsi="宋体"/>
                <w:color w:val="auto"/>
                <w:sz w:val="24"/>
                <w:highlight w:val="none"/>
              </w:rPr>
            </w:pPr>
            <w:r>
              <w:rPr>
                <w:rFonts w:hint="eastAsia" w:ascii="宋体" w:hAnsi="宋体"/>
                <w:color w:val="auto"/>
                <w:sz w:val="24"/>
                <w:highlight w:val="none"/>
              </w:rPr>
            </w:r>
            <w:r/>
          </w:p>
        </w:tc>
        <w:tc>
          <w:tcPr>
            <w:tcW w:w="2110" w:type="dxa"/>
            <w:textDirection w:val="lrTb"/>
            <w:noWrap/>
          </w:tcPr>
          <w:p>
            <w:pPr>
              <w:pStyle w:val="782"/>
              <w:ind w:firstLine="0"/>
              <w:spacing w:line="400" w:lineRule="exact"/>
              <w:rPr>
                <w:rFonts w:hint="eastAsia" w:ascii="宋体" w:hAnsi="宋体"/>
                <w:color w:val="auto"/>
                <w:sz w:val="24"/>
                <w:highlight w:val="none"/>
              </w:rPr>
            </w:pPr>
            <w:r>
              <w:rPr>
                <w:rFonts w:hint="eastAsia" w:ascii="宋体" w:hAnsi="宋体"/>
                <w:color w:val="auto"/>
                <w:sz w:val="24"/>
                <w:highlight w:val="none"/>
              </w:rPr>
              <w:t xml:space="preserve">平方米</w:t>
            </w:r>
            <w:r/>
          </w:p>
        </w:tc>
        <w:tc>
          <w:tcPr>
            <w:gridSpan w:val="2"/>
            <w:tcW w:w="1906" w:type="dxa"/>
            <w:textDirection w:val="lrTb"/>
            <w:noWrap/>
          </w:tcPr>
          <w:p>
            <w:pPr>
              <w:pStyle w:val="782"/>
              <w:ind w:firstLine="0"/>
              <w:spacing w:line="400" w:lineRule="exact"/>
              <w:rPr>
                <w:rFonts w:hint="eastAsia" w:ascii="宋体" w:hAnsi="宋体"/>
                <w:color w:val="auto"/>
                <w:sz w:val="24"/>
                <w:highlight w:val="none"/>
              </w:rPr>
            </w:pPr>
            <w:r>
              <w:rPr>
                <w:rFonts w:hint="eastAsia" w:ascii="宋体" w:hAnsi="宋体"/>
                <w:color w:val="auto"/>
                <w:sz w:val="24"/>
                <w:highlight w:val="none"/>
              </w:rPr>
              <w:t xml:space="preserve">其中：</w:t>
            </w:r>
            <w:r/>
          </w:p>
        </w:tc>
        <w:tc>
          <w:tcPr>
            <w:tcW w:w="2601" w:type="dxa"/>
            <w:textDirection w:val="lrTb"/>
            <w:noWrap/>
          </w:tcPr>
          <w:p>
            <w:pPr>
              <w:pStyle w:val="782"/>
              <w:ind w:firstLine="0"/>
              <w:spacing w:line="400" w:lineRule="exact"/>
              <w:rPr>
                <w:rFonts w:hint="eastAsia" w:ascii="宋体" w:hAnsi="宋体"/>
                <w:color w:val="auto"/>
                <w:sz w:val="24"/>
                <w:highlight w:val="none"/>
              </w:rPr>
            </w:pPr>
            <w:r>
              <w:rPr>
                <w:rFonts w:hint="eastAsia" w:ascii="宋体" w:hAnsi="宋体"/>
                <w:color w:val="auto"/>
                <w:sz w:val="24"/>
                <w:highlight w:val="none"/>
              </w:rPr>
              <w:t xml:space="preserve">自有面积</w:t>
            </w:r>
            <w:r>
              <w:rPr>
                <w:rFonts w:ascii="宋体" w:hAnsi="宋体"/>
                <w:color w:val="auto"/>
                <w:sz w:val="24"/>
                <w:highlight w:val="none"/>
              </w:rPr>
              <w:t xml:space="preserve">    平方米</w:t>
            </w:r>
            <w:r/>
          </w:p>
          <w:p>
            <w:pPr>
              <w:pStyle w:val="782"/>
              <w:ind w:firstLine="0"/>
              <w:spacing w:line="400" w:lineRule="exact"/>
              <w:rPr>
                <w:rFonts w:hint="eastAsia" w:ascii="宋体" w:hAnsi="宋体"/>
                <w:color w:val="auto"/>
                <w:sz w:val="24"/>
                <w:highlight w:val="none"/>
              </w:rPr>
            </w:pPr>
            <w:r>
              <w:rPr>
                <w:rFonts w:hint="eastAsia" w:ascii="宋体" w:hAnsi="宋体"/>
                <w:color w:val="auto"/>
                <w:sz w:val="24"/>
                <w:highlight w:val="none"/>
              </w:rPr>
              <w:t xml:space="preserve">承租面积</w:t>
            </w:r>
            <w:r>
              <w:rPr>
                <w:rFonts w:ascii="宋体" w:hAnsi="宋体"/>
                <w:color w:val="auto"/>
                <w:sz w:val="24"/>
                <w:highlight w:val="none"/>
              </w:rPr>
              <w:t xml:space="preserve">    平方米</w:t>
            </w:r>
            <w:r/>
          </w:p>
        </w:tc>
      </w:tr>
      <w:tr>
        <w:trPr>
          <w:trHeight w:val="590"/>
        </w:trPr>
        <w:tc>
          <w:tcPr>
            <w:gridSpan w:val="2"/>
            <w:tcW w:w="4620" w:type="dxa"/>
            <w:vAlign w:val="center"/>
            <w:textDirection w:val="lrTb"/>
            <w:noWrap/>
          </w:tcPr>
          <w:p>
            <w:pPr>
              <w:pStyle w:val="782"/>
              <w:ind w:firstLine="0"/>
              <w:spacing w:line="400" w:lineRule="exact"/>
              <w:rPr>
                <w:rFonts w:hint="eastAsia" w:ascii="宋体" w:hAnsi="宋体"/>
                <w:color w:val="auto"/>
                <w:sz w:val="24"/>
                <w:highlight w:val="none"/>
              </w:rPr>
            </w:pPr>
            <w:r>
              <w:rPr>
                <w:rFonts w:hint="eastAsia" w:ascii="宋体" w:hAnsi="宋体"/>
                <w:color w:val="auto"/>
                <w:sz w:val="24"/>
                <w:highlight w:val="none"/>
              </w:rPr>
              <w:t xml:space="preserve">单位简历及内设机构情况</w:t>
            </w:r>
            <w:r/>
          </w:p>
        </w:tc>
        <w:tc>
          <w:tcPr>
            <w:gridSpan w:val="3"/>
            <w:tcW w:w="4507" w:type="dxa"/>
            <w:textDirection w:val="lrTb"/>
            <w:noWrap/>
          </w:tcPr>
          <w:p>
            <w:pPr>
              <w:pStyle w:val="782"/>
              <w:ind w:firstLine="0"/>
              <w:spacing w:line="400" w:lineRule="exact"/>
              <w:rPr>
                <w:rFonts w:hint="eastAsia" w:ascii="宋体" w:hAnsi="宋体"/>
                <w:color w:val="auto"/>
                <w:sz w:val="24"/>
                <w:highlight w:val="none"/>
              </w:rPr>
            </w:pPr>
            <w:r>
              <w:rPr>
                <w:rFonts w:hint="eastAsia" w:ascii="宋体" w:hAnsi="宋体"/>
                <w:color w:val="auto"/>
                <w:sz w:val="24"/>
                <w:highlight w:val="none"/>
              </w:rPr>
            </w:r>
            <w:r/>
          </w:p>
        </w:tc>
      </w:tr>
      <w:tr>
        <w:trPr>
          <w:trHeight w:val="595"/>
        </w:trPr>
        <w:tc>
          <w:tcPr>
            <w:gridSpan w:val="2"/>
            <w:tcW w:w="4620" w:type="dxa"/>
            <w:vAlign w:val="center"/>
            <w:textDirection w:val="lrTb"/>
            <w:noWrap/>
          </w:tcPr>
          <w:p>
            <w:pPr>
              <w:pStyle w:val="782"/>
              <w:ind w:firstLine="0"/>
              <w:spacing w:line="400" w:lineRule="exact"/>
              <w:rPr>
                <w:rFonts w:hint="eastAsia" w:ascii="宋体" w:hAnsi="宋体"/>
                <w:color w:val="auto"/>
                <w:sz w:val="24"/>
                <w:highlight w:val="none"/>
              </w:rPr>
            </w:pPr>
            <w:r>
              <w:rPr>
                <w:rFonts w:hint="eastAsia" w:ascii="宋体" w:hAnsi="宋体"/>
                <w:color w:val="auto"/>
                <w:sz w:val="24"/>
                <w:highlight w:val="none"/>
              </w:rPr>
              <w:t xml:space="preserve">单位优势及特长</w:t>
            </w:r>
            <w:r/>
          </w:p>
        </w:tc>
        <w:tc>
          <w:tcPr>
            <w:gridSpan w:val="3"/>
            <w:tcW w:w="4507" w:type="dxa"/>
            <w:textDirection w:val="lrTb"/>
            <w:noWrap/>
          </w:tcPr>
          <w:p>
            <w:pPr>
              <w:pStyle w:val="782"/>
              <w:ind w:firstLine="0"/>
              <w:spacing w:line="400" w:lineRule="exact"/>
              <w:rPr>
                <w:rFonts w:hint="eastAsia" w:ascii="宋体" w:hAnsi="宋体"/>
                <w:color w:val="auto"/>
                <w:sz w:val="24"/>
                <w:highlight w:val="none"/>
              </w:rPr>
            </w:pPr>
            <w:r>
              <w:rPr>
                <w:rFonts w:hint="eastAsia" w:ascii="宋体" w:hAnsi="宋体"/>
                <w:color w:val="auto"/>
                <w:sz w:val="24"/>
                <w:highlight w:val="none"/>
              </w:rPr>
            </w:r>
            <w:r/>
          </w:p>
        </w:tc>
      </w:tr>
      <w:tr>
        <w:trPr/>
        <w:tc>
          <w:tcPr>
            <w:gridSpan w:val="2"/>
            <w:tcW w:w="4620" w:type="dxa"/>
            <w:vAlign w:val="center"/>
            <w:textDirection w:val="lrTb"/>
            <w:noWrap/>
          </w:tcPr>
          <w:p>
            <w:pPr>
              <w:pStyle w:val="782"/>
              <w:ind w:firstLine="0"/>
              <w:spacing w:line="400" w:lineRule="exact"/>
              <w:rPr>
                <w:rFonts w:hint="eastAsia" w:ascii="宋体" w:hAnsi="宋体"/>
                <w:color w:val="auto"/>
                <w:sz w:val="24"/>
                <w:highlight w:val="none"/>
              </w:rPr>
            </w:pPr>
            <w:r>
              <w:rPr>
                <w:rFonts w:hint="eastAsia" w:ascii="宋体" w:hAnsi="宋体"/>
                <w:color w:val="auto"/>
                <w:sz w:val="24"/>
                <w:highlight w:val="none"/>
              </w:rPr>
              <w:t xml:space="preserve">近三年来完成或正在履行的重大合同情况</w:t>
            </w:r>
            <w:r/>
          </w:p>
        </w:tc>
        <w:tc>
          <w:tcPr>
            <w:gridSpan w:val="3"/>
            <w:tcW w:w="4507" w:type="dxa"/>
            <w:textDirection w:val="lrTb"/>
            <w:noWrap/>
          </w:tcPr>
          <w:p>
            <w:pPr>
              <w:pStyle w:val="782"/>
              <w:ind w:firstLine="0"/>
              <w:spacing w:line="400" w:lineRule="exact"/>
              <w:rPr>
                <w:rFonts w:hint="eastAsia" w:ascii="宋体" w:hAnsi="宋体"/>
                <w:color w:val="auto"/>
                <w:sz w:val="24"/>
                <w:highlight w:val="none"/>
              </w:rPr>
            </w:pPr>
            <w:r>
              <w:rPr>
                <w:rFonts w:hint="eastAsia" w:ascii="宋体" w:hAnsi="宋体"/>
                <w:color w:val="auto"/>
                <w:sz w:val="24"/>
                <w:highlight w:val="none"/>
              </w:rPr>
            </w:r>
            <w:r/>
          </w:p>
        </w:tc>
      </w:tr>
      <w:tr>
        <w:trPr/>
        <w:tc>
          <w:tcPr>
            <w:gridSpan w:val="2"/>
            <w:tcW w:w="4620" w:type="dxa"/>
            <w:vAlign w:val="center"/>
            <w:textDirection w:val="lrTb"/>
            <w:noWrap/>
          </w:tcPr>
          <w:p>
            <w:pPr>
              <w:pStyle w:val="782"/>
              <w:ind w:firstLine="0"/>
              <w:spacing w:line="400" w:lineRule="exact"/>
              <w:rPr>
                <w:rFonts w:hint="eastAsia" w:ascii="宋体" w:hAnsi="宋体"/>
                <w:color w:val="auto"/>
                <w:sz w:val="24"/>
                <w:highlight w:val="none"/>
              </w:rPr>
            </w:pPr>
            <w:r>
              <w:rPr>
                <w:rFonts w:hint="eastAsia" w:ascii="宋体" w:hAnsi="宋体"/>
                <w:bCs/>
                <w:color w:val="auto"/>
                <w:sz w:val="24"/>
                <w:highlight w:val="none"/>
              </w:rPr>
              <w:t xml:space="preserve">近三年来受行业主管部门考核评价及业主评价意见</w:t>
            </w:r>
            <w:r/>
          </w:p>
        </w:tc>
        <w:tc>
          <w:tcPr>
            <w:gridSpan w:val="3"/>
            <w:tcW w:w="4507" w:type="dxa"/>
            <w:textDirection w:val="lrTb"/>
            <w:noWrap/>
          </w:tcPr>
          <w:p>
            <w:pPr>
              <w:pStyle w:val="782"/>
              <w:ind w:firstLine="0"/>
              <w:spacing w:line="400" w:lineRule="exact"/>
              <w:rPr>
                <w:rFonts w:hint="eastAsia" w:ascii="宋体" w:hAnsi="宋体"/>
                <w:color w:val="auto"/>
                <w:sz w:val="24"/>
                <w:highlight w:val="none"/>
              </w:rPr>
            </w:pPr>
            <w:r>
              <w:rPr>
                <w:rFonts w:hint="eastAsia" w:ascii="宋体" w:hAnsi="宋体"/>
                <w:color w:val="auto"/>
                <w:sz w:val="24"/>
                <w:highlight w:val="none"/>
              </w:rPr>
            </w:r>
            <w:r/>
          </w:p>
        </w:tc>
      </w:tr>
      <w:tr>
        <w:trPr>
          <w:trHeight w:val="965"/>
        </w:trPr>
        <w:tc>
          <w:tcPr>
            <w:gridSpan w:val="2"/>
            <w:tcW w:w="4620" w:type="dxa"/>
            <w:vAlign w:val="center"/>
            <w:textDirection w:val="lrTb"/>
            <w:noWrap/>
          </w:tcPr>
          <w:p>
            <w:pPr>
              <w:pStyle w:val="782"/>
              <w:ind w:firstLine="0"/>
              <w:spacing w:line="400" w:lineRule="exact"/>
              <w:rPr>
                <w:rFonts w:hint="eastAsia" w:ascii="宋体" w:hAnsi="宋体"/>
                <w:color w:val="auto"/>
                <w:sz w:val="24"/>
                <w:highlight w:val="none"/>
              </w:rPr>
            </w:pPr>
            <w:r>
              <w:rPr>
                <w:rFonts w:hint="eastAsia" w:ascii="宋体" w:hAnsi="宋体"/>
                <w:color w:val="auto"/>
                <w:sz w:val="24"/>
                <w:highlight w:val="none"/>
              </w:rPr>
              <w:t xml:space="preserve">最近</w:t>
            </w:r>
            <w:r>
              <w:rPr>
                <w:rFonts w:ascii="宋体" w:hAnsi="宋体"/>
                <w:color w:val="auto"/>
                <w:sz w:val="24"/>
                <w:highlight w:val="none"/>
              </w:rPr>
              <w:t xml:space="preserve">3年内有无因</w:t>
            </w:r>
            <w:r>
              <w:rPr>
                <w:rFonts w:hint="eastAsia" w:ascii="宋体" w:hAnsi="宋体"/>
                <w:color w:val="auto"/>
                <w:sz w:val="24"/>
                <w:highlight w:val="none"/>
              </w:rPr>
              <w:t xml:space="preserve">违纪或</w:t>
            </w:r>
            <w:r>
              <w:rPr>
                <w:rFonts w:ascii="宋体" w:hAnsi="宋体"/>
                <w:color w:val="auto"/>
                <w:sz w:val="24"/>
                <w:highlight w:val="none"/>
              </w:rPr>
              <w:t xml:space="preserve">其他原因被投诉或起诉的情况及说明</w:t>
            </w:r>
            <w:r/>
          </w:p>
        </w:tc>
        <w:tc>
          <w:tcPr>
            <w:gridSpan w:val="3"/>
            <w:tcW w:w="4507" w:type="dxa"/>
            <w:textDirection w:val="lrTb"/>
            <w:noWrap/>
          </w:tcPr>
          <w:p>
            <w:pPr>
              <w:pStyle w:val="782"/>
              <w:ind w:firstLine="0"/>
              <w:spacing w:line="400" w:lineRule="exact"/>
              <w:rPr>
                <w:rFonts w:hint="eastAsia" w:ascii="宋体" w:hAnsi="宋体"/>
                <w:color w:val="auto"/>
                <w:sz w:val="24"/>
                <w:highlight w:val="none"/>
              </w:rPr>
            </w:pPr>
            <w:r>
              <w:rPr>
                <w:rFonts w:hint="eastAsia" w:ascii="宋体" w:hAnsi="宋体"/>
                <w:color w:val="auto"/>
                <w:sz w:val="24"/>
                <w:highlight w:val="none"/>
              </w:rPr>
              <w:t xml:space="preserve">（包括解决方式和结果）</w:t>
            </w:r>
            <w:r/>
          </w:p>
        </w:tc>
      </w:tr>
      <w:tr>
        <w:trPr>
          <w:trHeight w:val="1004"/>
        </w:trPr>
        <w:tc>
          <w:tcPr>
            <w:gridSpan w:val="2"/>
            <w:tcW w:w="4620" w:type="dxa"/>
            <w:vAlign w:val="center"/>
            <w:textDirection w:val="lrTb"/>
            <w:noWrap/>
          </w:tcPr>
          <w:p>
            <w:pPr>
              <w:pStyle w:val="782"/>
              <w:ind w:firstLine="0"/>
              <w:spacing w:line="400" w:lineRule="exact"/>
              <w:rPr>
                <w:rFonts w:hint="eastAsia" w:ascii="宋体" w:hAnsi="宋体"/>
                <w:color w:val="auto"/>
                <w:sz w:val="24"/>
                <w:highlight w:val="none"/>
              </w:rPr>
            </w:pPr>
            <w:r>
              <w:rPr>
                <w:rFonts w:hint="eastAsia" w:ascii="宋体" w:hAnsi="宋体"/>
                <w:color w:val="auto"/>
                <w:sz w:val="24"/>
                <w:highlight w:val="none"/>
              </w:rPr>
              <w:t xml:space="preserve">最近</w:t>
            </w:r>
            <w:r>
              <w:rPr>
                <w:rFonts w:ascii="宋体" w:hAnsi="宋体"/>
                <w:color w:val="auto"/>
                <w:sz w:val="24"/>
                <w:highlight w:val="none"/>
              </w:rPr>
              <w:t xml:space="preserve">3年内主要负责人有无因经济犯罪被司法机关追究的情况及说明</w:t>
            </w:r>
            <w:r/>
          </w:p>
        </w:tc>
        <w:tc>
          <w:tcPr>
            <w:gridSpan w:val="3"/>
            <w:tcW w:w="4507" w:type="dxa"/>
            <w:textDirection w:val="lrTb"/>
            <w:noWrap/>
          </w:tcPr>
          <w:p>
            <w:pPr>
              <w:spacing w:line="360" w:lineRule="auto"/>
              <w:rPr>
                <w:rFonts w:hint="eastAsia" w:ascii="宋体" w:hAnsi="宋体"/>
                <w:color w:val="auto"/>
                <w:sz w:val="24"/>
                <w:highlight w:val="none"/>
              </w:rPr>
            </w:pPr>
            <w:r>
              <w:rPr>
                <w:rFonts w:hint="eastAsia" w:ascii="宋体" w:hAnsi="宋体"/>
                <w:color w:val="auto"/>
                <w:sz w:val="24"/>
                <w:highlight w:val="none"/>
              </w:rPr>
            </w:r>
            <w:r/>
          </w:p>
        </w:tc>
      </w:tr>
      <w:tr>
        <w:trPr>
          <w:trHeight w:val="747"/>
        </w:trPr>
        <w:tc>
          <w:tcPr>
            <w:gridSpan w:val="2"/>
            <w:tcW w:w="4620" w:type="dxa"/>
            <w:vAlign w:val="center"/>
            <w:textDirection w:val="lrTb"/>
            <w:noWrap/>
          </w:tcPr>
          <w:p>
            <w:pPr>
              <w:pStyle w:val="782"/>
              <w:ind w:firstLine="0"/>
              <w:spacing w:line="400" w:lineRule="exact"/>
              <w:rPr>
                <w:rFonts w:hint="eastAsia" w:ascii="宋体" w:hAnsi="宋体"/>
                <w:color w:val="auto"/>
                <w:sz w:val="24"/>
                <w:highlight w:val="none"/>
              </w:rPr>
            </w:pPr>
            <w:r>
              <w:rPr>
                <w:rFonts w:hint="eastAsia" w:ascii="宋体" w:hAnsi="宋体"/>
                <w:color w:val="auto"/>
                <w:sz w:val="24"/>
                <w:highlight w:val="none"/>
              </w:rPr>
              <w:t xml:space="preserve">其他需要说明的情况</w:t>
            </w:r>
            <w:r/>
          </w:p>
        </w:tc>
        <w:tc>
          <w:tcPr>
            <w:gridSpan w:val="3"/>
            <w:tcW w:w="4507" w:type="dxa"/>
            <w:textDirection w:val="lrTb"/>
            <w:noWrap/>
          </w:tcPr>
          <w:p>
            <w:pPr>
              <w:pStyle w:val="782"/>
              <w:ind w:firstLine="0"/>
              <w:spacing w:line="400" w:lineRule="exact"/>
              <w:rPr>
                <w:rFonts w:hint="eastAsia" w:ascii="宋体" w:hAnsi="宋体"/>
                <w:color w:val="auto"/>
                <w:sz w:val="24"/>
                <w:highlight w:val="none"/>
              </w:rPr>
            </w:pPr>
            <w:r>
              <w:rPr>
                <w:rFonts w:hint="eastAsia" w:ascii="宋体" w:hAnsi="宋体"/>
                <w:color w:val="auto"/>
                <w:sz w:val="24"/>
                <w:highlight w:val="none"/>
              </w:rPr>
            </w:r>
            <w:r/>
          </w:p>
        </w:tc>
      </w:tr>
    </w:tbl>
    <w:p>
      <w:pPr>
        <w:pStyle w:val="782"/>
        <w:ind w:firstLine="480"/>
        <w:rPr>
          <w:rFonts w:hint="eastAsia" w:ascii="宋体" w:hAnsi="宋体"/>
          <w:color w:val="auto"/>
          <w:sz w:val="24"/>
          <w:highlight w:val="none"/>
        </w:rPr>
      </w:pPr>
      <w:r>
        <w:rPr>
          <w:rFonts w:hint="eastAsia" w:ascii="宋体" w:hAnsi="宋体"/>
          <w:color w:val="auto"/>
          <w:sz w:val="24"/>
          <w:highlight w:val="none"/>
        </w:rPr>
        <w:t xml:space="preserve">注：本表可以扩展。</w:t>
      </w:r>
      <w:r/>
    </w:p>
    <w:p>
      <w:pPr>
        <w:ind w:firstLine="5520"/>
        <w:rPr>
          <w:rFonts w:hint="eastAsia" w:ascii="黑体" w:hAnsi="宋体" w:eastAsia="黑体"/>
          <w:bCs/>
          <w:color w:val="auto"/>
          <w:sz w:val="24"/>
          <w:szCs w:val="24"/>
          <w:highlight w:val="none"/>
        </w:rPr>
      </w:pPr>
      <w:r>
        <w:rPr>
          <w:rFonts w:hint="eastAsia" w:ascii="宋体" w:hAnsi="宋体"/>
          <w:color w:val="auto"/>
          <w:sz w:val="24"/>
          <w:highlight w:val="none"/>
        </w:rPr>
        <w:t xml:space="preserve">法定代表人或授权代表签字或盖章：</w:t>
      </w:r>
      <w:r>
        <w:rPr>
          <w:rFonts w:ascii="宋体" w:hAnsi="宋体"/>
          <w:bCs/>
          <w:color w:val="auto"/>
          <w:szCs w:val="21"/>
          <w:highlight w:val="none"/>
        </w:rPr>
        <w:br w:type="page" w:clear="all"/>
      </w:r>
      <w:r/>
    </w:p>
    <w:p>
      <w:pPr>
        <w:ind w:right="34"/>
        <w:jc w:val="left"/>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w:t>
      </w:r>
      <w:r>
        <w:rPr>
          <w:rFonts w:hint="eastAsia" w:ascii="宋体" w:hAnsi="宋体" w:eastAsia="宋体" w:cs="宋体"/>
          <w:b/>
          <w:color w:val="auto"/>
          <w:sz w:val="24"/>
          <w:szCs w:val="24"/>
          <w:highlight w:val="none"/>
          <w:lang w:val="en-US" w:eastAsia="zh-CN"/>
        </w:rPr>
        <w:t xml:space="preserve">十</w:t>
      </w:r>
      <w:r>
        <w:rPr>
          <w:rFonts w:hint="eastAsia" w:ascii="宋体" w:hAnsi="宋体" w:cs="宋体"/>
          <w:b/>
          <w:color w:val="auto"/>
          <w:sz w:val="24"/>
          <w:szCs w:val="24"/>
          <w:highlight w:val="none"/>
          <w:lang w:val="en-US" w:eastAsia="zh-CN"/>
        </w:rPr>
        <w:t xml:space="preserve">三</w:t>
      </w:r>
      <w:r>
        <w:rPr>
          <w:rFonts w:hint="eastAsia" w:ascii="宋体" w:hAnsi="宋体" w:eastAsia="宋体" w:cs="宋体"/>
          <w:b/>
          <w:color w:val="auto"/>
          <w:sz w:val="24"/>
          <w:szCs w:val="24"/>
          <w:highlight w:val="none"/>
        </w:rPr>
        <w:t xml:space="preserve">）</w:t>
      </w:r>
      <w:r>
        <w:rPr>
          <w:rFonts w:hint="eastAsia" w:ascii="宋体" w:hAnsi="宋体" w:cs="宋体"/>
          <w:b/>
          <w:color w:val="auto"/>
          <w:sz w:val="24"/>
          <w:szCs w:val="24"/>
          <w:highlight w:val="none"/>
          <w:lang w:val="en-US" w:eastAsia="zh-CN"/>
        </w:rPr>
        <w:t xml:space="preserve">中标</w:t>
      </w:r>
      <w:r>
        <w:rPr>
          <w:rFonts w:hint="eastAsia" w:ascii="宋体" w:hAnsi="宋体" w:eastAsia="宋体" w:cs="宋体"/>
          <w:b/>
          <w:color w:val="auto"/>
          <w:sz w:val="24"/>
          <w:szCs w:val="24"/>
          <w:highlight w:val="none"/>
        </w:rPr>
        <w:t xml:space="preserve">标段优先顺序承诺函（格式）：</w:t>
      </w:r>
      <w:r/>
    </w:p>
    <w:p>
      <w:pPr>
        <w:jc w:val="center"/>
        <w:rPr>
          <w:rFonts w:ascii="宋体" w:hAnsi="宋体" w:eastAsia="宋体" w:cs="Times New Roman"/>
          <w:b/>
          <w:color w:val="auto"/>
          <w:sz w:val="30"/>
          <w:szCs w:val="30"/>
          <w:highlight w:val="none"/>
        </w:rPr>
      </w:pPr>
      <w:r>
        <w:rPr>
          <w:rFonts w:hint="eastAsia" w:ascii="宋体" w:hAnsi="宋体" w:cs="Times New Roman"/>
          <w:b/>
          <w:color w:val="auto"/>
          <w:sz w:val="30"/>
          <w:szCs w:val="30"/>
          <w:highlight w:val="none"/>
          <w:lang w:val="en-US" w:eastAsia="zh-CN"/>
        </w:rPr>
        <w:t xml:space="preserve">中标</w:t>
      </w:r>
      <w:r>
        <w:rPr>
          <w:rFonts w:hint="eastAsia" w:ascii="宋体" w:hAnsi="宋体" w:eastAsia="宋体" w:cs="Times New Roman"/>
          <w:b/>
          <w:color w:val="auto"/>
          <w:sz w:val="30"/>
          <w:szCs w:val="30"/>
          <w:highlight w:val="none"/>
        </w:rPr>
        <w:t xml:space="preserve">标段优先顺序承诺函</w:t>
      </w:r>
      <w:r/>
    </w:p>
    <w:p>
      <w:pP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rPr>
          <w:rFonts w:ascii="宋体" w:hAnsi="宋体" w:eastAsia="宋体" w:cs="Times New Roman"/>
          <w:b/>
          <w:bCs/>
          <w:color w:val="auto"/>
          <w:sz w:val="24"/>
          <w:szCs w:val="24"/>
          <w:highlight w:val="none"/>
          <w:u w:val="single"/>
        </w:rPr>
      </w:pPr>
      <w:r>
        <w:rPr>
          <w:rFonts w:hint="eastAsia" w:ascii="宋体" w:hAnsi="宋体" w:eastAsia="宋体" w:cs="Times New Roman"/>
          <w:bCs/>
          <w:color w:val="auto"/>
          <w:sz w:val="24"/>
          <w:szCs w:val="24"/>
          <w:highlight w:val="none"/>
        </w:rPr>
        <w:t xml:space="preserve">致：</w:t>
      </w:r>
      <w:r>
        <w:rPr>
          <w:rFonts w:hint="eastAsia" w:ascii="宋体" w:hAnsi="宋体" w:eastAsia="宋体" w:cs="Times New Roman"/>
          <w:b/>
          <w:bCs/>
          <w:color w:val="auto"/>
          <w:sz w:val="24"/>
          <w:szCs w:val="24"/>
          <w:highlight w:val="none"/>
          <w:u w:val="single"/>
        </w:rPr>
        <w:t xml:space="preserve">      （采购人名称）          ：</w:t>
      </w:r>
      <w:r/>
    </w:p>
    <w:p>
      <w:pPr>
        <w:spacing w:line="440" w:lineRule="exact"/>
        <w:rPr>
          <w:rFonts w:ascii="宋体" w:hAnsi="宋体" w:eastAsia="宋体" w:cs="Times New Roman"/>
          <w:b/>
          <w:color w:val="auto"/>
          <w:sz w:val="24"/>
          <w:szCs w:val="24"/>
          <w:highlight w:val="none"/>
        </w:rPr>
      </w:pPr>
      <w:r>
        <w:rPr>
          <w:rFonts w:hint="eastAsia" w:ascii="宋体" w:hAnsi="宋体" w:eastAsia="宋体" w:cs="宋体"/>
          <w:b/>
          <w:bCs/>
          <w:color w:val="auto"/>
          <w:sz w:val="24"/>
          <w:szCs w:val="24"/>
          <w:highlight w:val="none"/>
        </w:rPr>
        <w:t xml:space="preserve">（1）</w:t>
      </w:r>
      <w:r>
        <w:rPr>
          <w:rFonts w:hint="eastAsia" w:ascii="宋体" w:hAnsi="宋体" w:eastAsia="宋体" w:cs="Times New Roman"/>
          <w:b/>
          <w:color w:val="auto"/>
          <w:sz w:val="24"/>
          <w:szCs w:val="24"/>
          <w:highlight w:val="none"/>
        </w:rPr>
        <w:t xml:space="preserve">我公司充分理解本次招标的 </w:t>
      </w:r>
      <w:r>
        <w:rPr>
          <w:rFonts w:hint="eastAsia" w:ascii="宋体" w:hAnsi="宋体" w:cs="Times New Roman"/>
          <w:b/>
          <w:color w:val="auto"/>
          <w:sz w:val="24"/>
          <w:szCs w:val="24"/>
          <w:highlight w:val="none"/>
          <w:lang w:eastAsia="zh-CN"/>
        </w:rPr>
        <w:t xml:space="preserve">2026年-2029年硕放街道市政雨污管网养护服务外包项目</w:t>
      </w:r>
      <w:r>
        <w:rPr>
          <w:rFonts w:hint="eastAsia" w:ascii="宋体" w:hAnsi="宋体" w:eastAsia="宋体" w:cs="Times New Roman"/>
          <w:b/>
          <w:color w:val="auto"/>
          <w:sz w:val="24"/>
          <w:szCs w:val="24"/>
          <w:highlight w:val="none"/>
        </w:rPr>
        <w:t xml:space="preserve">共</w:t>
      </w:r>
      <w:r>
        <w:rPr>
          <w:rFonts w:hint="eastAsia" w:ascii="宋体" w:hAnsi="宋体" w:eastAsia="宋体" w:cs="Times New Roman"/>
          <w:b/>
          <w:color w:val="auto"/>
          <w:sz w:val="24"/>
          <w:szCs w:val="24"/>
          <w:highlight w:val="none"/>
          <w:lang w:val="en-US" w:eastAsia="zh-CN"/>
        </w:rPr>
        <w:t xml:space="preserve">分</w:t>
      </w:r>
      <w:r>
        <w:rPr>
          <w:rFonts w:hint="eastAsia" w:ascii="宋体" w:hAnsi="宋体" w:cs="Times New Roman"/>
          <w:b/>
          <w:color w:val="auto"/>
          <w:sz w:val="24"/>
          <w:szCs w:val="24"/>
          <w:highlight w:val="none"/>
          <w:lang w:val="en-US" w:eastAsia="zh-CN"/>
        </w:rPr>
        <w:t xml:space="preserve">四个标段</w:t>
      </w:r>
      <w:r>
        <w:rPr>
          <w:rFonts w:hint="eastAsia" w:ascii="宋体" w:hAnsi="宋体" w:eastAsia="宋体" w:cs="Times New Roman"/>
          <w:b/>
          <w:color w:val="auto"/>
          <w:sz w:val="24"/>
          <w:szCs w:val="24"/>
          <w:highlight w:val="none"/>
        </w:rPr>
        <w:t xml:space="preserve">，</w:t>
      </w:r>
      <w:r>
        <w:rPr>
          <w:rFonts w:hint="eastAsia" w:ascii="宋体" w:hAnsi="宋体" w:eastAsia="宋体" w:cs="Times New Roman"/>
          <w:b/>
          <w:color w:val="auto"/>
          <w:sz w:val="24"/>
          <w:szCs w:val="24"/>
          <w:highlight w:val="none"/>
          <w:lang w:eastAsia="zh-CN"/>
        </w:rPr>
        <w:t xml:space="preserve">投标</w:t>
      </w:r>
      <w:r>
        <w:rPr>
          <w:rFonts w:hint="eastAsia" w:ascii="宋体" w:hAnsi="宋体" w:cs="Times New Roman"/>
          <w:b/>
          <w:color w:val="auto"/>
          <w:sz w:val="24"/>
          <w:szCs w:val="24"/>
          <w:highlight w:val="none"/>
          <w:lang w:val="en-US" w:eastAsia="zh-CN"/>
        </w:rPr>
        <w:t xml:space="preserve">人</w:t>
      </w:r>
      <w:r>
        <w:rPr>
          <w:rFonts w:hint="eastAsia" w:ascii="宋体" w:hAnsi="宋体" w:eastAsia="宋体" w:cs="Times New Roman"/>
          <w:b/>
          <w:color w:val="auto"/>
          <w:sz w:val="24"/>
          <w:szCs w:val="24"/>
          <w:highlight w:val="none"/>
        </w:rPr>
        <w:t xml:space="preserve">对</w:t>
      </w:r>
      <w:r>
        <w:rPr>
          <w:rFonts w:hint="eastAsia" w:ascii="宋体" w:hAnsi="宋体" w:cs="Times New Roman"/>
          <w:b/>
          <w:color w:val="auto"/>
          <w:sz w:val="24"/>
          <w:szCs w:val="24"/>
          <w:highlight w:val="none"/>
          <w:lang w:val="en-US" w:eastAsia="zh-CN"/>
        </w:rPr>
        <w:t xml:space="preserve">四个标段</w:t>
      </w:r>
      <w:r>
        <w:rPr>
          <w:rFonts w:hint="eastAsia" w:ascii="宋体" w:hAnsi="宋体" w:eastAsia="宋体" w:cs="Times New Roman"/>
          <w:b/>
          <w:color w:val="auto"/>
          <w:sz w:val="24"/>
          <w:szCs w:val="24"/>
          <w:highlight w:val="none"/>
        </w:rPr>
        <w:t xml:space="preserve">均可报价，但最多只能成交一个标段的要求，将按照</w:t>
      </w:r>
      <w:r>
        <w:rPr>
          <w:rFonts w:hint="eastAsia" w:ascii="宋体" w:hAnsi="宋体" w:eastAsia="宋体" w:cs="Times New Roman"/>
          <w:b/>
          <w:color w:val="auto"/>
          <w:sz w:val="24"/>
          <w:szCs w:val="24"/>
          <w:highlight w:val="none"/>
          <w:lang w:eastAsia="zh-CN"/>
        </w:rPr>
        <w:t xml:space="preserve">投标</w:t>
      </w:r>
      <w:r>
        <w:rPr>
          <w:rFonts w:hint="eastAsia" w:ascii="宋体" w:hAnsi="宋体" w:cs="Times New Roman"/>
          <w:b/>
          <w:color w:val="auto"/>
          <w:sz w:val="24"/>
          <w:szCs w:val="24"/>
          <w:highlight w:val="none"/>
          <w:lang w:val="en-US" w:eastAsia="zh-CN"/>
        </w:rPr>
        <w:t xml:space="preserve">人</w:t>
      </w:r>
      <w:r>
        <w:rPr>
          <w:rFonts w:hint="eastAsia" w:ascii="宋体" w:hAnsi="宋体" w:eastAsia="宋体" w:cs="Times New Roman"/>
          <w:b/>
          <w:color w:val="auto"/>
          <w:sz w:val="24"/>
          <w:szCs w:val="24"/>
          <w:highlight w:val="none"/>
        </w:rPr>
        <w:t xml:space="preserve">承诺的</w:t>
      </w:r>
      <w:r>
        <w:rPr>
          <w:rFonts w:hint="eastAsia" w:ascii="宋体" w:hAnsi="宋体" w:cs="Times New Roman"/>
          <w:b/>
          <w:color w:val="auto"/>
          <w:sz w:val="24"/>
          <w:szCs w:val="24"/>
          <w:highlight w:val="none"/>
          <w:lang w:val="en-US" w:eastAsia="zh-CN"/>
        </w:rPr>
        <w:t xml:space="preserve">中标</w:t>
      </w:r>
      <w:r>
        <w:rPr>
          <w:rFonts w:hint="eastAsia" w:ascii="宋体" w:hAnsi="宋体" w:eastAsia="宋体" w:cs="Times New Roman"/>
          <w:b/>
          <w:color w:val="auto"/>
          <w:sz w:val="24"/>
          <w:szCs w:val="24"/>
          <w:highlight w:val="none"/>
        </w:rPr>
        <w:t xml:space="preserve">标段优先顺序确定</w:t>
      </w:r>
      <w:r>
        <w:rPr>
          <w:rFonts w:hint="eastAsia" w:ascii="宋体" w:hAnsi="宋体" w:cs="Times New Roman"/>
          <w:b/>
          <w:color w:val="auto"/>
          <w:sz w:val="24"/>
          <w:szCs w:val="24"/>
          <w:highlight w:val="none"/>
          <w:lang w:val="en-US" w:eastAsia="zh-CN"/>
        </w:rPr>
        <w:t xml:space="preserve">中标</w:t>
      </w:r>
      <w:r>
        <w:rPr>
          <w:rFonts w:hint="eastAsia" w:ascii="宋体" w:hAnsi="宋体" w:eastAsia="宋体" w:cs="Times New Roman"/>
          <w:b/>
          <w:color w:val="auto"/>
          <w:sz w:val="24"/>
          <w:szCs w:val="24"/>
          <w:highlight w:val="none"/>
        </w:rPr>
        <w:t xml:space="preserve">标段，并放弃对这方面有不明或误解的权利。</w:t>
      </w:r>
      <w:r/>
    </w:p>
    <w:p>
      <w:pPr>
        <w:spacing w:line="440" w:lineRule="exact"/>
        <w:rPr>
          <w:rFonts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（2）如所有开标标段</w:t>
      </w:r>
      <w:r>
        <w:rPr>
          <w:rFonts w:hint="eastAsia" w:ascii="宋体" w:hAnsi="宋体" w:eastAsia="宋体" w:cs="Times New Roman"/>
          <w:b/>
          <w:color w:val="auto"/>
          <w:sz w:val="24"/>
          <w:szCs w:val="24"/>
          <w:highlight w:val="none"/>
          <w:lang w:eastAsia="zh-CN"/>
        </w:rPr>
        <w:t xml:space="preserve">投标</w:t>
      </w:r>
      <w:r>
        <w:rPr>
          <w:rFonts w:hint="eastAsia" w:ascii="宋体" w:hAnsi="宋体" w:cs="Times New Roman"/>
          <w:b/>
          <w:color w:val="auto"/>
          <w:sz w:val="24"/>
          <w:szCs w:val="24"/>
          <w:highlight w:val="none"/>
          <w:lang w:val="en-US" w:eastAsia="zh-CN"/>
        </w:rPr>
        <w:t xml:space="preserve">人</w:t>
      </w:r>
      <w:r>
        <w:rPr>
          <w:rFonts w:hint="eastAsia" w:ascii="宋体" w:hAnsi="宋体" w:eastAsia="宋体" w:cs="Times New Roman"/>
          <w:b/>
          <w:color w:val="auto"/>
          <w:sz w:val="24"/>
          <w:szCs w:val="24"/>
          <w:highlight w:val="none"/>
        </w:rPr>
        <w:t xml:space="preserve">经评审多标段均为第一名时，按</w:t>
      </w:r>
      <w:r>
        <w:rPr>
          <w:rFonts w:hint="eastAsia" w:ascii="宋体" w:hAnsi="宋体" w:eastAsia="宋体" w:cs="Times New Roman"/>
          <w:b/>
          <w:color w:val="auto"/>
          <w:sz w:val="24"/>
          <w:szCs w:val="24"/>
          <w:highlight w:val="none"/>
          <w:lang w:eastAsia="zh-CN"/>
        </w:rPr>
        <w:t xml:space="preserve">投标</w:t>
      </w:r>
      <w:r>
        <w:rPr>
          <w:rFonts w:hint="eastAsia" w:ascii="宋体" w:hAnsi="宋体" w:cs="Times New Roman"/>
          <w:b/>
          <w:color w:val="auto"/>
          <w:sz w:val="24"/>
          <w:szCs w:val="24"/>
          <w:highlight w:val="none"/>
          <w:lang w:val="en-US" w:eastAsia="zh-CN"/>
        </w:rPr>
        <w:t xml:space="preserve">人</w:t>
      </w:r>
      <w:r>
        <w:rPr>
          <w:rFonts w:hint="eastAsia" w:ascii="宋体" w:hAnsi="宋体" w:eastAsia="宋体" w:cs="Times New Roman"/>
          <w:b/>
          <w:color w:val="auto"/>
          <w:sz w:val="24"/>
          <w:szCs w:val="24"/>
          <w:highlight w:val="none"/>
        </w:rPr>
        <w:t xml:space="preserve">承诺的优先顺序，选择排列于前的标段成交，其余标段无条件放弃成交权。放弃成交权的标段按得分排序名次顺延成交候选人。</w:t>
      </w:r>
      <w:r/>
    </w:p>
    <w:tbl>
      <w:tblPr>
        <w:tblStyle w:val="778"/>
        <w:tblW w:w="939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699"/>
        <w:gridCol w:w="4564"/>
        <w:gridCol w:w="3133"/>
      </w:tblGrid>
      <w:tr>
        <w:trPr>
          <w:jc w:val="center"/>
          <w:trHeight w:val="792"/>
        </w:trPr>
        <w:tc>
          <w:tcPr>
            <w:tcW w:w="1699" w:type="dxa"/>
            <w:vAlign w:val="center"/>
            <w:textDirection w:val="lrTb"/>
            <w:noWrap w:val="false"/>
          </w:tcPr>
          <w:p>
            <w:pPr>
              <w:jc w:val="center"/>
              <w:rPr>
                <w:rFonts w:ascii="宋体" w:hAnsi="宋体" w:eastAsia="宋体" w:cs="Times New Roman"/>
                <w:bCs/>
                <w:color w:val="auto"/>
                <w:sz w:val="24"/>
                <w:szCs w:val="24"/>
                <w:highlight w:val="none"/>
              </w:rPr>
            </w:pPr>
            <w:r>
              <w:rPr>
                <w:rFonts w:hint="eastAsia" w:ascii="宋体" w:hAnsi="宋体" w:cs="Times New Roman"/>
                <w:bCs/>
                <w:color w:val="auto"/>
                <w:sz w:val="24"/>
                <w:szCs w:val="24"/>
                <w:highlight w:val="none"/>
                <w:lang w:val="en-US" w:eastAsia="zh-CN"/>
              </w:rPr>
              <w:t xml:space="preserve">中标</w:t>
            </w:r>
            <w:r>
              <w:rPr>
                <w:rFonts w:hint="eastAsia" w:ascii="宋体" w:hAnsi="宋体" w:eastAsia="宋体" w:cs="Times New Roman"/>
                <w:bCs/>
                <w:color w:val="auto"/>
                <w:sz w:val="24"/>
                <w:szCs w:val="24"/>
                <w:highlight w:val="none"/>
              </w:rPr>
              <w:t xml:space="preserve">优先顺序</w:t>
            </w:r>
            <w:r/>
          </w:p>
        </w:tc>
        <w:tc>
          <w:tcPr>
            <w:tcW w:w="4564" w:type="dxa"/>
            <w:vAlign w:val="center"/>
            <w:textDirection w:val="lrTb"/>
            <w:noWrap w:val="false"/>
          </w:tcPr>
          <w:p>
            <w:pPr>
              <w:jc w:val="center"/>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标段</w:t>
            </w:r>
            <w:r/>
          </w:p>
        </w:tc>
        <w:tc>
          <w:tcPr>
            <w:tcW w:w="3133" w:type="dxa"/>
            <w:vAlign w:val="center"/>
            <w:textDirection w:val="lrTb"/>
            <w:noWrap w:val="false"/>
          </w:tcPr>
          <w:p>
            <w:pPr>
              <w:jc w:val="center"/>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名称及地点</w:t>
            </w:r>
            <w:r/>
          </w:p>
        </w:tc>
      </w:tr>
      <w:tr>
        <w:trPr>
          <w:jc w:val="center"/>
          <w:trHeight w:val="570"/>
        </w:trPr>
        <w:tc>
          <w:tcPr>
            <w:tcW w:w="1699" w:type="dxa"/>
            <w:vAlign w:val="center"/>
            <w:textDirection w:val="lrTb"/>
            <w:noWrap w:val="false"/>
          </w:tcPr>
          <w:p>
            <w:pPr>
              <w:jc w:val="center"/>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1</w:t>
            </w:r>
            <w:r/>
          </w:p>
        </w:tc>
        <w:tc>
          <w:tcPr>
            <w:tcW w:w="4564" w:type="dxa"/>
            <w:vAlign w:val="center"/>
            <w:textDirection w:val="lrTb"/>
            <w:noWrap w:val="false"/>
          </w:tcPr>
          <w:p>
            <w:pPr>
              <w:ind w:firstLine="560"/>
              <w:jc w:val="center"/>
              <w:rPr>
                <w:rFonts w:ascii="宋体" w:hAnsi="宋体" w:eastAsia="宋体" w:cs="Times New Roman"/>
                <w:bCs/>
                <w:color w:val="auto"/>
                <w:sz w:val="24"/>
                <w:szCs w:val="24"/>
                <w:highlight w:val="none"/>
              </w:rPr>
            </w:pPr>
            <w:r>
              <w:rPr>
                <w:rFonts w:ascii="宋体" w:hAnsi="宋体" w:eastAsia="宋体" w:cs="Times New Roman"/>
                <w:bCs/>
                <w:color w:val="auto"/>
                <w:sz w:val="24"/>
                <w:szCs w:val="24"/>
                <w:highlight w:val="none"/>
              </w:rPr>
            </w:r>
            <w:r/>
          </w:p>
        </w:tc>
        <w:tc>
          <w:tcPr>
            <w:tcW w:w="3133" w:type="dxa"/>
            <w:vAlign w:val="center"/>
            <w:textDirection w:val="lrTb"/>
            <w:noWrap w:val="false"/>
          </w:tcPr>
          <w:p>
            <w:pPr>
              <w:ind w:firstLine="560"/>
              <w:jc w:val="center"/>
              <w:rPr>
                <w:rFonts w:ascii="宋体" w:hAnsi="宋体" w:eastAsia="宋体" w:cs="Times New Roman"/>
                <w:bCs/>
                <w:color w:val="auto"/>
                <w:sz w:val="24"/>
                <w:szCs w:val="24"/>
                <w:highlight w:val="none"/>
              </w:rPr>
            </w:pPr>
            <w:r>
              <w:rPr>
                <w:rFonts w:ascii="宋体" w:hAnsi="宋体" w:eastAsia="宋体" w:cs="Times New Roman"/>
                <w:bCs/>
                <w:color w:val="auto"/>
                <w:sz w:val="24"/>
                <w:szCs w:val="24"/>
                <w:highlight w:val="none"/>
              </w:rPr>
            </w:r>
            <w:r/>
          </w:p>
        </w:tc>
      </w:tr>
      <w:tr>
        <w:trPr>
          <w:jc w:val="center"/>
          <w:trHeight w:val="619"/>
        </w:trPr>
        <w:tc>
          <w:tcPr>
            <w:tcW w:w="1699" w:type="dxa"/>
            <w:vAlign w:val="center"/>
            <w:textDirection w:val="lrTb"/>
            <w:noWrap w:val="false"/>
          </w:tcPr>
          <w:p>
            <w:pPr>
              <w:jc w:val="center"/>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2</w:t>
            </w:r>
            <w:r/>
          </w:p>
        </w:tc>
        <w:tc>
          <w:tcPr>
            <w:tcW w:w="4564" w:type="dxa"/>
            <w:vAlign w:val="center"/>
            <w:textDirection w:val="lrTb"/>
            <w:noWrap w:val="false"/>
          </w:tcPr>
          <w:p>
            <w:pPr>
              <w:ind w:firstLine="560"/>
              <w:jc w:val="center"/>
              <w:rPr>
                <w:rFonts w:ascii="宋体" w:hAnsi="宋体" w:eastAsia="宋体" w:cs="Times New Roman"/>
                <w:bCs/>
                <w:color w:val="auto"/>
                <w:sz w:val="24"/>
                <w:szCs w:val="24"/>
                <w:highlight w:val="none"/>
              </w:rPr>
            </w:pPr>
            <w:r>
              <w:rPr>
                <w:rFonts w:ascii="宋体" w:hAnsi="宋体" w:eastAsia="宋体" w:cs="Times New Roman"/>
                <w:bCs/>
                <w:color w:val="auto"/>
                <w:sz w:val="24"/>
                <w:szCs w:val="24"/>
                <w:highlight w:val="none"/>
              </w:rPr>
            </w:r>
            <w:r/>
          </w:p>
        </w:tc>
        <w:tc>
          <w:tcPr>
            <w:tcW w:w="3133" w:type="dxa"/>
            <w:vAlign w:val="center"/>
            <w:textDirection w:val="lrTb"/>
            <w:noWrap w:val="false"/>
          </w:tcPr>
          <w:p>
            <w:pPr>
              <w:ind w:firstLine="560"/>
              <w:jc w:val="center"/>
              <w:rPr>
                <w:rFonts w:ascii="宋体" w:hAnsi="宋体" w:eastAsia="宋体" w:cs="Times New Roman"/>
                <w:bCs/>
                <w:color w:val="auto"/>
                <w:sz w:val="24"/>
                <w:szCs w:val="24"/>
                <w:highlight w:val="none"/>
              </w:rPr>
            </w:pPr>
            <w:r>
              <w:rPr>
                <w:rFonts w:ascii="宋体" w:hAnsi="宋体" w:eastAsia="宋体" w:cs="Times New Roman"/>
                <w:bCs/>
                <w:color w:val="auto"/>
                <w:sz w:val="24"/>
                <w:szCs w:val="24"/>
                <w:highlight w:val="none"/>
              </w:rPr>
            </w:r>
            <w:r/>
          </w:p>
        </w:tc>
      </w:tr>
      <w:tr>
        <w:trPr>
          <w:jc w:val="center"/>
          <w:trHeight w:val="582"/>
        </w:trPr>
        <w:tc>
          <w:tcPr>
            <w:tcW w:w="1699" w:type="dxa"/>
            <w:vAlign w:val="center"/>
            <w:textDirection w:val="lrTb"/>
            <w:noWrap w:val="false"/>
          </w:tcPr>
          <w:p>
            <w:pPr>
              <w:jc w:val="center"/>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3</w:t>
            </w:r>
            <w:r/>
          </w:p>
        </w:tc>
        <w:tc>
          <w:tcPr>
            <w:tcW w:w="4564" w:type="dxa"/>
            <w:vAlign w:val="center"/>
            <w:textDirection w:val="lrTb"/>
            <w:noWrap w:val="false"/>
          </w:tcPr>
          <w:p>
            <w:pPr>
              <w:ind w:firstLine="560"/>
              <w:jc w:val="center"/>
              <w:rPr>
                <w:rFonts w:ascii="宋体" w:hAnsi="宋体" w:eastAsia="宋体" w:cs="Times New Roman"/>
                <w:bCs/>
                <w:color w:val="auto"/>
                <w:sz w:val="24"/>
                <w:szCs w:val="24"/>
                <w:highlight w:val="none"/>
              </w:rPr>
            </w:pPr>
            <w:r>
              <w:rPr>
                <w:rFonts w:ascii="宋体" w:hAnsi="宋体" w:eastAsia="宋体" w:cs="Times New Roman"/>
                <w:bCs/>
                <w:color w:val="auto"/>
                <w:sz w:val="24"/>
                <w:szCs w:val="24"/>
                <w:highlight w:val="none"/>
              </w:rPr>
            </w:r>
            <w:r/>
          </w:p>
        </w:tc>
        <w:tc>
          <w:tcPr>
            <w:tcW w:w="3133" w:type="dxa"/>
            <w:vAlign w:val="center"/>
            <w:textDirection w:val="lrTb"/>
            <w:noWrap w:val="false"/>
          </w:tcPr>
          <w:p>
            <w:pPr>
              <w:ind w:firstLine="560"/>
              <w:jc w:val="center"/>
              <w:rPr>
                <w:rFonts w:ascii="宋体" w:hAnsi="宋体" w:eastAsia="宋体" w:cs="Times New Roman"/>
                <w:bCs/>
                <w:color w:val="auto"/>
                <w:sz w:val="24"/>
                <w:szCs w:val="24"/>
                <w:highlight w:val="none"/>
              </w:rPr>
            </w:pPr>
            <w:r>
              <w:rPr>
                <w:rFonts w:ascii="宋体" w:hAnsi="宋体" w:eastAsia="宋体" w:cs="Times New Roman"/>
                <w:bCs/>
                <w:color w:val="auto"/>
                <w:sz w:val="24"/>
                <w:szCs w:val="24"/>
                <w:highlight w:val="none"/>
              </w:rPr>
            </w:r>
            <w:r/>
          </w:p>
        </w:tc>
      </w:tr>
      <w:tr>
        <w:trPr>
          <w:jc w:val="center"/>
          <w:trHeight w:val="582"/>
        </w:trPr>
        <w:tc>
          <w:tcPr>
            <w:tcW w:w="1699" w:type="dxa"/>
            <w:vAlign w:val="center"/>
            <w:textDirection w:val="lrTb"/>
            <w:noWrap w:val="false"/>
          </w:tcPr>
          <w:p>
            <w:pPr>
              <w:jc w:val="center"/>
              <w:rPr>
                <w:rFonts w:hint="eastAsia" w:ascii="宋体" w:hAnsi="宋体" w:eastAsia="宋体" w:cs="Times New Roman"/>
                <w:bCs/>
                <w:color w:val="auto"/>
                <w:sz w:val="24"/>
                <w:szCs w:val="24"/>
                <w:highlight w:val="none"/>
                <w:lang w:val="en-US" w:eastAsia="zh-CN"/>
              </w:rPr>
            </w:pPr>
            <w:r>
              <w:rPr>
                <w:rFonts w:hint="eastAsia" w:ascii="宋体" w:hAnsi="宋体" w:cs="Times New Roman"/>
                <w:bCs/>
                <w:color w:val="auto"/>
                <w:sz w:val="24"/>
                <w:szCs w:val="24"/>
                <w:highlight w:val="none"/>
                <w:lang w:val="en-US" w:eastAsia="zh-CN"/>
              </w:rPr>
              <w:t xml:space="preserve">4</w:t>
            </w:r>
            <w:r/>
          </w:p>
        </w:tc>
        <w:tc>
          <w:tcPr>
            <w:tcW w:w="4564" w:type="dxa"/>
            <w:vAlign w:val="center"/>
            <w:textDirection w:val="lrTb"/>
            <w:noWrap w:val="false"/>
          </w:tcPr>
          <w:p>
            <w:pPr>
              <w:ind w:firstLine="560"/>
              <w:jc w:val="center"/>
              <w:rPr>
                <w:rFonts w:ascii="宋体" w:hAnsi="宋体" w:eastAsia="宋体" w:cs="Times New Roman"/>
                <w:bCs/>
                <w:color w:val="auto"/>
                <w:sz w:val="24"/>
                <w:szCs w:val="24"/>
                <w:highlight w:val="none"/>
              </w:rPr>
            </w:pPr>
            <w:r>
              <w:rPr>
                <w:rFonts w:ascii="宋体" w:hAnsi="宋体" w:eastAsia="宋体" w:cs="Times New Roman"/>
                <w:bCs/>
                <w:color w:val="auto"/>
                <w:sz w:val="24"/>
                <w:szCs w:val="24"/>
                <w:highlight w:val="none"/>
              </w:rPr>
            </w:r>
            <w:r/>
          </w:p>
        </w:tc>
        <w:tc>
          <w:tcPr>
            <w:tcW w:w="3133" w:type="dxa"/>
            <w:vAlign w:val="center"/>
            <w:textDirection w:val="lrTb"/>
            <w:noWrap w:val="false"/>
          </w:tcPr>
          <w:p>
            <w:pPr>
              <w:ind w:firstLine="560"/>
              <w:jc w:val="center"/>
              <w:rPr>
                <w:rFonts w:ascii="宋体" w:hAnsi="宋体" w:eastAsia="宋体" w:cs="Times New Roman"/>
                <w:bCs/>
                <w:color w:val="auto"/>
                <w:sz w:val="24"/>
                <w:szCs w:val="24"/>
                <w:highlight w:val="none"/>
              </w:rPr>
            </w:pPr>
            <w:r>
              <w:rPr>
                <w:rFonts w:ascii="宋体" w:hAnsi="宋体" w:eastAsia="宋体" w:cs="Times New Roman"/>
                <w:bCs/>
                <w:color w:val="auto"/>
                <w:sz w:val="24"/>
                <w:szCs w:val="24"/>
                <w:highlight w:val="none"/>
              </w:rPr>
            </w:r>
            <w:r/>
          </w:p>
        </w:tc>
      </w:tr>
    </w:tbl>
    <w:p>
      <w:pPr>
        <w:rPr>
          <w:rFonts w:ascii="宋体" w:hAnsi="宋体" w:eastAsia="宋体" w:cs="Times New Roman"/>
          <w:bCs/>
          <w:color w:val="auto"/>
          <w:sz w:val="24"/>
          <w:szCs w:val="24"/>
          <w:highlight w:val="none"/>
        </w:rPr>
      </w:pPr>
      <w:r>
        <w:rPr>
          <w:rFonts w:ascii="宋体" w:hAnsi="宋体" w:eastAsia="宋体" w:cs="Times New Roman"/>
          <w:bCs/>
          <w:color w:val="auto"/>
          <w:sz w:val="24"/>
          <w:szCs w:val="24"/>
          <w:highlight w:val="none"/>
        </w:rPr>
      </w:r>
      <w:r/>
    </w:p>
    <w:p>
      <w:pPr>
        <w:rPr>
          <w:rFonts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rPr>
        <w:t xml:space="preserve">注：响应文件中</w:t>
      </w:r>
      <w:r>
        <w:rPr>
          <w:rFonts w:hint="eastAsia" w:ascii="宋体" w:hAnsi="宋体" w:cs="Times New Roman"/>
          <w:b/>
          <w:bCs/>
          <w:color w:val="auto"/>
          <w:sz w:val="24"/>
          <w:szCs w:val="24"/>
          <w:highlight w:val="none"/>
          <w:lang w:val="en-US" w:eastAsia="zh-CN"/>
        </w:rPr>
        <w:t xml:space="preserve">四个标段</w:t>
      </w:r>
      <w:r>
        <w:rPr>
          <w:rFonts w:hint="eastAsia" w:ascii="宋体" w:hAnsi="宋体" w:eastAsia="宋体" w:cs="Times New Roman"/>
          <w:b/>
          <w:bCs/>
          <w:color w:val="auto"/>
          <w:sz w:val="24"/>
          <w:szCs w:val="24"/>
          <w:highlight w:val="none"/>
        </w:rPr>
        <w:t xml:space="preserve">的</w:t>
      </w:r>
      <w:r>
        <w:rPr>
          <w:rFonts w:hint="eastAsia" w:ascii="宋体" w:hAnsi="宋体" w:cs="Times New Roman"/>
          <w:b/>
          <w:bCs/>
          <w:color w:val="auto"/>
          <w:sz w:val="24"/>
          <w:szCs w:val="24"/>
          <w:highlight w:val="none"/>
          <w:lang w:val="en-US" w:eastAsia="zh-CN"/>
        </w:rPr>
        <w:t xml:space="preserve">中标</w:t>
      </w:r>
      <w:r>
        <w:rPr>
          <w:rFonts w:hint="eastAsia" w:ascii="宋体" w:hAnsi="宋体" w:eastAsia="宋体" w:cs="Times New Roman"/>
          <w:b/>
          <w:bCs/>
          <w:color w:val="auto"/>
          <w:sz w:val="24"/>
          <w:szCs w:val="24"/>
          <w:highlight w:val="none"/>
        </w:rPr>
        <w:t xml:space="preserve">标段优先顺序须相同，否则视为无效。</w:t>
      </w:r>
      <w:r/>
    </w:p>
    <w:p>
      <w:pPr>
        <w:ind w:right="960"/>
        <w:jc w:val="right"/>
        <w:spacing w:before="240"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eastAsia="zh-CN"/>
        </w:rPr>
        <w:t xml:space="preserve">投标</w:t>
      </w:r>
      <w:r>
        <w:rPr>
          <w:rFonts w:hint="eastAsia" w:ascii="宋体" w:hAnsi="宋体" w:cs="Times New Roman"/>
          <w:color w:val="auto"/>
          <w:sz w:val="24"/>
          <w:szCs w:val="24"/>
          <w:highlight w:val="none"/>
          <w:lang w:val="en-US" w:eastAsia="zh-CN"/>
        </w:rPr>
        <w:t xml:space="preserve">人</w:t>
      </w:r>
      <w:r>
        <w:rPr>
          <w:rFonts w:hint="eastAsia" w:ascii="宋体" w:hAnsi="宋体" w:eastAsia="宋体" w:cs="Times New Roman"/>
          <w:color w:val="auto"/>
          <w:sz w:val="24"/>
          <w:szCs w:val="24"/>
          <w:highlight w:val="none"/>
        </w:rPr>
        <w:t xml:space="preserve">：（公章）</w:t>
      </w:r>
      <w:r/>
    </w:p>
    <w:p>
      <w:pPr>
        <w:ind w:firstLine="480"/>
        <w:jc w:val="right"/>
        <w:spacing w:before="240" w:line="360" w:lineRule="auto"/>
        <w:rPr>
          <w:rFonts w:ascii="Times New Roman" w:hAnsi="Times New Roman" w:eastAsia="宋体" w:cs="Times New Roman"/>
          <w:color w:val="auto"/>
          <w:sz w:val="24"/>
          <w:szCs w:val="24"/>
          <w:highlight w:val="none"/>
        </w:rPr>
      </w:pPr>
      <w:r>
        <w:rPr>
          <w:rFonts w:ascii="宋体" w:hAnsi="宋体" w:eastAsia="宋体" w:cs="Times New Roman"/>
          <w:color w:val="auto"/>
          <w:sz w:val="24"/>
          <w:szCs w:val="24"/>
          <w:highlight w:val="none"/>
        </w:rPr>
        <w:t xml:space="preserve">法定代表人</w:t>
      </w:r>
      <w:r>
        <w:rPr>
          <w:rFonts w:hint="eastAsia" w:ascii="宋体" w:hAnsi="宋体" w:eastAsia="宋体" w:cs="Times New Roman"/>
          <w:color w:val="auto"/>
          <w:sz w:val="24"/>
          <w:szCs w:val="24"/>
          <w:highlight w:val="none"/>
        </w:rPr>
        <w:t xml:space="preserve">或被授权代表</w:t>
      </w:r>
      <w:r>
        <w:rPr>
          <w:rFonts w:ascii="宋体" w:hAnsi="宋体" w:eastAsia="宋体" w:cs="Times New Roman"/>
          <w:color w:val="auto"/>
          <w:sz w:val="24"/>
          <w:szCs w:val="24"/>
          <w:highlight w:val="none"/>
        </w:rPr>
        <w:t xml:space="preserve">：   （签字</w:t>
      </w:r>
      <w:r>
        <w:rPr>
          <w:rFonts w:hint="eastAsia" w:ascii="宋体" w:hAnsi="宋体" w:eastAsia="宋体" w:cs="Times New Roman"/>
          <w:color w:val="auto"/>
          <w:sz w:val="24"/>
          <w:szCs w:val="24"/>
          <w:highlight w:val="none"/>
        </w:rPr>
        <w:t xml:space="preserve">或盖章</w:t>
      </w:r>
      <w:r>
        <w:rPr>
          <w:rFonts w:ascii="宋体" w:hAnsi="宋体" w:eastAsia="宋体" w:cs="Times New Roman"/>
          <w:color w:val="auto"/>
          <w:sz w:val="24"/>
          <w:szCs w:val="24"/>
          <w:highlight w:val="none"/>
        </w:rPr>
        <w:t xml:space="preserve">）</w:t>
      </w:r>
      <w:r/>
    </w:p>
    <w:p>
      <w:pPr>
        <w:ind w:firstLine="480"/>
        <w:spacing w:line="360" w:lineRule="auto"/>
        <w:rPr>
          <w:rFonts w:hint="eastAsia" w:ascii="黑体" w:hAnsi="宋体" w:eastAsia="黑体"/>
          <w:bCs/>
          <w:color w:val="auto"/>
          <w:sz w:val="24"/>
          <w:szCs w:val="24"/>
          <w:highlight w:val="none"/>
        </w:rPr>
      </w:pPr>
      <w:r>
        <w:rPr>
          <w:rFonts w:hint="eastAsia" w:ascii="宋体" w:hAnsi="宋体" w:eastAsia="宋体" w:cs="Times New Roman"/>
          <w:color w:val="auto"/>
          <w:sz w:val="24"/>
          <w:szCs w:val="24"/>
          <w:highlight w:val="none"/>
        </w:rPr>
        <w:t xml:space="preserve">                                        年    月    日</w:t>
      </w:r>
      <w:r>
        <w:rPr>
          <w:rFonts w:ascii="宋体" w:hAnsi="宋体" w:eastAsia="宋体" w:cs="Times New Roman"/>
          <w:color w:val="auto"/>
          <w:sz w:val="24"/>
          <w:szCs w:val="24"/>
          <w:highlight w:val="none"/>
        </w:rPr>
        <w:t xml:space="preserve"> </w:t>
      </w:r>
      <w:r/>
    </w:p>
    <w:p>
      <w:pPr>
        <w:ind w:firstLine="480"/>
        <w:spacing w:line="360" w:lineRule="auto"/>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spacing w:line="360" w:lineRule="auto"/>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spacing w:line="360" w:lineRule="auto"/>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pStyle w:val="789"/>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pStyle w:val="789"/>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pStyle w:val="789"/>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pStyle w:val="789"/>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pStyle w:val="789"/>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pStyle w:val="789"/>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pStyle w:val="789"/>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pStyle w:val="789"/>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pStyle w:val="789"/>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pStyle w:val="789"/>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pStyle w:val="789"/>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spacing w:line="360" w:lineRule="auto"/>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spacing w:line="360" w:lineRule="auto"/>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t xml:space="preserve">（十</w:t>
      </w:r>
      <w:r>
        <w:rPr>
          <w:rFonts w:hint="eastAsia" w:ascii="黑体" w:hAnsi="宋体" w:eastAsia="黑体"/>
          <w:bCs/>
          <w:color w:val="auto"/>
          <w:sz w:val="24"/>
          <w:szCs w:val="24"/>
          <w:highlight w:val="none"/>
          <w:lang w:val="en-US" w:eastAsia="zh-CN"/>
        </w:rPr>
        <w:t xml:space="preserve">四</w:t>
      </w:r>
      <w:r>
        <w:rPr>
          <w:rFonts w:hint="eastAsia" w:ascii="黑体" w:hAnsi="宋体" w:eastAsia="黑体"/>
          <w:bCs/>
          <w:color w:val="auto"/>
          <w:sz w:val="24"/>
          <w:szCs w:val="24"/>
          <w:highlight w:val="none"/>
        </w:rPr>
        <w:t xml:space="preserve">）技术方案（格式自拟）</w:t>
      </w:r>
      <w:r/>
    </w:p>
    <w:p>
      <w:pPr>
        <w:ind w:firstLine="480"/>
        <w:jc w:val="center"/>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480"/>
        <w:jc w:val="center"/>
        <w:spacing w:line="360" w:lineRule="auto"/>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技术方案</w:t>
      </w:r>
      <w:r/>
    </w:p>
    <w:p>
      <w:pPr>
        <w:pStyle w:val="1051"/>
        <w:ind w:firstLine="0"/>
        <w:rPr>
          <w:color w:val="auto"/>
          <w:sz w:val="24"/>
          <w:highlight w:val="none"/>
        </w:rPr>
      </w:pPr>
      <w:r>
        <w:rPr>
          <w:rFonts w:hint="eastAsia"/>
          <w:color w:val="auto"/>
          <w:sz w:val="24"/>
          <w:highlight w:val="none"/>
          <w:lang w:eastAsia="zh-CN"/>
        </w:rPr>
        <w:t xml:space="preserve">投标人</w:t>
      </w:r>
      <w:r>
        <w:rPr>
          <w:rFonts w:hint="eastAsia"/>
          <w:color w:val="auto"/>
          <w:sz w:val="24"/>
          <w:highlight w:val="none"/>
        </w:rPr>
        <w:t xml:space="preserve">应按评分点编制完整的服务方案，</w:t>
      </w:r>
      <w:r>
        <w:rPr>
          <w:color w:val="auto"/>
          <w:sz w:val="24"/>
          <w:highlight w:val="none"/>
        </w:rPr>
        <w:t xml:space="preserve">以便评审。</w:t>
      </w:r>
      <w:r/>
    </w:p>
    <w:p>
      <w:pPr>
        <w:pStyle w:val="1051"/>
        <w:ind w:firstLine="0"/>
        <w:rPr>
          <w:color w:val="auto"/>
          <w:sz w:val="24"/>
          <w:highlight w:val="none"/>
        </w:rPr>
      </w:pPr>
      <w:r>
        <w:rPr>
          <w:color w:val="auto"/>
          <w:sz w:val="24"/>
          <w:highlight w:val="none"/>
        </w:rPr>
      </w:r>
      <w:r/>
    </w:p>
    <w:p>
      <w:pPr>
        <w:ind w:firstLine="482"/>
        <w:spacing w:line="360" w:lineRule="auto"/>
        <w:rPr>
          <w:rFonts w:hint="eastAsia" w:ascii="宋体" w:hAnsi="宋体"/>
          <w:b/>
          <w:color w:val="auto"/>
          <w:sz w:val="24"/>
          <w:szCs w:val="21"/>
          <w:highlight w:val="none"/>
          <w:u w:val="single"/>
        </w:rPr>
      </w:pPr>
      <w:r>
        <w:rPr>
          <w:rFonts w:hint="eastAsia" w:ascii="宋体" w:hAnsi="宋体"/>
          <w:b/>
          <w:color w:val="auto"/>
          <w:sz w:val="24"/>
          <w:szCs w:val="21"/>
          <w:highlight w:val="none"/>
          <w:u w:val="single"/>
        </w:rPr>
        <w:t xml:space="preserve">特别注意：本项目采用暗标形式，投标人须参照评标办法的相关要求对商务部分和技术文件部分分别进行制作。其中技术文件部分属于暗标，投标人在制作技术文件部分相关内容时不得有体现投标人身份的内容，否则投标无效。</w:t>
      </w:r>
      <w:r/>
    </w:p>
    <w:p>
      <w:pPr>
        <w:ind w:firstLine="482"/>
        <w:spacing w:line="360" w:lineRule="auto"/>
        <w:rPr>
          <w:rFonts w:hint="eastAsia" w:ascii="宋体" w:hAnsi="宋体"/>
          <w:b/>
          <w:color w:val="auto"/>
          <w:sz w:val="24"/>
          <w:szCs w:val="21"/>
          <w:highlight w:val="none"/>
          <w:u w:val="single"/>
        </w:rPr>
      </w:pPr>
      <w:r>
        <w:rPr>
          <w:rFonts w:hint="eastAsia" w:ascii="宋体" w:hAnsi="宋体"/>
          <w:b/>
          <w:color w:val="auto"/>
          <w:sz w:val="24"/>
          <w:szCs w:val="21"/>
          <w:highlight w:val="none"/>
        </w:rPr>
        <w:t xml:space="preserve">不得有体现投标人身份的内容是指：</w:t>
      </w:r>
      <w:r/>
    </w:p>
    <w:p>
      <w:pPr>
        <w:ind w:firstLine="482"/>
        <w:spacing w:line="360" w:lineRule="auto"/>
        <w:rPr>
          <w:rFonts w:hint="eastAsia" w:ascii="宋体" w:hAnsi="宋体"/>
          <w:b/>
          <w:color w:val="auto"/>
          <w:sz w:val="24"/>
          <w:szCs w:val="21"/>
          <w:highlight w:val="none"/>
        </w:rPr>
      </w:pPr>
      <w:r>
        <w:rPr>
          <w:rFonts w:hint="eastAsia" w:ascii="宋体" w:hAnsi="宋体"/>
          <w:b/>
          <w:color w:val="auto"/>
          <w:sz w:val="24"/>
          <w:szCs w:val="21"/>
          <w:highlight w:val="none"/>
        </w:rPr>
        <w:t xml:space="preserve">①技术部分不得出现能够体现投标人身份、名称的相关描述、材料、文件等内容；</w:t>
      </w:r>
      <w:r/>
    </w:p>
    <w:p>
      <w:pPr>
        <w:ind w:firstLine="482"/>
        <w:spacing w:line="360" w:lineRule="auto"/>
        <w:rPr>
          <w:rFonts w:hint="eastAsia" w:ascii="宋体" w:hAnsi="宋体"/>
          <w:b/>
          <w:color w:val="auto"/>
          <w:sz w:val="24"/>
          <w:szCs w:val="21"/>
          <w:highlight w:val="none"/>
        </w:rPr>
      </w:pPr>
      <w:r>
        <w:rPr>
          <w:rFonts w:hint="eastAsia" w:ascii="宋体" w:hAnsi="宋体"/>
          <w:b/>
          <w:color w:val="auto"/>
          <w:sz w:val="24"/>
          <w:szCs w:val="21"/>
          <w:highlight w:val="none"/>
        </w:rPr>
        <w:t xml:space="preserve">②技术部分不得更改，不得在其中标注或做任何可以辨认投标人及所属人员身份的名称、印章、商标等标记；</w:t>
      </w:r>
      <w:r/>
    </w:p>
    <w:p>
      <w:pPr>
        <w:ind w:firstLine="482"/>
        <w:spacing w:line="360" w:lineRule="auto"/>
        <w:rPr>
          <w:rFonts w:hint="eastAsia" w:ascii="宋体" w:hAnsi="宋体"/>
          <w:b/>
          <w:color w:val="auto"/>
          <w:sz w:val="24"/>
          <w:szCs w:val="21"/>
          <w:highlight w:val="none"/>
        </w:rPr>
      </w:pPr>
      <w:r>
        <w:rPr>
          <w:rFonts w:hint="eastAsia" w:ascii="宋体" w:hAnsi="宋体"/>
          <w:b/>
          <w:color w:val="auto"/>
          <w:sz w:val="24"/>
          <w:szCs w:val="21"/>
          <w:highlight w:val="none"/>
        </w:rPr>
        <w:t xml:space="preserve">③技术部分应当版面整洁、字迹清楚、不许批注或进行底纹、阴影、水印等特殊设置，不得采用任何不符合常规、有别于其他投标人的特殊做法；</w:t>
      </w:r>
      <w:r/>
    </w:p>
    <w:p>
      <w:pPr>
        <w:ind w:firstLine="482"/>
        <w:spacing w:line="360" w:lineRule="auto"/>
        <w:rPr>
          <w:rFonts w:hint="eastAsia" w:ascii="宋体" w:hAnsi="宋体"/>
          <w:bCs/>
          <w:color w:val="auto"/>
          <w:sz w:val="24"/>
          <w:szCs w:val="24"/>
          <w:highlight w:val="none"/>
        </w:rPr>
      </w:pPr>
      <w:r>
        <w:rPr>
          <w:rFonts w:hint="eastAsia" w:ascii="宋体" w:hAnsi="宋体"/>
          <w:b/>
          <w:color w:val="auto"/>
          <w:sz w:val="24"/>
          <w:szCs w:val="21"/>
          <w:highlight w:val="none"/>
        </w:rPr>
        <w:t xml:space="preserve">④不得有其他体现投标人身份的内容。</w:t>
      </w:r>
      <w:r/>
    </w:p>
    <w:sectPr>
      <w:footnotePr/>
      <w:endnotePr/>
      <w:type w:val="nextPage"/>
      <w:pgSz w:w="11906" w:h="16838" w:orient="portrait"/>
      <w:pgMar w:top="1134" w:right="1134" w:bottom="1134" w:left="1134" w:header="624" w:footer="907" w:gutter="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Tahoma">
    <w:panose1 w:val="020B0604030504040204"/>
  </w:font>
  <w:font w:name="华文细黑">
    <w:panose1 w:val="02010600040101010101"/>
  </w:font>
  <w:font w:name="Cambria">
    <w:panose1 w:val="02040503050406030204"/>
  </w:font>
  <w:font w:name="Courier New">
    <w:panose1 w:val="02070309020205020404"/>
  </w:font>
  <w:font w:name="黑体">
    <w:panose1 w:val="02010609060101010101"/>
  </w:font>
  <w:font w:name="华文中宋">
    <w:panose1 w:val="02010600040101010101"/>
  </w:font>
  <w:font w:name="Arial">
    <w:panose1 w:val="020B0604020202020204"/>
  </w:font>
  <w:font w:name="楷体_GB2312">
    <w:panose1 w:val="02010609060101010101"/>
  </w:font>
  <w:font w:name="宋体">
    <w:panose1 w:val="02010600030101010101"/>
  </w:font>
  <w:font w:name="Times New Roman">
    <w:panose1 w:val="02020603050405020304"/>
  </w:font>
  <w:font w:name="Calibri">
    <w:panose1 w:val="020F0502020204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9"/>
      <w:jc w:val="center"/>
      <w:tabs>
        <w:tab w:val="center" w:pos="4153" w:leader="none"/>
        <w:tab w:val="clear" w:pos="7143" w:leader="none"/>
        <w:tab w:val="right" w:pos="8306" w:leader="none"/>
        <w:tab w:val="clear" w:pos="14287"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89"/>
                            <w:jc w:val="center"/>
                            <w:tabs>
                              <w:tab w:val="center" w:pos="4153" w:leader="none"/>
                              <w:tab w:val="clear" w:pos="7143" w:leader="none"/>
                              <w:tab w:val="right" w:pos="8306" w:leader="none"/>
                              <w:tab w:val="clear" w:pos="14287" w:leader="none"/>
                            </w:tabs>
                          </w:pPr>
                          <w:r>
                            <w:rPr>
                              <w:szCs w:val="21"/>
                            </w:rPr>
                            <w:t xml:space="preserve">- </w:t>
                          </w:r>
                          <w:r>
                            <w:rPr>
                              <w:szCs w:val="21"/>
                            </w:rPr>
                            <w:fldChar w:fldCharType="begin"/>
                          </w:r>
                          <w:r>
                            <w:rPr>
                              <w:szCs w:val="21"/>
                            </w:rPr>
                            <w:instrText xml:space="preserve"> PAGE </w:instrText>
                          </w:r>
                          <w:r>
                            <w:rPr>
                              <w:szCs w:val="21"/>
                            </w:rPr>
                            <w:fldChar w:fldCharType="separate"/>
                          </w:r>
                          <w:r>
                            <w:rPr>
                              <w:szCs w:val="21"/>
                            </w:rPr>
                            <w:t xml:space="preserve">6</w:t>
                          </w:r>
                          <w:r>
                            <w:rPr>
                              <w:szCs w:val="21"/>
                            </w:rPr>
                            <w:fldChar w:fldCharType="end"/>
                          </w:r>
                          <w:r>
                            <w:rPr>
                              <w:szCs w:val="21"/>
                            </w:rPr>
                            <w:t xml:space="preserve"> -</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89"/>
                      <w:jc w:val="center"/>
                      <w:tabs>
                        <w:tab w:val="center" w:pos="4153" w:leader="none"/>
                        <w:tab w:val="clear" w:pos="7143" w:leader="none"/>
                        <w:tab w:val="right" w:pos="8306" w:leader="none"/>
                        <w:tab w:val="clear" w:pos="14287" w:leader="none"/>
                      </w:tabs>
                    </w:pPr>
                    <w:r>
                      <w:rPr>
                        <w:szCs w:val="21"/>
                      </w:rPr>
                      <w:t xml:space="preserve">- </w:t>
                    </w:r>
                    <w:r>
                      <w:rPr>
                        <w:szCs w:val="21"/>
                      </w:rPr>
                      <w:fldChar w:fldCharType="begin"/>
                    </w:r>
                    <w:r>
                      <w:rPr>
                        <w:szCs w:val="21"/>
                      </w:rPr>
                      <w:instrText xml:space="preserve"> PAGE </w:instrText>
                    </w:r>
                    <w:r>
                      <w:rPr>
                        <w:szCs w:val="21"/>
                      </w:rPr>
                      <w:fldChar w:fldCharType="separate"/>
                    </w:r>
                    <w:r>
                      <w:rPr>
                        <w:szCs w:val="21"/>
                      </w:rPr>
                      <w:t xml:space="preserve">6</w:t>
                    </w:r>
                    <w:r>
                      <w:rPr>
                        <w:szCs w:val="21"/>
                      </w:rPr>
                      <w:fldChar w:fldCharType="end"/>
                    </w:r>
                    <w:r>
                      <w:rPr>
                        <w:szCs w:val="21"/>
                      </w:rPr>
                      <w:t xml:space="preserve"> -</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9"/>
      <w:tabs>
        <w:tab w:val="center" w:pos="4153" w:leader="none"/>
        <w:tab w:val="clear" w:pos="7143" w:leader="none"/>
        <w:tab w:val="right" w:pos="8306" w:leader="none"/>
        <w:tab w:val="clear" w:pos="14287" w:leader="none"/>
      </w:tabs>
      <w:rPr>
        <w:rStyle w:val="1071"/>
      </w:rPr>
      <w:framePr w:wrap="around" w:vAnchor="text" w:hAnchor="margin" w:xAlign="center" w:y="1"/>
    </w:pPr>
    <w:r>
      <w:rPr>
        <w:rStyle w:val="1071"/>
      </w:rPr>
      <w:fldChar w:fldCharType="begin"/>
    </w:r>
    <w:r>
      <w:rPr>
        <w:rStyle w:val="1071"/>
      </w:rPr>
      <w:instrText xml:space="preserve">PAGE  </w:instrText>
    </w:r>
    <w:r>
      <w:rPr>
        <w:rStyle w:val="1071"/>
      </w:rPr>
      <w:fldChar w:fldCharType="separate"/>
    </w:r>
    <w:r>
      <w:rPr>
        <w:rStyle w:val="1071"/>
      </w:rPr>
      <w:t xml:space="preserve">1</w:t>
    </w:r>
    <w:r>
      <w:rPr>
        <w:rStyle w:val="1071"/>
      </w:rPr>
      <w:fldChar w:fldCharType="end"/>
    </w:r>
    <w:r/>
  </w:p>
  <w:p>
    <w:pPr>
      <w:pStyle w:val="889"/>
      <w:ind w:right="360"/>
      <w:tabs>
        <w:tab w:val="center" w:pos="4153" w:leader="none"/>
        <w:tab w:val="clear" w:pos="7143" w:leader="none"/>
        <w:tab w:val="right" w:pos="8306" w:leader="none"/>
        <w:tab w:val="clear" w:pos="14287"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8"/>
      <w:jc w:val="center"/>
    </w:pPr>
    <w:r>
      <w:rPr>
        <w:szCs w:val="21"/>
      </w:rPr>
      <w:t xml:space="preserve">- </w:t>
    </w:r>
    <w:r>
      <w:rPr>
        <w:szCs w:val="21"/>
      </w:rPr>
      <w:fldChar w:fldCharType="begin"/>
    </w:r>
    <w:r>
      <w:rPr>
        <w:szCs w:val="21"/>
      </w:rPr>
      <w:instrText xml:space="preserve"> PAGE </w:instrText>
    </w:r>
    <w:r>
      <w:rPr>
        <w:szCs w:val="21"/>
      </w:rPr>
      <w:fldChar w:fldCharType="separate"/>
    </w:r>
    <w:r>
      <w:rPr>
        <w:szCs w:val="21"/>
      </w:rPr>
      <w:t xml:space="preserve">1</w:t>
    </w:r>
    <w:r>
      <w:rPr>
        <w:szCs w:val="21"/>
      </w:rPr>
      <w:fldChar w:fldCharType="end"/>
    </w:r>
    <w:r>
      <w:rPr>
        <w:szCs w:val="21"/>
      </w:rPr>
      <w:t xml:space="preserve"> -</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0"/>
      <w:ind w:firstLine="180"/>
      <w:jc w:val="left"/>
      <w:tabs>
        <w:tab w:val="center" w:pos="4524" w:leader="none"/>
        <w:tab w:val="right" w:pos="9048" w:leader="none"/>
      </w:tabs>
      <w:pBdr>
        <w:bottom w:val="none" w:color="auto"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9"/>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9"/>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1104" w:hanging="696"/>
        <w:tabs>
          <w:tab w:val="left" w:pos="1104" w:leader="none"/>
        </w:tabs>
      </w:pPr>
      <w:rPr>
        <w:rFonts w:ascii="Times New Roman" w:hAnsi="Times New Roman" w:eastAsia="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630" w:hanging="420"/>
        <w:tabs>
          <w:tab w:val="left" w:pos="630" w:leader="none"/>
        </w:tabs>
      </w:pPr>
      <w:rPr>
        <w:rFonts w:cs="Times New Roman"/>
      </w:rPr>
    </w:lvl>
    <w:lvl w:ilvl="1">
      <w:start w:val="1"/>
      <w:numFmt w:val="decimal"/>
      <w:isLgl w:val="false"/>
      <w:suff w:val="tab"/>
      <w:lvlText w:val="（%2）"/>
      <w:lvlJc w:val="left"/>
      <w:pPr>
        <w:ind w:left="990" w:hanging="360"/>
        <w:tabs>
          <w:tab w:val="left" w:pos="990" w:leader="none"/>
        </w:tabs>
      </w:pPr>
      <w:rPr>
        <w:rFonts w:ascii="宋体" w:hAnsi="宋体" w:eastAsia="宋体" w:cs="Times New Roman"/>
        <w:color w:val="000000"/>
      </w:rPr>
    </w:lvl>
    <w:lvl w:ilvl="2">
      <w:start w:val="1"/>
      <w:numFmt w:val="lowerRoman"/>
      <w:isLgl w:val="false"/>
      <w:suff w:val="tab"/>
      <w:lvlText w:val="%3."/>
      <w:lvlJc w:val="right"/>
      <w:pPr>
        <w:ind w:left="1470" w:hanging="420"/>
        <w:tabs>
          <w:tab w:val="left" w:pos="1470" w:leader="none"/>
        </w:tabs>
      </w:pPr>
      <w:rPr>
        <w:rFonts w:cs="Times New Roman"/>
      </w:rPr>
    </w:lvl>
    <w:lvl w:ilvl="3">
      <w:start w:val="1"/>
      <w:numFmt w:val="decimal"/>
      <w:isLgl w:val="false"/>
      <w:suff w:val="tab"/>
      <w:lvlText w:val="%4."/>
      <w:lvlJc w:val="left"/>
      <w:pPr>
        <w:ind w:left="1890" w:hanging="420"/>
        <w:tabs>
          <w:tab w:val="left" w:pos="1890" w:leader="none"/>
        </w:tabs>
      </w:pPr>
      <w:rPr>
        <w:rFonts w:cs="Times New Roman"/>
      </w:rPr>
    </w:lvl>
    <w:lvl w:ilvl="4">
      <w:start w:val="1"/>
      <w:numFmt w:val="lowerLetter"/>
      <w:isLgl w:val="false"/>
      <w:suff w:val="tab"/>
      <w:lvlText w:val="%5)"/>
      <w:lvlJc w:val="left"/>
      <w:pPr>
        <w:ind w:left="2310" w:hanging="420"/>
        <w:tabs>
          <w:tab w:val="left" w:pos="2310" w:leader="none"/>
        </w:tabs>
      </w:pPr>
      <w:rPr>
        <w:rFonts w:cs="Times New Roman"/>
      </w:rPr>
    </w:lvl>
    <w:lvl w:ilvl="5">
      <w:start w:val="1"/>
      <w:numFmt w:val="lowerRoman"/>
      <w:isLgl w:val="false"/>
      <w:suff w:val="tab"/>
      <w:lvlText w:val="%6."/>
      <w:lvlJc w:val="right"/>
      <w:pPr>
        <w:ind w:left="2730" w:hanging="420"/>
        <w:tabs>
          <w:tab w:val="left" w:pos="2730" w:leader="none"/>
        </w:tabs>
      </w:pPr>
      <w:rPr>
        <w:rFonts w:cs="Times New Roman"/>
      </w:rPr>
    </w:lvl>
    <w:lvl w:ilvl="6">
      <w:start w:val="1"/>
      <w:numFmt w:val="decimal"/>
      <w:isLgl w:val="false"/>
      <w:suff w:val="tab"/>
      <w:lvlText w:val="%7."/>
      <w:lvlJc w:val="left"/>
      <w:pPr>
        <w:ind w:left="3150" w:hanging="420"/>
        <w:tabs>
          <w:tab w:val="left" w:pos="3150" w:leader="none"/>
        </w:tabs>
      </w:pPr>
      <w:rPr>
        <w:rFonts w:cs="Times New Roman"/>
      </w:rPr>
    </w:lvl>
    <w:lvl w:ilvl="7">
      <w:start w:val="1"/>
      <w:numFmt w:val="lowerLetter"/>
      <w:isLgl w:val="false"/>
      <w:suff w:val="tab"/>
      <w:lvlText w:val="%8)"/>
      <w:lvlJc w:val="left"/>
      <w:pPr>
        <w:ind w:left="3570" w:hanging="420"/>
        <w:tabs>
          <w:tab w:val="left" w:pos="3570" w:leader="none"/>
        </w:tabs>
      </w:pPr>
      <w:rPr>
        <w:rFonts w:cs="Times New Roman"/>
      </w:rPr>
    </w:lvl>
    <w:lvl w:ilvl="8">
      <w:start w:val="1"/>
      <w:numFmt w:val="lowerRoman"/>
      <w:isLgl w:val="false"/>
      <w:suff w:val="tab"/>
      <w:lvlText w:val="%9."/>
      <w:lvlJc w:val="right"/>
      <w:pPr>
        <w:ind w:left="3990" w:hanging="420"/>
        <w:tabs>
          <w:tab w:val="left" w:pos="3990" w:leader="none"/>
        </w:tabs>
      </w:pPr>
      <w:rPr>
        <w:rFonts w:cs="Times New Roman"/>
      </w:rPr>
    </w:lvl>
  </w:abstractNum>
  <w:abstractNum w:abstractNumId="2">
    <w:multiLevelType w:val="hybridMultilevel"/>
    <w:lvl w:ilvl="0">
      <w:start w:val="1"/>
      <w:numFmt w:val="decimal"/>
      <w:isLgl w:val="false"/>
      <w:suff w:val="tab"/>
      <w:lvlText w:val="%1．"/>
      <w:lvlJc w:val="left"/>
      <w:pPr>
        <w:ind w:left="552" w:hanging="420"/>
        <w:tabs>
          <w:tab w:val="left" w:pos="552" w:leader="none"/>
        </w:tabs>
      </w:pPr>
      <w:rPr>
        <w:rFonts w:hint="eastAsia"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447" w:hanging="420"/>
        <w:tabs>
          <w:tab w:val="left" w:pos="552" w:leader="none"/>
        </w:tabs>
      </w:pPr>
      <w:rPr>
        <w:rFonts w:hint="eastAsia"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pStyle w:val="803"/>
      <w:isLgl w:val="false"/>
      <w:suff w:val="tab"/>
      <w:lvlText w:val=""/>
      <w:lvlJc w:val="left"/>
      <w:pPr>
        <w:ind w:left="420" w:hanging="420"/>
        <w:tabs>
          <w:tab w:val="left" w:pos="420" w:leader="none"/>
        </w:tabs>
      </w:pPr>
      <w:rPr>
        <w:rFonts w:ascii="Wingdings" w:hAnsi="Wingdings"/>
      </w:rPr>
    </w:lvl>
    <w:lvl w:ilvl="1">
      <w:start w:val="1"/>
      <w:numFmt w:val="bullet"/>
      <w:isLgl w:val="false"/>
      <w:suff w:val="tab"/>
      <w:lvlText w:val=""/>
      <w:lvlJc w:val="left"/>
      <w:pPr>
        <w:ind w:left="3165" w:hanging="420"/>
        <w:tabs>
          <w:tab w:val="left" w:pos="3165" w:leader="none"/>
        </w:tabs>
      </w:pPr>
      <w:rPr>
        <w:rFonts w:ascii="Wingdings" w:hAnsi="Wingdings"/>
      </w:rPr>
    </w:lvl>
    <w:lvl w:ilvl="2">
      <w:start w:val="1"/>
      <w:numFmt w:val="bullet"/>
      <w:isLgl w:val="false"/>
      <w:suff w:val="tab"/>
      <w:lvlText w:val=""/>
      <w:lvlJc w:val="left"/>
      <w:pPr>
        <w:ind w:left="3585" w:hanging="420"/>
        <w:tabs>
          <w:tab w:val="left" w:pos="3585" w:leader="none"/>
        </w:tabs>
      </w:pPr>
      <w:rPr>
        <w:rFonts w:ascii="Wingdings" w:hAnsi="Wingdings"/>
      </w:rPr>
    </w:lvl>
    <w:lvl w:ilvl="3">
      <w:start w:val="1"/>
      <w:numFmt w:val="bullet"/>
      <w:isLgl w:val="false"/>
      <w:suff w:val="tab"/>
      <w:lvlText w:val=""/>
      <w:lvlJc w:val="left"/>
      <w:pPr>
        <w:ind w:left="4005" w:hanging="420"/>
        <w:tabs>
          <w:tab w:val="left" w:pos="4005" w:leader="none"/>
        </w:tabs>
      </w:pPr>
      <w:rPr>
        <w:rFonts w:ascii="Wingdings" w:hAnsi="Wingdings"/>
      </w:rPr>
    </w:lvl>
    <w:lvl w:ilvl="4">
      <w:start w:val="1"/>
      <w:numFmt w:val="bullet"/>
      <w:isLgl w:val="false"/>
      <w:suff w:val="tab"/>
      <w:lvlText w:val=""/>
      <w:lvlJc w:val="left"/>
      <w:pPr>
        <w:ind w:left="4425" w:hanging="420"/>
        <w:tabs>
          <w:tab w:val="left" w:pos="4425" w:leader="none"/>
        </w:tabs>
      </w:pPr>
      <w:rPr>
        <w:rFonts w:ascii="Wingdings" w:hAnsi="Wingdings"/>
      </w:rPr>
    </w:lvl>
    <w:lvl w:ilvl="5">
      <w:start w:val="1"/>
      <w:numFmt w:val="bullet"/>
      <w:isLgl w:val="false"/>
      <w:suff w:val="tab"/>
      <w:lvlText w:val=""/>
      <w:lvlJc w:val="left"/>
      <w:pPr>
        <w:ind w:left="4845" w:hanging="420"/>
        <w:tabs>
          <w:tab w:val="left" w:pos="4845" w:leader="none"/>
        </w:tabs>
      </w:pPr>
      <w:rPr>
        <w:rFonts w:ascii="Wingdings" w:hAnsi="Wingdings"/>
      </w:rPr>
    </w:lvl>
    <w:lvl w:ilvl="6">
      <w:start w:val="1"/>
      <w:numFmt w:val="bullet"/>
      <w:isLgl w:val="false"/>
      <w:suff w:val="tab"/>
      <w:lvlText w:val=""/>
      <w:lvlJc w:val="left"/>
      <w:pPr>
        <w:ind w:left="5265" w:hanging="420"/>
        <w:tabs>
          <w:tab w:val="left" w:pos="5265" w:leader="none"/>
        </w:tabs>
      </w:pPr>
      <w:rPr>
        <w:rFonts w:ascii="Wingdings" w:hAnsi="Wingdings"/>
      </w:rPr>
    </w:lvl>
    <w:lvl w:ilvl="7">
      <w:start w:val="1"/>
      <w:numFmt w:val="bullet"/>
      <w:isLgl w:val="false"/>
      <w:suff w:val="tab"/>
      <w:lvlText w:val=""/>
      <w:lvlJc w:val="left"/>
      <w:pPr>
        <w:ind w:left="5685" w:hanging="420"/>
        <w:tabs>
          <w:tab w:val="left" w:pos="5685" w:leader="none"/>
        </w:tabs>
      </w:pPr>
      <w:rPr>
        <w:rFonts w:ascii="Wingdings" w:hAnsi="Wingdings"/>
      </w:rPr>
    </w:lvl>
    <w:lvl w:ilvl="8">
      <w:start w:val="1"/>
      <w:numFmt w:val="bullet"/>
      <w:isLgl w:val="false"/>
      <w:suff w:val="tab"/>
      <w:lvlText w:val=""/>
      <w:lvlJc w:val="left"/>
      <w:pPr>
        <w:ind w:left="6105" w:hanging="420"/>
        <w:tabs>
          <w:tab w:val="left" w:pos="6105" w:leader="none"/>
        </w:tabs>
      </w:pPr>
      <w:rPr>
        <w:rFonts w:ascii="Wingdings" w:hAnsi="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upperLetter"/>
      <w:pStyle w:val="772"/>
      <w:isLgl w:val="false"/>
      <w:suff w:val="tab"/>
      <w:lvlText w:val="%1."/>
      <w:lvlJc w:val="left"/>
      <w:pPr>
        <w:ind w:left="360" w:hanging="360"/>
        <w:tabs>
          <w:tab w:val="left" w:pos="360" w:leader="none"/>
        </w:tabs>
      </w:pPr>
      <w:rPr>
        <w:rFonts w:cs="Times New Roman"/>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7">
    <w:multiLevelType w:val="hybridMultilevel"/>
    <w:lvl w:ilvl="0">
      <w:start w:val="1"/>
      <w:numFmt w:val="decimal"/>
      <w:isLgl w:val="false"/>
      <w:suff w:val="tab"/>
      <w:lvlText w:val="%1."/>
      <w:lvlJc w:val="left"/>
      <w:pPr>
        <w:ind w:left="510" w:hanging="360"/>
        <w:tabs>
          <w:tab w:val="left" w:pos="510" w:leader="none"/>
        </w:tabs>
      </w:pPr>
      <w:rPr>
        <w:rFonts w:hint="eastAsia" w:cs="Times New Roman"/>
      </w:rPr>
    </w:lvl>
    <w:lvl w:ilvl="1">
      <w:start w:val="1"/>
      <w:numFmt w:val="decimal"/>
      <w:isLgl w:val="false"/>
      <w:suff w:val="tab"/>
      <w:lvlText w:val="%2．"/>
      <w:lvlJc w:val="left"/>
      <w:pPr>
        <w:ind w:left="1290" w:hanging="720"/>
        <w:tabs>
          <w:tab w:val="left" w:pos="1290" w:leader="none"/>
        </w:tabs>
      </w:pPr>
      <w:rPr>
        <w:rFonts w:hint="eastAsia" w:cs="Times New Roman"/>
      </w:rPr>
    </w:lvl>
    <w:lvl w:ilvl="2">
      <w:start w:val="3"/>
      <w:numFmt w:val="decimal"/>
      <w:isLgl w:val="false"/>
      <w:suff w:val="tab"/>
      <w:lvlText w:val="（%3）"/>
      <w:lvlJc w:val="left"/>
      <w:pPr>
        <w:ind w:left="1140" w:hanging="720"/>
        <w:tabs>
          <w:tab w:val="left" w:pos="1140" w:leader="none"/>
        </w:tabs>
      </w:pPr>
      <w:rPr>
        <w:rFonts w:hint="eastAsia" w:cs="Times New Roman"/>
      </w:rPr>
    </w:lvl>
    <w:lvl w:ilvl="3">
      <w:start w:val="1"/>
      <w:numFmt w:val="decimal"/>
      <w:isLgl w:val="false"/>
      <w:suff w:val="tab"/>
      <w:lvlText w:val="（%4）"/>
      <w:lvlJc w:val="left"/>
      <w:pPr>
        <w:ind w:left="1830" w:hanging="420"/>
        <w:tabs>
          <w:tab w:val="left" w:pos="1830" w:leader="none"/>
        </w:tabs>
      </w:pPr>
      <w:rPr>
        <w:rFonts w:ascii="宋体" w:hAnsi="宋体" w:eastAsia="宋体" w:cs="Times New Roman"/>
      </w:rPr>
    </w:lvl>
    <w:lvl w:ilvl="4">
      <w:start w:val="1"/>
      <w:numFmt w:val="decimal"/>
      <w:isLgl w:val="false"/>
      <w:suff w:val="tab"/>
      <w:lvlText w:val="（%5）"/>
      <w:lvlJc w:val="left"/>
      <w:pPr>
        <w:ind w:left="846" w:hanging="420"/>
        <w:tabs>
          <w:tab w:val="left" w:pos="846" w:leader="none"/>
        </w:tabs>
      </w:pPr>
      <w:rPr>
        <w:rFonts w:hint="eastAsia" w:cs="Times New Roman"/>
      </w:rPr>
    </w:lvl>
    <w:lvl w:ilvl="5">
      <w:start w:val="10"/>
      <w:numFmt w:val="japaneseCounting"/>
      <w:isLgl w:val="false"/>
      <w:suff w:val="tab"/>
      <w:lvlText w:val="（%6）"/>
      <w:lvlJc w:val="left"/>
      <w:pPr>
        <w:ind w:left="2970" w:hanging="720"/>
      </w:pPr>
      <w:rPr>
        <w:rFonts w:cs="Times New Roman"/>
      </w:rPr>
    </w:lvl>
    <w:lvl w:ilvl="6">
      <w:start w:val="1"/>
      <w:numFmt w:val="decimal"/>
      <w:isLgl w:val="false"/>
      <w:suff w:val="tab"/>
      <w:lvlText w:val="%7."/>
      <w:lvlJc w:val="left"/>
      <w:pPr>
        <w:ind w:left="3090" w:hanging="420"/>
        <w:tabs>
          <w:tab w:val="left" w:pos="3090" w:leader="none"/>
        </w:tabs>
      </w:pPr>
      <w:rPr>
        <w:rFonts w:cs="Times New Roman"/>
      </w:rPr>
    </w:lvl>
    <w:lvl w:ilvl="7">
      <w:start w:val="1"/>
      <w:numFmt w:val="lowerLetter"/>
      <w:isLgl w:val="false"/>
      <w:suff w:val="tab"/>
      <w:lvlText w:val="%8)"/>
      <w:lvlJc w:val="left"/>
      <w:pPr>
        <w:ind w:left="3510" w:hanging="420"/>
        <w:tabs>
          <w:tab w:val="left" w:pos="3510" w:leader="none"/>
        </w:tabs>
      </w:pPr>
      <w:rPr>
        <w:rFonts w:cs="Times New Roman"/>
      </w:rPr>
    </w:lvl>
    <w:lvl w:ilvl="8">
      <w:start w:val="1"/>
      <w:numFmt w:val="lowerRoman"/>
      <w:isLgl w:val="false"/>
      <w:suff w:val="tab"/>
      <w:lvlText w:val="%9."/>
      <w:lvlJc w:val="right"/>
      <w:pPr>
        <w:ind w:left="3930" w:hanging="420"/>
        <w:tabs>
          <w:tab w:val="left" w:pos="3930" w:leader="none"/>
        </w:tabs>
      </w:pPr>
      <w:rPr>
        <w:rFonts w:cs="Times New Roman"/>
      </w:rPr>
    </w:lvl>
  </w:abstractNum>
  <w:abstractNum w:abstractNumId="8">
    <w:multiLevelType w:val="hybridMultilevel"/>
    <w:lvl w:ilvl="0">
      <w:start w:val="1"/>
      <w:numFmt w:val="decimal"/>
      <w:isLgl w:val="false"/>
      <w:suff w:val="tab"/>
      <w:lvlText w:val="%1．"/>
      <w:lvlJc w:val="left"/>
      <w:pPr>
        <w:ind w:left="898" w:hanging="720"/>
        <w:tabs>
          <w:tab w:val="left" w:pos="898" w:leader="none"/>
        </w:tabs>
      </w:pPr>
      <w:rPr>
        <w:rFonts w:hint="eastAsia" w:cs="Times New Roman"/>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9">
    <w:multiLevelType w:val="hybridMultilevel"/>
    <w:lvl w:ilvl="0">
      <w:start w:val="1"/>
      <w:numFmt w:val="decimal"/>
      <w:isLgl w:val="false"/>
      <w:suff w:val="tab"/>
      <w:lvlText w:val="%1."/>
      <w:lvlJc w:val="left"/>
      <w:pPr>
        <w:ind w:left="762" w:hanging="210"/>
        <w:tabs>
          <w:tab w:val="left" w:pos="762" w:leader="none"/>
        </w:tabs>
      </w:pPr>
      <w:rPr>
        <w:rFonts w:hint="eastAsia"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ind w:left="552" w:hanging="420"/>
        <w:tabs>
          <w:tab w:val="left" w:pos="552" w:leader="none"/>
        </w:tabs>
      </w:pPr>
      <w:rPr>
        <w:rFonts w:hint="eastAsia"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13">
    <w:multiLevelType w:val="hybridMultilevel"/>
    <w:lvl w:ilvl="0">
      <w:start w:val="1"/>
      <w:numFmt w:val="chineseCountingThousand"/>
      <w:isLgl w:val="false"/>
      <w:suff w:val="tab"/>
      <w:lvlText w:val="第%1部分"/>
      <w:lvlJc w:val="left"/>
      <w:pPr>
        <w:ind w:left="425" w:hanging="425"/>
        <w:tabs>
          <w:tab w:val="left" w:pos="1800" w:leader="none"/>
        </w:tabs>
      </w:pPr>
      <w:rPr>
        <w:rFonts w:hint="eastAsia"/>
        <w:lang w:val="en-US"/>
      </w:rPr>
    </w:lvl>
    <w:lvl w:ilvl="1">
      <w:start w:val="1"/>
      <w:numFmt w:val="decimal"/>
      <w:pStyle w:val="844"/>
      <w:isLgl w:val="false"/>
      <w:suff w:val="tab"/>
      <w:lvlText w:val="%1.%2"/>
      <w:lvlJc w:val="left"/>
      <w:pPr>
        <w:ind w:left="567" w:hanging="567"/>
        <w:tabs>
          <w:tab w:val="left" w:pos="567" w:leader="none"/>
        </w:tabs>
      </w:pPr>
      <w:rPr>
        <w:rFonts w:hint="eastAsia"/>
      </w:rPr>
    </w:lvl>
    <w:lvl w:ilvl="2">
      <w:start w:val="1"/>
      <w:numFmt w:val="decimal"/>
      <w:isLgl w:val="false"/>
      <w:suff w:val="tab"/>
      <w:lvlText w:val="%1.%2.%3"/>
      <w:lvlJc w:val="left"/>
      <w:pPr>
        <w:ind w:left="340" w:hanging="340"/>
        <w:tabs>
          <w:tab w:val="left" w:pos="1080"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1080" w:leader="none"/>
        </w:tabs>
      </w:pPr>
      <w:rPr>
        <w:rFonts w:hint="eastAsia"/>
      </w:rPr>
    </w:lvl>
    <w:lvl w:ilvl="5">
      <w:start w:val="1"/>
      <w:numFmt w:val="decimal"/>
      <w:isLgl w:val="false"/>
      <w:suff w:val="tab"/>
      <w:lvlText w:val="%1.%2.%3.%4.%5.%6"/>
      <w:lvlJc w:val="left"/>
      <w:pPr>
        <w:ind w:left="1134" w:hanging="1134"/>
        <w:tabs>
          <w:tab w:val="left" w:pos="1440"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4">
    <w:multiLevelType w:val="hybridMultilevel"/>
    <w:lvl w:ilvl="0">
      <w:start w:val="1"/>
      <w:numFmt w:val="decimal"/>
      <w:isLgl w:val="false"/>
      <w:suff w:val="tab"/>
      <w:lvlText w:val="%1．"/>
      <w:lvlJc w:val="left"/>
      <w:pPr>
        <w:ind w:left="570" w:hanging="420"/>
        <w:tabs>
          <w:tab w:val="left" w:pos="570" w:leader="none"/>
        </w:tabs>
      </w:pPr>
      <w:rPr>
        <w:rFonts w:hint="eastAsia"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tab"/>
      <w:lvlText w:val="%1."/>
      <w:lvlJc w:val="left"/>
      <w:pPr>
        <w:ind w:left="762" w:hanging="210"/>
        <w:tabs>
          <w:tab w:val="left" w:pos="762" w:leader="none"/>
        </w:tabs>
      </w:pPr>
      <w:rPr>
        <w:rFonts w:hint="eastAsia"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4"/>
  </w:num>
  <w:num w:numId="3">
    <w:abstractNumId w:val="13"/>
  </w:num>
  <w:num w:numId="4">
    <w:abstractNumId w:val="5"/>
  </w:num>
  <w:num w:numId="5">
    <w:abstractNumId w:val="10"/>
  </w:num>
  <w:num w:numId="6">
    <w:abstractNumId w:val="2"/>
  </w:num>
  <w:num w:numId="7">
    <w:abstractNumId w:val="1"/>
  </w:num>
  <w:num w:numId="8">
    <w:abstractNumId w:val="8"/>
  </w:num>
  <w:num w:numId="9">
    <w:abstractNumId w:val="9"/>
  </w:num>
  <w:num w:numId="10">
    <w:abstractNumId w:val="15"/>
  </w:num>
  <w:num w:numId="11">
    <w:abstractNumId w:val="7"/>
  </w:num>
  <w:num w:numId="12">
    <w:abstractNumId w:val="0"/>
  </w:num>
  <w:num w:numId="13">
    <w:abstractNumId w:val="11"/>
  </w:num>
  <w:num w:numId="14">
    <w:abstractNumId w:val="14"/>
  </w:num>
  <w:num w:numId="15">
    <w:abstractNumId w:val="3"/>
  </w:num>
  <w:num w:numId="1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7" w:default="1">
    <w:name w:val="Normal"/>
    <w:next w:val="779"/>
    <w:uiPriority w:val="0"/>
    <w:qFormat/>
    <w:pPr>
      <w:jc w:val="both"/>
      <w:widowControl w:val="off"/>
    </w:pPr>
    <w:rPr>
      <w:rFonts w:hint="default" w:ascii="Times New Roman" w:hAnsi="Times New Roman" w:eastAsia="宋体" w:cs="Times New Roman"/>
      <w:sz w:val="21"/>
      <w:lang w:val="en-US" w:eastAsia="zh-CN" w:bidi="ar-SA"/>
    </w:rPr>
  </w:style>
  <w:style w:type="paragraph" w:styleId="768">
    <w:name w:val="Heading 1"/>
    <w:basedOn w:val="767"/>
    <w:next w:val="767"/>
    <w:link w:val="1021"/>
    <w:uiPriority w:val="99"/>
    <w:qFormat/>
    <w:pPr>
      <w:jc w:val="center"/>
      <w:keepNext/>
      <w:outlineLvl w:val="0"/>
    </w:pPr>
    <w:rPr>
      <w:rFonts w:ascii="楷体_GB2312" w:eastAsia="楷体_GB2312"/>
      <w:b/>
      <w:sz w:val="28"/>
    </w:rPr>
  </w:style>
  <w:style w:type="paragraph" w:styleId="769">
    <w:name w:val="Heading 2"/>
    <w:basedOn w:val="767"/>
    <w:next w:val="767"/>
    <w:link w:val="1022"/>
    <w:uiPriority w:val="99"/>
    <w:qFormat/>
    <w:pPr>
      <w:jc w:val="center"/>
      <w:keepNext/>
      <w:outlineLvl w:val="1"/>
    </w:pPr>
    <w:rPr>
      <w:rFonts w:ascii="楷体_GB2312" w:eastAsia="楷体_GB2312"/>
      <w:b/>
      <w:bCs/>
      <w:sz w:val="18"/>
    </w:rPr>
  </w:style>
  <w:style w:type="paragraph" w:styleId="770">
    <w:name w:val="Heading 3"/>
    <w:basedOn w:val="767"/>
    <w:next w:val="767"/>
    <w:link w:val="1023"/>
    <w:uiPriority w:val="99"/>
    <w:qFormat/>
    <w:pPr>
      <w:jc w:val="center"/>
      <w:keepNext/>
      <w:outlineLvl w:val="2"/>
    </w:pPr>
    <w:rPr>
      <w:rFonts w:eastAsia="楷体_GB2312"/>
      <w:b/>
      <w:bCs/>
      <w:sz w:val="15"/>
    </w:rPr>
  </w:style>
  <w:style w:type="paragraph" w:styleId="771">
    <w:name w:val="Heading 4"/>
    <w:basedOn w:val="767"/>
    <w:next w:val="767"/>
    <w:link w:val="1024"/>
    <w:uiPriority w:val="99"/>
    <w:qFormat/>
    <w:pPr>
      <w:jc w:val="center"/>
      <w:keepNext/>
      <w:outlineLvl w:val="3"/>
    </w:pPr>
    <w:rPr>
      <w:rFonts w:eastAsia="楷体_GB2312"/>
      <w:b/>
      <w:bCs/>
      <w:sz w:val="13"/>
    </w:rPr>
  </w:style>
  <w:style w:type="paragraph" w:styleId="772">
    <w:name w:val="Heading 5"/>
    <w:basedOn w:val="767"/>
    <w:next w:val="767"/>
    <w:link w:val="1025"/>
    <w:uiPriority w:val="99"/>
    <w:qFormat/>
    <w:pPr>
      <w:numPr>
        <w:ilvl w:val="0"/>
        <w:numId w:val="1"/>
      </w:numPr>
      <w:keepNext/>
      <w:outlineLvl w:val="4"/>
    </w:pPr>
    <w:rPr>
      <w:rFonts w:ascii="楷体_GB2312" w:eastAsia="楷体_GB2312"/>
      <w:bCs/>
      <w:sz w:val="28"/>
    </w:rPr>
  </w:style>
  <w:style w:type="paragraph" w:styleId="773">
    <w:name w:val="Heading 6"/>
    <w:basedOn w:val="767"/>
    <w:next w:val="767"/>
    <w:uiPriority w:val="9"/>
    <w:unhideWhenUsed/>
    <w:qFormat/>
    <w:pPr>
      <w:keepLines/>
      <w:keepNext/>
      <w:spacing w:before="320" w:after="200"/>
      <w:outlineLvl w:val="5"/>
    </w:pPr>
    <w:rPr>
      <w:rFonts w:ascii="Arial" w:hAnsi="Arial" w:eastAsia="Arial" w:cs="Arial"/>
      <w:b/>
      <w:bCs/>
      <w:sz w:val="22"/>
      <w:szCs w:val="22"/>
    </w:rPr>
  </w:style>
  <w:style w:type="paragraph" w:styleId="774">
    <w:name w:val="Heading 7"/>
    <w:basedOn w:val="767"/>
    <w:next w:val="767"/>
    <w:uiPriority w:val="9"/>
    <w:unhideWhenUsed/>
    <w:qFormat/>
    <w:pPr>
      <w:keepLines/>
      <w:keepNext/>
      <w:spacing w:before="320" w:after="200"/>
      <w:outlineLvl w:val="6"/>
    </w:pPr>
    <w:rPr>
      <w:rFonts w:ascii="Arial" w:hAnsi="Arial" w:eastAsia="Arial" w:cs="Arial"/>
      <w:b/>
      <w:bCs/>
      <w:i/>
      <w:iCs/>
      <w:sz w:val="22"/>
      <w:szCs w:val="22"/>
    </w:rPr>
  </w:style>
  <w:style w:type="paragraph" w:styleId="775">
    <w:name w:val="Heading 8"/>
    <w:basedOn w:val="767"/>
    <w:next w:val="767"/>
    <w:uiPriority w:val="9"/>
    <w:unhideWhenUsed/>
    <w:qFormat/>
    <w:pPr>
      <w:keepLines/>
      <w:keepNext/>
      <w:spacing w:before="320" w:after="200"/>
      <w:outlineLvl w:val="7"/>
    </w:pPr>
    <w:rPr>
      <w:rFonts w:ascii="Arial" w:hAnsi="Arial" w:eastAsia="Arial" w:cs="Arial"/>
      <w:i/>
      <w:iCs/>
      <w:sz w:val="22"/>
      <w:szCs w:val="22"/>
    </w:rPr>
  </w:style>
  <w:style w:type="paragraph" w:styleId="776">
    <w:name w:val="Heading 9"/>
    <w:basedOn w:val="767"/>
    <w:next w:val="767"/>
    <w:uiPriority w:val="9"/>
    <w:unhideWhenUsed/>
    <w:qFormat/>
    <w:pPr>
      <w:keepLines/>
      <w:keepNext/>
      <w:spacing w:before="320" w:after="200"/>
      <w:outlineLvl w:val="8"/>
    </w:pPr>
    <w:rPr>
      <w:rFonts w:ascii="Arial" w:hAnsi="Arial" w:eastAsia="Arial" w:cs="Arial"/>
      <w:i/>
      <w:iCs/>
      <w:sz w:val="21"/>
      <w:szCs w:val="21"/>
    </w:rPr>
  </w:style>
  <w:style w:type="character" w:styleId="777" w:default="1">
    <w:name w:val="Default Paragraph Font"/>
    <w:uiPriority w:val="1"/>
    <w:semiHidden/>
    <w:unhideWhenUsed/>
    <w:qFormat/>
  </w:style>
  <w:style w:type="table" w:styleId="778" w:default="1">
    <w:name w:val="Normal Table"/>
    <w:uiPriority w:val="99"/>
    <w:semiHidden/>
    <w:unhideWhenUsed/>
    <w:qFormat/>
    <w:tblPr>
      <w:tblCellMar>
        <w:left w:w="108" w:type="dxa"/>
        <w:top w:w="0" w:type="dxa"/>
        <w:right w:w="108" w:type="dxa"/>
        <w:bottom w:w="0" w:type="dxa"/>
      </w:tblCellMar>
    </w:tblPr>
  </w:style>
  <w:style w:type="paragraph" w:styleId="779" w:customStyle="1">
    <w:name w:val="正文文本1"/>
    <w:basedOn w:val="767"/>
    <w:next w:val="780"/>
    <w:uiPriority w:val="0"/>
    <w:qFormat/>
    <w:rPr>
      <w:rFonts w:ascii="华文中宋" w:eastAsia="华文中宋"/>
      <w:bCs/>
      <w:sz w:val="28"/>
    </w:rPr>
  </w:style>
  <w:style w:type="paragraph" w:styleId="780" w:customStyle="1">
    <w:name w:val="列表项目符号 51"/>
    <w:basedOn w:val="767"/>
    <w:uiPriority w:val="0"/>
    <w:qFormat/>
    <w:pPr>
      <w:ind w:left="2040" w:hanging="360"/>
      <w:spacing w:line="360" w:lineRule="exact"/>
      <w:widowControl/>
      <w:tabs>
        <w:tab w:val="left" w:pos="2040" w:leader="none"/>
      </w:tabs>
    </w:pPr>
    <w:rPr>
      <w:rFonts w:eastAsia="楷体_GB2312"/>
      <w:sz w:val="24"/>
    </w:rPr>
  </w:style>
  <w:style w:type="paragraph" w:styleId="781">
    <w:name w:val="toc 7"/>
    <w:basedOn w:val="767"/>
    <w:next w:val="767"/>
    <w:uiPriority w:val="39"/>
    <w:qFormat/>
    <w:pPr>
      <w:ind w:left="1701"/>
      <w:spacing w:after="57"/>
    </w:pPr>
  </w:style>
  <w:style w:type="paragraph" w:styleId="782">
    <w:name w:val="Normal Indent"/>
    <w:basedOn w:val="767"/>
    <w:link w:val="1026"/>
    <w:uiPriority w:val="0"/>
    <w:qFormat/>
    <w:pPr>
      <w:ind w:firstLine="420"/>
    </w:pPr>
    <w:rPr>
      <w:szCs w:val="24"/>
    </w:rPr>
  </w:style>
  <w:style w:type="paragraph" w:styleId="783">
    <w:name w:val="Caption"/>
    <w:basedOn w:val="767"/>
    <w:next w:val="767"/>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84">
    <w:name w:val="index 5"/>
    <w:basedOn w:val="767"/>
    <w:next w:val="767"/>
    <w:uiPriority w:val="99"/>
    <w:qFormat/>
    <w:pPr>
      <w:ind w:left="800"/>
    </w:pPr>
  </w:style>
  <w:style w:type="paragraph" w:styleId="785">
    <w:name w:val="Document Map"/>
    <w:basedOn w:val="767"/>
    <w:next w:val="767"/>
    <w:link w:val="1027"/>
    <w:uiPriority w:val="99"/>
    <w:qFormat/>
    <w:pPr>
      <w:shd w:val="clear" w:color="auto" w:fill="000080"/>
    </w:pPr>
    <w:rPr>
      <w:sz w:val="20"/>
    </w:rPr>
  </w:style>
  <w:style w:type="paragraph" w:styleId="786">
    <w:name w:val="annotation text"/>
    <w:basedOn w:val="767"/>
    <w:link w:val="1028"/>
    <w:uiPriority w:val="0"/>
    <w:qFormat/>
    <w:pPr>
      <w:jc w:val="left"/>
    </w:pPr>
    <w:rPr>
      <w:sz w:val="20"/>
      <w:szCs w:val="24"/>
    </w:rPr>
  </w:style>
  <w:style w:type="paragraph" w:styleId="787">
    <w:name w:val="Body Text"/>
    <w:basedOn w:val="767"/>
    <w:next w:val="788"/>
    <w:link w:val="1029"/>
    <w:uiPriority w:val="99"/>
    <w:qFormat/>
    <w:rPr>
      <w:rFonts w:ascii="华文中宋" w:eastAsia="华文中宋"/>
      <w:bCs/>
      <w:sz w:val="28"/>
    </w:rPr>
  </w:style>
  <w:style w:type="paragraph" w:styleId="788">
    <w:name w:val="toc 2"/>
    <w:basedOn w:val="767"/>
    <w:next w:val="767"/>
    <w:uiPriority w:val="39"/>
    <w:qFormat/>
    <w:pPr>
      <w:ind w:left="283"/>
      <w:spacing w:after="57"/>
    </w:pPr>
  </w:style>
  <w:style w:type="paragraph" w:styleId="789">
    <w:name w:val="Body Text Indent"/>
    <w:basedOn w:val="767"/>
    <w:link w:val="1030"/>
    <w:uiPriority w:val="0"/>
    <w:qFormat/>
    <w:pPr>
      <w:ind w:firstLine="576"/>
    </w:pPr>
    <w:rPr>
      <w:b/>
      <w:sz w:val="30"/>
    </w:rPr>
  </w:style>
  <w:style w:type="paragraph" w:styleId="790">
    <w:name w:val="toc 5"/>
    <w:basedOn w:val="767"/>
    <w:next w:val="767"/>
    <w:uiPriority w:val="39"/>
    <w:qFormat/>
    <w:pPr>
      <w:ind w:left="1134"/>
      <w:spacing w:after="57"/>
    </w:pPr>
  </w:style>
  <w:style w:type="paragraph" w:styleId="791">
    <w:name w:val="toc 3"/>
    <w:basedOn w:val="767"/>
    <w:next w:val="767"/>
    <w:uiPriority w:val="39"/>
    <w:qFormat/>
    <w:pPr>
      <w:ind w:left="567"/>
      <w:spacing w:after="57"/>
    </w:pPr>
  </w:style>
  <w:style w:type="paragraph" w:styleId="792">
    <w:name w:val="Plain Text"/>
    <w:basedOn w:val="767"/>
    <w:link w:val="1031"/>
    <w:uiPriority w:val="0"/>
    <w:qFormat/>
    <w:rPr>
      <w:rFonts w:ascii="宋体" w:hAnsi="Courier New"/>
      <w:szCs w:val="21"/>
    </w:rPr>
  </w:style>
  <w:style w:type="paragraph" w:styleId="793">
    <w:name w:val="toc 8"/>
    <w:basedOn w:val="767"/>
    <w:next w:val="767"/>
    <w:uiPriority w:val="39"/>
    <w:qFormat/>
    <w:pPr>
      <w:ind w:left="1984"/>
      <w:spacing w:after="57"/>
    </w:pPr>
  </w:style>
  <w:style w:type="paragraph" w:styleId="794">
    <w:name w:val="Date"/>
    <w:basedOn w:val="767"/>
    <w:next w:val="767"/>
    <w:link w:val="1032"/>
    <w:uiPriority w:val="99"/>
    <w:qFormat/>
    <w:rPr>
      <w:rFonts w:eastAsia="黑体"/>
      <w:b/>
      <w:sz w:val="36"/>
    </w:rPr>
  </w:style>
  <w:style w:type="paragraph" w:styleId="795">
    <w:name w:val="Body Text Indent 2"/>
    <w:basedOn w:val="767"/>
    <w:link w:val="1033"/>
    <w:uiPriority w:val="99"/>
    <w:qFormat/>
    <w:pPr>
      <w:ind w:left="900"/>
    </w:pPr>
    <w:rPr>
      <w:rFonts w:ascii="楷体_GB2312" w:eastAsia="楷体_GB2312"/>
      <w:b/>
      <w:sz w:val="28"/>
    </w:rPr>
  </w:style>
  <w:style w:type="paragraph" w:styleId="796">
    <w:name w:val="endnote text"/>
    <w:basedOn w:val="767"/>
    <w:link w:val="1019"/>
    <w:uiPriority w:val="99"/>
    <w:qFormat/>
    <w:rPr>
      <w:sz w:val="20"/>
    </w:rPr>
  </w:style>
  <w:style w:type="paragraph" w:styleId="797">
    <w:name w:val="Balloon Text"/>
    <w:basedOn w:val="767"/>
    <w:link w:val="1034"/>
    <w:uiPriority w:val="99"/>
    <w:qFormat/>
    <w:rPr>
      <w:sz w:val="18"/>
      <w:szCs w:val="18"/>
    </w:rPr>
  </w:style>
  <w:style w:type="paragraph" w:styleId="798">
    <w:name w:val="Footer"/>
    <w:basedOn w:val="767"/>
    <w:link w:val="1035"/>
    <w:uiPriority w:val="99"/>
    <w:qFormat/>
    <w:pPr>
      <w:jc w:val="left"/>
      <w:tabs>
        <w:tab w:val="center" w:pos="4153" w:leader="none"/>
        <w:tab w:val="right" w:pos="8306" w:leader="none"/>
      </w:tabs>
    </w:pPr>
    <w:rPr>
      <w:sz w:val="18"/>
      <w:szCs w:val="18"/>
    </w:rPr>
  </w:style>
  <w:style w:type="paragraph" w:styleId="799">
    <w:name w:val="Header"/>
    <w:basedOn w:val="767"/>
    <w:link w:val="1036"/>
    <w:uiPriority w:val="0"/>
    <w:qFormat/>
    <w:pPr>
      <w:jc w:val="center"/>
      <w:tabs>
        <w:tab w:val="center" w:pos="4153" w:leader="none"/>
        <w:tab w:val="right" w:pos="8306" w:leader="none"/>
      </w:tabs>
      <w:pBdr>
        <w:bottom w:val="single" w:color="000000" w:sz="6" w:space="1"/>
      </w:pBdr>
    </w:pPr>
    <w:rPr>
      <w:sz w:val="18"/>
      <w:szCs w:val="18"/>
    </w:rPr>
  </w:style>
  <w:style w:type="paragraph" w:styleId="800">
    <w:name w:val="toc 1"/>
    <w:basedOn w:val="767"/>
    <w:next w:val="767"/>
    <w:uiPriority w:val="39"/>
    <w:qFormat/>
    <w:pPr>
      <w:spacing w:after="57"/>
    </w:pPr>
  </w:style>
  <w:style w:type="paragraph" w:styleId="801">
    <w:name w:val="toc 4"/>
    <w:basedOn w:val="767"/>
    <w:next w:val="767"/>
    <w:uiPriority w:val="39"/>
    <w:qFormat/>
    <w:pPr>
      <w:ind w:left="850"/>
      <w:spacing w:after="57"/>
    </w:pPr>
  </w:style>
  <w:style w:type="paragraph" w:styleId="802">
    <w:name w:val="Subtitle"/>
    <w:basedOn w:val="767"/>
    <w:next w:val="767"/>
    <w:link w:val="882"/>
    <w:uiPriority w:val="11"/>
    <w:qFormat/>
    <w:pPr>
      <w:spacing w:before="200" w:after="200"/>
    </w:pPr>
    <w:rPr>
      <w:sz w:val="24"/>
      <w:szCs w:val="24"/>
    </w:rPr>
  </w:style>
  <w:style w:type="paragraph" w:styleId="803">
    <w:name w:val="List"/>
    <w:basedOn w:val="767"/>
    <w:uiPriority w:val="0"/>
    <w:qFormat/>
    <w:pPr>
      <w:numPr>
        <w:ilvl w:val="0"/>
        <w:numId w:val="2"/>
      </w:numPr>
      <w:spacing w:after="20" w:line="288" w:lineRule="auto"/>
    </w:pPr>
    <w:rPr>
      <w:lang w:val="en-GB"/>
    </w:rPr>
  </w:style>
  <w:style w:type="paragraph" w:styleId="804">
    <w:name w:val="footnote text"/>
    <w:basedOn w:val="767"/>
    <w:next w:val="784"/>
    <w:link w:val="1037"/>
    <w:uiPriority w:val="0"/>
    <w:qFormat/>
    <w:pPr>
      <w:ind w:firstLine="425"/>
      <w:jc w:val="left"/>
      <w:spacing w:before="120" w:line="360" w:lineRule="auto"/>
    </w:pPr>
    <w:rPr>
      <w:sz w:val="18"/>
    </w:rPr>
  </w:style>
  <w:style w:type="paragraph" w:styleId="805">
    <w:name w:val="toc 6"/>
    <w:basedOn w:val="767"/>
    <w:next w:val="767"/>
    <w:uiPriority w:val="39"/>
    <w:qFormat/>
    <w:pPr>
      <w:ind w:left="1417"/>
      <w:spacing w:after="57"/>
    </w:pPr>
  </w:style>
  <w:style w:type="paragraph" w:styleId="806">
    <w:name w:val="Body Text Indent 3"/>
    <w:basedOn w:val="767"/>
    <w:link w:val="1038"/>
    <w:uiPriority w:val="99"/>
    <w:qFormat/>
    <w:pPr>
      <w:ind w:left="359" w:firstLine="359"/>
    </w:pPr>
    <w:rPr>
      <w:sz w:val="20"/>
    </w:rPr>
  </w:style>
  <w:style w:type="paragraph" w:styleId="807">
    <w:name w:val="table of figures"/>
    <w:basedOn w:val="767"/>
    <w:next w:val="767"/>
    <w:uiPriority w:val="99"/>
    <w:qFormat/>
  </w:style>
  <w:style w:type="paragraph" w:styleId="808">
    <w:name w:val="toc 9"/>
    <w:basedOn w:val="767"/>
    <w:next w:val="767"/>
    <w:uiPriority w:val="39"/>
    <w:qFormat/>
    <w:pPr>
      <w:ind w:left="2268"/>
      <w:spacing w:after="57"/>
    </w:pPr>
  </w:style>
  <w:style w:type="paragraph" w:styleId="809">
    <w:name w:val="Body Text 2"/>
    <w:basedOn w:val="767"/>
    <w:link w:val="1039"/>
    <w:uiPriority w:val="99"/>
    <w:qFormat/>
    <w:pPr>
      <w:spacing w:after="120" w:line="480" w:lineRule="auto"/>
    </w:pPr>
    <w:rPr>
      <w:sz w:val="20"/>
    </w:rPr>
  </w:style>
  <w:style w:type="paragraph" w:styleId="810">
    <w:name w:val="Normal (Web)"/>
    <w:basedOn w:val="767"/>
    <w:link w:val="1040"/>
    <w:uiPriority w:val="0"/>
    <w:qFormat/>
    <w:pPr>
      <w:ind w:firstLine="420"/>
      <w:jc w:val="left"/>
      <w:spacing w:before="100" w:beforeAutospacing="1" w:after="100" w:afterAutospacing="1" w:line="288" w:lineRule="auto"/>
      <w:widowControl/>
    </w:pPr>
    <w:rPr>
      <w:rFonts w:ascii="宋体" w:hAnsi="宋体"/>
      <w:sz w:val="24"/>
      <w:szCs w:val="24"/>
    </w:rPr>
  </w:style>
  <w:style w:type="paragraph" w:styleId="811">
    <w:name w:val="Title"/>
    <w:basedOn w:val="767"/>
    <w:next w:val="767"/>
    <w:link w:val="881"/>
    <w:uiPriority w:val="10"/>
    <w:qFormat/>
    <w:pPr>
      <w:contextualSpacing/>
      <w:spacing w:before="300" w:after="200"/>
    </w:pPr>
    <w:rPr>
      <w:sz w:val="48"/>
      <w:szCs w:val="48"/>
    </w:rPr>
  </w:style>
  <w:style w:type="paragraph" w:styleId="812">
    <w:name w:val="annotation subject"/>
    <w:basedOn w:val="786"/>
    <w:next w:val="786"/>
    <w:link w:val="1041"/>
    <w:uiPriority w:val="0"/>
    <w:qFormat/>
    <w:rPr>
      <w:b/>
      <w:bCs/>
    </w:rPr>
  </w:style>
  <w:style w:type="paragraph" w:styleId="813">
    <w:name w:val="Body Text First Indent"/>
    <w:basedOn w:val="767"/>
    <w:link w:val="1042"/>
    <w:uiPriority w:val="99"/>
    <w:qFormat/>
    <w:pPr>
      <w:ind w:firstLine="420"/>
      <w:spacing w:after="120"/>
    </w:pPr>
    <w:rPr>
      <w:rFonts w:eastAsia="华文中宋"/>
    </w:rPr>
  </w:style>
  <w:style w:type="paragraph" w:styleId="814">
    <w:name w:val="Body Text First Indent 2"/>
    <w:basedOn w:val="789"/>
    <w:uiPriority w:val="0"/>
    <w:qFormat/>
    <w:pPr>
      <w:ind w:left="420" w:firstLine="420"/>
      <w:spacing w:after="120"/>
    </w:pPr>
    <w:rPr>
      <w:rFonts w:ascii="Cambria" w:hAnsi="Cambria" w:eastAsia="华文细黑"/>
      <w:sz w:val="21"/>
    </w:rPr>
  </w:style>
  <w:style w:type="table" w:styleId="815">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16">
    <w:name w:val="Strong"/>
    <w:uiPriority w:val="99"/>
    <w:qFormat/>
    <w:rPr>
      <w:rFonts w:cs="Times New Roman"/>
      <w:b/>
      <w:bCs/>
    </w:rPr>
  </w:style>
  <w:style w:type="character" w:styleId="817">
    <w:name w:val="endnote reference"/>
    <w:uiPriority w:val="99"/>
    <w:qFormat/>
    <w:rPr>
      <w:vertAlign w:val="superscript"/>
    </w:rPr>
  </w:style>
  <w:style w:type="character" w:styleId="818">
    <w:name w:val="page number"/>
    <w:uiPriority w:val="0"/>
    <w:qFormat/>
    <w:rPr>
      <w:rFonts w:cs="Times New Roman"/>
    </w:rPr>
  </w:style>
  <w:style w:type="character" w:styleId="819">
    <w:name w:val="FollowedHyperlink"/>
    <w:uiPriority w:val="99"/>
    <w:qFormat/>
    <w:rPr>
      <w:rFonts w:cs="Times New Roman"/>
      <w:color w:val="000000"/>
      <w:u w:val="none"/>
    </w:rPr>
  </w:style>
  <w:style w:type="character" w:styleId="820">
    <w:name w:val="HTML Typewriter"/>
    <w:uiPriority w:val="99"/>
    <w:qFormat/>
    <w:rPr>
      <w:rFonts w:ascii="宋体" w:hAnsi="宋体" w:eastAsia="宋体" w:cs="宋体"/>
      <w:sz w:val="24"/>
      <w:szCs w:val="24"/>
    </w:rPr>
  </w:style>
  <w:style w:type="character" w:styleId="821">
    <w:name w:val="Hyperlink"/>
    <w:uiPriority w:val="0"/>
    <w:qFormat/>
    <w:rPr>
      <w:color w:val="000000"/>
      <w:u w:val="none"/>
    </w:rPr>
  </w:style>
  <w:style w:type="character" w:styleId="822">
    <w:name w:val="annotation reference"/>
    <w:uiPriority w:val="0"/>
    <w:qFormat/>
    <w:rPr>
      <w:sz w:val="21"/>
      <w:szCs w:val="21"/>
    </w:rPr>
  </w:style>
  <w:style w:type="character" w:styleId="823">
    <w:name w:val="footnote reference"/>
    <w:uiPriority w:val="99"/>
    <w:qFormat/>
    <w:rPr>
      <w:vertAlign w:val="superscript"/>
    </w:rPr>
  </w:style>
  <w:style w:type="table" w:styleId="824" w:customStyle="1">
    <w:name w:val="Plain Table 1"/>
    <w:basedOn w:val="778"/>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5" w:customStyle="1">
    <w:name w:val="Plain Table 2"/>
    <w:basedOn w:val="778"/>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6" w:customStyle="1">
    <w:name w:val="Plain Table 3"/>
    <w:basedOn w:val="77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7" w:customStyle="1">
    <w:name w:val="Plain Table 4"/>
    <w:basedOn w:val="77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8" w:customStyle="1">
    <w:name w:val="Plain Table 5"/>
    <w:basedOn w:val="77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9" w:customStyle="1">
    <w:name w:val="Grid Table 1 Light"/>
    <w:basedOn w:val="778"/>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0" w:customStyle="1">
    <w:name w:val="Grid Table 2"/>
    <w:basedOn w:val="77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1" w:customStyle="1">
    <w:name w:val="Grid Table 3"/>
    <w:basedOn w:val="77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2" w:customStyle="1">
    <w:name w:val="Grid Table 4"/>
    <w:basedOn w:val="778"/>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3" w:customStyle="1">
    <w:name w:val="Grid Table 5 Dark"/>
    <w:basedOn w:val="77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4" w:customStyle="1">
    <w:name w:val="Grid Table 6 Colorful"/>
    <w:basedOn w:val="778"/>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5" w:customStyle="1">
    <w:name w:val="Grid Table 7 Colorful"/>
    <w:basedOn w:val="778"/>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6" w:customStyle="1">
    <w:name w:val="List Table 1 Light"/>
    <w:basedOn w:val="778"/>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7" w:customStyle="1">
    <w:name w:val="List Table 2"/>
    <w:basedOn w:val="778"/>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8" w:customStyle="1">
    <w:name w:val="List Table 3"/>
    <w:basedOn w:val="77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9" w:customStyle="1">
    <w:name w:val="List Table 4"/>
    <w:basedOn w:val="77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0" w:customStyle="1">
    <w:name w:val="List Table 5 Dark"/>
    <w:basedOn w:val="778"/>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1" w:customStyle="1">
    <w:name w:val="List Table 6 Colorful"/>
    <w:basedOn w:val="778"/>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42" w:customStyle="1">
    <w:name w:val="List Table 7 Colorful"/>
    <w:basedOn w:val="778"/>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43" w:customStyle="1">
    <w:name w:val="TOC Heading"/>
    <w:uiPriority w:val="39"/>
    <w:unhideWhenUsed/>
    <w:qFormat/>
    <w:rPr>
      <w:rFonts w:hint="default" w:ascii="Times New Roman" w:hAnsi="Times New Roman" w:eastAsia="宋体" w:cs="Times New Roman"/>
    </w:rPr>
  </w:style>
  <w:style w:type="paragraph" w:styleId="844" w:customStyle="1">
    <w:name w:val="标题 21"/>
    <w:basedOn w:val="767"/>
    <w:next w:val="767"/>
    <w:uiPriority w:val="0"/>
    <w:qFormat/>
    <w:pPr>
      <w:numPr>
        <w:ilvl w:val="1"/>
        <w:numId w:val="3"/>
      </w:numPr>
      <w:keepLines/>
      <w:keepNext/>
      <w:spacing w:before="260" w:after="260" w:line="416" w:lineRule="auto"/>
      <w:outlineLvl w:val="1"/>
    </w:pPr>
    <w:rPr>
      <w:rFonts w:ascii="Arial" w:hAnsi="Arial" w:eastAsia="黑体"/>
      <w:b/>
      <w:bCs/>
      <w:sz w:val="32"/>
      <w:szCs w:val="32"/>
    </w:rPr>
  </w:style>
  <w:style w:type="character" w:styleId="845" w:customStyle="1">
    <w:name w:val="Heading 1 Char"/>
    <w:basedOn w:val="777"/>
    <w:uiPriority w:val="9"/>
    <w:qFormat/>
    <w:rPr>
      <w:rFonts w:ascii="Arial" w:hAnsi="Arial" w:eastAsia="Arial" w:cs="Arial"/>
      <w:sz w:val="40"/>
      <w:szCs w:val="40"/>
    </w:rPr>
  </w:style>
  <w:style w:type="character" w:styleId="846" w:customStyle="1">
    <w:name w:val="Heading 2 Char"/>
    <w:basedOn w:val="777"/>
    <w:uiPriority w:val="9"/>
    <w:qFormat/>
    <w:rPr>
      <w:rFonts w:ascii="Arial" w:hAnsi="Arial" w:eastAsia="Arial" w:cs="Arial"/>
      <w:sz w:val="34"/>
    </w:rPr>
  </w:style>
  <w:style w:type="character" w:styleId="847" w:customStyle="1">
    <w:name w:val="Heading 3 Char"/>
    <w:basedOn w:val="777"/>
    <w:uiPriority w:val="9"/>
    <w:qFormat/>
    <w:rPr>
      <w:rFonts w:ascii="Arial" w:hAnsi="Arial" w:eastAsia="Arial" w:cs="Arial"/>
      <w:sz w:val="30"/>
      <w:szCs w:val="30"/>
    </w:rPr>
  </w:style>
  <w:style w:type="character" w:styleId="848" w:customStyle="1">
    <w:name w:val="Heading 4 Char"/>
    <w:basedOn w:val="777"/>
    <w:uiPriority w:val="9"/>
    <w:qFormat/>
    <w:rPr>
      <w:rFonts w:ascii="Arial" w:hAnsi="Arial" w:eastAsia="Arial" w:cs="Arial"/>
      <w:b/>
      <w:bCs/>
      <w:sz w:val="26"/>
      <w:szCs w:val="26"/>
    </w:rPr>
  </w:style>
  <w:style w:type="character" w:styleId="849" w:customStyle="1">
    <w:name w:val="Heading 5 Char"/>
    <w:basedOn w:val="777"/>
    <w:uiPriority w:val="9"/>
    <w:qFormat/>
    <w:rPr>
      <w:rFonts w:ascii="Arial" w:hAnsi="Arial" w:eastAsia="Arial" w:cs="Arial"/>
      <w:b/>
      <w:bCs/>
      <w:sz w:val="24"/>
      <w:szCs w:val="24"/>
    </w:rPr>
  </w:style>
  <w:style w:type="character" w:styleId="850" w:customStyle="1">
    <w:name w:val="Heading 6 Char"/>
    <w:basedOn w:val="777"/>
    <w:uiPriority w:val="9"/>
    <w:qFormat/>
    <w:rPr>
      <w:rFonts w:ascii="Arial" w:hAnsi="Arial" w:eastAsia="Arial" w:cs="Arial"/>
      <w:b/>
      <w:bCs/>
      <w:sz w:val="22"/>
      <w:szCs w:val="22"/>
    </w:rPr>
  </w:style>
  <w:style w:type="character" w:styleId="851" w:customStyle="1">
    <w:name w:val="Heading 7 Char"/>
    <w:basedOn w:val="777"/>
    <w:uiPriority w:val="9"/>
    <w:qFormat/>
    <w:rPr>
      <w:rFonts w:ascii="Arial" w:hAnsi="Arial" w:eastAsia="Arial" w:cs="Arial"/>
      <w:b/>
      <w:bCs/>
      <w:i/>
      <w:iCs/>
      <w:sz w:val="22"/>
      <w:szCs w:val="22"/>
    </w:rPr>
  </w:style>
  <w:style w:type="character" w:styleId="852" w:customStyle="1">
    <w:name w:val="Heading 8 Char"/>
    <w:basedOn w:val="777"/>
    <w:uiPriority w:val="9"/>
    <w:qFormat/>
    <w:rPr>
      <w:rFonts w:ascii="Arial" w:hAnsi="Arial" w:eastAsia="Arial" w:cs="Arial"/>
      <w:i/>
      <w:iCs/>
      <w:sz w:val="22"/>
      <w:szCs w:val="22"/>
    </w:rPr>
  </w:style>
  <w:style w:type="character" w:styleId="853" w:customStyle="1">
    <w:name w:val="Heading 9 Char"/>
    <w:basedOn w:val="777"/>
    <w:uiPriority w:val="9"/>
    <w:qFormat/>
    <w:rPr>
      <w:rFonts w:ascii="Arial" w:hAnsi="Arial" w:eastAsia="Arial" w:cs="Arial"/>
      <w:i/>
      <w:iCs/>
      <w:sz w:val="21"/>
      <w:szCs w:val="21"/>
    </w:rPr>
  </w:style>
  <w:style w:type="character" w:styleId="854" w:customStyle="1">
    <w:name w:val="Title Char"/>
    <w:basedOn w:val="777"/>
    <w:uiPriority w:val="10"/>
    <w:qFormat/>
    <w:rPr>
      <w:sz w:val="48"/>
      <w:szCs w:val="48"/>
    </w:rPr>
  </w:style>
  <w:style w:type="character" w:styleId="855" w:customStyle="1">
    <w:name w:val="Subtitle Char"/>
    <w:basedOn w:val="777"/>
    <w:uiPriority w:val="11"/>
    <w:qFormat/>
    <w:rPr>
      <w:sz w:val="24"/>
      <w:szCs w:val="24"/>
    </w:rPr>
  </w:style>
  <w:style w:type="character" w:styleId="856" w:customStyle="1">
    <w:name w:val="Quote Char"/>
    <w:uiPriority w:val="29"/>
    <w:qFormat/>
    <w:rPr>
      <w:i/>
    </w:rPr>
  </w:style>
  <w:style w:type="character" w:styleId="857" w:customStyle="1">
    <w:name w:val="Intense Quote Char"/>
    <w:uiPriority w:val="30"/>
    <w:qFormat/>
    <w:rPr>
      <w:i/>
    </w:rPr>
  </w:style>
  <w:style w:type="character" w:styleId="858" w:customStyle="1">
    <w:name w:val="Header Char"/>
    <w:basedOn w:val="777"/>
    <w:uiPriority w:val="99"/>
    <w:qFormat/>
  </w:style>
  <w:style w:type="character" w:styleId="859" w:customStyle="1">
    <w:name w:val="Footer Char"/>
    <w:basedOn w:val="777"/>
    <w:uiPriority w:val="99"/>
    <w:qFormat/>
  </w:style>
  <w:style w:type="character" w:styleId="860" w:customStyle="1">
    <w:name w:val="Endnote Text Char"/>
    <w:uiPriority w:val="99"/>
    <w:qFormat/>
    <w:rPr>
      <w:sz w:val="20"/>
    </w:rPr>
  </w:style>
  <w:style w:type="paragraph" w:styleId="861" w:customStyle="1">
    <w:name w:val="TOC 标题1"/>
    <w:uiPriority w:val="39"/>
    <w:unhideWhenUsed/>
    <w:qFormat/>
    <w:rPr>
      <w:rFonts w:hint="default" w:ascii="Times New Roman" w:hAnsi="Times New Roman" w:eastAsia="宋体" w:cs="Times New Roman"/>
      <w:lang w:val="en-US" w:eastAsia="zh-CN" w:bidi="ar-SA"/>
    </w:rPr>
  </w:style>
  <w:style w:type="paragraph" w:styleId="862" w:customStyle="1">
    <w:name w:val="标题 11"/>
    <w:basedOn w:val="767"/>
    <w:next w:val="767"/>
    <w:link w:val="863"/>
    <w:uiPriority w:val="9"/>
    <w:qFormat/>
    <w:pPr>
      <w:keepLines/>
      <w:keepNext/>
      <w:spacing w:before="480" w:after="200"/>
      <w:outlineLvl w:val="0"/>
    </w:pPr>
    <w:rPr>
      <w:rFonts w:ascii="Arial" w:hAnsi="Arial" w:eastAsia="Arial" w:cs="Arial"/>
      <w:sz w:val="40"/>
      <w:szCs w:val="40"/>
    </w:rPr>
  </w:style>
  <w:style w:type="character" w:styleId="863" w:customStyle="1">
    <w:name w:val="Heading 1 Char_0d9d6434-8aef-434f-b4cf-07c27d364c24"/>
    <w:link w:val="862"/>
    <w:uiPriority w:val="9"/>
    <w:qFormat/>
    <w:rPr>
      <w:rFonts w:ascii="Arial" w:hAnsi="Arial" w:eastAsia="Arial" w:cs="Arial"/>
      <w:sz w:val="40"/>
      <w:szCs w:val="40"/>
    </w:rPr>
  </w:style>
  <w:style w:type="paragraph" w:styleId="864" w:customStyle="1">
    <w:name w:val="标题 22"/>
    <w:basedOn w:val="767"/>
    <w:next w:val="767"/>
    <w:link w:val="865"/>
    <w:uiPriority w:val="9"/>
    <w:qFormat/>
    <w:pPr>
      <w:keepLines/>
      <w:keepNext/>
      <w:spacing w:before="360" w:after="200"/>
      <w:outlineLvl w:val="1"/>
    </w:pPr>
    <w:rPr>
      <w:rFonts w:ascii="Arial" w:hAnsi="Arial" w:eastAsia="Arial" w:cs="Arial"/>
      <w:sz w:val="34"/>
    </w:rPr>
  </w:style>
  <w:style w:type="character" w:styleId="865" w:customStyle="1">
    <w:name w:val="Heading 2 Char_23f81bc3-ec57-4402-8e13-eaba3a985afa"/>
    <w:link w:val="864"/>
    <w:uiPriority w:val="9"/>
    <w:qFormat/>
    <w:rPr>
      <w:rFonts w:ascii="Arial" w:hAnsi="Arial" w:eastAsia="Arial" w:cs="Arial"/>
      <w:sz w:val="34"/>
    </w:rPr>
  </w:style>
  <w:style w:type="paragraph" w:styleId="866" w:customStyle="1">
    <w:name w:val="标题 31"/>
    <w:basedOn w:val="767"/>
    <w:next w:val="767"/>
    <w:link w:val="867"/>
    <w:uiPriority w:val="9"/>
    <w:qFormat/>
    <w:pPr>
      <w:keepLines/>
      <w:keepNext/>
      <w:spacing w:before="320" w:after="200"/>
      <w:outlineLvl w:val="2"/>
    </w:pPr>
    <w:rPr>
      <w:rFonts w:ascii="Arial" w:hAnsi="Arial" w:eastAsia="Arial" w:cs="Arial"/>
      <w:sz w:val="30"/>
      <w:szCs w:val="30"/>
    </w:rPr>
  </w:style>
  <w:style w:type="character" w:styleId="867" w:customStyle="1">
    <w:name w:val="Heading 3 Char_a972020d-e2de-423e-8ccf-32b62e9782f5"/>
    <w:link w:val="866"/>
    <w:uiPriority w:val="9"/>
    <w:qFormat/>
    <w:rPr>
      <w:rFonts w:ascii="Arial" w:hAnsi="Arial" w:eastAsia="Arial" w:cs="Arial"/>
      <w:sz w:val="30"/>
      <w:szCs w:val="30"/>
    </w:rPr>
  </w:style>
  <w:style w:type="paragraph" w:styleId="868" w:customStyle="1">
    <w:name w:val="标题 41"/>
    <w:basedOn w:val="767"/>
    <w:next w:val="767"/>
    <w:link w:val="869"/>
    <w:uiPriority w:val="9"/>
    <w:qFormat/>
    <w:pPr>
      <w:keepLines/>
      <w:keepNext/>
      <w:spacing w:before="320" w:after="200"/>
      <w:outlineLvl w:val="3"/>
    </w:pPr>
    <w:rPr>
      <w:rFonts w:ascii="Arial" w:hAnsi="Arial" w:eastAsia="Arial" w:cs="Arial"/>
      <w:b/>
      <w:bCs/>
      <w:sz w:val="26"/>
      <w:szCs w:val="26"/>
    </w:rPr>
  </w:style>
  <w:style w:type="character" w:styleId="869" w:customStyle="1">
    <w:name w:val="Heading 4 Char_c737420b-353d-4424-86d3-425d70bb16f0"/>
    <w:link w:val="868"/>
    <w:uiPriority w:val="9"/>
    <w:qFormat/>
    <w:rPr>
      <w:rFonts w:ascii="Arial" w:hAnsi="Arial" w:eastAsia="Arial" w:cs="Arial"/>
      <w:b/>
      <w:bCs/>
      <w:sz w:val="26"/>
      <w:szCs w:val="26"/>
    </w:rPr>
  </w:style>
  <w:style w:type="paragraph" w:styleId="870" w:customStyle="1">
    <w:name w:val="标题 51"/>
    <w:basedOn w:val="767"/>
    <w:next w:val="767"/>
    <w:link w:val="871"/>
    <w:uiPriority w:val="9"/>
    <w:qFormat/>
    <w:pPr>
      <w:keepLines/>
      <w:keepNext/>
      <w:spacing w:before="320" w:after="200"/>
      <w:outlineLvl w:val="4"/>
    </w:pPr>
    <w:rPr>
      <w:rFonts w:ascii="Arial" w:hAnsi="Arial" w:eastAsia="Arial" w:cs="Arial"/>
      <w:b/>
      <w:bCs/>
      <w:sz w:val="24"/>
      <w:szCs w:val="24"/>
    </w:rPr>
  </w:style>
  <w:style w:type="character" w:styleId="871" w:customStyle="1">
    <w:name w:val="Heading 5 Char_f1483993-90ab-4a83-891e-aa61b1a8567c"/>
    <w:link w:val="870"/>
    <w:uiPriority w:val="9"/>
    <w:qFormat/>
    <w:rPr>
      <w:rFonts w:ascii="Arial" w:hAnsi="Arial" w:eastAsia="Arial" w:cs="Arial"/>
      <w:b/>
      <w:bCs/>
      <w:sz w:val="24"/>
      <w:szCs w:val="24"/>
    </w:rPr>
  </w:style>
  <w:style w:type="paragraph" w:styleId="872" w:customStyle="1">
    <w:name w:val="标题 61"/>
    <w:basedOn w:val="767"/>
    <w:next w:val="767"/>
    <w:link w:val="873"/>
    <w:uiPriority w:val="9"/>
    <w:qFormat/>
    <w:pPr>
      <w:keepLines/>
      <w:keepNext/>
      <w:spacing w:before="320" w:after="200"/>
      <w:outlineLvl w:val="5"/>
    </w:pPr>
    <w:rPr>
      <w:rFonts w:ascii="Arial" w:hAnsi="Arial" w:eastAsia="Arial" w:cs="Arial"/>
      <w:b/>
      <w:bCs/>
      <w:sz w:val="22"/>
      <w:szCs w:val="22"/>
    </w:rPr>
  </w:style>
  <w:style w:type="character" w:styleId="873" w:customStyle="1">
    <w:name w:val="Heading 6 Char_95307583-6a43-4f74-9f95-be30b6ad72b6"/>
    <w:link w:val="872"/>
    <w:uiPriority w:val="9"/>
    <w:qFormat/>
    <w:rPr>
      <w:rFonts w:ascii="Arial" w:hAnsi="Arial" w:eastAsia="Arial" w:cs="Arial"/>
      <w:b/>
      <w:bCs/>
      <w:sz w:val="22"/>
      <w:szCs w:val="22"/>
    </w:rPr>
  </w:style>
  <w:style w:type="paragraph" w:styleId="874" w:customStyle="1">
    <w:name w:val="标题 71"/>
    <w:basedOn w:val="767"/>
    <w:next w:val="767"/>
    <w:link w:val="875"/>
    <w:uiPriority w:val="9"/>
    <w:qFormat/>
    <w:pPr>
      <w:keepLines/>
      <w:keepNext/>
      <w:spacing w:before="320" w:after="200"/>
      <w:outlineLvl w:val="6"/>
    </w:pPr>
    <w:rPr>
      <w:rFonts w:ascii="Arial" w:hAnsi="Arial" w:eastAsia="Arial" w:cs="Arial"/>
      <w:b/>
      <w:bCs/>
      <w:i/>
      <w:iCs/>
      <w:sz w:val="22"/>
      <w:szCs w:val="22"/>
    </w:rPr>
  </w:style>
  <w:style w:type="character" w:styleId="875" w:customStyle="1">
    <w:name w:val="Heading 7 Char_f24e9cd0-472e-495e-8828-91abe7bea686"/>
    <w:link w:val="874"/>
    <w:uiPriority w:val="9"/>
    <w:qFormat/>
    <w:rPr>
      <w:rFonts w:ascii="Arial" w:hAnsi="Arial" w:eastAsia="Arial" w:cs="Arial"/>
      <w:b/>
      <w:bCs/>
      <w:i/>
      <w:iCs/>
      <w:sz w:val="22"/>
      <w:szCs w:val="22"/>
    </w:rPr>
  </w:style>
  <w:style w:type="paragraph" w:styleId="876" w:customStyle="1">
    <w:name w:val="标题 81"/>
    <w:basedOn w:val="767"/>
    <w:next w:val="767"/>
    <w:link w:val="877"/>
    <w:uiPriority w:val="9"/>
    <w:qFormat/>
    <w:pPr>
      <w:keepLines/>
      <w:keepNext/>
      <w:spacing w:before="320" w:after="200"/>
      <w:outlineLvl w:val="7"/>
    </w:pPr>
    <w:rPr>
      <w:rFonts w:ascii="Arial" w:hAnsi="Arial" w:eastAsia="Arial" w:cs="Arial"/>
      <w:i/>
      <w:iCs/>
      <w:sz w:val="22"/>
      <w:szCs w:val="22"/>
    </w:rPr>
  </w:style>
  <w:style w:type="character" w:styleId="877" w:customStyle="1">
    <w:name w:val="Heading 8 Char_949354d7-fea5-452e-b32d-28b774b8e361"/>
    <w:link w:val="876"/>
    <w:uiPriority w:val="9"/>
    <w:qFormat/>
    <w:rPr>
      <w:rFonts w:ascii="Arial" w:hAnsi="Arial" w:eastAsia="Arial" w:cs="Arial"/>
      <w:i/>
      <w:iCs/>
      <w:sz w:val="22"/>
      <w:szCs w:val="22"/>
    </w:rPr>
  </w:style>
  <w:style w:type="paragraph" w:styleId="878" w:customStyle="1">
    <w:name w:val="标题 91"/>
    <w:basedOn w:val="767"/>
    <w:next w:val="767"/>
    <w:link w:val="879"/>
    <w:uiPriority w:val="9"/>
    <w:qFormat/>
    <w:pPr>
      <w:keepLines/>
      <w:keepNext/>
      <w:spacing w:before="320" w:after="200"/>
      <w:outlineLvl w:val="8"/>
    </w:pPr>
    <w:rPr>
      <w:rFonts w:ascii="Arial" w:hAnsi="Arial" w:eastAsia="Arial" w:cs="Arial"/>
      <w:i/>
      <w:iCs/>
      <w:szCs w:val="21"/>
    </w:rPr>
  </w:style>
  <w:style w:type="character" w:styleId="879" w:customStyle="1">
    <w:name w:val="Heading 9 Char_334f07fe-e714-48c5-92e4-af04d7a4d58e"/>
    <w:link w:val="878"/>
    <w:uiPriority w:val="9"/>
    <w:qFormat/>
    <w:rPr>
      <w:rFonts w:ascii="Arial" w:hAnsi="Arial" w:eastAsia="Arial" w:cs="Arial"/>
      <w:i/>
      <w:iCs/>
      <w:sz w:val="21"/>
      <w:szCs w:val="21"/>
    </w:rPr>
  </w:style>
  <w:style w:type="paragraph" w:styleId="880">
    <w:name w:val="No Spacing"/>
    <w:uiPriority w:val="1"/>
    <w:qFormat/>
    <w:rPr>
      <w:rFonts w:hint="default" w:ascii="Times New Roman" w:hAnsi="Times New Roman" w:eastAsia="宋体" w:cs="Times New Roman"/>
      <w:lang w:val="en-US" w:eastAsia="zh-CN" w:bidi="ar-SA"/>
    </w:rPr>
  </w:style>
  <w:style w:type="character" w:styleId="881" w:customStyle="1">
    <w:name w:val="标题 字符"/>
    <w:link w:val="811"/>
    <w:uiPriority w:val="10"/>
    <w:qFormat/>
    <w:rPr>
      <w:sz w:val="48"/>
      <w:szCs w:val="48"/>
    </w:rPr>
  </w:style>
  <w:style w:type="character" w:styleId="882" w:customStyle="1">
    <w:name w:val="副标题 字符"/>
    <w:link w:val="802"/>
    <w:uiPriority w:val="11"/>
    <w:qFormat/>
    <w:rPr>
      <w:sz w:val="24"/>
      <w:szCs w:val="24"/>
    </w:rPr>
  </w:style>
  <w:style w:type="paragraph" w:styleId="883">
    <w:name w:val="Quote"/>
    <w:basedOn w:val="767"/>
    <w:next w:val="767"/>
    <w:link w:val="884"/>
    <w:uiPriority w:val="29"/>
    <w:qFormat/>
    <w:pPr>
      <w:ind w:left="720" w:right="720"/>
    </w:pPr>
    <w:rPr>
      <w:i/>
    </w:rPr>
  </w:style>
  <w:style w:type="character" w:styleId="884" w:customStyle="1">
    <w:name w:val="引用 字符"/>
    <w:link w:val="883"/>
    <w:uiPriority w:val="29"/>
    <w:qFormat/>
    <w:rPr>
      <w:i/>
    </w:rPr>
  </w:style>
  <w:style w:type="paragraph" w:styleId="885">
    <w:name w:val="Intense Quote"/>
    <w:basedOn w:val="767"/>
    <w:next w:val="767"/>
    <w:link w:val="88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86" w:customStyle="1">
    <w:name w:val="明显引用 字符"/>
    <w:link w:val="885"/>
    <w:uiPriority w:val="30"/>
    <w:qFormat/>
    <w:rPr>
      <w:i/>
    </w:rPr>
  </w:style>
  <w:style w:type="paragraph" w:styleId="887" w:customStyle="1">
    <w:name w:val="页眉1"/>
    <w:basedOn w:val="767"/>
    <w:link w:val="888"/>
    <w:uiPriority w:val="99"/>
    <w:qFormat/>
    <w:pPr>
      <w:tabs>
        <w:tab w:val="center" w:pos="7143" w:leader="none"/>
        <w:tab w:val="right" w:pos="14287" w:leader="none"/>
      </w:tabs>
    </w:pPr>
  </w:style>
  <w:style w:type="character" w:styleId="888" w:customStyle="1">
    <w:name w:val="Header Char_0b364515-3a76-4734-91ae-7a75fdd67d1d"/>
    <w:link w:val="887"/>
    <w:uiPriority w:val="99"/>
    <w:qFormat/>
  </w:style>
  <w:style w:type="paragraph" w:styleId="889" w:customStyle="1">
    <w:name w:val="页脚1"/>
    <w:basedOn w:val="767"/>
    <w:link w:val="892"/>
    <w:uiPriority w:val="99"/>
    <w:qFormat/>
    <w:pPr>
      <w:tabs>
        <w:tab w:val="center" w:pos="7143" w:leader="none"/>
        <w:tab w:val="right" w:pos="14287" w:leader="none"/>
      </w:tabs>
    </w:pPr>
  </w:style>
  <w:style w:type="character" w:styleId="890" w:customStyle="1">
    <w:name w:val="Footer Char_7e8afb0f-436d-41ae-8f0b-04c613e42983"/>
    <w:uiPriority w:val="99"/>
    <w:qFormat/>
  </w:style>
  <w:style w:type="paragraph" w:styleId="891" w:customStyle="1">
    <w:name w:val="题注1"/>
    <w:basedOn w:val="767"/>
    <w:next w:val="767"/>
    <w:uiPriority w:val="35"/>
    <w:qFormat/>
    <w:pPr>
      <w:spacing w:line="276" w:lineRule="auto"/>
    </w:pPr>
    <w:rPr>
      <w:b/>
      <w:bCs/>
      <w:color w:val="4f81bd"/>
      <w:sz w:val="18"/>
      <w:szCs w:val="18"/>
    </w:rPr>
  </w:style>
  <w:style w:type="character" w:styleId="892" w:customStyle="1">
    <w:name w:val="Caption Char"/>
    <w:link w:val="889"/>
    <w:uiPriority w:val="99"/>
    <w:qFormat/>
  </w:style>
  <w:style w:type="table" w:styleId="893" w:customStyle="1">
    <w:name w:val="Table Grid Light"/>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style>
  <w:style w:type="table" w:styleId="894" w:customStyle="1">
    <w:name w:val="无格式表格 11"/>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tblStylePr w:type="band1Horz">
      <w:tcPr>
        <w:shd w:val="clear" w:color="f1f1f1" w:fill="f1f1f1"/>
      </w:tcPr>
    </w:tblStylePr>
    <w:tblStylePr w:type="band1Vert">
      <w:tcPr>
        <w:shd w:val="clear" w:color="f1f1f1" w:fill="f1f1f1"/>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95"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6"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7"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8"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99" w:customStyle="1">
    <w:name w:val="网格表 1 浅色1"/>
    <w:uiPriority w:val="99"/>
    <w:qFormat/>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sz="4" w:space="0"/>
          <w:left w:val="single" w:color="979797" w:sz="4" w:space="0"/>
          <w:bottom w:val="single" w:color="979797" w:sz="4" w:space="0"/>
          <w:right w:val="single" w:color="979797" w:sz="4" w:space="0"/>
        </w:tcBorders>
      </w:tcPr>
    </w:tblStylePr>
    <w:tblStylePr w:type="firstCol">
      <w:rPr>
        <w:b/>
        <w:color w:val="404040"/>
      </w:rPr>
    </w:tblStylePr>
    <w:tblStylePr w:type="firstRow">
      <w:rPr>
        <w:b/>
        <w:color w:val="404040"/>
      </w:rPr>
      <w:tcPr>
        <w:tcBorders>
          <w:bottom w:val="single" w:color="696969" w:sz="12" w:space="0"/>
        </w:tcBorders>
      </w:tcPr>
    </w:tblStylePr>
    <w:tblStylePr w:type="lastCol">
      <w:rPr>
        <w:b/>
        <w:color w:val="404040"/>
      </w:rPr>
    </w:tblStylePr>
    <w:tblStylePr w:type="lastRow">
      <w:rPr>
        <w:b/>
        <w:color w:val="404040"/>
      </w:rPr>
    </w:tblStylePr>
  </w:style>
  <w:style w:type="table" w:styleId="900" w:customStyle="1">
    <w:name w:val="Grid Table 1 Light - Accent 1"/>
    <w:uiPriority w:val="99"/>
    <w:qFormat/>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tcBorders>
      </w:tcPr>
    </w:tblStylePr>
    <w:tblStylePr w:type="firstCol">
      <w:rPr>
        <w:b/>
        <w:color w:val="404040"/>
      </w:rPr>
    </w:tblStylePr>
    <w:tblStylePr w:type="firstRow">
      <w:rPr>
        <w:b/>
        <w:color w:val="404040"/>
      </w:rPr>
      <w:tcPr>
        <w:tcBorders>
          <w:bottom w:val="single" w:color="98B5D8" w:sz="12" w:space="0"/>
        </w:tcBorders>
      </w:tcPr>
    </w:tblStylePr>
    <w:tblStylePr w:type="lastCol">
      <w:rPr>
        <w:b/>
        <w:color w:val="404040"/>
      </w:rPr>
    </w:tblStylePr>
    <w:tblStylePr w:type="lastRow">
      <w:rPr>
        <w:b/>
        <w:color w:val="404040"/>
      </w:rPr>
    </w:tblStylePr>
  </w:style>
  <w:style w:type="table" w:styleId="901" w:customStyle="1">
    <w:name w:val="Grid Table 1 Light - Accent 2"/>
    <w:uiPriority w:val="99"/>
    <w:qFormat/>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tcBorders>
      </w:tcPr>
    </w:tblStylePr>
    <w:tblStylePr w:type="firstCol">
      <w:rPr>
        <w:b/>
        <w:color w:val="404040"/>
      </w:rPr>
    </w:tblStylePr>
    <w:tblStylePr w:type="firstRow">
      <w:rPr>
        <w:b/>
        <w:color w:val="404040"/>
      </w:rPr>
      <w:tcPr>
        <w:tcBorders>
          <w:bottom w:val="single" w:color="DA9896" w:sz="12" w:space="0"/>
        </w:tcBorders>
      </w:tcPr>
    </w:tblStylePr>
    <w:tblStylePr w:type="lastCol">
      <w:rPr>
        <w:b/>
        <w:color w:val="404040"/>
      </w:rPr>
    </w:tblStylePr>
    <w:tblStylePr w:type="lastRow">
      <w:rPr>
        <w:b/>
        <w:color w:val="404040"/>
      </w:rPr>
    </w:tblStylePr>
  </w:style>
  <w:style w:type="table" w:styleId="902"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b/>
        <w:color w:val="404040"/>
      </w:rPr>
    </w:tblStylePr>
    <w:tblStylePr w:type="firstRow">
      <w:rPr>
        <w:b/>
        <w:color w:val="404040"/>
      </w:rPr>
      <w:tcPr>
        <w:tcBorders>
          <w:bottom w:val="single" w:color="C4D79E" w:sz="12" w:space="0"/>
        </w:tcBorders>
      </w:tcPr>
    </w:tblStylePr>
    <w:tblStylePr w:type="lastCol">
      <w:rPr>
        <w:b/>
        <w:color w:val="404040"/>
      </w:rPr>
    </w:tblStylePr>
    <w:tblStylePr w:type="lastRow">
      <w:rPr>
        <w:b/>
        <w:color w:val="404040"/>
      </w:rPr>
    </w:tblStylePr>
  </w:style>
  <w:style w:type="table" w:styleId="903"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b/>
        <w:color w:val="404040"/>
      </w:rPr>
    </w:tblStylePr>
    <w:tblStylePr w:type="firstRow">
      <w:rPr>
        <w:b/>
        <w:color w:val="404040"/>
      </w:rPr>
      <w:tcPr>
        <w:tcBorders>
          <w:bottom w:val="single" w:color="B4A4C8" w:sz="12" w:space="0"/>
        </w:tcBorders>
      </w:tcPr>
    </w:tblStylePr>
    <w:tblStylePr w:type="lastCol">
      <w:rPr>
        <w:b/>
        <w:color w:val="404040"/>
      </w:rPr>
    </w:tblStylePr>
    <w:tblStylePr w:type="lastRow">
      <w:rPr>
        <w:b/>
        <w:color w:val="404040"/>
      </w:rPr>
    </w:tblStylePr>
  </w:style>
  <w:style w:type="table" w:styleId="904" w:customStyle="1">
    <w:name w:val="Grid Table 1 Light - Accent 5"/>
    <w:uiPriority w:val="99"/>
    <w:qFormat/>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tcBorders>
      </w:tcPr>
    </w:tblStylePr>
    <w:tblStylePr w:type="firstCol">
      <w:rPr>
        <w:b/>
        <w:color w:val="404040"/>
      </w:rPr>
    </w:tblStylePr>
    <w:tblStylePr w:type="firstRow">
      <w:rPr>
        <w:b/>
        <w:color w:val="404040"/>
      </w:rPr>
      <w:tcPr>
        <w:tcBorders>
          <w:bottom w:val="single" w:color="95CEDD" w:sz="12" w:space="0"/>
        </w:tcBorders>
      </w:tcPr>
    </w:tblStylePr>
    <w:tblStylePr w:type="lastCol">
      <w:rPr>
        <w:b/>
        <w:color w:val="404040"/>
      </w:rPr>
    </w:tblStylePr>
    <w:tblStylePr w:type="lastRow">
      <w:rPr>
        <w:b/>
        <w:color w:val="404040"/>
      </w:rPr>
    </w:tblStylePr>
  </w:style>
  <w:style w:type="table" w:styleId="905"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b/>
        <w:color w:val="404040"/>
      </w:rPr>
    </w:tblStylePr>
    <w:tblStylePr w:type="firstRow">
      <w:rPr>
        <w:b/>
        <w:color w:val="404040"/>
      </w:rPr>
      <w:tcPr>
        <w:tcBorders>
          <w:bottom w:val="single" w:color="FAC192" w:sz="12" w:space="0"/>
        </w:tcBorders>
      </w:tcPr>
    </w:tblStylePr>
    <w:tblStylePr w:type="lastCol">
      <w:rPr>
        <w:b/>
        <w:color w:val="404040"/>
      </w:rPr>
    </w:tblStylePr>
    <w:tblStylePr w:type="lastRow">
      <w:rPr>
        <w:b/>
        <w:color w:val="404040"/>
      </w:rPr>
    </w:tblStylePr>
  </w:style>
  <w:style w:type="table" w:styleId="906" w:customStyle="1">
    <w:name w:val="网格表 21"/>
    <w:uiPriority w:val="99"/>
    <w:qFormat/>
    <w:tblPr>
      <w:tblBorders>
        <w:bottom w:val="single" w:color="696969" w:sz="4" w:space="0"/>
        <w:insideH w:val="single" w:color="696969" w:sz="4" w:space="0"/>
        <w:insideV w:val="single" w:color="696969" w:sz="4" w:space="0"/>
      </w:tblBorders>
      <w:tblCellMar>
        <w:left w:w="0" w:type="dxa"/>
        <w:top w:w="0" w:type="dxa"/>
        <w:right w:w="0" w:type="dxa"/>
        <w:bottom w:w="0" w:type="dxa"/>
      </w:tblCellMar>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sz="4" w:space="0"/>
          <w:left w:val="none" w:color="000000" w:sz="4" w:space="0"/>
          <w:bottom w:val="none" w:color="000000" w:sz="4" w:space="0"/>
          <w:right w:val="none" w:color="000000" w:sz="4" w:space="0"/>
        </w:tcBorders>
      </w:tcPr>
    </w:tblStylePr>
  </w:style>
  <w:style w:type="table" w:styleId="907" w:customStyle="1">
    <w:name w:val="Grid Table 2 - Accent 1"/>
    <w:uiPriority w:val="99"/>
    <w:qFormat/>
    <w:tblPr>
      <w:tblBorders>
        <w:bottom w:val="single" w:color="5D8BC2" w:sz="4" w:space="0"/>
        <w:insideH w:val="single" w:color="5D8BC2" w:sz="4" w:space="0"/>
        <w:insideV w:val="single" w:color="5D8BC2" w:sz="4" w:space="0"/>
      </w:tblBorders>
      <w:tblCellMar>
        <w:left w:w="0" w:type="dxa"/>
        <w:top w:w="0" w:type="dxa"/>
        <w:right w:w="0" w:type="dxa"/>
        <w:bottom w:w="0" w:type="dxa"/>
      </w:tblCellMar>
    </w:tblPr>
    <w:tblStylePr w:type="band1Horz">
      <w:rPr>
        <w:rFonts w:ascii="Arial" w:hAnsi="Arial"/>
        <w:color w:val="404040"/>
        <w:sz w:val="22"/>
      </w:rPr>
      <w:tcPr>
        <w:shd w:val="clear" w:color="dbe5f1" w:fill="dbe5f1"/>
      </w:tcPr>
    </w:tblStylePr>
    <w:tblStylePr w:type="band1Vert">
      <w:rPr>
        <w:rFonts w:ascii="Arial" w:hAnsi="Arial"/>
        <w:color w:val="404040"/>
        <w:sz w:val="22"/>
      </w:rPr>
      <w:tcPr>
        <w:shd w:val="clear" w:color="dbe5f1" w:fill="dbe5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sz="4" w:space="0"/>
          <w:left w:val="none" w:color="000000" w:sz="4" w:space="0"/>
          <w:bottom w:val="none" w:color="000000" w:sz="4" w:space="0"/>
          <w:right w:val="none" w:color="000000" w:sz="4" w:space="0"/>
        </w:tcBorders>
      </w:tcPr>
    </w:tblStylePr>
  </w:style>
  <w:style w:type="table" w:styleId="908" w:customStyle="1">
    <w:name w:val="Grid Table 2 - Accent 2"/>
    <w:uiPriority w:val="99"/>
    <w:qFormat/>
    <w:tblPr>
      <w:tblBorders>
        <w:bottom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sz="4" w:space="0"/>
          <w:left w:val="none" w:color="000000" w:sz="4" w:space="0"/>
          <w:bottom w:val="none" w:color="000000" w:sz="4" w:space="0"/>
          <w:right w:val="none" w:color="000000" w:sz="4" w:space="0"/>
        </w:tcBorders>
      </w:tcPr>
    </w:tblStylePr>
  </w:style>
  <w:style w:type="table" w:styleId="909" w:customStyle="1">
    <w:name w:val="Grid Table 2 - Accent 3"/>
    <w:uiPriority w:val="99"/>
    <w:qFormat/>
    <w:tblPr>
      <w:tblBorders>
        <w:bottom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sz="4" w:space="0"/>
          <w:left w:val="none" w:color="000000" w:sz="4" w:space="0"/>
          <w:bottom w:val="none" w:color="000000" w:sz="4" w:space="0"/>
          <w:right w:val="none" w:color="000000" w:sz="4" w:space="0"/>
        </w:tcBorders>
      </w:tcPr>
    </w:tblStylePr>
  </w:style>
  <w:style w:type="table" w:styleId="910"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sz="4" w:space="0"/>
          <w:left w:val="none" w:color="000000" w:sz="4" w:space="0"/>
          <w:bottom w:val="none" w:color="000000" w:sz="4" w:space="0"/>
          <w:right w:val="none" w:color="000000" w:sz="4" w:space="0"/>
        </w:tcBorders>
      </w:tcPr>
    </w:tblStylePr>
  </w:style>
  <w:style w:type="table" w:styleId="911"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sz="4" w:space="0"/>
          <w:left w:val="none" w:color="000000" w:sz="4" w:space="0"/>
          <w:bottom w:val="none" w:color="000000" w:sz="4" w:space="0"/>
          <w:right w:val="none" w:color="000000" w:sz="4" w:space="0"/>
        </w:tcBorders>
      </w:tcPr>
    </w:tblStylePr>
  </w:style>
  <w:style w:type="table" w:styleId="912"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sz="4" w:space="0"/>
          <w:left w:val="none" w:color="000000" w:sz="4" w:space="0"/>
          <w:bottom w:val="none" w:color="000000" w:sz="4" w:space="0"/>
          <w:right w:val="none" w:color="000000" w:sz="4" w:space="0"/>
        </w:tcBorders>
      </w:tcPr>
    </w:tblStylePr>
  </w:style>
  <w:style w:type="table" w:styleId="913" w:customStyle="1">
    <w:name w:val="网格表 31"/>
    <w:uiPriority w:val="99"/>
    <w:qFormat/>
    <w:tblPr>
      <w:tblBorders>
        <w:bottom w:val="single" w:color="696969" w:sz="4" w:space="0"/>
        <w:insideH w:val="single" w:color="696969" w:sz="4" w:space="0"/>
        <w:insideV w:val="single" w:color="696969" w:sz="4" w:space="0"/>
      </w:tblBorders>
      <w:tblCellMar>
        <w:left w:w="0" w:type="dxa"/>
        <w:top w:w="0" w:type="dxa"/>
        <w:right w:w="0" w:type="dxa"/>
        <w:bottom w:w="0" w:type="dxa"/>
      </w:tblCellMar>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4" w:customStyle="1">
    <w:name w:val="Grid Table 3 - Accent 1"/>
    <w:uiPriority w:val="99"/>
    <w:qFormat/>
    <w:tblPr>
      <w:tblBorders>
        <w:bottom w:val="single" w:color="5D8BC2" w:sz="4" w:space="0"/>
        <w:insideH w:val="single" w:color="5D8BC2" w:sz="4" w:space="0"/>
        <w:insideV w:val="single" w:color="5D8BC2" w:sz="4" w:space="0"/>
      </w:tblBorders>
      <w:tblCellMar>
        <w:left w:w="0" w:type="dxa"/>
        <w:top w:w="0" w:type="dxa"/>
        <w:right w:w="0" w:type="dxa"/>
        <w:bottom w:w="0" w:type="dxa"/>
      </w:tblCellMar>
    </w:tblPr>
    <w:tblStylePr w:type="band1Horz">
      <w:rPr>
        <w:rFonts w:ascii="Arial" w:hAnsi="Arial"/>
        <w:color w:val="404040"/>
        <w:sz w:val="22"/>
      </w:rPr>
      <w:tcPr>
        <w:shd w:val="clear" w:color="dbe5f1" w:fill="dbe5f1"/>
      </w:tcPr>
    </w:tblStylePr>
    <w:tblStylePr w:type="band1Vert">
      <w:rPr>
        <w:rFonts w:ascii="Arial" w:hAnsi="Arial"/>
        <w:color w:val="404040"/>
        <w:sz w:val="22"/>
      </w:rPr>
      <w:tcPr>
        <w:shd w:val="clear" w:color="dbe5f1" w:fill="db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5" w:customStyle="1">
    <w:name w:val="Grid Table 3 - Accent 2"/>
    <w:uiPriority w:val="99"/>
    <w:qFormat/>
    <w:tblPr>
      <w:tblBorders>
        <w:bottom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6" w:customStyle="1">
    <w:name w:val="Grid Table 3 - Accent 3"/>
    <w:uiPriority w:val="99"/>
    <w:qFormat/>
    <w:tblPr>
      <w:tblBorders>
        <w:bottom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7"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8"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9"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0" w:customStyle="1">
    <w:name w:val="网格表 41"/>
    <w:uiPriority w:val="59"/>
    <w:qFormat/>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CellMar>
        <w:left w:w="0" w:type="dxa"/>
        <w:top w:w="0" w:type="dxa"/>
        <w:right w:w="0" w:type="dxa"/>
        <w:bottom w:w="0" w:type="dxa"/>
      </w:tblCellMar>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921"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ce6f2" w:fill="dce6f2"/>
      </w:tcPr>
    </w:tblStylePr>
    <w:tblStylePr w:type="band1Vert">
      <w:rPr>
        <w:rFonts w:ascii="Arial" w:hAnsi="Arial"/>
        <w:color w:val="404040"/>
        <w:sz w:val="22"/>
      </w:rPr>
      <w:tcPr>
        <w:shd w:val="clear" w:color="dce6f2" w:fill="dce6f2"/>
      </w:tcPr>
    </w:tblStylePr>
    <w:tblStylePr w:type="firstCol">
      <w:rPr>
        <w:b/>
        <w:color w:val="404040"/>
      </w:rPr>
    </w:tblStylePr>
    <w:tblStylePr w:type="firstRow">
      <w:rPr>
        <w:rFonts w:ascii="Arial" w:hAnsi="Arial"/>
        <w:b/>
        <w:color w:val="ffffff"/>
        <w:sz w:val="22"/>
      </w:rPr>
      <w:tcPr>
        <w:shd w:val="clear" w:color="5d8bc2" w:fill="5d8bc2"/>
        <w:tcBorders>
          <w:top w:val="single" w:color="5D8BC2" w:sz="4" w:space="0"/>
          <w:left w:val="single" w:color="5D8BC2" w:sz="4" w:space="0"/>
          <w:bottom w:val="single" w:color="5D8BC2" w:sz="4" w:space="0"/>
          <w:right w:val="single" w:color="5D8BC2" w:sz="4" w:space="0"/>
        </w:tcBorders>
      </w:tcPr>
    </w:tblStylePr>
    <w:tblStylePr w:type="lastCol">
      <w:rPr>
        <w:b/>
        <w:color w:val="404040"/>
      </w:rPr>
    </w:tblStylePr>
    <w:tblStylePr w:type="lastRow">
      <w:rPr>
        <w:b/>
        <w:color w:val="404040"/>
      </w:rPr>
      <w:tcPr>
        <w:tcBorders>
          <w:top w:val="single" w:color="5D8BC2" w:sz="4" w:space="0"/>
        </w:tcBorders>
      </w:tcPr>
    </w:tblStylePr>
  </w:style>
  <w:style w:type="table" w:styleId="922" w:customStyle="1">
    <w:name w:val="Grid Table 4 - Accent 2"/>
    <w:uiPriority w:val="59"/>
    <w:qFormat/>
    <w:tblPr>
      <w:tblBorders>
        <w:top w:val="single" w:color="DB9C9A" w:sz="4" w:space="0"/>
        <w:left w:val="single" w:color="DB9C9A" w:sz="4" w:space="0"/>
        <w:bottom w:val="single" w:color="DB9C9A" w:sz="4" w:space="0"/>
        <w:right w:val="single" w:color="DB9C9A" w:sz="4" w:space="0"/>
        <w:insideH w:val="single" w:color="DB9C9A" w:sz="4" w:space="0"/>
        <w:insideV w:val="single" w:color="DB9C9A"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rFonts w:ascii="Arial" w:hAnsi="Arial"/>
        <w:b/>
        <w:color w:val="ffffff"/>
        <w:sz w:val="22"/>
      </w:rPr>
      <w:tcPr>
        <w:shd w:val="clear" w:color="d99795" w:fill="d99795"/>
        <w:tcBorders>
          <w:top w:val="single" w:color="D99795" w:sz="4" w:space="0"/>
          <w:left w:val="single" w:color="D99795" w:sz="4" w:space="0"/>
          <w:bottom w:val="single" w:color="D99795" w:sz="4" w:space="0"/>
          <w:right w:val="single" w:color="D99795" w:sz="4" w:space="0"/>
        </w:tcBorders>
      </w:tcPr>
    </w:tblStylePr>
    <w:tblStylePr w:type="lastCol">
      <w:rPr>
        <w:b/>
        <w:color w:val="404040"/>
      </w:rPr>
    </w:tblStylePr>
    <w:tblStylePr w:type="lastRow">
      <w:rPr>
        <w:b/>
        <w:color w:val="404040"/>
      </w:rPr>
      <w:tcPr>
        <w:tcBorders>
          <w:top w:val="single" w:color="D99795" w:sz="4" w:space="0"/>
        </w:tcBorders>
      </w:tcPr>
    </w:tblStylePr>
  </w:style>
  <w:style w:type="table" w:styleId="923"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b/>
        <w:color w:val="404040"/>
      </w:rPr>
    </w:tblStylePr>
    <w:tblStylePr w:type="firstRow">
      <w:rPr>
        <w:rFonts w:ascii="Arial" w:hAnsi="Arial"/>
        <w:b/>
        <w:color w:val="ffffff"/>
        <w:sz w:val="22"/>
      </w:rPr>
      <w:tcPr>
        <w:shd w:val="clear" w:color="9bbb59" w:fill="9bbb59"/>
        <w:tcBorders>
          <w:top w:val="single" w:color="9BBB59" w:sz="4" w:space="0"/>
          <w:left w:val="single" w:color="9BBB59" w:sz="4" w:space="0"/>
          <w:bottom w:val="single" w:color="9BBB59" w:sz="4" w:space="0"/>
          <w:right w:val="single" w:color="9BBB59" w:sz="4" w:space="0"/>
        </w:tcBorders>
      </w:tcPr>
    </w:tblStylePr>
    <w:tblStylePr w:type="lastCol">
      <w:rPr>
        <w:b/>
        <w:color w:val="404040"/>
      </w:rPr>
    </w:tblStylePr>
    <w:tblStylePr w:type="lastRow">
      <w:rPr>
        <w:b/>
        <w:color w:val="404040"/>
      </w:rPr>
      <w:tcPr>
        <w:tcBorders>
          <w:top w:val="single" w:color="9BBB59" w:sz="4" w:space="0"/>
        </w:tcBorders>
      </w:tcPr>
    </w:tblStylePr>
  </w:style>
  <w:style w:type="table" w:styleId="924"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rFonts w:ascii="Arial" w:hAnsi="Arial"/>
        <w:b/>
        <w:color w:val="ffffff"/>
        <w:sz w:val="22"/>
      </w:rPr>
      <w:tcPr>
        <w:shd w:val="clear" w:color="b2a1c6" w:fill="b2a1c6"/>
        <w:tcBorders>
          <w:top w:val="single" w:color="B2A1C6" w:sz="4" w:space="0"/>
          <w:left w:val="single" w:color="B2A1C6" w:sz="4" w:space="0"/>
          <w:bottom w:val="single" w:color="B2A1C6" w:sz="4" w:space="0"/>
          <w:right w:val="single" w:color="B2A1C6" w:sz="4" w:space="0"/>
        </w:tcBorders>
      </w:tcPr>
    </w:tblStylePr>
    <w:tblStylePr w:type="lastCol">
      <w:rPr>
        <w:b/>
        <w:color w:val="404040"/>
      </w:rPr>
    </w:tblStylePr>
    <w:tblStylePr w:type="lastRow">
      <w:rPr>
        <w:b/>
        <w:color w:val="404040"/>
      </w:rPr>
      <w:tcPr>
        <w:tcBorders>
          <w:top w:val="single" w:color="B2A1C6" w:sz="4" w:space="0"/>
        </w:tcBorders>
      </w:tcPr>
    </w:tblStylePr>
  </w:style>
  <w:style w:type="table" w:styleId="925"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rFonts w:ascii="Arial" w:hAnsi="Arial"/>
        <w:b/>
        <w:color w:val="ffffff"/>
        <w:sz w:val="22"/>
      </w:rPr>
      <w:tcPr>
        <w:shd w:val="clear" w:color="4bacc6" w:fill="4bacc6"/>
        <w:tcBorders>
          <w:top w:val="single" w:color="4BACC6" w:sz="4" w:space="0"/>
          <w:left w:val="single" w:color="4BACC6" w:sz="4" w:space="0"/>
          <w:bottom w:val="single" w:color="4BACC6" w:sz="4" w:space="0"/>
          <w:right w:val="single" w:color="4BACC6" w:sz="4" w:space="0"/>
        </w:tcBorders>
      </w:tcPr>
    </w:tblStylePr>
    <w:tblStylePr w:type="lastCol">
      <w:rPr>
        <w:b/>
        <w:color w:val="404040"/>
      </w:rPr>
    </w:tblStylePr>
    <w:tblStylePr w:type="lastRow">
      <w:rPr>
        <w:b/>
        <w:color w:val="404040"/>
      </w:rPr>
      <w:tcPr>
        <w:tcBorders>
          <w:top w:val="single" w:color="4BACC6" w:sz="4" w:space="0"/>
        </w:tcBorders>
      </w:tcPr>
    </w:tblStylePr>
  </w:style>
  <w:style w:type="table" w:styleId="926"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b/>
        <w:color w:val="404040"/>
      </w:rPr>
    </w:tblStylePr>
    <w:tblStylePr w:type="firstRow">
      <w:rPr>
        <w:rFonts w:ascii="Arial" w:hAnsi="Arial"/>
        <w:b/>
        <w:color w:val="ffffff"/>
        <w:sz w:val="22"/>
      </w:rPr>
      <w:tcPr>
        <w:shd w:val="clear" w:color="f79646" w:fill="f79646"/>
        <w:tcBorders>
          <w:top w:val="single" w:color="F79646" w:sz="4" w:space="0"/>
          <w:left w:val="single" w:color="F79646" w:sz="4" w:space="0"/>
          <w:bottom w:val="single" w:color="F79646" w:sz="4" w:space="0"/>
          <w:right w:val="single" w:color="F79646" w:sz="4" w:space="0"/>
        </w:tcBorders>
      </w:tcPr>
    </w:tblStylePr>
    <w:tblStylePr w:type="lastCol">
      <w:rPr>
        <w:b/>
        <w:color w:val="404040"/>
      </w:rPr>
    </w:tblStylePr>
    <w:tblStylePr w:type="lastRow">
      <w:rPr>
        <w:b/>
        <w:color w:val="404040"/>
      </w:rPr>
      <w:tcPr>
        <w:tcBorders>
          <w:top w:val="single" w:color="F79646" w:sz="4" w:space="0"/>
        </w:tcBorders>
      </w:tcPr>
    </w:tblStylePr>
  </w:style>
  <w:style w:type="table" w:styleId="927"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898989" w:fill="898989"/>
      </w:tcPr>
    </w:tblStylePr>
    <w:tblStylePr w:type="band1Vert">
      <w:tcPr>
        <w:shd w:val="clear" w:color="898989" w:fill="898989"/>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928"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ec5e0" w:fill="aec5e0"/>
      </w:tcPr>
    </w:tblStylePr>
    <w:tblStylePr w:type="band1Vert">
      <w:tcPr>
        <w:shd w:val="clear" w:color="aec5e0" w:fill="aec5e0"/>
      </w:tcPr>
    </w:tblStylePr>
    <w:tblStylePr w:type="firstCol">
      <w:rPr>
        <w:rFonts w:ascii="Arial" w:hAnsi="Arial"/>
        <w:b/>
        <w:color w:val="ffffff"/>
        <w:sz w:val="22"/>
      </w:rPr>
      <w:tcPr>
        <w:shd w:val="clear" w:color="4f81bd" w:fill="4f81bd"/>
      </w:tcPr>
    </w:tblStylePr>
    <w:tblStylePr w:type="firstRow">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lastRow">
      <w:rPr>
        <w:rFonts w:ascii="Arial" w:hAnsi="Arial"/>
        <w:b/>
        <w:color w:val="ffffff"/>
        <w:sz w:val="22"/>
      </w:rPr>
      <w:tcPr>
        <w:shd w:val="clear" w:color="4f81bd" w:fill="4f81bd"/>
        <w:tcBorders>
          <w:top w:val="single" w:color="FFFFFF" w:sz="4" w:space="0"/>
        </w:tcBorders>
      </w:tcPr>
    </w:tblStylePr>
  </w:style>
  <w:style w:type="table" w:styleId="929"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e2aead" w:fill="e2aead"/>
      </w:tcPr>
    </w:tblStylePr>
    <w:tblStylePr w:type="band1Vert">
      <w:tcPr>
        <w:shd w:val="clear" w:color="e2aead" w:fill="e2aead"/>
      </w:tcPr>
    </w:tblStylePr>
    <w:tblStylePr w:type="firstCol">
      <w:rPr>
        <w:rFonts w:ascii="Arial" w:hAnsi="Arial"/>
        <w:b/>
        <w:color w:val="ffffff"/>
        <w:sz w:val="22"/>
      </w:rPr>
      <w:tcPr>
        <w:shd w:val="clear" w:color="c0504d" w:fill="c0504d"/>
      </w:tcPr>
    </w:tblStylePr>
    <w:tblStylePr w:type="firstRow">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lastRow">
      <w:rPr>
        <w:rFonts w:ascii="Arial" w:hAnsi="Arial"/>
        <w:b/>
        <w:color w:val="ffffff"/>
        <w:sz w:val="22"/>
      </w:rPr>
      <w:tcPr>
        <w:shd w:val="clear" w:color="c0504d" w:fill="c0504d"/>
        <w:tcBorders>
          <w:top w:val="single" w:color="FFFFFF" w:sz="4" w:space="0"/>
        </w:tcBorders>
      </w:tcPr>
    </w:tblStylePr>
  </w:style>
  <w:style w:type="table" w:styleId="930"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d1dfb2" w:fill="d1dfb2"/>
      </w:tcPr>
    </w:tblStylePr>
    <w:tblStylePr w:type="band1Vert">
      <w:tcPr>
        <w:shd w:val="clear" w:color="d1dfb2" w:fill="d1dfb2"/>
      </w:tcPr>
    </w:tblStylePr>
    <w:tblStylePr w:type="firstCol">
      <w:rPr>
        <w:rFonts w:ascii="Arial" w:hAnsi="Arial"/>
        <w:b/>
        <w:color w:val="ffffff"/>
        <w:sz w:val="22"/>
      </w:rPr>
      <w:tcPr>
        <w:shd w:val="clear" w:color="9bbb59" w:fill="9bbb59"/>
      </w:tcPr>
    </w:tblStylePr>
    <w:tblStylePr w:type="firstRow">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lastRow">
      <w:rPr>
        <w:rFonts w:ascii="Arial" w:hAnsi="Arial"/>
        <w:b/>
        <w:color w:val="ffffff"/>
        <w:sz w:val="22"/>
      </w:rPr>
      <w:tcPr>
        <w:shd w:val="clear" w:color="9bbb59" w:fill="9bbb59"/>
        <w:tcBorders>
          <w:top w:val="single" w:color="FFFFFF" w:sz="4" w:space="0"/>
        </w:tcBorders>
      </w:tcPr>
    </w:tblStylePr>
  </w:style>
  <w:style w:type="table" w:styleId="931"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c4b7d4" w:fill="c4b7d4"/>
      </w:tcPr>
    </w:tblStylePr>
    <w:tblStylePr w:type="band1Vert">
      <w:tcPr>
        <w:shd w:val="clear" w:color="c4b7d4" w:fill="c4b7d4"/>
      </w:tcPr>
    </w:tblStylePr>
    <w:tblStylePr w:type="firstCol">
      <w:rPr>
        <w:rFonts w:ascii="Arial" w:hAnsi="Arial"/>
        <w:b/>
        <w:color w:val="ffffff"/>
        <w:sz w:val="22"/>
      </w:rPr>
      <w:tcPr>
        <w:shd w:val="clear" w:color="8064a2" w:fill="8064a2"/>
      </w:tcPr>
    </w:tblStylePr>
    <w:tblStylePr w:type="firstRow">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lastRow">
      <w:rPr>
        <w:rFonts w:ascii="Arial" w:hAnsi="Arial"/>
        <w:b/>
        <w:color w:val="ffffff"/>
        <w:sz w:val="22"/>
      </w:rPr>
      <w:tcPr>
        <w:shd w:val="clear" w:color="8064a2" w:fill="8064a2"/>
        <w:tcBorders>
          <w:top w:val="single" w:color="FFFFFF" w:sz="4" w:space="0"/>
        </w:tcBorders>
      </w:tcPr>
    </w:tblStylePr>
  </w:style>
  <w:style w:type="table" w:styleId="932"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cd8e4" w:fill="acd8e4"/>
      </w:tcPr>
    </w:tblStylePr>
    <w:tblStylePr w:type="band1Vert">
      <w:tcPr>
        <w:shd w:val="clear" w:color="acd8e4" w:fill="acd8e4"/>
      </w:tcPr>
    </w:tblStylePr>
    <w:tblStylePr w:type="firstCol">
      <w:rPr>
        <w:rFonts w:ascii="Arial" w:hAnsi="Arial"/>
        <w:b/>
        <w:color w:val="ffffff"/>
        <w:sz w:val="22"/>
      </w:rPr>
      <w:tcPr>
        <w:shd w:val="clear" w:color="4bacc6" w:fill="4bacc6"/>
      </w:tcPr>
    </w:tblStylePr>
    <w:tblStylePr w:type="firstRow">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lastRow">
      <w:rPr>
        <w:rFonts w:ascii="Arial" w:hAnsi="Arial"/>
        <w:b/>
        <w:color w:val="ffffff"/>
        <w:sz w:val="22"/>
      </w:rPr>
      <w:tcPr>
        <w:shd w:val="clear" w:color="4bacc6" w:fill="4bacc6"/>
        <w:tcBorders>
          <w:top w:val="single" w:color="FFFFFF" w:sz="4" w:space="0"/>
        </w:tcBorders>
      </w:tcPr>
    </w:tblStylePr>
  </w:style>
  <w:style w:type="table" w:styleId="933"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fbceaa" w:fill="fbceaa"/>
      </w:tcPr>
    </w:tblStylePr>
    <w:tblStylePr w:type="band1Vert">
      <w:tcPr>
        <w:shd w:val="clear" w:color="fbceaa" w:fill="fbceaa"/>
      </w:tcPr>
    </w:tblStylePr>
    <w:tblStylePr w:type="firstCol">
      <w:rPr>
        <w:rFonts w:ascii="Arial" w:hAnsi="Arial"/>
        <w:b/>
        <w:color w:val="ffffff"/>
        <w:sz w:val="22"/>
      </w:rPr>
      <w:tcPr>
        <w:shd w:val="clear" w:color="f79646" w:fill="f79646"/>
      </w:tcPr>
    </w:tblStylePr>
    <w:tblStylePr w:type="firstRow">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lastRow">
      <w:rPr>
        <w:rFonts w:ascii="Arial" w:hAnsi="Arial"/>
        <w:b/>
        <w:color w:val="ffffff"/>
        <w:sz w:val="22"/>
      </w:rPr>
      <w:tcPr>
        <w:shd w:val="clear" w:color="f79646" w:fill="f79646"/>
        <w:tcBorders>
          <w:top w:val="single" w:color="FFFFFF" w:sz="4" w:space="0"/>
        </w:tcBorders>
      </w:tcPr>
    </w:tblStylePr>
  </w:style>
  <w:style w:type="table" w:styleId="934" w:customStyle="1">
    <w:name w:val="网格表 6 彩色1"/>
    <w:uiPriority w:val="99"/>
    <w:qFormat/>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CellMar>
        <w:left w:w="0" w:type="dxa"/>
        <w:top w:w="0" w:type="dxa"/>
        <w:right w:w="0" w:type="dxa"/>
        <w:bottom w:w="0" w:type="dxa"/>
      </w:tblCellMar>
    </w:tblPr>
    <w:tblStylePr w:type="band1Horz">
      <w:rPr>
        <w:rFonts w:ascii="Arial" w:hAnsi="Arial"/>
        <w:color w:val="7f7f7f"/>
        <w:sz w:val="22"/>
      </w:rPr>
      <w:tcPr>
        <w:shd w:val="clear" w:color="cacaca" w:fill="cacaca"/>
      </w:tcPr>
    </w:tblStylePr>
    <w:tblStylePr w:type="band1Vert">
      <w:tcPr>
        <w:shd w:val="clear" w:color="cacaca" w:fill="cacaca"/>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E7E7E" w:sz="12" w:space="0"/>
        </w:tcBorders>
      </w:tcPr>
    </w:tblStylePr>
    <w:tblStylePr w:type="lastCol">
      <w:rPr>
        <w:b/>
        <w:color w:val="7f7f7f"/>
      </w:rPr>
    </w:tblStylePr>
    <w:tblStylePr w:type="lastRow">
      <w:rPr>
        <w:b/>
        <w:color w:val="7f7f7f"/>
      </w:rPr>
    </w:tblStylePr>
  </w:style>
  <w:style w:type="table" w:styleId="935"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7c0de"/>
        <w:sz w:val="22"/>
      </w:rPr>
      <w:tcPr>
        <w:shd w:val="clear" w:color="dbe5f1" w:fill="dbe5f1"/>
      </w:tcPr>
    </w:tblStylePr>
    <w:tblStylePr w:type="band1Vert">
      <w:tcPr>
        <w:shd w:val="clear" w:color="dbe5f1" w:fill="dbe5f1"/>
      </w:tcPr>
    </w:tblStylePr>
    <w:tblStylePr w:type="band2Horz">
      <w:rPr>
        <w:rFonts w:ascii="Arial" w:hAnsi="Arial"/>
        <w:color w:val="a7c0de"/>
        <w:sz w:val="22"/>
      </w:rPr>
    </w:tblStylePr>
    <w:tblStylePr w:type="firstCol">
      <w:rPr>
        <w:b/>
        <w:color w:val="a7c0de"/>
      </w:rPr>
    </w:tblStylePr>
    <w:tblStylePr w:type="firstRow">
      <w:rPr>
        <w:b/>
        <w:color w:val="a7c0de"/>
      </w:rPr>
      <w:tcPr>
        <w:tcBorders>
          <w:bottom w:val="single" w:color="A6BFDD" w:sz="12" w:space="0"/>
        </w:tcBorders>
      </w:tcPr>
    </w:tblStylePr>
    <w:tblStylePr w:type="lastCol">
      <w:rPr>
        <w:b/>
        <w:color w:val="a7c0de"/>
      </w:rPr>
    </w:tblStylePr>
    <w:tblStylePr w:type="lastRow">
      <w:rPr>
        <w:b/>
        <w:color w:val="a7c0de"/>
      </w:rPr>
    </w:tblStylePr>
  </w:style>
  <w:style w:type="table" w:styleId="936" w:customStyle="1">
    <w:name w:val="Grid Table 6 Colorful - Accent 2"/>
    <w:uiPriority w:val="99"/>
    <w:qFormat/>
    <w:tblPr>
      <w:tblBorders>
        <w:top w:val="single" w:color="D99795" w:sz="4" w:space="0"/>
        <w:left w:val="single" w:color="D99795" w:sz="4" w:space="0"/>
        <w:bottom w:val="single" w:color="D99795" w:sz="4" w:space="0"/>
        <w:right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d99795"/>
        <w:sz w:val="22"/>
      </w:rPr>
      <w:tcPr>
        <w:shd w:val="clear" w:color="f2dcdc" w:fill="f2dcdc"/>
      </w:tcPr>
    </w:tblStylePr>
    <w:tblStylePr w:type="band1Vert">
      <w:tcPr>
        <w:shd w:val="clear" w:color="f2dcdc" w:fill="f2dcdc"/>
      </w:tcPr>
    </w:tblStylePr>
    <w:tblStylePr w:type="band2Horz">
      <w:rPr>
        <w:rFonts w:ascii="Arial" w:hAnsi="Arial"/>
        <w:color w:val="d99795"/>
        <w:sz w:val="22"/>
      </w:rPr>
    </w:tblStylePr>
    <w:tblStylePr w:type="firstCol">
      <w:rPr>
        <w:b/>
        <w:color w:val="d99795"/>
      </w:rPr>
    </w:tblStylePr>
    <w:tblStylePr w:type="firstRow">
      <w:rPr>
        <w:b/>
        <w:color w:val="d99795"/>
      </w:rPr>
      <w:tcPr>
        <w:tcBorders>
          <w:bottom w:val="single" w:color="D99795" w:sz="12" w:space="0"/>
        </w:tcBorders>
      </w:tcPr>
    </w:tblStylePr>
    <w:tblStylePr w:type="lastCol">
      <w:rPr>
        <w:b/>
        <w:color w:val="d99795"/>
      </w:rPr>
    </w:tblStylePr>
    <w:tblStylePr w:type="lastRow">
      <w:rPr>
        <w:b/>
        <w:color w:val="d99795"/>
      </w:rPr>
    </w:tblStylePr>
  </w:style>
  <w:style w:type="table" w:styleId="937" w:customStyle="1">
    <w:name w:val="Grid Table 6 Colorful - Accent 3"/>
    <w:uiPriority w:val="99"/>
    <w:qFormat/>
    <w:tblPr>
      <w:tblBorders>
        <w:top w:val="single" w:color="9BBB59" w:sz="4" w:space="0"/>
        <w:left w:val="single" w:color="9BBB59" w:sz="4" w:space="0"/>
        <w:bottom w:val="single" w:color="9BBB59" w:sz="4" w:space="0"/>
        <w:right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9bbb59"/>
        <w:sz w:val="22"/>
      </w:rPr>
      <w:tcPr>
        <w:shd w:val="clear" w:color="eaf1dd" w:fill="eaf1dd"/>
      </w:tcPr>
    </w:tblStylePr>
    <w:tblStylePr w:type="band1Vert">
      <w:tcPr>
        <w:shd w:val="clear" w:color="eaf1dd" w:fill="eaf1dd"/>
      </w:tcPr>
    </w:tblStylePr>
    <w:tblStylePr w:type="band2Horz">
      <w:rPr>
        <w:rFonts w:ascii="Arial" w:hAnsi="Arial"/>
        <w:color w:val="9bbb59"/>
        <w:sz w:val="22"/>
      </w:rPr>
    </w:tblStylePr>
    <w:tblStylePr w:type="firstCol">
      <w:rPr>
        <w:b/>
        <w:color w:val="9bbb59"/>
      </w:rPr>
    </w:tblStylePr>
    <w:tblStylePr w:type="firstRow">
      <w:rPr>
        <w:b/>
        <w:color w:val="9bbb59"/>
      </w:rPr>
      <w:tcPr>
        <w:tcBorders>
          <w:bottom w:val="single" w:color="9BBB59" w:sz="12" w:space="0"/>
        </w:tcBorders>
      </w:tcPr>
    </w:tblStylePr>
    <w:tblStylePr w:type="lastCol">
      <w:rPr>
        <w:b/>
        <w:color w:val="9bbb59"/>
      </w:rPr>
    </w:tblStylePr>
    <w:tblStylePr w:type="lastRow">
      <w:rPr>
        <w:b/>
        <w:color w:val="9bbb59"/>
      </w:rPr>
    </w:tblStylePr>
  </w:style>
  <w:style w:type="table" w:styleId="938"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12" w:space="0"/>
        </w:tcBorders>
      </w:tcPr>
    </w:tblStylePr>
    <w:tblStylePr w:type="lastCol">
      <w:rPr>
        <w:b/>
        <w:color w:val="b2a1c7"/>
      </w:rPr>
    </w:tblStylePr>
    <w:tblStylePr w:type="lastRow">
      <w:rPr>
        <w:b/>
        <w:color w:val="b2a1c7"/>
      </w:rPr>
    </w:tblStylePr>
  </w:style>
  <w:style w:type="table" w:styleId="939"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266778"/>
        <w:sz w:val="22"/>
      </w:rPr>
      <w:tcPr>
        <w:shd w:val="clear" w:color="daeef3" w:fill="daeef3"/>
      </w:tcPr>
    </w:tblStylePr>
    <w:tblStylePr w:type="band1Vert">
      <w:tcPr>
        <w:shd w:val="clear" w:color="daeef3" w:fill="daeef3"/>
      </w:tcPr>
    </w:tblStylePr>
    <w:tblStylePr w:type="band2Horz">
      <w:rPr>
        <w:rFonts w:ascii="Arial" w:hAnsi="Arial"/>
        <w:color w:val="266778"/>
        <w:sz w:val="22"/>
      </w:rPr>
    </w:tblStylePr>
    <w:tblStylePr w:type="firstCol">
      <w:rPr>
        <w:b/>
        <w:color w:val="266778"/>
      </w:rPr>
    </w:tblStylePr>
    <w:tblStylePr w:type="firstRow">
      <w:rPr>
        <w:b/>
        <w:color w:val="266778"/>
      </w:rPr>
      <w:tcPr>
        <w:tcBorders>
          <w:bottom w:val="single" w:color="4BACC6" w:sz="12" w:space="0"/>
        </w:tcBorders>
      </w:tcPr>
    </w:tblStylePr>
    <w:tblStylePr w:type="lastCol">
      <w:rPr>
        <w:b/>
        <w:color w:val="266778"/>
      </w:rPr>
    </w:tblStylePr>
    <w:tblStylePr w:type="lastRow">
      <w:rPr>
        <w:b/>
        <w:color w:val="266778"/>
      </w:rPr>
    </w:tblStylePr>
  </w:style>
  <w:style w:type="table" w:styleId="940"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266778"/>
        <w:sz w:val="22"/>
      </w:rPr>
      <w:tcPr>
        <w:shd w:val="clear" w:color="fde9d9" w:fill="fde9d9"/>
      </w:tcPr>
    </w:tblStylePr>
    <w:tblStylePr w:type="band1Vert">
      <w:tcPr>
        <w:shd w:val="clear" w:color="fde9d9" w:fill="fde9d9"/>
      </w:tcPr>
    </w:tblStylePr>
    <w:tblStylePr w:type="band2Horz">
      <w:rPr>
        <w:rFonts w:ascii="Arial" w:hAnsi="Arial"/>
        <w:color w:val="266778"/>
        <w:sz w:val="22"/>
      </w:rPr>
    </w:tblStylePr>
    <w:tblStylePr w:type="firstCol">
      <w:rPr>
        <w:b/>
        <w:color w:val="266778"/>
      </w:rPr>
    </w:tblStylePr>
    <w:tblStylePr w:type="firstRow">
      <w:rPr>
        <w:b/>
        <w:color w:val="266778"/>
      </w:rPr>
      <w:tcPr>
        <w:tcBorders>
          <w:bottom w:val="single" w:color="F79646" w:sz="12" w:space="0"/>
        </w:tcBorders>
      </w:tcPr>
    </w:tblStylePr>
    <w:tblStylePr w:type="lastCol">
      <w:rPr>
        <w:b/>
        <w:color w:val="266778"/>
      </w:rPr>
    </w:tblStylePr>
    <w:tblStylePr w:type="lastRow">
      <w:rPr>
        <w:b/>
        <w:color w:val="266778"/>
      </w:rPr>
    </w:tblStylePr>
  </w:style>
  <w:style w:type="table" w:styleId="941" w:customStyle="1">
    <w:name w:val="网格表 7 彩色1"/>
    <w:uiPriority w:val="99"/>
    <w:qFormat/>
    <w:tblPr>
      <w:tblBorders>
        <w:bottom w:val="single" w:color="7E7E7E" w:sz="4" w:space="0"/>
        <w:right w:val="single" w:color="7E7E7E" w:sz="4" w:space="0"/>
        <w:insideH w:val="single" w:color="7E7E7E" w:sz="4" w:space="0"/>
        <w:insideV w:val="single" w:color="7E7E7E" w:sz="4" w:space="0"/>
      </w:tblBorders>
      <w:tblCellMar>
        <w:left w:w="0" w:type="dxa"/>
        <w:top w:w="0" w:type="dxa"/>
        <w:right w:w="0" w:type="dxa"/>
        <w:bottom w:w="0" w:type="dxa"/>
      </w:tblCellMar>
    </w:tblPr>
    <w:tblStylePr w:type="band1Horz">
      <w:rPr>
        <w:rFonts w:ascii="Arial" w:hAnsi="Arial"/>
        <w:color w:val="7f7f7f"/>
        <w:sz w:val="22"/>
      </w:rPr>
      <w:tcPr>
        <w:shd w:val="clear" w:color="f1f1f1" w:fill="f1f1f1"/>
      </w:tcPr>
    </w:tblStylePr>
    <w:tblStylePr w:type="band1Vert">
      <w:tcPr>
        <w:shd w:val="clear" w:color="f1f1f1" w:fill="f1f1f1"/>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E7E7E"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E7E7E"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E7E7E" w:sz="4" w:space="0"/>
          <w:left w:val="none" w:color="000000" w:sz="4" w:space="0"/>
          <w:bottom w:val="none" w:color="000000" w:sz="4" w:space="0"/>
          <w:right w:val="none" w:color="000000" w:sz="4" w:space="0"/>
        </w:tcBorders>
      </w:tcPr>
    </w:tblStylePr>
  </w:style>
  <w:style w:type="table" w:styleId="942"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7c0de"/>
        <w:sz w:val="22"/>
      </w:rPr>
      <w:tcPr>
        <w:shd w:val="clear" w:color="dbe5f1" w:fill="dbe5f1"/>
      </w:tcPr>
    </w:tblStylePr>
    <w:tblStylePr w:type="band1Vert">
      <w:tcPr>
        <w:shd w:val="clear" w:color="dbe5f1" w:fill="dbe5f1"/>
      </w:tcPr>
    </w:tblStylePr>
    <w:tblStylePr w:type="band2Horz">
      <w:rPr>
        <w:rFonts w:ascii="Arial" w:hAnsi="Arial"/>
        <w:color w:val="a7c0de"/>
        <w:sz w:val="22"/>
      </w:rPr>
    </w:tblStylePr>
    <w:tblStylePr w:type="firstCol">
      <w:rPr>
        <w:rFonts w:ascii="Arial" w:hAnsi="Arial"/>
        <w:i/>
        <w:color w:val="a7c0de"/>
        <w:sz w:val="22"/>
      </w:rPr>
      <w:pPr>
        <w:jc w:val="right"/>
      </w:pPr>
      <w:tcPr>
        <w:shd w:val="clear" w:color="ffffff" w:fill="auto"/>
        <w:tcBorders>
          <w:top w:val="none" w:color="000000" w:sz="4" w:space="0"/>
          <w:left w:val="none" w:color="000000" w:sz="4" w:space="0"/>
          <w:bottom w:val="none" w:color="000000" w:sz="4" w:space="0"/>
          <w:right w:val="single" w:color="A6BFDD" w:sz="4" w:space="0"/>
        </w:tcBorders>
      </w:tcPr>
    </w:tblStylePr>
    <w:tblStylePr w:type="firstRow">
      <w:rPr>
        <w:rFonts w:ascii="Arial" w:hAnsi="Arial"/>
        <w:b/>
        <w:color w:val="a7c0de"/>
        <w:sz w:val="22"/>
      </w:rPr>
      <w:tcPr>
        <w:shd w:val="clear" w:color="ffffff" w:fill="ffffff"/>
        <w:tcBorders>
          <w:top w:val="none" w:color="000000" w:sz="4" w:space="0"/>
          <w:left w:val="none" w:color="000000" w:sz="4" w:space="0"/>
          <w:bottom w:val="single" w:color="A6BFDD" w:sz="4" w:space="0"/>
          <w:right w:val="none" w:color="000000" w:sz="4" w:space="0"/>
        </w:tcBorders>
      </w:tcPr>
    </w:tblStylePr>
    <w:tblStylePr w:type="lastCol">
      <w:rPr>
        <w:rFonts w:ascii="Arial" w:hAnsi="Arial"/>
        <w:i/>
        <w:color w:val="a7c0de"/>
        <w:sz w:val="22"/>
      </w:rPr>
      <w:tcPr>
        <w:shd w:val="clear" w:color="ffffff" w:fill="auto"/>
        <w:tcBorders>
          <w:top w:val="none" w:color="000000" w:sz="4" w:space="0"/>
          <w:left w:val="single" w:color="A6BFDD" w:sz="4" w:space="0"/>
          <w:bottom w:val="none" w:color="000000" w:sz="4" w:space="0"/>
          <w:right w:val="none" w:color="000000" w:sz="4" w:space="0"/>
        </w:tcBorders>
      </w:tcPr>
    </w:tblStylePr>
    <w:tblStylePr w:type="lastRow">
      <w:rPr>
        <w:rFonts w:ascii="Arial" w:hAnsi="Arial"/>
        <w:b/>
        <w:color w:val="a7c0de"/>
        <w:sz w:val="22"/>
      </w:rPr>
      <w:tcPr>
        <w:shd w:val="clear" w:color="ffffff" w:fill="ffffff"/>
        <w:tcBorders>
          <w:top w:val="single" w:color="A6BFDD" w:sz="4" w:space="0"/>
          <w:left w:val="none" w:color="000000" w:sz="4" w:space="0"/>
          <w:bottom w:val="none" w:color="000000" w:sz="4" w:space="0"/>
          <w:right w:val="none" w:color="000000" w:sz="4" w:space="0"/>
        </w:tcBorders>
      </w:tcPr>
    </w:tblStylePr>
  </w:style>
  <w:style w:type="table" w:styleId="943" w:customStyle="1">
    <w:name w:val="Grid Table 7 Colorful - Accent 2"/>
    <w:uiPriority w:val="99"/>
    <w:qFormat/>
    <w:tblPr>
      <w:tblBorders>
        <w:bottom w:val="single" w:color="D99795" w:sz="4" w:space="0"/>
        <w:right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d99795"/>
        <w:sz w:val="22"/>
      </w:rPr>
      <w:tcPr>
        <w:shd w:val="clear" w:color="f2dcdc" w:fill="f2dcdc"/>
      </w:tcPr>
    </w:tblStylePr>
    <w:tblStylePr w:type="band1Vert">
      <w:tcPr>
        <w:shd w:val="clear" w:color="f2dcdc" w:fill="f2dcdc"/>
      </w:tcPr>
    </w:tblStylePr>
    <w:tblStylePr w:type="band2Horz">
      <w:rPr>
        <w:rFonts w:ascii="Arial" w:hAnsi="Arial"/>
        <w:color w:val="d99795"/>
        <w:sz w:val="22"/>
      </w:rPr>
    </w:tblStylePr>
    <w:tblStylePr w:type="firstCol">
      <w:rPr>
        <w:rFonts w:ascii="Arial" w:hAnsi="Arial"/>
        <w:i/>
        <w:color w:val="d99795"/>
        <w:sz w:val="22"/>
      </w:rPr>
      <w:pPr>
        <w:jc w:val="right"/>
      </w:pPr>
      <w:tcPr>
        <w:shd w:val="clear" w:color="ffffff" w:fill="auto"/>
        <w:tcBorders>
          <w:top w:val="none" w:color="000000" w:sz="4" w:space="0"/>
          <w:left w:val="none" w:color="000000" w:sz="4" w:space="0"/>
          <w:bottom w:val="none" w:color="000000" w:sz="4" w:space="0"/>
          <w:right w:val="single" w:color="D99795" w:sz="4" w:space="0"/>
        </w:tcBorders>
      </w:tcPr>
    </w:tblStylePr>
    <w:tblStylePr w:type="firstRow">
      <w:rPr>
        <w:rFonts w:ascii="Arial" w:hAnsi="Arial"/>
        <w:b/>
        <w:color w:val="d99795"/>
        <w:sz w:val="22"/>
      </w:rPr>
      <w:tcPr>
        <w:shd w:val="clear" w:color="ffffff" w:fill="ffffff"/>
        <w:tcBorders>
          <w:top w:val="none" w:color="000000" w:sz="4" w:space="0"/>
          <w:left w:val="none" w:color="000000" w:sz="4" w:space="0"/>
          <w:bottom w:val="single" w:color="D99795" w:sz="4" w:space="0"/>
          <w:right w:val="none" w:color="000000" w:sz="4" w:space="0"/>
        </w:tcBorders>
      </w:tcPr>
    </w:tblStylePr>
    <w:tblStylePr w:type="lastCol">
      <w:rPr>
        <w:rFonts w:ascii="Arial" w:hAnsi="Arial"/>
        <w:i/>
        <w:color w:val="d99795"/>
        <w:sz w:val="22"/>
      </w:rPr>
      <w:tcPr>
        <w:shd w:val="clear" w:color="ffffff" w:fill="auto"/>
        <w:tcBorders>
          <w:top w:val="none" w:color="000000" w:sz="4" w:space="0"/>
          <w:left w:val="single" w:color="D99795" w:sz="4" w:space="0"/>
          <w:bottom w:val="none" w:color="000000" w:sz="4" w:space="0"/>
          <w:right w:val="none" w:color="000000" w:sz="4" w:space="0"/>
        </w:tcBorders>
      </w:tcPr>
    </w:tblStylePr>
    <w:tblStylePr w:type="lastRow">
      <w:rPr>
        <w:rFonts w:ascii="Arial" w:hAnsi="Arial"/>
        <w:b/>
        <w:color w:val="d99795"/>
        <w:sz w:val="22"/>
      </w:rPr>
      <w:tcPr>
        <w:shd w:val="clear" w:color="ffffff" w:fill="ffffff"/>
        <w:tcBorders>
          <w:top w:val="single" w:color="D99795" w:sz="4" w:space="0"/>
          <w:left w:val="none" w:color="000000" w:sz="4" w:space="0"/>
          <w:bottom w:val="none" w:color="000000" w:sz="4" w:space="0"/>
          <w:right w:val="none" w:color="000000" w:sz="4" w:space="0"/>
        </w:tcBorders>
      </w:tcPr>
    </w:tblStylePr>
  </w:style>
  <w:style w:type="table" w:styleId="944" w:customStyle="1">
    <w:name w:val="Grid Table 7 Colorful - Accent 3"/>
    <w:uiPriority w:val="99"/>
    <w:qFormat/>
    <w:tblPr>
      <w:tblBorders>
        <w:bottom w:val="single" w:color="9BBB59" w:sz="4" w:space="0"/>
        <w:right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9bbb59"/>
        <w:sz w:val="22"/>
      </w:rPr>
      <w:tcPr>
        <w:shd w:val="clear" w:color="eaf1dd" w:fill="eaf1dd"/>
      </w:tcPr>
    </w:tblStylePr>
    <w:tblStylePr w:type="band1Vert">
      <w:tcPr>
        <w:shd w:val="clear" w:color="eaf1dd" w:fill="eaf1dd"/>
      </w:tcPr>
    </w:tblStylePr>
    <w:tblStylePr w:type="band2Horz">
      <w:rPr>
        <w:rFonts w:ascii="Arial" w:hAnsi="Arial"/>
        <w:color w:val="9bbb59"/>
        <w:sz w:val="22"/>
      </w:rPr>
    </w:tblStylePr>
    <w:tblStylePr w:type="firstCol">
      <w:rPr>
        <w:rFonts w:ascii="Arial" w:hAnsi="Arial"/>
        <w:i/>
        <w:color w:val="9bbb59"/>
        <w:sz w:val="22"/>
      </w:rPr>
      <w:pPr>
        <w:jc w:val="right"/>
      </w:pPr>
      <w:tcPr>
        <w:shd w:val="clear" w:color="ffffff" w:fill="auto"/>
        <w:tcBorders>
          <w:top w:val="none" w:color="000000" w:sz="4" w:space="0"/>
          <w:left w:val="none" w:color="000000" w:sz="4" w:space="0"/>
          <w:bottom w:val="none" w:color="000000" w:sz="4" w:space="0"/>
          <w:right w:val="single" w:color="9BBB59" w:sz="4" w:space="0"/>
        </w:tcBorders>
      </w:tcPr>
    </w:tblStylePr>
    <w:tblStylePr w:type="firstRow">
      <w:rPr>
        <w:rFonts w:ascii="Arial" w:hAnsi="Arial"/>
        <w:b/>
        <w:color w:val="9bbb59"/>
        <w:sz w:val="22"/>
      </w:rPr>
      <w:tcPr>
        <w:shd w:val="clear" w:color="ffffff" w:fill="ffffff"/>
        <w:tcBorders>
          <w:top w:val="none" w:color="000000" w:sz="4" w:space="0"/>
          <w:left w:val="none" w:color="000000" w:sz="4" w:space="0"/>
          <w:bottom w:val="single" w:color="9BBB59" w:sz="4" w:space="0"/>
          <w:right w:val="none" w:color="000000" w:sz="4" w:space="0"/>
        </w:tcBorders>
      </w:tcPr>
    </w:tblStylePr>
    <w:tblStylePr w:type="lastCol">
      <w:rPr>
        <w:rFonts w:ascii="Arial" w:hAnsi="Arial"/>
        <w:i/>
        <w:color w:val="9bbb59"/>
        <w:sz w:val="22"/>
      </w:rPr>
      <w:tcPr>
        <w:shd w:val="clear" w:color="ffffff" w:fill="auto"/>
        <w:tcBorders>
          <w:top w:val="none" w:color="000000" w:sz="4" w:space="0"/>
          <w:left w:val="single" w:color="9BBB59" w:sz="4" w:space="0"/>
          <w:bottom w:val="none" w:color="000000" w:sz="4" w:space="0"/>
          <w:right w:val="none" w:color="000000" w:sz="4" w:space="0"/>
        </w:tcBorders>
      </w:tcPr>
    </w:tblStylePr>
    <w:tblStylePr w:type="lastRow">
      <w:rPr>
        <w:rFonts w:ascii="Arial" w:hAnsi="Arial"/>
        <w:b/>
        <w:color w:val="9bbb59"/>
        <w:sz w:val="22"/>
      </w:rPr>
      <w:tcPr>
        <w:shd w:val="clear" w:color="ffffff" w:fill="ffffff"/>
        <w:tcBorders>
          <w:top w:val="single" w:color="9BBB59" w:sz="4" w:space="0"/>
          <w:left w:val="none" w:color="000000" w:sz="4" w:space="0"/>
          <w:bottom w:val="none" w:color="000000" w:sz="4" w:space="0"/>
          <w:right w:val="none" w:color="000000" w:sz="4" w:space="0"/>
        </w:tcBorders>
      </w:tcPr>
    </w:tblStylePr>
  </w:style>
  <w:style w:type="table" w:styleId="945"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b/>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b/>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946"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266778"/>
        <w:sz w:val="22"/>
      </w:rPr>
      <w:tcPr>
        <w:shd w:val="clear" w:color="daeef3" w:fill="daeef3"/>
      </w:tcPr>
    </w:tblStylePr>
    <w:tblStylePr w:type="band1Vert">
      <w:tcPr>
        <w:shd w:val="clear" w:color="daeef3" w:fill="daeef3"/>
      </w:tcPr>
    </w:tblStylePr>
    <w:tblStylePr w:type="band2Horz">
      <w:rPr>
        <w:rFonts w:ascii="Arial" w:hAnsi="Arial"/>
        <w:color w:val="266778"/>
        <w:sz w:val="22"/>
      </w:rPr>
    </w:tblStylePr>
    <w:tblStylePr w:type="firstCol">
      <w:rPr>
        <w:rFonts w:ascii="Arial" w:hAnsi="Arial"/>
        <w:i/>
        <w:color w:val="266778"/>
        <w:sz w:val="22"/>
      </w:rPr>
      <w:pPr>
        <w:jc w:val="right"/>
      </w:pPr>
      <w:tcPr>
        <w:shd w:val="clear" w:color="ffffff" w:fill="auto"/>
        <w:tcBorders>
          <w:top w:val="none" w:color="000000" w:sz="4" w:space="0"/>
          <w:left w:val="none" w:color="000000" w:sz="4" w:space="0"/>
          <w:bottom w:val="none" w:color="000000" w:sz="4" w:space="0"/>
          <w:right w:val="single" w:color="99D0DE" w:sz="4" w:space="0"/>
        </w:tcBorders>
      </w:tcPr>
    </w:tblStylePr>
    <w:tblStylePr w:type="firstRow">
      <w:rPr>
        <w:rFonts w:ascii="Arial" w:hAnsi="Arial"/>
        <w:b/>
        <w:color w:val="266778"/>
        <w:sz w:val="22"/>
      </w:rPr>
      <w:tcPr>
        <w:shd w:val="clear" w:color="ffffff" w:fill="ffffff"/>
        <w:tcBorders>
          <w:top w:val="none" w:color="000000" w:sz="4" w:space="0"/>
          <w:left w:val="none" w:color="000000" w:sz="4" w:space="0"/>
          <w:bottom w:val="single" w:color="99D0DE" w:sz="4" w:space="0"/>
          <w:right w:val="none" w:color="000000" w:sz="4" w:space="0"/>
        </w:tcBorders>
      </w:tcPr>
    </w:tblStylePr>
    <w:tblStylePr w:type="lastCol">
      <w:rPr>
        <w:rFonts w:ascii="Arial" w:hAnsi="Arial"/>
        <w:i/>
        <w:color w:val="266778"/>
        <w:sz w:val="22"/>
      </w:rPr>
      <w:tcPr>
        <w:shd w:val="clear" w:color="ffffff" w:fill="auto"/>
        <w:tcBorders>
          <w:top w:val="none" w:color="000000" w:sz="4" w:space="0"/>
          <w:left w:val="single" w:color="99D0DE" w:sz="4" w:space="0"/>
          <w:bottom w:val="none" w:color="000000" w:sz="4" w:space="0"/>
          <w:right w:val="none" w:color="000000" w:sz="4" w:space="0"/>
        </w:tcBorders>
      </w:tcPr>
    </w:tblStylePr>
    <w:tblStylePr w:type="lastRow">
      <w:rPr>
        <w:rFonts w:ascii="Arial" w:hAnsi="Arial"/>
        <w:b/>
        <w:color w:val="266778"/>
        <w:sz w:val="22"/>
      </w:rPr>
      <w:tcPr>
        <w:shd w:val="clear" w:color="ffffff" w:fill="ffffff"/>
        <w:tcBorders>
          <w:top w:val="single" w:color="99D0DE" w:sz="4" w:space="0"/>
          <w:left w:val="none" w:color="000000" w:sz="4" w:space="0"/>
          <w:bottom w:val="none" w:color="000000" w:sz="4" w:space="0"/>
          <w:right w:val="none" w:color="000000" w:sz="4" w:space="0"/>
        </w:tcBorders>
      </w:tcPr>
    </w:tblStylePr>
  </w:style>
  <w:style w:type="table" w:styleId="947"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b05408"/>
        <w:sz w:val="22"/>
      </w:rPr>
      <w:tcPr>
        <w:shd w:val="clear" w:color="fde9d9" w:fill="fde9d9"/>
      </w:tcPr>
    </w:tblStylePr>
    <w:tblStylePr w:type="band1Vert">
      <w:tcPr>
        <w:shd w:val="clear" w:color="fde9d9" w:fill="fde9d9"/>
      </w:tcPr>
    </w:tblStylePr>
    <w:tblStylePr w:type="band2Horz">
      <w:rPr>
        <w:rFonts w:ascii="Arial" w:hAnsi="Arial"/>
        <w:color w:val="b05408"/>
        <w:sz w:val="22"/>
      </w:rPr>
    </w:tblStylePr>
    <w:tblStylePr w:type="firstCol">
      <w:rPr>
        <w:rFonts w:ascii="Arial" w:hAnsi="Arial"/>
        <w:i/>
        <w:color w:val="b05408"/>
        <w:sz w:val="22"/>
      </w:rPr>
      <w:pPr>
        <w:jc w:val="right"/>
      </w:pPr>
      <w:tcPr>
        <w:shd w:val="clear" w:color="ffffff" w:fill="auto"/>
        <w:tcBorders>
          <w:top w:val="none" w:color="000000" w:sz="4" w:space="0"/>
          <w:left w:val="none" w:color="000000" w:sz="4" w:space="0"/>
          <w:bottom w:val="none" w:color="000000" w:sz="4" w:space="0"/>
          <w:right w:val="single" w:color="FAC396" w:sz="4" w:space="0"/>
        </w:tcBorders>
      </w:tcPr>
    </w:tblStylePr>
    <w:tblStylePr w:type="firstRow">
      <w:rPr>
        <w:rFonts w:ascii="Arial" w:hAnsi="Arial"/>
        <w:b/>
        <w:color w:val="b05408"/>
        <w:sz w:val="22"/>
      </w:rPr>
      <w:tcPr>
        <w:shd w:val="clear" w:color="ffffff" w:fill="ffffff"/>
        <w:tcBorders>
          <w:top w:val="none" w:color="000000" w:sz="4" w:space="0"/>
          <w:left w:val="none" w:color="000000" w:sz="4" w:space="0"/>
          <w:bottom w:val="single" w:color="FAC396" w:sz="4" w:space="0"/>
          <w:right w:val="none" w:color="000000" w:sz="4" w:space="0"/>
        </w:tcBorders>
      </w:tcPr>
    </w:tblStylePr>
    <w:tblStylePr w:type="lastCol">
      <w:rPr>
        <w:rFonts w:ascii="Arial" w:hAnsi="Arial"/>
        <w:i/>
        <w:color w:val="b05408"/>
        <w:sz w:val="22"/>
      </w:rPr>
      <w:tcPr>
        <w:shd w:val="clear" w:color="ffffff" w:fill="auto"/>
        <w:tcBorders>
          <w:top w:val="none" w:color="000000" w:sz="4" w:space="0"/>
          <w:left w:val="single" w:color="FAC396" w:sz="4" w:space="0"/>
          <w:bottom w:val="none" w:color="000000" w:sz="4" w:space="0"/>
          <w:right w:val="none" w:color="000000" w:sz="4" w:space="0"/>
        </w:tcBorders>
      </w:tcPr>
    </w:tblStylePr>
    <w:tblStylePr w:type="lastRow">
      <w:rPr>
        <w:rFonts w:ascii="Arial" w:hAnsi="Arial"/>
        <w:b/>
        <w:color w:val="b05408"/>
        <w:sz w:val="22"/>
      </w:rPr>
      <w:tcPr>
        <w:shd w:val="clear" w:color="ffffff" w:fill="ffffff"/>
        <w:tcBorders>
          <w:top w:val="single" w:color="FAC396" w:sz="4" w:space="0"/>
          <w:left w:val="none" w:color="000000" w:sz="4" w:space="0"/>
          <w:bottom w:val="none" w:color="000000" w:sz="4" w:space="0"/>
          <w:right w:val="none" w:color="000000" w:sz="4" w:space="0"/>
        </w:tcBorders>
      </w:tcPr>
    </w:tblStylePr>
  </w:style>
  <w:style w:type="table" w:styleId="948" w:customStyle="1">
    <w:name w:val="清单表 1 浅色1"/>
    <w:uiPriority w:val="99"/>
    <w:qFormat/>
    <w:tblPr>
      <w:tblCellMar>
        <w:left w:w="0" w:type="dxa"/>
        <w:top w:w="0" w:type="dxa"/>
        <w:right w:w="0" w:type="dxa"/>
        <w:bottom w:w="0" w:type="dxa"/>
      </w:tblCellMar>
    </w:tblPr>
    <w:tblStylePr w:type="band1Horz">
      <w:tcPr>
        <w:shd w:val="clear" w:color="bebebe" w:fill="bebebe"/>
      </w:tcPr>
    </w:tblStylePr>
    <w:tblStylePr w:type="band1Vert">
      <w:tcPr>
        <w:shd w:val="clear" w:color="bebebe" w:fill="bebebe"/>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949" w:customStyle="1">
    <w:name w:val="List Table 1 Light - Accent 1"/>
    <w:uiPriority w:val="99"/>
    <w:qFormat/>
    <w:tblPr>
      <w:tblCellMar>
        <w:left w:w="0" w:type="dxa"/>
        <w:top w:w="0" w:type="dxa"/>
        <w:right w:w="0" w:type="dxa"/>
        <w:bottom w:w="0" w:type="dxa"/>
      </w:tblCellMar>
    </w:tblPr>
    <w:tblStylePr w:type="band1Horz">
      <w:tcPr>
        <w:shd w:val="clear" w:color="d2dfee" w:fill="d2dfee"/>
      </w:tcPr>
    </w:tblStylePr>
    <w:tblStylePr w:type="band1Vert">
      <w:tcPr>
        <w:shd w:val="clear" w:color="d2dfee" w:fill="d2dfee"/>
      </w:tcPr>
    </w:tblStylePr>
    <w:tblStylePr w:type="firstCol">
      <w:rPr>
        <w:b/>
        <w:color w:val="404040"/>
      </w:rPr>
    </w:tblStylePr>
    <w:tblStylePr w:type="firstRow">
      <w:rPr>
        <w:b/>
        <w:color w:val="404040"/>
      </w:rPr>
      <w:tcPr>
        <w:tcBorders>
          <w:top w:val="none" w:color="000000" w:sz="4" w:space="0"/>
          <w:left w:val="none" w:color="000000" w:sz="4" w:space="0"/>
          <w:bottom w:val="single" w:color="4F81BD" w:sz="4" w:space="0"/>
          <w:right w:val="none" w:color="000000" w:sz="4" w:space="0"/>
        </w:tcBorders>
      </w:tcPr>
    </w:tblStylePr>
    <w:tblStylePr w:type="lastCol">
      <w:rPr>
        <w:b/>
        <w:color w:val="404040"/>
      </w:rPr>
    </w:tblStylePr>
    <w:tblStylePr w:type="lastRow">
      <w:rPr>
        <w:b/>
        <w:color w:val="404040"/>
      </w:rPr>
      <w:tcPr>
        <w:tcBorders>
          <w:top w:val="single" w:color="4F81BD" w:sz="4" w:space="0"/>
          <w:left w:val="none" w:color="000000" w:sz="4" w:space="0"/>
          <w:bottom w:val="none" w:color="000000" w:sz="4" w:space="0"/>
          <w:right w:val="none" w:color="000000" w:sz="4" w:space="0"/>
        </w:tcBorders>
      </w:tcPr>
    </w:tblStylePr>
  </w:style>
  <w:style w:type="table" w:styleId="950" w:customStyle="1">
    <w:name w:val="List Table 1 Light - Accent 2"/>
    <w:uiPriority w:val="99"/>
    <w:qFormat/>
    <w:tblPr>
      <w:tblCellMar>
        <w:left w:w="0" w:type="dxa"/>
        <w:top w:w="0" w:type="dxa"/>
        <w:right w:w="0" w:type="dxa"/>
        <w:bottom w:w="0" w:type="dxa"/>
      </w:tblCellMar>
    </w:tblPr>
    <w:tblStylePr w:type="band1Horz">
      <w:tcPr>
        <w:shd w:val="clear" w:color="efd3d2" w:fill="efd3d2"/>
      </w:tcPr>
    </w:tblStylePr>
    <w:tblStylePr w:type="band1Vert">
      <w:tcPr>
        <w:shd w:val="clear" w:color="efd3d2" w:fill="efd3d2"/>
      </w:tcPr>
    </w:tblStylePr>
    <w:tblStylePr w:type="firstCol">
      <w:rPr>
        <w:b/>
        <w:color w:val="404040"/>
      </w:rPr>
    </w:tblStylePr>
    <w:tblStylePr w:type="firstRow">
      <w:rPr>
        <w:b/>
        <w:color w:val="404040"/>
      </w:rPr>
      <w:tcPr>
        <w:tcBorders>
          <w:top w:val="none" w:color="000000" w:sz="4" w:space="0"/>
          <w:left w:val="none" w:color="000000" w:sz="4" w:space="0"/>
          <w:bottom w:val="single" w:color="C0504D" w:sz="4" w:space="0"/>
          <w:right w:val="none" w:color="000000" w:sz="4" w:space="0"/>
        </w:tcBorders>
      </w:tcPr>
    </w:tblStylePr>
    <w:tblStylePr w:type="lastCol">
      <w:rPr>
        <w:b/>
        <w:color w:val="404040"/>
      </w:rPr>
    </w:tblStylePr>
    <w:tblStylePr w:type="lastRow">
      <w:rPr>
        <w:b/>
        <w:color w:val="404040"/>
      </w:rPr>
      <w:tcPr>
        <w:tcBorders>
          <w:top w:val="single" w:color="C0504D" w:sz="4" w:space="0"/>
          <w:left w:val="none" w:color="000000" w:sz="4" w:space="0"/>
          <w:bottom w:val="none" w:color="000000" w:sz="4" w:space="0"/>
          <w:right w:val="none" w:color="000000" w:sz="4" w:space="0"/>
        </w:tcBorders>
      </w:tcPr>
    </w:tblStylePr>
  </w:style>
  <w:style w:type="table" w:styleId="951" w:customStyle="1">
    <w:name w:val="List Table 1 Light - Accent 3"/>
    <w:uiPriority w:val="99"/>
    <w:qFormat/>
    <w:tblPr>
      <w:tblCellMar>
        <w:left w:w="0" w:type="dxa"/>
        <w:top w:w="0" w:type="dxa"/>
        <w:right w:w="0" w:type="dxa"/>
        <w:bottom w:w="0" w:type="dxa"/>
      </w:tblCellMar>
    </w:tblPr>
    <w:tblStylePr w:type="band1Horz">
      <w:tcPr>
        <w:shd w:val="clear" w:color="e5edd5" w:fill="e5edd5"/>
      </w:tcPr>
    </w:tblStylePr>
    <w:tblStylePr w:type="band1Vert">
      <w:tcPr>
        <w:shd w:val="clear" w:color="e5edd5" w:fill="e5edd5"/>
      </w:tcPr>
    </w:tblStylePr>
    <w:tblStylePr w:type="firstCol">
      <w:rPr>
        <w:b/>
        <w:color w:val="404040"/>
      </w:rPr>
    </w:tblStylePr>
    <w:tblStylePr w:type="firstRow">
      <w:rPr>
        <w:b/>
        <w:color w:val="404040"/>
      </w:rPr>
      <w:tcPr>
        <w:tcBorders>
          <w:top w:val="none" w:color="000000" w:sz="4" w:space="0"/>
          <w:left w:val="none" w:color="000000" w:sz="4" w:space="0"/>
          <w:bottom w:val="single" w:color="9BBB59" w:sz="4" w:space="0"/>
          <w:right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tcBorders>
      </w:tcPr>
    </w:tblStylePr>
  </w:style>
  <w:style w:type="table" w:styleId="952" w:customStyle="1">
    <w:name w:val="List Table 1 Light - Accent 4"/>
    <w:uiPriority w:val="99"/>
    <w:qFormat/>
    <w:tblPr>
      <w:tblCellMar>
        <w:left w:w="0" w:type="dxa"/>
        <w:top w:w="0" w:type="dxa"/>
        <w:right w:w="0" w:type="dxa"/>
        <w:bottom w:w="0" w:type="dxa"/>
      </w:tblCellMar>
    </w:tblPr>
    <w:tblStylePr w:type="band1Horz">
      <w:tcPr>
        <w:shd w:val="clear" w:color="dfd8e7" w:fill="dfd8e7"/>
      </w:tcPr>
    </w:tblStylePr>
    <w:tblStylePr w:type="band1Vert">
      <w:tcPr>
        <w:shd w:val="clear" w:color="dfd8e7" w:fill="dfd8e7"/>
      </w:tcPr>
    </w:tblStylePr>
    <w:tblStylePr w:type="firstCol">
      <w:rPr>
        <w:b/>
        <w:color w:val="404040"/>
      </w:rPr>
    </w:tblStylePr>
    <w:tblStylePr w:type="firstRow">
      <w:rPr>
        <w:b/>
        <w:color w:val="404040"/>
      </w:rPr>
      <w:tcPr>
        <w:tcBorders>
          <w:top w:val="none" w:color="000000" w:sz="4" w:space="0"/>
          <w:left w:val="none" w:color="000000" w:sz="4" w:space="0"/>
          <w:bottom w:val="single" w:color="8064A2" w:sz="4" w:space="0"/>
          <w:right w:val="none" w:color="000000" w:sz="4" w:space="0"/>
        </w:tcBorders>
      </w:tcPr>
    </w:tblStylePr>
    <w:tblStylePr w:type="lastCol">
      <w:rPr>
        <w:b/>
        <w:color w:val="404040"/>
      </w:rPr>
    </w:tblStylePr>
    <w:tblStylePr w:type="lastRow">
      <w:rPr>
        <w:b/>
        <w:color w:val="404040"/>
      </w:rPr>
      <w:tcPr>
        <w:tcBorders>
          <w:top w:val="single" w:color="8064A2" w:sz="4" w:space="0"/>
          <w:left w:val="none" w:color="000000" w:sz="4" w:space="0"/>
          <w:bottom w:val="none" w:color="000000" w:sz="4" w:space="0"/>
          <w:right w:val="none" w:color="000000" w:sz="4" w:space="0"/>
        </w:tcBorders>
      </w:tcPr>
    </w:tblStylePr>
  </w:style>
  <w:style w:type="table" w:styleId="953" w:customStyle="1">
    <w:name w:val="List Table 1 Light - Accent 5"/>
    <w:uiPriority w:val="99"/>
    <w:qFormat/>
    <w:tblPr>
      <w:tblCellMar>
        <w:left w:w="0" w:type="dxa"/>
        <w:top w:w="0" w:type="dxa"/>
        <w:right w:w="0" w:type="dxa"/>
        <w:bottom w:w="0" w:type="dxa"/>
      </w:tblCellMar>
    </w:tblPr>
    <w:tblStylePr w:type="band1Horz">
      <w:tcPr>
        <w:shd w:val="clear" w:color="d1eaf0" w:fill="d1eaf0"/>
      </w:tcPr>
    </w:tblStylePr>
    <w:tblStylePr w:type="band1Vert">
      <w:tcPr>
        <w:shd w:val="clear" w:color="d1eaf0" w:fill="d1eaf0"/>
      </w:tcPr>
    </w:tblStylePr>
    <w:tblStylePr w:type="firstCol">
      <w:rPr>
        <w:b/>
        <w:color w:val="404040"/>
      </w:rPr>
    </w:tblStylePr>
    <w:tblStylePr w:type="firstRow">
      <w:rPr>
        <w:b/>
        <w:color w:val="404040"/>
      </w:rPr>
      <w:tcPr>
        <w:tcBorders>
          <w:top w:val="none" w:color="000000" w:sz="4" w:space="0"/>
          <w:left w:val="none" w:color="000000" w:sz="4" w:space="0"/>
          <w:bottom w:val="single" w:color="4BACC6" w:sz="4" w:space="0"/>
          <w:right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tcBorders>
      </w:tcPr>
    </w:tblStylePr>
  </w:style>
  <w:style w:type="table" w:styleId="954" w:customStyle="1">
    <w:name w:val="List Table 1 Light - Accent 6"/>
    <w:uiPriority w:val="99"/>
    <w:qFormat/>
    <w:tblPr>
      <w:tblCellMar>
        <w:left w:w="0" w:type="dxa"/>
        <w:top w:w="0" w:type="dxa"/>
        <w:right w:w="0" w:type="dxa"/>
        <w:bottom w:w="0" w:type="dxa"/>
      </w:tblCellMar>
    </w:tblPr>
    <w:tblStylePr w:type="band1Horz">
      <w:tcPr>
        <w:shd w:val="clear" w:color="fce4d0" w:fill="fce4d0"/>
      </w:tcPr>
    </w:tblStylePr>
    <w:tblStylePr w:type="band1Vert">
      <w:tcPr>
        <w:shd w:val="clear" w:color="fce4d0" w:fill="fce4d0"/>
      </w:tcPr>
    </w:tblStylePr>
    <w:tblStylePr w:type="firstCol">
      <w:rPr>
        <w:b/>
        <w:color w:val="404040"/>
      </w:rPr>
    </w:tblStylePr>
    <w:tblStylePr w:type="firstRow">
      <w:rPr>
        <w:b/>
        <w:color w:val="404040"/>
      </w:rPr>
      <w:tcPr>
        <w:tcBorders>
          <w:top w:val="none" w:color="000000" w:sz="4" w:space="0"/>
          <w:left w:val="none" w:color="000000" w:sz="4" w:space="0"/>
          <w:bottom w:val="single" w:color="F79646" w:sz="4" w:space="0"/>
          <w:right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tcBorders>
      </w:tcPr>
    </w:tblStylePr>
  </w:style>
  <w:style w:type="table" w:styleId="955" w:customStyle="1">
    <w:name w:val="清单表 21"/>
    <w:uiPriority w:val="99"/>
    <w:qFormat/>
    <w:tblPr>
      <w:tblBorders>
        <w:top w:val="single" w:color="6E6E6E" w:sz="4" w:space="0"/>
        <w:bottom w:val="single" w:color="6E6E6E" w:sz="4" w:space="0"/>
        <w:insideH w:val="single" w:color="6E6E6E" w:sz="4" w:space="0"/>
      </w:tblBorders>
      <w:tblCellMar>
        <w:left w:w="0" w:type="dxa"/>
        <w:top w:w="0" w:type="dxa"/>
        <w:right w:w="0" w:type="dxa"/>
        <w:bottom w:w="0" w:type="dxa"/>
      </w:tblCellMar>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rFonts w:ascii="Arial" w:hAnsi="Arial"/>
        <w:b/>
        <w:color w:val="404040"/>
        <w:sz w:val="22"/>
      </w:rPr>
    </w:tblStylePr>
    <w:tblStylePr w:type="firstRow">
      <w:rPr>
        <w:rFonts w:ascii="Arial" w:hAnsi="Arial"/>
        <w:b/>
        <w:color w:val="404040"/>
        <w:sz w:val="22"/>
      </w:rPr>
      <w:tcPr>
        <w:tcBorders>
          <w:top w:val="single" w:color="6E6E6E" w:sz="4" w:space="0"/>
          <w:left w:val="none" w:color="000000" w:sz="4" w:space="0"/>
          <w:bottom w:val="single" w:color="6E6E6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sz="4" w:space="0"/>
          <w:left w:val="none" w:color="000000" w:sz="4" w:space="0"/>
          <w:bottom w:val="single" w:color="6E6E6E" w:sz="4" w:space="0"/>
          <w:right w:val="none" w:color="000000" w:sz="4" w:space="0"/>
        </w:tcBorders>
      </w:tcPr>
    </w:tblStylePr>
  </w:style>
  <w:style w:type="table" w:styleId="956"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rFonts w:ascii="Arial" w:hAnsi="Arial"/>
        <w:b/>
        <w:color w:val="404040"/>
        <w:sz w:val="22"/>
      </w:rPr>
    </w:tblStylePr>
    <w:tblStylePr w:type="fir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style>
  <w:style w:type="table" w:styleId="957" w:customStyle="1">
    <w:name w:val="List Table 2 - Accent 2"/>
    <w:uiPriority w:val="99"/>
    <w:qFormat/>
    <w:tblPr>
      <w:tblBorders>
        <w:top w:val="single" w:color="DB9C9A" w:sz="4" w:space="0"/>
        <w:bottom w:val="single" w:color="DB9C9A" w:sz="4" w:space="0"/>
        <w:insideH w:val="single" w:color="DB9C9A" w:sz="4" w:space="0"/>
      </w:tblBorders>
      <w:tblCellMar>
        <w:left w:w="0" w:type="dxa"/>
        <w:top w:w="0" w:type="dxa"/>
        <w:right w:w="0" w:type="dxa"/>
        <w:bottom w:w="0" w:type="dxa"/>
      </w:tblCellMar>
    </w:tblPr>
    <w:tblStylePr w:type="band1Horz">
      <w:rPr>
        <w:rFonts w:ascii="Arial" w:hAnsi="Arial"/>
        <w:color w:val="404040"/>
        <w:sz w:val="22"/>
      </w:rPr>
      <w:tcPr>
        <w:shd w:val="clear" w:color="efd3d2" w:fill="efd3d2"/>
      </w:tcPr>
    </w:tblStylePr>
    <w:tblStylePr w:type="band1Vert">
      <w:rPr>
        <w:rFonts w:ascii="Arial" w:hAnsi="Arial"/>
        <w:color w:val="404040"/>
        <w:sz w:val="22"/>
      </w:rPr>
      <w:tcPr>
        <w:shd w:val="clear" w:color="efd3d2" w:fill="efd3d2"/>
      </w:tcPr>
    </w:tblStylePr>
    <w:tblStylePr w:type="firstCol">
      <w:rPr>
        <w:rFonts w:ascii="Arial" w:hAnsi="Arial"/>
        <w:b/>
        <w:color w:val="404040"/>
        <w:sz w:val="22"/>
      </w:rPr>
    </w:tblStylePr>
    <w:tblStylePr w:type="firstRow">
      <w:rPr>
        <w:rFonts w:ascii="Arial" w:hAnsi="Arial"/>
        <w:b/>
        <w:color w:val="404040"/>
        <w:sz w:val="22"/>
      </w:rPr>
      <w:tcPr>
        <w:tcBorders>
          <w:top w:val="single" w:color="DB9C9A" w:sz="4" w:space="0"/>
          <w:left w:val="none" w:color="000000" w:sz="4" w:space="0"/>
          <w:bottom w:val="single" w:color="DB9C9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sz="4" w:space="0"/>
          <w:left w:val="none" w:color="000000" w:sz="4" w:space="0"/>
          <w:bottom w:val="single" w:color="DB9C9A" w:sz="4" w:space="0"/>
          <w:right w:val="none" w:color="000000" w:sz="4" w:space="0"/>
        </w:tcBorders>
      </w:tcPr>
    </w:tblStylePr>
  </w:style>
  <w:style w:type="table" w:styleId="958"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dd5" w:fill="e5edd5"/>
      </w:tcPr>
    </w:tblStylePr>
    <w:tblStylePr w:type="band1Vert">
      <w:rPr>
        <w:rFonts w:ascii="Arial" w:hAnsi="Arial"/>
        <w:color w:val="404040"/>
        <w:sz w:val="22"/>
      </w:rPr>
      <w:tcPr>
        <w:shd w:val="clear" w:color="e5edd5" w:fill="e5edd5"/>
      </w:tcPr>
    </w:tblStylePr>
    <w:tblStylePr w:type="firstCol">
      <w:rPr>
        <w:rFonts w:ascii="Arial" w:hAnsi="Arial"/>
        <w:b/>
        <w:color w:val="404040"/>
        <w:sz w:val="22"/>
      </w:rPr>
    </w:tblStylePr>
    <w:tblStylePr w:type="fir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style>
  <w:style w:type="table" w:styleId="959"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rFonts w:ascii="Arial" w:hAnsi="Arial"/>
        <w:b/>
        <w:color w:val="404040"/>
        <w:sz w:val="22"/>
      </w:rPr>
    </w:tblStylePr>
    <w:tblStylePr w:type="fir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style>
  <w:style w:type="table" w:styleId="960"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rFonts w:ascii="Arial" w:hAnsi="Arial"/>
        <w:b/>
        <w:color w:val="404040"/>
        <w:sz w:val="22"/>
      </w:rPr>
    </w:tblStylePr>
    <w:tblStylePr w:type="fir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style>
  <w:style w:type="table" w:styleId="961"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ce4d0" w:fill="fce4d0"/>
      </w:tcPr>
    </w:tblStylePr>
    <w:tblStylePr w:type="band1Vert">
      <w:rPr>
        <w:rFonts w:ascii="Arial" w:hAnsi="Arial"/>
        <w:color w:val="404040"/>
        <w:sz w:val="22"/>
      </w:rPr>
      <w:tcPr>
        <w:shd w:val="clear" w:color="fce4d0" w:fill="fce4d0"/>
      </w:tcPr>
    </w:tblStylePr>
    <w:tblStylePr w:type="firstCol">
      <w:rPr>
        <w:rFonts w:ascii="Arial" w:hAnsi="Arial"/>
        <w:b/>
        <w:color w:val="404040"/>
        <w:sz w:val="22"/>
      </w:rPr>
    </w:tblStylePr>
    <w:tblStylePr w:type="fir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style>
  <w:style w:type="table" w:styleId="962"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963"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sz="4" w:space="0"/>
          <w:bottom w:val="single" w:color="4F81BD" w:sz="4" w:space="0"/>
        </w:tcBorders>
      </w:tcPr>
    </w:tblStylePr>
    <w:tblStylePr w:type="band1Vert">
      <w:rPr>
        <w:rFonts w:ascii="Arial" w:hAnsi="Arial"/>
        <w:color w:val="404040"/>
        <w:sz w:val="22"/>
      </w:rPr>
      <w:tcPr>
        <w:tcBorders>
          <w:left w:val="single" w:color="4F81BD" w:sz="4" w:space="0"/>
          <w:right w:val="single" w:color="4F81BD" w:sz="4" w:space="0"/>
        </w:tcBorders>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964" w:customStyle="1">
    <w:name w:val="List Table 3 - Accent 2"/>
    <w:uiPriority w:val="99"/>
    <w:qFormat/>
    <w:tblPr>
      <w:tblBorders>
        <w:top w:val="single" w:color="D99795" w:sz="4" w:space="0"/>
        <w:left w:val="single" w:color="D99795" w:sz="4" w:space="0"/>
        <w:bottom w:val="single" w:color="D99795" w:sz="4" w:space="0"/>
        <w:right w:val="single" w:color="D99795"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sz="4" w:space="0"/>
          <w:bottom w:val="single" w:color="D99795" w:sz="4" w:space="0"/>
        </w:tcBorders>
      </w:tcPr>
    </w:tblStylePr>
    <w:tblStylePr w:type="band1Vert">
      <w:rPr>
        <w:rFonts w:ascii="Arial" w:hAnsi="Arial"/>
        <w:color w:val="404040"/>
        <w:sz w:val="22"/>
      </w:rPr>
      <w:tcPr>
        <w:tcBorders>
          <w:left w:val="single" w:color="D99795" w:sz="4" w:space="0"/>
          <w:right w:val="single" w:color="D99795" w:sz="4" w:space="0"/>
        </w:tcBorders>
      </w:tcPr>
    </w:tblStylePr>
    <w:tblStylePr w:type="firstCol">
      <w:rPr>
        <w:b/>
        <w:color w:val="404040"/>
      </w:rPr>
    </w:tblStylePr>
    <w:tblStylePr w:type="firstRow">
      <w:rPr>
        <w:rFonts w:ascii="Arial" w:hAnsi="Arial"/>
        <w:b/>
        <w:color w:val="ffffff"/>
        <w:sz w:val="22"/>
      </w:rPr>
      <w:tcPr>
        <w:shd w:val="clear" w:color="d99795" w:fill="d99795"/>
      </w:tcPr>
    </w:tblStylePr>
    <w:tblStylePr w:type="lastCol">
      <w:rPr>
        <w:b/>
        <w:color w:val="404040"/>
      </w:rPr>
    </w:tblStylePr>
    <w:tblStylePr w:type="lastRow">
      <w:rPr>
        <w:b/>
        <w:color w:val="404040"/>
      </w:rPr>
    </w:tblStylePr>
  </w:style>
  <w:style w:type="table" w:styleId="965" w:customStyle="1">
    <w:name w:val="List Table 3 - Accent 3"/>
    <w:uiPriority w:val="99"/>
    <w:qFormat/>
    <w:tblPr>
      <w:tblBorders>
        <w:top w:val="single" w:color="C3D69C" w:sz="4" w:space="0"/>
        <w:left w:val="single" w:color="C3D69C" w:sz="4" w:space="0"/>
        <w:bottom w:val="single" w:color="C3D69C" w:sz="4" w:space="0"/>
        <w:right w:val="single" w:color="C3D69C"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sz="4" w:space="0"/>
          <w:bottom w:val="single" w:color="C3D69C" w:sz="4" w:space="0"/>
        </w:tcBorders>
      </w:tcPr>
    </w:tblStylePr>
    <w:tblStylePr w:type="band1Vert">
      <w:rPr>
        <w:rFonts w:ascii="Arial" w:hAnsi="Arial"/>
        <w:color w:val="404040"/>
        <w:sz w:val="22"/>
      </w:rPr>
      <w:tcPr>
        <w:tcBorders>
          <w:left w:val="single" w:color="C3D69C" w:sz="4" w:space="0"/>
          <w:right w:val="single" w:color="C3D69C" w:sz="4" w:space="0"/>
        </w:tcBorders>
      </w:tcPr>
    </w:tblStylePr>
    <w:tblStylePr w:type="firstCol">
      <w:rPr>
        <w:b/>
        <w:color w:val="404040"/>
      </w:rPr>
    </w:tblStylePr>
    <w:tblStylePr w:type="firstRow">
      <w:rPr>
        <w:rFonts w:ascii="Arial" w:hAnsi="Arial"/>
        <w:b/>
        <w:color w:val="ffffff"/>
        <w:sz w:val="22"/>
      </w:rPr>
      <w:tcPr>
        <w:shd w:val="clear" w:color="c3d69c" w:fill="c3d69c"/>
      </w:tcPr>
    </w:tblStylePr>
    <w:tblStylePr w:type="lastCol">
      <w:rPr>
        <w:b/>
        <w:color w:val="404040"/>
      </w:rPr>
    </w:tblStylePr>
    <w:tblStylePr w:type="lastRow">
      <w:rPr>
        <w:b/>
        <w:color w:val="404040"/>
      </w:rPr>
    </w:tblStylePr>
  </w:style>
  <w:style w:type="table" w:styleId="966"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sz="4" w:space="0"/>
          <w:bottom w:val="single" w:color="B2A1C6" w:sz="4" w:space="0"/>
        </w:tcBorders>
      </w:tcPr>
    </w:tblStylePr>
    <w:tblStylePr w:type="band1Vert">
      <w:rPr>
        <w:rFonts w:ascii="Arial" w:hAnsi="Arial"/>
        <w:color w:val="404040"/>
        <w:sz w:val="22"/>
      </w:rPr>
      <w:tcPr>
        <w:tcBorders>
          <w:left w:val="single" w:color="B2A1C6" w:sz="4" w:space="0"/>
          <w:right w:val="single" w:color="B2A1C6" w:sz="4" w:space="0"/>
        </w:tcBorders>
      </w:tcPr>
    </w:tblStylePr>
    <w:tblStylePr w:type="firstCol">
      <w:rPr>
        <w:b/>
        <w:color w:val="404040"/>
      </w:rPr>
    </w:tblStylePr>
    <w:tblStylePr w:type="firstRow">
      <w:rPr>
        <w:rFonts w:ascii="Arial" w:hAnsi="Arial"/>
        <w:b/>
        <w:color w:val="ffffff"/>
        <w:sz w:val="22"/>
      </w:rPr>
      <w:tcPr>
        <w:shd w:val="clear" w:color="b2a1c6" w:fill="b2a1c6"/>
      </w:tcPr>
    </w:tblStylePr>
    <w:tblStylePr w:type="lastCol">
      <w:rPr>
        <w:b/>
        <w:color w:val="404040"/>
      </w:rPr>
    </w:tblStylePr>
    <w:tblStylePr w:type="lastRow">
      <w:rPr>
        <w:b/>
        <w:color w:val="404040"/>
      </w:rPr>
    </w:tblStylePr>
  </w:style>
  <w:style w:type="table" w:styleId="967"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sz="4" w:space="0"/>
          <w:bottom w:val="single" w:color="92CCDC" w:sz="4" w:space="0"/>
        </w:tcBorders>
      </w:tcPr>
    </w:tblStylePr>
    <w:tblStylePr w:type="band1Vert">
      <w:rPr>
        <w:rFonts w:ascii="Arial" w:hAnsi="Arial"/>
        <w:color w:val="404040"/>
        <w:sz w:val="22"/>
      </w:rPr>
      <w:tcPr>
        <w:tcBorders>
          <w:left w:val="single" w:color="92CCDC" w:sz="4" w:space="0"/>
          <w:right w:val="single" w:color="92CCDC" w:sz="4" w:space="0"/>
        </w:tcBorders>
      </w:tcPr>
    </w:tblStylePr>
    <w:tblStylePr w:type="firstCol">
      <w:rPr>
        <w:b/>
        <w:color w:val="404040"/>
      </w:rPr>
    </w:tblStylePr>
    <w:tblStylePr w:type="firstRow">
      <w:rPr>
        <w:rFonts w:ascii="Arial" w:hAnsi="Arial"/>
        <w:b/>
        <w:color w:val="ffffff"/>
        <w:sz w:val="22"/>
      </w:rPr>
      <w:tcPr>
        <w:shd w:val="clear" w:color="92ccdc" w:fill="92ccdc"/>
      </w:tcPr>
    </w:tblStylePr>
    <w:tblStylePr w:type="lastCol">
      <w:rPr>
        <w:b/>
        <w:color w:val="404040"/>
      </w:rPr>
    </w:tblStylePr>
    <w:tblStylePr w:type="lastRow">
      <w:rPr>
        <w:b/>
        <w:color w:val="404040"/>
      </w:rPr>
    </w:tblStylePr>
  </w:style>
  <w:style w:type="table" w:styleId="968"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sz="4" w:space="0"/>
          <w:bottom w:val="single" w:color="FAC090" w:sz="4" w:space="0"/>
        </w:tcBorders>
      </w:tcPr>
    </w:tblStylePr>
    <w:tblStylePr w:type="band1Vert">
      <w:rPr>
        <w:rFonts w:ascii="Arial" w:hAnsi="Arial"/>
        <w:color w:val="404040"/>
        <w:sz w:val="22"/>
      </w:rPr>
      <w:tcPr>
        <w:tcBorders>
          <w:left w:val="single" w:color="FAC090" w:sz="4" w:space="0"/>
          <w:right w:val="single" w:color="FAC090" w:sz="4" w:space="0"/>
        </w:tcBorders>
      </w:tcPr>
    </w:tblStylePr>
    <w:tblStylePr w:type="firstCol">
      <w:rPr>
        <w:b/>
        <w:color w:val="404040"/>
      </w:rPr>
    </w:tblStylePr>
    <w:tblStylePr w:type="firstRow">
      <w:rPr>
        <w:rFonts w:ascii="Arial" w:hAnsi="Arial"/>
        <w:b/>
        <w:color w:val="ffffff"/>
        <w:sz w:val="22"/>
      </w:rPr>
      <w:tcPr>
        <w:shd w:val="clear" w:color="fac090" w:fill="fac090"/>
      </w:tcPr>
    </w:tblStylePr>
    <w:tblStylePr w:type="lastCol">
      <w:rPr>
        <w:b/>
        <w:color w:val="404040"/>
      </w:rPr>
    </w:tblStylePr>
    <w:tblStylePr w:type="lastRow">
      <w:rPr>
        <w:b/>
        <w:color w:val="404040"/>
      </w:rPr>
    </w:tblStylePr>
  </w:style>
  <w:style w:type="table" w:styleId="969"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970"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971" w:customStyle="1">
    <w:name w:val="List Table 4 - Accent 2"/>
    <w:uiPriority w:val="99"/>
    <w:qFormat/>
    <w:tblPr>
      <w:tblBorders>
        <w:top w:val="single" w:color="DB9C9A" w:sz="4" w:space="0"/>
        <w:left w:val="single" w:color="DB9C9A" w:sz="4" w:space="0"/>
        <w:bottom w:val="single" w:color="DB9C9A" w:sz="4" w:space="0"/>
        <w:right w:val="single" w:color="DB9C9A" w:sz="4" w:space="0"/>
        <w:insideH w:val="single" w:color="DB9C9A" w:sz="4" w:space="0"/>
      </w:tblBorders>
      <w:tblCellMar>
        <w:left w:w="0" w:type="dxa"/>
        <w:top w:w="0" w:type="dxa"/>
        <w:right w:w="0" w:type="dxa"/>
        <w:bottom w:w="0" w:type="dxa"/>
      </w:tblCellMar>
    </w:tblPr>
    <w:tblStylePr w:type="band1Horz">
      <w:rPr>
        <w:rFonts w:ascii="Arial" w:hAnsi="Arial"/>
        <w:color w:val="404040"/>
        <w:sz w:val="22"/>
      </w:rPr>
      <w:tcPr>
        <w:shd w:val="clear" w:color="efd3d2" w:fill="efd3d2"/>
      </w:tcPr>
    </w:tblStylePr>
    <w:tblStylePr w:type="band1Vert">
      <w:rPr>
        <w:rFonts w:ascii="Arial" w:hAnsi="Arial"/>
        <w:color w:val="404040"/>
        <w:sz w:val="22"/>
      </w:rPr>
      <w:tcPr>
        <w:shd w:val="clear" w:color="efd3d2" w:fill="efd3d2"/>
      </w:tcPr>
    </w:tblStylePr>
    <w:tblStylePr w:type="firstCol">
      <w:rPr>
        <w:b/>
        <w:color w:val="404040"/>
      </w:rPr>
    </w:tblStylePr>
    <w:tblStylePr w:type="firstRow">
      <w:rPr>
        <w:rFonts w:ascii="Arial" w:hAnsi="Arial"/>
        <w:b/>
        <w:color w:val="ffffff"/>
        <w:sz w:val="22"/>
      </w:rPr>
      <w:tcPr>
        <w:shd w:val="clear" w:color="c0504d" w:fill="c0504d"/>
      </w:tcPr>
    </w:tblStylePr>
    <w:tblStylePr w:type="lastCol">
      <w:rPr>
        <w:b/>
        <w:color w:val="404040"/>
      </w:rPr>
    </w:tblStylePr>
    <w:tblStylePr w:type="lastRow">
      <w:rPr>
        <w:b/>
        <w:color w:val="404040"/>
      </w:rPr>
    </w:tblStylePr>
  </w:style>
  <w:style w:type="table" w:styleId="972"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dd5" w:fill="e5edd5"/>
      </w:tcPr>
    </w:tblStylePr>
    <w:tblStylePr w:type="band1Vert">
      <w:rPr>
        <w:rFonts w:ascii="Arial" w:hAnsi="Arial"/>
        <w:color w:val="404040"/>
        <w:sz w:val="22"/>
      </w:rPr>
      <w:tcPr>
        <w:shd w:val="clear" w:color="e5edd5" w:fill="e5edd5"/>
      </w:tcPr>
    </w:tblStylePr>
    <w:tblStylePr w:type="firstCol">
      <w:rPr>
        <w:b/>
        <w:color w:val="404040"/>
      </w:rPr>
    </w:tblStylePr>
    <w:tblStylePr w:type="firstRow">
      <w:rPr>
        <w:rFonts w:ascii="Arial" w:hAnsi="Arial"/>
        <w:b/>
        <w:color w:val="ffffff"/>
        <w:sz w:val="22"/>
      </w:rPr>
      <w:tcPr>
        <w:shd w:val="clear" w:color="9bbb59" w:fill="9bbb59"/>
      </w:tcPr>
    </w:tblStylePr>
    <w:tblStylePr w:type="lastCol">
      <w:rPr>
        <w:b/>
        <w:color w:val="404040"/>
      </w:rPr>
    </w:tblStylePr>
    <w:tblStylePr w:type="lastRow">
      <w:rPr>
        <w:b/>
        <w:color w:val="404040"/>
      </w:rPr>
    </w:tblStylePr>
  </w:style>
  <w:style w:type="table" w:styleId="973"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b/>
        <w:color w:val="404040"/>
      </w:rPr>
    </w:tblStylePr>
    <w:tblStylePr w:type="firstRow">
      <w:rPr>
        <w:rFonts w:ascii="Arial" w:hAnsi="Arial"/>
        <w:b/>
        <w:color w:val="ffffff"/>
        <w:sz w:val="22"/>
      </w:rPr>
      <w:tcPr>
        <w:shd w:val="clear" w:color="8064a2" w:fill="8064a2"/>
      </w:tcPr>
    </w:tblStylePr>
    <w:tblStylePr w:type="lastCol">
      <w:rPr>
        <w:b/>
        <w:color w:val="404040"/>
      </w:rPr>
    </w:tblStylePr>
    <w:tblStylePr w:type="lastRow">
      <w:rPr>
        <w:b/>
        <w:color w:val="404040"/>
      </w:rPr>
    </w:tblStylePr>
  </w:style>
  <w:style w:type="table" w:styleId="974"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b/>
        <w:color w:val="404040"/>
      </w:rPr>
    </w:tblStylePr>
    <w:tblStylePr w:type="firstRow">
      <w:rPr>
        <w:rFonts w:ascii="Arial" w:hAnsi="Arial"/>
        <w:b/>
        <w:color w:val="ffffff"/>
        <w:sz w:val="22"/>
      </w:rPr>
      <w:tcPr>
        <w:shd w:val="clear" w:color="4bacc6" w:fill="4bacc6"/>
      </w:tcPr>
    </w:tblStylePr>
    <w:tblStylePr w:type="lastCol">
      <w:rPr>
        <w:b/>
        <w:color w:val="404040"/>
      </w:rPr>
    </w:tblStylePr>
    <w:tblStylePr w:type="lastRow">
      <w:rPr>
        <w:b/>
        <w:color w:val="404040"/>
      </w:rPr>
    </w:tblStylePr>
  </w:style>
  <w:style w:type="table" w:styleId="975"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ce4d0" w:fill="fce4d0"/>
      </w:tcPr>
    </w:tblStylePr>
    <w:tblStylePr w:type="band1Vert">
      <w:rPr>
        <w:rFonts w:ascii="Arial" w:hAnsi="Arial"/>
        <w:color w:val="404040"/>
        <w:sz w:val="22"/>
      </w:rPr>
      <w:tcPr>
        <w:shd w:val="clear" w:color="fce4d0" w:fill="fce4d0"/>
      </w:tcPr>
    </w:tblStylePr>
    <w:tblStylePr w:type="firstCol">
      <w:rPr>
        <w:b/>
        <w:color w:val="404040"/>
      </w:rPr>
    </w:tblStylePr>
    <w:tblStylePr w:type="firstRow">
      <w:rPr>
        <w:rFonts w:ascii="Arial" w:hAnsi="Arial"/>
        <w:b/>
        <w:color w:val="ffffff"/>
        <w:sz w:val="22"/>
      </w:rPr>
      <w:tcPr>
        <w:shd w:val="clear" w:color="f79646" w:fill="f79646"/>
      </w:tcPr>
    </w:tblStylePr>
    <w:tblStylePr w:type="lastCol">
      <w:rPr>
        <w:b/>
        <w:color w:val="404040"/>
      </w:rPr>
    </w:tblStylePr>
    <w:tblStylePr w:type="lastRow">
      <w:rPr>
        <w:b/>
        <w:color w:val="404040"/>
      </w:rPr>
    </w:tblStylePr>
  </w:style>
  <w:style w:type="table" w:styleId="976" w:customStyle="1">
    <w:name w:val="清单表 5 深色1"/>
    <w:uiPriority w:val="99"/>
    <w:qFormat/>
    <w:tblPr>
      <w:tblBorders>
        <w:top w:val="single" w:color="7E7E7E" w:sz="32" w:space="0"/>
        <w:left w:val="single" w:color="7E7E7E" w:sz="32" w:space="0"/>
        <w:bottom w:val="single" w:color="7E7E7E" w:sz="32" w:space="0"/>
        <w:right w:val="single" w:color="7E7E7E" w:sz="32" w:space="0"/>
      </w:tblBorders>
      <w:tblCellMar>
        <w:left w:w="0" w:type="dxa"/>
        <w:top w:w="0" w:type="dxa"/>
        <w:right w:w="0" w:type="dxa"/>
        <w:bottom w:w="0" w:type="dxa"/>
      </w:tblCellMar>
    </w:tblPr>
    <w:tblStylePr w:type="band1Horz">
      <w:tcPr>
        <w:shd w:val="clear" w:color="7e7e7e" w:fill="7e7e7e"/>
        <w:tcBorders>
          <w:top w:val="single" w:color="FFFFFF" w:sz="4" w:space="0"/>
          <w:bottom w:val="single" w:color="FFFFFF" w:sz="4" w:space="0"/>
        </w:tcBorders>
      </w:tcPr>
    </w:tblStylePr>
    <w:tblStylePr w:type="band1Vert">
      <w:tcPr>
        <w:shd w:val="clear" w:color="7e7e7e" w:fill="7e7e7e"/>
        <w:tcBorders>
          <w:left w:val="single" w:color="FFFFFF" w:sz="4" w:space="0"/>
          <w:right w:val="single" w:color="FFFFFF" w:sz="4" w:space="0"/>
        </w:tcBorders>
      </w:tcPr>
    </w:tblStylePr>
    <w:tblStylePr w:type="band2Horz">
      <w:tcPr>
        <w:shd w:val="clear" w:color="7e7e7e" w:fill="7e7e7e"/>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E7E7E" w:sz="32" w:space="0"/>
          <w:right w:val="single" w:color="FFFFFF" w:sz="4" w:space="0"/>
        </w:tcBorders>
      </w:tcPr>
    </w:tblStylePr>
    <w:tblStylePr w:type="firstRow">
      <w:rPr>
        <w:rFonts w:ascii="Arial" w:hAnsi="Arial"/>
        <w:b/>
        <w:color w:val="ffffff"/>
        <w:sz w:val="22"/>
      </w:rPr>
      <w:tcPr>
        <w:shd w:val="clear" w:color="7e7e7e" w:fill="7e7e7e"/>
        <w:tcBorders>
          <w:top w:val="single" w:color="7E7E7E" w:sz="32" w:space="0"/>
          <w:bottom w:val="single" w:color="FFFFFF" w:sz="12" w:space="0"/>
        </w:tcBorders>
      </w:tcPr>
    </w:tblStylePr>
    <w:tblStylePr w:type="lastCol">
      <w:tcPr>
        <w:tcBorders>
          <w:left w:val="single" w:color="FFFFFF" w:sz="4" w:space="0"/>
          <w:right w:val="single" w:color="7E7E7E" w:sz="32" w:space="0"/>
        </w:tcBorders>
      </w:tcPr>
    </w:tblStylePr>
    <w:tblStylePr w:type="lastRow">
      <w:rPr>
        <w:rFonts w:ascii="Arial" w:hAnsi="Arial"/>
        <w:b/>
        <w:color w:val="ffffff"/>
        <w:sz w:val="22"/>
      </w:rPr>
    </w:tblStylePr>
  </w:style>
  <w:style w:type="table" w:styleId="977"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tblStylePr w:type="band1Horz">
      <w:tcPr>
        <w:shd w:val="clear" w:color="4f81bd" w:fill="4f81bd"/>
        <w:tcBorders>
          <w:top w:val="single" w:color="FFFFFF" w:sz="4" w:space="0"/>
          <w:bottom w:val="single" w:color="FFFFFF" w:sz="4" w:space="0"/>
        </w:tcBorders>
      </w:tcPr>
    </w:tblStylePr>
    <w:tblStylePr w:type="band1Vert">
      <w:tcPr>
        <w:shd w:val="clear" w:color="4f81bd" w:fill="4f81bd"/>
        <w:tcBorders>
          <w:left w:val="single" w:color="FFFFFF" w:sz="4" w:space="0"/>
          <w:right w:val="single" w:color="FFFFFF" w:sz="4" w:space="0"/>
        </w:tcBorders>
      </w:tcPr>
    </w:tblStylePr>
    <w:tblStylePr w:type="band2Horz">
      <w:tcPr>
        <w:shd w:val="clear" w:color="4f81bd" w:fill="4f81bd"/>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4F81BD" w:sz="32" w:space="0"/>
          <w:right w:val="single" w:color="FFFFFF" w:sz="4" w:space="0"/>
        </w:tcBorders>
      </w:tcPr>
    </w:tblStylePr>
    <w:tblStylePr w:type="firstRow">
      <w:rPr>
        <w:rFonts w:ascii="Arial" w:hAnsi="Arial"/>
        <w:b/>
        <w:color w:val="ffffff"/>
        <w:sz w:val="22"/>
      </w:rPr>
      <w:tcPr>
        <w:shd w:val="clear" w:color="4f81bd" w:fill="4f81bd"/>
        <w:tcBorders>
          <w:top w:val="single" w:color="4F81BD" w:sz="32" w:space="0"/>
          <w:bottom w:val="single" w:color="FFFFFF" w:sz="12" w:space="0"/>
        </w:tcBorders>
      </w:tcPr>
    </w:tblStylePr>
    <w:tblStylePr w:type="lastCol">
      <w:tcPr>
        <w:tcBorders>
          <w:left w:val="single" w:color="FFFFFF" w:sz="4" w:space="0"/>
          <w:right w:val="single" w:color="4F81BD" w:sz="32" w:space="0"/>
        </w:tcBorders>
      </w:tcPr>
    </w:tblStylePr>
    <w:tblStylePr w:type="lastRow">
      <w:rPr>
        <w:rFonts w:ascii="Arial" w:hAnsi="Arial"/>
        <w:b/>
        <w:color w:val="ffffff"/>
        <w:sz w:val="22"/>
      </w:rPr>
    </w:tblStylePr>
  </w:style>
  <w:style w:type="table" w:styleId="978" w:customStyle="1">
    <w:name w:val="List Table 5 Dark - Accent 2"/>
    <w:uiPriority w:val="99"/>
    <w:qFormat/>
    <w:tblPr>
      <w:tblBorders>
        <w:top w:val="single" w:color="D99795" w:sz="32" w:space="0"/>
        <w:left w:val="single" w:color="D99795" w:sz="32" w:space="0"/>
        <w:bottom w:val="single" w:color="D99795" w:sz="32" w:space="0"/>
        <w:right w:val="single" w:color="D99795" w:sz="32" w:space="0"/>
      </w:tblBorders>
      <w:tblCellMar>
        <w:left w:w="0" w:type="dxa"/>
        <w:top w:w="0" w:type="dxa"/>
        <w:right w:w="0" w:type="dxa"/>
        <w:bottom w:w="0" w:type="dxa"/>
      </w:tblCellMar>
    </w:tblPr>
    <w:tblStylePr w:type="band1Horz">
      <w:tcPr>
        <w:shd w:val="clear" w:color="d99795" w:fill="d99795"/>
        <w:tcBorders>
          <w:top w:val="single" w:color="FFFFFF" w:sz="4" w:space="0"/>
          <w:bottom w:val="single" w:color="FFFFFF" w:sz="4" w:space="0"/>
        </w:tcBorders>
      </w:tcPr>
    </w:tblStylePr>
    <w:tblStylePr w:type="band1Vert">
      <w:tcPr>
        <w:shd w:val="clear" w:color="d99795" w:fill="d99795"/>
        <w:tcBorders>
          <w:left w:val="single" w:color="FFFFFF" w:sz="4" w:space="0"/>
          <w:right w:val="single" w:color="FFFFFF" w:sz="4" w:space="0"/>
        </w:tcBorders>
      </w:tcPr>
    </w:tblStylePr>
    <w:tblStylePr w:type="band2Horz">
      <w:tcPr>
        <w:shd w:val="clear" w:color="d99795" w:fill="d9979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D99795" w:sz="32" w:space="0"/>
          <w:right w:val="single" w:color="FFFFFF" w:sz="4" w:space="0"/>
        </w:tcBorders>
      </w:tcPr>
    </w:tblStylePr>
    <w:tblStylePr w:type="firstRow">
      <w:rPr>
        <w:rFonts w:ascii="Arial" w:hAnsi="Arial"/>
        <w:b/>
        <w:color w:val="ffffff"/>
        <w:sz w:val="22"/>
      </w:rPr>
      <w:tcPr>
        <w:shd w:val="clear" w:color="d99795" w:fill="d99795"/>
        <w:tcBorders>
          <w:top w:val="single" w:color="D99795" w:sz="32" w:space="0"/>
          <w:bottom w:val="single" w:color="FFFFFF" w:sz="12" w:space="0"/>
        </w:tcBorders>
      </w:tcPr>
    </w:tblStylePr>
    <w:tblStylePr w:type="lastCol">
      <w:tcPr>
        <w:tcBorders>
          <w:left w:val="single" w:color="FFFFFF" w:sz="4" w:space="0"/>
          <w:right w:val="single" w:color="D99795" w:sz="32" w:space="0"/>
        </w:tcBorders>
      </w:tcPr>
    </w:tblStylePr>
    <w:tblStylePr w:type="lastRow">
      <w:rPr>
        <w:rFonts w:ascii="Arial" w:hAnsi="Arial"/>
        <w:b/>
        <w:color w:val="ffffff"/>
        <w:sz w:val="22"/>
      </w:rPr>
    </w:tblStylePr>
  </w:style>
  <w:style w:type="table" w:styleId="979" w:customStyle="1">
    <w:name w:val="List Table 5 Dark - Accent 3"/>
    <w:uiPriority w:val="99"/>
    <w:qFormat/>
    <w:tblPr>
      <w:tblBorders>
        <w:top w:val="single" w:color="C3D69C" w:sz="32" w:space="0"/>
        <w:left w:val="single" w:color="C3D69C" w:sz="32" w:space="0"/>
        <w:bottom w:val="single" w:color="C3D69C" w:sz="32" w:space="0"/>
        <w:right w:val="single" w:color="C3D69C" w:sz="32" w:space="0"/>
      </w:tblBorders>
      <w:tblCellMar>
        <w:left w:w="0" w:type="dxa"/>
        <w:top w:w="0" w:type="dxa"/>
        <w:right w:w="0" w:type="dxa"/>
        <w:bottom w:w="0" w:type="dxa"/>
      </w:tblCellMar>
    </w:tblPr>
    <w:tblStylePr w:type="band1Horz">
      <w:tcPr>
        <w:shd w:val="clear" w:color="c3d69c" w:fill="c3d69c"/>
        <w:tcBorders>
          <w:top w:val="single" w:color="FFFFFF" w:sz="4" w:space="0"/>
          <w:bottom w:val="single" w:color="FFFFFF" w:sz="4" w:space="0"/>
        </w:tcBorders>
      </w:tcPr>
    </w:tblStylePr>
    <w:tblStylePr w:type="band1Vert">
      <w:tcPr>
        <w:shd w:val="clear" w:color="c3d69c" w:fill="c3d69c"/>
        <w:tcBorders>
          <w:left w:val="single" w:color="FFFFFF" w:sz="4" w:space="0"/>
          <w:right w:val="single" w:color="FFFFFF" w:sz="4" w:space="0"/>
        </w:tcBorders>
      </w:tcPr>
    </w:tblStylePr>
    <w:tblStylePr w:type="band2Horz">
      <w:tcPr>
        <w:shd w:val="clear" w:color="c3d69c" w:fill="c3d69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C3D69C" w:sz="32" w:space="0"/>
          <w:right w:val="single" w:color="FFFFFF" w:sz="4" w:space="0"/>
        </w:tcBorders>
      </w:tcPr>
    </w:tblStylePr>
    <w:tblStylePr w:type="firstRow">
      <w:rPr>
        <w:rFonts w:ascii="Arial" w:hAnsi="Arial"/>
        <w:b/>
        <w:color w:val="ffffff"/>
        <w:sz w:val="22"/>
      </w:rPr>
      <w:tcPr>
        <w:shd w:val="clear" w:color="c3d69c" w:fill="c3d69c"/>
        <w:tcBorders>
          <w:top w:val="single" w:color="C3D69C" w:sz="32" w:space="0"/>
          <w:bottom w:val="single" w:color="FFFFFF" w:sz="12" w:space="0"/>
        </w:tcBorders>
      </w:tcPr>
    </w:tblStylePr>
    <w:tblStylePr w:type="lastCol">
      <w:tcPr>
        <w:tcBorders>
          <w:left w:val="single" w:color="FFFFFF" w:sz="4" w:space="0"/>
          <w:right w:val="single" w:color="C3D69C" w:sz="32" w:space="0"/>
        </w:tcBorders>
      </w:tcPr>
    </w:tblStylePr>
    <w:tblStylePr w:type="lastRow">
      <w:rPr>
        <w:rFonts w:ascii="Arial" w:hAnsi="Arial"/>
        <w:b/>
        <w:color w:val="ffffff"/>
        <w:sz w:val="22"/>
      </w:rPr>
    </w:tblStylePr>
  </w:style>
  <w:style w:type="table" w:styleId="980"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tblStylePr w:type="band1Horz">
      <w:tcPr>
        <w:shd w:val="clear" w:color="b2a1c6" w:fill="b2a1c6"/>
        <w:tcBorders>
          <w:top w:val="single" w:color="FFFFFF" w:sz="4" w:space="0"/>
          <w:bottom w:val="single" w:color="FFFFFF" w:sz="4" w:space="0"/>
        </w:tcBorders>
      </w:tcPr>
    </w:tblStylePr>
    <w:tblStylePr w:type="band1Vert">
      <w:tcPr>
        <w:shd w:val="clear" w:color="b2a1c6" w:fill="b2a1c6"/>
        <w:tcBorders>
          <w:left w:val="single" w:color="FFFFFF" w:sz="4" w:space="0"/>
          <w:right w:val="single" w:color="FFFFFF" w:sz="4" w:space="0"/>
        </w:tcBorders>
      </w:tcPr>
    </w:tblStylePr>
    <w:tblStylePr w:type="band2Horz">
      <w:tcPr>
        <w:shd w:val="clear" w:color="b2a1c6" w:fill="b2a1c6"/>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B2A1C6" w:sz="32" w:space="0"/>
          <w:right w:val="single" w:color="FFFFFF" w:sz="4" w:space="0"/>
        </w:tcBorders>
      </w:tcPr>
    </w:tblStylePr>
    <w:tblStylePr w:type="firstRow">
      <w:rPr>
        <w:rFonts w:ascii="Arial" w:hAnsi="Arial"/>
        <w:b/>
        <w:color w:val="ffffff"/>
        <w:sz w:val="22"/>
      </w:rPr>
      <w:tcPr>
        <w:shd w:val="clear" w:color="b2a1c6" w:fill="b2a1c6"/>
        <w:tcBorders>
          <w:top w:val="single" w:color="B2A1C6" w:sz="32" w:space="0"/>
          <w:bottom w:val="single" w:color="FFFFFF" w:sz="12" w:space="0"/>
        </w:tcBorders>
      </w:tcPr>
    </w:tblStylePr>
    <w:tblStylePr w:type="lastCol">
      <w:tcPr>
        <w:tcBorders>
          <w:left w:val="single" w:color="FFFFFF" w:sz="4" w:space="0"/>
          <w:right w:val="single" w:color="B2A1C6" w:sz="32" w:space="0"/>
        </w:tcBorders>
      </w:tcPr>
    </w:tblStylePr>
    <w:tblStylePr w:type="lastRow">
      <w:rPr>
        <w:rFonts w:ascii="Arial" w:hAnsi="Arial"/>
        <w:b/>
        <w:color w:val="ffffff"/>
        <w:sz w:val="22"/>
      </w:rPr>
    </w:tblStylePr>
  </w:style>
  <w:style w:type="table" w:styleId="981"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tblStylePr w:type="band1Horz">
      <w:tcPr>
        <w:shd w:val="clear" w:color="92ccdc" w:fill="92ccdc"/>
        <w:tcBorders>
          <w:top w:val="single" w:color="FFFFFF" w:sz="4" w:space="0"/>
          <w:bottom w:val="single" w:color="FFFFFF" w:sz="4" w:space="0"/>
        </w:tcBorders>
      </w:tcPr>
    </w:tblStylePr>
    <w:tblStylePr w:type="band1Vert">
      <w:tcPr>
        <w:shd w:val="clear" w:color="92ccdc" w:fill="92ccdc"/>
        <w:tcBorders>
          <w:left w:val="single" w:color="FFFFFF" w:sz="4" w:space="0"/>
          <w:right w:val="single" w:color="FFFFFF" w:sz="4" w:space="0"/>
        </w:tcBorders>
      </w:tcPr>
    </w:tblStylePr>
    <w:tblStylePr w:type="band2Horz">
      <w:tcPr>
        <w:shd w:val="clear" w:color="92ccdc" w:fill="92ccd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92CCDC" w:sz="32" w:space="0"/>
          <w:right w:val="single" w:color="FFFFFF" w:sz="4" w:space="0"/>
        </w:tcBorders>
      </w:tcPr>
    </w:tblStylePr>
    <w:tblStylePr w:type="firstRow">
      <w:rPr>
        <w:rFonts w:ascii="Arial" w:hAnsi="Arial"/>
        <w:b/>
        <w:color w:val="ffffff"/>
        <w:sz w:val="22"/>
      </w:rPr>
      <w:tcPr>
        <w:shd w:val="clear" w:color="92ccdc" w:fill="92ccdc"/>
        <w:tcBorders>
          <w:top w:val="single" w:color="92CCDC" w:sz="32" w:space="0"/>
          <w:bottom w:val="single" w:color="FFFFFF" w:sz="12" w:space="0"/>
        </w:tcBorders>
      </w:tcPr>
    </w:tblStylePr>
    <w:tblStylePr w:type="lastCol">
      <w:tcPr>
        <w:tcBorders>
          <w:left w:val="single" w:color="FFFFFF" w:sz="4" w:space="0"/>
          <w:right w:val="single" w:color="92CCDC" w:sz="32" w:space="0"/>
        </w:tcBorders>
      </w:tcPr>
    </w:tblStylePr>
    <w:tblStylePr w:type="lastRow">
      <w:rPr>
        <w:rFonts w:ascii="Arial" w:hAnsi="Arial"/>
        <w:b/>
        <w:color w:val="ffffff"/>
        <w:sz w:val="22"/>
      </w:rPr>
    </w:tblStylePr>
  </w:style>
  <w:style w:type="table" w:styleId="982"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tblStylePr w:type="band1Horz">
      <w:tcPr>
        <w:shd w:val="clear" w:color="fac090" w:fill="fac090"/>
        <w:tcBorders>
          <w:top w:val="single" w:color="FFFFFF" w:sz="4" w:space="0"/>
          <w:bottom w:val="single" w:color="FFFFFF" w:sz="4" w:space="0"/>
        </w:tcBorders>
      </w:tcPr>
    </w:tblStylePr>
    <w:tblStylePr w:type="band1Vert">
      <w:tcPr>
        <w:shd w:val="clear" w:color="fac090" w:fill="fac090"/>
        <w:tcBorders>
          <w:left w:val="single" w:color="FFFFFF" w:sz="4" w:space="0"/>
          <w:right w:val="single" w:color="FFFFFF" w:sz="4" w:space="0"/>
        </w:tcBorders>
      </w:tcPr>
    </w:tblStylePr>
    <w:tblStylePr w:type="band2Horz">
      <w:tcPr>
        <w:shd w:val="clear" w:color="fac090" w:fill="fac090"/>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AC090" w:sz="32" w:space="0"/>
          <w:right w:val="single" w:color="FFFFFF" w:sz="4" w:space="0"/>
        </w:tcBorders>
      </w:tcPr>
    </w:tblStylePr>
    <w:tblStylePr w:type="firstRow">
      <w:rPr>
        <w:rFonts w:ascii="Arial" w:hAnsi="Arial"/>
        <w:b/>
        <w:color w:val="ffffff"/>
        <w:sz w:val="22"/>
      </w:rPr>
      <w:tcPr>
        <w:shd w:val="clear" w:color="fac090" w:fill="fac090"/>
        <w:tcBorders>
          <w:top w:val="single" w:color="FAC090" w:sz="32" w:space="0"/>
          <w:bottom w:val="single" w:color="FFFFFF" w:sz="12" w:space="0"/>
        </w:tcBorders>
      </w:tcPr>
    </w:tblStylePr>
    <w:tblStylePr w:type="lastCol">
      <w:tcPr>
        <w:tcBorders>
          <w:left w:val="single" w:color="FFFFFF" w:sz="4" w:space="0"/>
          <w:right w:val="single" w:color="FAC090" w:sz="32" w:space="0"/>
        </w:tcBorders>
      </w:tcPr>
    </w:tblStylePr>
    <w:tblStylePr w:type="lastRow">
      <w:rPr>
        <w:rFonts w:ascii="Arial" w:hAnsi="Arial"/>
        <w:b/>
        <w:color w:val="ffffff"/>
        <w:sz w:val="22"/>
      </w:rPr>
    </w:tblStylePr>
  </w:style>
  <w:style w:type="table" w:styleId="983" w:customStyle="1">
    <w:name w:val="清单表 6 彩色1"/>
    <w:uiPriority w:val="99"/>
    <w:qFormat/>
    <w:tblPr>
      <w:tblBorders>
        <w:top w:val="single" w:color="7E7E7E" w:sz="4" w:space="0"/>
        <w:bottom w:val="single" w:color="7E7E7E" w:sz="4" w:space="0"/>
      </w:tblBorders>
      <w:tblCellMar>
        <w:left w:w="0" w:type="dxa"/>
        <w:top w:w="0" w:type="dxa"/>
        <w:right w:w="0" w:type="dxa"/>
        <w:bottom w:w="0" w:type="dxa"/>
      </w:tblCellMar>
    </w:tblPr>
    <w:tblStylePr w:type="band1Horz">
      <w:rPr>
        <w:rFonts w:ascii="Arial" w:hAnsi="Arial"/>
        <w:color w:val="000000"/>
        <w:sz w:val="22"/>
      </w:rPr>
      <w:tcPr>
        <w:shd w:val="clear" w:color="bebebe" w:fill="bebebe"/>
      </w:tcPr>
    </w:tblStylePr>
    <w:tblStylePr w:type="band1Vert">
      <w:tcPr>
        <w:shd w:val="clear" w:color="bebebe" w:fill="bebebe"/>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E7E7E" w:sz="4" w:space="0"/>
        </w:tcBorders>
      </w:tcPr>
    </w:tblStylePr>
    <w:tblStylePr w:type="lastCol">
      <w:rPr>
        <w:b/>
        <w:color w:val="000000"/>
      </w:rPr>
    </w:tblStylePr>
    <w:tblStylePr w:type="lastRow">
      <w:rPr>
        <w:b/>
        <w:color w:val="000000"/>
      </w:rPr>
      <w:tcPr>
        <w:tcBorders>
          <w:top w:val="single" w:color="7E7E7E" w:sz="4" w:space="0"/>
        </w:tcBorders>
      </w:tcPr>
    </w:tblStylePr>
  </w:style>
  <w:style w:type="table" w:styleId="984"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tblStylePr w:type="band1Horz">
      <w:rPr>
        <w:rFonts w:ascii="Arial" w:hAnsi="Arial"/>
        <w:color w:val="2a4b71"/>
        <w:sz w:val="22"/>
      </w:rPr>
      <w:tcPr>
        <w:shd w:val="clear" w:color="d2dfee" w:fill="d2dfee"/>
      </w:tcPr>
    </w:tblStylePr>
    <w:tblStylePr w:type="band1Vert">
      <w:tcPr>
        <w:shd w:val="clear" w:color="d2dfee" w:fill="d2dfee"/>
      </w:tcPr>
    </w:tblStylePr>
    <w:tblStylePr w:type="band2Horz">
      <w:rPr>
        <w:rFonts w:ascii="Arial" w:hAnsi="Arial"/>
        <w:color w:val="2a4b71"/>
        <w:sz w:val="22"/>
      </w:rPr>
    </w:tblStylePr>
    <w:tblStylePr w:type="firstCol">
      <w:rPr>
        <w:b/>
        <w:color w:val="2a4b71"/>
      </w:rPr>
    </w:tblStylePr>
    <w:tblStylePr w:type="firstRow">
      <w:rPr>
        <w:b/>
        <w:color w:val="2a4b71"/>
      </w:rPr>
      <w:tcPr>
        <w:tcBorders>
          <w:bottom w:val="single" w:color="4F81BD" w:sz="4" w:space="0"/>
        </w:tcBorders>
      </w:tcPr>
    </w:tblStylePr>
    <w:tblStylePr w:type="lastCol">
      <w:rPr>
        <w:b/>
        <w:color w:val="2a4b71"/>
      </w:rPr>
    </w:tblStylePr>
    <w:tblStylePr w:type="lastRow">
      <w:rPr>
        <w:b/>
        <w:color w:val="2a4b71"/>
      </w:rPr>
      <w:tcPr>
        <w:tcBorders>
          <w:top w:val="single" w:color="4F81BD" w:sz="4" w:space="0"/>
        </w:tcBorders>
      </w:tcPr>
    </w:tblStylePr>
  </w:style>
  <w:style w:type="table" w:styleId="985" w:customStyle="1">
    <w:name w:val="List Table 6 Colorful - Accent 2"/>
    <w:uiPriority w:val="99"/>
    <w:qFormat/>
    <w:tblPr>
      <w:tblBorders>
        <w:top w:val="single" w:color="D99795" w:sz="4" w:space="0"/>
        <w:bottom w:val="single" w:color="D99795" w:sz="4" w:space="0"/>
      </w:tblBorders>
      <w:tblCellMar>
        <w:left w:w="0" w:type="dxa"/>
        <w:top w:w="0" w:type="dxa"/>
        <w:right w:w="0" w:type="dxa"/>
        <w:bottom w:w="0" w:type="dxa"/>
      </w:tblCellMar>
    </w:tblPr>
    <w:tblStylePr w:type="band1Horz">
      <w:rPr>
        <w:rFonts w:ascii="Arial" w:hAnsi="Arial"/>
        <w:color w:val="d99795"/>
        <w:sz w:val="22"/>
      </w:rPr>
      <w:tcPr>
        <w:shd w:val="clear" w:color="efd3d2" w:fill="efd3d2"/>
      </w:tcPr>
    </w:tblStylePr>
    <w:tblStylePr w:type="band1Vert">
      <w:tcPr>
        <w:shd w:val="clear" w:color="efd3d2" w:fill="efd3d2"/>
      </w:tcPr>
    </w:tblStylePr>
    <w:tblStylePr w:type="band2Horz">
      <w:rPr>
        <w:rFonts w:ascii="Arial" w:hAnsi="Arial"/>
        <w:color w:val="d99795"/>
        <w:sz w:val="22"/>
      </w:rPr>
    </w:tblStylePr>
    <w:tblStylePr w:type="firstCol">
      <w:rPr>
        <w:b/>
        <w:color w:val="d99795"/>
      </w:rPr>
    </w:tblStylePr>
    <w:tblStylePr w:type="firstRow">
      <w:rPr>
        <w:b/>
        <w:color w:val="d99795"/>
      </w:rPr>
      <w:tcPr>
        <w:tcBorders>
          <w:bottom w:val="single" w:color="D99795" w:sz="4" w:space="0"/>
        </w:tcBorders>
      </w:tcPr>
    </w:tblStylePr>
    <w:tblStylePr w:type="lastCol">
      <w:rPr>
        <w:b/>
        <w:color w:val="d99795"/>
      </w:rPr>
    </w:tblStylePr>
    <w:tblStylePr w:type="lastRow">
      <w:rPr>
        <w:b/>
        <w:color w:val="d99795"/>
      </w:rPr>
      <w:tcPr>
        <w:tcBorders>
          <w:top w:val="single" w:color="D99795" w:sz="4" w:space="0"/>
        </w:tcBorders>
      </w:tcPr>
    </w:tblStylePr>
  </w:style>
  <w:style w:type="table" w:styleId="986" w:customStyle="1">
    <w:name w:val="List Table 6 Colorful - Accent 3"/>
    <w:uiPriority w:val="99"/>
    <w:qFormat/>
    <w:tblPr>
      <w:tblBorders>
        <w:top w:val="single" w:color="C3D69C" w:sz="4" w:space="0"/>
        <w:bottom w:val="single" w:color="C3D69C" w:sz="4" w:space="0"/>
      </w:tblBorders>
      <w:tblCellMar>
        <w:left w:w="0" w:type="dxa"/>
        <w:top w:w="0" w:type="dxa"/>
        <w:right w:w="0" w:type="dxa"/>
        <w:bottom w:w="0" w:type="dxa"/>
      </w:tblCellMar>
    </w:tblPr>
    <w:tblStylePr w:type="band1Horz">
      <w:rPr>
        <w:rFonts w:ascii="Arial" w:hAnsi="Arial"/>
        <w:color w:val="c3d69b"/>
        <w:sz w:val="22"/>
      </w:rPr>
      <w:tcPr>
        <w:shd w:val="clear" w:color="e5edd5" w:fill="e5edd5"/>
      </w:tcPr>
    </w:tblStylePr>
    <w:tblStylePr w:type="band1Vert">
      <w:tcPr>
        <w:shd w:val="clear" w:color="e5edd5" w:fill="e5edd5"/>
      </w:tcPr>
    </w:tblStylePr>
    <w:tblStylePr w:type="band2Horz">
      <w:rPr>
        <w:rFonts w:ascii="Arial" w:hAnsi="Arial"/>
        <w:color w:val="c3d69b"/>
        <w:sz w:val="22"/>
      </w:rPr>
    </w:tblStylePr>
    <w:tblStylePr w:type="firstCol">
      <w:rPr>
        <w:b/>
        <w:color w:val="c3d69b"/>
      </w:rPr>
    </w:tblStylePr>
    <w:tblStylePr w:type="firstRow">
      <w:rPr>
        <w:b/>
        <w:color w:val="c3d69b"/>
      </w:rPr>
      <w:tcPr>
        <w:tcBorders>
          <w:bottom w:val="single" w:color="C3D69C" w:sz="4" w:space="0"/>
        </w:tcBorders>
      </w:tcPr>
    </w:tblStylePr>
    <w:tblStylePr w:type="lastCol">
      <w:rPr>
        <w:b/>
        <w:color w:val="c3d69b"/>
      </w:rPr>
    </w:tblStylePr>
    <w:tblStylePr w:type="lastRow">
      <w:rPr>
        <w:b/>
        <w:color w:val="c3d69b"/>
      </w:rPr>
      <w:tcPr>
        <w:tcBorders>
          <w:top w:val="single" w:color="C3D69C" w:sz="4" w:space="0"/>
        </w:tcBorders>
      </w:tcPr>
    </w:tblStylePr>
  </w:style>
  <w:style w:type="table" w:styleId="987"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4" w:space="0"/>
        </w:tcBorders>
      </w:tcPr>
    </w:tblStylePr>
    <w:tblStylePr w:type="lastCol">
      <w:rPr>
        <w:b/>
        <w:color w:val="b2a1c7"/>
      </w:rPr>
    </w:tblStylePr>
    <w:tblStylePr w:type="lastRow">
      <w:rPr>
        <w:b/>
        <w:color w:val="b2a1c7"/>
      </w:rPr>
      <w:tcPr>
        <w:tcBorders>
          <w:top w:val="single" w:color="B2A1C6" w:sz="4" w:space="0"/>
        </w:tcBorders>
      </w:tcPr>
    </w:tblStylePr>
  </w:style>
  <w:style w:type="table" w:styleId="988"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tblStylePr w:type="band1Horz">
      <w:rPr>
        <w:rFonts w:ascii="Arial" w:hAnsi="Arial"/>
        <w:color w:val="93cddc"/>
        <w:sz w:val="22"/>
      </w:rPr>
      <w:tcPr>
        <w:shd w:val="clear" w:color="d1eaf0" w:fill="d1eaf0"/>
      </w:tcPr>
    </w:tblStylePr>
    <w:tblStylePr w:type="band1Vert">
      <w:tcPr>
        <w:shd w:val="clear" w:color="d1eaf0" w:fill="d1eaf0"/>
      </w:tcPr>
    </w:tblStylePr>
    <w:tblStylePr w:type="band2Horz">
      <w:rPr>
        <w:rFonts w:ascii="Arial" w:hAnsi="Arial"/>
        <w:color w:val="93cddc"/>
        <w:sz w:val="22"/>
      </w:rPr>
    </w:tblStylePr>
    <w:tblStylePr w:type="firstCol">
      <w:rPr>
        <w:b/>
        <w:color w:val="93cddc"/>
      </w:rPr>
    </w:tblStylePr>
    <w:tblStylePr w:type="firstRow">
      <w:rPr>
        <w:b/>
        <w:color w:val="93cddc"/>
      </w:rPr>
      <w:tcPr>
        <w:tcBorders>
          <w:bottom w:val="single" w:color="92CCDC" w:sz="4" w:space="0"/>
        </w:tcBorders>
      </w:tcPr>
    </w:tblStylePr>
    <w:tblStylePr w:type="lastCol">
      <w:rPr>
        <w:b/>
        <w:color w:val="93cddc"/>
      </w:rPr>
    </w:tblStylePr>
    <w:tblStylePr w:type="lastRow">
      <w:rPr>
        <w:b/>
        <w:color w:val="93cddc"/>
      </w:rPr>
      <w:tcPr>
        <w:tcBorders>
          <w:top w:val="single" w:color="92CCDC" w:sz="4" w:space="0"/>
        </w:tcBorders>
      </w:tcPr>
    </w:tblStylePr>
  </w:style>
  <w:style w:type="table" w:styleId="989"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tblStylePr w:type="band1Horz">
      <w:rPr>
        <w:rFonts w:ascii="Arial" w:hAnsi="Arial"/>
        <w:color w:val="fac090"/>
        <w:sz w:val="22"/>
      </w:rPr>
      <w:tcPr>
        <w:shd w:val="clear" w:color="fce4d0" w:fill="fce4d0"/>
      </w:tcPr>
    </w:tblStylePr>
    <w:tblStylePr w:type="band1Vert">
      <w:tcPr>
        <w:shd w:val="clear" w:color="fce4d0" w:fill="fce4d0"/>
      </w:tcPr>
    </w:tblStylePr>
    <w:tblStylePr w:type="band2Horz">
      <w:rPr>
        <w:rFonts w:ascii="Arial" w:hAnsi="Arial"/>
        <w:color w:val="fac090"/>
        <w:sz w:val="22"/>
      </w:rPr>
    </w:tblStylePr>
    <w:tblStylePr w:type="firstCol">
      <w:rPr>
        <w:b/>
        <w:color w:val="fac090"/>
      </w:rPr>
    </w:tblStylePr>
    <w:tblStylePr w:type="firstRow">
      <w:rPr>
        <w:b/>
        <w:color w:val="fac090"/>
      </w:rPr>
      <w:tcPr>
        <w:tcBorders>
          <w:bottom w:val="single" w:color="FAC090" w:sz="4" w:space="0"/>
        </w:tcBorders>
      </w:tcPr>
    </w:tblStylePr>
    <w:tblStylePr w:type="lastCol">
      <w:rPr>
        <w:b/>
        <w:color w:val="fac090"/>
      </w:rPr>
    </w:tblStylePr>
    <w:tblStylePr w:type="lastRow">
      <w:rPr>
        <w:b/>
        <w:color w:val="fac090"/>
      </w:rPr>
      <w:tcPr>
        <w:tcBorders>
          <w:top w:val="single" w:color="FAC090" w:sz="4" w:space="0"/>
        </w:tcBorders>
      </w:tcPr>
    </w:tblStylePr>
  </w:style>
  <w:style w:type="table" w:styleId="990" w:customStyle="1">
    <w:name w:val="清单表 7 彩色1"/>
    <w:uiPriority w:val="99"/>
    <w:qFormat/>
    <w:tblPr>
      <w:tblBorders>
        <w:right w:val="single" w:color="7E7E7E" w:sz="4" w:space="0"/>
      </w:tblBorders>
      <w:tblCellMar>
        <w:left w:w="0" w:type="dxa"/>
        <w:top w:w="0" w:type="dxa"/>
        <w:right w:w="0" w:type="dxa"/>
        <w:bottom w:w="0" w:type="dxa"/>
      </w:tblCellMar>
    </w:tblPr>
    <w:tblStylePr w:type="band1Horz">
      <w:rPr>
        <w:rFonts w:ascii="Arial" w:hAnsi="Arial"/>
        <w:color w:val="7f7f7f"/>
        <w:sz w:val="22"/>
      </w:rPr>
      <w:tcPr>
        <w:shd w:val="clear" w:color="bebebe" w:fill="bebebe"/>
      </w:tcPr>
    </w:tblStylePr>
    <w:tblStylePr w:type="band1Vert">
      <w:tcPr>
        <w:shd w:val="clear" w:color="bebebe" w:fill="bebebe"/>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E7E7E"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E7E7E"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E7E7E" w:sz="4" w:space="0"/>
          <w:left w:val="none" w:color="000000" w:sz="4" w:space="0"/>
          <w:bottom w:val="none" w:color="000000" w:sz="4" w:space="0"/>
          <w:right w:val="none" w:color="000000" w:sz="4" w:space="0"/>
        </w:tcBorders>
      </w:tcPr>
    </w:tblStylePr>
  </w:style>
  <w:style w:type="table" w:styleId="991" w:customStyle="1">
    <w:name w:val="List Table 7 Colorful - Accent 1"/>
    <w:uiPriority w:val="99"/>
    <w:qFormat/>
    <w:tblPr>
      <w:tblBorders>
        <w:right w:val="single" w:color="4F81BD" w:sz="4" w:space="0"/>
      </w:tblBorders>
      <w:tblCellMar>
        <w:left w:w="0" w:type="dxa"/>
        <w:top w:w="0" w:type="dxa"/>
        <w:right w:w="0" w:type="dxa"/>
        <w:bottom w:w="0" w:type="dxa"/>
      </w:tblCellMar>
    </w:tblPr>
    <w:tblStylePr w:type="band1Horz">
      <w:rPr>
        <w:rFonts w:ascii="Arial" w:hAnsi="Arial"/>
        <w:color w:val="2a4b71"/>
        <w:sz w:val="22"/>
      </w:rPr>
      <w:tcPr>
        <w:shd w:val="clear" w:color="d2dfee" w:fill="d2dfee"/>
      </w:tcPr>
    </w:tblStylePr>
    <w:tblStylePr w:type="band1Vert">
      <w:tcPr>
        <w:shd w:val="clear" w:color="d2dfee" w:fill="d2dfee"/>
      </w:tcPr>
    </w:tblStylePr>
    <w:tblStylePr w:type="band2Horz">
      <w:rPr>
        <w:rFonts w:ascii="Arial" w:hAnsi="Arial"/>
        <w:color w:val="2a4b71"/>
        <w:sz w:val="22"/>
      </w:rPr>
    </w:tblStylePr>
    <w:tblStylePr w:type="firstCol">
      <w:rPr>
        <w:rFonts w:ascii="Arial" w:hAnsi="Arial"/>
        <w:i/>
        <w:color w:val="2a4b71"/>
        <w:sz w:val="22"/>
      </w:rPr>
      <w:pPr>
        <w:jc w:val="right"/>
      </w:pPr>
      <w:tcPr>
        <w:shd w:val="clear" w:color="ffffff" w:fill="auto"/>
        <w:tcBorders>
          <w:top w:val="none" w:color="000000" w:sz="4" w:space="0"/>
          <w:left w:val="none" w:color="000000" w:sz="4" w:space="0"/>
          <w:bottom w:val="none" w:color="000000" w:sz="4" w:space="0"/>
          <w:right w:val="single" w:color="4F81BD" w:sz="4" w:space="0"/>
        </w:tcBorders>
      </w:tcPr>
    </w:tblStylePr>
    <w:tblStylePr w:type="firstRow">
      <w:rPr>
        <w:rFonts w:ascii="Arial" w:hAnsi="Arial"/>
        <w:i/>
        <w:color w:val="2a4b71"/>
        <w:sz w:val="22"/>
      </w:rPr>
      <w:tcPr>
        <w:shd w:val="clear" w:color="ffffff" w:fill="ffffff"/>
        <w:tcBorders>
          <w:top w:val="none" w:color="000000" w:sz="4" w:space="0"/>
          <w:left w:val="none" w:color="000000" w:sz="4" w:space="0"/>
          <w:bottom w:val="single" w:color="4F81BD" w:sz="4" w:space="0"/>
          <w:right w:val="none" w:color="000000" w:sz="4" w:space="0"/>
        </w:tcBorders>
      </w:tcPr>
    </w:tblStylePr>
    <w:tblStylePr w:type="lastCol">
      <w:rPr>
        <w:rFonts w:ascii="Arial" w:hAnsi="Arial"/>
        <w:i/>
        <w:color w:val="2a4b71"/>
        <w:sz w:val="22"/>
      </w:rPr>
      <w:tcPr>
        <w:shd w:val="clear" w:color="ffffff" w:fill="auto"/>
        <w:tcBorders>
          <w:top w:val="none" w:color="000000" w:sz="4" w:space="0"/>
          <w:left w:val="single" w:color="4F81BD" w:sz="4" w:space="0"/>
          <w:bottom w:val="none" w:color="000000" w:sz="4" w:space="0"/>
          <w:right w:val="none" w:color="000000" w:sz="4" w:space="0"/>
        </w:tcBorders>
      </w:tcPr>
    </w:tblStylePr>
    <w:tblStylePr w:type="lastRow">
      <w:rPr>
        <w:rFonts w:ascii="Arial" w:hAnsi="Arial"/>
        <w:i/>
        <w:color w:val="2a4b71"/>
        <w:sz w:val="22"/>
      </w:rPr>
      <w:tcPr>
        <w:shd w:val="clear" w:color="ffffff" w:fill="ffffff"/>
        <w:tcBorders>
          <w:top w:val="single" w:color="4F81BD" w:sz="4" w:space="0"/>
          <w:left w:val="none" w:color="000000" w:sz="4" w:space="0"/>
          <w:bottom w:val="none" w:color="000000" w:sz="4" w:space="0"/>
          <w:right w:val="none" w:color="000000" w:sz="4" w:space="0"/>
        </w:tcBorders>
      </w:tcPr>
    </w:tblStylePr>
  </w:style>
  <w:style w:type="table" w:styleId="992" w:customStyle="1">
    <w:name w:val="List Table 7 Colorful - Accent 2"/>
    <w:uiPriority w:val="99"/>
    <w:qFormat/>
    <w:tblPr>
      <w:tblBorders>
        <w:right w:val="single" w:color="D99795" w:sz="4" w:space="0"/>
      </w:tblBorders>
      <w:tblCellMar>
        <w:left w:w="0" w:type="dxa"/>
        <w:top w:w="0" w:type="dxa"/>
        <w:right w:w="0" w:type="dxa"/>
        <w:bottom w:w="0" w:type="dxa"/>
      </w:tblCellMar>
    </w:tblPr>
    <w:tblStylePr w:type="band1Horz">
      <w:rPr>
        <w:rFonts w:ascii="Arial" w:hAnsi="Arial"/>
        <w:color w:val="d99795"/>
        <w:sz w:val="22"/>
      </w:rPr>
      <w:tcPr>
        <w:shd w:val="clear" w:color="efd3d2" w:fill="efd3d2"/>
      </w:tcPr>
    </w:tblStylePr>
    <w:tblStylePr w:type="band1Vert">
      <w:tcPr>
        <w:shd w:val="clear" w:color="efd3d2" w:fill="efd3d2"/>
      </w:tcPr>
    </w:tblStylePr>
    <w:tblStylePr w:type="band2Horz">
      <w:rPr>
        <w:rFonts w:ascii="Arial" w:hAnsi="Arial"/>
        <w:color w:val="d99795"/>
        <w:sz w:val="22"/>
      </w:rPr>
    </w:tblStylePr>
    <w:tblStylePr w:type="firstCol">
      <w:rPr>
        <w:rFonts w:ascii="Arial" w:hAnsi="Arial"/>
        <w:i/>
        <w:color w:val="d99795"/>
        <w:sz w:val="22"/>
      </w:rPr>
      <w:pPr>
        <w:jc w:val="right"/>
      </w:pPr>
      <w:tcPr>
        <w:shd w:val="clear" w:color="ffffff" w:fill="auto"/>
        <w:tcBorders>
          <w:top w:val="none" w:color="000000" w:sz="4" w:space="0"/>
          <w:left w:val="none" w:color="000000" w:sz="4" w:space="0"/>
          <w:bottom w:val="none" w:color="000000" w:sz="4" w:space="0"/>
          <w:right w:val="single" w:color="D99795" w:sz="4" w:space="0"/>
        </w:tcBorders>
      </w:tcPr>
    </w:tblStylePr>
    <w:tblStylePr w:type="firstRow">
      <w:rPr>
        <w:rFonts w:ascii="Arial" w:hAnsi="Arial"/>
        <w:i/>
        <w:color w:val="d99795"/>
        <w:sz w:val="22"/>
      </w:rPr>
      <w:tcPr>
        <w:shd w:val="clear" w:color="ffffff" w:fill="ffffff"/>
        <w:tcBorders>
          <w:top w:val="none" w:color="000000" w:sz="4" w:space="0"/>
          <w:left w:val="none" w:color="000000" w:sz="4" w:space="0"/>
          <w:bottom w:val="single" w:color="D99795" w:sz="4" w:space="0"/>
          <w:right w:val="none" w:color="000000" w:sz="4" w:space="0"/>
        </w:tcBorders>
      </w:tcPr>
    </w:tblStylePr>
    <w:tblStylePr w:type="lastCol">
      <w:rPr>
        <w:rFonts w:ascii="Arial" w:hAnsi="Arial"/>
        <w:i/>
        <w:color w:val="d99795"/>
        <w:sz w:val="22"/>
      </w:rPr>
      <w:tcPr>
        <w:shd w:val="clear" w:color="ffffff" w:fill="auto"/>
        <w:tcBorders>
          <w:top w:val="none" w:color="000000" w:sz="4" w:space="0"/>
          <w:left w:val="single" w:color="D99795" w:sz="4" w:space="0"/>
          <w:bottom w:val="none" w:color="000000" w:sz="4" w:space="0"/>
          <w:right w:val="none" w:color="000000" w:sz="4" w:space="0"/>
        </w:tcBorders>
      </w:tcPr>
    </w:tblStylePr>
    <w:tblStylePr w:type="lastRow">
      <w:rPr>
        <w:rFonts w:ascii="Arial" w:hAnsi="Arial"/>
        <w:i/>
        <w:color w:val="d99795"/>
        <w:sz w:val="22"/>
      </w:rPr>
      <w:tcPr>
        <w:shd w:val="clear" w:color="ffffff" w:fill="ffffff"/>
        <w:tcBorders>
          <w:top w:val="single" w:color="D99795" w:sz="4" w:space="0"/>
          <w:left w:val="none" w:color="000000" w:sz="4" w:space="0"/>
          <w:bottom w:val="none" w:color="000000" w:sz="4" w:space="0"/>
          <w:right w:val="none" w:color="000000" w:sz="4" w:space="0"/>
        </w:tcBorders>
      </w:tcPr>
    </w:tblStylePr>
  </w:style>
  <w:style w:type="table" w:styleId="993" w:customStyle="1">
    <w:name w:val="List Table 7 Colorful - Accent 3"/>
    <w:uiPriority w:val="99"/>
    <w:qFormat/>
    <w:tblPr>
      <w:tblBorders>
        <w:right w:val="single" w:color="C3D69C" w:sz="4" w:space="0"/>
      </w:tblBorders>
      <w:tblCellMar>
        <w:left w:w="0" w:type="dxa"/>
        <w:top w:w="0" w:type="dxa"/>
        <w:right w:w="0" w:type="dxa"/>
        <w:bottom w:w="0" w:type="dxa"/>
      </w:tblCellMar>
    </w:tblPr>
    <w:tblStylePr w:type="band1Horz">
      <w:rPr>
        <w:rFonts w:ascii="Arial" w:hAnsi="Arial"/>
        <w:color w:val="c3d69b"/>
        <w:sz w:val="22"/>
      </w:rPr>
      <w:tcPr>
        <w:shd w:val="clear" w:color="e5edd5" w:fill="e5edd5"/>
      </w:tcPr>
    </w:tblStylePr>
    <w:tblStylePr w:type="band1Vert">
      <w:tcPr>
        <w:shd w:val="clear" w:color="e5edd5" w:fill="e5edd5"/>
      </w:tcPr>
    </w:tblStylePr>
    <w:tblStylePr w:type="band2Horz">
      <w:rPr>
        <w:rFonts w:ascii="Arial" w:hAnsi="Arial"/>
        <w:color w:val="c3d69b"/>
        <w:sz w:val="22"/>
      </w:rPr>
    </w:tblStylePr>
    <w:tblStylePr w:type="firstCol">
      <w:rPr>
        <w:rFonts w:ascii="Arial" w:hAnsi="Arial"/>
        <w:i/>
        <w:color w:val="c3d69b"/>
        <w:sz w:val="22"/>
      </w:rPr>
      <w:pPr>
        <w:jc w:val="right"/>
      </w:pPr>
      <w:tcPr>
        <w:shd w:val="clear" w:color="ffffff" w:fill="auto"/>
        <w:tcBorders>
          <w:top w:val="none" w:color="000000" w:sz="4" w:space="0"/>
          <w:left w:val="none" w:color="000000" w:sz="4" w:space="0"/>
          <w:bottom w:val="none" w:color="000000" w:sz="4" w:space="0"/>
          <w:right w:val="single" w:color="C3D69C" w:sz="4" w:space="0"/>
        </w:tcBorders>
      </w:tcPr>
    </w:tblStylePr>
    <w:tblStylePr w:type="firstRow">
      <w:rPr>
        <w:rFonts w:ascii="Arial" w:hAnsi="Arial"/>
        <w:i/>
        <w:color w:val="c3d69b"/>
        <w:sz w:val="22"/>
      </w:rPr>
      <w:tcPr>
        <w:shd w:val="clear" w:color="ffffff" w:fill="ffffff"/>
        <w:tcBorders>
          <w:top w:val="none" w:color="000000" w:sz="4" w:space="0"/>
          <w:left w:val="none" w:color="000000" w:sz="4" w:space="0"/>
          <w:bottom w:val="single" w:color="C3D69C" w:sz="4" w:space="0"/>
          <w:right w:val="none" w:color="000000" w:sz="4" w:space="0"/>
        </w:tcBorders>
      </w:tcPr>
    </w:tblStylePr>
    <w:tblStylePr w:type="lastCol">
      <w:rPr>
        <w:rFonts w:ascii="Arial" w:hAnsi="Arial"/>
        <w:i/>
        <w:color w:val="c3d69b"/>
        <w:sz w:val="22"/>
      </w:rPr>
      <w:tcPr>
        <w:shd w:val="clear" w:color="ffffff" w:fill="auto"/>
        <w:tcBorders>
          <w:top w:val="none" w:color="000000" w:sz="4" w:space="0"/>
          <w:left w:val="single" w:color="C3D69C" w:sz="4" w:space="0"/>
          <w:bottom w:val="none" w:color="000000" w:sz="4" w:space="0"/>
          <w:right w:val="none" w:color="000000" w:sz="4" w:space="0"/>
        </w:tcBorders>
      </w:tcPr>
    </w:tblStylePr>
    <w:tblStylePr w:type="lastRow">
      <w:rPr>
        <w:rFonts w:ascii="Arial" w:hAnsi="Arial"/>
        <w:i/>
        <w:color w:val="c3d69b"/>
        <w:sz w:val="22"/>
      </w:rPr>
      <w:tcPr>
        <w:shd w:val="clear" w:color="ffffff" w:fill="ffffff"/>
        <w:tcBorders>
          <w:top w:val="single" w:color="C3D69C" w:sz="4" w:space="0"/>
          <w:left w:val="none" w:color="000000" w:sz="4" w:space="0"/>
          <w:bottom w:val="none" w:color="000000" w:sz="4" w:space="0"/>
          <w:right w:val="none" w:color="000000" w:sz="4" w:space="0"/>
        </w:tcBorders>
      </w:tcPr>
    </w:tblStylePr>
  </w:style>
  <w:style w:type="table" w:styleId="994" w:customStyle="1">
    <w:name w:val="List Table 7 Colorful - Accent 4"/>
    <w:uiPriority w:val="99"/>
    <w:qFormat/>
    <w:tblPr>
      <w:tblBorders>
        <w:right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i/>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i/>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995" w:customStyle="1">
    <w:name w:val="List Table 7 Colorful - Accent 5"/>
    <w:uiPriority w:val="99"/>
    <w:qFormat/>
    <w:tblPr>
      <w:tblBorders>
        <w:right w:val="single" w:color="92CCDC" w:sz="4" w:space="0"/>
      </w:tblBorders>
      <w:tblCellMar>
        <w:left w:w="0" w:type="dxa"/>
        <w:top w:w="0" w:type="dxa"/>
        <w:right w:w="0" w:type="dxa"/>
        <w:bottom w:w="0" w:type="dxa"/>
      </w:tblCellMar>
    </w:tblPr>
    <w:tblStylePr w:type="band1Horz">
      <w:rPr>
        <w:rFonts w:ascii="Arial" w:hAnsi="Arial"/>
        <w:color w:val="93cddc"/>
        <w:sz w:val="22"/>
      </w:rPr>
      <w:tcPr>
        <w:shd w:val="clear" w:color="d1eaf0" w:fill="d1eaf0"/>
      </w:tcPr>
    </w:tblStylePr>
    <w:tblStylePr w:type="band1Vert">
      <w:tcPr>
        <w:shd w:val="clear" w:color="d1eaf0" w:fill="d1eaf0"/>
      </w:tcPr>
    </w:tblStylePr>
    <w:tblStylePr w:type="band2Horz">
      <w:rPr>
        <w:rFonts w:ascii="Arial" w:hAnsi="Arial"/>
        <w:color w:val="93cddc"/>
        <w:sz w:val="22"/>
      </w:rPr>
    </w:tblStylePr>
    <w:tblStylePr w:type="firstCol">
      <w:rPr>
        <w:rFonts w:ascii="Arial" w:hAnsi="Arial"/>
        <w:i/>
        <w:color w:val="93cddc"/>
        <w:sz w:val="22"/>
      </w:rPr>
      <w:pPr>
        <w:jc w:val="right"/>
      </w:pPr>
      <w:tcPr>
        <w:shd w:val="clear" w:color="ffffff" w:fill="auto"/>
        <w:tcBorders>
          <w:top w:val="none" w:color="000000" w:sz="4" w:space="0"/>
          <w:left w:val="none" w:color="000000" w:sz="4" w:space="0"/>
          <w:bottom w:val="none" w:color="000000" w:sz="4" w:space="0"/>
          <w:right w:val="single" w:color="92CCDC" w:sz="4" w:space="0"/>
        </w:tcBorders>
      </w:tcPr>
    </w:tblStylePr>
    <w:tblStylePr w:type="firstRow">
      <w:rPr>
        <w:rFonts w:ascii="Arial" w:hAnsi="Arial"/>
        <w:i/>
        <w:color w:val="93cddc"/>
        <w:sz w:val="22"/>
      </w:rPr>
      <w:tcPr>
        <w:shd w:val="clear" w:color="ffffff" w:fill="ffffff"/>
        <w:tcBorders>
          <w:top w:val="none" w:color="000000" w:sz="4" w:space="0"/>
          <w:left w:val="none" w:color="000000" w:sz="4" w:space="0"/>
          <w:bottom w:val="single" w:color="92CCDC" w:sz="4" w:space="0"/>
          <w:right w:val="none" w:color="000000" w:sz="4" w:space="0"/>
        </w:tcBorders>
      </w:tcPr>
    </w:tblStylePr>
    <w:tblStylePr w:type="lastCol">
      <w:rPr>
        <w:rFonts w:ascii="Arial" w:hAnsi="Arial"/>
        <w:i/>
        <w:color w:val="93cddc"/>
        <w:sz w:val="22"/>
      </w:rPr>
      <w:tcPr>
        <w:shd w:val="clear" w:color="ffffff" w:fill="auto"/>
        <w:tcBorders>
          <w:top w:val="none" w:color="000000" w:sz="4" w:space="0"/>
          <w:left w:val="single" w:color="92CCDC" w:sz="4" w:space="0"/>
          <w:bottom w:val="none" w:color="000000" w:sz="4" w:space="0"/>
          <w:right w:val="none" w:color="000000" w:sz="4" w:space="0"/>
        </w:tcBorders>
      </w:tcPr>
    </w:tblStylePr>
    <w:tblStylePr w:type="lastRow">
      <w:rPr>
        <w:rFonts w:ascii="Arial" w:hAnsi="Arial"/>
        <w:i/>
        <w:color w:val="93cddc"/>
        <w:sz w:val="22"/>
      </w:rPr>
      <w:tcPr>
        <w:shd w:val="clear" w:color="ffffff" w:fill="ffffff"/>
        <w:tcBorders>
          <w:top w:val="single" w:color="92CCDC" w:sz="4" w:space="0"/>
          <w:left w:val="none" w:color="000000" w:sz="4" w:space="0"/>
          <w:bottom w:val="none" w:color="000000" w:sz="4" w:space="0"/>
          <w:right w:val="none" w:color="000000" w:sz="4" w:space="0"/>
        </w:tcBorders>
      </w:tcPr>
    </w:tblStylePr>
  </w:style>
  <w:style w:type="table" w:styleId="996" w:customStyle="1">
    <w:name w:val="List Table 7 Colorful - Accent 6"/>
    <w:uiPriority w:val="99"/>
    <w:qFormat/>
    <w:tblPr>
      <w:tblBorders>
        <w:right w:val="single" w:color="FAC090" w:sz="4" w:space="0"/>
      </w:tblBorders>
      <w:tblCellMar>
        <w:left w:w="0" w:type="dxa"/>
        <w:top w:w="0" w:type="dxa"/>
        <w:right w:w="0" w:type="dxa"/>
        <w:bottom w:w="0" w:type="dxa"/>
      </w:tblCellMar>
    </w:tblPr>
    <w:tblStylePr w:type="band1Horz">
      <w:rPr>
        <w:rFonts w:ascii="Arial" w:hAnsi="Arial"/>
        <w:color w:val="fac090"/>
        <w:sz w:val="22"/>
      </w:rPr>
      <w:tcPr>
        <w:shd w:val="clear" w:color="fce4d0" w:fill="fce4d0"/>
      </w:tcPr>
    </w:tblStylePr>
    <w:tblStylePr w:type="band1Vert">
      <w:tcPr>
        <w:shd w:val="clear" w:color="fce4d0" w:fill="fce4d0"/>
      </w:tcPr>
    </w:tblStylePr>
    <w:tblStylePr w:type="band2Horz">
      <w:rPr>
        <w:rFonts w:ascii="Arial" w:hAnsi="Arial"/>
        <w:color w:val="fac090"/>
        <w:sz w:val="22"/>
      </w:rPr>
    </w:tblStylePr>
    <w:tblStylePr w:type="firstCol">
      <w:rPr>
        <w:rFonts w:ascii="Arial" w:hAnsi="Arial"/>
        <w:i/>
        <w:color w:val="fac090"/>
        <w:sz w:val="22"/>
      </w:rPr>
      <w:pPr>
        <w:jc w:val="right"/>
      </w:pPr>
      <w:tcPr>
        <w:shd w:val="clear" w:color="ffffff" w:fill="auto"/>
        <w:tcBorders>
          <w:top w:val="none" w:color="000000" w:sz="4" w:space="0"/>
          <w:left w:val="none" w:color="000000" w:sz="4" w:space="0"/>
          <w:bottom w:val="none" w:color="000000" w:sz="4" w:space="0"/>
          <w:right w:val="single" w:color="FAC090" w:sz="4" w:space="0"/>
        </w:tcBorders>
      </w:tcPr>
    </w:tblStylePr>
    <w:tblStylePr w:type="firstRow">
      <w:rPr>
        <w:rFonts w:ascii="Arial" w:hAnsi="Arial"/>
        <w:i/>
        <w:color w:val="fac090"/>
        <w:sz w:val="22"/>
      </w:rPr>
      <w:tcPr>
        <w:shd w:val="clear" w:color="ffffff" w:fill="ffffff"/>
        <w:tcBorders>
          <w:top w:val="none" w:color="000000" w:sz="4" w:space="0"/>
          <w:left w:val="none" w:color="000000" w:sz="4" w:space="0"/>
          <w:bottom w:val="single" w:color="FAC090" w:sz="4" w:space="0"/>
          <w:right w:val="none" w:color="000000" w:sz="4" w:space="0"/>
        </w:tcBorders>
      </w:tcPr>
    </w:tblStylePr>
    <w:tblStylePr w:type="lastCol">
      <w:rPr>
        <w:rFonts w:ascii="Arial" w:hAnsi="Arial"/>
        <w:i/>
        <w:color w:val="fac090"/>
        <w:sz w:val="22"/>
      </w:rPr>
      <w:tcPr>
        <w:shd w:val="clear" w:color="ffffff" w:fill="auto"/>
        <w:tcBorders>
          <w:top w:val="none" w:color="000000" w:sz="4" w:space="0"/>
          <w:left w:val="single" w:color="FAC090" w:sz="4" w:space="0"/>
          <w:bottom w:val="none" w:color="000000" w:sz="4" w:space="0"/>
          <w:right w:val="none" w:color="000000" w:sz="4" w:space="0"/>
        </w:tcBorders>
      </w:tcPr>
    </w:tblStylePr>
    <w:tblStylePr w:type="lastRow">
      <w:rPr>
        <w:rFonts w:ascii="Arial" w:hAnsi="Arial"/>
        <w:i/>
        <w:color w:val="fac090"/>
        <w:sz w:val="22"/>
      </w:rPr>
      <w:tcPr>
        <w:shd w:val="clear" w:color="ffffff" w:fill="ffffff"/>
        <w:tcBorders>
          <w:top w:val="single" w:color="FAC090" w:sz="4" w:space="0"/>
          <w:left w:val="none" w:color="000000" w:sz="4" w:space="0"/>
          <w:bottom w:val="none" w:color="000000" w:sz="4" w:space="0"/>
          <w:right w:val="none" w:color="000000" w:sz="4" w:space="0"/>
        </w:tcBorders>
      </w:tcPr>
    </w:tblStylePr>
  </w:style>
  <w:style w:type="table" w:styleId="997"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998"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bc2" w:fill="5d8bc2"/>
      </w:tcPr>
    </w:tblStylePr>
    <w:tblStylePr w:type="firstRow">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style>
  <w:style w:type="table" w:styleId="999"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795" w:fill="d99795"/>
      </w:tcPr>
    </w:tblStylePr>
    <w:tblStylePr w:type="firstRow">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style>
  <w:style w:type="table" w:styleId="1000"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fill="eaf1dd"/>
      </w:tcPr>
    </w:tblStylePr>
    <w:tblStylePr w:type="band2Vert">
      <w:rPr>
        <w:rFonts w:ascii="Arial" w:hAnsi="Arial"/>
        <w:color w:val="404040"/>
        <w:sz w:val="22"/>
      </w:rPr>
      <w:tcPr>
        <w:shd w:val="clear" w:color="eaf1dd" w:fill="eaf1dd"/>
      </w:tcPr>
    </w:tblStylePr>
    <w:tblStylePr w:type="firstCol">
      <w:rPr>
        <w:rFonts w:ascii="Arial" w:hAnsi="Arial"/>
        <w:color w:val="f2f2f2"/>
        <w:sz w:val="22"/>
      </w:rPr>
      <w:tcPr>
        <w:shd w:val="clear" w:color="9bbb59" w:fill="9bbb59"/>
      </w:tcPr>
    </w:tblStylePr>
    <w:tblStylePr w:type="firstRow">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style>
  <w:style w:type="table" w:styleId="1001"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1002"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1003"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fill="fde9d9"/>
      </w:tcPr>
    </w:tblStylePr>
    <w:tblStylePr w:type="band2Vert">
      <w:rPr>
        <w:rFonts w:ascii="Arial" w:hAnsi="Arial"/>
        <w:color w:val="404040"/>
        <w:sz w:val="22"/>
      </w:rPr>
      <w:tcPr>
        <w:shd w:val="clear" w:color="fde9d9" w:fill="fde9d9"/>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1004" w:customStyle="1">
    <w:name w:val="Bordered &amp; Lined - Accent"/>
    <w:uiPriority w:val="99"/>
    <w:qFormat/>
    <w:rPr>
      <w:color w:val="404040"/>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1005" w:customStyle="1">
    <w:name w:val="Bordered &amp; Lined - Accent 1"/>
    <w:uiPriority w:val="99"/>
    <w:qFormat/>
    <w:rPr>
      <w:color w:val="404040"/>
    </w:rPr>
    <w:tblPr>
      <w:tblBorders>
        <w:top w:val="single" w:color="2A4B71" w:sz="4" w:space="0"/>
        <w:left w:val="single" w:color="2A4B71" w:sz="4" w:space="0"/>
        <w:bottom w:val="single" w:color="2A4B71" w:sz="4" w:space="0"/>
        <w:right w:val="single" w:color="2A4B71" w:sz="4" w:space="0"/>
        <w:insideH w:val="single" w:color="2A4B71" w:sz="4" w:space="0"/>
        <w:insideV w:val="single" w:color="2A4B71"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bc2" w:fill="5d8bc2"/>
      </w:tcPr>
    </w:tblStylePr>
    <w:tblStylePr w:type="firstRow">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style>
  <w:style w:type="table" w:styleId="1006" w:customStyle="1">
    <w:name w:val="Bordered &amp; Lined - Accent 2"/>
    <w:uiPriority w:val="99"/>
    <w:qFormat/>
    <w:rPr>
      <w:color w:val="404040"/>
    </w:rPr>
    <w:tblPr>
      <w:tblBorders>
        <w:top w:val="single" w:color="742B29" w:sz="4" w:space="0"/>
        <w:left w:val="single" w:color="742B29" w:sz="4" w:space="0"/>
        <w:bottom w:val="single" w:color="742B29" w:sz="4" w:space="0"/>
        <w:right w:val="single" w:color="742B29" w:sz="4" w:space="0"/>
        <w:insideH w:val="single" w:color="742B29" w:sz="4" w:space="0"/>
        <w:insideV w:val="single" w:color="742B2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795" w:fill="d99795"/>
      </w:tcPr>
    </w:tblStylePr>
    <w:tblStylePr w:type="firstRow">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style>
  <w:style w:type="table" w:styleId="1007" w:customStyle="1">
    <w:name w:val="Bordered &amp; Lined - Accent 3"/>
    <w:uiPriority w:val="99"/>
    <w:qFormat/>
    <w:rPr>
      <w:color w:val="404040"/>
    </w:rPr>
    <w:tblPr>
      <w:tblBorders>
        <w:top w:val="single" w:color="5C722E" w:sz="4" w:space="0"/>
        <w:left w:val="single" w:color="5C722E" w:sz="4" w:space="0"/>
        <w:bottom w:val="single" w:color="5C722E" w:sz="4" w:space="0"/>
        <w:right w:val="single" w:color="5C722E" w:sz="4" w:space="0"/>
        <w:insideH w:val="single" w:color="5C722E" w:sz="4" w:space="0"/>
        <w:insideV w:val="single" w:color="5C722E"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fill="eaf1dd"/>
      </w:tcPr>
    </w:tblStylePr>
    <w:tblStylePr w:type="band2Vert">
      <w:rPr>
        <w:rFonts w:ascii="Arial" w:hAnsi="Arial"/>
        <w:color w:val="404040"/>
        <w:sz w:val="22"/>
      </w:rPr>
      <w:tcPr>
        <w:shd w:val="clear" w:color="eaf1dd" w:fill="eaf1dd"/>
      </w:tcPr>
    </w:tblStylePr>
    <w:tblStylePr w:type="firstCol">
      <w:rPr>
        <w:rFonts w:ascii="Arial" w:hAnsi="Arial"/>
        <w:color w:val="f2f2f2"/>
        <w:sz w:val="22"/>
      </w:rPr>
      <w:tcPr>
        <w:shd w:val="clear" w:color="9bbb59" w:fill="9bbb59"/>
      </w:tcPr>
    </w:tblStylePr>
    <w:tblStylePr w:type="firstRow">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style>
  <w:style w:type="table" w:styleId="1008"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1009"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1010"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fill="fde9d9"/>
      </w:tcPr>
    </w:tblStylePr>
    <w:tblStylePr w:type="band2Vert">
      <w:rPr>
        <w:rFonts w:ascii="Arial" w:hAnsi="Arial"/>
        <w:color w:val="404040"/>
        <w:sz w:val="22"/>
      </w:rPr>
      <w:tcPr>
        <w:shd w:val="clear" w:color="fde9d9" w:fill="fde9d9"/>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1011" w:customStyle="1">
    <w:name w:val="Bordered"/>
    <w:uiPriority w:val="99"/>
    <w:qFormat/>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sz="4" w:space="0"/>
          <w:left w:val="single" w:color="D8D8D8" w:sz="4" w:space="0"/>
          <w:bottom w:val="single" w:color="D8D8D8" w:sz="4" w:space="0"/>
          <w:right w:val="single" w:color="D8D8D8"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sz="12" w:space="0"/>
        </w:tcBorders>
      </w:tcPr>
    </w:tblStylePr>
    <w:tblStylePr w:type="lastCol">
      <w:rPr>
        <w:rFonts w:ascii="Arial" w:hAnsi="Arial"/>
        <w:color w:val="404040"/>
        <w:sz w:val="22"/>
      </w:rPr>
      <w:tcPr>
        <w:tcBorders>
          <w:left w:val="single" w:color="7E7E7E" w:sz="12" w:space="0"/>
        </w:tcBorders>
      </w:tcPr>
    </w:tblStylePr>
    <w:tblStylePr w:type="lastRow">
      <w:rPr>
        <w:rFonts w:ascii="Arial" w:hAnsi="Arial"/>
        <w:color w:val="404040"/>
        <w:sz w:val="22"/>
      </w:rPr>
      <w:tcPr>
        <w:tcBorders>
          <w:top w:val="single" w:color="7E7E7E" w:sz="12" w:space="0"/>
        </w:tcBorders>
      </w:tcPr>
    </w:tblStylePr>
  </w:style>
  <w:style w:type="table" w:styleId="1012" w:customStyle="1">
    <w:name w:val="Bordered - Accent 1"/>
    <w:uiPriority w:val="99"/>
    <w:qFormat/>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sz="12" w:space="0"/>
        </w:tcBorders>
      </w:tcPr>
    </w:tblStylePr>
    <w:tblStylePr w:type="lastCol">
      <w:rPr>
        <w:rFonts w:ascii="Arial" w:hAnsi="Arial"/>
        <w:color w:val="404040"/>
        <w:sz w:val="22"/>
      </w:rPr>
      <w:tcPr>
        <w:tcBorders>
          <w:left w:val="single" w:color="4F81BD" w:sz="12" w:space="0"/>
        </w:tcBorders>
      </w:tcPr>
    </w:tblStylePr>
    <w:tblStylePr w:type="lastRow">
      <w:rPr>
        <w:rFonts w:ascii="Arial" w:hAnsi="Arial"/>
        <w:color w:val="404040"/>
        <w:sz w:val="22"/>
      </w:rPr>
      <w:tcPr>
        <w:tcBorders>
          <w:top w:val="single" w:color="4F81BD" w:sz="12" w:space="0"/>
        </w:tcBorders>
      </w:tcPr>
    </w:tblStylePr>
  </w:style>
  <w:style w:type="table" w:styleId="1013" w:customStyle="1">
    <w:name w:val="Bordered - Accent 2"/>
    <w:uiPriority w:val="99"/>
    <w:qFormat/>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sz="12" w:space="0"/>
        </w:tcBorders>
      </w:tcPr>
    </w:tblStylePr>
    <w:tblStylePr w:type="lastCol">
      <w:rPr>
        <w:rFonts w:ascii="Arial" w:hAnsi="Arial"/>
        <w:color w:val="404040"/>
        <w:sz w:val="22"/>
      </w:rPr>
      <w:tcPr>
        <w:tcBorders>
          <w:left w:val="single" w:color="D99795" w:sz="12" w:space="0"/>
        </w:tcBorders>
      </w:tcPr>
    </w:tblStylePr>
    <w:tblStylePr w:type="lastRow">
      <w:rPr>
        <w:rFonts w:ascii="Arial" w:hAnsi="Arial"/>
        <w:color w:val="404040"/>
        <w:sz w:val="22"/>
      </w:rPr>
      <w:tcPr>
        <w:tcBorders>
          <w:top w:val="single" w:color="D99795" w:sz="12" w:space="0"/>
        </w:tcBorders>
      </w:tcPr>
    </w:tblStylePr>
  </w:style>
  <w:style w:type="table" w:styleId="1014"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sz="12" w:space="0"/>
        </w:tcBorders>
      </w:tcPr>
    </w:tblStylePr>
    <w:tblStylePr w:type="lastCol">
      <w:rPr>
        <w:rFonts w:ascii="Arial" w:hAnsi="Arial"/>
        <w:color w:val="404040"/>
        <w:sz w:val="22"/>
      </w:rPr>
      <w:tcPr>
        <w:tcBorders>
          <w:left w:val="single" w:color="C3D69C" w:sz="12" w:space="0"/>
        </w:tcBorders>
      </w:tcPr>
    </w:tblStylePr>
    <w:tblStylePr w:type="lastRow">
      <w:rPr>
        <w:rFonts w:ascii="Arial" w:hAnsi="Arial"/>
        <w:color w:val="404040"/>
        <w:sz w:val="22"/>
      </w:rPr>
      <w:tcPr>
        <w:tcBorders>
          <w:top w:val="single" w:color="C3D69C" w:sz="12" w:space="0"/>
        </w:tcBorders>
      </w:tcPr>
    </w:tblStylePr>
  </w:style>
  <w:style w:type="table" w:styleId="1015"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sz="12" w:space="0"/>
        </w:tcBorders>
      </w:tcPr>
    </w:tblStylePr>
    <w:tblStylePr w:type="lastCol">
      <w:rPr>
        <w:rFonts w:ascii="Arial" w:hAnsi="Arial"/>
        <w:color w:val="404040"/>
        <w:sz w:val="22"/>
      </w:rPr>
      <w:tcPr>
        <w:tcBorders>
          <w:left w:val="single" w:color="B2A1C6" w:sz="12" w:space="0"/>
        </w:tcBorders>
      </w:tcPr>
    </w:tblStylePr>
    <w:tblStylePr w:type="lastRow">
      <w:rPr>
        <w:rFonts w:ascii="Arial" w:hAnsi="Arial"/>
        <w:color w:val="404040"/>
        <w:sz w:val="22"/>
      </w:rPr>
      <w:tcPr>
        <w:tcBorders>
          <w:top w:val="single" w:color="B2A1C6" w:sz="12" w:space="0"/>
        </w:tcBorders>
      </w:tcPr>
    </w:tblStylePr>
  </w:style>
  <w:style w:type="table" w:styleId="1016" w:customStyle="1">
    <w:name w:val="Bordered - Accent 5"/>
    <w:uiPriority w:val="99"/>
    <w:qFormat/>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sz="12" w:space="0"/>
        </w:tcBorders>
      </w:tcPr>
    </w:tblStylePr>
    <w:tblStylePr w:type="lastCol">
      <w:rPr>
        <w:rFonts w:ascii="Arial" w:hAnsi="Arial"/>
        <w:color w:val="404040"/>
        <w:sz w:val="22"/>
      </w:rPr>
      <w:tcPr>
        <w:tcBorders>
          <w:left w:val="single" w:color="92CCDC" w:sz="12" w:space="0"/>
        </w:tcBorders>
      </w:tcPr>
    </w:tblStylePr>
    <w:tblStylePr w:type="lastRow">
      <w:rPr>
        <w:rFonts w:ascii="Arial" w:hAnsi="Arial"/>
        <w:color w:val="404040"/>
        <w:sz w:val="22"/>
      </w:rPr>
      <w:tcPr>
        <w:tcBorders>
          <w:top w:val="single" w:color="92CCDC" w:sz="12" w:space="0"/>
        </w:tcBorders>
      </w:tcPr>
    </w:tblStylePr>
  </w:style>
  <w:style w:type="table" w:styleId="1017"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sz="12" w:space="0"/>
        </w:tcBorders>
      </w:tcPr>
    </w:tblStylePr>
    <w:tblStylePr w:type="lastCol">
      <w:rPr>
        <w:rFonts w:ascii="Arial" w:hAnsi="Arial"/>
        <w:color w:val="404040"/>
        <w:sz w:val="22"/>
      </w:rPr>
      <w:tcPr>
        <w:tcBorders>
          <w:left w:val="single" w:color="FAC090" w:sz="12" w:space="0"/>
        </w:tcBorders>
      </w:tcPr>
    </w:tblStylePr>
    <w:tblStylePr w:type="lastRow">
      <w:rPr>
        <w:rFonts w:ascii="Arial" w:hAnsi="Arial"/>
        <w:color w:val="404040"/>
        <w:sz w:val="22"/>
      </w:rPr>
      <w:tcPr>
        <w:tcBorders>
          <w:top w:val="single" w:color="FAC090" w:sz="12" w:space="0"/>
        </w:tcBorders>
      </w:tcPr>
    </w:tblStylePr>
  </w:style>
  <w:style w:type="character" w:styleId="1018" w:customStyle="1">
    <w:name w:val="Footnote Text Char"/>
    <w:uiPriority w:val="99"/>
    <w:qFormat/>
    <w:rPr>
      <w:sz w:val="18"/>
    </w:rPr>
  </w:style>
  <w:style w:type="character" w:styleId="1019" w:customStyle="1">
    <w:name w:val="尾注文本 字符"/>
    <w:link w:val="796"/>
    <w:uiPriority w:val="99"/>
    <w:qFormat/>
    <w:rPr>
      <w:sz w:val="20"/>
    </w:rPr>
  </w:style>
  <w:style w:type="paragraph" w:styleId="1020" w:customStyle="1">
    <w:name w:val="TOC 标题11"/>
    <w:uiPriority w:val="39"/>
    <w:qFormat/>
    <w:rPr>
      <w:rFonts w:hint="default" w:ascii="Times New Roman" w:hAnsi="Times New Roman" w:eastAsia="宋体" w:cs="Times New Roman"/>
      <w:lang w:val="en-US" w:eastAsia="zh-CN" w:bidi="ar-SA"/>
    </w:rPr>
  </w:style>
  <w:style w:type="character" w:styleId="1021" w:customStyle="1">
    <w:name w:val="标题 1 字符"/>
    <w:link w:val="768"/>
    <w:uiPriority w:val="99"/>
    <w:qFormat/>
    <w:rPr>
      <w:rFonts w:ascii="楷体_GB2312" w:hAnsi="Times New Roman" w:eastAsia="楷体_GB2312" w:cs="Times New Roman"/>
      <w:b/>
      <w:sz w:val="28"/>
      <w:szCs w:val="20"/>
    </w:rPr>
  </w:style>
  <w:style w:type="character" w:styleId="1022" w:customStyle="1">
    <w:name w:val="标题 2 字符"/>
    <w:link w:val="769"/>
    <w:uiPriority w:val="99"/>
    <w:qFormat/>
    <w:rPr>
      <w:rFonts w:ascii="楷体_GB2312" w:hAnsi="Times New Roman" w:eastAsia="楷体_GB2312" w:cs="Times New Roman"/>
      <w:b/>
      <w:bCs/>
      <w:sz w:val="18"/>
      <w:szCs w:val="20"/>
    </w:rPr>
  </w:style>
  <w:style w:type="character" w:styleId="1023" w:customStyle="1">
    <w:name w:val="标题 3 字符"/>
    <w:link w:val="770"/>
    <w:uiPriority w:val="99"/>
    <w:qFormat/>
    <w:rPr>
      <w:rFonts w:ascii="Times New Roman" w:hAnsi="Times New Roman" w:eastAsia="楷体_GB2312" w:cs="Times New Roman"/>
      <w:b/>
      <w:bCs/>
      <w:sz w:val="15"/>
      <w:szCs w:val="20"/>
    </w:rPr>
  </w:style>
  <w:style w:type="character" w:styleId="1024" w:customStyle="1">
    <w:name w:val="标题 4 字符"/>
    <w:link w:val="771"/>
    <w:uiPriority w:val="99"/>
    <w:qFormat/>
    <w:rPr>
      <w:rFonts w:ascii="Times New Roman" w:hAnsi="Times New Roman" w:eastAsia="楷体_GB2312" w:cs="Times New Roman"/>
      <w:b/>
      <w:bCs/>
      <w:sz w:val="13"/>
      <w:szCs w:val="20"/>
    </w:rPr>
  </w:style>
  <w:style w:type="character" w:styleId="1025" w:customStyle="1">
    <w:name w:val="标题 5 字符"/>
    <w:link w:val="772"/>
    <w:uiPriority w:val="99"/>
    <w:qFormat/>
    <w:rPr>
      <w:rFonts w:ascii="楷体_GB2312" w:hAnsi="Times New Roman" w:eastAsia="楷体_GB2312" w:cs="Times New Roman"/>
      <w:bCs/>
      <w:sz w:val="28"/>
      <w:szCs w:val="20"/>
    </w:rPr>
  </w:style>
  <w:style w:type="character" w:styleId="1026" w:customStyle="1">
    <w:name w:val="正文缩进 字符"/>
    <w:link w:val="782"/>
    <w:uiPriority w:val="0"/>
    <w:qFormat/>
    <w:rPr>
      <w:rFonts w:ascii="Times New Roman" w:hAnsi="Times New Roman"/>
      <w:sz w:val="21"/>
      <w:szCs w:val="24"/>
    </w:rPr>
  </w:style>
  <w:style w:type="character" w:styleId="1027" w:customStyle="1">
    <w:name w:val="文档结构图 字符"/>
    <w:link w:val="785"/>
    <w:uiPriority w:val="99"/>
    <w:qFormat/>
    <w:rPr>
      <w:rFonts w:ascii="Times New Roman" w:hAnsi="Times New Roman" w:eastAsia="宋体" w:cs="Times New Roman"/>
      <w:szCs w:val="20"/>
      <w:shd w:val="clear" w:color="auto" w:fill="000080"/>
    </w:rPr>
  </w:style>
  <w:style w:type="character" w:styleId="1028" w:customStyle="1">
    <w:name w:val="批注文字 字符"/>
    <w:link w:val="786"/>
    <w:uiPriority w:val="0"/>
    <w:qFormat/>
    <w:rPr>
      <w:rFonts w:ascii="Times New Roman" w:hAnsi="Times New Roman" w:eastAsia="宋体" w:cs="Times New Roman"/>
      <w:szCs w:val="24"/>
    </w:rPr>
  </w:style>
  <w:style w:type="character" w:styleId="1029" w:customStyle="1">
    <w:name w:val="正文文本 字符"/>
    <w:link w:val="787"/>
    <w:uiPriority w:val="99"/>
    <w:qFormat/>
    <w:rPr>
      <w:rFonts w:ascii="华文中宋" w:hAnsi="Times New Roman" w:eastAsia="华文中宋" w:cs="Times New Roman"/>
      <w:bCs/>
      <w:sz w:val="28"/>
      <w:szCs w:val="20"/>
    </w:rPr>
  </w:style>
  <w:style w:type="character" w:styleId="1030" w:customStyle="1">
    <w:name w:val="正文文本缩进 字符"/>
    <w:link w:val="789"/>
    <w:uiPriority w:val="0"/>
    <w:qFormat/>
    <w:rPr>
      <w:rFonts w:ascii="Times New Roman" w:hAnsi="Times New Roman" w:eastAsia="宋体" w:cs="Times New Roman"/>
      <w:b/>
      <w:sz w:val="30"/>
      <w:szCs w:val="20"/>
    </w:rPr>
  </w:style>
  <w:style w:type="character" w:styleId="1031" w:customStyle="1">
    <w:name w:val="纯文本 字符"/>
    <w:link w:val="792"/>
    <w:uiPriority w:val="0"/>
    <w:qFormat/>
    <w:rPr>
      <w:rFonts w:ascii="宋体" w:hAnsi="Courier New"/>
      <w:sz w:val="21"/>
      <w:szCs w:val="21"/>
    </w:rPr>
  </w:style>
  <w:style w:type="character" w:styleId="1032" w:customStyle="1">
    <w:name w:val="日期 字符"/>
    <w:link w:val="794"/>
    <w:uiPriority w:val="99"/>
    <w:qFormat/>
    <w:rPr>
      <w:rFonts w:ascii="Times New Roman" w:hAnsi="Times New Roman" w:eastAsia="黑体" w:cs="Times New Roman"/>
      <w:b/>
      <w:sz w:val="36"/>
      <w:szCs w:val="20"/>
    </w:rPr>
  </w:style>
  <w:style w:type="character" w:styleId="1033" w:customStyle="1">
    <w:name w:val="正文文本缩进 2 字符"/>
    <w:link w:val="795"/>
    <w:uiPriority w:val="99"/>
    <w:qFormat/>
    <w:rPr>
      <w:rFonts w:ascii="楷体_GB2312" w:hAnsi="Times New Roman" w:eastAsia="楷体_GB2312" w:cs="Times New Roman"/>
      <w:b/>
      <w:sz w:val="28"/>
      <w:szCs w:val="20"/>
    </w:rPr>
  </w:style>
  <w:style w:type="character" w:styleId="1034" w:customStyle="1">
    <w:name w:val="批注框文本 字符"/>
    <w:link w:val="797"/>
    <w:uiPriority w:val="99"/>
    <w:qFormat/>
    <w:rPr>
      <w:rFonts w:ascii="Times New Roman" w:hAnsi="Times New Roman" w:eastAsia="宋体" w:cs="Times New Roman"/>
      <w:sz w:val="18"/>
      <w:szCs w:val="18"/>
    </w:rPr>
  </w:style>
  <w:style w:type="character" w:styleId="1035" w:customStyle="1">
    <w:name w:val="页脚 字符"/>
    <w:link w:val="798"/>
    <w:uiPriority w:val="99"/>
    <w:qFormat/>
    <w:rPr>
      <w:sz w:val="18"/>
      <w:szCs w:val="18"/>
    </w:rPr>
  </w:style>
  <w:style w:type="character" w:styleId="1036" w:customStyle="1">
    <w:name w:val="页眉 字符"/>
    <w:link w:val="799"/>
    <w:uiPriority w:val="0"/>
    <w:qFormat/>
    <w:rPr>
      <w:sz w:val="18"/>
      <w:szCs w:val="18"/>
    </w:rPr>
  </w:style>
  <w:style w:type="character" w:styleId="1037" w:customStyle="1">
    <w:name w:val="脚注文本 字符"/>
    <w:link w:val="804"/>
    <w:uiPriority w:val="0"/>
    <w:qFormat/>
    <w:rPr>
      <w:rFonts w:ascii="Times New Roman" w:hAnsi="Times New Roman"/>
      <w:sz w:val="18"/>
    </w:rPr>
  </w:style>
  <w:style w:type="character" w:styleId="1038" w:customStyle="1">
    <w:name w:val="正文文本缩进 3 字符"/>
    <w:link w:val="806"/>
    <w:uiPriority w:val="99"/>
    <w:qFormat/>
    <w:rPr>
      <w:rFonts w:ascii="Times New Roman" w:hAnsi="Times New Roman" w:eastAsia="宋体" w:cs="Times New Roman"/>
      <w:szCs w:val="20"/>
    </w:rPr>
  </w:style>
  <w:style w:type="character" w:styleId="1039" w:customStyle="1">
    <w:name w:val="正文文本 2 字符"/>
    <w:link w:val="809"/>
    <w:uiPriority w:val="99"/>
    <w:qFormat/>
    <w:rPr>
      <w:rFonts w:ascii="Times New Roman" w:hAnsi="Times New Roman" w:eastAsia="宋体" w:cs="Times New Roman"/>
      <w:szCs w:val="20"/>
    </w:rPr>
  </w:style>
  <w:style w:type="character" w:styleId="1040" w:customStyle="1">
    <w:name w:val="普通(网站) 字符"/>
    <w:link w:val="810"/>
    <w:uiPriority w:val="0"/>
    <w:qFormat/>
    <w:rPr>
      <w:rFonts w:ascii="宋体" w:hAnsi="宋体"/>
      <w:sz w:val="24"/>
      <w:szCs w:val="24"/>
    </w:rPr>
  </w:style>
  <w:style w:type="character" w:styleId="1041" w:customStyle="1">
    <w:name w:val="批注主题 字符"/>
    <w:link w:val="812"/>
    <w:uiPriority w:val="0"/>
    <w:qFormat/>
    <w:rPr>
      <w:rFonts w:ascii="Times New Roman" w:hAnsi="Times New Roman" w:eastAsia="宋体" w:cs="Times New Roman"/>
      <w:b/>
      <w:bCs/>
      <w:szCs w:val="24"/>
    </w:rPr>
  </w:style>
  <w:style w:type="character" w:styleId="1042" w:customStyle="1">
    <w:name w:val="正文文本首行缩进 字符"/>
    <w:link w:val="813"/>
    <w:uiPriority w:val="99"/>
    <w:qFormat/>
    <w:rPr>
      <w:rFonts w:ascii="Times New Roman" w:hAnsi="Times New Roman" w:eastAsia="华文中宋" w:cs="Times New Roman"/>
      <w:sz w:val="21"/>
      <w:szCs w:val="20"/>
    </w:rPr>
  </w:style>
  <w:style w:type="character" w:styleId="1043" w:customStyle="1">
    <w:name w:val="批注框文本 Char1"/>
    <w:uiPriority w:val="99"/>
    <w:qFormat/>
    <w:rPr>
      <w:rFonts w:ascii="Times New Roman" w:hAnsi="Times New Roman" w:eastAsia="宋体" w:cs="Times New Roman"/>
      <w:sz w:val="18"/>
      <w:szCs w:val="18"/>
    </w:rPr>
  </w:style>
  <w:style w:type="character" w:styleId="1044" w:customStyle="1">
    <w:name w:val="正文文本 2 Char1"/>
    <w:uiPriority w:val="99"/>
    <w:qFormat/>
    <w:rPr>
      <w:rFonts w:ascii="Times New Roman" w:hAnsi="Times New Roman" w:eastAsia="宋体" w:cs="Times New Roman"/>
      <w:szCs w:val="20"/>
    </w:rPr>
  </w:style>
  <w:style w:type="character" w:styleId="1045" w:customStyle="1">
    <w:name w:val="文档结构图 Char1"/>
    <w:uiPriority w:val="99"/>
    <w:qFormat/>
    <w:rPr>
      <w:rFonts w:ascii="宋体" w:hAnsi="Times New Roman" w:eastAsia="宋体" w:cs="Times New Roman"/>
      <w:sz w:val="18"/>
      <w:szCs w:val="18"/>
    </w:rPr>
  </w:style>
  <w:style w:type="character" w:styleId="1046" w:customStyle="1">
    <w:name w:val="正文文本缩进 Char1"/>
    <w:uiPriority w:val="99"/>
    <w:qFormat/>
    <w:rPr>
      <w:rFonts w:ascii="Times New Roman" w:hAnsi="Times New Roman" w:eastAsia="宋体" w:cs="Times New Roman"/>
      <w:szCs w:val="20"/>
    </w:rPr>
  </w:style>
  <w:style w:type="character" w:styleId="1047" w:customStyle="1">
    <w:name w:val="15"/>
    <w:uiPriority w:val="0"/>
    <w:qFormat/>
    <w:rPr>
      <w:rFonts w:ascii="Times New Roman" w:hAnsi="Times New Roman" w:cs="Times New Roman"/>
    </w:rPr>
  </w:style>
  <w:style w:type="character" w:styleId="1048" w:customStyle="1">
    <w:name w:val="正文文本缩进 2 Char1"/>
    <w:uiPriority w:val="99"/>
    <w:qFormat/>
    <w:rPr>
      <w:rFonts w:ascii="Times New Roman" w:hAnsi="Times New Roman" w:eastAsia="宋体" w:cs="Times New Roman"/>
      <w:szCs w:val="20"/>
    </w:rPr>
  </w:style>
  <w:style w:type="character" w:styleId="1049" w:customStyle="1">
    <w:name w:val="日期 Char1"/>
    <w:uiPriority w:val="99"/>
    <w:qFormat/>
    <w:rPr>
      <w:rFonts w:ascii="Times New Roman" w:hAnsi="Times New Roman" w:eastAsia="宋体" w:cs="Times New Roman"/>
      <w:szCs w:val="20"/>
    </w:rPr>
  </w:style>
  <w:style w:type="character" w:styleId="1050" w:customStyle="1">
    <w:name w:val="正文文本缩进 3 Char1"/>
    <w:uiPriority w:val="99"/>
    <w:qFormat/>
    <w:rPr>
      <w:rFonts w:ascii="Times New Roman" w:hAnsi="Times New Roman" w:eastAsia="宋体" w:cs="Times New Roman"/>
      <w:sz w:val="16"/>
      <w:szCs w:val="16"/>
    </w:rPr>
  </w:style>
  <w:style w:type="paragraph" w:styleId="1051">
    <w:name w:val="List Paragraph"/>
    <w:basedOn w:val="767"/>
    <w:uiPriority w:val="0"/>
    <w:qFormat/>
    <w:pPr>
      <w:ind w:firstLine="420"/>
    </w:pPr>
    <w:rPr>
      <w:szCs w:val="21"/>
    </w:rPr>
  </w:style>
  <w:style w:type="paragraph" w:styleId="1052" w:customStyle="1">
    <w:name w:val="普通文字"/>
    <w:basedOn w:val="767"/>
    <w:next w:val="767"/>
    <w:uiPriority w:val="0"/>
    <w:qFormat/>
    <w:rPr>
      <w:rFonts w:ascii="宋体"/>
      <w:sz w:val="24"/>
    </w:rPr>
  </w:style>
  <w:style w:type="paragraph" w:styleId="1053" w:customStyle="1">
    <w:name w:val="样式 小四 段前: 5 磅 段后: 5 磅 首行缩进:  2 字符"/>
    <w:basedOn w:val="767"/>
    <w:uiPriority w:val="0"/>
    <w:qFormat/>
    <w:pPr>
      <w:jc w:val="center"/>
      <w:spacing w:line="360" w:lineRule="auto"/>
    </w:pPr>
    <w:rPr>
      <w:rFonts w:ascii="宋体" w:hAnsi="宋体"/>
      <w:bCs/>
      <w:color w:val="ff0000"/>
      <w:sz w:val="24"/>
      <w:szCs w:val="24"/>
    </w:rPr>
  </w:style>
  <w:style w:type="paragraph" w:styleId="1054" w:customStyle="1">
    <w:name w:val="列出段落1"/>
    <w:basedOn w:val="767"/>
    <w:uiPriority w:val="0"/>
    <w:qFormat/>
    <w:pPr>
      <w:ind w:firstLine="420"/>
    </w:pPr>
    <w:rPr>
      <w:szCs w:val="24"/>
    </w:rPr>
  </w:style>
  <w:style w:type="paragraph" w:styleId="1055" w:customStyle="1">
    <w:name w:val="段"/>
    <w:next w:val="767"/>
    <w:uiPriority w:val="0"/>
    <w:qFormat/>
    <w:pPr>
      <w:ind w:firstLine="200"/>
      <w:jc w:val="both"/>
    </w:pPr>
    <w:rPr>
      <w:rFonts w:hint="default" w:ascii="宋体" w:hAnsi="Times New Roman" w:eastAsia="宋体" w:cs="Times New Roman"/>
      <w:sz w:val="21"/>
      <w:lang w:val="en-US" w:eastAsia="zh-CN" w:bidi="ar-SA"/>
    </w:rPr>
  </w:style>
  <w:style w:type="paragraph" w:styleId="1056" w:customStyle="1">
    <w:name w:val="Default"/>
    <w:uiPriority w:val="0"/>
    <w:qFormat/>
    <w:pPr>
      <w:widowControl w:val="off"/>
    </w:pPr>
    <w:rPr>
      <w:rFonts w:hint="default" w:ascii="Times New Roman" w:hAnsi="Times New Roman" w:eastAsia="宋体" w:cs="Times New Roman"/>
      <w:color w:val="000000"/>
      <w:sz w:val="24"/>
      <w:szCs w:val="24"/>
      <w:lang w:val="en-US" w:eastAsia="zh-CN" w:bidi="ar-SA"/>
    </w:rPr>
  </w:style>
  <w:style w:type="paragraph" w:styleId="1057" w:customStyle="1">
    <w:name w:val="首行缩进"/>
    <w:uiPriority w:val="0"/>
    <w:qFormat/>
    <w:pPr>
      <w:ind w:firstLine="480"/>
      <w:jc w:val="both"/>
      <w:widowControl w:val="off"/>
    </w:pPr>
    <w:rPr>
      <w:rFonts w:hint="default" w:ascii="Times New Roman" w:hAnsi="Times New Roman" w:eastAsia="宋体" w:cs="Times New Roman"/>
      <w:sz w:val="21"/>
      <w:lang w:val="zh-CN" w:eastAsia="zh-CN" w:bidi="ar-SA"/>
    </w:rPr>
  </w:style>
  <w:style w:type="paragraph" w:styleId="1058" w:customStyle="1">
    <w:name w:val="Other|1"/>
    <w:basedOn w:val="767"/>
    <w:uiPriority w:val="0"/>
    <w:qFormat/>
    <w:pPr>
      <w:ind w:firstLine="220"/>
    </w:pPr>
    <w:rPr>
      <w:rFonts w:ascii="宋体" w:hAnsi="宋体" w:cs="宋体"/>
      <w:sz w:val="20"/>
      <w:lang w:val="zh-TW" w:eastAsia="zh-TW" w:bidi="zh-TW"/>
    </w:rPr>
  </w:style>
  <w:style w:type="character" w:styleId="1059" w:customStyle="1">
    <w:name w:val="font11"/>
    <w:uiPriority w:val="0"/>
    <w:qFormat/>
    <w:rPr>
      <w:rFonts w:hint="eastAsia" w:ascii="宋体" w:hAnsi="宋体" w:eastAsia="宋体" w:cs="宋体"/>
      <w:color w:val="333333"/>
      <w:sz w:val="20"/>
      <w:szCs w:val="20"/>
      <w:u w:val="none"/>
    </w:rPr>
  </w:style>
  <w:style w:type="paragraph" w:styleId="1060" w:customStyle="1">
    <w:name w:val="纯文本1"/>
    <w:basedOn w:val="767"/>
    <w:uiPriority w:val="0"/>
    <w:qFormat/>
    <w:rPr>
      <w:rFonts w:ascii="宋体" w:hAnsi="Courier New" w:eastAsia="楷体_GB2312"/>
      <w:sz w:val="26"/>
    </w:rPr>
  </w:style>
  <w:style w:type="character" w:styleId="1061" w:customStyle="1">
    <w:name w:val="font21"/>
    <w:uiPriority w:val="0"/>
    <w:qFormat/>
    <w:rPr>
      <w:rFonts w:hint="eastAsia" w:ascii="宋体" w:hAnsi="宋体" w:eastAsia="宋体" w:cs="宋体"/>
      <w:color w:val="000000"/>
      <w:sz w:val="20"/>
      <w:szCs w:val="20"/>
      <w:u w:val="none"/>
    </w:rPr>
  </w:style>
  <w:style w:type="character" w:styleId="1062" w:customStyle="1">
    <w:name w:val="font01"/>
    <w:uiPriority w:val="0"/>
    <w:qFormat/>
    <w:rPr>
      <w:rFonts w:ascii="Tahoma" w:hAnsi="Tahoma" w:eastAsia="Tahoma" w:cs="Tahoma"/>
      <w:color w:val="333333"/>
      <w:sz w:val="20"/>
      <w:szCs w:val="20"/>
      <w:u w:val="none"/>
    </w:rPr>
  </w:style>
  <w:style w:type="paragraph" w:styleId="1063" w:customStyle="1">
    <w:name w:val="列出段落2"/>
    <w:basedOn w:val="767"/>
    <w:uiPriority w:val="34"/>
    <w:qFormat/>
    <w:pPr>
      <w:ind w:firstLine="420"/>
    </w:pPr>
  </w:style>
  <w:style w:type="paragraph" w:styleId="1064" w:customStyle="1">
    <w:name w:val="正文文本2"/>
    <w:basedOn w:val="767"/>
    <w:next w:val="780"/>
    <w:uiPriority w:val="0"/>
    <w:qFormat/>
    <w:rPr>
      <w:rFonts w:ascii="华文中宋" w:eastAsia="华文中宋"/>
      <w:bCs/>
      <w:sz w:val="28"/>
    </w:rPr>
  </w:style>
  <w:style w:type="paragraph" w:styleId="1065" w:customStyle="1">
    <w:name w:val="页脚11"/>
    <w:basedOn w:val="767"/>
    <w:next w:val="767"/>
    <w:uiPriority w:val="99"/>
    <w:qFormat/>
    <w:pPr>
      <w:jc w:val="left"/>
      <w:tabs>
        <w:tab w:val="center" w:pos="4153" w:leader="none"/>
        <w:tab w:val="right" w:pos="8306" w:leader="none"/>
      </w:tabs>
    </w:pPr>
    <w:rPr>
      <w:sz w:val="18"/>
      <w:szCs w:val="18"/>
    </w:rPr>
  </w:style>
  <w:style w:type="character" w:styleId="1066" w:customStyle="1">
    <w:name w:val="font51"/>
    <w:basedOn w:val="777"/>
    <w:uiPriority w:val="0"/>
    <w:qFormat/>
    <w:rPr>
      <w:rFonts w:hint="eastAsia" w:ascii="宋体" w:hAnsi="宋体" w:eastAsia="宋体" w:cs="宋体"/>
      <w:color w:val="ff0000"/>
      <w:sz w:val="22"/>
      <w:szCs w:val="22"/>
      <w:u w:val="none"/>
    </w:rPr>
  </w:style>
  <w:style w:type="character" w:styleId="1067" w:customStyle="1">
    <w:name w:val="font41"/>
    <w:basedOn w:val="777"/>
    <w:uiPriority w:val="0"/>
    <w:qFormat/>
    <w:rPr>
      <w:rFonts w:hint="eastAsia" w:ascii="宋体" w:hAnsi="宋体" w:eastAsia="宋体" w:cs="宋体"/>
      <w:color w:val="000000"/>
      <w:sz w:val="21"/>
      <w:szCs w:val="21"/>
      <w:u w:val="none"/>
    </w:rPr>
  </w:style>
  <w:style w:type="paragraph" w:styleId="1068" w:customStyle="1">
    <w:name w:val="*正文"/>
    <w:basedOn w:val="767"/>
    <w:uiPriority w:val="0"/>
    <w:qFormat/>
    <w:rPr>
      <w:rFonts w:ascii="宋体" w:hAnsi="宋体"/>
      <w:sz w:val="24"/>
      <w:lang w:val="zh-CN"/>
    </w:rPr>
  </w:style>
  <w:style w:type="paragraph" w:styleId="1069" w:customStyle="1">
    <w:name w:val="_Style 1"/>
    <w:basedOn w:val="767"/>
    <w:uiPriority w:val="0"/>
    <w:qFormat/>
    <w:pPr>
      <w:ind w:firstLine="420"/>
    </w:pPr>
    <w:rPr>
      <w:szCs w:val="22"/>
    </w:rPr>
  </w:style>
  <w:style w:type="paragraph" w:styleId="1070" w:customStyle="1">
    <w:name w:val="页眉11"/>
    <w:basedOn w:val="767"/>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1071" w:customStyle="1">
    <w:name w:val="页码1"/>
    <w:uiPriority w:val="0"/>
    <w:qFormat/>
    <w:rPr>
      <w:rFonts w:ascii="Times New Roman" w:hAnsi="Times New Roman" w:eastAsia="宋体" w:cs="Times New Roman"/>
      <w:sz w:val="21"/>
      <w:lang w:val="en-US" w:eastAsia="zh-CN" w:bidi="ar-SA"/>
    </w:rPr>
  </w:style>
  <w:style w:type="character" w:styleId="1072" w:customStyle="1">
    <w:name w:val="font31"/>
    <w:basedOn w:val="777"/>
    <w:uiPriority w:val="0"/>
    <w:qFormat/>
    <w:rPr>
      <w:rFonts w:hint="eastAsia" w:ascii="宋体" w:hAnsi="宋体" w:eastAsia="宋体" w:cs="宋体"/>
      <w:color w:val="000000"/>
      <w:sz w:val="20"/>
      <w:szCs w:val="20"/>
      <w:u w:val="none"/>
    </w:rPr>
  </w:style>
  <w:style w:type="numbering" w:styleId="107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customXml" Target="../customXml/item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ontractReview xmlns="http://schemas.wps.cn/vas-ai-hub/contract-review">
  <reviewItems>
    <reviewItem>
      <errorID>aa9bb8dc-048b-46c9-a76e-94ff5d2b1676</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538834EC</paraID>
      <start>12</start>
      <end>13</end>
      <status>unmodified</status>
      <modifiedWord/>
      <trackRevisions>false</trackRevisions>
    </reviewItem>
    <reviewItem>
      <errorID>14b98163-6ceb-4e13-bc83-23a6db138983</errorID>
      <errorWord>二○二六</errorWord>
      <group>L1_Knowledge</group>
      <groupName>知识性问题</groupName>
      <ability>L2_Knowledge</ability>
      <abilityName>其他知识</abilityName>
      <candidateList>
        <item>二〇二六</item>
      </candidateList>
      <explain/>
      <paraID>1EE40684</paraID>
      <start>0</start>
      <end>4</end>
      <status>unmodified</status>
      <modifiedWord/>
      <trackRevisions>false</trackRevisions>
    </reviewItem>
    <reviewItem>
      <errorID>fc1bf2ba-d7a5-4a6d-9321-410f300070a3</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27AA3874</paraID>
      <start>41</start>
      <end>42</end>
      <status>unmodified</status>
      <modifiedWord/>
      <trackRevisions>false</trackRevisions>
    </reviewItem>
    <reviewItem>
      <errorID>fe612dc0-2a62-4d81-82bb-ebb76a70a947</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179C08F6</paraID>
      <start>12</start>
      <end>13</end>
      <status>unmodified</status>
      <modifiedWord/>
      <trackRevisions>false</trackRevisions>
    </reviewItem>
    <reviewItem>
      <errorID>b4aef333-156f-4842-88b9-c2af78a52f10</errorID>
      <errorWord>,</errorWord>
      <group>L1_Format</group>
      <groupName>格式问题</groupName>
      <ability>L2_HalfPunc</ability>
      <abilityName>全半角检查</abilityName>
      <candidateList>
        <item>，</item>
      </candidateList>
      <explain>文本全半角错误。</explain>
      <paraID>34E6EC96</paraID>
      <start>184</start>
      <end>185</end>
      <status>unmodified</status>
      <modifiedWord/>
      <trackRevisions>false</trackRevisions>
    </reviewItem>
    <reviewItem>
      <errorID>d3d76963-10ee-4eee-8a3a-d19ef9f3cec8</errorID>
      <errorWord>:</errorWord>
      <group>L1_Format</group>
      <groupName>格式问题</groupName>
      <ability>L2_HalfPunc</ability>
      <abilityName>全半角检查</abilityName>
      <candidateList>
        <item>：</item>
      </candidateList>
      <explain>文本全半角错误。</explain>
      <paraID>24380095</paraID>
      <start>62</start>
      <end>63</end>
      <status>unmodified</status>
      <modifiedWord/>
      <trackRevisions>false</trackRevisions>
    </reviewItem>
    <reviewItem>
      <errorID>d154c961-e0af-4f8b-8a4a-9757f760bf32</errorID>
      <errorWord>:</errorWord>
      <group>L1_Format</group>
      <groupName>格式问题</groupName>
      <ability>L2_HalfPunc</ability>
      <abilityName>全半角检查</abilityName>
      <candidateList>
        <item>：</item>
      </candidateList>
      <explain>文本全半角错误。</explain>
      <paraID>66FAD54C</paraID>
      <start>63</start>
      <end>64</end>
      <status>unmodified</status>
      <modifiedWord/>
      <trackRevisions>false</trackRevisions>
    </reviewItem>
    <reviewItem>
      <errorID>0ae92589-9c30-4a1f-9f15-6370007c37d1</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A6EC08E</paraID>
      <start>12</start>
      <end>13</end>
      <status>unmodified</status>
      <modifiedWord/>
      <trackRevisions>false</trackRevisions>
    </reviewItem>
    <reviewItem>
      <errorID>74b2ddf7-6cf0-4044-92db-57b388142e6f</errorID>
      <errorWord>(</errorWord>
      <group>L1_Format</group>
      <groupName>格式问题</groupName>
      <ability>L2_HalfPunc</ability>
      <abilityName>全半角检查</abilityName>
      <candidateList>
        <item>（</item>
      </candidateList>
      <explain>文本全半角错误。</explain>
      <paraID>59135C85</paraID>
      <start>68</start>
      <end>69</end>
      <status>unmodified</status>
      <modifiedWord/>
      <trackRevisions>false</trackRevisions>
    </reviewItem>
    <reviewItem>
      <errorID>62bf70f7-bc3c-4335-b9c4-54f56c3983d8</errorID>
      <errorWord>-</errorWord>
      <group>L1_Format</group>
      <groupName>格式问题</groupName>
      <ability>L2_HalfPunc</ability>
      <abilityName>全半角检查</abilityName>
      <candidateList>
        <item>－</item>
      </candidateList>
      <explain>文本全半角错误。</explain>
      <paraID>59135C85</paraID>
      <start>72</start>
      <end>73</end>
      <status>unmodified</status>
      <modifiedWord/>
      <trackRevisions>false</trackRevisions>
    </reviewItem>
    <reviewItem>
      <errorID>d396eaad-220a-45a6-ad90-bb9a418ff051</errorID>
      <errorWord>)</errorWord>
      <group>L1_Format</group>
      <groupName>格式问题</groupName>
      <ability>L2_HalfPunc</ability>
      <abilityName>全半角检查</abilityName>
      <candidateList>
        <item>）</item>
      </candidateList>
      <explain>文本全半角错误。</explain>
      <paraID>59135C85</paraID>
      <start>77</start>
      <end>78</end>
      <status>unmodified</status>
      <modifiedWord/>
      <trackRevisions>false</trackRevisions>
    </reviewItem>
    <reviewItem>
      <errorID>c0273d76-48bd-4c44-a7bd-d95b400dc665</errorID>
      <errorWord>-</errorWord>
      <group>L1_Format</group>
      <groupName>格式问题</groupName>
      <ability>L2_HalfPunc</ability>
      <abilityName>全半角检查</abilityName>
      <candidateList>
        <item>－</item>
      </candidateList>
      <explain>文本全半角错误。</explain>
      <paraID>13C2D9F9</paraID>
      <start>13</start>
      <end>14</end>
      <status>unmodified</status>
      <modifiedWord/>
      <trackRevisions>false</trackRevisions>
    </reviewItem>
    <reviewItem>
      <errorID>fd56df6b-0ebf-45c5-9458-a66e154e12cb</errorID>
      <errorWord>璐</errorWord>
      <group>L1_Word</group>
      <groupName>字词问题</groupName>
      <ability>L2_Typo</ability>
      <abilityName>字词错误</abilityName>
      <candidateList>
        <item>路</item>
      </candidateList>
      <explain/>
      <paraID>13C2D9F9</paraID>
      <start>27</start>
      <end>28</end>
      <status>unmodified</status>
      <modifiedWord/>
      <trackRevisions>false</trackRevisions>
    </reviewItem>
    <reviewItem>
      <errorID>d734f758-1566-4b34-81f1-6133bf94fc98</errorID>
      <errorWord>-</errorWord>
      <group>L1_Format</group>
      <groupName>格式问题</groupName>
      <ability>L2_HalfPunc</ability>
      <abilityName>全半角检查</abilityName>
      <candidateList>
        <item>－</item>
      </candidateList>
      <explain>文本全半角错误。</explain>
      <paraID>13C2D9F9</paraID>
      <start>57</start>
      <end>58</end>
      <status>unmodified</status>
      <modifiedWord/>
      <trackRevisions>false</trackRevisions>
    </reviewItem>
    <reviewItem>
      <errorID>7ef8bbdf-aa11-4fd4-a366-689394b00be9</errorID>
      <errorWord>（</errorWord>
      <group>L1_Punc</group>
      <groupName>标点问题</groupName>
      <ability>L2_Punc</ability>
      <abilityName>标点符号检查</abilityName>
      <candidateList/>
      <explain>此处标点可能未正确匹配，请检查句子中是否存在标点冗余、缺失或使用错误的情况。</explain>
      <paraID>13C2D9F9</paraID>
      <start>67</start>
      <end>68</end>
      <status>unmodified</status>
      <modifiedWord/>
      <trackRevisions>false</trackRevisions>
    </reviewItem>
    <reviewItem>
      <errorID>8c8c691a-77a0-49f0-8cf3-6500e193bb7e</errorID>
      <errorWord>-</errorWord>
      <group>L1_Format</group>
      <groupName>格式问题</groupName>
      <ability>L2_HalfPunc</ability>
      <abilityName>全半角检查</abilityName>
      <candidateList>
        <item>－</item>
      </candidateList>
      <explain>文本全半角错误。</explain>
      <paraID>13C2D9F9</paraID>
      <start>72</start>
      <end>73</end>
      <status>unmodified</status>
      <modifiedWord/>
      <trackRevisions>false</trackRevisions>
    </reviewItem>
    <reviewItem>
      <errorID>fe7e2d4e-6852-4161-83ff-9a0d03e0a707</errorID>
      <errorWord>-</errorWord>
      <group>L1_Format</group>
      <groupName>格式问题</groupName>
      <ability>L2_HalfPunc</ability>
      <abilityName>全半角检查</abilityName>
      <candidateList>
        <item>－</item>
      </candidateList>
      <explain>文本全半角错误。</explain>
      <paraID>13C2D9F9</paraID>
      <start>87</start>
      <end>88</end>
      <status>unmodified</status>
      <modifiedWord/>
      <trackRevisions>false</trackRevisions>
    </reviewItem>
    <reviewItem>
      <errorID>4ca3b990-2ea8-47b1-87d2-8a69e2930b46</errorID>
      <errorWord>(</errorWord>
      <group>L1_Format</group>
      <groupName>格式问题</groupName>
      <ability>L2_HalfPunc</ability>
      <abilityName>全半角检查</abilityName>
      <candidateList>
        <item>（</item>
      </candidateList>
      <explain>文本全半角错误。</explain>
      <paraID>13C2D9F9</paraID>
      <start>96</start>
      <end>97</end>
      <status>unmodified</status>
      <modifiedWord/>
      <trackRevisions>false</trackRevisions>
    </reviewItem>
    <reviewItem>
      <errorID>2ea90b24-38e8-4ca3-88ed-adb10e53c81c</errorID>
      <errorWord>-</errorWord>
      <group>L1_Format</group>
      <groupName>格式问题</groupName>
      <ability>L2_HalfPunc</ability>
      <abilityName>全半角检查</abilityName>
      <candidateList>
        <item>－</item>
      </candidateList>
      <explain>文本全半角错误。</explain>
      <paraID>13C2D9F9</paraID>
      <start>100</start>
      <end>101</end>
      <status>unmodified</status>
      <modifiedWord/>
      <trackRevisions>false</trackRevisions>
    </reviewItem>
    <reviewItem>
      <errorID>68dda1c8-0430-4bfa-beed-5063af4faf32</errorID>
      <errorWord>)</errorWord>
      <group>L1_Format</group>
      <groupName>格式问题</groupName>
      <ability>L2_HalfPunc</ability>
      <abilityName>全半角检查</abilityName>
      <candidateList>
        <item>）</item>
      </candidateList>
      <explain>文本全半角错误。</explain>
      <paraID>13C2D9F9</paraID>
      <start>104</start>
      <end>105</end>
      <status>unmodified</status>
      <modifiedWord/>
      <trackRevisions>false</trackRevisions>
    </reviewItem>
    <reviewItem>
      <errorID>fd0ab640-e734-4f0e-b161-8e086eea0e90</errorID>
      <errorWord>)</errorWord>
      <group>L1_Format</group>
      <groupName>格式问题</groupName>
      <ability>L2_HalfPunc</ability>
      <abilityName>全半角检查</abilityName>
      <candidateList>
        <item>）</item>
      </candidateList>
      <explain>文本全半角错误。</explain>
      <paraID>13C2D9F9</paraID>
      <start>117</start>
      <end>118</end>
      <status>unmodified</status>
      <modifiedWord/>
      <trackRevisions>false</trackRevisions>
    </reviewItem>
    <reviewItem>
      <errorID>74951ec4-6c31-4a68-845b-5c31f98fdc91</errorID>
      <errorWord>-</errorWord>
      <group>L1_Format</group>
      <groupName>格式问题</groupName>
      <ability>L2_HalfPunc</ability>
      <abilityName>全半角检查</abilityName>
      <candidateList>
        <item>－</item>
      </candidateList>
      <explain>文本全半角错误。</explain>
      <paraID>13C2D9F9</paraID>
      <start>127</start>
      <end>128</end>
      <status>unmodified</status>
      <modifiedWord/>
      <trackRevisions>false</trackRevisions>
    </reviewItem>
    <reviewItem>
      <errorID>e918ff91-c5ef-445d-a291-4555331cc431</errorID>
      <errorWord>-</errorWord>
      <group>L1_Format</group>
      <groupName>格式问题</groupName>
      <ability>L2_HalfPunc</ability>
      <abilityName>全半角检查</abilityName>
      <candidateList>
        <item>－</item>
      </candidateList>
      <explain>文本全半角错误。</explain>
      <paraID>13C2D9F9</paraID>
      <start>154</start>
      <end>155</end>
      <status>unmodified</status>
      <modifiedWord/>
      <trackRevisions>false</trackRevisions>
    </reviewItem>
    <reviewItem>
      <errorID>18c3d968-aa85-48bf-a6d6-59078d4555ea</errorID>
      <errorWord>-</errorWord>
      <group>L1_Format</group>
      <groupName>格式问题</groupName>
      <ability>L2_HalfPunc</ability>
      <abilityName>全半角检查</abilityName>
      <candidateList>
        <item>－</item>
      </candidateList>
      <explain>文本全半角错误。</explain>
      <paraID>13C2D9F9</paraID>
      <start>168</start>
      <end>169</end>
      <status>unmodified</status>
      <modifiedWord/>
      <trackRevisions>false</trackRevisions>
    </reviewItem>
    <reviewItem>
      <errorID>0d84870f-dd98-45db-b0f4-008547727f93</errorID>
      <errorWord>-</errorWord>
      <group>L1_Format</group>
      <groupName>格式问题</groupName>
      <ability>L2_HalfPunc</ability>
      <abilityName>全半角检查</abilityName>
      <candidateList>
        <item>－</item>
      </candidateList>
      <explain>文本全半角错误。</explain>
      <paraID>13C2D9F9</paraID>
      <start>189</start>
      <end>190</end>
      <status>unmodified</status>
      <modifiedWord/>
      <trackRevisions>false</trackRevisions>
    </reviewItem>
    <reviewItem>
      <errorID>36723a20-c7f1-40c0-be16-322d11719798</errorID>
      <errorWord>-</errorWord>
      <group>L1_Format</group>
      <groupName>格式问题</groupName>
      <ability>L2_HalfPunc</ability>
      <abilityName>全半角检查</abilityName>
      <candidateList>
        <item>－</item>
      </candidateList>
      <explain>文本全半角错误。</explain>
      <paraID>6173D768</paraID>
      <start>21</start>
      <end>22</end>
      <status>unmodified</status>
      <modifiedWord/>
      <trackRevisions>false</trackRevisions>
    </reviewItem>
    <reviewItem>
      <errorID>56dbe8c9-172e-42b8-abbc-d5a46e8c8275</errorID>
      <errorWord>-</errorWord>
      <group>L1_Format</group>
      <groupName>格式问题</groupName>
      <ability>L2_HalfPunc</ability>
      <abilityName>全半角检查</abilityName>
      <candidateList>
        <item>－</item>
      </candidateList>
      <explain>文本全半角错误。</explain>
      <paraID>276D1E93</paraID>
      <start>69</start>
      <end>70</end>
      <status>unmodified</status>
      <modifiedWord/>
      <trackRevisions>false</trackRevisions>
    </reviewItem>
    <reviewItem>
      <errorID>7915a486-1ae7-4555-ab05-6c48aeaa800e</errorID>
      <errorWord>-</errorWord>
      <group>L1_Format</group>
      <groupName>格式问题</groupName>
      <ability>L2_HalfPunc</ability>
      <abilityName>全半角检查</abilityName>
      <candidateList>
        <item>－</item>
      </candidateList>
      <explain>文本全半角错误。</explain>
      <paraID>276D1E93</paraID>
      <start>84</start>
      <end>85</end>
      <status>unmodified</status>
      <modifiedWord/>
      <trackRevisions>false</trackRevisions>
    </reviewItem>
    <reviewItem>
      <errorID>5e212482-2658-4482-b201-4adec563712e</errorID>
      <errorWord>截止至2026年</errorWord>
      <group>L1_Word</group>
      <groupName>字词问题</groupName>
      <ability>L2_Typo</ability>
      <abilityName>字词错误</abilityName>
      <candidateList>
        <item>截至2026年</item>
      </candidateList>
      <explain/>
      <paraID>443A4310</paraID>
      <start>45</start>
      <end>52</end>
      <status>modified</status>
      <modifiedWord>截至2026年</modifiedWord>
      <trackRevisions>false</trackRevisions>
    </reviewItem>
    <reviewItem>
      <errorID>19ee5a24-53a4-48ee-ac2c-72b61665a56b</errorID>
      <errorWord>,</errorWord>
      <group>L1_Format</group>
      <groupName>格式问题</groupName>
      <ability>L2_HalfPunc</ability>
      <abilityName>全半角检查</abilityName>
      <candidateList>
        <item>，</item>
      </candidateList>
      <explain>文本全半角错误。</explain>
      <paraID>2B79136C</paraID>
      <start>28</start>
      <end>29</end>
      <status>unmodified</status>
      <modifiedWord/>
      <trackRevisions>false</trackRevisions>
    </reviewItem>
    <reviewItem>
      <errorID>612faaa8-1e8b-453e-a7be-d3a2f1884480</errorID>
      <errorWord>-</errorWord>
      <group>L1_Format</group>
      <groupName>格式问题</groupName>
      <ability>L2_HalfPunc</ability>
      <abilityName>全半角检查</abilityName>
      <candidateList>
        <item>－</item>
      </candidateList>
      <explain>文本全半角错误。</explain>
      <paraID> F6DA6D2</paraID>
      <start>25</start>
      <end>26</end>
      <status>unmodified</status>
      <modifiedWord/>
      <trackRevisions>false</trackRevisions>
    </reviewItem>
    <reviewItem>
      <errorID>086fc825-6b6b-4ab6-9548-0e51d67ccaf2</errorID>
      <errorWord>登陆</errorWord>
      <group>L1_Word</group>
      <groupName>字词问题</groupName>
      <ability>L2_Typo</ability>
      <abilityName>字词错误</abilityName>
      <candidateList>
        <item>登录</item>
      </candidateList>
      <explain>存在发音相同字词的误用。</explain>
      <paraID>727B2F14</paraID>
      <start>40</start>
      <end>42</end>
      <status>modified</status>
      <modifiedWord>登录</modifiedWord>
      <trackRevisions>false</trackRevisions>
    </reviewItem>
    <reviewItem>
      <errorID>7ecb2b38-68d4-43c7-8089-74fa53e5b166</errorID>
      <errorWord>-</errorWord>
      <group>L1_Format</group>
      <groupName>格式问题</groupName>
      <ability>L2_HalfPunc</ability>
      <abilityName>全半角检查</abilityName>
      <candidateList>
        <item>－</item>
      </candidateList>
      <explain>文本全半角错误。</explain>
      <paraID>5356E54B</paraID>
      <start>29</start>
      <end>30</end>
      <status>unmodified</status>
      <modifiedWord/>
      <trackRevisions>false</trackRevisions>
    </reviewItem>
    <reviewItem>
      <errorID>c341848a-a00e-4d99-8757-4bbc05a3657b</errorID>
      <errorWord>100万以下</errorWord>
      <group>L1_Word</group>
      <groupName>字词问题</groupName>
      <ability>L2_Typo</ability>
      <abilityName>字词错误</abilityName>
      <candidateList>
        <item>100万元以下</item>
      </candidateList>
      <explain/>
      <paraID>4ED0C099</paraID>
      <start>44</start>
      <end>51</end>
      <status>modified</status>
      <modifiedWord>100万元以下</modifiedWord>
      <trackRevisions>false</trackRevisions>
    </reviewItem>
    <reviewItem>
      <errorID>4a29d921-16e0-4987-a63b-4ed7fb4ab172</errorID>
      <errorWord>100万－500万</errorWord>
      <group>L1_Knowledge</group>
      <groupName>知识性问题</groupName>
      <ability>L2_Knowledge</ability>
      <abilityName>其他知识</abilityName>
      <candidateList>
        <item>100万—500万</item>
      </candidateList>
      <explain>1. “100万－500万”中的单位“万”仅出现在后一个数字上，容易引起歧义；根据《现代汉语标点符号数字用法规范手册》，数字表示范围两边需要使用统一的格式。2.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4ED0C099</paraID>
      <start>59</start>
      <end>68</end>
      <status>modified</status>
      <modifiedWord>100万—500万</modifiedWord>
      <trackRevisions>false</trackRevisions>
    </reviewItem>
    <reviewItem>
      <errorID>c48fe390-bbbf-4f93-b8d5-cb5304d31b3c</errorID>
      <errorWord>500万-1000万</errorWord>
      <group>L1_Knowledge</group>
      <groupName>知识性问题</groupName>
      <ability>L2_Knowledge</ability>
      <abilityName>其他知识</abilityName>
      <candidateList>
        <item>500万—1000万</item>
      </candidateList>
      <explain>1. “500万-1000万”中的单位“万”仅出现在后一个数字上，容易引起歧义；根据《现代汉语标点符号数字用法规范手册》，数字表示范围两边需要使用统一的格式。2.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4ED0C099</paraID>
      <start>76</start>
      <end>86</end>
      <status>modified</status>
      <modifiedWord>500万—1000万</modifiedWord>
      <trackRevisions>false</trackRevisions>
    </reviewItem>
    <reviewItem>
      <errorID>13bcf616-2f06-4a62-8a87-24bdbe32121f</errorID>
      <errorWord>1000万-5000万</errorWord>
      <group>L1_Knowledge</group>
      <groupName>知识性问题</groupName>
      <ability>L2_Knowledge</ability>
      <abilityName>其他知识</abilityName>
      <candidateList>
        <item>1000万—5000万</item>
      </candidateList>
      <explain>1. “1000万-5000万”中的单位“万”仅出现在后一个数字上，容易引起歧义；根据《现代汉语标点符号数字用法规范手册》，数字表示范围两边需要使用统一的格式。2.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4ED0C099</paraID>
      <start>95</start>
      <end>106</end>
      <status>modified</status>
      <modifiedWord>1000万—5000万</modifiedWord>
      <trackRevisions>false</trackRevisions>
    </reviewItem>
    <reviewItem>
      <errorID>95bccaf5-e7de-401c-b228-824f4dbeac67</errorID>
      <errorWord>抛洒</errorWord>
      <group>L1_Word</group>
      <groupName>字词问题</groupName>
      <ability>L2_Typo</ability>
      <abilityName>字词错误</abilityName>
      <candidateList>
        <item>抛撒</item>
      </candidateList>
      <explain/>
      <paraID>7D79407B</paraID>
      <start>25</start>
      <end>27</end>
      <status>unmodified</status>
      <modifiedWord/>
      <trackRevisions>false</trackRevisions>
    </reviewItem>
    <reviewItem>
      <errorID>0db9de2b-29ed-4b0e-a5a0-95644005d33e</errorID>
      <errorWord>接</errorWord>
      <group>L1_Word</group>
      <groupName>字词问题</groupName>
      <ability>L2_Typo</ability>
      <abilityName>字词错误</abilityName>
      <candidateList>
        <item>接到</item>
      </candidateList>
      <explain/>
      <paraID>57B4DAF5</paraID>
      <start>2</start>
      <end>4</end>
      <status>modified</status>
      <modifiedWord>接到</modifiedWord>
      <trackRevisions>false</trackRevisions>
    </reviewItem>
    <reviewItem>
      <errorID>9db9fd64-200b-473f-8af7-8af54e8c7a72</errorID>
      <errorWord>巡察</errorWord>
      <group>L1_Word</group>
      <groupName>字词问题</groupName>
      <ability>L2_Typo</ability>
      <abilityName>字词错误</abilityName>
      <candidateList>
        <item>巡查</item>
      </candidateList>
      <explain>存在发音相同字词的误用。</explain>
      <paraID>27A57CD2</paraID>
      <start>19</start>
      <end>21</end>
      <status>unmodified</status>
      <modifiedWord/>
      <trackRevisions>false</trackRevisions>
    </reviewItem>
    <reviewItem>
      <errorID>e262f4b6-b402-415c-835f-ed8d8d1599da</errorID>
      <errorWord>需</errorWord>
      <group>L1_Word</group>
      <groupName>字词问题</groupName>
      <ability>L2_Typo</ability>
      <abilityName>字词错误</abilityName>
      <candidateList>
        <item>须</item>
      </candidateList>
      <explain>（鬚）xū❶原来指长在下巴上的胡子，后来泛指胡须：～发｜～眉。❷须子：触～｜花～。</explain>
      <paraID>6431682A</paraID>
      <start>86</start>
      <end>87</end>
      <status>modified</status>
      <modifiedWord>须</modifiedWord>
      <trackRevisions>false</trackRevisions>
    </reviewItem>
    <reviewItem>
      <errorID>3cdc80e1-3a1b-406b-90af-69b0021ad41a</errorID>
      <errorWord>应能</errorWord>
      <group>L1_Word</group>
      <groupName>字词问题</groupName>
      <ability>L2_Typo</ability>
      <abilityName>字词错误</abilityName>
      <candidateList>
        <item>应</item>
      </candidateList>
      <explain/>
      <paraID>20242C61</paraID>
      <start>26</start>
      <end>27</end>
      <status>modified</status>
      <modifiedWord>应</modifiedWord>
      <trackRevisions>false</trackRevisions>
    </reviewItem>
    <reviewItem>
      <errorID>dc4e0b06-e703-4de6-bef5-9b946f15447e</errorID>
      <errorWord>须</errorWord>
      <group>L1_Word</group>
      <groupName>字词问题</groupName>
      <ability>L2_Typo</ability>
      <abilityName>字词错误</abilityName>
      <candidateList>
        <item>需</item>
      </candidateList>
      <explain>❶〈动〉需要：～求｜按～分配｜完成任务还～五天时间。❷需用的东西：军～。</explain>
      <paraID>6DCC45A4</paraID>
      <start>39</start>
      <end>40</end>
      <status>modified</status>
      <modifiedWord>需</modifiedWord>
      <trackRevisions>false</trackRevisions>
    </reviewItem>
    <reviewItem>
      <errorID>f98f72e1-c4d8-41c5-a501-7d98bd25d9c0</errorID>
      <errorWord>"</errorWord>
      <group>L1_Format</group>
      <groupName>格式问题</groupName>
      <ability>L2_HalfPunc</ability>
      <abilityName>全半角检查</abilityName>
      <candidateList>
        <item>“</item>
      </candidateList>
      <explain>文本全半角错误。</explain>
      <paraID>5BE3A3E1</paraID>
      <start>10</start>
      <end>11</end>
      <status>unmodified</status>
      <modifiedWord/>
      <trackRevisions>false</trackRevisions>
    </reviewItem>
    <reviewItem>
      <errorID>736fc5d4-6b44-4834-a46e-d51f97ec496c</errorID>
      <errorWord>"</errorWord>
      <group>L1_Format</group>
      <groupName>格式问题</groupName>
      <ability>L2_HalfPunc</ability>
      <abilityName>全半角检查</abilityName>
      <candidateList>
        <item>”</item>
      </candidateList>
      <explain>文本全半角错误。</explain>
      <paraID>5BE3A3E1</paraID>
      <start>13</start>
      <end>14</end>
      <status>unmodified</status>
      <modifiedWord/>
      <trackRevisions>false</trackRevisions>
    </reviewItem>
    <reviewItem>
      <errorID>339cb2e6-e5f3-498f-abea-90dade906334</errorID>
      <errorWord>积泥积泥</errorWord>
      <group>L1_Word</group>
      <groupName>字词问题</groupName>
      <ability>L2_Typo</ability>
      <abilityName>字词错误</abilityName>
      <candidateList>
        <item>积泥</item>
      </candidateList>
      <explain/>
      <paraID>55F75EFB</paraID>
      <start>39</start>
      <end>43</end>
      <status>unmodified</status>
      <modifiedWord/>
      <trackRevisions>false</trackRevisions>
    </reviewItem>
    <reviewItem>
      <errorID>558ae542-aa37-46ee-8356-8ab8b55dfa7d</errorID>
      <errorWord>积泥积泥</errorWord>
      <group>L1_Word</group>
      <groupName>字词问题</groupName>
      <ability>L2_Typo</ability>
      <abilityName>字词错误</abilityName>
      <candidateList>
        <item>积泥</item>
      </candidateList>
      <explain/>
      <paraID>2C5D5498</paraID>
      <start>39</start>
      <end>43</end>
      <status>unmodified</status>
      <modifiedWord/>
      <trackRevisions>false</trackRevisions>
    </reviewItem>
    <reviewItem>
      <errorID>232b1f56-6f4c-40fd-8173-5ed641ebdc86</errorID>
      <errorWord>无忧检测</errorWord>
      <group>L1_Knowledge</group>
      <groupName>知识性问题</groupName>
      <ability>L2_Term</ability>
      <abilityName>专业术语</abilityName>
      <candidateList>
        <item>无损检测</item>
      </candidateList>
      <explain/>
      <paraID>1EE9FF48</paraID>
      <start>69</start>
      <end>73</end>
      <status>unmodified</status>
      <modifiedWord/>
      <trackRevisions>false</trackRevisions>
    </reviewItem>
    <reviewItem>
      <errorID>72c58b20-834f-4f91-bc92-a854b5b6a7fa</errorID>
      <errorWord>,</errorWord>
      <group>L1_Format</group>
      <groupName>格式问题</groupName>
      <ability>L2_HalfPunc</ability>
      <abilityName>全半角检查</abilityName>
      <candidateList>
        <item>，</item>
      </candidateList>
      <explain>文本全半角错误。</explain>
      <paraID> 2973F5A</paraID>
      <start>13</start>
      <end>14</end>
      <status>unmodified</status>
      <modifiedWord/>
      <trackRevisions>false</trackRevisions>
    </reviewItem>
    <reviewItem>
      <errorID>53657fe4-efd6-41b1-bdc1-5d87122b6c02</errorID>
      <errorWord>45%~55%</errorWord>
      <group>L1_Knowledge</group>
      <groupName>知识性问题</groupName>
      <ability>L2_Knowledge</ability>
      <abilityName>其他知识</abilityName>
      <candidateList>
        <item>45%～55%</item>
      </candidateList>
      <explain>1. “45%~55%”中的单位“%”仅出现在后一个数字上，容易引起歧义；根据《现代汉语标点符号数字用法规范手册》，数字表示范围两边需要使用统一的格式。2. 根据标点国标 4.13 中的规则，数字、时间或地域连接符应使用（视觉上更长的）“—”或“～”。</explain>
      <paraID>159EAE53</paraID>
      <start>31</start>
      <end>38</end>
      <status>unmodified</status>
      <modifiedWord/>
      <trackRevisions>false</trackRevisions>
    </reviewItem>
    <reviewItem>
      <errorID>05880392-3039-4f11-a90c-9173b2189189</errorID>
      <errorWord>运需</errorWord>
      <group>L1_Word</group>
      <groupName>字词问题</groupName>
      <ability>L2_Typo</ability>
      <abilityName>字词错误</abilityName>
      <candidateList>
        <item>运</item>
      </candidateList>
      <explain/>
      <paraID>159EAE53</paraID>
      <start>61</start>
      <end>63</end>
      <status>unmodified</status>
      <modifiedWord/>
      <trackRevisions>false</trackRevisions>
    </reviewItem>
    <reviewItem>
      <errorID>4baccc7b-00b8-4f59-9458-4626bad74455</errorID>
      <errorWord>,</errorWord>
      <group>L1_Format</group>
      <groupName>格式问题</groupName>
      <ability>L2_HalfPunc</ability>
      <abilityName>全半角检查</abilityName>
      <candidateList>
        <item>，</item>
      </candidateList>
      <explain>文本全半角错误。</explain>
      <paraID>178308F5</paraID>
      <start>10</start>
      <end>11</end>
      <status>unmodified</status>
      <modifiedWord/>
      <trackRevisions>false</trackRevisions>
    </reviewItem>
    <reviewItem>
      <errorID>7ee284c5-1e21-4351-89e1-3c4c4977d9b0</errorID>
      <errorWord>,</errorWord>
      <group>L1_Format</group>
      <groupName>格式问题</groupName>
      <ability>L2_HalfPunc</ability>
      <abilityName>全半角检查</abilityName>
      <candidateList>
        <item>，</item>
      </candidateList>
      <explain>文本全半角错误。</explain>
      <paraID>178308F5</paraID>
      <start>20</start>
      <end>21</end>
      <status>unmodified</status>
      <modifiedWord/>
      <trackRevisions>false</trackRevisions>
    </reviewItem>
    <reviewItem>
      <errorID>65536952-cacb-46ff-8fc4-f4dd0ee60761</errorID>
      <errorWord>,</errorWord>
      <group>L1_Format</group>
      <groupName>格式问题</groupName>
      <ability>L2_HalfPunc</ability>
      <abilityName>全半角检查</abilityName>
      <candidateList>
        <item>，</item>
      </candidateList>
      <explain>文本全半角错误。</explain>
      <paraID>7491B116</paraID>
      <start>10</start>
      <end>11</end>
      <status>unmodified</status>
      <modifiedWord/>
      <trackRevisions>false</trackRevisions>
    </reviewItem>
    <reviewItem>
      <errorID>36cd13eb-3564-48b6-b6db-559634a67831</errorID>
      <errorWord>,</errorWord>
      <group>L1_Format</group>
      <groupName>格式问题</groupName>
      <ability>L2_HalfPunc</ability>
      <abilityName>全半角检查</abilityName>
      <candidateList>
        <item>，</item>
      </candidateList>
      <explain>文本全半角错误。</explain>
      <paraID>487FE070</paraID>
      <start>10</start>
      <end>11</end>
      <status>unmodified</status>
      <modifiedWord/>
      <trackRevisions>false</trackRevisions>
    </reviewItem>
    <reviewItem>
      <errorID>7bab8d03-dc26-4bfd-9c2f-c6b3a58f5c7b</errorID>
      <errorWord>,</errorWord>
      <group>L1_Format</group>
      <groupName>格式问题</groupName>
      <ability>L2_HalfPunc</ability>
      <abilityName>全半角检查</abilityName>
      <candidateList>
        <item>，</item>
      </candidateList>
      <explain>文本全半角错误。</explain>
      <paraID>487FE070</paraID>
      <start>20</start>
      <end>21</end>
      <status>unmodified</status>
      <modifiedWord/>
      <trackRevisions>false</trackRevisions>
    </reviewItem>
    <reviewItem>
      <errorID>bb69fd83-dfb8-400f-92d9-6ca94cfa377d</errorID>
      <errorWord>,</errorWord>
      <group>L1_Format</group>
      <groupName>格式问题</groupName>
      <ability>L2_HalfPunc</ability>
      <abilityName>全半角检查</abilityName>
      <candidateList>
        <item>，</item>
      </candidateList>
      <explain>文本全半角错误。</explain>
      <paraID>6D6CE520</paraID>
      <start>10</start>
      <end>11</end>
      <status>unmodified</status>
      <modifiedWord/>
      <trackRevisions>false</trackRevisions>
    </reviewItem>
    <reviewItem>
      <errorID>51bfdad3-87b4-4f61-b3b7-382c0f7a0907</errorID>
      <errorWord>,</errorWord>
      <group>L1_Format</group>
      <groupName>格式问题</groupName>
      <ability>L2_HalfPunc</ability>
      <abilityName>全半角检查</abilityName>
      <candidateList>
        <item>，</item>
      </candidateList>
      <explain>文本全半角错误。</explain>
      <paraID> EB869AE</paraID>
      <start>10</start>
      <end>11</end>
      <status>unmodified</status>
      <modifiedWord/>
      <trackRevisions>false</trackRevisions>
    </reviewItem>
    <reviewItem>
      <errorID>e95123ed-ce2f-4d11-90e3-aca217dc491d</errorID>
      <errorWord>,</errorWord>
      <group>L1_Format</group>
      <groupName>格式问题</groupName>
      <ability>L2_HalfPunc</ability>
      <abilityName>全半角检查</abilityName>
      <candidateList>
        <item>，</item>
      </candidateList>
      <explain>文本全半角错误。</explain>
      <paraID> EB869AE</paraID>
      <start>20</start>
      <end>21</end>
      <status>unmodified</status>
      <modifiedWord/>
      <trackRevisions>false</trackRevisions>
    </reviewItem>
    <reviewItem>
      <errorID>26e83145-5394-4919-91b5-07ca9104678f</errorID>
      <errorWord>,</errorWord>
      <group>L1_Format</group>
      <groupName>格式问题</groupName>
      <ability>L2_HalfPunc</ability>
      <abilityName>全半角检查</abilityName>
      <candidateList>
        <item>，</item>
      </candidateList>
      <explain>文本全半角错误。</explain>
      <paraID>31DF5262</paraID>
      <start>10</start>
      <end>11</end>
      <status>unmodified</status>
      <modifiedWord/>
      <trackRevisions>false</trackRevisions>
    </reviewItem>
    <reviewItem>
      <errorID>01f8fb92-a176-4979-bff8-a7b6dd63d4b7</errorID>
      <errorWord>,</errorWord>
      <group>L1_Format</group>
      <groupName>格式问题</groupName>
      <ability>L2_HalfPunc</ability>
      <abilityName>全半角检查</abilityName>
      <candidateList>
        <item>，</item>
      </candidateList>
      <explain>文本全半角错误。</explain>
      <paraID>3DFB3454</paraID>
      <start>10</start>
      <end>11</end>
      <status>unmodified</status>
      <modifiedWord/>
      <trackRevisions>false</trackRevisions>
    </reviewItem>
    <reviewItem>
      <errorID>5704b712-dd47-4a60-a8c9-acdb5b4fce6a</errorID>
      <errorWord>,</errorWord>
      <group>L1_Format</group>
      <groupName>格式问题</groupName>
      <ability>L2_HalfPunc</ability>
      <abilityName>全半角检查</abilityName>
      <candidateList>
        <item>，</item>
      </candidateList>
      <explain>文本全半角错误。</explain>
      <paraID>3DFB3454</paraID>
      <start>20</start>
      <end>21</end>
      <status>unmodified</status>
      <modifiedWord/>
      <trackRevisions>false</trackRevisions>
    </reviewItem>
    <reviewItem>
      <errorID>c62baa6e-7c30-44a9-877e-6ce7ea580c4b</errorID>
      <errorWord>,</errorWord>
      <group>L1_Format</group>
      <groupName>格式问题</groupName>
      <ability>L2_HalfPunc</ability>
      <abilityName>全半角检查</abilityName>
      <candidateList>
        <item>，</item>
      </candidateList>
      <explain>文本全半角错误。</explain>
      <paraID>3E527FFA</paraID>
      <start>10</start>
      <end>11</end>
      <status>unmodified</status>
      <modifiedWord/>
      <trackRevisions>false</trackRevisions>
    </reviewItem>
    <reviewItem>
      <errorID>f95e7ab6-6318-482a-a51e-feba7c67ce0d</errorID>
      <errorWord>,</errorWord>
      <group>L1_Format</group>
      <groupName>格式问题</groupName>
      <ability>L2_HalfPunc</ability>
      <abilityName>全半角检查</abilityName>
      <candidateList>
        <item>，</item>
      </candidateList>
      <explain>文本全半角错误。</explain>
      <paraID>4DA58772</paraID>
      <start>10</start>
      <end>11</end>
      <status>unmodified</status>
      <modifiedWord/>
      <trackRevisions>false</trackRevisions>
    </reviewItem>
    <reviewItem>
      <errorID>22cd0a84-748a-4cdb-97d6-35823b48ed36</errorID>
      <errorWord>,</errorWord>
      <group>L1_Format</group>
      <groupName>格式问题</groupName>
      <ability>L2_HalfPunc</ability>
      <abilityName>全半角检查</abilityName>
      <candidateList>
        <item>，</item>
      </candidateList>
      <explain>文本全半角错误。</explain>
      <paraID>4DA58772</paraID>
      <start>20</start>
      <end>21</end>
      <status>unmodified</status>
      <modifiedWord/>
      <trackRevisions>false</trackRevisions>
    </reviewItem>
    <reviewItem>
      <errorID>7fc6e7f0-96cd-4d79-adfe-218895c6e3c9</errorID>
      <errorWord>,</errorWord>
      <group>L1_Format</group>
      <groupName>格式问题</groupName>
      <ability>L2_HalfPunc</ability>
      <abilityName>全半角检查</abilityName>
      <candidateList>
        <item>，</item>
      </candidateList>
      <explain>文本全半角错误。</explain>
      <paraID>71BFC2AD</paraID>
      <start>10</start>
      <end>11</end>
      <status>unmodified</status>
      <modifiedWord/>
      <trackRevisions>false</trackRevisions>
    </reviewItem>
    <reviewItem>
      <errorID>119d798a-3ef5-46be-840f-170886727b5e</errorID>
      <errorWord>,</errorWord>
      <group>L1_Format</group>
      <groupName>格式问题</groupName>
      <ability>L2_HalfPunc</ability>
      <abilityName>全半角检查</abilityName>
      <candidateList>
        <item>，</item>
      </candidateList>
      <explain>文本全半角错误。</explain>
      <paraID>1CFA0AFC</paraID>
      <start>11</start>
      <end>12</end>
      <status>unmodified</status>
      <modifiedWord/>
      <trackRevisions>false</trackRevisions>
    </reviewItem>
    <reviewItem>
      <errorID>919bbbaf-a337-4332-bd77-354aa00633d2</errorID>
      <errorWord>,</errorWord>
      <group>L1_Format</group>
      <groupName>格式问题</groupName>
      <ability>L2_HalfPunc</ability>
      <abilityName>全半角检查</abilityName>
      <candidateList>
        <item>，</item>
      </candidateList>
      <explain>文本全半角错误。</explain>
      <paraID>1CFA0AFC</paraID>
      <start>21</start>
      <end>22</end>
      <status>unmodified</status>
      <modifiedWord/>
      <trackRevisions>false</trackRevisions>
    </reviewItem>
    <reviewItem>
      <errorID>42a2dcb7-d12c-452c-8f91-f6e888ce21c3</errorID>
      <errorWord>,</errorWord>
      <group>L1_Format</group>
      <groupName>格式问题</groupName>
      <ability>L2_HalfPunc</ability>
      <abilityName>全半角检查</abilityName>
      <candidateList>
        <item>，</item>
      </candidateList>
      <explain>文本全半角错误。</explain>
      <paraID>7F6CB780</paraID>
      <start>11</start>
      <end>12</end>
      <status>unmodified</status>
      <modifiedWord/>
      <trackRevisions>false</trackRevisions>
    </reviewItem>
    <reviewItem>
      <errorID>6449a986-fadb-4556-90dc-7d30f5495dd5</errorID>
      <errorWord>,</errorWord>
      <group>L1_Format</group>
      <groupName>格式问题</groupName>
      <ability>L2_HalfPunc</ability>
      <abilityName>全半角检查</abilityName>
      <candidateList>
        <item>，</item>
      </candidateList>
      <explain>文本全半角错误。</explain>
      <paraID> F71C70B</paraID>
      <start>11</start>
      <end>12</end>
      <status>unmodified</status>
      <modifiedWord/>
      <trackRevisions>false</trackRevisions>
    </reviewItem>
    <reviewItem>
      <errorID>b6f6fee0-575d-44ea-a9e5-8de5d2c3f085</errorID>
      <errorWord>,</errorWord>
      <group>L1_Format</group>
      <groupName>格式问题</groupName>
      <ability>L2_HalfPunc</ability>
      <abilityName>全半角检查</abilityName>
      <candidateList>
        <item>，</item>
      </candidateList>
      <explain>文本全半角错误。</explain>
      <paraID> F71C70B</paraID>
      <start>21</start>
      <end>22</end>
      <status>unmodified</status>
      <modifiedWord/>
      <trackRevisions>false</trackRevisions>
    </reviewItem>
    <reviewItem>
      <errorID>9ae19af4-c7d5-457e-a601-d0c6fb2ff597</errorID>
      <errorWord>,</errorWord>
      <group>L1_Format</group>
      <groupName>格式问题</groupName>
      <ability>L2_HalfPunc</ability>
      <abilityName>全半角检查</abilityName>
      <candidateList>
        <item>，</item>
      </candidateList>
      <explain>文本全半角错误。</explain>
      <paraID>6DC142E7</paraID>
      <start>11</start>
      <end>12</end>
      <status>unmodified</status>
      <modifiedWord/>
      <trackRevisions>false</trackRevisions>
    </reviewItem>
    <reviewItem>
      <errorID>85467478-bbb1-461c-a0ef-a4dbbb7c2ca8</errorID>
      <errorWord>,</errorWord>
      <group>L1_Format</group>
      <groupName>格式问题</groupName>
      <ability>L2_HalfPunc</ability>
      <abilityName>全半角检查</abilityName>
      <candidateList>
        <item>，</item>
      </candidateList>
      <explain>文本全半角错误。</explain>
      <paraID>544B81D7</paraID>
      <start>11</start>
      <end>12</end>
      <status>unmodified</status>
      <modifiedWord/>
      <trackRevisions>false</trackRevisions>
    </reviewItem>
    <reviewItem>
      <errorID>a6acff62-4ebc-4d45-8b03-83763b33d460</errorID>
      <errorWord>,</errorWord>
      <group>L1_Format</group>
      <groupName>格式问题</groupName>
      <ability>L2_HalfPunc</ability>
      <abilityName>全半角检查</abilityName>
      <candidateList>
        <item>，</item>
      </candidateList>
      <explain>文本全半角错误。</explain>
      <paraID>544B81D7</paraID>
      <start>21</start>
      <end>22</end>
      <status>unmodified</status>
      <modifiedWord/>
      <trackRevisions>false</trackRevisions>
    </reviewItem>
    <reviewItem>
      <errorID>91114a5c-d77d-4ccc-9337-5a8c34d47d20</errorID>
      <errorWord>,</errorWord>
      <group>L1_Format</group>
      <groupName>格式问题</groupName>
      <ability>L2_HalfPunc</ability>
      <abilityName>全半角检查</abilityName>
      <candidateList>
        <item>，</item>
      </candidateList>
      <explain>文本全半角错误。</explain>
      <paraID>68A3EED3</paraID>
      <start>11</start>
      <end>12</end>
      <status>unmodified</status>
      <modifiedWord/>
      <trackRevisions>false</trackRevisions>
    </reviewItem>
    <reviewItem>
      <errorID>8f7f918a-3ebd-4fb6-9e26-5e20082fe400</errorID>
      <errorWord>沥清</errorWord>
      <group>L1_Word</group>
      <groupName>字词问题</groupName>
      <ability>L2_Typo</ability>
      <abilityName>字词错误</abilityName>
      <candidateList>
        <item>沥青</item>
      </candidateList>
      <explain/>
      <paraID>255E3FE0</paraID>
      <start>4</start>
      <end>6</end>
      <status>unmodified</status>
      <modifiedWord/>
      <trackRevisions>false</trackRevisions>
    </reviewItem>
    <reviewItem>
      <errorID>f2d848f0-268e-4950-8990-e31fdfbdd83b</errorID>
      <errorWord>,</errorWord>
      <group>L1_Format</group>
      <groupName>格式问题</groupName>
      <ability>L2_HalfPunc</ability>
      <abilityName>全半角检查</abilityName>
      <candidateList>
        <item>，</item>
      </candidateList>
      <explain>文本全半角错误。</explain>
      <paraID>255E3FE0</paraID>
      <start>14</start>
      <end>15</end>
      <status>unmodified</status>
      <modifiedWord/>
      <trackRevisions>false</trackRevisions>
    </reviewItem>
    <reviewItem>
      <errorID>b96ffe7c-9fdb-49e5-b4c7-5b3aada19273</errorID>
      <errorWord>,</errorWord>
      <group>L1_Format</group>
      <groupName>格式问题</groupName>
      <ability>L2_HalfPunc</ability>
      <abilityName>全半角检查</abilityName>
      <candidateList>
        <item>，</item>
      </candidateList>
      <explain>文本全半角错误。</explain>
      <paraID>126DC561</paraID>
      <start>11</start>
      <end>12</end>
      <status>unmodified</status>
      <modifiedWord/>
      <trackRevisions>false</trackRevisions>
    </reviewItem>
    <reviewItem>
      <errorID>4d342e69-9131-403a-8e86-685a57927bc4</errorID>
      <errorWord>沥清</errorWord>
      <group>L1_Word</group>
      <groupName>字词问题</groupName>
      <ability>L2_Typo</ability>
      <abilityName>字词错误</abilityName>
      <candidateList>
        <item>沥青</item>
      </candidateList>
      <explain/>
      <paraID>4F4D9A44</paraID>
      <start>11</start>
      <end>13</end>
      <status>unmodified</status>
      <modifiedWord/>
      <trackRevisions>false</trackRevisions>
    </reviewItem>
    <reviewItem>
      <errorID>969335b6-ef0c-43a6-89cf-149e381feab9</errorID>
      <errorWord>,</errorWord>
      <group>L1_Format</group>
      <groupName>格式问题</groupName>
      <ability>L2_HalfPunc</ability>
      <abilityName>全半角检查</abilityName>
      <candidateList>
        <item>，</item>
      </candidateList>
      <explain>文本全半角错误。</explain>
      <paraID>4F4D9A44</paraID>
      <start>25</start>
      <end>26</end>
      <status>unmodified</status>
      <modifiedWord/>
      <trackRevisions>false</trackRevisions>
    </reviewItem>
    <reviewItem>
      <errorID>c4e3ef76-a7e4-4796-85d5-107d0dbee168</errorID>
      <errorWord>45%~55%</errorWord>
      <group>L1_Knowledge</group>
      <groupName>知识性问题</groupName>
      <ability>L2_Knowledge</ability>
      <abilityName>其他知识</abilityName>
      <candidateList>
        <item>45%～55%</item>
      </candidateList>
      <explain>1. “45%~55%”中的单位“%”仅出现在后一个数字上，容易引起歧义；根据《现代汉语标点符号数字用法规范手册》，数字表示范围两边需要使用统一的格式。2. 根据标点国标 4.13 中的规则，数字、时间或地域连接符应使用（视觉上更长的）“—”或“～”。</explain>
      <paraID>35D5022A</paraID>
      <start>31</start>
      <end>38</end>
      <status>unmodified</status>
      <modifiedWord/>
      <trackRevisions>false</trackRevisions>
    </reviewItem>
    <reviewItem>
      <errorID>d3dc9028-dc5a-475b-b7b5-5f968f3f6654</errorID>
      <errorWord>运需</errorWord>
      <group>L1_Word</group>
      <groupName>字词问题</groupName>
      <ability>L2_Typo</ability>
      <abilityName>字词错误</abilityName>
      <candidateList>
        <item>运</item>
      </candidateList>
      <explain/>
      <paraID>35D5022A</paraID>
      <start>61</start>
      <end>63</end>
      <status>unmodified</status>
      <modifiedWord/>
      <trackRevisions>false</trackRevisions>
    </reviewItem>
    <reviewItem>
      <errorID>27dd2d15-2224-44cf-8cf9-c9e191318a98</errorID>
      <errorWord>清冼</errorWord>
      <group>L1_Word</group>
      <groupName>字词问题</groupName>
      <ability>L2_Typo</ability>
      <abilityName>字词错误</abilityName>
      <candidateList>
        <item>清洗</item>
      </candidateList>
      <explain/>
      <paraID> B1210CE</paraID>
      <start>4</start>
      <end>6</end>
      <status>unmodified</status>
      <modifiedWord/>
      <trackRevisions>false</trackRevisions>
    </reviewItem>
    <reviewItem>
      <errorID>6cd4b5f7-4d1e-4da9-848d-dcb75b37575c</errorID>
      <errorWord>清冼</errorWord>
      <group>L1_Word</group>
      <groupName>字词问题</groupName>
      <ability>L2_Typo</ability>
      <abilityName>字词错误</abilityName>
      <candidateList>
        <item>清洗</item>
      </candidateList>
      <explain>存在字形相近字词的误用。</explain>
      <paraID> 58B0BBB</paraID>
      <start>5</start>
      <end>7</end>
      <status>unmodified</status>
      <modifiedWord/>
      <trackRevisions>false</trackRevisions>
    </reviewItem>
    <reviewItem>
      <errorID>804b7360-4a53-469a-b721-5b61a179279f</errorID>
      <errorWord>KW</errorWord>
      <group>L1_Word</group>
      <groupName>字词问题</groupName>
      <ability>L2_Typo</ability>
      <abilityName>字词错误</abilityName>
      <candidateList>
        <item>kW</item>
      </candidateList>
      <explain/>
      <paraID>770E78E4</paraID>
      <start>2</start>
      <end>4</end>
      <status>unmodified</status>
      <modifiedWord/>
      <trackRevisions>false</trackRevisions>
    </reviewItem>
    <reviewItem>
      <errorID>d9de3997-45de-4998-8ee8-9fc544fcd590</errorID>
      <errorWord>水水</errorWord>
      <group>L1_Word</group>
      <groupName>字词问题</groupName>
      <ability>L2_Typo</ability>
      <abilityName>字词错误</abilityName>
      <candidateList>
        <item>水</item>
      </candidateList>
      <explain/>
      <paraID>7FC5A619</paraID>
      <start>6</start>
      <end>8</end>
      <status>unmodified</status>
      <modifiedWord/>
      <trackRevisions>false</trackRevisions>
    </reviewItem>
    <reviewItem>
      <errorID>60f89bca-f340-44e7-adc5-35b5b0d318e6</errorID>
      <errorWord>声纳</errorWord>
      <group>L1_Word</group>
      <groupName>字词问题</groupName>
      <ability>L2_Typo</ability>
      <abilityName>字词错误</abilityName>
      <candidateList>
        <item>声呐</item>
      </candidateList>
      <explain/>
      <paraID>70B96934</paraID>
      <start>0</start>
      <end>2</end>
      <status>unmodified</status>
      <modifiedWord/>
      <trackRevisions>false</trackRevisions>
    </reviewItem>
    <reviewItem>
      <errorID>4b088bca-f594-4f58-8de0-d536462dd858</errorID>
      <errorWord>声纳</errorWord>
      <group>L1_Word</group>
      <groupName>字词问题</groupName>
      <ability>L2_Typo</ability>
      <abilityName>字词错误</abilityName>
      <candidateList>
        <item>声呐</item>
      </candidateList>
      <explain/>
      <paraID> 853AA33</paraID>
      <start>26</start>
      <end>28</end>
      <status>unmodified</status>
      <modifiedWord/>
      <trackRevisions>false</trackRevisions>
    </reviewItem>
    <reviewItem>
      <errorID>7f6db18d-192e-4126-aeff-8bbcd2e8a493</errorID>
      <errorWord>积泥积泥</errorWord>
      <group>L1_Word</group>
      <groupName>字词问题</groupName>
      <ability>L2_Typo</ability>
      <abilityName>字词错误</abilityName>
      <candidateList>
        <item>积泥</item>
      </candidateList>
      <explain/>
      <paraID>3ECA4F9C</paraID>
      <start>39</start>
      <end>43</end>
      <status>unmodified</status>
      <modifiedWord/>
      <trackRevisions>false</trackRevisions>
    </reviewItem>
    <reviewItem>
      <errorID>196cc801-0b49-4a1f-8cab-4e55c1a1bcec</errorID>
      <errorWord>积泥积泥</errorWord>
      <group>L1_Word</group>
      <groupName>字词问题</groupName>
      <ability>L2_Typo</ability>
      <abilityName>字词错误</abilityName>
      <candidateList>
        <item>积泥</item>
      </candidateList>
      <explain/>
      <paraID>6DAAC9C8</paraID>
      <start>39</start>
      <end>43</end>
      <status>unmodified</status>
      <modifiedWord/>
      <trackRevisions>false</trackRevisions>
    </reviewItem>
    <reviewItem>
      <errorID>7753bf49-3fa7-43de-9fb6-4f529982d676</errorID>
      <errorWord>无忧检测</errorWord>
      <group>L1_Knowledge</group>
      <groupName>知识性问题</groupName>
      <ability>L2_Term</ability>
      <abilityName>专业术语</abilityName>
      <candidateList>
        <item>无损检测</item>
      </candidateList>
      <explain/>
      <paraID>7530D0B1</paraID>
      <start>69</start>
      <end>73</end>
      <status>unmodified</status>
      <modifiedWord/>
      <trackRevisions>false</trackRevisions>
    </reviewItem>
    <reviewItem>
      <errorID>032a5a19-ac1b-454f-b625-2de847c63412</errorID>
      <errorWord>,</errorWord>
      <group>L1_Format</group>
      <groupName>格式问题</groupName>
      <ability>L2_HalfPunc</ability>
      <abilityName>全半角检查</abilityName>
      <candidateList>
        <item>，</item>
      </candidateList>
      <explain>文本全半角错误。</explain>
      <paraID>10C925F9</paraID>
      <start>13</start>
      <end>14</end>
      <status>unmodified</status>
      <modifiedWord/>
      <trackRevisions>false</trackRevisions>
    </reviewItem>
    <reviewItem>
      <errorID>c23c3f48-96bd-4b37-b8af-242933679cc0</errorID>
      <errorWord>雨水篦子</errorWord>
      <group>L1_Word</group>
      <groupName>字词问题</groupName>
      <ability>L2_Typo</ability>
      <abilityName>字词错误</abilityName>
      <candidateList>
        <item>雨水箅子</item>
      </candidateList>
      <explain/>
      <paraID>3F9561EF</paraID>
      <start>0</start>
      <end>4</end>
      <status>unmodified</status>
      <modifiedWord/>
      <trackRevisions>false</trackRevisions>
    </reviewItem>
    <reviewItem>
      <errorID>a747fac8-982a-4a02-8b17-c0f733fd7298</errorID>
      <errorWord>雨水篦子</errorWord>
      <group>L1_Word</group>
      <groupName>字词问题</groupName>
      <ability>L2_Typo</ability>
      <abilityName>字词错误</abilityName>
      <candidateList>
        <item>雨水箅子</item>
      </candidateList>
      <explain/>
      <paraID>368EC90E</paraID>
      <start>5</start>
      <end>9</end>
      <status>unmodified</status>
      <modifiedWord/>
      <trackRevisions>false</trackRevisions>
    </reviewItem>
    <reviewItem>
      <errorID>d1000b46-3c0b-436a-822f-0513c780d3c9</errorID>
      <errorWord>45%~55%</errorWord>
      <group>L1_Knowledge</group>
      <groupName>知识性问题</groupName>
      <ability>L2_Knowledge</ability>
      <abilityName>其他知识</abilityName>
      <candidateList>
        <item>45%～55%</item>
      </candidateList>
      <explain>1. “45%~55%”中的单位“%”仅出现在后一个数字上，容易引起歧义；根据《现代汉语标点符号数字用法规范手册》，数字表示范围两边需要使用统一的格式。2. 根据标点国标 4.13 中的规则，数字、时间或地域连接符应使用（视觉上更长的）“—”或“～”。</explain>
      <paraID>3355C18E</paraID>
      <start>31</start>
      <end>38</end>
      <status>unmodified</status>
      <modifiedWord/>
      <trackRevisions>false</trackRevisions>
    </reviewItem>
    <reviewItem>
      <errorID>895ba3b0-b7c4-4f27-92df-b55142f21ade</errorID>
      <errorWord>运需</errorWord>
      <group>L1_Word</group>
      <groupName>字词问题</groupName>
      <ability>L2_Typo</ability>
      <abilityName>字词错误</abilityName>
      <candidateList>
        <item>运</item>
      </candidateList>
      <explain/>
      <paraID>3355C18E</paraID>
      <start>61</start>
      <end>63</end>
      <status>unmodified</status>
      <modifiedWord/>
      <trackRevisions>false</trackRevisions>
    </reviewItem>
    <reviewItem>
      <errorID>9404438d-1a82-4038-92be-76b7374be934</errorID>
      <errorWord>,</errorWord>
      <group>L1_Format</group>
      <groupName>格式问题</groupName>
      <ability>L2_HalfPunc</ability>
      <abilityName>全半角检查</abilityName>
      <candidateList>
        <item>，</item>
      </candidateList>
      <explain>文本全半角错误。</explain>
      <paraID>20D0FC7A</paraID>
      <start>10</start>
      <end>11</end>
      <status>unmodified</status>
      <modifiedWord/>
      <trackRevisions>false</trackRevisions>
    </reviewItem>
    <reviewItem>
      <errorID>b8e4e164-e076-489b-a29f-0c1a87aa9701</errorID>
      <errorWord>,</errorWord>
      <group>L1_Format</group>
      <groupName>格式问题</groupName>
      <ability>L2_HalfPunc</ability>
      <abilityName>全半角检查</abilityName>
      <candidateList>
        <item>，</item>
      </candidateList>
      <explain>文本全半角错误。</explain>
      <paraID>20D0FC7A</paraID>
      <start>20</start>
      <end>21</end>
      <status>unmodified</status>
      <modifiedWord/>
      <trackRevisions>false</trackRevisions>
    </reviewItem>
    <reviewItem>
      <errorID>cf8479ff-f9da-4b0c-871b-f78c31de9fec</errorID>
      <errorWord>,</errorWord>
      <group>L1_Format</group>
      <groupName>格式问题</groupName>
      <ability>L2_HalfPunc</ability>
      <abilityName>全半角检查</abilityName>
      <candidateList>
        <item>，</item>
      </candidateList>
      <explain>文本全半角错误。</explain>
      <paraID>405D91FF</paraID>
      <start>10</start>
      <end>11</end>
      <status>unmodified</status>
      <modifiedWord/>
      <trackRevisions>false</trackRevisions>
    </reviewItem>
    <reviewItem>
      <errorID>7770ea1f-2e2f-4c7b-ae06-fa281b8829f1</errorID>
      <errorWord>,</errorWord>
      <group>L1_Format</group>
      <groupName>格式问题</groupName>
      <ability>L2_HalfPunc</ability>
      <abilityName>全半角检查</abilityName>
      <candidateList>
        <item>，</item>
      </candidateList>
      <explain>文本全半角错误。</explain>
      <paraID>42ED31A9</paraID>
      <start>10</start>
      <end>11</end>
      <status>unmodified</status>
      <modifiedWord/>
      <trackRevisions>false</trackRevisions>
    </reviewItem>
    <reviewItem>
      <errorID>32b36eba-c543-42d1-ac3c-51288eede3fd</errorID>
      <errorWord>,</errorWord>
      <group>L1_Format</group>
      <groupName>格式问题</groupName>
      <ability>L2_HalfPunc</ability>
      <abilityName>全半角检查</abilityName>
      <candidateList>
        <item>，</item>
      </candidateList>
      <explain>文本全半角错误。</explain>
      <paraID>42ED31A9</paraID>
      <start>20</start>
      <end>21</end>
      <status>unmodified</status>
      <modifiedWord/>
      <trackRevisions>false</trackRevisions>
    </reviewItem>
    <reviewItem>
      <errorID>eb1f9dbc-860b-4ab1-bd1b-5eaf7ddc0989</errorID>
      <errorWord>,</errorWord>
      <group>L1_Format</group>
      <groupName>格式问题</groupName>
      <ability>L2_HalfPunc</ability>
      <abilityName>全半角检查</abilityName>
      <candidateList>
        <item>，</item>
      </candidateList>
      <explain>文本全半角错误。</explain>
      <paraID>302FEBE2</paraID>
      <start>10</start>
      <end>11</end>
      <status>unmodified</status>
      <modifiedWord/>
      <trackRevisions>false</trackRevisions>
    </reviewItem>
    <reviewItem>
      <errorID>480bd152-9dcd-4a80-9eb8-3915295fda59</errorID>
      <errorWord>,</errorWord>
      <group>L1_Format</group>
      <groupName>格式问题</groupName>
      <ability>L2_HalfPunc</ability>
      <abilityName>全半角检查</abilityName>
      <candidateList>
        <item>，</item>
      </candidateList>
      <explain>文本全半角错误。</explain>
      <paraID> 137610B</paraID>
      <start>10</start>
      <end>11</end>
      <status>unmodified</status>
      <modifiedWord/>
      <trackRevisions>false</trackRevisions>
    </reviewItem>
    <reviewItem>
      <errorID>de8027b3-cfbb-40b3-bd00-462a878a3275</errorID>
      <errorWord>,</errorWord>
      <group>L1_Format</group>
      <groupName>格式问题</groupName>
      <ability>L2_HalfPunc</ability>
      <abilityName>全半角检查</abilityName>
      <candidateList>
        <item>，</item>
      </candidateList>
      <explain>文本全半角错误。</explain>
      <paraID> 137610B</paraID>
      <start>20</start>
      <end>21</end>
      <status>unmodified</status>
      <modifiedWord/>
      <trackRevisions>false</trackRevisions>
    </reviewItem>
    <reviewItem>
      <errorID>50ee23d4-2768-4c62-b06e-896d70f0e259</errorID>
      <errorWord>,</errorWord>
      <group>L1_Format</group>
      <groupName>格式问题</groupName>
      <ability>L2_HalfPunc</ability>
      <abilityName>全半角检查</abilityName>
      <candidateList>
        <item>，</item>
      </candidateList>
      <explain>文本全半角错误。</explain>
      <paraID>508B89BC</paraID>
      <start>10</start>
      <end>11</end>
      <status>unmodified</status>
      <modifiedWord/>
      <trackRevisions>false</trackRevisions>
    </reviewItem>
    <reviewItem>
      <errorID>6beabb88-62c0-400e-a5e3-5bb79962df31</errorID>
      <errorWord>,</errorWord>
      <group>L1_Format</group>
      <groupName>格式问题</groupName>
      <ability>L2_HalfPunc</ability>
      <abilityName>全半角检查</abilityName>
      <candidateList>
        <item>，</item>
      </candidateList>
      <explain>文本全半角错误。</explain>
      <paraID>3C5218A3</paraID>
      <start>10</start>
      <end>11</end>
      <status>unmodified</status>
      <modifiedWord/>
      <trackRevisions>false</trackRevisions>
    </reviewItem>
    <reviewItem>
      <errorID>15305ff4-9442-413a-84e0-6b64adfd877a</errorID>
      <errorWord>,</errorWord>
      <group>L1_Format</group>
      <groupName>格式问题</groupName>
      <ability>L2_HalfPunc</ability>
      <abilityName>全半角检查</abilityName>
      <candidateList>
        <item>，</item>
      </candidateList>
      <explain>文本全半角错误。</explain>
      <paraID>3C5218A3</paraID>
      <start>20</start>
      <end>21</end>
      <status>unmodified</status>
      <modifiedWord/>
      <trackRevisions>false</trackRevisions>
    </reviewItem>
    <reviewItem>
      <errorID>3f2ccfad-390a-407e-bcd3-cd5bc1b14096</errorID>
      <errorWord>,</errorWord>
      <group>L1_Format</group>
      <groupName>格式问题</groupName>
      <ability>L2_HalfPunc</ability>
      <abilityName>全半角检查</abilityName>
      <candidateList>
        <item>，</item>
      </candidateList>
      <explain>文本全半角错误。</explain>
      <paraID> F4BB54C</paraID>
      <start>10</start>
      <end>11</end>
      <status>unmodified</status>
      <modifiedWord/>
      <trackRevisions>false</trackRevisions>
    </reviewItem>
    <reviewItem>
      <errorID>ef558765-f763-4d4c-b02c-c93ba370bb94</errorID>
      <errorWord>,</errorWord>
      <group>L1_Format</group>
      <groupName>格式问题</groupName>
      <ability>L2_HalfPunc</ability>
      <abilityName>全半角检查</abilityName>
      <candidateList>
        <item>，</item>
      </candidateList>
      <explain>文本全半角错误。</explain>
      <paraID>1EA1269E</paraID>
      <start>10</start>
      <end>11</end>
      <status>unmodified</status>
      <modifiedWord/>
      <trackRevisions>false</trackRevisions>
    </reviewItem>
    <reviewItem>
      <errorID>30027a15-cda2-4b4c-a047-442a18a5ef42</errorID>
      <errorWord>,</errorWord>
      <group>L1_Format</group>
      <groupName>格式问题</groupName>
      <ability>L2_HalfPunc</ability>
      <abilityName>全半角检查</abilityName>
      <candidateList>
        <item>，</item>
      </candidateList>
      <explain>文本全半角错误。</explain>
      <paraID>1EA1269E</paraID>
      <start>20</start>
      <end>21</end>
      <status>unmodified</status>
      <modifiedWord/>
      <trackRevisions>false</trackRevisions>
    </reviewItem>
    <reviewItem>
      <errorID>d3caa95e-d46d-4d53-841b-9c32f6a17b85</errorID>
      <errorWord>,</errorWord>
      <group>L1_Format</group>
      <groupName>格式问题</groupName>
      <ability>L2_HalfPunc</ability>
      <abilityName>全半角检查</abilityName>
      <candidateList>
        <item>，</item>
      </candidateList>
      <explain>文本全半角错误。</explain>
      <paraID>79B15F2E</paraID>
      <start>10</start>
      <end>11</end>
      <status>unmodified</status>
      <modifiedWord/>
      <trackRevisions>false</trackRevisions>
    </reviewItem>
    <reviewItem>
      <errorID>d2f6de85-2fd2-4ca1-8e0b-9a2f1d2d424f</errorID>
      <errorWord>,</errorWord>
      <group>L1_Format</group>
      <groupName>格式问题</groupName>
      <ability>L2_HalfPunc</ability>
      <abilityName>全半角检查</abilityName>
      <candidateList>
        <item>，</item>
      </candidateList>
      <explain>文本全半角错误。</explain>
      <paraID>2A7F6436</paraID>
      <start>11</start>
      <end>12</end>
      <status>unmodified</status>
      <modifiedWord/>
      <trackRevisions>false</trackRevisions>
    </reviewItem>
    <reviewItem>
      <errorID>a2455c5f-d197-4447-ac1d-27c5aba881f6</errorID>
      <errorWord>,</errorWord>
      <group>L1_Format</group>
      <groupName>格式问题</groupName>
      <ability>L2_HalfPunc</ability>
      <abilityName>全半角检查</abilityName>
      <candidateList>
        <item>，</item>
      </candidateList>
      <explain>文本全半角错误。</explain>
      <paraID>2A7F6436</paraID>
      <start>21</start>
      <end>22</end>
      <status>unmodified</status>
      <modifiedWord/>
      <trackRevisions>false</trackRevisions>
    </reviewItem>
    <reviewItem>
      <errorID>f448395a-b8cb-4a04-9e01-86feaa9ee78e</errorID>
      <errorWord>,</errorWord>
      <group>L1_Format</group>
      <groupName>格式问题</groupName>
      <ability>L2_HalfPunc</ability>
      <abilityName>全半角检查</abilityName>
      <candidateList>
        <item>，</item>
      </candidateList>
      <explain>文本全半角错误。</explain>
      <paraID>529960D9</paraID>
      <start>11</start>
      <end>12</end>
      <status>unmodified</status>
      <modifiedWord/>
      <trackRevisions>false</trackRevisions>
    </reviewItem>
    <reviewItem>
      <errorID>81f02b06-bc41-40ea-9583-eb0c59256d1b</errorID>
      <errorWord>,</errorWord>
      <group>L1_Format</group>
      <groupName>格式问题</groupName>
      <ability>L2_HalfPunc</ability>
      <abilityName>全半角检查</abilityName>
      <candidateList>
        <item>，</item>
      </candidateList>
      <explain>文本全半角错误。</explain>
      <paraID>5F91AA7B</paraID>
      <start>11</start>
      <end>12</end>
      <status>unmodified</status>
      <modifiedWord/>
      <trackRevisions>false</trackRevisions>
    </reviewItem>
    <reviewItem>
      <errorID>a28ede50-f06d-4461-a868-7cd996c68d38</errorID>
      <errorWord>,</errorWord>
      <group>L1_Format</group>
      <groupName>格式问题</groupName>
      <ability>L2_HalfPunc</ability>
      <abilityName>全半角检查</abilityName>
      <candidateList>
        <item>，</item>
      </candidateList>
      <explain>文本全半角错误。</explain>
      <paraID>5F91AA7B</paraID>
      <start>21</start>
      <end>22</end>
      <status>unmodified</status>
      <modifiedWord/>
      <trackRevisions>false</trackRevisions>
    </reviewItem>
    <reviewItem>
      <errorID>72fd3921-72ed-4b42-a959-60d829fec62f</errorID>
      <errorWord>,</errorWord>
      <group>L1_Format</group>
      <groupName>格式问题</groupName>
      <ability>L2_HalfPunc</ability>
      <abilityName>全半角检查</abilityName>
      <candidateList>
        <item>，</item>
      </candidateList>
      <explain>文本全半角错误。</explain>
      <paraID>5C54B6F9</paraID>
      <start>11</start>
      <end>12</end>
      <status>unmodified</status>
      <modifiedWord/>
      <trackRevisions>false</trackRevisions>
    </reviewItem>
    <reviewItem>
      <errorID>d3428b74-faaa-4d22-ba0f-0c18c6189101</errorID>
      <errorWord>,</errorWord>
      <group>L1_Format</group>
      <groupName>格式问题</groupName>
      <ability>L2_HalfPunc</ability>
      <abilityName>全半角检查</abilityName>
      <candidateList>
        <item>，</item>
      </candidateList>
      <explain>文本全半角错误。</explain>
      <paraID>50DE82FE</paraID>
      <start>11</start>
      <end>12</end>
      <status>unmodified</status>
      <modifiedWord/>
      <trackRevisions>false</trackRevisions>
    </reviewItem>
    <reviewItem>
      <errorID>747c0ebf-14fa-4179-8a26-051f6e41f42b</errorID>
      <errorWord>,</errorWord>
      <group>L1_Format</group>
      <groupName>格式问题</groupName>
      <ability>L2_HalfPunc</ability>
      <abilityName>全半角检查</abilityName>
      <candidateList>
        <item>，</item>
      </candidateList>
      <explain>文本全半角错误。</explain>
      <paraID>50DE82FE</paraID>
      <start>21</start>
      <end>22</end>
      <status>unmodified</status>
      <modifiedWord/>
      <trackRevisions>false</trackRevisions>
    </reviewItem>
    <reviewItem>
      <errorID>b49c6a23-6f2d-4908-a539-fa8e81e34762</errorID>
      <errorWord>,</errorWord>
      <group>L1_Format</group>
      <groupName>格式问题</groupName>
      <ability>L2_HalfPunc</ability>
      <abilityName>全半角检查</abilityName>
      <candidateList>
        <item>，</item>
      </candidateList>
      <explain>文本全半角错误。</explain>
      <paraID>38FB64EB</paraID>
      <start>11</start>
      <end>12</end>
      <status>unmodified</status>
      <modifiedWord/>
      <trackRevisions>false</trackRevisions>
    </reviewItem>
    <reviewItem>
      <errorID>003c77d8-2250-4f55-aff1-b70cc899daad</errorID>
      <errorWord>沥清</errorWord>
      <group>L1_Word</group>
      <groupName>字词问题</groupName>
      <ability>L2_Typo</ability>
      <abilityName>字词错误</abilityName>
      <candidateList>
        <item>沥青</item>
      </candidateList>
      <explain/>
      <paraID>46408F12</paraID>
      <start>4</start>
      <end>6</end>
      <status>unmodified</status>
      <modifiedWord/>
      <trackRevisions>false</trackRevisions>
    </reviewItem>
    <reviewItem>
      <errorID>e76e379d-9cfd-48e5-9763-c455160deae6</errorID>
      <errorWord>,</errorWord>
      <group>L1_Format</group>
      <groupName>格式问题</groupName>
      <ability>L2_HalfPunc</ability>
      <abilityName>全半角检查</abilityName>
      <candidateList>
        <item>，</item>
      </candidateList>
      <explain>文本全半角错误。</explain>
      <paraID>46408F12</paraID>
      <start>14</start>
      <end>15</end>
      <status>unmodified</status>
      <modifiedWord/>
      <trackRevisions>false</trackRevisions>
    </reviewItem>
    <reviewItem>
      <errorID>03df8fde-a7c6-49d2-a1b9-fb7868b47eb4</errorID>
      <errorWord>,</errorWord>
      <group>L1_Format</group>
      <groupName>格式问题</groupName>
      <ability>L2_HalfPunc</ability>
      <abilityName>全半角检查</abilityName>
      <candidateList>
        <item>，</item>
      </candidateList>
      <explain>文本全半角错误。</explain>
      <paraID>47C92982</paraID>
      <start>11</start>
      <end>12</end>
      <status>unmodified</status>
      <modifiedWord/>
      <trackRevisions>false</trackRevisions>
    </reviewItem>
    <reviewItem>
      <errorID>dfd090f7-9bfe-47b0-9ca5-041c3fb26c53</errorID>
      <errorWord>沥清</errorWord>
      <group>L1_Word</group>
      <groupName>字词问题</groupName>
      <ability>L2_Typo</ability>
      <abilityName>字词错误</abilityName>
      <candidateList>
        <item>沥青</item>
      </candidateList>
      <explain/>
      <paraID> 5CD8112</paraID>
      <start>11</start>
      <end>13</end>
      <status>unmodified</status>
      <modifiedWord/>
      <trackRevisions>false</trackRevisions>
    </reviewItem>
    <reviewItem>
      <errorID>808f605c-21c0-40c2-93cb-851df95ded0f</errorID>
      <errorWord>,</errorWord>
      <group>L1_Format</group>
      <groupName>格式问题</groupName>
      <ability>L2_HalfPunc</ability>
      <abilityName>全半角检查</abilityName>
      <candidateList>
        <item>，</item>
      </candidateList>
      <explain>文本全半角错误。</explain>
      <paraID> 5CD8112</paraID>
      <start>25</start>
      <end>26</end>
      <status>unmodified</status>
      <modifiedWord/>
      <trackRevisions>false</trackRevisions>
    </reviewItem>
    <reviewItem>
      <errorID>380f5aea-8156-4d4f-93e2-908232eee366</errorID>
      <errorWord>45%~55%</errorWord>
      <group>L1_Knowledge</group>
      <groupName>知识性问题</groupName>
      <ability>L2_Knowledge</ability>
      <abilityName>其他知识</abilityName>
      <candidateList>
        <item>45%～55%</item>
      </candidateList>
      <explain>1. “45%~55%”中的单位“%”仅出现在后一个数字上，容易引起歧义；根据《现代汉语标点符号数字用法规范手册》，数字表示范围两边需要使用统一的格式。2. 根据标点国标 4.13 中的规则，数字、时间或地域连接符应使用（视觉上更长的）“—”或“～”。</explain>
      <paraID>35845B29</paraID>
      <start>31</start>
      <end>38</end>
      <status>unmodified</status>
      <modifiedWord/>
      <trackRevisions>false</trackRevisions>
    </reviewItem>
    <reviewItem>
      <errorID>dd224a2c-783a-415c-87fb-6473461f83d3</errorID>
      <errorWord>运需</errorWord>
      <group>L1_Word</group>
      <groupName>字词问题</groupName>
      <ability>L2_Typo</ability>
      <abilityName>字词错误</abilityName>
      <candidateList>
        <item>运</item>
      </candidateList>
      <explain/>
      <paraID>35845B29</paraID>
      <start>61</start>
      <end>63</end>
      <status>unmodified</status>
      <modifiedWord/>
      <trackRevisions>false</trackRevisions>
    </reviewItem>
    <reviewItem>
      <errorID>ef743fd2-b3a7-430e-92db-4283bc62d389</errorID>
      <errorWord>清冼</errorWord>
      <group>L1_Word</group>
      <groupName>字词问题</groupName>
      <ability>L2_Typo</ability>
      <abilityName>字词错误</abilityName>
      <candidateList>
        <item>清洗</item>
      </candidateList>
      <explain/>
      <paraID>3926947D</paraID>
      <start>4</start>
      <end>6</end>
      <status>unmodified</status>
      <modifiedWord/>
      <trackRevisions>false</trackRevisions>
    </reviewItem>
    <reviewItem>
      <errorID>268465bf-361d-4497-8642-d2299f5c7e8c</errorID>
      <errorWord>清冼</errorWord>
      <group>L1_Word</group>
      <groupName>字词问题</groupName>
      <ability>L2_Typo</ability>
      <abilityName>字词错误</abilityName>
      <candidateList>
        <item>清洗</item>
      </candidateList>
      <explain/>
      <paraID>207784A3</paraID>
      <start>5</start>
      <end>7</end>
      <status>unmodified</status>
      <modifiedWord/>
      <trackRevisions>false</trackRevisions>
    </reviewItem>
    <reviewItem>
      <errorID>749dd7d4-26f4-4ab1-8fe7-bae1c89f3c29</errorID>
      <errorWord>KW</errorWord>
      <group>L1_Word</group>
      <groupName>字词问题</groupName>
      <ability>L2_Typo</ability>
      <abilityName>字词错误</abilityName>
      <candidateList>
        <item>kW</item>
      </candidateList>
      <explain/>
      <paraID>40581550</paraID>
      <start>2</start>
      <end>4</end>
      <status>unmodified</status>
      <modifiedWord/>
      <trackRevisions>false</trackRevisions>
    </reviewItem>
    <reviewItem>
      <errorID>02a02d30-a745-48df-8dd9-587ad8cdb38d</errorID>
      <errorWord>水水</errorWord>
      <group>L1_Word</group>
      <groupName>字词问题</groupName>
      <ability>L2_Typo</ability>
      <abilityName>字词错误</abilityName>
      <candidateList>
        <item>水</item>
      </candidateList>
      <explain/>
      <paraID>10AC1ABB</paraID>
      <start>6</start>
      <end>8</end>
      <status>unmodified</status>
      <modifiedWord/>
      <trackRevisions>false</trackRevisions>
    </reviewItem>
    <reviewItem>
      <errorID>09dbab56-923f-4f3d-94a6-d146311b4f4f</errorID>
      <errorWord>声纳</errorWord>
      <group>L1_Word</group>
      <groupName>字词问题</groupName>
      <ability>L2_Typo</ability>
      <abilityName>字词错误</abilityName>
      <candidateList>
        <item>声呐</item>
      </candidateList>
      <explain/>
      <paraID>5AA0BA99</paraID>
      <start>0</start>
      <end>2</end>
      <status>unmodified</status>
      <modifiedWord/>
      <trackRevisions>false</trackRevisions>
    </reviewItem>
    <reviewItem>
      <errorID>beeda680-60e1-4fda-a5cd-fe5c591c5e9d</errorID>
      <errorWord>声纳</errorWord>
      <group>L1_Word</group>
      <groupName>字词问题</groupName>
      <ability>L2_Typo</ability>
      <abilityName>字词错误</abilityName>
      <candidateList>
        <item>声呐</item>
      </candidateList>
      <explain/>
      <paraID>1653D40B</paraID>
      <start>26</start>
      <end>28</end>
      <status>unmodified</status>
      <modifiedWord/>
      <trackRevisions>false</trackRevisions>
    </reviewItem>
    <reviewItem>
      <errorID>25ac0535-5428-4f8a-95d9-eff99344b7e7</errorID>
      <errorWord>积泥积泥</errorWord>
      <group>L1_Word</group>
      <groupName>字词问题</groupName>
      <ability>L2_Typo</ability>
      <abilityName>字词错误</abilityName>
      <candidateList>
        <item>积泥</item>
      </candidateList>
      <explain/>
      <paraID>7112402A</paraID>
      <start>39</start>
      <end>43</end>
      <status>unmodified</status>
      <modifiedWord/>
      <trackRevisions>false</trackRevisions>
    </reviewItem>
    <reviewItem>
      <errorID>f2581c46-8b83-4228-b916-0105a2575429</errorID>
      <errorWord>积泥积泥</errorWord>
      <group>L1_Word</group>
      <groupName>字词问题</groupName>
      <ability>L2_Typo</ability>
      <abilityName>字词错误</abilityName>
      <candidateList>
        <item>积泥</item>
      </candidateList>
      <explain/>
      <paraID>5BC36AE7</paraID>
      <start>39</start>
      <end>43</end>
      <status>unmodified</status>
      <modifiedWord/>
      <trackRevisions>false</trackRevisions>
    </reviewItem>
    <reviewItem>
      <errorID>4504b34f-97ca-4688-aed5-18469e66b34a</errorID>
      <errorWord>无忧检测</errorWord>
      <group>L1_Knowledge</group>
      <groupName>知识性问题</groupName>
      <ability>L2_Term</ability>
      <abilityName>专业术语</abilityName>
      <candidateList>
        <item>无损检测</item>
      </candidateList>
      <explain/>
      <paraID>214F47B0</paraID>
      <start>69</start>
      <end>73</end>
      <status>unmodified</status>
      <modifiedWord/>
      <trackRevisions>false</trackRevisions>
    </reviewItem>
    <reviewItem>
      <errorID>464dd8d2-8762-4e6c-898e-3b86edb581c7</errorID>
      <errorWord>,</errorWord>
      <group>L1_Format</group>
      <groupName>格式问题</groupName>
      <ability>L2_HalfPunc</ability>
      <abilityName>全半角检查</abilityName>
      <candidateList>
        <item>，</item>
      </candidateList>
      <explain>文本全半角错误。</explain>
      <paraID> 7A756E0</paraID>
      <start>13</start>
      <end>14</end>
      <status>unmodified</status>
      <modifiedWord/>
      <trackRevisions>false</trackRevisions>
    </reviewItem>
    <reviewItem>
      <errorID>b67f4672-27a1-4bd5-bd32-3f2329d387b0</errorID>
      <errorWord>雨水篦子</errorWord>
      <group>L1_Word</group>
      <groupName>字词问题</groupName>
      <ability>L2_Typo</ability>
      <abilityName>字词错误</abilityName>
      <candidateList>
        <item>雨水箅子</item>
      </candidateList>
      <explain/>
      <paraID>59DE9786</paraID>
      <start>0</start>
      <end>4</end>
      <status>unmodified</status>
      <modifiedWord/>
      <trackRevisions>false</trackRevisions>
    </reviewItem>
    <reviewItem>
      <errorID>c6132c68-e949-4adc-991f-24ef98b5104e</errorID>
      <errorWord>雨水篦子</errorWord>
      <group>L1_Word</group>
      <groupName>字词问题</groupName>
      <ability>L2_Typo</ability>
      <abilityName>字词错误</abilityName>
      <candidateList>
        <item>雨水箅子</item>
      </candidateList>
      <explain/>
      <paraID>7B690C9B</paraID>
      <start>5</start>
      <end>9</end>
      <status>unmodified</status>
      <modifiedWord/>
      <trackRevisions>false</trackRevisions>
    </reviewItem>
    <reviewItem>
      <errorID>06eb57bd-261a-4a93-86c9-75e8ffa2ca33</errorID>
      <errorWord>45%~55%</errorWord>
      <group>L1_Knowledge</group>
      <groupName>知识性问题</groupName>
      <ability>L2_Knowledge</ability>
      <abilityName>其他知识</abilityName>
      <candidateList>
        <item>45%～55%</item>
      </candidateList>
      <explain>1. “45%~55%”中的单位“%”仅出现在后一个数字上，容易引起歧义；根据《现代汉语标点符号数字用法规范手册》，数字表示范围两边需要使用统一的格式。2. 根据标点国标 4.13 中的规则，数字、时间或地域连接符应使用（视觉上更长的）“—”或“～”。</explain>
      <paraID>5D9F05E4</paraID>
      <start>31</start>
      <end>38</end>
      <status>unmodified</status>
      <modifiedWord/>
      <trackRevisions>false</trackRevisions>
    </reviewItem>
    <reviewItem>
      <errorID>f40f8fb9-9035-4aac-8ee1-d8af6f071244</errorID>
      <errorWord>运需</errorWord>
      <group>L1_Word</group>
      <groupName>字词问题</groupName>
      <ability>L2_Typo</ability>
      <abilityName>字词错误</abilityName>
      <candidateList>
        <item>运</item>
      </candidateList>
      <explain/>
      <paraID>5D9F05E4</paraID>
      <start>61</start>
      <end>63</end>
      <status>unmodified</status>
      <modifiedWord/>
      <trackRevisions>false</trackRevisions>
    </reviewItem>
    <reviewItem>
      <errorID>8cfad281-2511-4848-85fd-569c1058aa47</errorID>
      <errorWord>,</errorWord>
      <group>L1_Format</group>
      <groupName>格式问题</groupName>
      <ability>L2_HalfPunc</ability>
      <abilityName>全半角检查</abilityName>
      <candidateList>
        <item>，</item>
      </candidateList>
      <explain>文本全半角错误。</explain>
      <paraID>  5DD220</paraID>
      <start>10</start>
      <end>11</end>
      <status>unmodified</status>
      <modifiedWord/>
      <trackRevisions>false</trackRevisions>
    </reviewItem>
    <reviewItem>
      <errorID>6339e779-5398-47ec-8cdf-62b62c72efaf</errorID>
      <errorWord>,</errorWord>
      <group>L1_Format</group>
      <groupName>格式问题</groupName>
      <ability>L2_HalfPunc</ability>
      <abilityName>全半角检查</abilityName>
      <candidateList>
        <item>，</item>
      </candidateList>
      <explain>文本全半角错误。</explain>
      <paraID>  5DD220</paraID>
      <start>20</start>
      <end>21</end>
      <status>unmodified</status>
      <modifiedWord/>
      <trackRevisions>false</trackRevisions>
    </reviewItem>
    <reviewItem>
      <errorID>a26c5efc-fa9d-4295-92a7-922b1c283cbc</errorID>
      <errorWord>,</errorWord>
      <group>L1_Format</group>
      <groupName>格式问题</groupName>
      <ability>L2_HalfPunc</ability>
      <abilityName>全半角检查</abilityName>
      <candidateList>
        <item>，</item>
      </candidateList>
      <explain>文本全半角错误。</explain>
      <paraID>6A2EA2E3</paraID>
      <start>10</start>
      <end>11</end>
      <status>unmodified</status>
      <modifiedWord/>
      <trackRevisions>false</trackRevisions>
    </reviewItem>
    <reviewItem>
      <errorID>7a85ca7b-db32-4d6e-90e2-1c97eebb7ad2</errorID>
      <errorWord>,</errorWord>
      <group>L1_Format</group>
      <groupName>格式问题</groupName>
      <ability>L2_HalfPunc</ability>
      <abilityName>全半角检查</abilityName>
      <candidateList>
        <item>，</item>
      </candidateList>
      <explain>文本全半角错误。</explain>
      <paraID>4DE9B40F</paraID>
      <start>10</start>
      <end>11</end>
      <status>unmodified</status>
      <modifiedWord/>
      <trackRevisions>false</trackRevisions>
    </reviewItem>
    <reviewItem>
      <errorID>67e51d98-673c-4f59-aee8-86af83c9dc18</errorID>
      <errorWord>,</errorWord>
      <group>L1_Format</group>
      <groupName>格式问题</groupName>
      <ability>L2_HalfPunc</ability>
      <abilityName>全半角检查</abilityName>
      <candidateList>
        <item>，</item>
      </candidateList>
      <explain>文本全半角错误。</explain>
      <paraID>4DE9B40F</paraID>
      <start>20</start>
      <end>21</end>
      <status>unmodified</status>
      <modifiedWord/>
      <trackRevisions>false</trackRevisions>
    </reviewItem>
    <reviewItem>
      <errorID>57c5f7e3-1f65-4432-96bf-627c5f606848</errorID>
      <errorWord>,</errorWord>
      <group>L1_Format</group>
      <groupName>格式问题</groupName>
      <ability>L2_HalfPunc</ability>
      <abilityName>全半角检查</abilityName>
      <candidateList>
        <item>，</item>
      </candidateList>
      <explain>文本全半角错误。</explain>
      <paraID> 2E3E3F5</paraID>
      <start>10</start>
      <end>11</end>
      <status>unmodified</status>
      <modifiedWord/>
      <trackRevisions>false</trackRevisions>
    </reviewItem>
    <reviewItem>
      <errorID>5e5249d1-73f2-4e6a-86d2-96775492f451</errorID>
      <errorWord>,</errorWord>
      <group>L1_Format</group>
      <groupName>格式问题</groupName>
      <ability>L2_HalfPunc</ability>
      <abilityName>全半角检查</abilityName>
      <candidateList>
        <item>，</item>
      </candidateList>
      <explain>文本全半角错误。</explain>
      <paraID>797010B6</paraID>
      <start>10</start>
      <end>11</end>
      <status>unmodified</status>
      <modifiedWord/>
      <trackRevisions>false</trackRevisions>
    </reviewItem>
    <reviewItem>
      <errorID>ff9370fa-3673-4e58-82d7-364f18ed5fc7</errorID>
      <errorWord>,</errorWord>
      <group>L1_Format</group>
      <groupName>格式问题</groupName>
      <ability>L2_HalfPunc</ability>
      <abilityName>全半角检查</abilityName>
      <candidateList>
        <item>，</item>
      </candidateList>
      <explain>文本全半角错误。</explain>
      <paraID>797010B6</paraID>
      <start>20</start>
      <end>21</end>
      <status>unmodified</status>
      <modifiedWord/>
      <trackRevisions>false</trackRevisions>
    </reviewItem>
    <reviewItem>
      <errorID>5814887b-9608-44e3-b238-12c3cb0a945f</errorID>
      <errorWord>,</errorWord>
      <group>L1_Format</group>
      <groupName>格式问题</groupName>
      <ability>L2_HalfPunc</ability>
      <abilityName>全半角检查</abilityName>
      <candidateList>
        <item>，</item>
      </candidateList>
      <explain>文本全半角错误。</explain>
      <paraID>379AF962</paraID>
      <start>10</start>
      <end>11</end>
      <status>unmodified</status>
      <modifiedWord/>
      <trackRevisions>false</trackRevisions>
    </reviewItem>
    <reviewItem>
      <errorID>8e11fd92-15e8-4366-8ab6-d04db2d76655</errorID>
      <errorWord>,</errorWord>
      <group>L1_Format</group>
      <groupName>格式问题</groupName>
      <ability>L2_HalfPunc</ability>
      <abilityName>全半角检查</abilityName>
      <candidateList>
        <item>，</item>
      </candidateList>
      <explain>文本全半角错误。</explain>
      <paraID>32277CF3</paraID>
      <start>10</start>
      <end>11</end>
      <status>unmodified</status>
      <modifiedWord/>
      <trackRevisions>false</trackRevisions>
    </reviewItem>
    <reviewItem>
      <errorID>cff9c5be-0af1-4de3-b288-4f953ddd2688</errorID>
      <errorWord>,</errorWord>
      <group>L1_Format</group>
      <groupName>格式问题</groupName>
      <ability>L2_HalfPunc</ability>
      <abilityName>全半角检查</abilityName>
      <candidateList>
        <item>，</item>
      </candidateList>
      <explain>文本全半角错误。</explain>
      <paraID>32277CF3</paraID>
      <start>20</start>
      <end>21</end>
      <status>unmodified</status>
      <modifiedWord/>
      <trackRevisions>false</trackRevisions>
    </reviewItem>
    <reviewItem>
      <errorID>f9afe02b-23a7-4a0a-90a3-40b8bcc756ee</errorID>
      <errorWord>,</errorWord>
      <group>L1_Format</group>
      <groupName>格式问题</groupName>
      <ability>L2_HalfPunc</ability>
      <abilityName>全半角检查</abilityName>
      <candidateList>
        <item>，</item>
      </candidateList>
      <explain>文本全半角错误。</explain>
      <paraID>3CE0A6DC</paraID>
      <start>10</start>
      <end>11</end>
      <status>unmodified</status>
      <modifiedWord/>
      <trackRevisions>false</trackRevisions>
    </reviewItem>
    <reviewItem>
      <errorID>d8b66d25-7f62-454a-a209-e19d53eadfee</errorID>
      <errorWord>,</errorWord>
      <group>L1_Format</group>
      <groupName>格式问题</groupName>
      <ability>L2_HalfPunc</ability>
      <abilityName>全半角检查</abilityName>
      <candidateList>
        <item>，</item>
      </candidateList>
      <explain>文本全半角错误。</explain>
      <paraID>22ED5E42</paraID>
      <start>10</start>
      <end>11</end>
      <status>unmodified</status>
      <modifiedWord/>
      <trackRevisions>false</trackRevisions>
    </reviewItem>
    <reviewItem>
      <errorID>5cc0cac1-91d1-47b1-90df-75e9201f952b</errorID>
      <errorWord>,</errorWord>
      <group>L1_Format</group>
      <groupName>格式问题</groupName>
      <ability>L2_HalfPunc</ability>
      <abilityName>全半角检查</abilityName>
      <candidateList>
        <item>，</item>
      </candidateList>
      <explain>文本全半角错误。</explain>
      <paraID>22ED5E42</paraID>
      <start>20</start>
      <end>21</end>
      <status>unmodified</status>
      <modifiedWord/>
      <trackRevisions>false</trackRevisions>
    </reviewItem>
    <reviewItem>
      <errorID>d804f698-309a-4b84-8b77-7b3da35ea773</errorID>
      <errorWord>,</errorWord>
      <group>L1_Format</group>
      <groupName>格式问题</groupName>
      <ability>L2_HalfPunc</ability>
      <abilityName>全半角检查</abilityName>
      <candidateList>
        <item>，</item>
      </candidateList>
      <explain>文本全半角错误。</explain>
      <paraID>1DFFA774</paraID>
      <start>10</start>
      <end>11</end>
      <status>unmodified</status>
      <modifiedWord/>
      <trackRevisions>false</trackRevisions>
    </reviewItem>
    <reviewItem>
      <errorID>607810d2-6410-4481-9f35-122c95f3559d</errorID>
      <errorWord>,</errorWord>
      <group>L1_Format</group>
      <groupName>格式问题</groupName>
      <ability>L2_HalfPunc</ability>
      <abilityName>全半角检查</abilityName>
      <candidateList>
        <item>，</item>
      </candidateList>
      <explain>文本全半角错误。</explain>
      <paraID>26D02288</paraID>
      <start>11</start>
      <end>12</end>
      <status>unmodified</status>
      <modifiedWord/>
      <trackRevisions>false</trackRevisions>
    </reviewItem>
    <reviewItem>
      <errorID>548d42b7-e761-447c-ac64-978ecee0b79c</errorID>
      <errorWord>,</errorWord>
      <group>L1_Format</group>
      <groupName>格式问题</groupName>
      <ability>L2_HalfPunc</ability>
      <abilityName>全半角检查</abilityName>
      <candidateList>
        <item>，</item>
      </candidateList>
      <explain>文本全半角错误。</explain>
      <paraID>26D02288</paraID>
      <start>21</start>
      <end>22</end>
      <status>unmodified</status>
      <modifiedWord/>
      <trackRevisions>false</trackRevisions>
    </reviewItem>
    <reviewItem>
      <errorID>52f32a59-54ab-426f-b70e-172176c85e00</errorID>
      <errorWord>,</errorWord>
      <group>L1_Format</group>
      <groupName>格式问题</groupName>
      <ability>L2_HalfPunc</ability>
      <abilityName>全半角检查</abilityName>
      <candidateList>
        <item>，</item>
      </candidateList>
      <explain>文本全半角错误。</explain>
      <paraID>5E3F40C7</paraID>
      <start>11</start>
      <end>12</end>
      <status>unmodified</status>
      <modifiedWord/>
      <trackRevisions>false</trackRevisions>
    </reviewItem>
    <reviewItem>
      <errorID>30a97268-a2ee-4d03-a534-cdd1a003a16a</errorID>
      <errorWord>,</errorWord>
      <group>L1_Format</group>
      <groupName>格式问题</groupName>
      <ability>L2_HalfPunc</ability>
      <abilityName>全半角检查</abilityName>
      <candidateList>
        <item>，</item>
      </candidateList>
      <explain>文本全半角错误。</explain>
      <paraID>681ACA28</paraID>
      <start>11</start>
      <end>12</end>
      <status>unmodified</status>
      <modifiedWord/>
      <trackRevisions>false</trackRevisions>
    </reviewItem>
    <reviewItem>
      <errorID>b2ee031b-1552-47b8-a160-bd5612adf9cb</errorID>
      <errorWord>,</errorWord>
      <group>L1_Format</group>
      <groupName>格式问题</groupName>
      <ability>L2_HalfPunc</ability>
      <abilityName>全半角检查</abilityName>
      <candidateList>
        <item>，</item>
      </candidateList>
      <explain>文本全半角错误。</explain>
      <paraID>681ACA28</paraID>
      <start>21</start>
      <end>22</end>
      <status>unmodified</status>
      <modifiedWord/>
      <trackRevisions>false</trackRevisions>
    </reviewItem>
    <reviewItem>
      <errorID>44f29e21-0acd-4e4f-88e2-b85230119d18</errorID>
      <errorWord>,</errorWord>
      <group>L1_Format</group>
      <groupName>格式问题</groupName>
      <ability>L2_HalfPunc</ability>
      <abilityName>全半角检查</abilityName>
      <candidateList>
        <item>，</item>
      </candidateList>
      <explain>文本全半角错误。</explain>
      <paraID>4B66022F</paraID>
      <start>11</start>
      <end>12</end>
      <status>unmodified</status>
      <modifiedWord/>
      <trackRevisions>false</trackRevisions>
    </reviewItem>
    <reviewItem>
      <errorID>0b5d03e6-0c73-4d4d-817c-0f7802376b1f</errorID>
      <errorWord>,</errorWord>
      <group>L1_Format</group>
      <groupName>格式问题</groupName>
      <ability>L2_HalfPunc</ability>
      <abilityName>全半角检查</abilityName>
      <candidateList>
        <item>，</item>
      </candidateList>
      <explain>文本全半角错误。</explain>
      <paraID>68F0E896</paraID>
      <start>11</start>
      <end>12</end>
      <status>unmodified</status>
      <modifiedWord/>
      <trackRevisions>false</trackRevisions>
    </reviewItem>
    <reviewItem>
      <errorID>0518527c-359a-4b3d-9c48-d604d6a6a608</errorID>
      <errorWord>,</errorWord>
      <group>L1_Format</group>
      <groupName>格式问题</groupName>
      <ability>L2_HalfPunc</ability>
      <abilityName>全半角检查</abilityName>
      <candidateList>
        <item>，</item>
      </candidateList>
      <explain>文本全半角错误。</explain>
      <paraID>68F0E896</paraID>
      <start>21</start>
      <end>22</end>
      <status>unmodified</status>
      <modifiedWord/>
      <trackRevisions>false</trackRevisions>
    </reviewItem>
    <reviewItem>
      <errorID>7e88df47-ab85-4273-8b32-fb5ba6026eb3</errorID>
      <errorWord>,</errorWord>
      <group>L1_Format</group>
      <groupName>格式问题</groupName>
      <ability>L2_HalfPunc</ability>
      <abilityName>全半角检查</abilityName>
      <candidateList>
        <item>，</item>
      </candidateList>
      <explain>文本全半角错误。</explain>
      <paraID>2422ED93</paraID>
      <start>11</start>
      <end>12</end>
      <status>unmodified</status>
      <modifiedWord/>
      <trackRevisions>false</trackRevisions>
    </reviewItem>
    <reviewItem>
      <errorID>029607ed-b760-4db0-ade8-a6646b656534</errorID>
      <errorWord>沥清</errorWord>
      <group>L1_Word</group>
      <groupName>字词问题</groupName>
      <ability>L2_Typo</ability>
      <abilityName>字词错误</abilityName>
      <candidateList>
        <item>沥青</item>
      </candidateList>
      <explain/>
      <paraID> E4C6FF7</paraID>
      <start>4</start>
      <end>6</end>
      <status>unmodified</status>
      <modifiedWord/>
      <trackRevisions>false</trackRevisions>
    </reviewItem>
    <reviewItem>
      <errorID>d9ed2fcc-2dbb-4b13-a484-e004e8ecd3b7</errorID>
      <errorWord>,</errorWord>
      <group>L1_Format</group>
      <groupName>格式问题</groupName>
      <ability>L2_HalfPunc</ability>
      <abilityName>全半角检查</abilityName>
      <candidateList>
        <item>，</item>
      </candidateList>
      <explain>文本全半角错误。</explain>
      <paraID> E4C6FF7</paraID>
      <start>14</start>
      <end>15</end>
      <status>unmodified</status>
      <modifiedWord/>
      <trackRevisions>false</trackRevisions>
    </reviewItem>
    <reviewItem>
      <errorID>8a089187-f3a3-42e9-9849-2047f7e23abb</errorID>
      <errorWord>,</errorWord>
      <group>L1_Format</group>
      <groupName>格式问题</groupName>
      <ability>L2_HalfPunc</ability>
      <abilityName>全半角检查</abilityName>
      <candidateList>
        <item>，</item>
      </candidateList>
      <explain>文本全半角错误。</explain>
      <paraID>59A985F4</paraID>
      <start>11</start>
      <end>12</end>
      <status>unmodified</status>
      <modifiedWord/>
      <trackRevisions>false</trackRevisions>
    </reviewItem>
    <reviewItem>
      <errorID>4386b633-903d-4d5f-99eb-8f0a6f825d81</errorID>
      <errorWord>沥清</errorWord>
      <group>L1_Word</group>
      <groupName>字词问题</groupName>
      <ability>L2_Typo</ability>
      <abilityName>字词错误</abilityName>
      <candidateList>
        <item>沥青</item>
      </candidateList>
      <explain/>
      <paraID>7990DD83</paraID>
      <start>11</start>
      <end>13</end>
      <status>unmodified</status>
      <modifiedWord/>
      <trackRevisions>false</trackRevisions>
    </reviewItem>
    <reviewItem>
      <errorID>5abc0254-7e77-45d5-ae1f-25a72c77390a</errorID>
      <errorWord>,</errorWord>
      <group>L1_Format</group>
      <groupName>格式问题</groupName>
      <ability>L2_HalfPunc</ability>
      <abilityName>全半角检查</abilityName>
      <candidateList>
        <item>，</item>
      </candidateList>
      <explain>文本全半角错误。</explain>
      <paraID>7990DD83</paraID>
      <start>25</start>
      <end>26</end>
      <status>unmodified</status>
      <modifiedWord/>
      <trackRevisions>false</trackRevisions>
    </reviewItem>
    <reviewItem>
      <errorID>603e045e-4ae8-4c7d-8f95-25f72b6385da</errorID>
      <errorWord>45%~55%</errorWord>
      <group>L1_Knowledge</group>
      <groupName>知识性问题</groupName>
      <ability>L2_Knowledge</ability>
      <abilityName>其他知识</abilityName>
      <candidateList>
        <item>45%～55%</item>
      </candidateList>
      <explain>1. “45%~55%”中的单位“%”仅出现在后一个数字上，容易引起歧义；根据《现代汉语标点符号数字用法规范手册》，数字表示范围两边需要使用统一的格式。2. 根据标点国标 4.13 中的规则，数字、时间或地域连接符应使用（视觉上更长的）“—”或“～”。</explain>
      <paraID>10924F03</paraID>
      <start>31</start>
      <end>38</end>
      <status>unmodified</status>
      <modifiedWord/>
      <trackRevisions>false</trackRevisions>
    </reviewItem>
    <reviewItem>
      <errorID>5b87ea25-be3d-4cd9-928e-9a81a04ef603</errorID>
      <errorWord>运需</errorWord>
      <group>L1_Word</group>
      <groupName>字词问题</groupName>
      <ability>L2_Typo</ability>
      <abilityName>字词错误</abilityName>
      <candidateList>
        <item>运</item>
      </candidateList>
      <explain/>
      <paraID>10924F03</paraID>
      <start>61</start>
      <end>63</end>
      <status>unmodified</status>
      <modifiedWord/>
      <trackRevisions>false</trackRevisions>
    </reviewItem>
    <reviewItem>
      <errorID>de258266-6ba0-4670-8446-2afc3a2eb06a</errorID>
      <errorWord>清冼</errorWord>
      <group>L1_Word</group>
      <groupName>字词问题</groupName>
      <ability>L2_Typo</ability>
      <abilityName>字词错误</abilityName>
      <candidateList>
        <item>清洗</item>
      </candidateList>
      <explain/>
      <paraID>2B73FFEF</paraID>
      <start>4</start>
      <end>6</end>
      <status>unmodified</status>
      <modifiedWord/>
      <trackRevisions>false</trackRevisions>
    </reviewItem>
    <reviewItem>
      <errorID>48b1ca81-bb49-4426-9acd-cc1896427854</errorID>
      <errorWord>清冼</errorWord>
      <group>L1_Word</group>
      <groupName>字词问题</groupName>
      <ability>L2_Typo</ability>
      <abilityName>字词错误</abilityName>
      <candidateList>
        <item>清洗</item>
      </candidateList>
      <explain>存在字形相近字词的误用。</explain>
      <paraID>12CB69DD</paraID>
      <start>5</start>
      <end>7</end>
      <status>unmodified</status>
      <modifiedWord/>
      <trackRevisions>false</trackRevisions>
    </reviewItem>
    <reviewItem>
      <errorID>5f7ff2a2-f6b0-414e-801f-0d0032921cac</errorID>
      <errorWord>KW</errorWord>
      <group>L1_Word</group>
      <groupName>字词问题</groupName>
      <ability>L2_Typo</ability>
      <abilityName>字词错误</abilityName>
      <candidateList>
        <item>kW</item>
      </candidateList>
      <explain/>
      <paraID>  B4A926</paraID>
      <start>2</start>
      <end>4</end>
      <status>unmodified</status>
      <modifiedWord/>
      <trackRevisions>false</trackRevisions>
    </reviewItem>
    <reviewItem>
      <errorID>85b38b52-b715-44ee-92f4-11922a133ae4</errorID>
      <errorWord>水水</errorWord>
      <group>L1_Word</group>
      <groupName>字词问题</groupName>
      <ability>L2_Typo</ability>
      <abilityName>字词错误</abilityName>
      <candidateList>
        <item>水</item>
      </candidateList>
      <explain/>
      <paraID>1780E313</paraID>
      <start>6</start>
      <end>8</end>
      <status>unmodified</status>
      <modifiedWord/>
      <trackRevisions>false</trackRevisions>
    </reviewItem>
    <reviewItem>
      <errorID>e3bfb265-b679-46e6-9406-c6f06feed109</errorID>
      <errorWord>声纳</errorWord>
      <group>L1_Word</group>
      <groupName>字词问题</groupName>
      <ability>L2_Typo</ability>
      <abilityName>字词错误</abilityName>
      <candidateList>
        <item>声呐</item>
      </candidateList>
      <explain/>
      <paraID>5F7CBC0A</paraID>
      <start>0</start>
      <end>2</end>
      <status>unmodified</status>
      <modifiedWord/>
      <trackRevisions>false</trackRevisions>
    </reviewItem>
    <reviewItem>
      <errorID>9cf7880d-7bee-4042-83a8-e7ea7dea822b</errorID>
      <errorWord>声纳</errorWord>
      <group>L1_Word</group>
      <groupName>字词问题</groupName>
      <ability>L2_Typo</ability>
      <abilityName>字词错误</abilityName>
      <candidateList>
        <item>声呐</item>
      </candidateList>
      <explain/>
      <paraID> CA47B7D</paraID>
      <start>26</start>
      <end>28</end>
      <status>unmodified</status>
      <modifiedWord/>
      <trackRevisions>false</trackRevisions>
    </reviewItem>
    <reviewItem>
      <errorID>fd850757-858d-42a6-9cb2-37fe601f3045</errorID>
      <errorWord>积泥积泥</errorWord>
      <group>L1_Word</group>
      <groupName>字词问题</groupName>
      <ability>L2_Typo</ability>
      <abilityName>字词错误</abilityName>
      <candidateList>
        <item>积泥</item>
      </candidateList>
      <explain/>
      <paraID>42EFFCAB</paraID>
      <start>39</start>
      <end>43</end>
      <status>unmodified</status>
      <modifiedWord/>
      <trackRevisions>false</trackRevisions>
    </reviewItem>
    <reviewItem>
      <errorID>2edbf71e-75f4-4e85-9f2f-db78a440ee4b</errorID>
      <errorWord>积泥积泥</errorWord>
      <group>L1_Word</group>
      <groupName>字词问题</groupName>
      <ability>L2_Typo</ability>
      <abilityName>字词错误</abilityName>
      <candidateList>
        <item>积泥</item>
      </candidateList>
      <explain/>
      <paraID>33E79C4A</paraID>
      <start>39</start>
      <end>43</end>
      <status>unmodified</status>
      <modifiedWord/>
      <trackRevisions>false</trackRevisions>
    </reviewItem>
    <reviewItem>
      <errorID>daaccc29-a64a-4f53-a026-2e561f4fca0c</errorID>
      <errorWord>无忧检测</errorWord>
      <group>L1_Knowledge</group>
      <groupName>知识性问题</groupName>
      <ability>L2_Term</ability>
      <abilityName>专业术语</abilityName>
      <candidateList>
        <item>无损检测</item>
      </candidateList>
      <explain/>
      <paraID>1252D47A</paraID>
      <start>69</start>
      <end>73</end>
      <status>unmodified</status>
      <modifiedWord/>
      <trackRevisions>false</trackRevisions>
    </reviewItem>
    <reviewItem>
      <errorID>cf281868-75c5-440c-a0e8-38cf9dffa650</errorID>
      <errorWord>,</errorWord>
      <group>L1_Format</group>
      <groupName>格式问题</groupName>
      <ability>L2_HalfPunc</ability>
      <abilityName>全半角检查</abilityName>
      <candidateList>
        <item>，</item>
      </candidateList>
      <explain>文本全半角错误。</explain>
      <paraID>3208BF78</paraID>
      <start>13</start>
      <end>14</end>
      <status>unmodified</status>
      <modifiedWord/>
      <trackRevisions>false</trackRevisions>
    </reviewItem>
    <reviewItem>
      <errorID>07c925bb-e0c7-415e-9b64-d3da4b46004d</errorID>
      <errorWord>雨水篦子</errorWord>
      <group>L1_Word</group>
      <groupName>字词问题</groupName>
      <ability>L2_Typo</ability>
      <abilityName>字词错误</abilityName>
      <candidateList>
        <item>雨水箅子</item>
      </candidateList>
      <explain/>
      <paraID>4C315ECF</paraID>
      <start>0</start>
      <end>4</end>
      <status>unmodified</status>
      <modifiedWord/>
      <trackRevisions>false</trackRevisions>
    </reviewItem>
    <reviewItem>
      <errorID>5f1558df-a186-48e6-adc5-2fc5f0e7f706</errorID>
      <errorWord>雨水篦子</errorWord>
      <group>L1_Word</group>
      <groupName>字词问题</groupName>
      <ability>L2_Typo</ability>
      <abilityName>字词错误</abilityName>
      <candidateList>
        <item>雨水箅子</item>
      </candidateList>
      <explain/>
      <paraID> 2A708EB</paraID>
      <start>5</start>
      <end>9</end>
      <status>unmodified</status>
      <modifiedWord/>
      <trackRevisions>false</trackRevisions>
    </reviewItem>
    <reviewItem>
      <errorID>7fbdc30e-620c-4ab8-94b0-1b668a5bd73b</errorID>
      <errorWord>45%~55%</errorWord>
      <group>L1_Knowledge</group>
      <groupName>知识性问题</groupName>
      <ability>L2_Knowledge</ability>
      <abilityName>其他知识</abilityName>
      <candidateList>
        <item>45%～55%</item>
      </candidateList>
      <explain>1. “45%~55%”中的单位“%”仅出现在后一个数字上，容易引起歧义；根据《现代汉语标点符号数字用法规范手册》，数字表示范围两边需要使用统一的格式。2. 根据标点国标 4.13 中的规则，数字、时间或地域连接符应使用（视觉上更长的）“—”或“～”。</explain>
      <paraID>1864B4C3</paraID>
      <start>31</start>
      <end>38</end>
      <status>unmodified</status>
      <modifiedWord/>
      <trackRevisions>false</trackRevisions>
    </reviewItem>
    <reviewItem>
      <errorID>b434df1b-0625-493f-babb-40520e8d6471</errorID>
      <errorWord>运需</errorWord>
      <group>L1_Word</group>
      <groupName>字词问题</groupName>
      <ability>L2_Typo</ability>
      <abilityName>字词错误</abilityName>
      <candidateList>
        <item>运</item>
      </candidateList>
      <explain/>
      <paraID>1864B4C3</paraID>
      <start>61</start>
      <end>63</end>
      <status>unmodified</status>
      <modifiedWord/>
      <trackRevisions>false</trackRevisions>
    </reviewItem>
    <reviewItem>
      <errorID>99933918-333e-4bfe-9ee2-74e55c1ac8e5</errorID>
      <errorWord>,</errorWord>
      <group>L1_Format</group>
      <groupName>格式问题</groupName>
      <ability>L2_HalfPunc</ability>
      <abilityName>全半角检查</abilityName>
      <candidateList>
        <item>，</item>
      </candidateList>
      <explain>文本全半角错误。</explain>
      <paraID>5BC8A020</paraID>
      <start>10</start>
      <end>11</end>
      <status>unmodified</status>
      <modifiedWord/>
      <trackRevisions>false</trackRevisions>
    </reviewItem>
    <reviewItem>
      <errorID>68c9282b-6faa-404f-9dde-34373ad40e6b</errorID>
      <errorWord>,</errorWord>
      <group>L1_Format</group>
      <groupName>格式问题</groupName>
      <ability>L2_HalfPunc</ability>
      <abilityName>全半角检查</abilityName>
      <candidateList>
        <item>，</item>
      </candidateList>
      <explain>文本全半角错误。</explain>
      <paraID>5BC8A020</paraID>
      <start>20</start>
      <end>21</end>
      <status>unmodified</status>
      <modifiedWord/>
      <trackRevisions>false</trackRevisions>
    </reviewItem>
    <reviewItem>
      <errorID>7abf94f9-7e4a-4ef6-b354-3fd17ef840c5</errorID>
      <errorWord>,</errorWord>
      <group>L1_Format</group>
      <groupName>格式问题</groupName>
      <ability>L2_HalfPunc</ability>
      <abilityName>全半角检查</abilityName>
      <candidateList>
        <item>，</item>
      </candidateList>
      <explain>文本全半角错误。</explain>
      <paraID>74DC1B03</paraID>
      <start>10</start>
      <end>11</end>
      <status>unmodified</status>
      <modifiedWord/>
      <trackRevisions>false</trackRevisions>
    </reviewItem>
    <reviewItem>
      <errorID>491f7335-e3be-42a0-8e2f-8dba92b9cb54</errorID>
      <errorWord>,</errorWord>
      <group>L1_Format</group>
      <groupName>格式问题</groupName>
      <ability>L2_HalfPunc</ability>
      <abilityName>全半角检查</abilityName>
      <candidateList>
        <item>，</item>
      </candidateList>
      <explain>文本全半角错误。</explain>
      <paraID>75409472</paraID>
      <start>10</start>
      <end>11</end>
      <status>unmodified</status>
      <modifiedWord/>
      <trackRevisions>false</trackRevisions>
    </reviewItem>
    <reviewItem>
      <errorID>722d04b7-f448-4a17-96de-fe3fbea67679</errorID>
      <errorWord>,</errorWord>
      <group>L1_Format</group>
      <groupName>格式问题</groupName>
      <ability>L2_HalfPunc</ability>
      <abilityName>全半角检查</abilityName>
      <candidateList>
        <item>，</item>
      </candidateList>
      <explain>文本全半角错误。</explain>
      <paraID>75409472</paraID>
      <start>20</start>
      <end>21</end>
      <status>unmodified</status>
      <modifiedWord/>
      <trackRevisions>false</trackRevisions>
    </reviewItem>
    <reviewItem>
      <errorID>458c5486-4177-4118-a3c1-38b81480d0ab</errorID>
      <errorWord>,</errorWord>
      <group>L1_Format</group>
      <groupName>格式问题</groupName>
      <ability>L2_HalfPunc</ability>
      <abilityName>全半角检查</abilityName>
      <candidateList>
        <item>，</item>
      </candidateList>
      <explain>文本全半角错误。</explain>
      <paraID> 4251D18</paraID>
      <start>10</start>
      <end>11</end>
      <status>unmodified</status>
      <modifiedWord/>
      <trackRevisions>false</trackRevisions>
    </reviewItem>
    <reviewItem>
      <errorID>71d8cd43-8712-440c-8b84-918759ffcea6</errorID>
      <errorWord>,</errorWord>
      <group>L1_Format</group>
      <groupName>格式问题</groupName>
      <ability>L2_HalfPunc</ability>
      <abilityName>全半角检查</abilityName>
      <candidateList>
        <item>，</item>
      </candidateList>
      <explain>文本全半角错误。</explain>
      <paraID>1EC10F9B</paraID>
      <start>10</start>
      <end>11</end>
      <status>unmodified</status>
      <modifiedWord/>
      <trackRevisions>false</trackRevisions>
    </reviewItem>
    <reviewItem>
      <errorID>9088dd3d-8cd9-43f9-b10d-76e160d1c940</errorID>
      <errorWord>,</errorWord>
      <group>L1_Format</group>
      <groupName>格式问题</groupName>
      <ability>L2_HalfPunc</ability>
      <abilityName>全半角检查</abilityName>
      <candidateList>
        <item>，</item>
      </candidateList>
      <explain>文本全半角错误。</explain>
      <paraID>1EC10F9B</paraID>
      <start>20</start>
      <end>21</end>
      <status>unmodified</status>
      <modifiedWord/>
      <trackRevisions>false</trackRevisions>
    </reviewItem>
    <reviewItem>
      <errorID>27b94ce4-b16f-4c5f-a570-9a77713b9801</errorID>
      <errorWord>,</errorWord>
      <group>L1_Format</group>
      <groupName>格式问题</groupName>
      <ability>L2_HalfPunc</ability>
      <abilityName>全半角检查</abilityName>
      <candidateList>
        <item>，</item>
      </candidateList>
      <explain>文本全半角错误。</explain>
      <paraID>2C98D8C0</paraID>
      <start>10</start>
      <end>11</end>
      <status>unmodified</status>
      <modifiedWord/>
      <trackRevisions>false</trackRevisions>
    </reviewItem>
    <reviewItem>
      <errorID>1912ea53-5e7f-400f-b23d-5b4938bbf46a</errorID>
      <errorWord>,</errorWord>
      <group>L1_Format</group>
      <groupName>格式问题</groupName>
      <ability>L2_HalfPunc</ability>
      <abilityName>全半角检查</abilityName>
      <candidateList>
        <item>，</item>
      </candidateList>
      <explain>文本全半角错误。</explain>
      <paraID>36E931C8</paraID>
      <start>10</start>
      <end>11</end>
      <status>unmodified</status>
      <modifiedWord/>
      <trackRevisions>false</trackRevisions>
    </reviewItem>
    <reviewItem>
      <errorID>5888d1f9-cdf0-45bc-8db2-f185fd96ee62</errorID>
      <errorWord>,</errorWord>
      <group>L1_Format</group>
      <groupName>格式问题</groupName>
      <ability>L2_HalfPunc</ability>
      <abilityName>全半角检查</abilityName>
      <candidateList>
        <item>，</item>
      </candidateList>
      <explain>文本全半角错误。</explain>
      <paraID>36E931C8</paraID>
      <start>20</start>
      <end>21</end>
      <status>unmodified</status>
      <modifiedWord/>
      <trackRevisions>false</trackRevisions>
    </reviewItem>
    <reviewItem>
      <errorID>fd8f21e5-9cb8-4806-9d97-271348e9d97a</errorID>
      <errorWord>,</errorWord>
      <group>L1_Format</group>
      <groupName>格式问题</groupName>
      <ability>L2_HalfPunc</ability>
      <abilityName>全半角检查</abilityName>
      <candidateList>
        <item>，</item>
      </candidateList>
      <explain>文本全半角错误。</explain>
      <paraID>346E6D73</paraID>
      <start>10</start>
      <end>11</end>
      <status>unmodified</status>
      <modifiedWord/>
      <trackRevisions>false</trackRevisions>
    </reviewItem>
    <reviewItem>
      <errorID>9ec78ca0-c91b-4e49-b3e4-3413b866a0bf</errorID>
      <errorWord>,</errorWord>
      <group>L1_Format</group>
      <groupName>格式问题</groupName>
      <ability>L2_HalfPunc</ability>
      <abilityName>全半角检查</abilityName>
      <candidateList>
        <item>，</item>
      </candidateList>
      <explain>文本全半角错误。</explain>
      <paraID>1794E92D</paraID>
      <start>10</start>
      <end>11</end>
      <status>unmodified</status>
      <modifiedWord/>
      <trackRevisions>false</trackRevisions>
    </reviewItem>
    <reviewItem>
      <errorID>fce76378-0433-4a99-978a-14f08ea74b5d</errorID>
      <errorWord>,</errorWord>
      <group>L1_Format</group>
      <groupName>格式问题</groupName>
      <ability>L2_HalfPunc</ability>
      <abilityName>全半角检查</abilityName>
      <candidateList>
        <item>，</item>
      </candidateList>
      <explain>文本全半角错误。</explain>
      <paraID>1794E92D</paraID>
      <start>20</start>
      <end>21</end>
      <status>unmodified</status>
      <modifiedWord/>
      <trackRevisions>false</trackRevisions>
    </reviewItem>
    <reviewItem>
      <errorID>9f1d9450-afdd-4ae6-99e3-fff81d25862a</errorID>
      <errorWord>,</errorWord>
      <group>L1_Format</group>
      <groupName>格式问题</groupName>
      <ability>L2_HalfPunc</ability>
      <abilityName>全半角检查</abilityName>
      <candidateList>
        <item>，</item>
      </candidateList>
      <explain>文本全半角错误。</explain>
      <paraID>112A7C68</paraID>
      <start>10</start>
      <end>11</end>
      <status>unmodified</status>
      <modifiedWord/>
      <trackRevisions>false</trackRevisions>
    </reviewItem>
    <reviewItem>
      <errorID>00675f08-e304-49a1-89bf-905700abc1b1</errorID>
      <errorWord>,</errorWord>
      <group>L1_Format</group>
      <groupName>格式问题</groupName>
      <ability>L2_HalfPunc</ability>
      <abilityName>全半角检查</abilityName>
      <candidateList>
        <item>，</item>
      </candidateList>
      <explain>文本全半角错误。</explain>
      <paraID>2DB405B4</paraID>
      <start>11</start>
      <end>12</end>
      <status>unmodified</status>
      <modifiedWord/>
      <trackRevisions>false</trackRevisions>
    </reviewItem>
    <reviewItem>
      <errorID>0a4de713-43ce-498f-a53a-e2f9072bffa6</errorID>
      <errorWord>,</errorWord>
      <group>L1_Format</group>
      <groupName>格式问题</groupName>
      <ability>L2_HalfPunc</ability>
      <abilityName>全半角检查</abilityName>
      <candidateList>
        <item>，</item>
      </candidateList>
      <explain>文本全半角错误。</explain>
      <paraID>2DB405B4</paraID>
      <start>21</start>
      <end>22</end>
      <status>unmodified</status>
      <modifiedWord/>
      <trackRevisions>false</trackRevisions>
    </reviewItem>
    <reviewItem>
      <errorID>6e351112-59cb-41b6-b4ca-be34c856bdde</errorID>
      <errorWord>,</errorWord>
      <group>L1_Format</group>
      <groupName>格式问题</groupName>
      <ability>L2_HalfPunc</ability>
      <abilityName>全半角检查</abilityName>
      <candidateList>
        <item>，</item>
      </candidateList>
      <explain>文本全半角错误。</explain>
      <paraID>30639ED2</paraID>
      <start>11</start>
      <end>12</end>
      <status>unmodified</status>
      <modifiedWord/>
      <trackRevisions>false</trackRevisions>
    </reviewItem>
    <reviewItem>
      <errorID>567ddb8e-60e1-4a4b-93c9-1bcc10e9f699</errorID>
      <errorWord>沥清</errorWord>
      <group>L1_Word</group>
      <groupName>字词问题</groupName>
      <ability>L2_Typo</ability>
      <abilityName>字词错误</abilityName>
      <candidateList>
        <item>沥青</item>
      </candidateList>
      <explain/>
      <paraID> 89A09E0</paraID>
      <start>4</start>
      <end>6</end>
      <status>unmodified</status>
      <modifiedWord/>
      <trackRevisions>false</trackRevisions>
    </reviewItem>
    <reviewItem>
      <errorID>6eae59e2-507f-44a6-bb99-81d97bf61e94</errorID>
      <errorWord>,</errorWord>
      <group>L1_Format</group>
      <groupName>格式问题</groupName>
      <ability>L2_HalfPunc</ability>
      <abilityName>全半角检查</abilityName>
      <candidateList>
        <item>，</item>
      </candidateList>
      <explain>文本全半角错误。</explain>
      <paraID> 89A09E0</paraID>
      <start>14</start>
      <end>15</end>
      <status>unmodified</status>
      <modifiedWord/>
      <trackRevisions>false</trackRevisions>
    </reviewItem>
    <reviewItem>
      <errorID>ca08a83a-3135-4c7f-9b50-7eb81c55e0c2</errorID>
      <errorWord>,</errorWord>
      <group>L1_Format</group>
      <groupName>格式问题</groupName>
      <ability>L2_HalfPunc</ability>
      <abilityName>全半角检查</abilityName>
      <candidateList>
        <item>，</item>
      </candidateList>
      <explain>文本全半角错误。</explain>
      <paraID>74AF398E</paraID>
      <start>11</start>
      <end>12</end>
      <status>unmodified</status>
      <modifiedWord/>
      <trackRevisions>false</trackRevisions>
    </reviewItem>
    <reviewItem>
      <errorID>a70f7911-6855-4fd1-8ea9-dfec9c5aa138</errorID>
      <errorWord>沥清</errorWord>
      <group>L1_Word</group>
      <groupName>字词问题</groupName>
      <ability>L2_Typo</ability>
      <abilityName>字词错误</abilityName>
      <candidateList>
        <item>沥青</item>
      </candidateList>
      <explain/>
      <paraID> 5775452</paraID>
      <start>11</start>
      <end>13</end>
      <status>unmodified</status>
      <modifiedWord/>
      <trackRevisions>false</trackRevisions>
    </reviewItem>
    <reviewItem>
      <errorID>5ca16064-2113-4162-86ed-0b0491087273</errorID>
      <errorWord>,</errorWord>
      <group>L1_Format</group>
      <groupName>格式问题</groupName>
      <ability>L2_HalfPunc</ability>
      <abilityName>全半角检查</abilityName>
      <candidateList>
        <item>，</item>
      </candidateList>
      <explain>文本全半角错误。</explain>
      <paraID> 5775452</paraID>
      <start>25</start>
      <end>26</end>
      <status>unmodified</status>
      <modifiedWord/>
      <trackRevisions>false</trackRevisions>
    </reviewItem>
    <reviewItem>
      <errorID>c28e296f-aa74-41b4-9c73-bdd15c1304f1</errorID>
      <errorWord>45%~55%</errorWord>
      <group>L1_Knowledge</group>
      <groupName>知识性问题</groupName>
      <ability>L2_Knowledge</ability>
      <abilityName>其他知识</abilityName>
      <candidateList>
        <item>45%～55%</item>
      </candidateList>
      <explain>1. “45%~55%”中的单位“%”仅出现在后一个数字上，容易引起歧义；根据《现代汉语标点符号数字用法规范手册》，数字表示范围两边需要使用统一的格式。2. 根据标点国标 4.13 中的规则，数字、时间或地域连接符应使用（视觉上更长的）“—”或“～”。</explain>
      <paraID>179A403A</paraID>
      <start>31</start>
      <end>38</end>
      <status>unmodified</status>
      <modifiedWord/>
      <trackRevisions>false</trackRevisions>
    </reviewItem>
    <reviewItem>
      <errorID>44cde3e9-0bd6-40a1-9614-79e0f62f4267</errorID>
      <errorWord>运需</errorWord>
      <group>L1_Word</group>
      <groupName>字词问题</groupName>
      <ability>L2_Typo</ability>
      <abilityName>字词错误</abilityName>
      <candidateList>
        <item>运</item>
      </candidateList>
      <explain/>
      <paraID>179A403A</paraID>
      <start>61</start>
      <end>63</end>
      <status>unmodified</status>
      <modifiedWord/>
      <trackRevisions>false</trackRevisions>
    </reviewItem>
    <reviewItem>
      <errorID>e702408f-63b3-448d-bdc4-a066d9a6ccaf</errorID>
      <errorWord>清冼</errorWord>
      <group>L1_Word</group>
      <groupName>字词问题</groupName>
      <ability>L2_Typo</ability>
      <abilityName>字词错误</abilityName>
      <candidateList>
        <item>清洗</item>
      </candidateList>
      <explain/>
      <paraID>7E1DE8CA</paraID>
      <start>4</start>
      <end>6</end>
      <status>unmodified</status>
      <modifiedWord/>
      <trackRevisions>false</trackRevisions>
    </reviewItem>
    <reviewItem>
      <errorID>267bb069-e948-4234-84e3-b5492cdd0f82</errorID>
      <errorWord>清冼</errorWord>
      <group>L1_Word</group>
      <groupName>字词问题</groupName>
      <ability>L2_Typo</ability>
      <abilityName>字词错误</abilityName>
      <candidateList>
        <item>清洗</item>
      </candidateList>
      <explain>存在字形相近字词的误用。</explain>
      <paraID>117CDBA0</paraID>
      <start>5</start>
      <end>7</end>
      <status>unmodified</status>
      <modifiedWord/>
      <trackRevisions>false</trackRevisions>
    </reviewItem>
    <reviewItem>
      <errorID>678fd43d-0c9b-4042-ae8f-b13c37d9c296</errorID>
      <errorWord>KW</errorWord>
      <group>L1_Word</group>
      <groupName>字词问题</groupName>
      <ability>L2_Typo</ability>
      <abilityName>字词错误</abilityName>
      <candidateList>
        <item>kW</item>
      </candidateList>
      <explain/>
      <paraID>63FDDDCA</paraID>
      <start>2</start>
      <end>4</end>
      <status>unmodified</status>
      <modifiedWord/>
      <trackRevisions>false</trackRevisions>
    </reviewItem>
    <reviewItem>
      <errorID>9a75d8d9-ec09-4aff-b3ae-db73532a2871</errorID>
      <errorWord>水水</errorWord>
      <group>L1_Word</group>
      <groupName>字词问题</groupName>
      <ability>L2_Typo</ability>
      <abilityName>字词错误</abilityName>
      <candidateList>
        <item>水</item>
      </candidateList>
      <explain/>
      <paraID>62ACC59D</paraID>
      <start>6</start>
      <end>8</end>
      <status>unmodified</status>
      <modifiedWord/>
      <trackRevisions>false</trackRevisions>
    </reviewItem>
    <reviewItem>
      <errorID>0a1fe711-3f51-4141-878d-b1804d1855b6</errorID>
      <errorWord>声纳</errorWord>
      <group>L1_Word</group>
      <groupName>字词问题</groupName>
      <ability>L2_Typo</ability>
      <abilityName>字词错误</abilityName>
      <candidateList>
        <item>声呐</item>
      </candidateList>
      <explain/>
      <paraID>6D8B2AAF</paraID>
      <start>0</start>
      <end>2</end>
      <status>unmodified</status>
      <modifiedWord/>
      <trackRevisions>false</trackRevisions>
    </reviewItem>
    <reviewItem>
      <errorID>29ea9b00-ab21-41e2-87f5-1a928379ed06</errorID>
      <errorWord>声纳</errorWord>
      <group>L1_Word</group>
      <groupName>字词问题</groupName>
      <ability>L2_Typo</ability>
      <abilityName>字词错误</abilityName>
      <candidateList>
        <item>声呐</item>
      </candidateList>
      <explain/>
      <paraID>48BA8FD1</paraID>
      <start>26</start>
      <end>28</end>
      <status>unmodified</status>
      <modifiedWord/>
      <trackRevisions>false</trackRevisions>
    </reviewItem>
    <reviewItem>
      <errorID>8290c235-ff11-4a02-8918-52163fac1da6</errorID>
      <errorWord>(</errorWord>
      <group>L1_Format</group>
      <groupName>格式问题</groupName>
      <ability>L2_HalfPunc</ability>
      <abilityName>全半角检查</abilityName>
      <candidateList>
        <item>（</item>
      </candidateList>
      <explain>文本全半角错误。</explain>
      <paraID>7160F5ED</paraID>
      <start>28</start>
      <end>29</end>
      <status>unmodified</status>
      <modifiedWord/>
      <trackRevisions>false</trackRevisions>
    </reviewItem>
    <reviewItem>
      <errorID>68e2ff51-a0f6-4fd1-abcf-644f460b203b</errorID>
      <errorWord>)</errorWord>
      <group>L1_Format</group>
      <groupName>格式问题</groupName>
      <ability>L2_HalfPunc</ability>
      <abilityName>全半角检查</abilityName>
      <candidateList>
        <item>）</item>
      </candidateList>
      <explain>文本全半角错误。</explain>
      <paraID>7160F5ED</paraID>
      <start>37</start>
      <end>38</end>
      <status>unmodified</status>
      <modifiedWord/>
      <trackRevisions>false</trackRevisions>
    </reviewItem>
    <reviewItem>
      <errorID>1bab95fc-a876-4182-ba7c-ed9d3b4bd96d</errorID>
      <errorWord>，</errorWord>
      <group>L1_Word</group>
      <groupName>字词问题</groupName>
      <ability>L2_Typo</ability>
      <abilityName>字词错误</abilityName>
      <candidateList>
        <item>，以</item>
      </candidateList>
      <explain/>
      <paraID>5EA9B450</paraID>
      <start>27</start>
      <end>28</end>
      <status>unmodified</status>
      <modifiedWord/>
      <trackRevisions>false</trackRevisions>
    </reviewItem>
    <reviewItem>
      <errorID>d6a4d027-eaec-43fe-900e-59e4a8d6ab18</errorID>
      <errorWord>翔实</errorWord>
      <group>L1_Word</group>
      <groupName>字词问题</groupName>
      <ability>L2_Typo</ability>
      <abilityName>字词错误</abilityName>
      <candidateList>
        <item>详实</item>
      </candidateList>
      <explain>存在发音相同字词的误用。</explain>
      <paraID>2D03403C</paraID>
      <start>97</start>
      <end>99</end>
      <status>unmodified</status>
      <modifiedWord/>
      <trackRevisions>false</trackRevisions>
    </reviewItem>
    <reviewItem>
      <errorID>f052c43a-8b55-4f5b-a7c8-51581f526792</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BE34FF5</paraID>
      <start>45</start>
      <end>46</end>
      <status>unmodified</status>
      <modifiedWord/>
      <trackRevisions>false</trackRevisions>
    </reviewItem>
    <reviewItem>
      <errorID>440a6922-0008-44ac-a219-8a6daaf84dd9</errorID>
      <errorWord>做</errorWord>
      <group>L1_Word</group>
      <groupName>字词问题</groupName>
      <ability>L2_Typo</ability>
      <abilityName>字词错误</abilityName>
      <candidateList>
        <item>作</item>
      </candidateList>
      <explain>存在发音相同字词的误用。</explain>
      <paraID>655B9BF0</paraID>
      <start>22</start>
      <end>23</end>
      <status>unmodified</status>
      <modifiedWord/>
      <trackRevisions>false</trackRevisions>
    </reviewItem>
    <reviewItem>
      <errorID>daa00484-bbcf-4640-a780-736fd8414175</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6A026EA2</paraID>
      <start>41</start>
      <end>42</end>
      <status>unmodified</status>
      <modifiedWord/>
      <trackRevisions>false</trackRevisions>
    </reviewItem>
    <reviewItem>
      <errorID>e300ff93-7364-44c5-a2d4-5394da0ff31d</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1AF101D4</paraID>
      <start>12</start>
      <end>13</end>
      <status>unmodified</status>
      <modifiedWord/>
      <trackRevisions>false</trackRevisions>
    </reviewItem>
    <reviewItem>
      <errorID>9b88ac71-bb02-498d-bee8-a4c5de19ba11</errorID>
      <errorWord>,</errorWord>
      <group>L1_Format</group>
      <groupName>格式问题</groupName>
      <ability>L2_HalfPunc</ability>
      <abilityName>全半角检查</abilityName>
      <candidateList>
        <item>，</item>
      </candidateList>
      <explain>文本全半角错误。</explain>
      <paraID>683D3E7A</paraID>
      <start>184</start>
      <end>185</end>
      <status>unmodified</status>
      <modifiedWord/>
      <trackRevisions>false</trackRevisions>
    </reviewItem>
    <reviewItem>
      <errorID>038781f3-812a-49cd-8752-fd002742b872</errorID>
      <errorWord>容</errorWord>
      <group>L1_Word</group>
      <groupName>字词问题</groupName>
      <ability>L2_Typo</ability>
      <abilityName>字词错误</abilityName>
      <candidateList>
        <item>容详</item>
      </candidateList>
      <explain/>
      <paraID>683D3E7A</paraID>
      <start>304</start>
      <end>306</end>
      <status>modified</status>
      <modifiedWord>容详</modifiedWord>
      <trackRevisions>false</trackRevisions>
    </reviewItem>
    <reviewItem>
      <errorID>aca7d87e-50bd-47a9-95a4-b2c00f2bd1cc</errorID>
      <errorWord>由乙方负责承担</errorWord>
      <group>L1_Word</group>
      <groupName>字词问题</groupName>
      <ability>L2_Typo</ability>
      <abilityName>字词错误</abilityName>
      <candidateList>
        <item>由乙方承担</item>
      </candidateList>
      <explain/>
      <paraID>776E9D5B</paraID>
      <start>77</start>
      <end>82</end>
      <status>modified</status>
      <modifiedWord>由乙方承担</modifiedWord>
      <trackRevisions>false</trackRevisions>
    </reviewItem>
    <reviewItem>
      <errorID>319d242d-4b59-4a40-baac-e6cad58f0bd9</errorID>
      <errorWord>抛洒</errorWord>
      <group>L1_Word</group>
      <groupName>字词问题</groupName>
      <ability>L2_Typo</ability>
      <abilityName>字词错误</abilityName>
      <candidateList>
        <item>抛撒</item>
      </candidateList>
      <explain/>
      <paraID>3B88F6A0</paraID>
      <start>25</start>
      <end>27</end>
      <status>unmodified</status>
      <modifiedWord/>
      <trackRevisions>false</trackRevisions>
    </reviewItem>
    <reviewItem>
      <errorID>cb7d2725-1713-4b64-8622-64e355f17a2d</errorID>
      <errorWord>，</errorWord>
      <group>L1_Format</group>
      <groupName>格式问题</groupName>
      <ability>L2_HalfPunc</ability>
      <abilityName>全半角检查</abilityName>
      <candidateList>
        <item>,</item>
      </candidateList>
      <explain>文本全半角错误。</explain>
      <paraID>305A7CB7</paraID>
      <start>5</start>
      <end>6</end>
      <status>unmodified</status>
      <modifiedWord/>
      <trackRevisions>false</trackRevisions>
    </reviewItem>
    <reviewItem>
      <errorID>a89aa63b-f0c5-4217-b79f-6ca5503ba4a0</errorID>
      <errorWord>接</errorWord>
      <group>L1_Word</group>
      <groupName>字词问题</groupName>
      <ability>L2_Typo</ability>
      <abilityName>字词错误</abilityName>
      <candidateList>
        <item>接到</item>
      </candidateList>
      <explain/>
      <paraID>7E628B4C</paraID>
      <start>2</start>
      <end>3</end>
      <status>unmodified</status>
      <modifiedWord/>
      <trackRevisions>false</trackRevisions>
    </reviewItem>
    <reviewItem>
      <errorID>49e441a4-ec7c-4bb1-996d-0435925aae68</errorID>
      <errorWord>巡察</errorWord>
      <group>L1_Word</group>
      <groupName>字词问题</groupName>
      <ability>L2_Typo</ability>
      <abilityName>字词错误</abilityName>
      <candidateList>
        <item>巡查</item>
      </candidateList>
      <explain>存在发音相同字词的误用。</explain>
      <paraID>2FF151FE</paraID>
      <start>19</start>
      <end>21</end>
      <status>unmodified</status>
      <modifiedWord/>
      <trackRevisions>false</trackRevisions>
    </reviewItem>
    <reviewItem>
      <errorID>37f1f326-8c33-4242-acbd-735c63e0cd0e</errorID>
      <errorWord>需</errorWord>
      <group>L1_Word</group>
      <groupName>字词问题</groupName>
      <ability>L2_Typo</ability>
      <abilityName>字词错误</abilityName>
      <candidateList>
        <item>须</item>
      </candidateList>
      <explain>（鬚）xū❶原来指长在下巴上的胡子，后来泛指胡须：～发｜～眉。❷须子：触～｜花～。</explain>
      <paraID>125F6546</paraID>
      <start>86</start>
      <end>87</end>
      <status>modified</status>
      <modifiedWord>须</modifiedWord>
      <trackRevisions>false</trackRevisions>
    </reviewItem>
    <reviewItem>
      <errorID>ada22361-1244-4c1f-8769-1c8dcbffe4a4</errorID>
      <errorWord>应能</errorWord>
      <group>L1_Word</group>
      <groupName>字词问题</groupName>
      <ability>L2_Typo</ability>
      <abilityName>字词错误</abilityName>
      <candidateList>
        <item>应</item>
      </candidateList>
      <explain/>
      <paraID> 5781C28</paraID>
      <start>26</start>
      <end>28</end>
      <status>unmodified</status>
      <modifiedWord/>
      <trackRevisions>false</trackRevisions>
    </reviewItem>
    <reviewItem>
      <errorID>5843bf49-38f8-445e-a49f-9c3c279a3b57</errorID>
      <errorWord>须</errorWord>
      <group>L1_Word</group>
      <groupName>字词问题</groupName>
      <ability>L2_Typo</ability>
      <abilityName>字词错误</abilityName>
      <candidateList>
        <item>需</item>
      </candidateList>
      <explain>❶〈动〉需要：～求｜按～分配｜完成任务还～五天时间。❷需用的东西：军～。</explain>
      <paraID>65A45C95</paraID>
      <start>39</start>
      <end>40</end>
      <status>modified</status>
      <modifiedWord>需</modifiedWord>
      <trackRevisions>false</trackRevisions>
    </reviewItem>
    <reviewItem>
      <errorID>8991935a-ce32-450b-afdc-a018daf9bf85</errorID>
      <errorWord>位</errorWord>
      <group>L1_Word</group>
      <groupName>字词问题</groupName>
      <ability>L2_Typo</ability>
      <abilityName>字词错误</abilityName>
      <candidateList>
        <item>位在</item>
      </candidateList>
      <explain/>
      <paraID>3B97C582</paraID>
      <start>10</start>
      <end>11</end>
      <status>unmodified</status>
      <modifiedWord/>
      <trackRevisions>false</trackRevisions>
    </reviewItem>
    <reviewItem>
      <errorID>489e8554-a2ef-42fc-80d4-f1061f49a40b</errorID>
      <errorWord>，</errorWord>
      <group>L1_Word</group>
      <groupName>字词问题</groupName>
      <ability>L2_Typo</ability>
      <abilityName>字词错误</abilityName>
      <candidateList>
        <item>，由</item>
      </candidateList>
      <explain/>
      <paraID>76762655</paraID>
      <start>39</start>
      <end>41</end>
      <status>modified</status>
      <modifiedWord>，由</modifiedWord>
      <trackRevisions>false</trackRevisions>
    </reviewItem>
    <reviewItem>
      <errorID>3330fef2-362f-4f97-9c79-9c029b60dfe5</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4FD95508</paraID>
      <start>49</start>
      <end>50</end>
      <status>unmodified</status>
      <modifiedWord/>
      <trackRevisions>false</trackRevisions>
    </reviewItem>
    <reviewItem>
      <errorID>ca8678a9-b630-48e5-a540-bdceb2ff753b</errorID>
      <errorWord>〈</errorWord>
      <group>L1_Punc</group>
      <groupName>标点问题</groupName>
      <ability>L2_Punc</ability>
      <abilityName>标点符号检查</abilityName>
      <candidateList/>
      <explain>此处标点可能未正确匹配，请检查句子中是否存在标点冗余、缺失或使用错误的情况。</explain>
      <paraID>75052518</paraID>
      <start>49</start>
      <end>50</end>
      <status>unmodified</status>
      <modifiedWord/>
      <trackRevisions>false</trackRevisions>
    </reviewItem>
    <reviewItem>
      <errorID>1002ce47-c7b1-4d38-8d6a-c9c30ca7ca41</errorID>
      <errorWord>〈</errorWord>
      <group>L1_Punc</group>
      <groupName>标点问题</groupName>
      <ability>L2_Punc</ability>
      <abilityName>标点符号检查</abilityName>
      <candidateList/>
      <explain>此处标点可能未正确匹配，请检查句子中是否存在标点冗余、缺失或使用错误的情况。</explain>
      <paraID>66272C47</paraID>
      <start>34</start>
      <end>35</end>
      <status>unmodified</status>
      <modifiedWord/>
      <trackRevisions>false</trackRevisions>
    </reviewItem>
    <reviewItem>
      <errorID>567b8642-0afe-4d89-a60f-601421075785</errorID>
      <errorWord>。】</errorWord>
      <group>L1_Punc</group>
      <groupName>标点问题</groupName>
      <ability>L2_Punc</ability>
      <abilityName>标点符号检查</abilityName>
      <candidateList>
        <item>】</item>
      </candidateList>
      <explain/>
      <paraID>4EA6F92B</paraID>
      <start>103</start>
      <end>104</end>
      <status>modified</status>
      <modifiedWord>】</modifiedWord>
      <trackRevisions>false</trackRevisions>
    </reviewItem>
    <reviewItem>
      <errorID>04f91daf-0e74-4219-89c9-359f5cf69ef9</errorID>
      <errorWord>。】</errorWord>
      <group>L1_Punc</group>
      <groupName>标点问题</groupName>
      <ability>L2_Punc</ability>
      <abilityName>标点符号检查</abilityName>
      <candidateList>
        <item>】</item>
      </candidateList>
      <explain/>
      <paraID>1E327C8D</paraID>
      <start>121</start>
      <end>122</end>
      <status>modified</status>
      <modifiedWord>】</modifiedWord>
      <trackRevisions>false</trackRevisions>
    </reviewItem>
    <reviewItem>
      <errorID>1e00d3e5-7c1e-401d-8164-ee45cb4e0db6</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5B4921E5</paraID>
      <start>130</start>
      <end>131</end>
      <status>unmodified</status>
      <modifiedWord/>
      <trackRevisions>false</trackRevisions>
    </reviewItem>
    <reviewItem>
      <errorID>391a12c4-6ef7-4b18-afff-36aaae9611aa</errorID>
      <errorWord>详实</errorWord>
      <group>L1_Word</group>
      <groupName>字词问题</groupName>
      <ability>L2_Typo</ability>
      <abilityName>字词错误</abilityName>
      <candidateList>
        <item>翔实</item>
      </candidateList>
      <explain>存在发音相同字词的误用。</explain>
      <paraID>2DCB94C8</paraID>
      <start>6</start>
      <end>8</end>
      <status>modified</status>
      <modifiedWord>翔实</modifiedWord>
      <trackRevisions>false</trackRevisions>
    </reviewItem>
    <reviewItem>
      <errorID>084ba63a-e9e2-47dd-ab77-2e7865f9d865</errorID>
      <errorWord>详实</errorWord>
      <group>L1_Word</group>
      <groupName>字词问题</groupName>
      <ability>L2_Typo</ability>
      <abilityName>字词错误</abilityName>
      <candidateList>
        <item>翔实</item>
      </candidateList>
      <explain>存在发音相同字词的误用。</explain>
      <paraID>31E03621</paraID>
      <start>6</start>
      <end>8</end>
      <status>modified</status>
      <modifiedWord>翔实</modifiedWord>
      <trackRevisions>false</trackRevisions>
    </reviewItem>
    <reviewItem>
      <errorID>9907c0c3-4ba8-4695-9063-9f7bbf6fadef</errorID>
      <errorWord>详实</errorWord>
      <group>L1_Word</group>
      <groupName>字词问题</groupName>
      <ability>L2_Typo</ability>
      <abilityName>字词错误</abilityName>
      <candidateList>
        <item>翔实</item>
      </candidateList>
      <explain>存在发音相同字词的误用。</explain>
      <paraID>3DB80536</paraID>
      <start>6</start>
      <end>8</end>
      <status>modified</status>
      <modifiedWord>翔实</modifiedWord>
      <trackRevisions>false</trackRevisions>
    </reviewItem>
    <reviewItem>
      <errorID>87aca246-64f1-4238-a7c9-24d9c8a820aa</errorID>
      <errorWord>详实</errorWord>
      <group>L1_Word</group>
      <groupName>字词问题</groupName>
      <ability>L2_Typo</ability>
      <abilityName>字词错误</abilityName>
      <candidateList>
        <item>翔实</item>
      </candidateList>
      <explain>存在发音相同字词的误用。</explain>
      <paraID>523CC8AB</paraID>
      <start>6</start>
      <end>8</end>
      <status>modified</status>
      <modifiedWord>翔实</modifiedWord>
      <trackRevisions>false</trackRevisions>
    </reviewItem>
    <reviewItem>
      <errorID>8992ff78-8931-4510-96d0-76f6d6ea8db8</errorID>
      <errorWord>详实</errorWord>
      <group>L1_Word</group>
      <groupName>字词问题</groupName>
      <ability>L2_Typo</ability>
      <abilityName>字词错误</abilityName>
      <candidateList>
        <item>翔实</item>
      </candidateList>
      <explain>存在发音相同字词的误用。</explain>
      <paraID>54A8A584</paraID>
      <start>6</start>
      <end>8</end>
      <status>modified</status>
      <modifiedWord>翔实</modifiedWord>
      <trackRevisions>false</trackRevisions>
    </reviewItem>
    <reviewItem>
      <errorID>ea4b98ba-d96f-467b-baf0-49dcb9a28941</errorID>
      <errorWord>详实</errorWord>
      <group>L1_Word</group>
      <groupName>字词问题</groupName>
      <ability>L2_Typo</ability>
      <abilityName>字词错误</abilityName>
      <candidateList>
        <item>翔实</item>
      </candidateList>
      <explain>存在发音相同字词的误用。</explain>
      <paraID>6C014383</paraID>
      <start>6</start>
      <end>8</end>
      <status>modified</status>
      <modifiedWord>翔实</modifiedWord>
      <trackRevisions>false</trackRevisions>
    </reviewItem>
    <reviewItem>
      <errorID>82e1716d-0bc6-4480-b10e-fdcdac880303</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4408E80E</paraID>
      <start>12</start>
      <end>13</end>
      <status>unmodified</status>
      <modifiedWord/>
      <trackRevisions>false</trackRevisions>
    </reviewItem>
    <reviewItem>
      <errorID>441f7247-a4dd-4b4e-b048-7a2de9961bca</errorID>
      <errorWord>二○二六</errorWord>
      <group>L1_Knowledge</group>
      <groupName>知识性问题</groupName>
      <ability>L2_Knowledge</ability>
      <abilityName>其他知识</abilityName>
      <candidateList>
        <item>二〇二六</item>
      </candidateList>
      <explain/>
      <paraID>42706014</paraID>
      <start>0</start>
      <end>4</end>
      <status>modified</status>
      <modifiedWord>二〇二六</modifiedWord>
      <trackRevisions>false</trackRevisions>
    </reviewItem>
    <reviewItem>
      <errorID>640c32ef-a857-496d-b2bb-4c49225f7636</errorID>
      <errorWord>，</errorWord>
      <group>L1_Word</group>
      <groupName>字词问题</groupName>
      <ability>L2_Typo</ability>
      <abilityName>字词错误</abilityName>
      <candidateList>
        <item>，自</item>
      </candidateList>
      <explain/>
      <paraID>18DAA129</paraID>
      <start>9</start>
      <end>11</end>
      <status>modified</status>
      <modifiedWord>，自</modifiedWord>
      <trackRevisions>false</trackRevisions>
    </reviewItem>
    <reviewItem>
      <errorID>3b6ec57c-692f-4bdb-8750-09a02873b8dc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FA8D07B</paraID>
      <start>5</start>
      <end>6</end>
      <status>unmodified</status>
      <modifiedWord/>
      <trackRevisions>false</trackRevisions>
    </reviewItem>
    <reviewItem>
      <errorID>859aab20-38bb-439d-9832-bdc82b9603fb</errorID>
      <errorWord>不须</errorWord>
      <group>L1_Word</group>
      <groupName>字词问题</groupName>
      <ability>L2_Typo</ability>
      <abilityName>字词错误</abilityName>
      <candidateList>
        <item>无需</item>
      </candidateList>
      <explain>同“无须”。</explain>
      <paraID>2A02F525</paraID>
      <start>42</start>
      <end>44</end>
      <status>modified</status>
      <modifiedWord>无需</modifiedWord>
      <trackRevisions>false</trackRevisions>
    </reviewItem>
    <reviewItem>
      <errorID>8f52563a-bda1-4207-8077-f1fea0bcb04f</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51E8F0A4</paraID>
      <start>21</start>
      <end>22</end>
      <status>unmodified</status>
      <modifiedWord/>
      <trackRevisions>false</trackRevisions>
    </reviewItem>
  </reviewItems>
  <config/>
</contractReview>
</file>

<file path=customXml/item3.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5B86A12-EF69-43CE-B6F7-5100F6D0DD24}"/>
</file>

<file path=customXml/itemProps2.xml><?xml version="1.0" encoding="utf-8"?>
<ds:datastoreItem xmlns:ds="http://schemas.openxmlformats.org/officeDocument/2006/customXml" ds:itemID="{BF6F1290-02FC-43A1-A716-143D7798B3B2}"/>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时缪</dc:creator>
  <cp:lastModifiedBy>杨静</cp:lastModifiedBy>
  <cp:revision>5</cp:revision>
  <dcterms:created xsi:type="dcterms:W3CDTF">2025-01-22T09:09:00Z</dcterms:created>
  <dcterms:modified xsi:type="dcterms:W3CDTF">2026-04-30T08:14:43Z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285357973BB64DB6A6D47EF114A2EB4B_13</vt:lpwstr>
  </property>
  <property fmtid="{D5CDD505-2E9C-101B-9397-08002B2CF9AE}" pid="4" name="KSOTemplateDocerSaveRecord">
    <vt:lpwstr>eyJoZGlkIjoiM2FiMmY2ODU5NjUzYTBiNTEzNzM2ZDlkZmM2YjYyY2MiLCJ1c2VySWQiOiIyOTAyMTM2MCJ9</vt:lpwstr>
  </property>
</Properties>
</file>