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160"/>
        <w:spacing w:line="360" w:lineRule="auto"/>
        <w:rPr>
          <w:rFonts w:hint="eastAsia" w:ascii="CESI黑体-GB2312" w:hAnsi="CESI黑体-GB2312" w:eastAsia="CESI黑体-GB2312" w:cs="CESI黑体-GB2312"/>
          <w:sz w:val="32"/>
          <w:szCs w:val="32"/>
          <w:lang w:val="en-US" w:eastAsia="zh-CN"/>
        </w:rPr>
      </w:pPr>
      <w:r>
        <w:rPr>
          <w:rFonts w:hint="eastAsia" w:ascii="CESI黑体-GB2312" w:hAnsi="CESI黑体-GB2312" w:eastAsia="CESI黑体-GB2312" w:cs="CESI黑体-GB2312"/>
          <w:sz w:val="32"/>
          <w:szCs w:val="32"/>
          <w:lang w:val="en-US" w:eastAsia="zh-CN"/>
        </w:rPr>
      </w:r>
      <w:r/>
    </w:p>
    <w:p>
      <w:pPr>
        <w:pStyle w:val="1053"/>
        <w:ind w:firstLine="300"/>
        <w:spacing w:line="360" w:lineRule="auto"/>
        <w:rPr>
          <w:sz w:val="60"/>
          <w:szCs w:val="60"/>
        </w:rPr>
      </w:pPr>
      <w:r>
        <w:rPr>
          <w:sz w:val="60"/>
          <w:szCs w:val="60"/>
        </w:rPr>
      </w:r>
      <w:r/>
    </w:p>
    <w:p>
      <w:pPr>
        <w:pStyle w:val="1053"/>
        <w:jc w:val="center"/>
        <w:rPr>
          <w:b/>
          <w:bCs/>
          <w:sz w:val="60"/>
          <w:szCs w:val="60"/>
        </w:rPr>
      </w:pPr>
      <w:r>
        <w:rPr>
          <w:b/>
          <w:bCs/>
          <w:sz w:val="60"/>
          <w:szCs w:val="60"/>
        </w:rPr>
        <w:t xml:space="preserve">常州市政府采购项目</w:t>
      </w:r>
      <w:r>
        <w:rPr>
          <w:b/>
          <w:bCs/>
          <w:sz w:val="60"/>
          <w:szCs w:val="60"/>
        </w:rPr>
      </w:r>
      <w:r/>
    </w:p>
    <w:p>
      <w:pPr>
        <w:pStyle w:val="1053"/>
        <w:jc w:val="center"/>
        <w:rPr>
          <w:rFonts w:hint="eastAsia"/>
          <w:b/>
          <w:bCs/>
          <w:sz w:val="60"/>
          <w:szCs w:val="60"/>
        </w:rPr>
      </w:pPr>
      <w:r>
        <w:rPr>
          <w:rFonts w:hint="eastAsia"/>
          <w:b/>
          <w:bCs/>
          <w:sz w:val="60"/>
          <w:szCs w:val="60"/>
        </w:rPr>
        <w:t xml:space="preserve">公开</w:t>
      </w:r>
      <w:r>
        <w:rPr>
          <w:b/>
          <w:bCs/>
          <w:sz w:val="60"/>
          <w:szCs w:val="60"/>
        </w:rPr>
        <w:t xml:space="preserve">招标文件</w:t>
      </w:r>
      <w:r>
        <w:rPr>
          <w:rFonts w:hint="eastAsia"/>
          <w:b/>
          <w:bCs/>
          <w:sz w:val="60"/>
          <w:szCs w:val="60"/>
        </w:rPr>
      </w:r>
      <w:r/>
    </w:p>
    <w:p>
      <w:pPr>
        <w:pStyle w:val="1053"/>
        <w:jc w:val="center"/>
        <w:rPr>
          <w:rFonts w:hint="eastAsia"/>
          <w:b/>
          <w:bCs/>
          <w:sz w:val="60"/>
          <w:szCs w:val="60"/>
        </w:rPr>
      </w:pPr>
      <w:r>
        <w:rPr>
          <w:rFonts w:hint="eastAsia"/>
          <w:b/>
          <w:bCs/>
          <w:sz w:val="60"/>
          <w:szCs w:val="60"/>
        </w:rPr>
      </w:r>
      <w:r/>
    </w:p>
    <w:p>
      <w:pPr>
        <w:pStyle w:val="1053"/>
        <w:jc w:val="center"/>
        <w:rPr>
          <w:rFonts w:hint="eastAsia"/>
          <w:b/>
          <w:bCs/>
          <w:sz w:val="60"/>
          <w:szCs w:val="60"/>
        </w:rPr>
      </w:pPr>
      <w:r>
        <w:rPr>
          <w:rFonts w:hint="eastAsia"/>
          <w:b/>
          <w:bCs/>
          <w:sz w:val="60"/>
          <w:szCs w:val="60"/>
        </w:rPr>
      </w:r>
      <w:r/>
    </w:p>
    <w:p>
      <w:pPr>
        <w:pStyle w:val="1053"/>
        <w:jc w:val="center"/>
        <w:rPr>
          <w:rFonts w:hint="eastAsia"/>
          <w:b/>
          <w:bCs/>
          <w:sz w:val="60"/>
          <w:szCs w:val="60"/>
        </w:rPr>
      </w:pPr>
      <w:r>
        <w:rPr>
          <w:rFonts w:hint="eastAsia"/>
          <w:b/>
          <w:bCs/>
          <w:sz w:val="60"/>
          <w:szCs w:val="60"/>
        </w:rPr>
      </w:r>
      <w:r/>
    </w:p>
    <w:p>
      <w:pPr>
        <w:pStyle w:val="1053"/>
        <w:jc w:val="both"/>
        <w:rPr>
          <w:b/>
          <w:bCs/>
          <w:sz w:val="60"/>
          <w:szCs w:val="60"/>
        </w:rPr>
      </w:pPr>
      <w:r>
        <w:rPr>
          <w:b/>
          <w:bCs/>
          <w:sz w:val="60"/>
          <w:szCs w:val="60"/>
        </w:rPr>
      </w:r>
      <w:r/>
    </w:p>
    <w:p>
      <w:pPr>
        <w:pStyle w:val="1053"/>
        <w:jc w:val="center"/>
        <w:spacing w:line="360" w:lineRule="auto"/>
        <w:rPr>
          <w:sz w:val="60"/>
          <w:szCs w:val="60"/>
        </w:rPr>
      </w:pPr>
      <w:r>
        <w:rPr>
          <w:sz w:val="60"/>
          <w:szCs w:val="60"/>
        </w:rPr>
      </w:r>
      <w:r/>
    </w:p>
    <w:p>
      <w:pPr>
        <w:pStyle w:val="1053"/>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溧阳市入河排污口（中河－北溪河、赵村河、中干河）规范化建设项目</w:t>
      </w:r>
      <w:r>
        <w:rPr>
          <w:rFonts w:hint="eastAsia" w:eastAsia="宋体"/>
          <w:bCs/>
          <w:sz w:val="36"/>
          <w:szCs w:val="36"/>
          <w:lang w:eastAsia="zh-CN"/>
        </w:rPr>
      </w:r>
      <w:r/>
    </w:p>
    <w:p>
      <w:pPr>
        <w:pStyle w:val="1053"/>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项目编号/包号：JSZC-320481-DCHR-G2026-0012</w:t>
      </w:r>
      <w:r>
        <w:rPr>
          <w:rFonts w:hint="eastAsia" w:eastAsia="宋体"/>
          <w:bCs/>
          <w:sz w:val="36"/>
          <w:szCs w:val="36"/>
          <w:lang w:eastAsia="zh-CN"/>
        </w:rPr>
      </w:r>
      <w:r/>
    </w:p>
    <w:p>
      <w:pPr>
        <w:pStyle w:val="1053"/>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溧阳市市域社会治理现代化指挥中心</w:t>
      </w:r>
      <w:r>
        <w:rPr>
          <w:rFonts w:hint="eastAsia" w:eastAsia="宋体"/>
          <w:bCs/>
          <w:sz w:val="36"/>
          <w:szCs w:val="36"/>
          <w:lang w:eastAsia="zh-CN"/>
        </w:rPr>
      </w:r>
      <w:r/>
    </w:p>
    <w:p>
      <w:pPr>
        <w:pStyle w:val="1053"/>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江苏大成恒睿土地房地产资产评估咨询有限公司</w:t>
      </w:r>
      <w:r>
        <w:rPr>
          <w:bCs/>
          <w:sz w:val="36"/>
          <w:szCs w:val="36"/>
        </w:rPr>
      </w:r>
      <w:r/>
    </w:p>
    <w:p>
      <w:pPr>
        <w:pStyle w:val="1053"/>
        <w:jc w:val="left"/>
        <w:widowControl/>
        <w:rPr>
          <w:b/>
          <w:sz w:val="72"/>
        </w:rPr>
        <w:sectPr>
          <w:headerReference w:type="even" r:id="rId9"/>
          <w:footerReference w:type="default" r:id="rId14"/>
          <w:footerReference w:type="even" r:id="rId15"/>
          <w:footerReference w:type="first" r:id="rId16"/>
          <w:footnotePr/>
          <w:endnotePr/>
          <w:type w:val="nextColumn"/>
          <w:pgSz w:w="11907" w:h="16840" w:orient="portrait"/>
          <w:pgMar w:top="1911" w:right="1474" w:bottom="1882" w:left="1587" w:header="851" w:footer="851" w:gutter="0"/>
          <w:pgNumType w:start="1"/>
          <w:cols w:num="1" w:sep="0" w:space="1701" w:equalWidth="1"/>
          <w:docGrid w:linePitch="360"/>
          <w:titlePg/>
        </w:sectPr>
      </w:pPr>
      <w:r>
        <w:rPr>
          <w:b/>
          <w:sz w:val="72"/>
        </w:rPr>
        <w:br w:type="page" w:clear="all"/>
      </w:r>
      <w:r/>
    </w:p>
    <w:p>
      <w:pPr>
        <w:pStyle w:val="1053"/>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1053"/>
      </w:pPr>
      <w:r/>
      <w:r/>
    </w:p>
    <w:p>
      <w:pPr>
        <w:pStyle w:val="1053"/>
      </w:pPr>
      <w:r/>
      <w:r/>
    </w:p>
    <w:p>
      <w:pPr>
        <w:pStyle w:val="1053"/>
      </w:pPr>
      <w:r/>
      <w:r/>
    </w:p>
    <w:p>
      <w:pPr>
        <w:pStyle w:val="1105"/>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105"/>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1129"/>
          <w:rFonts w:ascii="Times New Roman" w:hAnsi="Times New Roman"/>
        </w:rPr>
        <w:t xml:space="preserve">第一章   招标公告</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05"/>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129"/>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05"/>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129"/>
          <w:rFonts w:ascii="Times New Roman" w:hAnsi="Times New Roman"/>
        </w:rPr>
        <w:t xml:space="preserve">第三章   资</w:t>
      </w:r>
      <w:bookmarkStart w:id="1" w:name="_Hlt100754117"/>
      <w:r>
        <w:rPr>
          <w:rStyle w:val="1129"/>
          <w:rFonts w:ascii="Times New Roman" w:hAnsi="Times New Roman"/>
        </w:rPr>
        <w:t xml:space="preserve">格</w:t>
      </w:r>
      <w:bookmarkEnd w:id="1"/>
      <w:r>
        <w:rPr>
          <w:rStyle w:val="1129"/>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05"/>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129"/>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05"/>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1129"/>
          <w:rFonts w:ascii="Times New Roman" w:hAnsi="Times New Roman"/>
        </w:rPr>
        <w:t xml:space="preserve">第五章   采购</w:t>
      </w:r>
      <w:bookmarkStart w:id="2" w:name="_Hlt100754102"/>
      <w:r/>
      <w:bookmarkStart w:id="3" w:name="_Hlt100754103"/>
      <w:r>
        <w:rPr>
          <w:rStyle w:val="1129"/>
          <w:rFonts w:ascii="Times New Roman" w:hAnsi="Times New Roman"/>
        </w:rPr>
        <w:t xml:space="preserve">需</w:t>
      </w:r>
      <w:bookmarkEnd w:id="2"/>
      <w:r/>
      <w:bookmarkEnd w:id="3"/>
      <w:r>
        <w:rPr>
          <w:rStyle w:val="1129"/>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05"/>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129"/>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66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05"/>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1129"/>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75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05"/>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53"/>
        <w:jc w:val="center"/>
        <w:spacing w:line="360" w:lineRule="auto"/>
        <w:rPr>
          <w:b/>
          <w:sz w:val="36"/>
          <w:szCs w:val="36"/>
        </w:rPr>
        <w:sectPr>
          <w:headerReference w:type="even" r:id="rId10"/>
          <w:headerReference w:type="first" r:id="rId11"/>
          <w:footerReference w:type="default" r:id="rId17"/>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outlineLvl w:val="0"/>
      </w:pPr>
      <w:r/>
      <w:bookmarkStart w:id="4" w:name="_Toc99301419"/>
      <w:r>
        <w:rPr>
          <w:b/>
          <w:sz w:val="36"/>
          <w:szCs w:val="36"/>
        </w:rPr>
      </w:r>
      <w:r/>
    </w:p>
    <w:p>
      <w:pPr>
        <w:pStyle w:val="1053"/>
        <w:jc w:val="center"/>
        <w:spacing w:line="360" w:lineRule="auto"/>
        <w:rPr>
          <w:rFonts w:hint="eastAsia"/>
          <w:b/>
          <w:sz w:val="36"/>
          <w:szCs w:val="36"/>
        </w:rPr>
        <w:outlineLvl w:val="0"/>
      </w:pPr>
      <w:r>
        <w:rPr>
          <w:b/>
          <w:sz w:val="36"/>
          <w:szCs w:val="36"/>
        </w:rPr>
        <w:t xml:space="preserve">第一章   </w:t>
      </w:r>
      <w:bookmarkEnd w:id="4"/>
      <w:r>
        <w:rPr>
          <w:b/>
          <w:sz w:val="36"/>
          <w:szCs w:val="36"/>
        </w:rPr>
        <w:t xml:space="preserve">招标公告</w:t>
      </w:r>
      <w:r>
        <w:rPr>
          <w:rFonts w:hint="eastAsia"/>
          <w:b/>
          <w:sz w:val="36"/>
          <w:szCs w:val="36"/>
        </w:rPr>
      </w:r>
      <w:r/>
    </w:p>
    <w:p>
      <w:pPr>
        <w:pStyle w:val="1053"/>
        <w:jc w:val="center"/>
        <w:spacing w:line="500" w:lineRule="exact"/>
        <w:rPr>
          <w:rFonts w:hint="eastAsia" w:ascii="宋体" w:hAnsi="宋体" w:cs="宋体"/>
          <w:bCs/>
          <w:sz w:val="36"/>
          <w:szCs w:val="36"/>
        </w:rPr>
      </w:pPr>
      <w:r>
        <w:rPr>
          <w:rFonts w:hint="eastAsia" w:ascii="宋体" w:hAnsi="宋体" w:cs="宋体"/>
          <w:bCs/>
          <w:sz w:val="36"/>
          <w:szCs w:val="36"/>
          <w:lang w:eastAsia="zh-CN"/>
        </w:rPr>
        <w:t xml:space="preserve">溧阳市入河排污口（中河－北溪河、赵村河、中干河）规范化建设项目</w:t>
      </w:r>
      <w:r>
        <w:rPr>
          <w:rFonts w:hint="eastAsia" w:ascii="宋体" w:hAnsi="宋体" w:cs="宋体"/>
          <w:bCs/>
          <w:sz w:val="36"/>
          <w:szCs w:val="36"/>
        </w:rPr>
        <w:t xml:space="preserve">招标公告</w:t>
      </w:r>
      <w:r>
        <w:rPr>
          <w:rFonts w:hint="eastAsia" w:ascii="宋体" w:hAnsi="宋体" w:cs="宋体"/>
          <w:bCs/>
          <w:sz w:val="36"/>
          <w:szCs w:val="36"/>
        </w:rPr>
      </w:r>
      <w:r/>
    </w:p>
    <w:p>
      <w:pPr>
        <w:pStyle w:val="1053"/>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ascii="宋体" w:hAnsi="宋体"/>
          <w:sz w:val="24"/>
        </w:rPr>
      </w:r>
      <w:r/>
    </w:p>
    <w:p>
      <w:pPr>
        <w:pStyle w:val="1053"/>
        <w:ind w:firstLine="480"/>
        <w:spacing w:line="360" w:lineRule="auto"/>
        <w:rPr>
          <w:rFonts w:ascii="宋体" w:hAnsi="宋体"/>
          <w:bCs/>
          <w:sz w:val="24"/>
          <w:u w:val="single"/>
        </w:rPr>
        <w:pBdr>
          <w:top w:val="single" w:color="000000" w:sz="4" w:space="1"/>
          <w:left w:val="single" w:color="000000" w:sz="4" w:space="4"/>
          <w:bottom w:val="single" w:color="000000" w:sz="4" w:space="1"/>
          <w:right w:val="single" w:color="000000" w:sz="4" w:space="4"/>
        </w:pBdr>
      </w:pPr>
      <w:r>
        <w:rPr>
          <w:rFonts w:hint="eastAsia"/>
          <w:sz w:val="24"/>
          <w:u w:val="single"/>
          <w:lang w:eastAsia="zh-CN"/>
        </w:rPr>
        <w:t xml:space="preserve">溧阳市入河排污口（中河－北溪河、赵村河、中干河）规范化建设项目</w:t>
      </w:r>
      <w:r>
        <w:rPr>
          <w:rFonts w:hint="eastAsia" w:ascii="宋体" w:hAnsi="宋体"/>
          <w:sz w:val="24"/>
        </w:rPr>
        <w:t xml:space="preserve">采购项目的潜在供应商应在</w:t>
      </w:r>
      <w:r>
        <w:rPr>
          <w:rFonts w:hint="eastAsia" w:ascii="宋体" w:hAnsi="宋体"/>
          <w:sz w:val="24"/>
          <w:u w:val="single"/>
        </w:rPr>
        <w:t xml:space="preserve">苏采云</w:t>
      </w:r>
      <w:r>
        <w:rPr>
          <w:rFonts w:hint="eastAsia" w:ascii="宋体" w:hAnsi="宋体"/>
          <w:sz w:val="24"/>
        </w:rPr>
        <w:t xml:space="preserve">获取</w:t>
      </w:r>
      <w:r>
        <w:rPr>
          <w:rFonts w:hint="eastAsia" w:ascii="宋体" w:hAnsi="宋体"/>
          <w:sz w:val="24"/>
          <w:lang w:val="en-US" w:eastAsia="zh-CN"/>
        </w:rPr>
        <w:t xml:space="preserve">招标</w:t>
      </w:r>
      <w:r>
        <w:rPr>
          <w:rFonts w:hint="eastAsia" w:ascii="宋体" w:hAnsi="宋体"/>
          <w:sz w:val="24"/>
        </w:rPr>
        <w:t xml:space="preserve">文件，并于</w:t>
      </w:r>
      <w:r>
        <w:rPr>
          <w:rFonts w:hint="eastAsia" w:ascii="宋体" w:hAnsi="宋体"/>
          <w:b/>
          <w:sz w:val="24"/>
          <w:u w:val="single"/>
        </w:rPr>
        <w:t xml:space="preserve">202</w:t>
      </w:r>
      <w:r>
        <w:rPr>
          <w:rFonts w:hint="eastAsia" w:ascii="宋体" w:hAnsi="宋体"/>
          <w:b/>
          <w:sz w:val="24"/>
          <w:u w:val="single"/>
          <w:lang w:val="en-US" w:eastAsia="zh-CN"/>
        </w:rPr>
        <w:t xml:space="preserve">6</w:t>
      </w:r>
      <w:r>
        <w:rPr>
          <w:rFonts w:hint="eastAsia" w:ascii="宋体" w:hAnsi="宋体"/>
          <w:b/>
          <w:bCs/>
          <w:sz w:val="24"/>
          <w:u w:val="single"/>
        </w:rPr>
        <w:t xml:space="preserve">年</w:t>
      </w:r>
      <w:r>
        <w:rPr>
          <w:rFonts w:hint="eastAsia" w:ascii="宋体" w:hAnsi="宋体"/>
          <w:b/>
          <w:bCs/>
          <w:sz w:val="24"/>
          <w:u w:val="single"/>
          <w:lang w:val="en-US" w:eastAsia="zh-CN"/>
        </w:rPr>
        <w:t xml:space="preserve">4</w:t>
      </w:r>
      <w:r>
        <w:rPr>
          <w:rFonts w:hint="eastAsia" w:ascii="宋体" w:hAnsi="宋体" w:cs="仿宋_GB2312"/>
          <w:b/>
          <w:spacing w:val="2"/>
          <w:sz w:val="24"/>
          <w:u w:val="single"/>
          <w:lang w:val="zh-CN"/>
        </w:rPr>
        <w:t xml:space="preserve">月</w:t>
      </w:r>
      <w:r>
        <w:rPr>
          <w:rFonts w:hint="eastAsia" w:ascii="宋体" w:hAnsi="宋体" w:cs="仿宋_GB2312"/>
          <w:b/>
          <w:spacing w:val="2"/>
          <w:sz w:val="24"/>
          <w:u w:val="single"/>
          <w:lang w:val="en-US" w:eastAsia="zh-CN"/>
        </w:rPr>
        <w:t xml:space="preserve">14</w:t>
      </w:r>
      <w:r>
        <w:rPr>
          <w:rFonts w:hint="eastAsia" w:ascii="宋体" w:hAnsi="宋体" w:cs="仿宋_GB2312"/>
          <w:b/>
          <w:spacing w:val="2"/>
          <w:sz w:val="24"/>
          <w:u w:val="single"/>
          <w:lang w:val="zh-CN"/>
        </w:rPr>
        <w:t xml:space="preserve">日</w:t>
      </w:r>
      <w:r>
        <w:rPr>
          <w:rFonts w:hint="eastAsia" w:ascii="宋体" w:hAnsi="宋体" w:cs="仿宋_GB2312"/>
          <w:b/>
          <w:spacing w:val="2"/>
          <w:sz w:val="24"/>
          <w:u w:val="single"/>
          <w:lang w:val="en-US" w:eastAsia="zh-CN"/>
        </w:rPr>
        <w:t xml:space="preserve">9</w:t>
      </w:r>
      <w:r>
        <w:rPr>
          <w:rFonts w:hint="eastAsia" w:ascii="宋体" w:hAnsi="宋体"/>
          <w:b/>
          <w:bCs/>
          <w:sz w:val="24"/>
          <w:u w:val="single"/>
        </w:rPr>
        <w:t xml:space="preserve">点</w:t>
      </w:r>
      <w:r>
        <w:rPr>
          <w:rFonts w:hint="eastAsia" w:ascii="宋体" w:hAnsi="宋体"/>
          <w:b/>
          <w:bCs/>
          <w:sz w:val="24"/>
          <w:u w:val="single"/>
          <w:lang w:val="en-US" w:eastAsia="zh-CN"/>
        </w:rPr>
        <w:t xml:space="preserve">00</w:t>
      </w:r>
      <w:r>
        <w:rPr>
          <w:rFonts w:hint="eastAsia" w:ascii="宋体" w:hAnsi="宋体"/>
          <w:b/>
          <w:bCs/>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rPr>
          <w:rFonts w:ascii="宋体" w:hAnsi="宋体"/>
          <w:bCs/>
          <w:sz w:val="24"/>
          <w:u w:val="single"/>
        </w:rPr>
      </w:r>
      <w:r/>
    </w:p>
    <w:p>
      <w:pPr>
        <w:pStyle w:val="1303"/>
        <w:ind w:firstLine="482"/>
        <w:spacing w:line="360" w:lineRule="auto"/>
        <w:rPr>
          <w:rFonts w:ascii="宋体" w:hAnsi="宋体" w:cs="宋体"/>
          <w:b/>
          <w:bCs/>
          <w:sz w:val="24"/>
          <w:szCs w:val="24"/>
        </w:rPr>
      </w:pPr>
      <w:r>
        <w:rPr>
          <w:rFonts w:hint="eastAsia" w:ascii="宋体" w:hAnsi="宋体" w:cs="宋体"/>
          <w:b/>
          <w:bCs/>
          <w:sz w:val="24"/>
          <w:szCs w:val="24"/>
        </w:rPr>
        <w:t xml:space="preserve">一、项目基本情况</w:t>
      </w:r>
      <w:r>
        <w:rPr>
          <w:rFonts w:ascii="宋体" w:hAnsi="宋体" w:cs="宋体"/>
          <w:b/>
          <w:bCs/>
          <w:sz w:val="24"/>
          <w:szCs w:val="24"/>
        </w:rPr>
      </w:r>
      <w:r/>
    </w:p>
    <w:p>
      <w:pPr>
        <w:pStyle w:val="1303"/>
        <w:ind w:firstLine="480"/>
        <w:spacing w:line="360" w:lineRule="auto"/>
        <w:rPr>
          <w:bCs/>
          <w:color w:val="000000"/>
          <w:sz w:val="24"/>
          <w:szCs w:val="24"/>
        </w:rPr>
      </w:pPr>
      <w:r>
        <w:rPr>
          <w:rFonts w:hint="eastAsia" w:ascii="宋体" w:hAnsi="宋体" w:cs="宋体"/>
          <w:color w:val="000000"/>
          <w:sz w:val="24"/>
          <w:szCs w:val="24"/>
        </w:rPr>
        <w:t xml:space="preserve">1.项目编号：</w:t>
      </w:r>
      <w:bookmarkStart w:id="5" w:name="_GoBack"/>
      <w:r/>
      <w:bookmarkEnd w:id="5"/>
      <w:r>
        <w:rPr>
          <w:rFonts w:hint="eastAsia" w:ascii="宋体" w:hAnsi="宋体" w:cs="宋体"/>
          <w:color w:val="000000"/>
          <w:sz w:val="24"/>
          <w:szCs w:val="24"/>
        </w:rPr>
        <w:t xml:space="preserve">JSZC-320481-DCHR-G2026-0012</w:t>
      </w:r>
      <w:r>
        <w:rPr>
          <w:rFonts w:ascii="宋体" w:hAnsi="宋体" w:cs="宋体"/>
          <w:color w:val="000000"/>
          <w:sz w:val="24"/>
          <w:szCs w:val="24"/>
        </w:rPr>
        <w:t xml:space="preserve"> </w:t>
      </w:r>
      <w:r>
        <w:rPr>
          <w:bCs/>
          <w:color w:val="000000"/>
          <w:sz w:val="24"/>
          <w:szCs w:val="24"/>
        </w:rPr>
        <w:t xml:space="preserve"> </w:t>
      </w:r>
      <w:r>
        <w:rPr>
          <w:bCs/>
          <w:color w:val="000000"/>
          <w:sz w:val="24"/>
          <w:szCs w:val="24"/>
        </w:rPr>
      </w:r>
      <w:r/>
    </w:p>
    <w:p>
      <w:pPr>
        <w:pStyle w:val="1303"/>
        <w:ind w:firstLine="360"/>
        <w:spacing w:line="360" w:lineRule="auto"/>
        <w:rPr>
          <w:rFonts w:hint="eastAsia" w:ascii="宋体" w:hAnsi="宋体" w:eastAsia="宋体" w:cs="宋体"/>
          <w:bCs/>
          <w:color w:val="000000"/>
          <w:spacing w:val="2"/>
          <w:sz w:val="24"/>
          <w:lang w:eastAsia="zh-CN"/>
        </w:rPr>
      </w:pPr>
      <w:r>
        <w:rPr>
          <w:rFonts w:hint="eastAsia" w:ascii="宋体" w:hAnsi="宋体" w:cs="宋体"/>
          <w:color w:val="000000"/>
          <w:sz w:val="24"/>
          <w:szCs w:val="24"/>
        </w:rPr>
        <w:t xml:space="preserve"> 2.项目名称：</w:t>
      </w:r>
      <w:r>
        <w:rPr>
          <w:rFonts w:hint="eastAsia"/>
          <w:color w:val="000000"/>
          <w:sz w:val="24"/>
          <w:lang w:eastAsia="zh-CN"/>
        </w:rPr>
        <w:t xml:space="preserve">溧阳市入河排污口（中河－北溪河、赵村河、中干河）规范化建设项目</w:t>
      </w:r>
      <w:r>
        <w:rPr>
          <w:rFonts w:hint="eastAsia" w:ascii="宋体" w:hAnsi="宋体" w:eastAsia="宋体" w:cs="宋体"/>
          <w:bCs/>
          <w:color w:val="000000"/>
          <w:spacing w:val="2"/>
          <w:sz w:val="24"/>
          <w:lang w:eastAsia="zh-CN"/>
        </w:rPr>
      </w:r>
      <w:r/>
    </w:p>
    <w:p>
      <w:pPr>
        <w:pStyle w:val="1303"/>
        <w:ind w:firstLine="480"/>
        <w:spacing w:line="360" w:lineRule="auto"/>
        <w:rPr>
          <w:rFonts w:ascii="宋体" w:hAnsi="宋体" w:cs="宋体"/>
          <w:color w:val="000000"/>
          <w:sz w:val="24"/>
          <w:szCs w:val="24"/>
          <w:highlight w:val="yellow"/>
        </w:rPr>
      </w:pPr>
      <w:r>
        <w:rPr>
          <w:rFonts w:hint="eastAsia" w:ascii="宋体" w:hAnsi="宋体" w:cs="宋体"/>
          <w:color w:val="000000"/>
          <w:sz w:val="24"/>
          <w:szCs w:val="24"/>
        </w:rPr>
        <w:t xml:space="preserve">3.预算金额：</w:t>
      </w:r>
      <w:r>
        <w:rPr>
          <w:rFonts w:hint="eastAsia" w:ascii="宋体" w:hAnsi="宋体" w:cs="宋体"/>
          <w:color w:val="000000"/>
          <w:sz w:val="24"/>
          <w:szCs w:val="24"/>
          <w:lang w:val="en-US" w:eastAsia="zh-CN"/>
        </w:rPr>
        <w:t xml:space="preserve">3050</w:t>
      </w:r>
      <w:r>
        <w:rPr>
          <w:rFonts w:hint="eastAsia" w:ascii="宋体" w:hAnsi="宋体" w:cs="宋体"/>
          <w:color w:val="000000"/>
          <w:sz w:val="24"/>
          <w:szCs w:val="24"/>
        </w:rPr>
        <w:t xml:space="preserve">万元</w:t>
      </w:r>
      <w:r>
        <w:rPr>
          <w:rFonts w:ascii="宋体" w:hAnsi="宋体" w:cs="宋体"/>
          <w:color w:val="000000"/>
          <w:sz w:val="24"/>
          <w:szCs w:val="24"/>
          <w:highlight w:val="yellow"/>
        </w:rPr>
      </w:r>
      <w:r/>
    </w:p>
    <w:p>
      <w:pPr>
        <w:pStyle w:val="1303"/>
        <w:ind w:firstLine="480"/>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rPr>
        <w:t xml:space="preserve">4.最高限价：</w:t>
      </w:r>
      <w:r>
        <w:rPr>
          <w:rFonts w:hint="eastAsia" w:ascii="宋体" w:hAnsi="宋体" w:cs="宋体"/>
          <w:color w:val="000000"/>
          <w:sz w:val="24"/>
          <w:szCs w:val="24"/>
          <w:lang w:val="en-US" w:eastAsia="zh-CN"/>
        </w:rPr>
        <w:t xml:space="preserve">3050</w:t>
      </w:r>
      <w:r>
        <w:rPr>
          <w:rFonts w:hint="eastAsia" w:ascii="宋体" w:hAnsi="宋体" w:cs="宋体"/>
          <w:color w:val="000000"/>
          <w:sz w:val="24"/>
          <w:lang w:val="en-US" w:eastAsia="zh-CN"/>
        </w:rPr>
        <w:t xml:space="preserve">0000元（其中设备采购及安装控制价28520000元，运维控制价1980000元）</w:t>
      </w:r>
      <w:r>
        <w:rPr>
          <w:rFonts w:ascii="宋体" w:hAnsi="宋体" w:eastAsia="宋体" w:cs="宋体"/>
          <w:color w:val="000000"/>
          <w:sz w:val="24"/>
          <w:szCs w:val="24"/>
          <w:lang w:val="en-US" w:eastAsia="zh-CN"/>
        </w:rPr>
      </w:r>
      <w:r/>
    </w:p>
    <w:p>
      <w:pPr>
        <w:pStyle w:val="1303"/>
        <w:ind w:firstLine="480"/>
        <w:spacing w:line="360" w:lineRule="auto"/>
        <w:rPr>
          <w:rFonts w:ascii="宋体" w:hAnsi="宋体" w:cs="宋体"/>
          <w:color w:val="000000"/>
          <w:sz w:val="24"/>
          <w:szCs w:val="24"/>
          <w:highlight w:val="yellow"/>
        </w:rPr>
      </w:pPr>
      <w:r>
        <w:rPr>
          <w:rFonts w:hint="eastAsia" w:ascii="宋体" w:hAnsi="宋体" w:cs="宋体"/>
          <w:color w:val="000000"/>
          <w:sz w:val="24"/>
          <w:szCs w:val="24"/>
        </w:rPr>
        <w:t xml:space="preserve">5.采购需求：</w:t>
      </w:r>
      <w:r>
        <w:rPr>
          <w:rFonts w:hint="eastAsia" w:ascii="宋体" w:hAnsi="宋体"/>
          <w:color w:val="000000"/>
          <w:sz w:val="24"/>
          <w:szCs w:val="24"/>
        </w:rPr>
        <w:t xml:space="preserve">本项目为</w:t>
      </w:r>
      <w:r>
        <w:rPr>
          <w:rFonts w:hint="eastAsia" w:ascii="宋体" w:hAnsi="宋体"/>
          <w:bCs/>
          <w:color w:val="000000"/>
          <w:sz w:val="24"/>
          <w:lang w:eastAsia="zh-CN"/>
        </w:rPr>
        <w:t xml:space="preserve">溧阳市入河排污口（中河－北溪河、赵村河、中干河）规范化建设项目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包括但不限于</w:t>
      </w:r>
      <w:r>
        <w:rPr>
          <w:rFonts w:ascii="宋体" w:hAnsi="宋体" w:eastAsia="宋体" w:cs="宋体"/>
          <w:color w:val="000000"/>
          <w:sz w:val="24"/>
          <w:szCs w:val="24"/>
        </w:rPr>
        <w:t xml:space="preserve">水质监测、流量监测等设备采购，以及排口综合管理平台建设。</w:t>
      </w:r>
      <w:r>
        <w:rPr>
          <w:rFonts w:hint="eastAsia" w:ascii="宋体" w:hAnsi="宋体"/>
          <w:color w:val="000000"/>
          <w:sz w:val="24"/>
          <w:szCs w:val="24"/>
        </w:rPr>
        <w:t xml:space="preserve">具体详见第</w:t>
      </w:r>
      <w:r>
        <w:rPr>
          <w:rFonts w:hint="eastAsia" w:ascii="宋体" w:hAnsi="宋体"/>
          <w:color w:val="000000"/>
          <w:sz w:val="24"/>
          <w:szCs w:val="24"/>
          <w:lang w:val="en-US" w:eastAsia="zh-CN"/>
        </w:rPr>
        <w:t xml:space="preserve">五</w:t>
      </w:r>
      <w:r>
        <w:rPr>
          <w:rFonts w:hint="eastAsia" w:ascii="宋体" w:hAnsi="宋体"/>
          <w:color w:val="000000"/>
          <w:sz w:val="24"/>
          <w:szCs w:val="24"/>
        </w:rPr>
        <w:t xml:space="preserve">章《采购需求》</w:t>
      </w:r>
      <w:r>
        <w:rPr>
          <w:rFonts w:hint="eastAsia" w:ascii="宋体" w:hAnsi="宋体" w:cs="宋体"/>
          <w:color w:val="000000"/>
          <w:sz w:val="24"/>
          <w:szCs w:val="24"/>
          <w:highlight w:val="none"/>
        </w:rPr>
        <w:t xml:space="preserve">。</w:t>
      </w:r>
      <w:r>
        <w:rPr>
          <w:rFonts w:ascii="宋体" w:hAnsi="宋体" w:cs="宋体"/>
          <w:color w:val="000000"/>
          <w:sz w:val="24"/>
          <w:szCs w:val="24"/>
          <w:highlight w:val="yellow"/>
        </w:rPr>
      </w:r>
      <w:r/>
    </w:p>
    <w:p>
      <w:pPr>
        <w:pStyle w:val="130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6.合同履行期限：</w:t>
      </w:r>
      <w:r>
        <w:rPr>
          <w:rFonts w:hint="eastAsia" w:ascii="宋体" w:hAnsi="宋体" w:cs="宋体"/>
          <w:color w:val="000000"/>
          <w:sz w:val="24"/>
          <w:szCs w:val="24"/>
          <w:lang w:val="en-US" w:eastAsia="zh-CN"/>
        </w:rPr>
        <w:t xml:space="preserve">自合同签订之日起至运维期满（其中合同范围内所有设备及软件的供货、安装及调试需在2026年8月31日前完成并验收合格。运维期自设备及软件验收合格之日起计算）。</w:t>
      </w:r>
      <w:r>
        <w:rPr>
          <w:rFonts w:ascii="宋体" w:hAnsi="宋体" w:cs="宋体"/>
          <w:color w:val="000000"/>
          <w:sz w:val="24"/>
          <w:szCs w:val="24"/>
        </w:rPr>
      </w:r>
      <w:r/>
    </w:p>
    <w:p>
      <w:pPr>
        <w:pStyle w:val="1053"/>
        <w:ind w:firstLine="480"/>
        <w:spacing w:line="360" w:lineRule="auto"/>
        <w:rPr>
          <w:color w:val="000000"/>
          <w:sz w:val="24"/>
        </w:rPr>
      </w:pPr>
      <w:r>
        <w:rPr>
          <w:rFonts w:hint="eastAsia" w:ascii="宋体" w:hAnsi="宋体" w:cs="宋体"/>
          <w:color w:val="000000"/>
          <w:sz w:val="24"/>
        </w:rPr>
        <w:t xml:space="preserve">7.本项目是否接受联合体投标：</w:t>
      </w:r>
      <w:r>
        <w:rPr>
          <w:rFonts w:hint="eastAsia" w:ascii="宋体" w:hAnsi="宋体" w:cs="宋体"/>
          <w:color w:val="000000"/>
          <w:sz w:val="24"/>
          <w:lang w:val="en-US" w:eastAsia="zh-CN"/>
        </w:rPr>
        <w:t xml:space="preserve">是</w:t>
      </w:r>
      <w:r>
        <w:rPr>
          <w:color w:val="000000"/>
          <w:sz w:val="24"/>
        </w:rPr>
        <w:t xml:space="preserve">。</w:t>
      </w:r>
      <w:r>
        <w:rPr>
          <w:color w:val="000000"/>
          <w:sz w:val="24"/>
        </w:rPr>
      </w:r>
      <w:r/>
    </w:p>
    <w:p>
      <w:pPr>
        <w:pStyle w:val="1303"/>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联合体形式投标的，应满足下列要求：</w:t>
      </w:r>
      <w:r>
        <w:rPr>
          <w:rFonts w:ascii="宋体" w:hAnsi="宋体" w:eastAsia="宋体" w:cs="宋体"/>
          <w:b/>
          <w:sz w:val="24"/>
          <w:szCs w:val="24"/>
        </w:rPr>
      </w:r>
      <w:r/>
    </w:p>
    <w:p>
      <w:pPr>
        <w:pStyle w:val="13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①按招标文件提供的格式签订联合体协议书，明确联合体牵头人和各方权利义务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由牵头人的法定代表人或其授权委托人为联合体授权代表执行联合体有关的决议，以联合体名义处理与本项目相关的事务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ascii="宋体" w:hAnsi="宋体" w:eastAsia="宋体" w:cs="宋体"/>
          <w:sz w:val="24"/>
          <w:szCs w:val="24"/>
        </w:rPr>
      </w:r>
      <w:r/>
    </w:p>
    <w:p>
      <w:pPr>
        <w:pStyle w:val="13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②联合体各成员单位应当具备与联合体协议中约定的专业分工相对应的特定资格条件； </w:t>
      </w:r>
      <w:r>
        <w:rPr>
          <w:rFonts w:hint="eastAsia" w:ascii="宋体" w:hAnsi="宋体" w:eastAsia="宋体" w:cs="宋体"/>
          <w:sz w:val="24"/>
          <w:szCs w:val="24"/>
        </w:rPr>
      </w:r>
      <w:r/>
    </w:p>
    <w:p>
      <w:pPr>
        <w:pStyle w:val="13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③联合体各方不得再以自己名义单独或参加其他联合体在同一标段中投标；</w:t>
      </w:r>
      <w:r>
        <w:rPr>
          <w:rFonts w:ascii="宋体" w:hAnsi="宋体" w:eastAsia="宋体" w:cs="宋体"/>
          <w:sz w:val="24"/>
          <w:szCs w:val="24"/>
        </w:rPr>
      </w:r>
      <w:r/>
    </w:p>
    <w:p>
      <w:pPr>
        <w:pStyle w:val="1303"/>
        <w:ind w:firstLine="480"/>
        <w:spacing w:line="360" w:lineRule="auto"/>
        <w:rPr>
          <w:sz w:val="24"/>
        </w:rPr>
      </w:pPr>
      <w:r>
        <w:rPr>
          <w:rFonts w:hint="eastAsia" w:ascii="宋体" w:hAnsi="宋体" w:eastAsia="宋体" w:cs="宋体"/>
          <w:sz w:val="24"/>
          <w:szCs w:val="24"/>
        </w:rPr>
        <w:t xml:space="preserve">④联合体数量不得超过2家。</w:t>
      </w:r>
      <w:r>
        <w:rPr>
          <w:sz w:val="24"/>
        </w:rPr>
      </w:r>
      <w:r/>
    </w:p>
    <w:p>
      <w:pPr>
        <w:pStyle w:val="1055"/>
        <w:jc w:val="left"/>
        <w:spacing w:before="0" w:line="360" w:lineRule="auto"/>
        <w:rPr>
          <w:rFonts w:ascii="Times New Roman" w:hAnsi="Times New Roman" w:eastAsia="宋体"/>
          <w:sz w:val="24"/>
          <w:szCs w:val="24"/>
        </w:rPr>
      </w:pPr>
      <w:r/>
      <w:bookmarkStart w:id="6" w:name="_Toc28359003"/>
      <w:r/>
      <w:bookmarkStart w:id="7" w:name="_Toc35393622"/>
      <w:r/>
      <w:bookmarkStart w:id="8" w:name="_Toc35393791"/>
      <w:r/>
      <w:bookmarkStart w:id="9" w:name="_Toc28359080"/>
      <w:r>
        <w:rPr>
          <w:rFonts w:ascii="Times New Roman" w:hAnsi="Times New Roman" w:eastAsia="宋体"/>
          <w:sz w:val="24"/>
          <w:szCs w:val="24"/>
        </w:rPr>
        <w:t xml:space="preserve">二、申请人的资格要求（须同时满足）</w:t>
      </w:r>
      <w:bookmarkEnd w:id="6"/>
      <w:r/>
      <w:bookmarkEnd w:id="7"/>
      <w:r/>
      <w:bookmarkEnd w:id="8"/>
      <w:r/>
      <w:bookmarkEnd w:id="9"/>
      <w:r>
        <w:rPr>
          <w:rFonts w:ascii="Times New Roman" w:hAnsi="Times New Roman" w:eastAsia="宋体"/>
          <w:sz w:val="24"/>
          <w:szCs w:val="24"/>
        </w:rPr>
      </w:r>
      <w:r/>
    </w:p>
    <w:p>
      <w:pPr>
        <w:pStyle w:val="1053"/>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1303"/>
        <w:ind w:firstLine="480"/>
        <w:spacing w:line="360" w:lineRule="auto"/>
        <w:rPr>
          <w:sz w:val="24"/>
        </w:rPr>
      </w:pPr>
      <w:r>
        <w:rPr>
          <w:rFonts w:hint="eastAsia"/>
          <w:sz w:val="24"/>
        </w:rPr>
        <w:t xml:space="preserve">（1）具有独立承担民事责任的能力；</w:t>
      </w:r>
      <w:r>
        <w:rPr>
          <w:sz w:val="24"/>
        </w:rPr>
      </w:r>
      <w:r/>
    </w:p>
    <w:p>
      <w:pPr>
        <w:pStyle w:val="1303"/>
        <w:ind w:firstLine="480"/>
        <w:spacing w:line="360" w:lineRule="auto"/>
        <w:rPr>
          <w:sz w:val="24"/>
        </w:rPr>
      </w:pPr>
      <w:r>
        <w:rPr>
          <w:rFonts w:hint="eastAsia"/>
          <w:sz w:val="24"/>
        </w:rPr>
        <w:t xml:space="preserve">（2）具有良好的商业信誉和健全的财务会计制度；</w:t>
      </w:r>
      <w:r>
        <w:rPr>
          <w:sz w:val="24"/>
        </w:rPr>
      </w:r>
      <w:r/>
    </w:p>
    <w:p>
      <w:pPr>
        <w:pStyle w:val="1303"/>
        <w:ind w:firstLine="480"/>
        <w:spacing w:line="360" w:lineRule="auto"/>
        <w:rPr>
          <w:sz w:val="24"/>
        </w:rPr>
      </w:pPr>
      <w:r>
        <w:rPr>
          <w:rFonts w:hint="eastAsia"/>
          <w:sz w:val="24"/>
        </w:rPr>
        <w:t xml:space="preserve">（3）具有履行合同所必需的设备和专业技术能力；</w:t>
      </w:r>
      <w:r>
        <w:rPr>
          <w:sz w:val="24"/>
        </w:rPr>
      </w:r>
      <w:r/>
    </w:p>
    <w:p>
      <w:pPr>
        <w:pStyle w:val="1303"/>
        <w:ind w:firstLine="480"/>
        <w:spacing w:line="360" w:lineRule="auto"/>
        <w:rPr>
          <w:sz w:val="24"/>
        </w:rPr>
      </w:pPr>
      <w:r>
        <w:rPr>
          <w:rFonts w:hint="eastAsia"/>
          <w:sz w:val="24"/>
        </w:rPr>
        <w:t xml:space="preserve">（4）具有依法缴纳税收和社会保障资金的良好记录；</w:t>
      </w:r>
      <w:r>
        <w:rPr>
          <w:sz w:val="24"/>
        </w:rPr>
      </w:r>
      <w:r/>
    </w:p>
    <w:p>
      <w:pPr>
        <w:pStyle w:val="1303"/>
        <w:ind w:firstLine="480"/>
        <w:spacing w:line="360" w:lineRule="auto"/>
        <w:rPr>
          <w:sz w:val="24"/>
        </w:rPr>
      </w:pPr>
      <w:r>
        <w:rPr>
          <w:rFonts w:hint="eastAsia"/>
          <w:sz w:val="24"/>
        </w:rPr>
        <w:t xml:space="preserve">（5）参加政府采购活动前三年内，在经营活动中没有重大违法记录；</w:t>
      </w:r>
      <w:r>
        <w:rPr>
          <w:sz w:val="24"/>
        </w:rPr>
      </w:r>
      <w:r/>
    </w:p>
    <w:p>
      <w:pPr>
        <w:pStyle w:val="1053"/>
        <w:ind w:firstLine="480"/>
        <w:spacing w:line="360" w:lineRule="auto"/>
        <w:rPr>
          <w:sz w:val="24"/>
        </w:rPr>
      </w:pPr>
      <w:r>
        <w:rPr>
          <w:rFonts w:hint="eastAsia"/>
          <w:sz w:val="24"/>
        </w:rPr>
        <w:t xml:space="preserve">（6）法律、行政法规规定的其他条件。</w:t>
      </w:r>
      <w:r>
        <w:rPr>
          <w:sz w:val="24"/>
        </w:rPr>
      </w:r>
      <w:r/>
    </w:p>
    <w:p>
      <w:pPr>
        <w:pStyle w:val="1053"/>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053"/>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53"/>
        <w:ind w:firstLine="480"/>
        <w:spacing w:line="360" w:lineRule="auto"/>
        <w:rPr>
          <w:sz w:val="24"/>
        </w:rPr>
      </w:pPr>
      <w:r/>
      <w:bookmarkStart w:id="10" w:name="_Toc28359081"/>
      <w:r/>
      <w:bookmarkStart w:id="11" w:name="_Toc28359004"/>
      <w:r>
        <w:rPr>
          <w:sz w:val="24"/>
        </w:rPr>
        <w:t xml:space="preserve">2.落实政府采购政策需满足的资格要求：</w:t>
      </w:r>
      <w:r>
        <w:rPr>
          <w:sz w:val="24"/>
        </w:rPr>
      </w:r>
      <w:r/>
    </w:p>
    <w:p>
      <w:pPr>
        <w:pStyle w:val="1053"/>
        <w:ind w:firstLine="480"/>
        <w:spacing w:line="360" w:lineRule="auto"/>
        <w:rPr>
          <w:sz w:val="24"/>
        </w:rPr>
      </w:pPr>
      <w:r>
        <w:rPr>
          <w:sz w:val="24"/>
        </w:rPr>
        <w:t xml:space="preserve">2.1 中小企业政策</w:t>
      </w:r>
      <w:r>
        <w:rPr>
          <w:sz w:val="24"/>
        </w:rPr>
      </w:r>
      <w:r/>
    </w:p>
    <w:p>
      <w:pPr>
        <w:pStyle w:val="1053"/>
        <w:ind w:firstLine="482"/>
        <w:spacing w:line="360" w:lineRule="auto"/>
        <w:rPr>
          <w:sz w:val="24"/>
        </w:rPr>
      </w:pPr>
      <w:r>
        <w:rPr>
          <w:b/>
          <w:color w:val="000000"/>
          <w:sz w:val="24"/>
        </w:rPr>
        <w:t xml:space="preserve">■</w:t>
      </w:r>
      <w:r>
        <w:rPr>
          <w:sz w:val="24"/>
        </w:rPr>
        <w:t xml:space="preserve">本项目不专门面向中小企业预留采购份额。</w:t>
      </w:r>
      <w:r>
        <w:rPr>
          <w:sz w:val="24"/>
        </w:rPr>
      </w:r>
      <w:r/>
    </w:p>
    <w:p>
      <w:pPr>
        <w:pStyle w:val="1053"/>
        <w:ind w:firstLine="480"/>
        <w:spacing w:line="360" w:lineRule="auto"/>
        <w:rPr>
          <w:sz w:val="24"/>
        </w:rPr>
      </w:pPr>
      <w:r>
        <w:rPr>
          <w:sz w:val="24"/>
        </w:rPr>
        <w:t xml:space="preserve">□本项目专门面向  □中小 □小微企业  采购。即：提供的货物全部由符合政策要求的中小/小微企业制造、服务全部由符合政策要求的中小/小微企业承接。</w:t>
      </w:r>
      <w:r>
        <w:rPr>
          <w:sz w:val="24"/>
        </w:rPr>
      </w:r>
      <w:r/>
    </w:p>
    <w:p>
      <w:pPr>
        <w:pStyle w:val="1053"/>
        <w:ind w:firstLine="480"/>
        <w:spacing w:line="360" w:lineRule="auto"/>
        <w:rPr>
          <w:sz w:val="24"/>
        </w:rPr>
      </w:pPr>
      <w:r>
        <w:rPr>
          <w:sz w:val="24"/>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sz w:val="24"/>
        </w:rPr>
        <w:t xml:space="preserve">。</w:t>
      </w:r>
      <w:r>
        <w:rPr>
          <w:sz w:val="24"/>
        </w:rPr>
      </w:r>
      <w:r/>
    </w:p>
    <w:p>
      <w:pPr>
        <w:pStyle w:val="1053"/>
        <w:ind w:firstLine="480"/>
        <w:spacing w:line="360" w:lineRule="auto"/>
        <w:rPr>
          <w:sz w:val="24"/>
        </w:rPr>
      </w:pPr>
      <w:r>
        <w:rPr>
          <w:sz w:val="24"/>
        </w:rPr>
        <w:t xml:space="preserve">2.2 其它落实政府采购政策的资格要求：</w:t>
      </w:r>
      <w:r>
        <w:rPr>
          <w:rFonts w:hint="eastAsia"/>
          <w:sz w:val="24"/>
        </w:rPr>
        <w:t xml:space="preserve">/。</w:t>
      </w:r>
      <w:r>
        <w:rPr>
          <w:sz w:val="24"/>
        </w:rPr>
      </w:r>
      <w:r/>
    </w:p>
    <w:p>
      <w:pPr>
        <w:pStyle w:val="1053"/>
        <w:ind w:firstLine="480"/>
        <w:spacing w:line="360" w:lineRule="auto"/>
        <w:rPr>
          <w:i/>
          <w:iCs/>
          <w:sz w:val="24"/>
          <w:u w:val="single"/>
        </w:rPr>
      </w:pPr>
      <w:r>
        <w:rPr>
          <w:sz w:val="24"/>
        </w:rPr>
        <w:t xml:space="preserve">3.本项目的特定资格要求：</w:t>
      </w:r>
      <w:r>
        <w:rPr>
          <w:i/>
          <w:iCs/>
          <w:sz w:val="24"/>
          <w:u w:val="single"/>
        </w:rPr>
      </w:r>
      <w:r/>
    </w:p>
    <w:p>
      <w:pPr>
        <w:pStyle w:val="1053"/>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b/>
          <w:color w:val="000000"/>
          <w:sz w:val="24"/>
        </w:rPr>
        <w:t xml:space="preserve">■</w:t>
      </w:r>
      <w:r>
        <w:rPr>
          <w:sz w:val="24"/>
        </w:rPr>
        <w:t xml:space="preserve">是   □否； </w:t>
      </w:r>
      <w:r>
        <w:rPr>
          <w:sz w:val="24"/>
        </w:rPr>
      </w:r>
      <w:r/>
    </w:p>
    <w:p>
      <w:pPr>
        <w:pStyle w:val="1053"/>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1053"/>
        <w:ind w:left="991" w:firstLine="2"/>
        <w:spacing w:line="360" w:lineRule="auto"/>
        <w:tabs>
          <w:tab w:val="left" w:pos="900" w:leader="none"/>
          <w:tab w:val="left" w:pos="1134" w:leader="none"/>
          <w:tab w:val="left" w:pos="1589" w:leader="none"/>
          <w:tab w:val="left" w:pos="5521" w:leader="none"/>
        </w:tabs>
        <w:rPr>
          <w:sz w:val="24"/>
        </w:rPr>
      </w:pPr>
      <w:r>
        <w:rPr>
          <w:b/>
          <w:color w:val="000000"/>
          <w:sz w:val="24"/>
        </w:rPr>
        <w:t xml:space="preserve">■</w:t>
      </w:r>
      <w:r>
        <w:rPr>
          <w:sz w:val="24"/>
        </w:rPr>
        <w:t xml:space="preserve">否</w:t>
      </w:r>
      <w:r>
        <w:rPr>
          <w:sz w:val="24"/>
        </w:rPr>
      </w:r>
      <w:r/>
    </w:p>
    <w:p>
      <w:pPr>
        <w:pStyle w:val="1053"/>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rPr>
          <w:sz w:val="24"/>
        </w:rPr>
      </w:r>
      <w:r/>
    </w:p>
    <w:p>
      <w:pPr>
        <w:pStyle w:val="1053"/>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3.3其他特定资格要求：</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 xml:space="preserve">无</w:t>
      </w:r>
      <w:r>
        <w:rPr>
          <w:rFonts w:hint="eastAsia" w:ascii="Times New Roman" w:hAnsi="Times New Roman" w:eastAsia="宋体" w:cs="Times New Roman"/>
          <w:sz w:val="24"/>
          <w:u w:val="single"/>
        </w:rPr>
        <w:t xml:space="preserve">。</w:t>
      </w:r>
      <w:r>
        <w:rPr>
          <w:rFonts w:hint="eastAsia"/>
          <w:sz w:val="24"/>
        </w:rPr>
      </w:r>
      <w:r/>
    </w:p>
    <w:p>
      <w:pPr>
        <w:pStyle w:val="1053"/>
        <w:ind w:firstLine="480"/>
        <w:spacing w:line="360" w:lineRule="auto"/>
        <w:tabs>
          <w:tab w:val="left" w:pos="900" w:leader="none"/>
          <w:tab w:val="left" w:pos="1134" w:leader="none"/>
          <w:tab w:val="left" w:pos="1589" w:leader="none"/>
          <w:tab w:val="left" w:pos="5521" w:leader="none"/>
        </w:tabs>
        <w:rPr>
          <w:sz w:val="24"/>
          <w:lang w:val="en-US" w:eastAsia="zh-CN"/>
        </w:rPr>
      </w:pPr>
      <w:r>
        <w:rPr>
          <w:sz w:val="24"/>
          <w:lang w:val="en-US" w:eastAsia="zh-CN"/>
        </w:rPr>
      </w:r>
      <w:r/>
    </w:p>
    <w:p>
      <w:pPr>
        <w:pStyle w:val="1055"/>
        <w:jc w:val="left"/>
        <w:spacing w:before="0" w:line="360" w:lineRule="auto"/>
        <w:widowControl/>
        <w:rPr>
          <w:rFonts w:ascii="Times New Roman" w:hAnsi="Times New Roman" w:eastAsia="宋体"/>
          <w:sz w:val="24"/>
          <w:szCs w:val="24"/>
        </w:rPr>
      </w:pPr>
      <w:r/>
      <w:bookmarkEnd w:id="10"/>
      <w:r/>
      <w:bookmarkEnd w:id="11"/>
      <w:r/>
      <w:bookmarkStart w:id="12" w:name="_Toc35393623"/>
      <w:r/>
      <w:bookmarkStart w:id="13" w:name="_Toc35393792"/>
      <w:r>
        <w:rPr>
          <w:rFonts w:ascii="Times New Roman" w:hAnsi="Times New Roman" w:eastAsia="宋体"/>
          <w:sz w:val="24"/>
          <w:szCs w:val="24"/>
        </w:rPr>
        <w:t xml:space="preserve">三、获取招标文件</w:t>
      </w:r>
      <w:bookmarkEnd w:id="12"/>
      <w:r/>
      <w:bookmarkEnd w:id="13"/>
      <w:r>
        <w:rPr>
          <w:rFonts w:ascii="Times New Roman" w:hAnsi="Times New Roman" w:eastAsia="宋体"/>
          <w:sz w:val="24"/>
          <w:szCs w:val="24"/>
        </w:rPr>
      </w:r>
      <w:r/>
    </w:p>
    <w:p>
      <w:pPr>
        <w:pStyle w:val="1053"/>
        <w:ind w:firstLine="480"/>
        <w:spacing w:line="360" w:lineRule="auto"/>
        <w:rPr>
          <w:sz w:val="24"/>
          <w:highlight w:val="none"/>
          <w:lang w:bidi="ar"/>
        </w:rPr>
      </w:pPr>
      <w:r>
        <w:rPr>
          <w:sz w:val="24"/>
          <w:highlight w:val="none"/>
          <w:lang w:bidi="ar"/>
        </w:rPr>
        <w:t xml:space="preserve">1.时间：</w:t>
      </w:r>
      <w:r>
        <w:rPr>
          <w:rFonts w:hint="eastAsia" w:ascii="宋体" w:hAnsi="宋体" w:cs="宋体"/>
          <w:bCs/>
          <w:sz w:val="24"/>
          <w:szCs w:val="24"/>
          <w:u w:val="none"/>
          <w:lang w:val="en-US" w:eastAsia="zh-CN"/>
        </w:rPr>
        <w:t xml:space="preserve">自招标文件公告发布之日起</w:t>
      </w:r>
      <w:r>
        <w:rPr>
          <w:rFonts w:hint="eastAsia" w:ascii="宋体" w:hAnsi="宋体" w:cs="宋体"/>
          <w:bCs/>
          <w:sz w:val="24"/>
          <w:szCs w:val="24"/>
        </w:rPr>
        <w:t xml:space="preserve">至</w:t>
      </w:r>
      <w:r>
        <w:rPr>
          <w:rFonts w:hint="eastAsia" w:ascii="宋体" w:hAnsi="宋体" w:cs="宋体"/>
          <w:bCs/>
          <w:sz w:val="24"/>
          <w:szCs w:val="24"/>
          <w:u w:val="single"/>
          <w:lang w:val="en-US" w:eastAsia="zh-CN"/>
        </w:rPr>
        <w:t xml:space="preserve">2026</w:t>
      </w:r>
      <w:r>
        <w:rPr>
          <w:rFonts w:hint="eastAsia" w:ascii="宋体" w:hAnsi="宋体" w:cs="宋体"/>
          <w:bCs/>
          <w:sz w:val="24"/>
          <w:szCs w:val="24"/>
        </w:rPr>
        <w:t xml:space="preserve">年</w:t>
      </w:r>
      <w:r>
        <w:rPr>
          <w:rFonts w:hint="eastAsia" w:ascii="宋体" w:hAnsi="宋体" w:cs="宋体"/>
          <w:bCs/>
          <w:sz w:val="24"/>
          <w:szCs w:val="24"/>
          <w:u w:val="single"/>
        </w:rPr>
        <w:t xml:space="preserve">3</w:t>
      </w:r>
      <w:r>
        <w:rPr>
          <w:rFonts w:hint="eastAsia" w:ascii="宋体" w:hAnsi="宋体" w:cs="宋体"/>
          <w:bCs/>
          <w:sz w:val="24"/>
          <w:szCs w:val="24"/>
        </w:rPr>
        <w:t xml:space="preserve">月</w:t>
      </w:r>
      <w:r>
        <w:rPr>
          <w:rFonts w:hint="eastAsia" w:ascii="宋体" w:hAnsi="宋体" w:cs="宋体"/>
          <w:bCs/>
          <w:sz w:val="24"/>
          <w:szCs w:val="24"/>
          <w:u w:val="single"/>
          <w:lang w:val="en-US" w:eastAsia="zh-CN"/>
        </w:rPr>
        <w:t xml:space="preserve">31</w:t>
      </w:r>
      <w:r>
        <w:rPr>
          <w:rFonts w:hint="eastAsia" w:ascii="宋体" w:hAnsi="宋体" w:cs="宋体"/>
          <w:bCs/>
          <w:sz w:val="24"/>
          <w:szCs w:val="24"/>
        </w:rPr>
        <w:t xml:space="preserve">日，每天上午00</w:t>
      </w:r>
      <w:r>
        <w:rPr>
          <w:rFonts w:hint="eastAsia" w:ascii="宋体" w:hAnsi="宋体" w:cs="宋体"/>
          <w:bCs/>
          <w:sz w:val="24"/>
          <w:szCs w:val="24"/>
          <w:lang w:val="en-US" w:eastAsia="zh-CN"/>
        </w:rPr>
        <w:t xml:space="preserve">:</w:t>
      </w:r>
      <w:r>
        <w:rPr>
          <w:rFonts w:hint="eastAsia" w:ascii="宋体" w:hAnsi="宋体" w:cs="宋体"/>
          <w:bCs/>
          <w:sz w:val="24"/>
          <w:szCs w:val="24"/>
        </w:rPr>
        <w:t xml:space="preserve">00-12</w:t>
      </w:r>
      <w:r>
        <w:rPr>
          <w:rFonts w:hint="eastAsia" w:ascii="宋体" w:hAnsi="宋体" w:cs="宋体"/>
          <w:bCs/>
          <w:sz w:val="24"/>
          <w:szCs w:val="24"/>
          <w:lang w:val="en-US" w:eastAsia="zh-CN"/>
        </w:rPr>
        <w:t xml:space="preserve">:</w:t>
      </w:r>
      <w:r>
        <w:rPr>
          <w:rFonts w:hint="eastAsia" w:ascii="宋体" w:hAnsi="宋体" w:cs="宋体"/>
          <w:bCs/>
          <w:sz w:val="24"/>
          <w:szCs w:val="24"/>
        </w:rPr>
        <w:t xml:space="preserve">00，下午12</w:t>
      </w:r>
      <w:r>
        <w:rPr>
          <w:rFonts w:hint="eastAsia" w:ascii="宋体" w:hAnsi="宋体" w:cs="宋体"/>
          <w:bCs/>
          <w:sz w:val="24"/>
          <w:szCs w:val="24"/>
          <w:lang w:val="en-US" w:eastAsia="zh-CN"/>
        </w:rPr>
        <w:t xml:space="preserve">:</w:t>
      </w:r>
      <w:r>
        <w:rPr>
          <w:rFonts w:hint="eastAsia" w:ascii="宋体" w:hAnsi="宋体" w:cs="宋体"/>
          <w:bCs/>
          <w:sz w:val="24"/>
          <w:szCs w:val="24"/>
        </w:rPr>
        <w:t xml:space="preserve">00-23</w:t>
      </w:r>
      <w:r>
        <w:rPr>
          <w:rFonts w:hint="eastAsia" w:ascii="宋体" w:hAnsi="宋体" w:cs="宋体"/>
          <w:bCs/>
          <w:sz w:val="24"/>
          <w:szCs w:val="24"/>
          <w:lang w:val="en-US" w:eastAsia="zh-CN"/>
        </w:rPr>
        <w:t xml:space="preserve">:</w:t>
      </w:r>
      <w:r>
        <w:rPr>
          <w:rFonts w:hint="eastAsia" w:ascii="宋体" w:hAnsi="宋体" w:cs="宋体"/>
          <w:bCs/>
          <w:sz w:val="24"/>
          <w:szCs w:val="24"/>
        </w:rPr>
        <w:t xml:space="preserve">59</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北京时间</w:t>
      </w:r>
      <w:r>
        <w:rPr>
          <w:rFonts w:hint="eastAsia" w:ascii="宋体" w:hAnsi="宋体" w:cs="宋体"/>
          <w:bCs/>
          <w:sz w:val="24"/>
          <w:szCs w:val="24"/>
          <w:lang w:eastAsia="zh-CN"/>
        </w:rPr>
        <w:t xml:space="preserve">）</w:t>
      </w:r>
      <w:r>
        <w:rPr>
          <w:sz w:val="24"/>
          <w:lang w:bidi="ar"/>
        </w:rPr>
        <w:t xml:space="preserve">。</w:t>
      </w:r>
      <w:r>
        <w:rPr>
          <w:sz w:val="24"/>
          <w:highlight w:val="none"/>
          <w:lang w:bidi="ar"/>
        </w:rPr>
      </w:r>
      <w:r/>
    </w:p>
    <w:p>
      <w:pPr>
        <w:pStyle w:val="1053"/>
        <w:ind w:firstLine="480"/>
        <w:spacing w:line="360" w:lineRule="auto"/>
        <w:rPr>
          <w:rFonts w:hint="eastAsia" w:eastAsia="宋体"/>
          <w:sz w:val="24"/>
          <w:highlight w:val="none"/>
          <w:lang w:eastAsia="zh-CN"/>
        </w:rPr>
      </w:pPr>
      <w:r>
        <w:rPr>
          <w:sz w:val="24"/>
          <w:highlight w:val="none"/>
          <w:lang w:bidi="ar"/>
        </w:rPr>
        <w:t xml:space="preserve">2.地点：政府采购一体化平台“苏采云”</w:t>
      </w:r>
      <w:r>
        <w:rPr>
          <w:rFonts w:hint="eastAsia"/>
          <w:sz w:val="24"/>
          <w:highlight w:val="none"/>
          <w:lang w:eastAsia="zh-CN" w:bidi="ar"/>
        </w:rPr>
        <w:t xml:space="preserve">。</w:t>
      </w:r>
      <w:r>
        <w:rPr>
          <w:rFonts w:hint="eastAsia" w:eastAsia="宋体"/>
          <w:sz w:val="24"/>
          <w:highlight w:val="none"/>
          <w:lang w:eastAsia="zh-CN"/>
        </w:rPr>
      </w:r>
      <w:r/>
    </w:p>
    <w:p>
      <w:pPr>
        <w:pStyle w:val="1053"/>
        <w:ind w:firstLine="480"/>
        <w:jc w:val="left"/>
        <w:keepLines w:val="0"/>
        <w:keepNext w:val="0"/>
        <w:pageBreakBefore w:val="0"/>
        <w:spacing w:line="360" w:lineRule="auto"/>
        <w:widowControl/>
        <w:rPr>
          <w:sz w:val="24"/>
          <w:highlight w:val="none"/>
          <w:lang w:bidi="ar"/>
        </w:rPr>
      </w:pPr>
      <w:r>
        <w:rPr>
          <w:sz w:val="24"/>
          <w:highlight w:val="none"/>
          <w:lang w:bidi="ar"/>
        </w:rPr>
        <w:t xml:space="preserve">3.方式：投标人持CA数字认证证书登录政府采购一体化平台“苏采云”（</w:t>
      </w:r>
      <w:r>
        <w:rPr>
          <w:rFonts w:hint="eastAsia"/>
          <w:sz w:val="24"/>
          <w:highlight w:val="none"/>
          <w:lang w:bidi="ar"/>
        </w:rPr>
        <w:t xml:space="preserve">http://jszfcg.jsczt.cn/jszc/login</w:t>
      </w:r>
      <w:r>
        <w:rPr>
          <w:sz w:val="24"/>
          <w:highlight w:val="none"/>
          <w:lang w:bidi="ar"/>
        </w:rPr>
        <w:t xml:space="preserve">）获取电子版招标文件。</w:t>
      </w:r>
      <w:r>
        <w:rPr>
          <w:sz w:val="24"/>
          <w:highlight w:val="none"/>
          <w:lang w:bidi="ar"/>
        </w:rPr>
      </w:r>
      <w:r/>
    </w:p>
    <w:p>
      <w:pPr>
        <w:pStyle w:val="1053"/>
        <w:ind w:firstLine="480"/>
        <w:jc w:val="left"/>
        <w:spacing w:line="360" w:lineRule="auto"/>
        <w:widowControl/>
        <w:rPr>
          <w:sz w:val="24"/>
          <w:highlight w:val="none"/>
        </w:rPr>
      </w:pPr>
      <w:r>
        <w:rPr>
          <w:sz w:val="24"/>
          <w:highlight w:val="none"/>
          <w:lang w:bidi="ar"/>
        </w:rPr>
        <w:t xml:space="preserve">4.售价：0元。</w:t>
      </w:r>
      <w:r>
        <w:rPr>
          <w:sz w:val="24"/>
          <w:highlight w:val="none"/>
        </w:rPr>
      </w:r>
      <w:r/>
    </w:p>
    <w:p>
      <w:pPr>
        <w:pStyle w:val="1053"/>
        <w:ind w:left="840"/>
        <w:spacing w:line="360" w:lineRule="auto"/>
        <w:tabs>
          <w:tab w:val="left" w:pos="900" w:leader="none"/>
          <w:tab w:val="left" w:pos="1980" w:leader="none"/>
        </w:tabs>
        <w:rPr>
          <w:sz w:val="24"/>
        </w:rPr>
      </w:pPr>
      <w:r>
        <w:rPr>
          <w:sz w:val="24"/>
        </w:rPr>
      </w:r>
      <w:r/>
    </w:p>
    <w:p>
      <w:pPr>
        <w:pStyle w:val="1055"/>
        <w:jc w:val="left"/>
        <w:spacing w:before="0" w:line="360" w:lineRule="auto"/>
        <w:widowControl/>
        <w:rPr>
          <w:rFonts w:ascii="Times New Roman" w:hAnsi="Times New Roman" w:eastAsia="宋体"/>
          <w:sz w:val="24"/>
          <w:szCs w:val="24"/>
        </w:rPr>
      </w:pPr>
      <w:r/>
      <w:bookmarkStart w:id="14" w:name="_Toc28359082"/>
      <w:r/>
      <w:bookmarkStart w:id="15" w:name="_Toc28359005"/>
      <w:r/>
      <w:bookmarkStart w:id="16" w:name="_Toc35393624"/>
      <w:r/>
      <w:bookmarkStart w:id="17" w:name="_Toc35393793"/>
      <w:r>
        <w:rPr>
          <w:rFonts w:ascii="Times New Roman" w:hAnsi="Times New Roman" w:eastAsia="宋体"/>
          <w:sz w:val="24"/>
          <w:szCs w:val="24"/>
        </w:rPr>
        <w:t xml:space="preserve">四、提交投标文件</w:t>
      </w:r>
      <w:bookmarkEnd w:id="14"/>
      <w:r/>
      <w:bookmarkEnd w:id="15"/>
      <w:r>
        <w:rPr>
          <w:rFonts w:ascii="Times New Roman" w:hAnsi="Times New Roman" w:eastAsia="宋体"/>
          <w:sz w:val="24"/>
          <w:szCs w:val="24"/>
        </w:rPr>
        <w:t xml:space="preserve">截止时间、开标时间和地点</w:t>
      </w:r>
      <w:bookmarkEnd w:id="16"/>
      <w:r/>
      <w:bookmarkEnd w:id="17"/>
      <w:r>
        <w:rPr>
          <w:rFonts w:ascii="Times New Roman" w:hAnsi="Times New Roman" w:eastAsia="宋体"/>
          <w:sz w:val="24"/>
          <w:szCs w:val="24"/>
        </w:rPr>
      </w:r>
      <w:r/>
    </w:p>
    <w:p>
      <w:pPr>
        <w:pStyle w:val="1053"/>
        <w:ind w:firstLine="480"/>
        <w:spacing w:line="360" w:lineRule="auto"/>
        <w:rPr>
          <w:bCs/>
          <w:sz w:val="24"/>
          <w:u w:val="single"/>
        </w:rPr>
      </w:pPr>
      <w:r>
        <w:rPr>
          <w:sz w:val="24"/>
        </w:rPr>
        <w:t xml:space="preserve">投标截止时间、开标时间：</w:t>
      </w:r>
      <w:r>
        <w:rPr>
          <w:rFonts w:hint="eastAsia"/>
          <w:sz w:val="24"/>
          <w:u w:val="single"/>
        </w:rPr>
        <w:t xml:space="preserve">202</w:t>
      </w:r>
      <w:r>
        <w:rPr>
          <w:rFonts w:hint="eastAsia"/>
          <w:sz w:val="24"/>
          <w:u w:val="single"/>
          <w:lang w:val="en-US" w:eastAsia="zh-CN"/>
        </w:rPr>
        <w:t xml:space="preserve">6</w:t>
      </w:r>
      <w:r>
        <w:rPr>
          <w:sz w:val="24"/>
        </w:rPr>
        <w:t xml:space="preserve">年</w:t>
      </w:r>
      <w:r>
        <w:rPr>
          <w:rFonts w:hint="eastAsia"/>
          <w:sz w:val="24"/>
          <w:u w:val="single"/>
          <w:lang w:val="en-US" w:eastAsia="zh-CN"/>
        </w:rPr>
        <w:t xml:space="preserve">4</w:t>
      </w:r>
      <w:r>
        <w:rPr>
          <w:sz w:val="24"/>
        </w:rPr>
        <w:t xml:space="preserve">月</w:t>
      </w:r>
      <w:r>
        <w:rPr>
          <w:rFonts w:hint="eastAsia"/>
          <w:sz w:val="24"/>
          <w:u w:val="single"/>
          <w:lang w:val="en-US" w:eastAsia="zh-CN"/>
        </w:rPr>
        <w:t xml:space="preserve">14</w:t>
      </w:r>
      <w:r>
        <w:rPr>
          <w:sz w:val="24"/>
        </w:rPr>
        <w:t xml:space="preserve">日</w:t>
      </w:r>
      <w:r>
        <w:rPr>
          <w:rFonts w:hint="eastAsia"/>
          <w:sz w:val="24"/>
          <w:u w:val="single"/>
          <w:lang w:val="en-US" w:eastAsia="zh-CN"/>
        </w:rPr>
        <w:t xml:space="preserve">9</w:t>
      </w:r>
      <w:r>
        <w:rPr>
          <w:sz w:val="24"/>
        </w:rPr>
        <w:t xml:space="preserve">点</w:t>
      </w:r>
      <w:r>
        <w:rPr>
          <w:rFonts w:hint="eastAsia"/>
          <w:sz w:val="24"/>
          <w:u w:val="single"/>
          <w:lang w:val="en-US" w:eastAsia="zh-CN"/>
        </w:rPr>
        <w:t xml:space="preserve">00</w:t>
      </w:r>
      <w:r>
        <w:rPr>
          <w:sz w:val="24"/>
        </w:rPr>
        <w:t xml:space="preserve">分</w:t>
      </w:r>
      <w:r>
        <w:rPr>
          <w:bCs/>
          <w:sz w:val="24"/>
        </w:rPr>
        <w:t xml:space="preserve">（北京时间）</w:t>
      </w:r>
      <w:r>
        <w:rPr>
          <w:iCs/>
          <w:sz w:val="24"/>
        </w:rPr>
        <w:t xml:space="preserve">。</w:t>
      </w:r>
      <w:r>
        <w:rPr>
          <w:bCs/>
          <w:sz w:val="24"/>
          <w:u w:val="single"/>
        </w:rPr>
      </w:r>
      <w:r/>
    </w:p>
    <w:p>
      <w:pPr>
        <w:pStyle w:val="1053"/>
        <w:ind w:firstLine="480"/>
        <w:spacing w:line="360" w:lineRule="auto"/>
        <w:rPr>
          <w:sz w:val="24"/>
          <w:lang w:val="zh-TW"/>
        </w:rPr>
      </w:pPr>
      <w:r>
        <w:rPr>
          <w:sz w:val="24"/>
        </w:rPr>
        <w:t xml:space="preserve">地点：政府采购一体化平台“苏采云”</w:t>
      </w:r>
      <w:r>
        <w:rPr>
          <w:sz w:val="24"/>
          <w:lang w:val="zh-TW"/>
        </w:rPr>
        <w:t xml:space="preserve">。</w:t>
      </w:r>
      <w:r>
        <w:rPr>
          <w:sz w:val="24"/>
          <w:lang w:val="zh-TW"/>
        </w:rPr>
      </w:r>
      <w:r/>
    </w:p>
    <w:p>
      <w:pPr>
        <w:pStyle w:val="1053"/>
        <w:ind w:firstLine="480"/>
        <w:spacing w:line="360" w:lineRule="auto"/>
        <w:rPr>
          <w:bCs/>
          <w:sz w:val="24"/>
          <w:u w:val="single"/>
        </w:rPr>
      </w:pPr>
      <w:r>
        <w:rPr>
          <w:bCs/>
          <w:sz w:val="24"/>
          <w:u w:val="single"/>
        </w:rPr>
      </w:r>
      <w:r/>
    </w:p>
    <w:p>
      <w:pPr>
        <w:pStyle w:val="1055"/>
        <w:jc w:val="left"/>
        <w:spacing w:before="0" w:line="360" w:lineRule="auto"/>
        <w:rPr>
          <w:rFonts w:ascii="Times New Roman" w:hAnsi="Times New Roman" w:eastAsia="宋体"/>
          <w:sz w:val="24"/>
          <w:szCs w:val="24"/>
        </w:rPr>
      </w:pPr>
      <w:r/>
      <w:bookmarkStart w:id="18" w:name="_Toc28359007"/>
      <w:r/>
      <w:bookmarkStart w:id="19" w:name="_Toc35393625"/>
      <w:r/>
      <w:bookmarkStart w:id="20" w:name="_Toc35393794"/>
      <w:r/>
      <w:bookmarkStart w:id="21" w:name="_Toc28359084"/>
      <w:r>
        <w:rPr>
          <w:rFonts w:ascii="Times New Roman" w:hAnsi="Times New Roman" w:eastAsia="宋体"/>
          <w:sz w:val="24"/>
          <w:szCs w:val="24"/>
        </w:rPr>
        <w:t xml:space="preserve">五、公告期限</w:t>
      </w:r>
      <w:bookmarkEnd w:id="18"/>
      <w:r/>
      <w:bookmarkEnd w:id="19"/>
      <w:r/>
      <w:bookmarkEnd w:id="20"/>
      <w:r/>
      <w:bookmarkEnd w:id="21"/>
      <w:r>
        <w:rPr>
          <w:rFonts w:ascii="Times New Roman" w:hAnsi="Times New Roman" w:eastAsia="宋体"/>
          <w:sz w:val="24"/>
          <w:szCs w:val="24"/>
        </w:rPr>
      </w:r>
      <w:r/>
    </w:p>
    <w:p>
      <w:pPr>
        <w:pStyle w:val="1053"/>
        <w:ind w:firstLine="480"/>
        <w:spacing w:line="360" w:lineRule="auto"/>
        <w:rPr>
          <w:sz w:val="24"/>
        </w:rPr>
      </w:pPr>
      <w:r>
        <w:rPr>
          <w:sz w:val="24"/>
        </w:rPr>
        <w:t xml:space="preserve">自本公告发布之日起5个工作日。</w:t>
      </w:r>
      <w:r>
        <w:rPr>
          <w:sz w:val="24"/>
        </w:rPr>
      </w:r>
      <w:r/>
    </w:p>
    <w:p>
      <w:pPr>
        <w:pStyle w:val="1053"/>
        <w:ind w:firstLine="480"/>
        <w:spacing w:line="360" w:lineRule="auto"/>
        <w:rPr>
          <w:sz w:val="24"/>
        </w:rPr>
      </w:pPr>
      <w:r>
        <w:rPr>
          <w:sz w:val="24"/>
        </w:rPr>
      </w:r>
      <w:r/>
    </w:p>
    <w:p>
      <w:pPr>
        <w:pStyle w:val="1055"/>
        <w:jc w:val="left"/>
        <w:spacing w:before="0" w:line="360" w:lineRule="auto"/>
        <w:rPr>
          <w:rFonts w:ascii="Times New Roman" w:hAnsi="Times New Roman" w:eastAsia="宋体"/>
          <w:sz w:val="24"/>
          <w:szCs w:val="24"/>
        </w:rPr>
      </w:pPr>
      <w:r/>
      <w:bookmarkStart w:id="22" w:name="_Toc35393795"/>
      <w:r/>
      <w:bookmarkStart w:id="23" w:name="_Toc35393626"/>
      <w:r>
        <w:rPr>
          <w:rFonts w:ascii="Times New Roman" w:hAnsi="Times New Roman" w:eastAsia="宋体"/>
          <w:sz w:val="24"/>
          <w:szCs w:val="24"/>
        </w:rPr>
        <w:t xml:space="preserve">六、其他补充事宜</w:t>
      </w:r>
      <w:bookmarkEnd w:id="22"/>
      <w:r/>
      <w:bookmarkEnd w:id="23"/>
      <w:r>
        <w:rPr>
          <w:rFonts w:ascii="Times New Roman" w:hAnsi="Times New Roman" w:eastAsia="宋体"/>
          <w:sz w:val="24"/>
          <w:szCs w:val="24"/>
        </w:rPr>
      </w:r>
      <w:r/>
    </w:p>
    <w:p>
      <w:pPr>
        <w:pStyle w:val="1053"/>
        <w:ind w:firstLine="480"/>
        <w:spacing w:line="360" w:lineRule="auto"/>
        <w:rPr>
          <w:sz w:val="24"/>
        </w:rPr>
      </w:pPr>
      <w:r>
        <w:rPr>
          <w:sz w:val="24"/>
        </w:rPr>
        <w:t xml:space="preserve">1.本项目需要落实的政府采购政策：</w:t>
      </w:r>
      <w:r>
        <w:rPr>
          <w:rFonts w:hint="eastAsia"/>
          <w:sz w:val="24"/>
          <w:u w:val="single"/>
        </w:rPr>
        <w:t xml:space="preserve">   /   </w:t>
      </w:r>
      <w:r>
        <w:rPr>
          <w:sz w:val="24"/>
        </w:rPr>
        <w:t xml:space="preserve">。  </w:t>
      </w:r>
      <w:r>
        <w:rPr>
          <w:sz w:val="24"/>
        </w:rPr>
      </w:r>
      <w:r/>
    </w:p>
    <w:p>
      <w:pPr>
        <w:pStyle w:val="1053"/>
        <w:ind w:firstLine="480"/>
        <w:jc w:val="left"/>
        <w:spacing w:line="360" w:lineRule="auto"/>
        <w:widowControl/>
        <w:rPr>
          <w:bCs/>
          <w:sz w:val="24"/>
        </w:rPr>
      </w:pPr>
      <w:r>
        <w:rPr>
          <w:rFonts w:hint="eastAsia"/>
          <w:sz w:val="24"/>
        </w:rPr>
        <w:t xml:space="preserve">2</w:t>
      </w:r>
      <w:r>
        <w:rPr>
          <w:sz w:val="24"/>
        </w:rPr>
        <w:t xml:space="preserve">.本项目采用</w:t>
      </w:r>
      <w:r>
        <w:rPr>
          <w:rFonts w:hint="eastAsia"/>
          <w:sz w:val="24"/>
        </w:rPr>
        <w:t xml:space="preserve">不见面交易</w:t>
      </w:r>
      <w:r>
        <w:rPr>
          <w:sz w:val="24"/>
        </w:rPr>
        <w:t xml:space="preserve">方式，请供应商认真学习常州市政府采购</w:t>
      </w:r>
      <w:r>
        <w:rPr>
          <w:rFonts w:hint="eastAsia"/>
          <w:sz w:val="24"/>
        </w:rPr>
        <w:t xml:space="preserve">网</w:t>
      </w:r>
      <w:r>
        <w:rPr>
          <w:sz w:val="24"/>
        </w:rPr>
        <w:t xml:space="preserve">发布的相关操作手册，办理CA认证证书、进行</w:t>
      </w:r>
      <w:r>
        <w:rPr>
          <w:rFonts w:hint="eastAsia"/>
          <w:sz w:val="24"/>
          <w:lang w:bidi="ar"/>
        </w:rPr>
        <w:t xml:space="preserve">“苏采云”系统</w:t>
      </w:r>
      <w:r>
        <w:rPr>
          <w:sz w:val="24"/>
          <w:lang w:bidi="ar"/>
        </w:rPr>
        <w:t xml:space="preserve">注册绑定</w:t>
      </w:r>
      <w:r>
        <w:rPr>
          <w:sz w:val="24"/>
        </w:rPr>
        <w:t xml:space="preserve">，并认真核实</w:t>
      </w:r>
      <w:r>
        <w:rPr>
          <w:bCs/>
          <w:sz w:val="24"/>
        </w:rPr>
        <w:t xml:space="preserve">数字认证证书情况确认是否符合本项目电子化采购流程要求。</w:t>
      </w:r>
      <w:r>
        <w:rPr>
          <w:bCs/>
          <w:sz w:val="24"/>
        </w:rPr>
      </w:r>
      <w:r/>
    </w:p>
    <w:p>
      <w:pPr>
        <w:pStyle w:val="1053"/>
        <w:ind w:firstLine="480"/>
        <w:spacing w:line="360" w:lineRule="auto"/>
        <w:rPr>
          <w:sz w:val="24"/>
        </w:rPr>
      </w:pPr>
      <w:r>
        <w:rPr>
          <w:sz w:val="24"/>
        </w:rPr>
        <w:t xml:space="preserve">技术支持服务热线    </w:t>
      </w:r>
      <w:r>
        <w:rPr>
          <w:rFonts w:hint="eastAsia"/>
          <w:sz w:val="24"/>
        </w:rPr>
        <w:t xml:space="preserve">0519-85588210</w:t>
      </w:r>
      <w:r>
        <w:rPr>
          <w:sz w:val="24"/>
        </w:rPr>
      </w:r>
      <w:r/>
    </w:p>
    <w:p>
      <w:pPr>
        <w:pStyle w:val="1053"/>
        <w:ind w:firstLine="480"/>
        <w:spacing w:line="360" w:lineRule="auto"/>
        <w:rPr>
          <w:sz w:val="24"/>
        </w:rPr>
      </w:pPr>
      <w:r>
        <w:rPr>
          <w:sz w:val="24"/>
        </w:rPr>
        <w:t xml:space="preserve">CA认证证书</w:t>
      </w:r>
      <w:r>
        <w:rPr>
          <w:rFonts w:hint="eastAsia"/>
          <w:sz w:val="24"/>
        </w:rPr>
        <w:t xml:space="preserve">办理（可邮寄）联系电话   </w:t>
      </w:r>
      <w:r>
        <w:rPr>
          <w:sz w:val="24"/>
        </w:rPr>
        <w:t xml:space="preserve">0519  85588120</w:t>
      </w:r>
      <w:r>
        <w:rPr>
          <w:sz w:val="24"/>
        </w:rPr>
      </w:r>
      <w:r/>
    </w:p>
    <w:p>
      <w:pPr>
        <w:pStyle w:val="1053"/>
        <w:ind w:firstLine="480"/>
        <w:jc w:val="left"/>
        <w:spacing w:line="360" w:lineRule="auto"/>
        <w:widowControl/>
        <w:rPr>
          <w:sz w:val="24"/>
        </w:rPr>
      </w:pPr>
      <w:r>
        <w:rPr>
          <w:rFonts w:hint="eastAsia"/>
          <w:sz w:val="24"/>
        </w:rPr>
        <w:t xml:space="preserve">2</w:t>
      </w:r>
      <w:r>
        <w:rPr>
          <w:sz w:val="24"/>
        </w:rPr>
        <w:t xml:space="preserve">.1办理CA认证证书</w:t>
      </w:r>
      <w:r>
        <w:rPr>
          <w:sz w:val="24"/>
        </w:rPr>
      </w:r>
      <w:r/>
    </w:p>
    <w:p>
      <w:pPr>
        <w:pStyle w:val="1053"/>
        <w:ind w:firstLine="480"/>
        <w:jc w:val="left"/>
        <w:spacing w:line="360" w:lineRule="auto"/>
        <w:widowControl/>
        <w:rPr>
          <w:sz w:val="24"/>
        </w:rPr>
      </w:pPr>
      <w:r>
        <w:rPr>
          <w:sz w:val="24"/>
        </w:rPr>
        <w:t xml:space="preserve">供应商登录常州市政府采购</w:t>
      </w:r>
      <w:r>
        <w:rPr>
          <w:rFonts w:hint="eastAsia"/>
          <w:sz w:val="24"/>
        </w:rPr>
        <w:t xml:space="preserve">网“下载中心”下载并查阅</w:t>
      </w:r>
      <w:r>
        <w:rPr>
          <w:sz w:val="24"/>
        </w:rPr>
        <w:t xml:space="preserve"> “</w:t>
      </w:r>
      <w:r>
        <w:rPr>
          <w:rFonts w:hint="eastAsia"/>
          <w:sz w:val="24"/>
        </w:rPr>
        <w:t xml:space="preserve">江苏省政府采购数字证书CA及电子签章办理指南</w:t>
      </w:r>
      <w:r>
        <w:rPr>
          <w:sz w:val="24"/>
        </w:rPr>
        <w:t xml:space="preserve">”，按照程序要求办理。</w:t>
      </w:r>
      <w:r>
        <w:rPr>
          <w:sz w:val="24"/>
        </w:rPr>
      </w:r>
      <w:r/>
    </w:p>
    <w:p>
      <w:pPr>
        <w:pStyle w:val="1053"/>
        <w:ind w:firstLine="480"/>
        <w:spacing w:line="360" w:lineRule="auto"/>
        <w:rPr>
          <w:sz w:val="24"/>
        </w:rPr>
      </w:pPr>
      <w:r>
        <w:rPr>
          <w:rFonts w:hint="eastAsia"/>
          <w:sz w:val="24"/>
        </w:rPr>
        <w:t xml:space="preserve">2</w:t>
      </w:r>
      <w:r>
        <w:rPr>
          <w:sz w:val="24"/>
        </w:rPr>
        <w:t xml:space="preserve">.2注册</w:t>
      </w:r>
      <w:r>
        <w:rPr>
          <w:sz w:val="24"/>
        </w:rPr>
      </w:r>
      <w:r/>
    </w:p>
    <w:p>
      <w:pPr>
        <w:pStyle w:val="1053"/>
        <w:ind w:firstLine="480"/>
        <w:spacing w:line="360" w:lineRule="auto"/>
        <w:rPr>
          <w:sz w:val="24"/>
        </w:rPr>
      </w:pPr>
      <w:r>
        <w:rPr>
          <w:sz w:val="24"/>
          <w:lang w:bidi="ar"/>
        </w:rPr>
        <w:t xml:space="preserve">供应商登录常州市政府采购</w:t>
      </w:r>
      <w:r>
        <w:rPr>
          <w:rFonts w:hint="eastAsia"/>
          <w:sz w:val="24"/>
          <w:lang w:bidi="ar"/>
        </w:rPr>
        <w:t xml:space="preserve">网“下载中心”—“苏采云”系统供应商操作手册下载相关操作手册、操作视频等，查阅后</w:t>
      </w:r>
      <w:r>
        <w:rPr>
          <w:sz w:val="24"/>
          <w:lang w:bidi="ar"/>
        </w:rPr>
        <w:t xml:space="preserve">进行自助注册。</w:t>
      </w:r>
      <w:r>
        <w:rPr>
          <w:sz w:val="24"/>
        </w:rPr>
      </w:r>
      <w:r/>
    </w:p>
    <w:p>
      <w:pPr>
        <w:pStyle w:val="1053"/>
        <w:ind w:firstLine="480"/>
        <w:jc w:val="left"/>
        <w:spacing w:line="360" w:lineRule="auto"/>
        <w:widowControl/>
        <w:rPr>
          <w:sz w:val="24"/>
        </w:rPr>
      </w:pPr>
      <w:r>
        <w:rPr>
          <w:rFonts w:hint="eastAsia"/>
          <w:sz w:val="24"/>
        </w:rPr>
        <w:t xml:space="preserve">2</w:t>
      </w:r>
      <w:r>
        <w:rPr>
          <w:sz w:val="24"/>
        </w:rPr>
        <w:t xml:space="preserve">.3</w:t>
      </w:r>
      <w:r>
        <w:rPr>
          <w:rFonts w:hint="eastAsia"/>
          <w:sz w:val="24"/>
        </w:rPr>
        <w:t xml:space="preserve">控件</w:t>
      </w:r>
      <w:r>
        <w:rPr>
          <w:sz w:val="24"/>
        </w:rPr>
        <w:t xml:space="preserve">、客户端下载</w:t>
      </w:r>
      <w:r>
        <w:rPr>
          <w:sz w:val="24"/>
        </w:rPr>
      </w:r>
      <w:r/>
    </w:p>
    <w:p>
      <w:pPr>
        <w:pStyle w:val="1053"/>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网“下载中心”-“政府采购管理交易系统（苏采云）CA及签章控件驱动”下载</w:t>
      </w:r>
      <w:r>
        <w:rPr>
          <w:sz w:val="24"/>
          <w:lang w:bidi="ar"/>
        </w:rPr>
        <w:t xml:space="preserve">相关</w:t>
      </w:r>
      <w:r>
        <w:rPr>
          <w:rFonts w:hint="eastAsia"/>
          <w:sz w:val="24"/>
          <w:lang w:bidi="ar"/>
        </w:rPr>
        <w:t xml:space="preserve">控件和客户端</w:t>
      </w:r>
      <w:r>
        <w:rPr>
          <w:sz w:val="24"/>
          <w:lang w:bidi="ar"/>
        </w:rPr>
        <w:t xml:space="preserve">。</w:t>
      </w:r>
      <w:r>
        <w:rPr>
          <w:sz w:val="24"/>
        </w:rPr>
      </w:r>
      <w:r/>
    </w:p>
    <w:p>
      <w:pPr>
        <w:pStyle w:val="1053"/>
        <w:ind w:firstLine="480"/>
        <w:spacing w:line="360" w:lineRule="auto"/>
        <w:rPr>
          <w:sz w:val="24"/>
        </w:rPr>
      </w:pPr>
      <w:r>
        <w:rPr>
          <w:rFonts w:hint="eastAsia"/>
          <w:sz w:val="24"/>
        </w:rPr>
        <w:t xml:space="preserve">2</w:t>
      </w:r>
      <w:r>
        <w:rPr>
          <w:sz w:val="24"/>
        </w:rPr>
        <w:t xml:space="preserve">.4 获取电子招标文件</w:t>
      </w:r>
      <w:r>
        <w:rPr>
          <w:sz w:val="24"/>
        </w:rPr>
      </w:r>
      <w:r/>
    </w:p>
    <w:p>
      <w:pPr>
        <w:pStyle w:val="1053"/>
        <w:ind w:firstLine="480"/>
        <w:spacing w:line="360" w:lineRule="auto"/>
        <w:rPr>
          <w:rFonts w:hint="eastAsia"/>
          <w:sz w:val="24"/>
          <w:lang w:bidi="ar"/>
        </w:rPr>
      </w:pPr>
      <w:r>
        <w:rPr>
          <w:sz w:val="24"/>
          <w:lang w:bidi="ar"/>
        </w:rPr>
        <w:t xml:space="preserve">供应商持CA数字认证证书登录</w:t>
      </w:r>
      <w:r>
        <w:rPr>
          <w:rFonts w:hint="eastAsia"/>
          <w:sz w:val="24"/>
          <w:lang w:bidi="ar"/>
        </w:rPr>
        <w:t xml:space="preserve">“苏采云”</w:t>
      </w:r>
      <w:r>
        <w:rPr>
          <w:sz w:val="24"/>
          <w:lang w:bidi="ar"/>
        </w:rPr>
        <w:t xml:space="preserve">获取电子</w:t>
      </w:r>
      <w:r>
        <w:rPr>
          <w:rFonts w:hint="eastAsia"/>
          <w:sz w:val="24"/>
          <w:lang w:bidi="ar"/>
        </w:rPr>
        <w:t xml:space="preserve">采购文件</w:t>
      </w:r>
      <w:r>
        <w:rPr>
          <w:sz w:val="24"/>
          <w:lang w:bidi="ar"/>
        </w:rPr>
        <w:t xml:space="preserve">。未在规定期限内通过</w:t>
      </w:r>
      <w:r>
        <w:rPr>
          <w:rFonts w:hint="eastAsia"/>
          <w:sz w:val="24"/>
          <w:lang w:bidi="ar"/>
        </w:rPr>
        <w:t xml:space="preserve">“苏采云”</w:t>
      </w:r>
      <w:r>
        <w:rPr>
          <w:sz w:val="24"/>
          <w:lang w:bidi="ar"/>
        </w:rPr>
        <w:t xml:space="preserve">获取</w:t>
      </w:r>
      <w:r>
        <w:rPr>
          <w:rFonts w:hint="eastAsia"/>
          <w:sz w:val="24"/>
          <w:lang w:bidi="ar"/>
        </w:rPr>
        <w:t xml:space="preserve">采购文件</w:t>
      </w:r>
      <w:r>
        <w:rPr>
          <w:sz w:val="24"/>
          <w:lang w:bidi="ar"/>
        </w:rPr>
        <w:t xml:space="preserve">的</w:t>
      </w:r>
      <w:r>
        <w:rPr>
          <w:b/>
          <w:sz w:val="24"/>
          <w:lang w:bidi="ar"/>
        </w:rPr>
        <w:t xml:space="preserve">投标无效</w:t>
      </w:r>
      <w:r>
        <w:rPr>
          <w:sz w:val="24"/>
          <w:lang w:bidi="ar"/>
        </w:rPr>
        <w:t xml:space="preserve">。</w:t>
      </w:r>
      <w:r>
        <w:rPr>
          <w:rFonts w:hint="eastAsia"/>
          <w:sz w:val="24"/>
          <w:lang w:bidi="ar"/>
        </w:rPr>
      </w:r>
      <w:r/>
    </w:p>
    <w:p>
      <w:pPr>
        <w:pStyle w:val="1053"/>
        <w:ind w:firstLine="480"/>
        <w:spacing w:line="360" w:lineRule="auto"/>
        <w:rPr>
          <w:sz w:val="24"/>
        </w:rPr>
      </w:pPr>
      <w:r>
        <w:rPr>
          <w:rFonts w:hint="eastAsia"/>
          <w:sz w:val="24"/>
        </w:rPr>
        <w:t xml:space="preserve">2</w:t>
      </w:r>
      <w:r>
        <w:rPr>
          <w:sz w:val="24"/>
        </w:rPr>
        <w:t xml:space="preserve">.5编制电子投标文件</w:t>
      </w:r>
      <w:r>
        <w:rPr>
          <w:sz w:val="24"/>
        </w:rPr>
      </w:r>
      <w:r/>
    </w:p>
    <w:p>
      <w:pPr>
        <w:pStyle w:val="1053"/>
        <w:ind w:firstLine="480"/>
        <w:spacing w:line="360" w:lineRule="auto"/>
        <w:rPr>
          <w:sz w:val="24"/>
        </w:rPr>
      </w:pPr>
      <w:r>
        <w:rPr>
          <w:sz w:val="24"/>
        </w:rPr>
        <w:t xml:space="preserve">供应商应使用电子投标</w:t>
      </w:r>
      <w:r>
        <w:rPr>
          <w:rFonts w:hint="eastAsia"/>
          <w:sz w:val="24"/>
        </w:rPr>
        <w:t xml:space="preserve">文件制作</w:t>
      </w:r>
      <w:r>
        <w:rPr>
          <w:sz w:val="24"/>
        </w:rPr>
        <w:t xml:space="preserve">客户端编制电子投标文件并进行线上投标，供应商电子投标文件需要加密并加盖电子签章</w:t>
      </w:r>
      <w:r>
        <w:rPr>
          <w:bCs/>
          <w:sz w:val="24"/>
        </w:rPr>
        <w:t xml:space="preserve">，如无法按照要求在电子投标文件中加盖电子签章和加密，请及时通过技术支持服务热线联系技术人员</w:t>
      </w:r>
      <w:r>
        <w:rPr>
          <w:sz w:val="24"/>
        </w:rPr>
        <w:t xml:space="preserve">。</w:t>
      </w:r>
      <w:r>
        <w:rPr>
          <w:sz w:val="24"/>
        </w:rPr>
      </w:r>
      <w:r/>
    </w:p>
    <w:p>
      <w:pPr>
        <w:pStyle w:val="1053"/>
        <w:ind w:firstLine="480"/>
        <w:jc w:val="left"/>
        <w:spacing w:line="360" w:lineRule="auto"/>
        <w:widowControl/>
        <w:rPr>
          <w:sz w:val="24"/>
          <w:lang w:val="zh-TW"/>
        </w:rPr>
      </w:pPr>
      <w:r>
        <w:rPr>
          <w:rFonts w:hint="eastAsia"/>
          <w:sz w:val="24"/>
          <w:lang w:val="zh-TW"/>
        </w:rPr>
        <w:t xml:space="preserve">2</w:t>
      </w:r>
      <w:r>
        <w:rPr>
          <w:sz w:val="24"/>
          <w:lang w:val="zh-TW" w:eastAsia="zh-TW"/>
        </w:rPr>
        <w:t xml:space="preserve">.6</w:t>
      </w:r>
      <w:r>
        <w:rPr>
          <w:sz w:val="24"/>
          <w:lang w:val="zh-TW"/>
        </w:rPr>
        <w:t xml:space="preserve">提交电子投标文件</w:t>
      </w:r>
      <w:r>
        <w:rPr>
          <w:sz w:val="24"/>
          <w:lang w:val="zh-TW"/>
        </w:rPr>
      </w:r>
      <w:r/>
    </w:p>
    <w:p>
      <w:pPr>
        <w:pStyle w:val="1053"/>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“苏采云”</w:t>
      </w:r>
      <w:r>
        <w:rPr>
          <w:sz w:val="24"/>
          <w:lang w:bidi="ar"/>
        </w:rPr>
        <w:t xml:space="preserve">提交电子投标文件，上传电子投标文件过程中请保持与互联网的连接畅通。</w:t>
      </w:r>
      <w:r>
        <w:rPr>
          <w:sz w:val="24"/>
          <w:lang w:bidi="ar"/>
        </w:rPr>
      </w:r>
      <w:r/>
    </w:p>
    <w:p>
      <w:pPr>
        <w:pStyle w:val="1053"/>
        <w:ind w:firstLine="480"/>
        <w:jc w:val="left"/>
        <w:spacing w:line="360" w:lineRule="auto"/>
        <w:widowControl/>
        <w:rPr>
          <w:sz w:val="24"/>
          <w:lang w:eastAsia="zh-TW"/>
        </w:rPr>
      </w:pPr>
      <w:r>
        <w:rPr>
          <w:rFonts w:hint="eastAsia"/>
          <w:sz w:val="24"/>
          <w:lang w:val="zh-TW"/>
        </w:rPr>
        <w:t xml:space="preserve">2</w:t>
      </w:r>
      <w:r>
        <w:rPr>
          <w:sz w:val="24"/>
          <w:lang w:val="zh-TW"/>
        </w:rPr>
        <w:t xml:space="preserve">.</w:t>
      </w:r>
      <w:r>
        <w:rPr>
          <w:sz w:val="24"/>
          <w:lang w:val="zh-TW" w:eastAsia="zh-TW"/>
        </w:rPr>
        <w:t xml:space="preserve">7</w:t>
      </w:r>
      <w:r>
        <w:rPr>
          <w:sz w:val="24"/>
          <w:lang w:val="zh-TW"/>
        </w:rPr>
        <w:t xml:space="preserve">电子开标</w:t>
      </w:r>
      <w:r>
        <w:rPr>
          <w:sz w:val="24"/>
          <w:lang w:eastAsia="zh-TW"/>
        </w:rPr>
      </w:r>
      <w:r/>
    </w:p>
    <w:p>
      <w:pPr>
        <w:pStyle w:val="1053"/>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1053"/>
        <w:ind w:firstLine="480"/>
        <w:spacing w:line="360" w:lineRule="auto"/>
        <w:rPr>
          <w:sz w:val="24"/>
          <w:lang w:val="zh-TW"/>
        </w:rPr>
      </w:pPr>
      <w:r>
        <w:rPr>
          <w:rFonts w:hint="eastAsia"/>
          <w:sz w:val="24"/>
          <w:lang w:val="zh-TW"/>
        </w:rPr>
        <w:t xml:space="preserve">2.8注意事项</w:t>
      </w:r>
      <w:r>
        <w:rPr>
          <w:sz w:val="24"/>
          <w:lang w:val="zh-TW"/>
        </w:rPr>
      </w:r>
      <w:r/>
    </w:p>
    <w:p>
      <w:pPr>
        <w:pStyle w:val="1053"/>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1053"/>
        <w:ind w:firstLine="480"/>
        <w:spacing w:line="360" w:lineRule="auto"/>
        <w:rPr>
          <w:sz w:val="24"/>
          <w:lang w:val="zh-TW"/>
        </w:rPr>
      </w:pPr>
      <w:r>
        <w:rPr>
          <w:rFonts w:hint="eastAsia"/>
          <w:sz w:val="24"/>
          <w:lang w:val="zh-TW"/>
        </w:rPr>
        <w:t xml:space="preserve">3.关于常州市中小企业政府采购信用融资：</w:t>
      </w:r>
      <w:r>
        <w:rPr>
          <w:sz w:val="24"/>
          <w:lang w:val="zh-TW"/>
        </w:rPr>
      </w:r>
      <w:r/>
    </w:p>
    <w:p>
      <w:pPr>
        <w:pStyle w:val="1053"/>
        <w:ind w:firstLine="480"/>
        <w:spacing w:line="360" w:lineRule="auto"/>
        <w:rPr>
          <w:sz w:val="24"/>
          <w:lang w:val="zh-TW"/>
        </w:rPr>
      </w:pPr>
      <w:r>
        <w:rPr>
          <w:rFonts w:hint="eastAsia"/>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rPr>
      </w:r>
      <w:r/>
    </w:p>
    <w:p>
      <w:pPr>
        <w:pStyle w:val="1055"/>
        <w:jc w:val="left"/>
        <w:spacing w:before="0" w:line="360" w:lineRule="auto"/>
        <w:rPr>
          <w:rFonts w:ascii="Times New Roman" w:hAnsi="Times New Roman" w:eastAsia="宋体"/>
          <w:sz w:val="24"/>
          <w:szCs w:val="24"/>
        </w:rPr>
      </w:pPr>
      <w:r/>
      <w:bookmarkStart w:id="24" w:name="_Toc35393627"/>
      <w:r/>
      <w:bookmarkStart w:id="25" w:name="_Toc35393796"/>
      <w:r/>
      <w:bookmarkStart w:id="26" w:name="_Toc28359008"/>
      <w:r/>
      <w:bookmarkStart w:id="27" w:name="_Toc28359085"/>
      <w:r>
        <w:rPr>
          <w:rFonts w:ascii="Times New Roman" w:hAnsi="Times New Roman" w:eastAsia="宋体"/>
          <w:sz w:val="24"/>
          <w:szCs w:val="24"/>
        </w:rPr>
        <w:t xml:space="preserve">七、对本次招标提出询问，请按以下方式联系。</w:t>
      </w:r>
      <w:bookmarkEnd w:id="24"/>
      <w:r/>
      <w:bookmarkEnd w:id="25"/>
      <w:r/>
      <w:bookmarkEnd w:id="26"/>
      <w:r/>
      <w:bookmarkEnd w:id="27"/>
      <w:r>
        <w:rPr>
          <w:rFonts w:ascii="Times New Roman" w:hAnsi="Times New Roman" w:eastAsia="宋体"/>
          <w:sz w:val="24"/>
          <w:szCs w:val="24"/>
        </w:rPr>
      </w:r>
      <w:r/>
    </w:p>
    <w:p>
      <w:pPr>
        <w:pStyle w:val="1053"/>
        <w:jc w:val="left"/>
        <w:spacing w:line="360" w:lineRule="auto"/>
        <w:widowControl/>
        <w:rPr>
          <w:b/>
          <w:sz w:val="24"/>
        </w:rPr>
      </w:pPr>
      <w:r>
        <w:rPr>
          <w:sz w:val="24"/>
        </w:rPr>
        <w:t xml:space="preserve">　　　</w:t>
      </w:r>
      <w:r>
        <w:rPr>
          <w:b/>
          <w:sz w:val="24"/>
        </w:rPr>
        <w:t xml:space="preserve">1.采购人信息</w:t>
      </w:r>
      <w:r>
        <w:rPr>
          <w:b/>
          <w:sz w:val="24"/>
        </w:rPr>
      </w:r>
      <w:r/>
    </w:p>
    <w:p>
      <w:pPr>
        <w:pStyle w:val="1053"/>
        <w:ind w:left="1076" w:hanging="297"/>
        <w:jc w:val="left"/>
        <w:spacing w:line="360" w:lineRule="auto"/>
        <w:rPr>
          <w:rFonts w:hint="eastAsia" w:eastAsia="宋体"/>
          <w:bCs/>
          <w:sz w:val="24"/>
          <w:lang w:eastAsia="zh-CN"/>
        </w:rPr>
      </w:pPr>
      <w:r/>
      <w:bookmarkStart w:id="28" w:name="_Toc28359009"/>
      <w:r/>
      <w:bookmarkStart w:id="29" w:name="_Toc28359086"/>
      <w:r>
        <w:rPr>
          <w:rFonts w:hint="eastAsia"/>
          <w:sz w:val="24"/>
        </w:rPr>
        <w:t xml:space="preserve">名    称：</w:t>
      </w:r>
      <w:r>
        <w:rPr>
          <w:rFonts w:hint="eastAsia"/>
          <w:sz w:val="24"/>
          <w:lang w:eastAsia="zh-CN"/>
        </w:rPr>
        <w:t xml:space="preserve">溧阳市市域社会治理现代化指挥中心</w:t>
      </w:r>
      <w:r>
        <w:rPr>
          <w:rFonts w:hint="eastAsia" w:eastAsia="宋体"/>
          <w:bCs/>
          <w:sz w:val="24"/>
          <w:lang w:eastAsia="zh-CN"/>
        </w:rPr>
      </w:r>
      <w:r/>
    </w:p>
    <w:p>
      <w:pPr>
        <w:pStyle w:val="1053"/>
        <w:ind w:left="1076" w:hanging="297"/>
        <w:jc w:val="left"/>
        <w:spacing w:line="360" w:lineRule="auto"/>
        <w:rPr>
          <w:sz w:val="24"/>
        </w:rPr>
      </w:pPr>
      <w:r>
        <w:rPr>
          <w:rFonts w:hint="eastAsia"/>
          <w:sz w:val="24"/>
        </w:rPr>
        <w:t xml:space="preserve">地    址：溧阳市永定路45号</w:t>
      </w:r>
      <w:r>
        <w:rPr>
          <w:sz w:val="24"/>
        </w:rPr>
      </w:r>
      <w:r/>
    </w:p>
    <w:p>
      <w:pPr>
        <w:pStyle w:val="1053"/>
        <w:ind w:left="1076" w:hanging="297"/>
        <w:jc w:val="left"/>
        <w:spacing w:line="360" w:lineRule="auto"/>
        <w:rPr>
          <w:rFonts w:hint="eastAsia"/>
          <w:sz w:val="24"/>
        </w:rPr>
      </w:pPr>
      <w:r>
        <w:rPr>
          <w:rFonts w:hint="eastAsia"/>
          <w:sz w:val="24"/>
        </w:rPr>
        <w:t xml:space="preserve">联系方式：</w:t>
      </w:r>
      <w:r>
        <w:rPr>
          <w:rFonts w:hint="eastAsia" w:ascii="宋体" w:hAnsi="宋体" w:eastAsia="宋体" w:cs="宋体"/>
          <w:sz w:val="24"/>
        </w:rPr>
        <w:t xml:space="preserve">0519-80993625</w:t>
      </w:r>
      <w:r>
        <w:rPr>
          <w:rFonts w:hint="eastAsia"/>
          <w:sz w:val="24"/>
        </w:rPr>
      </w:r>
      <w:r/>
    </w:p>
    <w:p>
      <w:pPr>
        <w:pStyle w:val="1053"/>
        <w:ind w:left="1078" w:hanging="299"/>
        <w:jc w:val="left"/>
        <w:spacing w:line="360" w:lineRule="auto"/>
        <w:rPr>
          <w:b/>
          <w:sz w:val="24"/>
        </w:rPr>
      </w:pPr>
      <w:r>
        <w:rPr>
          <w:b/>
          <w:sz w:val="24"/>
        </w:rPr>
        <w:t xml:space="preserve">2.采购代理机构信息</w:t>
      </w:r>
      <w:bookmarkEnd w:id="28"/>
      <w:r/>
      <w:bookmarkEnd w:id="29"/>
      <w:r>
        <w:rPr>
          <w:b/>
          <w:sz w:val="24"/>
        </w:rPr>
      </w:r>
      <w:r/>
    </w:p>
    <w:p>
      <w:pPr>
        <w:pStyle w:val="1053"/>
        <w:ind w:left="1076" w:hanging="297"/>
        <w:jc w:val="left"/>
        <w:spacing w:line="360" w:lineRule="auto"/>
        <w:rPr>
          <w:sz w:val="24"/>
        </w:rPr>
      </w:pPr>
      <w:r/>
      <w:bookmarkStart w:id="30" w:name="_Toc28359087"/>
      <w:r/>
      <w:bookmarkStart w:id="31" w:name="_Toc28359010"/>
      <w:r>
        <w:rPr>
          <w:sz w:val="24"/>
        </w:rPr>
        <w:t xml:space="preserve">名    称：</w:t>
      </w:r>
      <w:r>
        <w:rPr>
          <w:rFonts w:hint="eastAsia" w:ascii="宋体" w:hAnsi="宋体" w:cs="宋体"/>
          <w:sz w:val="24"/>
        </w:rPr>
        <w:t xml:space="preserve">江苏大成恒睿土地房地产资产评估咨询有限公司</w:t>
      </w:r>
      <w:r>
        <w:rPr>
          <w:sz w:val="24"/>
        </w:rPr>
      </w:r>
      <w:r/>
    </w:p>
    <w:p>
      <w:pPr>
        <w:pStyle w:val="1053"/>
        <w:ind w:left="1076" w:hanging="297"/>
        <w:jc w:val="left"/>
        <w:spacing w:line="360" w:lineRule="auto"/>
        <w:rPr>
          <w:sz w:val="24"/>
        </w:rPr>
      </w:pPr>
      <w:r>
        <w:rPr>
          <w:sz w:val="24"/>
        </w:rPr>
        <w:t xml:space="preserve">地    址：</w:t>
      </w:r>
      <w:r>
        <w:rPr>
          <w:rFonts w:hint="eastAsia" w:ascii="宋体" w:hAnsi="宋体" w:cs="宋体"/>
          <w:sz w:val="24"/>
        </w:rPr>
        <w:t xml:space="preserve">溧阳市天目湖镇工业园区溪缘路1-8号3幢3楼</w:t>
      </w:r>
      <w:r>
        <w:rPr>
          <w:sz w:val="24"/>
        </w:rPr>
      </w:r>
      <w:r/>
    </w:p>
    <w:p>
      <w:pPr>
        <w:pStyle w:val="1053"/>
        <w:ind w:left="1076" w:hanging="297"/>
        <w:jc w:val="left"/>
        <w:spacing w:line="360" w:lineRule="auto"/>
        <w:rPr>
          <w:sz w:val="24"/>
        </w:rPr>
      </w:pPr>
      <w:r>
        <w:rPr>
          <w:sz w:val="24"/>
        </w:rPr>
        <w:t xml:space="preserve">联系方式：</w:t>
      </w:r>
      <w:r>
        <w:rPr>
          <w:rFonts w:hint="eastAsia" w:ascii="宋体" w:hAnsi="宋体" w:cs="宋体"/>
          <w:sz w:val="24"/>
          <w:lang w:bidi="ar"/>
        </w:rPr>
        <w:t xml:space="preserve">谢女士  0519-87630906</w:t>
      </w:r>
      <w:r>
        <w:rPr>
          <w:sz w:val="24"/>
        </w:rPr>
      </w:r>
      <w:r/>
    </w:p>
    <w:p>
      <w:pPr>
        <w:pStyle w:val="1053"/>
        <w:ind w:left="1078" w:hanging="299"/>
        <w:spacing w:line="360" w:lineRule="auto"/>
        <w:rPr>
          <w:b/>
          <w:sz w:val="24"/>
          <w:u w:val="single"/>
        </w:rPr>
      </w:pPr>
      <w:r>
        <w:rPr>
          <w:b/>
          <w:sz w:val="24"/>
        </w:rPr>
        <w:t xml:space="preserve">3.项目联系方式</w:t>
      </w:r>
      <w:bookmarkEnd w:id="30"/>
      <w:r/>
      <w:bookmarkEnd w:id="31"/>
      <w:r>
        <w:rPr>
          <w:b/>
          <w:sz w:val="24"/>
          <w:u w:val="single"/>
        </w:rPr>
      </w:r>
      <w:r/>
    </w:p>
    <w:p>
      <w:pPr>
        <w:pStyle w:val="1092"/>
        <w:ind w:left="1076" w:hanging="297"/>
        <w:spacing w:line="360" w:lineRule="auto"/>
        <w:rPr>
          <w:rFonts w:ascii="Times New Roman" w:hAnsi="Times New Roman"/>
          <w:sz w:val="24"/>
          <w:lang w:bidi="ar"/>
        </w:rPr>
      </w:pPr>
      <w:r>
        <w:rPr>
          <w:rFonts w:ascii="Times New Roman" w:hAnsi="Times New Roman"/>
          <w:sz w:val="24"/>
          <w:szCs w:val="24"/>
        </w:rPr>
        <w:t xml:space="preserve">项目联系人：</w:t>
      </w:r>
      <w:r>
        <w:rPr>
          <w:rFonts w:hAnsi="宋体" w:cs="宋体"/>
          <w:sz w:val="24"/>
          <w:lang w:bidi="ar"/>
        </w:rPr>
        <w:t xml:space="preserve">谢女士</w:t>
      </w:r>
      <w:r>
        <w:rPr>
          <w:rFonts w:ascii="Times New Roman" w:hAnsi="Times New Roman"/>
          <w:sz w:val="24"/>
          <w:lang w:bidi="ar"/>
        </w:rPr>
      </w:r>
      <w:r/>
    </w:p>
    <w:p>
      <w:pPr>
        <w:pStyle w:val="1092"/>
        <w:ind w:left="1076" w:hanging="297"/>
        <w:spacing w:line="360" w:lineRule="auto"/>
        <w:rPr>
          <w:rFonts w:hAnsi="宋体" w:cs="宋体"/>
          <w:sz w:val="24"/>
          <w:lang w:bidi="ar"/>
        </w:rPr>
      </w:pPr>
      <w:r>
        <w:rPr>
          <w:rFonts w:ascii="Times New Roman" w:hAnsi="Times New Roman"/>
          <w:sz w:val="24"/>
        </w:rPr>
        <w:t xml:space="preserve">电      话：</w:t>
      </w:r>
      <w:r>
        <w:rPr>
          <w:rFonts w:hAnsi="宋体" w:cs="宋体"/>
          <w:sz w:val="24"/>
          <w:lang w:bidi="ar"/>
        </w:rPr>
        <w:t xml:space="preserve">0519-87630906</w:t>
      </w: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92"/>
        <w:ind w:left="1076" w:hanging="297"/>
        <w:spacing w:line="360" w:lineRule="auto"/>
        <w:rPr>
          <w:rFonts w:hAnsi="宋体" w:cs="宋体"/>
          <w:sz w:val="24"/>
          <w:lang w:bidi="ar"/>
        </w:rPr>
      </w:pPr>
      <w:r>
        <w:rPr>
          <w:rFonts w:hAnsi="宋体" w:cs="宋体"/>
          <w:sz w:val="24"/>
          <w:lang w:bidi="ar"/>
        </w:rPr>
      </w:r>
      <w:r/>
    </w:p>
    <w:p>
      <w:pPr>
        <w:pStyle w:val="1053"/>
        <w:jc w:val="center"/>
        <w:spacing w:line="360" w:lineRule="auto"/>
        <w:rPr>
          <w:b/>
          <w:sz w:val="32"/>
          <w:szCs w:val="32"/>
        </w:rPr>
        <w:outlineLvl w:val="0"/>
      </w:pPr>
      <w:r/>
      <w:bookmarkStart w:id="32" w:name="_Toc99301420"/>
      <w:r/>
      <w:bookmarkStart w:id="33" w:name="_Toc150774783"/>
      <w:r/>
      <w:bookmarkStart w:id="34" w:name="_Toc226965856"/>
      <w:r/>
      <w:bookmarkStart w:id="35" w:name="_Toc195842950"/>
      <w:r/>
      <w:bookmarkStart w:id="36" w:name="_Toc305158928"/>
      <w:r/>
      <w:bookmarkStart w:id="37" w:name="_Toc353825548"/>
      <w:r/>
      <w:bookmarkStart w:id="38" w:name="_Toc127151777"/>
      <w:r/>
      <w:bookmarkStart w:id="39" w:name="_Toc264969275"/>
      <w:r/>
      <w:bookmarkStart w:id="40" w:name="_Toc127161488"/>
      <w:r/>
      <w:bookmarkStart w:id="41" w:name="_Toc353873938"/>
      <w:r/>
      <w:bookmarkStart w:id="42" w:name="_Toc512937850"/>
      <w:r/>
      <w:bookmarkStart w:id="43" w:name="_Toc305158854"/>
      <w:r/>
      <w:bookmarkStart w:id="44" w:name="_Toc265228423"/>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1055"/>
        <w:spacing w:before="0" w:line="360" w:lineRule="auto"/>
        <w:tabs>
          <w:tab w:val="center" w:pos="4592" w:leader="none"/>
          <w:tab w:val="left" w:pos="7860" w:leader="none"/>
        </w:tabs>
        <w:rPr>
          <w:rFonts w:ascii="Times New Roman" w:hAnsi="Times New Roman" w:eastAsia="宋体"/>
          <w:sz w:val="28"/>
        </w:rPr>
      </w:pPr>
      <w:r/>
      <w:bookmarkStart w:id="45" w:name="_Toc520356144"/>
      <w:r/>
      <w:bookmarkStart w:id="46" w:name="_Toc149720812"/>
      <w:r/>
      <w:bookmarkStart w:id="47" w:name="_Toc151193617"/>
      <w:r/>
      <w:bookmarkStart w:id="48" w:name="_Toc164608633"/>
      <w:r/>
      <w:bookmarkStart w:id="49" w:name="_Toc150480757"/>
      <w:r/>
      <w:bookmarkStart w:id="50" w:name="_Toc164351613"/>
      <w:r/>
      <w:bookmarkStart w:id="51" w:name="_Toc226337215"/>
      <w:r/>
      <w:bookmarkStart w:id="52" w:name="_Toc150774619"/>
      <w:r/>
      <w:bookmarkStart w:id="53" w:name="_Toc164229360"/>
      <w:r/>
      <w:bookmarkStart w:id="54" w:name="_Toc226965792"/>
      <w:r/>
      <w:bookmarkStart w:id="55" w:name="_Toc151193761"/>
      <w:r/>
      <w:bookmarkStart w:id="56" w:name="_Toc226965709"/>
      <w:r/>
      <w:bookmarkStart w:id="57" w:name="_Toc164608788"/>
      <w:r/>
      <w:bookmarkStart w:id="58" w:name="_Toc226309763"/>
      <w:r/>
      <w:bookmarkStart w:id="59" w:name="_Toc127151519"/>
      <w:r/>
      <w:bookmarkStart w:id="60" w:name="_Toc151190146"/>
      <w:r/>
      <w:bookmarkStart w:id="61" w:name="_Toc195842884"/>
      <w:r/>
      <w:bookmarkStart w:id="62" w:name="_Toc142311021"/>
      <w:r/>
      <w:bookmarkStart w:id="63" w:name="_Toc164229214"/>
      <w:r/>
      <w:bookmarkStart w:id="64" w:name="_Toc151193833"/>
      <w:r/>
      <w:bookmarkStart w:id="65" w:name="_Toc151193689"/>
      <w:r/>
      <w:bookmarkStart w:id="66" w:name="_Toc150774724"/>
      <w:r/>
      <w:bookmarkStart w:id="67" w:name="_Toc127151720"/>
      <w:r/>
      <w:bookmarkStart w:id="68" w:name="_Toc151193907"/>
      <w:r/>
      <w:bookmarkStart w:id="69" w:name="_Toc127161433"/>
      <w:r/>
      <w:bookmarkStart w:id="70" w:name="_Toc150509270"/>
      <w:r>
        <w:rPr>
          <w:rFonts w:ascii="Times New Roman" w:hAnsi="Times New Roman" w:eastAsia="宋体"/>
          <w:sz w:val="28"/>
        </w:rPr>
        <w:t xml:space="preserve">投标人须知资料表</w:t>
      </w:r>
      <w:r>
        <w:rPr>
          <w:rFonts w:ascii="Times New Roman" w:hAnsi="Times New Roman" w:eastAsia="宋体"/>
          <w:sz w:val="28"/>
        </w:rPr>
      </w:r>
      <w:r/>
    </w:p>
    <w:p>
      <w:pPr>
        <w:pStyle w:val="1053"/>
        <w:jc w:val="center"/>
        <w:rPr>
          <w:b/>
          <w:sz w:val="28"/>
          <w:szCs w:val="28"/>
        </w:rPr>
      </w:pPr>
      <w:r>
        <w:rPr>
          <w:b/>
          <w:sz w:val="28"/>
          <w:szCs w:val="28"/>
        </w:rPr>
      </w:r>
      <w:r/>
    </w:p>
    <w:p>
      <w:pPr>
        <w:pStyle w:val="1053"/>
        <w:ind w:firstLine="480"/>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1053"/>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53"/>
              <w:jc w:val="center"/>
              <w:rPr>
                <w:b/>
                <w:bCs/>
                <w:sz w:val="24"/>
              </w:rPr>
            </w:pPr>
            <w:r>
              <w:rPr>
                <w:b/>
                <w:sz w:val="24"/>
              </w:rPr>
              <w:t xml:space="preserve">条款号</w:t>
            </w:r>
            <w:r>
              <w:rPr>
                <w:b/>
                <w:bCs/>
                <w:sz w:val="24"/>
              </w:rPr>
            </w:r>
            <w:r/>
          </w:p>
        </w:tc>
        <w:tc>
          <w:tcPr>
            <w:tcW w:w="1701" w:type="dxa"/>
            <w:vAlign w:val="center"/>
            <w:textDirection w:val="lrTb"/>
            <w:noWrap w:val="false"/>
          </w:tcPr>
          <w:p>
            <w:pPr>
              <w:pStyle w:val="1053"/>
              <w:jc w:val="center"/>
              <w:rPr>
                <w:b/>
                <w:bCs/>
                <w:sz w:val="24"/>
              </w:rPr>
            </w:pPr>
            <w:r>
              <w:rPr>
                <w:b/>
                <w:bCs/>
                <w:sz w:val="24"/>
              </w:rPr>
              <w:t xml:space="preserve">条目</w:t>
            </w:r>
            <w:r>
              <w:rPr>
                <w:b/>
                <w:bCs/>
                <w:sz w:val="24"/>
              </w:rPr>
            </w:r>
            <w:r/>
          </w:p>
        </w:tc>
        <w:tc>
          <w:tcPr>
            <w:tcW w:w="7540" w:type="dxa"/>
            <w:vAlign w:val="center"/>
            <w:textDirection w:val="lrTb"/>
            <w:noWrap w:val="false"/>
          </w:tcPr>
          <w:p>
            <w:pPr>
              <w:pStyle w:val="1053"/>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项目属性</w:t>
            </w:r>
            <w:r>
              <w:rPr>
                <w:sz w:val="24"/>
              </w:rPr>
            </w:r>
            <w:r/>
          </w:p>
        </w:tc>
        <w:tc>
          <w:tcPr>
            <w:tcW w:w="7540" w:type="dxa"/>
            <w:vAlign w:val="center"/>
            <w:textDirection w:val="lrTb"/>
            <w:noWrap w:val="false"/>
          </w:tcPr>
          <w:p>
            <w:pPr>
              <w:pStyle w:val="1053"/>
              <w:jc w:val="left"/>
              <w:rPr>
                <w:sz w:val="24"/>
              </w:rPr>
            </w:pPr>
            <w:r>
              <w:rPr>
                <w:sz w:val="24"/>
              </w:rPr>
              <w:t xml:space="preserve">项目属性：</w:t>
            </w:r>
            <w:r>
              <w:rPr>
                <w:sz w:val="24"/>
              </w:rPr>
            </w:r>
            <w:r/>
          </w:p>
          <w:p>
            <w:pPr>
              <w:pStyle w:val="1053"/>
              <w:jc w:val="left"/>
              <w:rPr>
                <w:sz w:val="24"/>
              </w:rPr>
            </w:pPr>
            <w:r>
              <w:rPr>
                <w:sz w:val="24"/>
              </w:rPr>
              <w:t xml:space="preserve">□服务</w:t>
            </w:r>
            <w:r>
              <w:rPr>
                <w:sz w:val="24"/>
              </w:rPr>
            </w:r>
            <w:r/>
          </w:p>
          <w:p>
            <w:pPr>
              <w:pStyle w:val="1053"/>
              <w:jc w:val="left"/>
              <w:rPr>
                <w:sz w:val="24"/>
                <w:u w:val="single"/>
              </w:rPr>
            </w:pPr>
            <w:r>
              <w:rPr>
                <w:b/>
                <w:color w:val="000000"/>
                <w:sz w:val="24"/>
              </w:rPr>
              <w:t xml:space="preserve">■</w:t>
            </w:r>
            <w:r>
              <w:rPr>
                <w:sz w:val="24"/>
              </w:rPr>
              <w:t xml:space="preserve">货物</w:t>
            </w:r>
            <w:r>
              <w:rPr>
                <w:sz w:val="24"/>
                <w:u w:val="single"/>
              </w:rPr>
            </w:r>
            <w:r/>
          </w:p>
        </w:tc>
      </w:tr>
      <w:tr>
        <w:trPr>
          <w:trHeight w:val="20"/>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科研仪器设备</w:t>
            </w:r>
            <w:r>
              <w:rPr>
                <w:sz w:val="24"/>
              </w:rPr>
            </w:r>
            <w:r/>
          </w:p>
        </w:tc>
        <w:tc>
          <w:tcPr>
            <w:tcW w:w="7540" w:type="dxa"/>
            <w:vAlign w:val="center"/>
            <w:textDirection w:val="lrTb"/>
            <w:noWrap w:val="false"/>
          </w:tcPr>
          <w:p>
            <w:pPr>
              <w:pStyle w:val="1053"/>
              <w:jc w:val="left"/>
              <w:rPr>
                <w:sz w:val="24"/>
              </w:rPr>
            </w:pPr>
            <w:r>
              <w:rPr>
                <w:sz w:val="24"/>
              </w:rPr>
              <w:t xml:space="preserve">是否属于科研仪器设备采购项目：</w:t>
            </w:r>
            <w:r>
              <w:rPr>
                <w:sz w:val="24"/>
              </w:rPr>
            </w:r>
            <w:r/>
          </w:p>
          <w:p>
            <w:pPr>
              <w:pStyle w:val="1053"/>
              <w:jc w:val="left"/>
              <w:rPr>
                <w:sz w:val="24"/>
              </w:rPr>
            </w:pPr>
            <w:r>
              <w:rPr>
                <w:sz w:val="24"/>
              </w:rPr>
              <w:t xml:space="preserve">□是</w:t>
            </w:r>
            <w:r>
              <w:rPr>
                <w:sz w:val="24"/>
              </w:rPr>
            </w:r>
            <w:r/>
          </w:p>
          <w:p>
            <w:pPr>
              <w:pStyle w:val="1053"/>
              <w:jc w:val="left"/>
              <w:rPr>
                <w:sz w:val="24"/>
              </w:rPr>
            </w:pPr>
            <w:r>
              <w:rPr>
                <w:b/>
                <w:color w:val="000000"/>
                <w:sz w:val="24"/>
              </w:rPr>
              <w:t xml:space="preserve">■</w:t>
            </w:r>
            <w:r>
              <w:rPr>
                <w:sz w:val="24"/>
              </w:rPr>
              <w:t xml:space="preserve">否</w:t>
            </w:r>
            <w:r>
              <w:rPr>
                <w:sz w:val="24"/>
              </w:rPr>
            </w:r>
            <w:r/>
          </w:p>
        </w:tc>
      </w:tr>
      <w:tr>
        <w:trPr>
          <w:trHeight w:val="1370"/>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核心产品</w:t>
            </w:r>
            <w:r>
              <w:rPr>
                <w:sz w:val="24"/>
              </w:rPr>
            </w:r>
            <w:r/>
          </w:p>
        </w:tc>
        <w:tc>
          <w:tcPr>
            <w:tcW w:w="7540" w:type="dxa"/>
            <w:vAlign w:val="center"/>
            <w:textDirection w:val="lrTb"/>
            <w:noWrap w:val="false"/>
          </w:tcPr>
          <w:p>
            <w:pPr>
              <w:pStyle w:val="1092"/>
              <w:rPr>
                <w:rFonts w:ascii="Times New Roman" w:hAnsi="Times New Roman"/>
                <w:sz w:val="24"/>
                <w:szCs w:val="24"/>
              </w:rPr>
            </w:pPr>
            <w:r>
              <w:rPr>
                <w:rFonts w:ascii="Times New Roman" w:hAnsi="Times New Roman"/>
                <w:sz w:val="24"/>
                <w:szCs w:val="24"/>
              </w:rPr>
              <w:t xml:space="preserve">□关于核心产品本项目__包不适用。</w:t>
            </w:r>
            <w:r>
              <w:rPr>
                <w:rFonts w:ascii="Times New Roman" w:hAnsi="Times New Roman"/>
                <w:sz w:val="24"/>
                <w:szCs w:val="24"/>
              </w:rPr>
            </w:r>
            <w:r/>
          </w:p>
          <w:p>
            <w:pPr>
              <w:pStyle w:val="1092"/>
              <w:rPr>
                <w:rFonts w:ascii="Times New Roman" w:hAnsi="Times New Roman"/>
                <w:sz w:val="24"/>
                <w:szCs w:val="24"/>
              </w:rPr>
            </w:pPr>
            <w:r>
              <w:rPr>
                <w:rFonts w:ascii="Times New Roman" w:hAnsi="Times New Roman"/>
                <w:sz w:val="24"/>
                <w:szCs w:val="24"/>
              </w:rPr>
              <w:t xml:space="preserve">□本项目__包为单一产品采购项目。</w:t>
            </w:r>
            <w:r>
              <w:rPr>
                <w:rFonts w:ascii="Times New Roman" w:hAnsi="Times New Roman"/>
                <w:sz w:val="24"/>
                <w:szCs w:val="24"/>
              </w:rPr>
            </w:r>
            <w:r/>
          </w:p>
          <w:p>
            <w:pPr>
              <w:pStyle w:val="1053"/>
              <w:jc w:val="left"/>
              <w:rPr>
                <w:b/>
                <w:color w:val="000000"/>
                <w:sz w:val="24"/>
              </w:rPr>
            </w:pPr>
            <w:r>
              <w:rPr>
                <w:b/>
                <w:color w:val="000000"/>
                <w:sz w:val="24"/>
              </w:rPr>
              <w:t xml:space="preserve">■</w:t>
            </w:r>
            <w:r>
              <w:rPr>
                <w:sz w:val="24"/>
              </w:rPr>
              <w:t xml:space="preserve">本项目</w:t>
            </w:r>
            <w:r>
              <w:rPr>
                <w:rFonts w:hint="eastAsia"/>
                <w:sz w:val="24"/>
                <w:u w:val="single"/>
                <w:lang w:val="en-US" w:eastAsia="zh-CN"/>
              </w:rPr>
              <w:t xml:space="preserve">001</w:t>
            </w:r>
            <w:r>
              <w:rPr>
                <w:sz w:val="24"/>
              </w:rPr>
              <w:t xml:space="preserve">包为非单一产品采购项目，核心产品为：</w:t>
            </w:r>
            <w:r>
              <w:rPr>
                <w:rFonts w:hint="eastAsia"/>
                <w:sz w:val="24"/>
                <w:u w:val="single"/>
              </w:rPr>
              <w:t xml:space="preserve">岸基水文水质监测站</w:t>
            </w:r>
            <w:r>
              <w:rPr>
                <w:rFonts w:hint="eastAsia"/>
                <w:sz w:val="24"/>
                <w:u w:val="single"/>
                <w:lang w:eastAsia="zh-CN"/>
              </w:rPr>
              <w:t xml:space="preserve">—低功耗多参数水质在线分析模块</w:t>
            </w:r>
            <w:r>
              <w:rPr>
                <w:sz w:val="24"/>
                <w:u w:val="single"/>
              </w:rPr>
              <w:t xml:space="preserve">。</w:t>
            </w:r>
            <w:r>
              <w:rPr>
                <w:b/>
                <w:color w:val="000000"/>
                <w:sz w:val="24"/>
              </w:rPr>
            </w:r>
            <w:r/>
          </w:p>
        </w:tc>
      </w:tr>
      <w:tr>
        <w:trPr>
          <w:trHeight w:val="20"/>
        </w:trPr>
        <w:tc>
          <w:tcPr>
            <w:tcW w:w="988" w:type="dxa"/>
            <w:vAlign w:val="center"/>
            <w:vMerge w:val="restart"/>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现场考察</w:t>
            </w:r>
            <w:r>
              <w:rPr>
                <w:sz w:val="24"/>
              </w:rPr>
            </w:r>
            <w:r/>
          </w:p>
        </w:tc>
        <w:tc>
          <w:tcPr>
            <w:tcW w:w="7540" w:type="dxa"/>
            <w:vAlign w:val="center"/>
            <w:textDirection w:val="lrTb"/>
            <w:noWrap w:val="false"/>
          </w:tcPr>
          <w:p>
            <w:pPr>
              <w:pStyle w:val="1053"/>
              <w:jc w:val="left"/>
              <w:rPr>
                <w:sz w:val="24"/>
              </w:rPr>
            </w:pPr>
            <w:r>
              <w:rPr>
                <w:b/>
                <w:color w:val="000000"/>
                <w:sz w:val="24"/>
              </w:rPr>
              <w:t xml:space="preserve">■</w:t>
            </w:r>
            <w:r>
              <w:rPr>
                <w:sz w:val="24"/>
              </w:rPr>
              <w:t xml:space="preserve">不组织</w:t>
            </w:r>
            <w:r>
              <w:rPr>
                <w:sz w:val="24"/>
              </w:rPr>
            </w:r>
            <w:r/>
          </w:p>
          <w:p>
            <w:pPr>
              <w:pStyle w:val="1053"/>
              <w:jc w:val="left"/>
              <w:rPr>
                <w:bCs/>
                <w:sz w:val="24"/>
              </w:rPr>
            </w:pPr>
            <w:r>
              <w:rPr>
                <w:sz w:val="24"/>
              </w:rPr>
              <w:t xml:space="preserve">□组织，考察时间：__年_月_日_</w:t>
            </w:r>
            <w:r>
              <w:rPr>
                <w:bCs/>
                <w:sz w:val="24"/>
              </w:rPr>
              <w:t xml:space="preserve">点</w:t>
            </w:r>
            <w:r>
              <w:rPr>
                <w:sz w:val="24"/>
              </w:rPr>
              <w:t xml:space="preserve">_</w:t>
            </w:r>
            <w:r>
              <w:rPr>
                <w:bCs/>
                <w:sz w:val="24"/>
              </w:rPr>
              <w:t xml:space="preserve">分</w:t>
            </w:r>
            <w:r>
              <w:rPr>
                <w:bCs/>
                <w:sz w:val="24"/>
              </w:rPr>
            </w:r>
            <w:r/>
          </w:p>
          <w:p>
            <w:pPr>
              <w:pStyle w:val="1092"/>
              <w:rPr>
                <w:rFonts w:ascii="Times New Roman" w:hAnsi="Times New Roman"/>
                <w:sz w:val="24"/>
                <w:szCs w:val="24"/>
              </w:rPr>
            </w:pPr>
            <w:r>
              <w:rPr>
                <w:rFonts w:ascii="Times New Roman" w:hAnsi="Times New Roman"/>
                <w:sz w:val="24"/>
              </w:rPr>
              <w:t xml:space="preserve">考察地点：____________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092"/>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开标前答疑会</w:t>
            </w:r>
            <w:r>
              <w:rPr>
                <w:sz w:val="24"/>
              </w:rPr>
            </w:r>
            <w:r/>
          </w:p>
        </w:tc>
        <w:tc>
          <w:tcPr>
            <w:tcW w:w="7540" w:type="dxa"/>
            <w:vAlign w:val="center"/>
            <w:textDirection w:val="lrTb"/>
            <w:noWrap w:val="false"/>
          </w:tcPr>
          <w:p>
            <w:pPr>
              <w:pStyle w:val="1053"/>
              <w:jc w:val="left"/>
              <w:rPr>
                <w:sz w:val="24"/>
              </w:rPr>
            </w:pPr>
            <w:r>
              <w:rPr>
                <w:b/>
                <w:color w:val="000000"/>
                <w:sz w:val="24"/>
              </w:rPr>
              <w:t xml:space="preserve">■</w:t>
            </w:r>
            <w:r>
              <w:rPr>
                <w:sz w:val="24"/>
              </w:rPr>
              <w:t xml:space="preserve">不召开</w:t>
            </w:r>
            <w:r>
              <w:rPr>
                <w:sz w:val="24"/>
              </w:rPr>
            </w:r>
            <w:r/>
          </w:p>
          <w:p>
            <w:pPr>
              <w:pStyle w:val="1053"/>
              <w:jc w:val="left"/>
              <w:rPr>
                <w:sz w:val="24"/>
              </w:rPr>
            </w:pPr>
            <w:r>
              <w:rPr>
                <w:sz w:val="24"/>
              </w:rPr>
              <w:t xml:space="preserve">□召开，召开时间：__年_月_日_</w:t>
            </w:r>
            <w:r>
              <w:rPr>
                <w:bCs/>
                <w:sz w:val="24"/>
              </w:rPr>
              <w:t xml:space="preserve">点</w:t>
            </w:r>
            <w:r>
              <w:rPr>
                <w:sz w:val="24"/>
              </w:rPr>
              <w:t xml:space="preserve">_</w:t>
            </w:r>
            <w:r>
              <w:rPr>
                <w:bCs/>
                <w:sz w:val="24"/>
              </w:rPr>
              <w:t xml:space="preserve">分</w:t>
            </w:r>
            <w:r>
              <w:rPr>
                <w:sz w:val="24"/>
              </w:rPr>
            </w:r>
            <w:r/>
          </w:p>
          <w:p>
            <w:pPr>
              <w:pStyle w:val="1053"/>
              <w:jc w:val="left"/>
              <w:rPr>
                <w:sz w:val="24"/>
              </w:rPr>
            </w:pP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4.1</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样品</w:t>
            </w:r>
            <w:r>
              <w:rPr>
                <w:sz w:val="24"/>
              </w:rPr>
            </w:r>
            <w:r/>
          </w:p>
        </w:tc>
        <w:tc>
          <w:tcPr>
            <w:tcW w:w="7540" w:type="dxa"/>
            <w:vAlign w:val="center"/>
            <w:textDirection w:val="lrTb"/>
            <w:noWrap w:val="false"/>
          </w:tcPr>
          <w:p>
            <w:pPr>
              <w:pStyle w:val="1053"/>
              <w:jc w:val="left"/>
              <w:rPr>
                <w:sz w:val="24"/>
              </w:rPr>
            </w:pPr>
            <w:r>
              <w:rPr>
                <w:sz w:val="24"/>
              </w:rPr>
              <w:t xml:space="preserve">投标样品递交：</w:t>
            </w:r>
            <w:r>
              <w:rPr>
                <w:sz w:val="24"/>
              </w:rPr>
            </w:r>
            <w:r/>
          </w:p>
          <w:p>
            <w:pPr>
              <w:pStyle w:val="1053"/>
              <w:jc w:val="left"/>
              <w:rPr>
                <w:sz w:val="24"/>
              </w:rPr>
            </w:pPr>
            <w:r>
              <w:rPr>
                <w:sz w:val="24"/>
              </w:rPr>
              <w:t xml:space="preserve">不需要</w:t>
            </w:r>
            <w:r>
              <w:rPr>
                <w:sz w:val="24"/>
              </w:rPr>
            </w:r>
            <w:r/>
          </w:p>
        </w:tc>
      </w:tr>
      <w:tr>
        <w:trPr>
          <w:trHeight w:val="780"/>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5.2.5</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标的所属行业</w:t>
            </w:r>
            <w:r>
              <w:rPr>
                <w:sz w:val="24"/>
              </w:rPr>
            </w:r>
            <w:r/>
          </w:p>
        </w:tc>
        <w:tc>
          <w:tcPr>
            <w:tcW w:w="7540" w:type="dxa"/>
            <w:vAlign w:val="center"/>
            <w:textDirection w:val="lrTb"/>
            <w:noWrap w:val="false"/>
          </w:tcPr>
          <w:p>
            <w:pPr>
              <w:pStyle w:val="1053"/>
              <w:jc w:val="left"/>
              <w:rPr>
                <w:sz w:val="24"/>
              </w:rPr>
            </w:pPr>
            <w:r>
              <w:rPr>
                <w:sz w:val="24"/>
              </w:rPr>
              <w:t xml:space="preserve">本项目采购标的对应的中小企业划分标准所属行业：</w:t>
            </w:r>
            <w:r>
              <w:rPr>
                <w:sz w:val="24"/>
                <w:u w:val="single"/>
              </w:rPr>
              <w:t xml:space="preserve">其他未列明行业</w:t>
            </w:r>
            <w:r>
              <w:rPr>
                <w:sz w:val="24"/>
              </w:rPr>
            </w:r>
            <w:r/>
          </w:p>
        </w:tc>
      </w:tr>
      <w:tr>
        <w:trPr>
          <w:trHeight w:val="1020"/>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1053"/>
              <w:jc w:val="left"/>
              <w:rPr>
                <w:sz w:val="24"/>
              </w:rPr>
            </w:pPr>
            <w:r>
              <w:rPr>
                <w:rFonts w:hint="eastAsia"/>
                <w:sz w:val="24"/>
              </w:rPr>
              <w:t xml:space="preserve">投标报价的特殊规定：</w:t>
            </w:r>
            <w:r>
              <w:rPr>
                <w:sz w:val="24"/>
              </w:rPr>
            </w:r>
            <w:r/>
          </w:p>
          <w:p>
            <w:pPr>
              <w:pStyle w:val="1053"/>
              <w:jc w:val="left"/>
              <w:rPr>
                <w:sz w:val="24"/>
              </w:rPr>
            </w:pPr>
            <w:r>
              <w:rPr>
                <w:b/>
                <w:color w:val="000000"/>
                <w:sz w:val="24"/>
              </w:rPr>
              <w:t xml:space="preserve">■</w:t>
            </w:r>
            <w:r>
              <w:rPr>
                <w:sz w:val="24"/>
              </w:rPr>
              <w:t xml:space="preserve">无</w:t>
            </w:r>
            <w:r>
              <w:rPr>
                <w:sz w:val="24"/>
              </w:rPr>
            </w:r>
            <w:r/>
          </w:p>
          <w:p>
            <w:pPr>
              <w:pStyle w:val="1053"/>
              <w:jc w:val="left"/>
              <w:rPr>
                <w:sz w:val="24"/>
              </w:rPr>
            </w:pPr>
            <w:r>
              <w:rPr>
                <w:sz w:val="24"/>
              </w:rPr>
              <w:t xml:space="preserve">□有，具体情形：_____。</w:t>
            </w:r>
            <w:r>
              <w:rPr>
                <w:sz w:val="24"/>
              </w:rPr>
            </w:r>
            <w:r/>
          </w:p>
        </w:tc>
      </w:tr>
      <w:tr>
        <w:trPr>
          <w:trHeight w:val="536"/>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1053"/>
              <w:jc w:val="left"/>
              <w:rPr>
                <w:sz w:val="24"/>
              </w:rPr>
            </w:pPr>
            <w:r>
              <w:rPr>
                <w:rFonts w:hint="eastAsia"/>
                <w:sz w:val="24"/>
              </w:rPr>
              <w:t xml:space="preserve">免收</w:t>
            </w:r>
            <w:r>
              <w:rPr>
                <w:sz w:val="24"/>
              </w:rPr>
            </w:r>
            <w:r/>
          </w:p>
        </w:tc>
      </w:tr>
      <w:tr>
        <w:trPr>
          <w:trHeight w:val="737"/>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13.1</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投标有效期</w:t>
            </w:r>
            <w:r>
              <w:rPr>
                <w:sz w:val="24"/>
              </w:rPr>
            </w:r>
            <w:r/>
          </w:p>
        </w:tc>
        <w:tc>
          <w:tcPr>
            <w:tcW w:w="7540" w:type="dxa"/>
            <w:vAlign w:val="center"/>
            <w:textDirection w:val="lrTb"/>
            <w:noWrap w:val="false"/>
          </w:tcPr>
          <w:p>
            <w:pPr>
              <w:pStyle w:val="1053"/>
              <w:jc w:val="left"/>
              <w:rPr>
                <w:sz w:val="24"/>
              </w:rPr>
            </w:pPr>
            <w:r>
              <w:rPr>
                <w:sz w:val="24"/>
              </w:rPr>
              <w:t xml:space="preserve">自提交投标文件的截止之日起算</w:t>
            </w:r>
            <w:r>
              <w:rPr>
                <w:rFonts w:hint="eastAsia"/>
                <w:sz w:val="24"/>
                <w:u w:val="single"/>
              </w:rPr>
              <w:t xml:space="preserve">  60  </w:t>
            </w:r>
            <w:r>
              <w:rPr>
                <w:sz w:val="24"/>
              </w:rPr>
              <w:t xml:space="preserve">日历天。</w:t>
            </w:r>
            <w:r>
              <w:rPr>
                <w:sz w:val="24"/>
              </w:rPr>
            </w:r>
            <w:r/>
          </w:p>
        </w:tc>
      </w:tr>
      <w:tr>
        <w:trPr>
          <w:trHeight w:val="490"/>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25.5</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分包</w:t>
            </w:r>
            <w:r>
              <w:rPr>
                <w:sz w:val="24"/>
              </w:rPr>
            </w:r>
            <w:r/>
          </w:p>
        </w:tc>
        <w:tc>
          <w:tcPr>
            <w:tcW w:w="7540" w:type="dxa"/>
            <w:vAlign w:val="center"/>
            <w:textDirection w:val="lrTb"/>
            <w:noWrap w:val="false"/>
          </w:tcPr>
          <w:p>
            <w:pPr>
              <w:pStyle w:val="1053"/>
              <w:jc w:val="left"/>
              <w:rPr>
                <w:sz w:val="24"/>
              </w:rPr>
            </w:pPr>
            <w:r>
              <w:rPr>
                <w:sz w:val="24"/>
              </w:rPr>
              <w:t xml:space="preserve">本项目的非主体、非关键性工作是否允许分包： </w:t>
            </w:r>
            <w:r>
              <w:rPr>
                <w:sz w:val="24"/>
              </w:rPr>
            </w:r>
            <w:r/>
          </w:p>
          <w:p>
            <w:pPr>
              <w:pStyle w:val="1053"/>
              <w:jc w:val="left"/>
              <w:rPr>
                <w:sz w:val="24"/>
              </w:rPr>
            </w:pPr>
            <w:r>
              <w:rPr>
                <w:b/>
                <w:color w:val="000000"/>
                <w:sz w:val="24"/>
              </w:rPr>
              <w:t xml:space="preserve">■</w:t>
            </w:r>
            <w:r>
              <w:rPr>
                <w:sz w:val="24"/>
              </w:rPr>
              <w:t xml:space="preserve">不允许</w:t>
            </w:r>
            <w:r>
              <w:rPr>
                <w:sz w:val="24"/>
              </w:rPr>
            </w:r>
            <w:r/>
          </w:p>
          <w:p>
            <w:pPr>
              <w:pStyle w:val="1053"/>
              <w:jc w:val="left"/>
              <w:rPr>
                <w:sz w:val="24"/>
              </w:rPr>
            </w:pPr>
            <w:r>
              <w:rPr>
                <w:sz w:val="24"/>
              </w:rPr>
              <w:t xml:space="preserve">□允许，具体要求：</w:t>
            </w:r>
            <w:r>
              <w:rPr>
                <w:sz w:val="24"/>
              </w:rPr>
            </w:r>
            <w:r/>
          </w:p>
          <w:p>
            <w:pPr>
              <w:pStyle w:val="1053"/>
              <w:jc w:val="left"/>
              <w:rPr>
                <w:sz w:val="24"/>
              </w:rPr>
            </w:pPr>
            <w:r>
              <w:rPr>
                <w:sz w:val="24"/>
              </w:rPr>
              <w:t xml:space="preserve">（1）可以分包履行的具体内容：_____；</w:t>
            </w:r>
            <w:r>
              <w:rPr>
                <w:sz w:val="24"/>
              </w:rPr>
            </w:r>
            <w:r/>
          </w:p>
          <w:p>
            <w:pPr>
              <w:pStyle w:val="1053"/>
              <w:jc w:val="left"/>
              <w:rPr>
                <w:sz w:val="24"/>
              </w:rPr>
            </w:pPr>
            <w:r>
              <w:rPr>
                <w:sz w:val="24"/>
              </w:rPr>
              <w:t xml:space="preserve">（2）允许分包的金额或者比例：_____；</w:t>
            </w:r>
            <w:r>
              <w:rPr>
                <w:sz w:val="24"/>
              </w:rPr>
            </w:r>
            <w:r/>
          </w:p>
          <w:p>
            <w:pPr>
              <w:pStyle w:val="1053"/>
              <w:jc w:val="left"/>
              <w:rPr>
                <w:sz w:val="24"/>
              </w:rPr>
            </w:pPr>
            <w:r>
              <w:rPr>
                <w:sz w:val="24"/>
              </w:rPr>
              <w:t xml:space="preserve">（3）其他要求：_____。</w:t>
            </w:r>
            <w:r>
              <w:rPr>
                <w:sz w:val="24"/>
              </w:rPr>
            </w:r>
            <w:r/>
          </w:p>
        </w:tc>
      </w:tr>
      <w:tr>
        <w:trPr>
          <w:trHeight w:val="754"/>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26.1.1</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询问</w:t>
            </w:r>
            <w:r>
              <w:rPr>
                <w:sz w:val="24"/>
              </w:rPr>
            </w:r>
            <w:r/>
          </w:p>
        </w:tc>
        <w:tc>
          <w:tcPr>
            <w:tcW w:w="7540" w:type="dxa"/>
            <w:vAlign w:val="center"/>
            <w:textDirection w:val="lrTb"/>
            <w:noWrap w:val="false"/>
          </w:tcPr>
          <w:p>
            <w:pPr>
              <w:pStyle w:val="1053"/>
              <w:jc w:val="left"/>
              <w:rPr>
                <w:sz w:val="24"/>
              </w:rPr>
            </w:pPr>
            <w:r>
              <w:rPr>
                <w:sz w:val="24"/>
              </w:rPr>
              <w:t xml:space="preserve">询问送达形式：</w:t>
            </w:r>
            <w:r>
              <w:rPr>
                <w:sz w:val="24"/>
                <w:u w:val="single"/>
              </w:rPr>
              <w:t xml:space="preserve">书面形式</w:t>
            </w:r>
            <w:r>
              <w:rPr>
                <w:sz w:val="24"/>
              </w:rPr>
            </w:r>
            <w:r/>
          </w:p>
        </w:tc>
      </w:tr>
      <w:tr>
        <w:trPr>
          <w:trHeight w:val="1535"/>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26.3</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联系方式</w:t>
            </w:r>
            <w:r>
              <w:rPr>
                <w:sz w:val="24"/>
              </w:rPr>
            </w:r>
            <w:r/>
          </w:p>
        </w:tc>
        <w:tc>
          <w:tcPr>
            <w:tcW w:w="7540" w:type="dxa"/>
            <w:vAlign w:val="center"/>
            <w:textDirection w:val="lrTb"/>
            <w:noWrap w:val="false"/>
          </w:tcPr>
          <w:p>
            <w:pPr>
              <w:pStyle w:val="1053"/>
              <w:jc w:val="left"/>
              <w:rPr>
                <w:sz w:val="24"/>
              </w:rPr>
            </w:pPr>
            <w:r>
              <w:rPr>
                <w:sz w:val="24"/>
              </w:rPr>
              <w:t xml:space="preserve">接收询问和质疑的联系方式</w:t>
            </w:r>
            <w:r>
              <w:rPr>
                <w:sz w:val="24"/>
              </w:rPr>
            </w:r>
            <w:r/>
          </w:p>
          <w:p>
            <w:pPr>
              <w:pStyle w:val="1053"/>
              <w:jc w:val="left"/>
              <w:rPr>
                <w:sz w:val="24"/>
              </w:rPr>
            </w:pPr>
            <w:r>
              <w:rPr>
                <w:sz w:val="24"/>
              </w:rPr>
              <w:t xml:space="preserve">联系部门：</w:t>
            </w:r>
            <w:r>
              <w:rPr>
                <w:rFonts w:hint="eastAsia"/>
                <w:sz w:val="24"/>
                <w:u w:val="single"/>
                <w:lang w:bidi="ar"/>
              </w:rPr>
              <w:t xml:space="preserve">江苏大成恒睿土地房地产资产评估咨询有限公司招投标室    </w:t>
            </w:r>
            <w:r>
              <w:rPr>
                <w:sz w:val="24"/>
              </w:rPr>
              <w:t xml:space="preserve">；</w:t>
            </w:r>
            <w:r>
              <w:rPr>
                <w:sz w:val="24"/>
              </w:rPr>
            </w:r>
            <w:r/>
          </w:p>
          <w:p>
            <w:pPr>
              <w:pStyle w:val="1053"/>
              <w:jc w:val="left"/>
              <w:rPr>
                <w:sz w:val="24"/>
              </w:rPr>
            </w:pPr>
            <w:r>
              <w:rPr>
                <w:sz w:val="24"/>
              </w:rPr>
              <w:t xml:space="preserve">联系电话：</w:t>
            </w:r>
            <w:r>
              <w:rPr>
                <w:sz w:val="24"/>
                <w:u w:val="single"/>
                <w:lang w:bidi="ar"/>
              </w:rPr>
              <w:t xml:space="preserve">0519-87630906</w:t>
            </w:r>
            <w:r>
              <w:rPr>
                <w:sz w:val="24"/>
              </w:rPr>
              <w:t xml:space="preserve">；</w:t>
            </w:r>
            <w:r>
              <w:rPr>
                <w:sz w:val="24"/>
              </w:rPr>
            </w:r>
            <w:r/>
          </w:p>
          <w:p>
            <w:pPr>
              <w:pStyle w:val="1053"/>
              <w:jc w:val="left"/>
              <w:rPr>
                <w:sz w:val="24"/>
              </w:rPr>
            </w:pPr>
            <w:r>
              <w:rPr>
                <w:sz w:val="24"/>
              </w:rPr>
              <w:t xml:space="preserve">通讯地址：</w:t>
            </w:r>
            <w:r>
              <w:rPr>
                <w:rFonts w:hint="eastAsia"/>
                <w:sz w:val="24"/>
                <w:u w:val="single"/>
                <w:lang w:bidi="ar"/>
              </w:rPr>
              <w:t xml:space="preserve">溧阳市天目湖镇工业园区溪缘路</w:t>
            </w:r>
            <w:r>
              <w:rPr>
                <w:sz w:val="24"/>
                <w:u w:val="single"/>
                <w:lang w:bidi="ar"/>
              </w:rPr>
              <w:t xml:space="preserve">1-8</w:t>
            </w:r>
            <w:r>
              <w:rPr>
                <w:rFonts w:hint="eastAsia"/>
                <w:sz w:val="24"/>
                <w:u w:val="single"/>
                <w:lang w:bidi="ar"/>
              </w:rPr>
              <w:t xml:space="preserve">号</w:t>
            </w:r>
            <w:r>
              <w:rPr>
                <w:sz w:val="24"/>
                <w:u w:val="single"/>
                <w:lang w:bidi="ar"/>
              </w:rPr>
              <w:t xml:space="preserve">3</w:t>
            </w:r>
            <w:r>
              <w:rPr>
                <w:rFonts w:hint="eastAsia"/>
                <w:sz w:val="24"/>
                <w:u w:val="single"/>
                <w:lang w:bidi="ar"/>
              </w:rPr>
              <w:t xml:space="preserve">幢</w:t>
            </w:r>
            <w:r>
              <w:rPr>
                <w:sz w:val="24"/>
                <w:u w:val="single"/>
                <w:lang w:bidi="ar"/>
              </w:rPr>
              <w:t xml:space="preserve">3</w:t>
            </w:r>
            <w:r>
              <w:rPr>
                <w:rFonts w:hint="eastAsia"/>
                <w:sz w:val="24"/>
                <w:u w:val="single"/>
                <w:lang w:bidi="ar"/>
              </w:rPr>
              <w:t xml:space="preserve">楼</w:t>
            </w:r>
            <w:r>
              <w:rPr>
                <w:sz w:val="24"/>
              </w:rPr>
              <w:t xml:space="preserve">。</w:t>
            </w:r>
            <w:r>
              <w:rPr>
                <w:sz w:val="24"/>
              </w:rPr>
            </w:r>
            <w:r/>
          </w:p>
        </w:tc>
      </w:tr>
      <w:tr>
        <w:trPr>
          <w:trHeight w:val="1535"/>
        </w:trPr>
        <w:tc>
          <w:tcPr>
            <w:tcW w:w="988" w:type="dxa"/>
            <w:vAlign w:val="center"/>
            <w:textDirection w:val="lrTb"/>
            <w:noWrap w:val="false"/>
          </w:tcPr>
          <w:p>
            <w:pPr>
              <w:pStyle w:val="1092"/>
              <w:jc w:val="center"/>
              <w:rPr>
                <w:rFonts w:ascii="Times New Roman" w:hAnsi="Times New Roman"/>
                <w:sz w:val="24"/>
                <w:szCs w:val="24"/>
              </w:rPr>
            </w:pPr>
            <w:r>
              <w:rPr>
                <w:rFonts w:ascii="Times New Roman" w:hAnsi="Times New Roman"/>
                <w:sz w:val="24"/>
                <w:szCs w:val="24"/>
              </w:rPr>
              <w:t xml:space="preserve">27</w:t>
            </w:r>
            <w:r>
              <w:rPr>
                <w:rFonts w:ascii="Times New Roman" w:hAnsi="Times New Roman"/>
                <w:sz w:val="24"/>
                <w:szCs w:val="24"/>
              </w:rPr>
            </w:r>
            <w:r/>
          </w:p>
        </w:tc>
        <w:tc>
          <w:tcPr>
            <w:tcW w:w="1701" w:type="dxa"/>
            <w:vAlign w:val="center"/>
            <w:textDirection w:val="lrTb"/>
            <w:noWrap w:val="false"/>
          </w:tcPr>
          <w:p>
            <w:pPr>
              <w:pStyle w:val="1053"/>
              <w:jc w:val="center"/>
              <w:rPr>
                <w:sz w:val="24"/>
              </w:rPr>
            </w:pPr>
            <w:r>
              <w:rPr>
                <w:sz w:val="24"/>
              </w:rPr>
              <w:t xml:space="preserve">代理费</w:t>
            </w:r>
            <w:r>
              <w:rPr>
                <w:sz w:val="24"/>
              </w:rPr>
            </w:r>
            <w:r/>
          </w:p>
        </w:tc>
        <w:tc>
          <w:tcPr>
            <w:tcW w:w="7540" w:type="dxa"/>
            <w:vAlign w:val="center"/>
            <w:textDirection w:val="lrTb"/>
            <w:noWrap w:val="false"/>
          </w:tcPr>
          <w:p>
            <w:pPr>
              <w:pStyle w:val="1053"/>
              <w:jc w:val="left"/>
              <w:rPr>
                <w:sz w:val="24"/>
              </w:rPr>
            </w:pPr>
            <w:r>
              <w:rPr>
                <w:sz w:val="24"/>
              </w:rPr>
              <w:t xml:space="preserve">收费对象：</w:t>
            </w:r>
            <w:r>
              <w:rPr>
                <w:sz w:val="24"/>
              </w:rPr>
            </w:r>
            <w:r/>
          </w:p>
          <w:p>
            <w:pPr>
              <w:pStyle w:val="1053"/>
              <w:jc w:val="left"/>
              <w:rPr>
                <w:sz w:val="24"/>
              </w:rPr>
            </w:pPr>
            <w:r>
              <w:rPr>
                <w:sz w:val="24"/>
              </w:rPr>
              <w:t xml:space="preserve">□采购人</w:t>
            </w:r>
            <w:r>
              <w:rPr>
                <w:sz w:val="24"/>
              </w:rPr>
            </w:r>
            <w:r/>
          </w:p>
          <w:p>
            <w:pPr>
              <w:pStyle w:val="1053"/>
              <w:jc w:val="left"/>
              <w:rPr>
                <w:sz w:val="24"/>
              </w:rPr>
            </w:pPr>
            <w:r>
              <w:rPr>
                <w:sz w:val="24"/>
              </w:rPr>
              <w:t xml:space="preserve">■中标人</w:t>
            </w:r>
            <w:r>
              <w:rPr>
                <w:sz w:val="24"/>
              </w:rPr>
            </w:r>
            <w:r/>
          </w:p>
          <w:p>
            <w:pPr>
              <w:pStyle w:val="1053"/>
              <w:jc w:val="left"/>
              <w:widowControl/>
              <w:rPr>
                <w:sz w:val="24"/>
              </w:rPr>
            </w:pPr>
            <w:r>
              <w:rPr>
                <w:rFonts w:hint="eastAsia" w:cs="宋体"/>
                <w:sz w:val="24"/>
                <w:lang w:bidi="ar"/>
              </w:rPr>
              <w:t xml:space="preserve">收费标准：</w:t>
            </w:r>
            <w:r>
              <w:rPr>
                <w:rFonts w:hint="eastAsia" w:cs="宋体"/>
                <w:sz w:val="24"/>
                <w:u w:val="single"/>
                <w:lang w:bidi="ar"/>
              </w:rPr>
              <w:t xml:space="preserve">按苏政采协【2024】20号</w:t>
            </w:r>
            <w:r>
              <w:rPr>
                <w:rFonts w:hint="eastAsia" w:cs="宋体"/>
                <w:sz w:val="24"/>
                <w:u w:val="single"/>
                <w:lang w:val="en-US" w:eastAsia="zh-CN" w:bidi="ar"/>
              </w:rPr>
              <w:t xml:space="preserve">及</w:t>
            </w:r>
            <w:r>
              <w:rPr>
                <w:rFonts w:hint="eastAsia" w:cs="宋体"/>
                <w:sz w:val="24"/>
                <w:u w:val="single"/>
                <w:lang w:bidi="ar"/>
              </w:rPr>
              <w:t xml:space="preserve">苏价服【2014】383号计取；</w:t>
            </w:r>
            <w:r>
              <w:rPr>
                <w:sz w:val="24"/>
              </w:rPr>
            </w:r>
            <w:r/>
          </w:p>
          <w:p>
            <w:pPr>
              <w:pStyle w:val="1053"/>
              <w:jc w:val="left"/>
              <w:rPr>
                <w:sz w:val="24"/>
              </w:rPr>
            </w:pPr>
            <w:r>
              <w:rPr>
                <w:rFonts w:hint="eastAsia"/>
                <w:sz w:val="24"/>
                <w:lang w:bidi="ar"/>
              </w:rPr>
              <w:t xml:space="preserve">缴纳时间：</w:t>
            </w:r>
            <w:r>
              <w:rPr>
                <w:rFonts w:hint="eastAsia"/>
                <w:sz w:val="24"/>
                <w:u w:val="single"/>
                <w:lang w:bidi="ar"/>
              </w:rPr>
              <w:t xml:space="preserve">领取成交通知书的同时</w:t>
            </w:r>
            <w:r>
              <w:rPr>
                <w:rFonts w:hint="eastAsia"/>
                <w:sz w:val="24"/>
                <w:lang w:bidi="ar"/>
              </w:rPr>
              <w:t xml:space="preserve">。</w:t>
            </w:r>
            <w:r>
              <w:rPr>
                <w:sz w:val="24"/>
              </w:rPr>
            </w:r>
            <w:r/>
          </w:p>
        </w:tc>
      </w:tr>
    </w:tbl>
    <w:p>
      <w:pPr>
        <w:pStyle w:val="1053"/>
        <w:jc w:val="center"/>
        <w:spacing w:before="240" w:after="240"/>
        <w:rPr>
          <w:b/>
          <w:sz w:val="28"/>
          <w:szCs w:val="28"/>
        </w:rPr>
      </w:pPr>
      <w:r>
        <w:br w:type="page" w:clear="all"/>
      </w:r>
      <w:bookmarkStart w:id="71" w:name="_Toc150774722"/>
      <w:r/>
      <w:bookmarkStart w:id="72" w:name="_Toc142311019"/>
      <w:r/>
      <w:bookmarkStart w:id="73" w:name="_Toc195842882"/>
      <w:r/>
      <w:bookmarkStart w:id="74" w:name="_Toc127151517"/>
      <w:r/>
      <w:bookmarkStart w:id="75" w:name="_Toc353873662"/>
      <w:r/>
      <w:bookmarkStart w:id="76" w:name="_Toc305158785"/>
      <w:r/>
      <w:bookmarkStart w:id="77" w:name="_Toc305158859"/>
      <w:r/>
      <w:bookmarkStart w:id="78" w:name="_Toc226965790"/>
      <w:r/>
      <w:bookmarkStart w:id="79" w:name="_Toc353873932"/>
      <w:r/>
      <w:bookmarkStart w:id="80" w:name="_Toc264969207"/>
      <w:r/>
      <w:bookmarkStart w:id="81" w:name="_Toc226337213"/>
      <w:r/>
      <w:bookmarkStart w:id="82" w:name="_Toc353825542"/>
      <w:r/>
      <w:bookmarkStart w:id="83" w:name="_Toc150480755"/>
      <w:r/>
      <w:bookmarkStart w:id="84" w:name="_Toc265228355"/>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1055"/>
        <w:jc w:val="left"/>
        <w:spacing w:before="0" w:line="360" w:lineRule="auto"/>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151193832"/>
      <w:r/>
      <w:bookmarkStart w:id="88" w:name="_Toc150774723"/>
      <w:r/>
      <w:bookmarkStart w:id="89" w:name="_Toc226965791"/>
      <w:r/>
      <w:bookmarkStart w:id="90" w:name="_Toc151193616"/>
      <w:r/>
      <w:bookmarkStart w:id="91" w:name="_Toc151193760"/>
      <w:r/>
      <w:bookmarkStart w:id="92" w:name="_Toc305158786"/>
      <w:r/>
      <w:bookmarkStart w:id="93" w:name="_Toc264969208"/>
      <w:r/>
      <w:bookmarkStart w:id="94" w:name="_Toc195842883"/>
      <w:r/>
      <w:bookmarkStart w:id="95" w:name="_Toc226337214"/>
      <w:r/>
      <w:bookmarkStart w:id="96" w:name="_Toc305158860"/>
      <w:r/>
      <w:bookmarkStart w:id="97" w:name="_Toc151190145"/>
      <w:r/>
      <w:bookmarkStart w:id="98" w:name="_Toc142311020"/>
      <w:r/>
      <w:bookmarkStart w:id="99" w:name="_Toc226309762"/>
      <w:r/>
      <w:bookmarkStart w:id="100" w:name="_Toc150509269"/>
      <w:r/>
      <w:bookmarkStart w:id="101" w:name="_Toc151193688"/>
      <w:r/>
      <w:bookmarkStart w:id="102" w:name="_Toc150480756"/>
      <w:r/>
      <w:bookmarkStart w:id="103" w:name="_Toc226965708"/>
      <w:r/>
      <w:bookmarkStart w:id="104" w:name="_Toc265228356"/>
      <w:r/>
      <w:bookmarkStart w:id="105" w:name="_Toc151193906"/>
      <w:r/>
      <w:bookmarkStart w:id="106" w:name="_Toc150774618"/>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1053"/>
        <w:numPr>
          <w:ilvl w:val="0"/>
          <w:numId w:val="8"/>
        </w:numPr>
        <w:ind w:left="357" w:hanging="357"/>
        <w:spacing w:line="360" w:lineRule="auto"/>
        <w:tabs>
          <w:tab w:val="left" w:pos="360" w:leader="none"/>
        </w:tabs>
        <w:rPr>
          <w:sz w:val="24"/>
        </w:rPr>
        <w:outlineLvl w:val="1"/>
      </w:pPr>
      <w:r/>
      <w:bookmarkStart w:id="107" w:name="_Toc265228357"/>
      <w:r/>
      <w:bookmarkStart w:id="108" w:name="_Toc305158787"/>
      <w:r/>
      <w:bookmarkStart w:id="109" w:name="_Toc305158861"/>
      <w:r/>
      <w:bookmarkStart w:id="110" w:name="_Toc264969209"/>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1053"/>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1053"/>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53"/>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53"/>
        <w:numPr>
          <w:ilvl w:val="0"/>
          <w:numId w:val="8"/>
        </w:numPr>
        <w:ind w:left="357" w:hanging="357"/>
        <w:spacing w:line="360" w:lineRule="auto"/>
        <w:tabs>
          <w:tab w:val="left" w:pos="360" w:leader="none"/>
        </w:tabs>
        <w:rPr>
          <w:sz w:val="24"/>
        </w:rPr>
        <w:outlineLvl w:val="1"/>
      </w:pPr>
      <w:r/>
      <w:bookmarkStart w:id="111" w:name="_Toc151193908"/>
      <w:r/>
      <w:bookmarkStart w:id="112" w:name="_Toc150774620"/>
      <w:r/>
      <w:bookmarkStart w:id="113" w:name="_Toc264969210"/>
      <w:r/>
      <w:bookmarkStart w:id="114" w:name="_Toc305158788"/>
      <w:r/>
      <w:bookmarkStart w:id="115" w:name="_Toc151190147"/>
      <w:r/>
      <w:bookmarkStart w:id="116" w:name="_Toc164229361"/>
      <w:r/>
      <w:bookmarkStart w:id="117" w:name="_Toc164351614"/>
      <w:r/>
      <w:bookmarkStart w:id="118" w:name="_Toc265228358"/>
      <w:r/>
      <w:bookmarkStart w:id="119" w:name="_Toc151193762"/>
      <w:r/>
      <w:bookmarkStart w:id="120" w:name="_Toc150509271"/>
      <w:r/>
      <w:bookmarkStart w:id="121" w:name="_Toc195842885"/>
      <w:r/>
      <w:bookmarkStart w:id="122" w:name="_Toc151193618"/>
      <w:r/>
      <w:bookmarkStart w:id="123" w:name="_Toc151193834"/>
      <w:r/>
      <w:bookmarkStart w:id="124" w:name="_Toc226309764"/>
      <w:r/>
      <w:bookmarkStart w:id="125" w:name="_Toc226965793"/>
      <w:r/>
      <w:bookmarkStart w:id="126" w:name="_Toc149720813"/>
      <w:r/>
      <w:bookmarkStart w:id="127" w:name="_Toc127151721"/>
      <w:r/>
      <w:bookmarkStart w:id="128" w:name="_Toc150774725"/>
      <w:r/>
      <w:bookmarkStart w:id="129" w:name="_Toc151193690"/>
      <w:r/>
      <w:bookmarkStart w:id="130" w:name="_Toc142311022"/>
      <w:r/>
      <w:bookmarkStart w:id="131" w:name="_Toc226965710"/>
      <w:r/>
      <w:bookmarkStart w:id="132" w:name="_Toc305158862"/>
      <w:r/>
      <w:bookmarkStart w:id="133" w:name="_Toc127151520"/>
      <w:r/>
      <w:bookmarkStart w:id="134" w:name="_Toc127161434"/>
      <w:r/>
      <w:bookmarkStart w:id="135" w:name="_Toc226337216"/>
      <w:r/>
      <w:bookmarkStart w:id="136" w:name="_Toc164608634"/>
      <w:r/>
      <w:bookmarkStart w:id="137" w:name="_Toc164229215"/>
      <w:r/>
      <w:bookmarkStart w:id="138" w:name="_Toc164608789"/>
      <w:r/>
      <w:bookmarkStart w:id="139" w:name="_Toc150480758"/>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53"/>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95842887"/>
      <w:r/>
      <w:bookmarkStart w:id="141" w:name="_Toc127151522"/>
      <w:r/>
      <w:bookmarkStart w:id="142" w:name="_Toc264969212"/>
      <w:r/>
      <w:bookmarkStart w:id="143" w:name="_Toc226309766"/>
      <w:r/>
      <w:bookmarkStart w:id="144" w:name="_Toc150480760"/>
      <w:r/>
      <w:bookmarkStart w:id="145" w:name="_Toc151193836"/>
      <w:r/>
      <w:bookmarkStart w:id="146" w:name="_Toc265228360"/>
      <w:r/>
      <w:bookmarkStart w:id="147" w:name="_Toc520356146"/>
      <w:r/>
      <w:bookmarkStart w:id="148" w:name="_Toc305158864"/>
      <w:r/>
      <w:bookmarkStart w:id="149" w:name="_Toc305158790"/>
      <w:r/>
      <w:bookmarkStart w:id="150" w:name="_Toc151193910"/>
      <w:r/>
      <w:bookmarkStart w:id="151" w:name="_Toc226337218"/>
      <w:r/>
      <w:bookmarkStart w:id="152" w:name="_Toc151190149"/>
      <w:r/>
      <w:bookmarkStart w:id="153" w:name="_Toc151193620"/>
      <w:r/>
      <w:bookmarkStart w:id="154" w:name="_Toc226965712"/>
      <w:r/>
      <w:bookmarkStart w:id="155" w:name="_Toc151193764"/>
      <w:r/>
      <w:bookmarkStart w:id="156" w:name="_Toc226965795"/>
      <w:r/>
      <w:bookmarkStart w:id="157" w:name="_Toc151193692"/>
      <w:r/>
      <w:bookmarkStart w:id="158" w:name="_Toc142311024"/>
      <w:r/>
      <w:bookmarkStart w:id="159" w:name="_Toc150774727"/>
      <w:r/>
      <w:bookmarkStart w:id="160" w:name="_Toc150774622"/>
      <w:r/>
      <w:bookmarkStart w:id="161" w:name="_Toc150509273"/>
      <w:r>
        <w:rPr>
          <w:sz w:val="28"/>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53"/>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53"/>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53"/>
        <w:numPr>
          <w:ilvl w:val="2"/>
          <w:numId w:val="8"/>
        </w:numPr>
        <w:spacing w:line="360" w:lineRule="auto"/>
        <w:tabs>
          <w:tab w:val="left" w:pos="1980" w:leader="none"/>
        </w:tabs>
        <w:rPr>
          <w:sz w:val="24"/>
        </w:rPr>
      </w:pPr>
      <w:r>
        <w:rPr>
          <w:sz w:val="24"/>
        </w:rPr>
        <w:t xml:space="preserve">中小企业定义：</w:t>
      </w:r>
      <w:r>
        <w:rPr>
          <w:sz w:val="24"/>
        </w:rPr>
      </w:r>
      <w:r/>
    </w:p>
    <w:p>
      <w:pPr>
        <w:pStyle w:val="114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053"/>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53"/>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53"/>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053"/>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53"/>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14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053"/>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53"/>
        <w:numPr>
          <w:ilvl w:val="2"/>
          <w:numId w:val="8"/>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1053"/>
        <w:numPr>
          <w:ilvl w:val="2"/>
          <w:numId w:val="8"/>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53"/>
        <w:numPr>
          <w:ilvl w:val="2"/>
          <w:numId w:val="8"/>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53"/>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53"/>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53"/>
        <w:numPr>
          <w:ilvl w:val="2"/>
          <w:numId w:val="8"/>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53"/>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53"/>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53"/>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53"/>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53"/>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1053"/>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rPr>
          <w:rFonts w:hint="eastAsia"/>
          <w:sz w:val="24"/>
        </w:rPr>
      </w:r>
      <w:r/>
    </w:p>
    <w:p>
      <w:pPr>
        <w:pStyle w:val="1053"/>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53"/>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053"/>
        <w:ind w:firstLine="600"/>
        <w:spacing w:line="480" w:lineRule="exact"/>
        <w:rPr>
          <w:sz w:val="24"/>
        </w:rPr>
      </w:pPr>
      <w:r>
        <w:rPr>
          <w:rFonts w:hint="eastAsia"/>
          <w:sz w:val="24"/>
          <w:lang w:val="en-US" w:eastAsia="zh-CN"/>
        </w:rPr>
        <w:t xml:space="preserve">5.8  </w:t>
      </w:r>
      <w:r>
        <w:rPr>
          <w:rFonts w:hint="eastAsia"/>
          <w:sz w:val="24"/>
        </w:rPr>
        <w:t xml:space="preserve">绿色采购政策</w:t>
      </w:r>
      <w:r>
        <w:rPr>
          <w:sz w:val="24"/>
        </w:rPr>
      </w:r>
      <w:r/>
    </w:p>
    <w:p>
      <w:pPr>
        <w:pStyle w:val="1053"/>
        <w:ind w:firstLine="1200"/>
        <w:spacing w:line="480" w:lineRule="exact"/>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1053"/>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53"/>
        <w:ind w:firstLine="1200"/>
        <w:spacing w:line="480" w:lineRule="exact"/>
        <w:rPr>
          <w:rFonts w:ascii="宋体" w:hAnsi="宋体"/>
          <w:sz w:val="24"/>
        </w:rPr>
      </w:pPr>
      <w:r>
        <w:rPr>
          <w:rFonts w:hint="eastAsia" w:ascii="宋体" w:hAnsi="宋体"/>
          <w:sz w:val="24"/>
        </w:rPr>
        <w:t xml:space="preserve">5.8.2 推广应用绿色建材</w:t>
      </w:r>
      <w:r>
        <w:rPr>
          <w:rFonts w:ascii="宋体" w:hAnsi="宋体"/>
          <w:sz w:val="24"/>
        </w:rPr>
      </w:r>
      <w:r/>
    </w:p>
    <w:p>
      <w:pPr>
        <w:pStyle w:val="1053"/>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53"/>
        <w:ind w:firstLine="1080"/>
        <w:spacing w:line="480" w:lineRule="exact"/>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1053"/>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1053"/>
        <w:numPr>
          <w:ilvl w:val="0"/>
          <w:numId w:val="8"/>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053"/>
        <w:ind w:left="1080"/>
        <w:spacing w:line="360" w:lineRule="auto"/>
        <w:tabs>
          <w:tab w:val="left" w:pos="1080" w:leader="none"/>
        </w:tabs>
        <w:rPr>
          <w:sz w:val="28"/>
        </w:rPr>
      </w:pPr>
      <w:r/>
      <w:bookmarkStart w:id="162" w:name="_1.8_计量单位"/>
      <w:r/>
      <w:bookmarkEnd w:id="162"/>
      <w:r>
        <w:rPr>
          <w:sz w:val="28"/>
        </w:rPr>
      </w:r>
      <w:r/>
    </w:p>
    <w:p>
      <w:pPr>
        <w:pStyle w:val="1055"/>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163" w:name="_Toc127151523"/>
      <w:r/>
      <w:bookmarkStart w:id="164" w:name="_Toc150480761"/>
      <w:r/>
      <w:bookmarkStart w:id="165" w:name="_Toc164229218"/>
      <w:r/>
      <w:bookmarkStart w:id="166" w:name="_Toc150509274"/>
      <w:r/>
      <w:bookmarkStart w:id="167" w:name="_Toc226965796"/>
      <w:r/>
      <w:bookmarkStart w:id="168" w:name="_Toc151193837"/>
      <w:r/>
      <w:bookmarkStart w:id="169" w:name="_Toc151193911"/>
      <w:r/>
      <w:bookmarkStart w:id="170" w:name="_Toc127161437"/>
      <w:r/>
      <w:bookmarkStart w:id="171" w:name="_Toc305158865"/>
      <w:r/>
      <w:bookmarkStart w:id="172" w:name="_Toc305158791"/>
      <w:r/>
      <w:bookmarkStart w:id="173" w:name="_Toc195842888"/>
      <w:r/>
      <w:bookmarkStart w:id="174" w:name="_Toc226965713"/>
      <w:r/>
      <w:bookmarkStart w:id="175" w:name="_Toc520356147"/>
      <w:r/>
      <w:bookmarkStart w:id="176" w:name="_Toc151190150"/>
      <w:r/>
      <w:bookmarkStart w:id="177" w:name="_Toc164608637"/>
      <w:r/>
      <w:bookmarkStart w:id="178" w:name="_Toc226309767"/>
      <w:r/>
      <w:bookmarkStart w:id="179" w:name="_Toc150774728"/>
      <w:r/>
      <w:bookmarkStart w:id="180" w:name="_Toc264969213"/>
      <w:r/>
      <w:bookmarkStart w:id="181" w:name="_Toc151193693"/>
      <w:r/>
      <w:bookmarkStart w:id="182" w:name="_Toc164229364"/>
      <w:r/>
      <w:bookmarkStart w:id="183" w:name="_Toc149720816"/>
      <w:r/>
      <w:bookmarkStart w:id="184" w:name="_Toc151193621"/>
      <w:r/>
      <w:bookmarkStart w:id="185" w:name="_Toc265228361"/>
      <w:r/>
      <w:bookmarkStart w:id="186" w:name="_Toc127151724"/>
      <w:r/>
      <w:bookmarkStart w:id="187" w:name="_Toc142311025"/>
      <w:r/>
      <w:bookmarkStart w:id="188" w:name="_Toc164608792"/>
      <w:r/>
      <w:bookmarkStart w:id="189" w:name="_Toc150774623"/>
      <w:r/>
      <w:bookmarkStart w:id="190" w:name="_Toc151193765"/>
      <w:r/>
      <w:bookmarkStart w:id="191" w:name="_Toc164351617"/>
      <w:r/>
      <w:bookmarkStart w:id="192" w:name="_Toc226337219"/>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53"/>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lang w:val="en-US" w:eastAsia="zh-CN"/>
        </w:rPr>
        <w:t xml:space="preserve">招标公告</w:t>
      </w:r>
      <w:r>
        <w:rPr>
          <w:sz w:val="24"/>
        </w:rPr>
      </w:r>
      <w:r/>
    </w:p>
    <w:p>
      <w:pPr>
        <w:pStyle w:val="1053"/>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53"/>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53"/>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53"/>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53"/>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53"/>
        <w:numPr>
          <w:ilvl w:val="0"/>
          <w:numId w:val="10"/>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53"/>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53"/>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53"/>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53"/>
        <w:ind w:left="1080"/>
        <w:spacing w:line="360" w:lineRule="auto"/>
        <w:tabs>
          <w:tab w:val="left" w:pos="1080" w:leader="none"/>
          <w:tab w:val="left" w:pos="1561" w:leader="none"/>
        </w:tabs>
        <w:rPr>
          <w:sz w:val="28"/>
        </w:rPr>
      </w:pPr>
      <w:r/>
      <w:bookmarkStart w:id="193" w:name="_Toc150774626"/>
      <w:r/>
      <w:bookmarkStart w:id="194" w:name="_Toc127151526"/>
      <w:r/>
      <w:bookmarkStart w:id="195" w:name="_Toc226965799"/>
      <w:r/>
      <w:bookmarkStart w:id="196" w:name="_Toc226965716"/>
      <w:r/>
      <w:bookmarkStart w:id="197" w:name="_Toc150509277"/>
      <w:r/>
      <w:bookmarkStart w:id="198" w:name="_Toc305158794"/>
      <w:r/>
      <w:bookmarkStart w:id="199" w:name="_Toc265228364"/>
      <w:r/>
      <w:bookmarkStart w:id="200" w:name="_Toc150480764"/>
      <w:r/>
      <w:bookmarkStart w:id="201" w:name="_Toc520356150"/>
      <w:r/>
      <w:bookmarkStart w:id="202" w:name="_Toc151193696"/>
      <w:r/>
      <w:bookmarkStart w:id="203" w:name="_Toc151190153"/>
      <w:r/>
      <w:bookmarkStart w:id="204" w:name="_Toc195842891"/>
      <w:r/>
      <w:bookmarkStart w:id="205" w:name="_Toc151193624"/>
      <w:r/>
      <w:bookmarkStart w:id="206" w:name="_Toc516367020"/>
      <w:r/>
      <w:bookmarkStart w:id="207" w:name="_Toc142311028"/>
      <w:r/>
      <w:bookmarkStart w:id="208" w:name="_Toc305158868"/>
      <w:r/>
      <w:bookmarkStart w:id="209" w:name="_Toc151193840"/>
      <w:r/>
      <w:bookmarkStart w:id="210" w:name="_Toc264969216"/>
      <w:r/>
      <w:bookmarkStart w:id="211" w:name="_Toc226337222"/>
      <w:r/>
      <w:bookmarkStart w:id="212" w:name="_Toc151193914"/>
      <w:r/>
      <w:bookmarkStart w:id="213" w:name="_Toc150774731"/>
      <w:r/>
      <w:bookmarkStart w:id="214" w:name="_Toc151193768"/>
      <w:r/>
      <w:bookmarkStart w:id="215" w:name="_Toc226309770"/>
      <w:r>
        <w:rPr>
          <w:sz w:val="28"/>
        </w:rPr>
      </w:r>
      <w:r/>
    </w:p>
    <w:p>
      <w:pPr>
        <w:pStyle w:val="1055"/>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216" w:name="_Toc264969217"/>
      <w:r/>
      <w:bookmarkStart w:id="217" w:name="_Toc520356151"/>
      <w:r/>
      <w:bookmarkStart w:id="218" w:name="_Toc127151728"/>
      <w:r/>
      <w:bookmarkStart w:id="219" w:name="_Toc151193915"/>
      <w:r/>
      <w:bookmarkStart w:id="220" w:name="_Toc150480765"/>
      <w:r/>
      <w:bookmarkStart w:id="221" w:name="_Toc127151527"/>
      <w:r/>
      <w:bookmarkStart w:id="222" w:name="_Toc151190154"/>
      <w:r/>
      <w:bookmarkStart w:id="223" w:name="_Toc305158795"/>
      <w:r/>
      <w:bookmarkStart w:id="224" w:name="_Toc150509278"/>
      <w:r/>
      <w:bookmarkStart w:id="225" w:name="_Toc226965800"/>
      <w:r/>
      <w:bookmarkStart w:id="226" w:name="_Toc226337223"/>
      <w:r/>
      <w:bookmarkStart w:id="227" w:name="_Toc195842892"/>
      <w:r/>
      <w:bookmarkStart w:id="228" w:name="_Toc226309771"/>
      <w:r/>
      <w:bookmarkStart w:id="229" w:name="_Toc164608796"/>
      <w:r/>
      <w:bookmarkStart w:id="230" w:name="_Toc164229222"/>
      <w:r/>
      <w:bookmarkStart w:id="231" w:name="_Toc150774627"/>
      <w:r/>
      <w:bookmarkStart w:id="232" w:name="_Toc150774732"/>
      <w:r/>
      <w:bookmarkStart w:id="233" w:name="_Toc151193625"/>
      <w:r/>
      <w:bookmarkStart w:id="234" w:name="_Toc149720820"/>
      <w:r/>
      <w:bookmarkStart w:id="235" w:name="_Toc151193841"/>
      <w:r/>
      <w:bookmarkStart w:id="236" w:name="_Toc151193697"/>
      <w:r/>
      <w:bookmarkStart w:id="237" w:name="_Toc226965717"/>
      <w:r/>
      <w:bookmarkStart w:id="238" w:name="_Toc142311029"/>
      <w:r/>
      <w:bookmarkStart w:id="239" w:name="_Toc164351621"/>
      <w:r/>
      <w:bookmarkStart w:id="240" w:name="_Toc151193769"/>
      <w:r/>
      <w:bookmarkStart w:id="241" w:name="_Toc516367021"/>
      <w:r/>
      <w:bookmarkStart w:id="242" w:name="_Toc127161441"/>
      <w:r/>
      <w:bookmarkStart w:id="243" w:name="_Toc305158869"/>
      <w:r/>
      <w:bookmarkStart w:id="244" w:name="_Toc265228365"/>
      <w:r/>
      <w:bookmarkStart w:id="245" w:name="_Toc164608641"/>
      <w:r/>
      <w:bookmarkStart w:id="246" w:name="_Toc164229368"/>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247" w:name="_Toc195842893"/>
      <w:r/>
      <w:bookmarkStart w:id="248" w:name="_Toc164608797"/>
      <w:r/>
      <w:bookmarkStart w:id="249" w:name="_Toc151193626"/>
      <w:r/>
      <w:bookmarkStart w:id="250" w:name="_Toc151190155"/>
      <w:r/>
      <w:bookmarkStart w:id="251" w:name="_Toc127151528"/>
      <w:r/>
      <w:bookmarkStart w:id="252" w:name="_Toc226965718"/>
      <w:r/>
      <w:bookmarkStart w:id="253" w:name="_Toc151193916"/>
      <w:r/>
      <w:bookmarkStart w:id="254" w:name="_Ref467306676"/>
      <w:r/>
      <w:bookmarkStart w:id="255" w:name="_Ref467306195"/>
      <w:r/>
      <w:bookmarkStart w:id="256" w:name="_Toc516367022"/>
      <w:r/>
      <w:bookmarkStart w:id="257" w:name="_Toc149720821"/>
      <w:r/>
      <w:bookmarkStart w:id="258" w:name="_Toc305158870"/>
      <w:r/>
      <w:bookmarkStart w:id="259" w:name="_Toc226337224"/>
      <w:r/>
      <w:bookmarkStart w:id="260" w:name="_Toc127161442"/>
      <w:r/>
      <w:bookmarkStart w:id="261" w:name="_Toc265228366"/>
      <w:r/>
      <w:bookmarkStart w:id="262" w:name="_Toc164229223"/>
      <w:r/>
      <w:bookmarkStart w:id="263" w:name="_Toc150774733"/>
      <w:r/>
      <w:bookmarkStart w:id="264" w:name="_Toc226965801"/>
      <w:r/>
      <w:bookmarkStart w:id="265" w:name="_Toc164608642"/>
      <w:r/>
      <w:bookmarkStart w:id="266" w:name="_Toc151193842"/>
      <w:r/>
      <w:bookmarkStart w:id="267" w:name="_Toc150509279"/>
      <w:r/>
      <w:bookmarkStart w:id="268" w:name="_Toc264969218"/>
      <w:r/>
      <w:bookmarkStart w:id="269" w:name="_Toc150480766"/>
      <w:r/>
      <w:bookmarkStart w:id="270" w:name="_Toc127151729"/>
      <w:r/>
      <w:bookmarkStart w:id="271" w:name="_Toc151193770"/>
      <w:r/>
      <w:bookmarkStart w:id="272" w:name="_Toc164351622"/>
      <w:r/>
      <w:bookmarkStart w:id="273" w:name="_Toc164229369"/>
      <w:r/>
      <w:bookmarkStart w:id="274" w:name="_Toc151193698"/>
      <w:r/>
      <w:bookmarkStart w:id="275" w:name="_Toc150774628"/>
      <w:r/>
      <w:bookmarkStart w:id="276" w:name="_Toc305158796"/>
      <w:r/>
      <w:bookmarkStart w:id="277" w:name="_Toc226309772"/>
      <w:r/>
      <w:bookmarkStart w:id="278" w:name="_Toc520356152"/>
      <w:r/>
      <w:bookmarkStart w:id="279" w:name="_Toc142311030"/>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281" w:name="_Toc151190157"/>
      <w:r/>
      <w:bookmarkStart w:id="282" w:name="_Toc127151530"/>
      <w:r/>
      <w:bookmarkStart w:id="283" w:name="_Toc150774735"/>
      <w:r/>
      <w:bookmarkStart w:id="284" w:name="_Toc151193918"/>
      <w:r/>
      <w:bookmarkStart w:id="285" w:name="_Toc151193700"/>
      <w:r/>
      <w:bookmarkStart w:id="286" w:name="_Toc164608644"/>
      <w:r/>
      <w:bookmarkStart w:id="287" w:name="_Toc151193772"/>
      <w:r/>
      <w:bookmarkStart w:id="288" w:name="_Toc151193844"/>
      <w:r/>
      <w:bookmarkStart w:id="289" w:name="_Toc127161444"/>
      <w:r/>
      <w:bookmarkStart w:id="290" w:name="_Toc164229371"/>
      <w:r/>
      <w:bookmarkStart w:id="291" w:name="_Toc150480768"/>
      <w:r/>
      <w:bookmarkStart w:id="292" w:name="_Toc127151731"/>
      <w:r/>
      <w:bookmarkStart w:id="293" w:name="_Toc520356155"/>
      <w:r/>
      <w:bookmarkStart w:id="294" w:name="_Toc195842895"/>
      <w:r/>
      <w:bookmarkStart w:id="295" w:name="_Toc142311032"/>
      <w:r/>
      <w:bookmarkStart w:id="296" w:name="_Toc151193628"/>
      <w:r/>
      <w:bookmarkStart w:id="297" w:name="_Toc164229225"/>
      <w:r/>
      <w:bookmarkStart w:id="298" w:name="_Toc150774630"/>
      <w:r/>
      <w:bookmarkStart w:id="299" w:name="_Toc149720823"/>
      <w:r/>
      <w:bookmarkStart w:id="300" w:name="_Toc164608799"/>
      <w:r/>
      <w:bookmarkStart w:id="301" w:name="_Toc150509281"/>
      <w:r/>
      <w:bookmarkStart w:id="302" w:name="_Toc164351624"/>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53"/>
        <w:numPr>
          <w:ilvl w:val="2"/>
          <w:numId w:val="8"/>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053"/>
        <w:numPr>
          <w:ilvl w:val="2"/>
          <w:numId w:val="8"/>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5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1053"/>
        <w:numPr>
          <w:ilvl w:val="0"/>
          <w:numId w:val="8"/>
        </w:numPr>
        <w:ind w:left="357" w:hanging="357"/>
        <w:spacing w:line="360" w:lineRule="auto"/>
        <w:tabs>
          <w:tab w:val="left" w:pos="360" w:leader="none"/>
          <w:tab w:val="left" w:pos="900" w:leader="none"/>
        </w:tabs>
        <w:rPr>
          <w:rFonts w:hint="eastAsia"/>
          <w:sz w:val="24"/>
        </w:rPr>
        <w:outlineLvl w:val="1"/>
      </w:pPr>
      <w:r/>
      <w:bookmarkStart w:id="303" w:name="_Toc226965721"/>
      <w:r/>
      <w:bookmarkStart w:id="304" w:name="_Toc149720824"/>
      <w:r/>
      <w:bookmarkStart w:id="305" w:name="_Toc151193773"/>
      <w:r/>
      <w:bookmarkStart w:id="306" w:name="_Toc226309775"/>
      <w:r/>
      <w:bookmarkStart w:id="307" w:name="_Toc305158799"/>
      <w:r/>
      <w:bookmarkStart w:id="308" w:name="_Toc151193845"/>
      <w:r/>
      <w:bookmarkStart w:id="309" w:name="_Toc520356156"/>
      <w:r/>
      <w:bookmarkStart w:id="310" w:name="_Toc127161445"/>
      <w:r/>
      <w:bookmarkStart w:id="311" w:name="_Toc164351625"/>
      <w:r/>
      <w:bookmarkStart w:id="312" w:name="_Toc195842896"/>
      <w:r/>
      <w:bookmarkStart w:id="313" w:name="_Toc265228369"/>
      <w:r/>
      <w:bookmarkStart w:id="314" w:name="_Toc164608800"/>
      <w:r/>
      <w:bookmarkStart w:id="315" w:name="_Toc151193629"/>
      <w:r/>
      <w:bookmarkStart w:id="316" w:name="_Toc150774631"/>
      <w:r/>
      <w:bookmarkStart w:id="317" w:name="_Toc127151531"/>
      <w:r/>
      <w:bookmarkStart w:id="318" w:name="_Toc151190158"/>
      <w:r/>
      <w:bookmarkStart w:id="319" w:name="_Toc151193919"/>
      <w:r/>
      <w:bookmarkStart w:id="320" w:name="_Toc264969221"/>
      <w:r/>
      <w:bookmarkStart w:id="321" w:name="_Toc150480769"/>
      <w:r/>
      <w:bookmarkStart w:id="322" w:name="_Toc150774736"/>
      <w:r/>
      <w:bookmarkStart w:id="323" w:name="_Toc142311033"/>
      <w:r/>
      <w:bookmarkStart w:id="324" w:name="_Ref467306513"/>
      <w:r/>
      <w:bookmarkStart w:id="325" w:name="_Toc164229226"/>
      <w:r/>
      <w:bookmarkStart w:id="326" w:name="_Toc305158873"/>
      <w:r/>
      <w:bookmarkStart w:id="327" w:name="_Toc226965804"/>
      <w:r/>
      <w:bookmarkStart w:id="328" w:name="_Toc164608645"/>
      <w:r/>
      <w:bookmarkStart w:id="329" w:name="_Toc127151732"/>
      <w:r/>
      <w:bookmarkStart w:id="330" w:name="_Toc226337227"/>
      <w:r/>
      <w:bookmarkStart w:id="331" w:name="_Toc150509282"/>
      <w:r/>
      <w:bookmarkStart w:id="332" w:name="_Toc164229372"/>
      <w:r/>
      <w:bookmarkStart w:id="333" w:name="_Toc151193701"/>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1053"/>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334" w:name="_Toc150509283"/>
      <w:r/>
      <w:bookmarkStart w:id="335" w:name="_Toc164608646"/>
      <w:r/>
      <w:bookmarkStart w:id="336" w:name="_Toc142311034"/>
      <w:r/>
      <w:bookmarkStart w:id="337" w:name="_Toc150774737"/>
      <w:r/>
      <w:bookmarkStart w:id="338" w:name="_Toc151193630"/>
      <w:r/>
      <w:bookmarkStart w:id="339" w:name="_Toc226965722"/>
      <w:r/>
      <w:bookmarkStart w:id="340" w:name="_Toc195842897"/>
      <w:r/>
      <w:bookmarkStart w:id="341" w:name="_Toc151193846"/>
      <w:r/>
      <w:bookmarkStart w:id="342" w:name="_Toc151193920"/>
      <w:r/>
      <w:bookmarkStart w:id="343" w:name="_Toc127151733"/>
      <w:r/>
      <w:bookmarkStart w:id="344" w:name="_Toc164229373"/>
      <w:r/>
      <w:bookmarkStart w:id="345" w:name="_Toc127151532"/>
      <w:r/>
      <w:bookmarkStart w:id="346" w:name="_Toc226965805"/>
      <w:r/>
      <w:bookmarkStart w:id="347" w:name="_Toc149720825"/>
      <w:r/>
      <w:bookmarkStart w:id="348" w:name="_Toc151193702"/>
      <w:r/>
      <w:bookmarkStart w:id="349" w:name="_Toc127161446"/>
      <w:r/>
      <w:bookmarkStart w:id="350" w:name="_Toc265228370"/>
      <w:r/>
      <w:bookmarkStart w:id="351" w:name="_Toc520356157"/>
      <w:r/>
      <w:bookmarkStart w:id="352" w:name="_Toc164229227"/>
      <w:r/>
      <w:bookmarkStart w:id="353" w:name="_Toc305158800"/>
      <w:r/>
      <w:bookmarkStart w:id="354" w:name="_Toc151190159"/>
      <w:r/>
      <w:bookmarkStart w:id="355" w:name="_Toc264969222"/>
      <w:r/>
      <w:bookmarkStart w:id="356" w:name="_Toc305158874"/>
      <w:r/>
      <w:bookmarkStart w:id="357" w:name="_Toc164351626"/>
      <w:r/>
      <w:bookmarkStart w:id="358" w:name="_Toc150774632"/>
      <w:r/>
      <w:bookmarkStart w:id="359" w:name="_Toc150480770"/>
      <w:r/>
      <w:bookmarkStart w:id="360" w:name="_Toc226309776"/>
      <w:r/>
      <w:bookmarkStart w:id="361" w:name="_Toc151193774"/>
      <w:r/>
      <w:bookmarkStart w:id="362" w:name="_Toc164608801"/>
      <w:r/>
      <w:bookmarkStart w:id="363" w:name="_Toc226337228"/>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364" w:name="_Toc149720826"/>
      <w:r/>
      <w:bookmarkStart w:id="365" w:name="_Toc226309777"/>
      <w:r/>
      <w:bookmarkStart w:id="366" w:name="_Toc226965723"/>
      <w:r/>
      <w:bookmarkStart w:id="367" w:name="_Toc195842898"/>
      <w:r/>
      <w:bookmarkStart w:id="368" w:name="_Toc151193631"/>
      <w:r/>
      <w:bookmarkStart w:id="369" w:name="_Toc305158875"/>
      <w:r/>
      <w:bookmarkStart w:id="370" w:name="_Toc150774633"/>
      <w:r/>
      <w:bookmarkStart w:id="371" w:name="_Toc151193703"/>
      <w:r/>
      <w:bookmarkStart w:id="372" w:name="_Toc164229228"/>
      <w:r/>
      <w:bookmarkStart w:id="373" w:name="_Toc520356158"/>
      <w:r/>
      <w:bookmarkStart w:id="374" w:name="_Toc264969223"/>
      <w:r/>
      <w:bookmarkStart w:id="375" w:name="_Toc226965806"/>
      <w:r/>
      <w:bookmarkStart w:id="376" w:name="_Toc142311035"/>
      <w:r/>
      <w:bookmarkStart w:id="377" w:name="_Toc151193847"/>
      <w:r/>
      <w:bookmarkStart w:id="378" w:name="_Toc164608802"/>
      <w:r/>
      <w:bookmarkStart w:id="379" w:name="_Toc151190160"/>
      <w:r/>
      <w:bookmarkStart w:id="380" w:name="_Toc151193775"/>
      <w:r/>
      <w:bookmarkStart w:id="381" w:name="_Toc265228371"/>
      <w:r/>
      <w:bookmarkStart w:id="382" w:name="_Toc127151533"/>
      <w:r/>
      <w:bookmarkStart w:id="383" w:name="_Toc164229374"/>
      <w:r/>
      <w:bookmarkStart w:id="384" w:name="_Toc127151734"/>
      <w:r/>
      <w:bookmarkStart w:id="385" w:name="_Toc150774738"/>
      <w:r/>
      <w:bookmarkStart w:id="386" w:name="_Toc305158801"/>
      <w:r/>
      <w:bookmarkStart w:id="387" w:name="_Toc150480771"/>
      <w:r/>
      <w:bookmarkStart w:id="388" w:name="_Toc226337229"/>
      <w:r/>
      <w:bookmarkStart w:id="389" w:name="_Toc164608647"/>
      <w:r/>
      <w:bookmarkStart w:id="390" w:name="_Toc151193921"/>
      <w:r/>
      <w:bookmarkStart w:id="391" w:name="_Toc164351627"/>
      <w:r/>
      <w:bookmarkStart w:id="392" w:name="_Toc150509284"/>
      <w:r/>
      <w:bookmarkStart w:id="393" w:name="_Toc127161447"/>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bookmarkStart w:id="394" w:name="_Toc151193704"/>
      <w:r/>
      <w:bookmarkStart w:id="395" w:name="_Toc264969224"/>
      <w:r/>
      <w:bookmarkStart w:id="396" w:name="_Toc520356159"/>
      <w:r/>
      <w:bookmarkStart w:id="397" w:name="_Toc226309778"/>
      <w:r/>
      <w:bookmarkStart w:id="398" w:name="_Toc195842899"/>
      <w:r/>
      <w:bookmarkStart w:id="399" w:name="_Toc151193922"/>
      <w:r/>
      <w:bookmarkStart w:id="400" w:name="_Toc151193776"/>
      <w:r/>
      <w:bookmarkStart w:id="401" w:name="_Toc127151534"/>
      <w:r/>
      <w:bookmarkStart w:id="402" w:name="_Toc142311036"/>
      <w:r/>
      <w:bookmarkStart w:id="403" w:name="_Toc150774739"/>
      <w:r/>
      <w:bookmarkStart w:id="404" w:name="_Toc226965724"/>
      <w:r/>
      <w:bookmarkStart w:id="405" w:name="_Toc305158802"/>
      <w:r/>
      <w:bookmarkStart w:id="406" w:name="_Toc226965807"/>
      <w:r/>
      <w:bookmarkStart w:id="407" w:name="_Toc150774634"/>
      <w:r/>
      <w:bookmarkStart w:id="408" w:name="_Toc150509285"/>
      <w:r/>
      <w:bookmarkStart w:id="409" w:name="_Toc151193632"/>
      <w:r/>
      <w:bookmarkStart w:id="410" w:name="_Toc151193848"/>
      <w:r/>
      <w:bookmarkStart w:id="411" w:name="_Toc226337230"/>
      <w:r/>
      <w:bookmarkStart w:id="412" w:name="_Toc265228372"/>
      <w:r/>
      <w:bookmarkStart w:id="413" w:name="_Toc150480772"/>
      <w:r/>
      <w:bookmarkStart w:id="414" w:name="_Toc151190161"/>
      <w:r/>
      <w:bookmarkStart w:id="415" w:name="_Toc30515887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53"/>
        <w:ind w:left="357"/>
        <w:spacing w:line="360" w:lineRule="auto"/>
        <w:tabs>
          <w:tab w:val="left" w:pos="900" w:leader="none"/>
          <w:tab w:val="left" w:pos="1080" w:leader="none"/>
        </w:tabs>
      </w:pPr>
      <w:r/>
      <w:r/>
    </w:p>
    <w:p>
      <w:pPr>
        <w:pStyle w:val="1055"/>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416" w:name="_Toc520356160"/>
      <w:r/>
      <w:bookmarkStart w:id="417" w:name="_Toc149720828"/>
      <w:r/>
      <w:bookmarkStart w:id="418" w:name="_Toc226965725"/>
      <w:r/>
      <w:bookmarkStart w:id="419" w:name="_Toc127151736"/>
      <w:r/>
      <w:bookmarkStart w:id="420" w:name="_Toc127151535"/>
      <w:r/>
      <w:bookmarkStart w:id="421" w:name="_Toc151193849"/>
      <w:r/>
      <w:bookmarkStart w:id="422" w:name="_Toc151190162"/>
      <w:r/>
      <w:bookmarkStart w:id="423" w:name="_Toc151193705"/>
      <w:r/>
      <w:bookmarkStart w:id="424" w:name="_Toc305158877"/>
      <w:r/>
      <w:bookmarkStart w:id="425" w:name="_Toc164351629"/>
      <w:r/>
      <w:bookmarkStart w:id="426" w:name="_Toc150480773"/>
      <w:r/>
      <w:bookmarkStart w:id="427" w:name="_Toc150774635"/>
      <w:r/>
      <w:bookmarkStart w:id="428" w:name="_Toc195842900"/>
      <w:r/>
      <w:bookmarkStart w:id="429" w:name="_Toc265228373"/>
      <w:r/>
      <w:bookmarkStart w:id="430" w:name="_Toc226965808"/>
      <w:r/>
      <w:bookmarkStart w:id="431" w:name="_Toc151193923"/>
      <w:r/>
      <w:bookmarkStart w:id="432" w:name="_Toc164229230"/>
      <w:r/>
      <w:bookmarkStart w:id="433" w:name="_Toc164608804"/>
      <w:r/>
      <w:bookmarkStart w:id="434" w:name="_Toc127161449"/>
      <w:r/>
      <w:bookmarkStart w:id="435" w:name="_Toc151193777"/>
      <w:r/>
      <w:bookmarkStart w:id="436" w:name="_Toc150774740"/>
      <w:r/>
      <w:bookmarkStart w:id="437" w:name="_Toc151193633"/>
      <w:r/>
      <w:bookmarkStart w:id="438" w:name="_Toc150509286"/>
      <w:r/>
      <w:bookmarkStart w:id="439" w:name="_Toc164608649"/>
      <w:r/>
      <w:bookmarkStart w:id="440" w:name="_Toc305158803"/>
      <w:r/>
      <w:bookmarkStart w:id="441" w:name="_Toc264969225"/>
      <w:r/>
      <w:bookmarkStart w:id="442" w:name="_Toc226337231"/>
      <w:r/>
      <w:bookmarkStart w:id="443" w:name="_Toc226309779"/>
      <w:r/>
      <w:bookmarkStart w:id="444" w:name="_Toc142311037"/>
      <w:r/>
      <w:bookmarkStart w:id="445" w:name="_Toc164229376"/>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446" w:name="_Toc264969226"/>
      <w:r/>
      <w:bookmarkStart w:id="447" w:name="_Toc305158878"/>
      <w:r/>
      <w:bookmarkStart w:id="448" w:name="_Toc150774741"/>
      <w:r/>
      <w:bookmarkStart w:id="449" w:name="_Toc226309780"/>
      <w:r/>
      <w:bookmarkStart w:id="450" w:name="_Toc226965726"/>
      <w:r/>
      <w:bookmarkStart w:id="451" w:name="_Toc305158804"/>
      <w:r/>
      <w:bookmarkStart w:id="452" w:name="_Toc151193850"/>
      <w:r/>
      <w:bookmarkStart w:id="453" w:name="_Toc150509287"/>
      <w:r/>
      <w:bookmarkStart w:id="454" w:name="_Toc149720829"/>
      <w:r/>
      <w:bookmarkStart w:id="455" w:name="_Toc164229231"/>
      <w:r/>
      <w:bookmarkStart w:id="456" w:name="_Toc151193778"/>
      <w:r/>
      <w:bookmarkStart w:id="457" w:name="_Toc226965809"/>
      <w:r/>
      <w:bookmarkStart w:id="458" w:name="_Toc164229377"/>
      <w:r/>
      <w:bookmarkStart w:id="459" w:name="_Toc151193706"/>
      <w:r/>
      <w:bookmarkStart w:id="460" w:name="_Toc265228374"/>
      <w:r/>
      <w:bookmarkStart w:id="461" w:name="_Toc150480774"/>
      <w:r/>
      <w:bookmarkStart w:id="462" w:name="_Toc151193924"/>
      <w:r/>
      <w:bookmarkStart w:id="463" w:name="_Toc164351630"/>
      <w:r/>
      <w:bookmarkStart w:id="464" w:name="_Toc127151737"/>
      <w:r/>
      <w:bookmarkStart w:id="465" w:name="_Toc142311038"/>
      <w:r/>
      <w:bookmarkStart w:id="466" w:name="_Toc127161450"/>
      <w:r/>
      <w:bookmarkStart w:id="467" w:name="_Toc151190163"/>
      <w:r/>
      <w:bookmarkStart w:id="468" w:name="_Toc226337232"/>
      <w:r/>
      <w:bookmarkStart w:id="469" w:name="_Toc150774636"/>
      <w:r/>
      <w:bookmarkStart w:id="470" w:name="_Toc164608650"/>
      <w:r/>
      <w:bookmarkStart w:id="471" w:name="_Toc151193634"/>
      <w:r/>
      <w:bookmarkStart w:id="472" w:name="_Toc164608805"/>
      <w:r/>
      <w:bookmarkStart w:id="473" w:name="_Toc520356161"/>
      <w:r/>
      <w:bookmarkStart w:id="474" w:name="_Toc127151536"/>
      <w:r/>
      <w:bookmarkStart w:id="475" w:name="_Toc195842901"/>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476" w:name="_Toc164229378"/>
      <w:r/>
      <w:bookmarkStart w:id="477" w:name="_Toc195842902"/>
      <w:r/>
      <w:bookmarkStart w:id="478" w:name="_Toc305158805"/>
      <w:r/>
      <w:bookmarkStart w:id="479" w:name="_Toc305158879"/>
      <w:r/>
      <w:bookmarkStart w:id="480" w:name="_Toc164351631"/>
      <w:r/>
      <w:bookmarkStart w:id="481" w:name="_Toc226337233"/>
      <w:r/>
      <w:bookmarkStart w:id="482" w:name="_Toc127161451"/>
      <w:r/>
      <w:bookmarkStart w:id="483" w:name="_Toc520356162"/>
      <w:r/>
      <w:bookmarkStart w:id="484" w:name="_Toc226965727"/>
      <w:r/>
      <w:bookmarkStart w:id="485" w:name="_Toc164229232"/>
      <w:r/>
      <w:bookmarkStart w:id="486" w:name="_Toc150509288"/>
      <w:r/>
      <w:bookmarkStart w:id="487" w:name="_Toc151193779"/>
      <w:r/>
      <w:bookmarkStart w:id="488" w:name="_Toc142311039"/>
      <w:r/>
      <w:bookmarkStart w:id="489" w:name="_Toc151193925"/>
      <w:r/>
      <w:bookmarkStart w:id="490" w:name="_Toc164608806"/>
      <w:r/>
      <w:bookmarkStart w:id="491" w:name="_Toc151193635"/>
      <w:r/>
      <w:bookmarkStart w:id="492" w:name="_Toc151193851"/>
      <w:r/>
      <w:bookmarkStart w:id="493" w:name="_Toc150480775"/>
      <w:r/>
      <w:bookmarkStart w:id="494" w:name="_Toc149720830"/>
      <w:r/>
      <w:bookmarkStart w:id="495" w:name="_Toc226309781"/>
      <w:r/>
      <w:bookmarkStart w:id="496" w:name="_Toc151190164"/>
      <w:r/>
      <w:bookmarkStart w:id="497" w:name="_Toc127151537"/>
      <w:r/>
      <w:bookmarkStart w:id="498" w:name="_Toc150774637"/>
      <w:r/>
      <w:bookmarkStart w:id="499" w:name="_Toc264969227"/>
      <w:r/>
      <w:bookmarkStart w:id="500" w:name="_Toc226965810"/>
      <w:r/>
      <w:bookmarkStart w:id="501" w:name="_Toc151193707"/>
      <w:r/>
      <w:bookmarkStart w:id="502" w:name="_Toc265228375"/>
      <w:r/>
      <w:bookmarkStart w:id="503" w:name="_Toc150774742"/>
      <w:r/>
      <w:bookmarkStart w:id="504" w:name="_Toc127151738"/>
      <w:r/>
      <w:bookmarkStart w:id="505" w:name="_Toc164608651"/>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53"/>
        <w:spacing w:line="360" w:lineRule="auto"/>
        <w:rPr>
          <w:sz w:val="24"/>
        </w:rPr>
      </w:pPr>
      <w:r>
        <w:rPr>
          <w:sz w:val="24"/>
        </w:rPr>
      </w:r>
      <w:r/>
    </w:p>
    <w:p>
      <w:pPr>
        <w:pStyle w:val="1055"/>
        <w:spacing w:before="0" w:line="360" w:lineRule="auto"/>
        <w:rPr>
          <w:rFonts w:ascii="Times New Roman" w:hAnsi="Times New Roman" w:eastAsia="宋体"/>
          <w:sz w:val="28"/>
        </w:rPr>
      </w:pPr>
      <w:r/>
      <w:bookmarkStart w:id="506" w:name="_Toc151190165"/>
      <w:r/>
      <w:bookmarkStart w:id="507" w:name="_Toc226965811"/>
      <w:r/>
      <w:bookmarkStart w:id="508" w:name="_Toc151193708"/>
      <w:r/>
      <w:bookmarkStart w:id="509" w:name="_Toc151193926"/>
      <w:r/>
      <w:bookmarkStart w:id="510" w:name="_Toc226337234"/>
      <w:r/>
      <w:bookmarkStart w:id="511" w:name="_Toc195842903"/>
      <w:r/>
      <w:bookmarkStart w:id="512" w:name="_Toc151193852"/>
      <w:r/>
      <w:bookmarkStart w:id="513" w:name="_Toc150509289"/>
      <w:r/>
      <w:bookmarkStart w:id="514" w:name="_Toc150774638"/>
      <w:r/>
      <w:bookmarkStart w:id="515" w:name="_Toc151193780"/>
      <w:r/>
      <w:bookmarkStart w:id="516" w:name="_Toc150774743"/>
      <w:r/>
      <w:bookmarkStart w:id="517" w:name="_Toc226309782"/>
      <w:r/>
      <w:bookmarkStart w:id="518" w:name="_Toc226965728"/>
      <w:r/>
      <w:bookmarkStart w:id="519" w:name="_Toc520356163"/>
      <w:r/>
      <w:bookmarkStart w:id="520" w:name="_Toc150480776"/>
      <w:r/>
      <w:bookmarkStart w:id="521" w:name="_Toc264969228"/>
      <w:r/>
      <w:bookmarkStart w:id="522" w:name="_Toc305158880"/>
      <w:r/>
      <w:bookmarkStart w:id="523" w:name="_Toc142311040"/>
      <w:r/>
      <w:bookmarkStart w:id="524" w:name="_Toc305158806"/>
      <w:r/>
      <w:bookmarkStart w:id="525" w:name="_Toc265228376"/>
      <w:r/>
      <w:bookmarkStart w:id="526" w:name="_Toc127151538"/>
      <w:r/>
      <w:bookmarkStart w:id="527" w:name="_Toc151193636"/>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528" w:name="_Toc164608653"/>
      <w:r/>
      <w:bookmarkStart w:id="529" w:name="_Toc195842904"/>
      <w:r/>
      <w:bookmarkStart w:id="530" w:name="_Toc150774744"/>
      <w:r/>
      <w:bookmarkStart w:id="531" w:name="_Toc226965812"/>
      <w:r/>
      <w:bookmarkStart w:id="532" w:name="_Toc305158881"/>
      <w:r/>
      <w:bookmarkStart w:id="533" w:name="_Toc142311041"/>
      <w:r/>
      <w:bookmarkStart w:id="534" w:name="_Toc151193781"/>
      <w:r/>
      <w:bookmarkStart w:id="535" w:name="_Toc164229380"/>
      <w:r/>
      <w:bookmarkStart w:id="536" w:name="_Toc151193709"/>
      <w:r/>
      <w:bookmarkStart w:id="537" w:name="_Toc127151539"/>
      <w:r/>
      <w:bookmarkStart w:id="538" w:name="_Toc226309783"/>
      <w:r/>
      <w:bookmarkStart w:id="539" w:name="_Toc151193927"/>
      <w:r/>
      <w:bookmarkStart w:id="540" w:name="_Toc164608808"/>
      <w:r/>
      <w:bookmarkStart w:id="541" w:name="_Toc164229234"/>
      <w:r/>
      <w:bookmarkStart w:id="542" w:name="_Toc520356164"/>
      <w:r/>
      <w:bookmarkStart w:id="543" w:name="_Toc150480777"/>
      <w:r/>
      <w:bookmarkStart w:id="544" w:name="_Toc151193853"/>
      <w:r/>
      <w:bookmarkStart w:id="545" w:name="_Toc149720832"/>
      <w:r/>
      <w:bookmarkStart w:id="546" w:name="_Toc265228377"/>
      <w:r/>
      <w:bookmarkStart w:id="547" w:name="_Toc226965729"/>
      <w:r/>
      <w:bookmarkStart w:id="548" w:name="_Toc164351633"/>
      <w:r/>
      <w:bookmarkStart w:id="549" w:name="_Toc127151740"/>
      <w:r/>
      <w:bookmarkStart w:id="550" w:name="_Toc226337235"/>
      <w:r/>
      <w:bookmarkStart w:id="551" w:name="_Toc151190166"/>
      <w:r/>
      <w:bookmarkStart w:id="552" w:name="_Toc305158807"/>
      <w:r/>
      <w:bookmarkStart w:id="553" w:name="_Toc150774639"/>
      <w:r/>
      <w:bookmarkStart w:id="554" w:name="_Toc127161453"/>
      <w:r/>
      <w:bookmarkStart w:id="555" w:name="_Toc264969229"/>
      <w:r/>
      <w:bookmarkStart w:id="556" w:name="_Toc150509290"/>
      <w:r/>
      <w:bookmarkStart w:id="557" w:name="_Toc151193637"/>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53"/>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53"/>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53"/>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53"/>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53"/>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End w:id="558"/>
      <w:r/>
      <w:bookmarkStart w:id="559" w:name="_Toc305158882"/>
      <w:r/>
      <w:bookmarkStart w:id="560" w:name="_Toc150774745"/>
      <w:r/>
      <w:bookmarkStart w:id="561" w:name="_Toc151193928"/>
      <w:r/>
      <w:bookmarkStart w:id="562" w:name="_Toc195842905"/>
      <w:r/>
      <w:bookmarkStart w:id="563" w:name="_Toc127161454"/>
      <w:r/>
      <w:bookmarkStart w:id="564" w:name="_Toc264969230"/>
      <w:r/>
      <w:bookmarkStart w:id="565" w:name="_Toc226309784"/>
      <w:r/>
      <w:bookmarkStart w:id="566" w:name="_Toc150774640"/>
      <w:r/>
      <w:bookmarkStart w:id="567" w:name="_Toc151193638"/>
      <w:r/>
      <w:bookmarkStart w:id="568" w:name="_Toc151190167"/>
      <w:r/>
      <w:bookmarkStart w:id="569" w:name="_Toc149720833"/>
      <w:r/>
      <w:bookmarkStart w:id="570" w:name="_Toc127151540"/>
      <w:r/>
      <w:bookmarkStart w:id="571" w:name="_Toc150480778"/>
      <w:r/>
      <w:bookmarkStart w:id="572" w:name="_Toc164608809"/>
      <w:r/>
      <w:bookmarkStart w:id="573" w:name="_Toc151193710"/>
      <w:r/>
      <w:bookmarkStart w:id="574" w:name="_Toc127151741"/>
      <w:r/>
      <w:bookmarkStart w:id="575" w:name="_Toc151193782"/>
      <w:r/>
      <w:bookmarkStart w:id="576" w:name="_Toc150509291"/>
      <w:r/>
      <w:bookmarkStart w:id="577" w:name="_Toc164229235"/>
      <w:r/>
      <w:bookmarkStart w:id="578" w:name="_Toc164229381"/>
      <w:r/>
      <w:bookmarkStart w:id="579" w:name="_Toc226337236"/>
      <w:r/>
      <w:bookmarkStart w:id="580" w:name="_Toc142311042"/>
      <w:r/>
      <w:bookmarkStart w:id="581" w:name="_Toc164351634"/>
      <w:r/>
      <w:bookmarkStart w:id="582" w:name="_Toc226965730"/>
      <w:r/>
      <w:bookmarkStart w:id="583" w:name="_Toc265228378"/>
      <w:r/>
      <w:bookmarkStart w:id="584" w:name="_Toc164608654"/>
      <w:r/>
      <w:bookmarkStart w:id="585" w:name="_Toc305158808"/>
      <w:r/>
      <w:bookmarkStart w:id="586" w:name="_Toc226965813"/>
      <w:r/>
      <w:bookmarkStart w:id="587" w:name="_Toc151193854"/>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55"/>
        <w:spacing w:before="0" w:line="360" w:lineRule="auto"/>
        <w:rPr>
          <w:rFonts w:ascii="Times New Roman" w:hAnsi="Times New Roman" w:eastAsia="宋体"/>
          <w:sz w:val="28"/>
        </w:rPr>
      </w:pPr>
      <w:r/>
      <w:bookmarkStart w:id="590" w:name="_Toc151193859"/>
      <w:r/>
      <w:bookmarkStart w:id="591" w:name="_Toc127151545"/>
      <w:r/>
      <w:bookmarkStart w:id="592" w:name="_Toc150509296"/>
      <w:r/>
      <w:bookmarkStart w:id="593" w:name="_Toc150480783"/>
      <w:r/>
      <w:bookmarkStart w:id="594" w:name="_Toc151193715"/>
      <w:r/>
      <w:bookmarkStart w:id="595" w:name="_Toc151193933"/>
      <w:r/>
      <w:bookmarkStart w:id="596" w:name="_Toc151193787"/>
      <w:r/>
      <w:bookmarkStart w:id="597" w:name="_Toc150774645"/>
      <w:r/>
      <w:bookmarkStart w:id="598" w:name="_Toc226965735"/>
      <w:r/>
      <w:bookmarkStart w:id="599" w:name="_Toc265228383"/>
      <w:r/>
      <w:bookmarkStart w:id="600" w:name="_Toc305158887"/>
      <w:r/>
      <w:bookmarkStart w:id="601" w:name="_Toc151193643"/>
      <w:r/>
      <w:bookmarkStart w:id="602" w:name="_Toc151190172"/>
      <w:r/>
      <w:bookmarkStart w:id="603" w:name="_Toc142311047"/>
      <w:r/>
      <w:bookmarkStart w:id="604" w:name="_Toc226309789"/>
      <w:r/>
      <w:bookmarkStart w:id="605" w:name="_Toc226337241"/>
      <w:r/>
      <w:bookmarkStart w:id="606" w:name="_Toc226965818"/>
      <w:r/>
      <w:bookmarkStart w:id="607" w:name="_Toc150774750"/>
      <w:r/>
      <w:bookmarkStart w:id="608" w:name="_Toc264969235"/>
      <w:r/>
      <w:bookmarkStart w:id="609" w:name="_Toc305158813"/>
      <w:r/>
      <w:bookmarkStart w:id="610" w:name="_Toc195842910"/>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49720840"/>
      <w:r/>
      <w:bookmarkStart w:id="612" w:name="_Toc150774752"/>
      <w:r/>
      <w:bookmarkStart w:id="613" w:name="_Toc265228385"/>
      <w:r/>
      <w:bookmarkStart w:id="614" w:name="_Toc195842912"/>
      <w:r/>
      <w:bookmarkStart w:id="615" w:name="_Toc164608661"/>
      <w:r/>
      <w:bookmarkStart w:id="616" w:name="_Toc226337243"/>
      <w:r/>
      <w:bookmarkStart w:id="617" w:name="_Toc127151748"/>
      <w:r/>
      <w:bookmarkStart w:id="618" w:name="_Toc142311049"/>
      <w:r/>
      <w:bookmarkStart w:id="619" w:name="_Toc164351641"/>
      <w:r/>
      <w:bookmarkStart w:id="620" w:name="_Toc164229388"/>
      <w:r/>
      <w:bookmarkStart w:id="621" w:name="_Toc305158889"/>
      <w:r/>
      <w:bookmarkStart w:id="622" w:name="_Toc150774647"/>
      <w:r/>
      <w:bookmarkStart w:id="623" w:name="_Toc264969237"/>
      <w:r/>
      <w:bookmarkStart w:id="624" w:name="_Toc305158815"/>
      <w:r/>
      <w:bookmarkStart w:id="625" w:name="_Toc151193789"/>
      <w:r/>
      <w:bookmarkStart w:id="626" w:name="_Toc150480785"/>
      <w:r/>
      <w:bookmarkStart w:id="627" w:name="_Toc151190174"/>
      <w:r/>
      <w:bookmarkStart w:id="628" w:name="_Toc151193861"/>
      <w:r/>
      <w:bookmarkStart w:id="629" w:name="_Toc127161461"/>
      <w:r/>
      <w:bookmarkStart w:id="630" w:name="_Toc150509298"/>
      <w:r/>
      <w:bookmarkStart w:id="631" w:name="_Toc226309791"/>
      <w:r/>
      <w:bookmarkStart w:id="632" w:name="_Toc164608816"/>
      <w:r/>
      <w:bookmarkStart w:id="633" w:name="_Toc226965820"/>
      <w:r/>
      <w:bookmarkStart w:id="634" w:name="_Toc151193717"/>
      <w:r/>
      <w:bookmarkStart w:id="635" w:name="_Toc151193645"/>
      <w:r/>
      <w:bookmarkStart w:id="636" w:name="_Toc226965737"/>
      <w:r/>
      <w:bookmarkStart w:id="637" w:name="_Toc164229242"/>
      <w:r/>
      <w:bookmarkStart w:id="638" w:name="_Toc151193935"/>
      <w:r/>
      <w:bookmarkStart w:id="639" w:name="_Toc127151547"/>
      <w:r>
        <w:rPr>
          <w:rFonts w:ascii="Times New Roman" w:hAnsi="Times New Roman" w:eastAsia="宋体"/>
          <w:sz w:val="28"/>
        </w:rPr>
      </w:r>
      <w:r/>
    </w:p>
    <w:p>
      <w:pPr>
        <w:pStyle w:val="1053"/>
        <w:numPr>
          <w:ilvl w:val="0"/>
          <w:numId w:val="8"/>
        </w:numPr>
        <w:ind w:left="357" w:hanging="357"/>
        <w:spacing w:line="360" w:lineRule="auto"/>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Start w:id="640" w:name="_Toc164229390"/>
      <w:r/>
      <w:bookmarkStart w:id="641" w:name="_Toc127161463"/>
      <w:r/>
      <w:bookmarkStart w:id="642" w:name="_Toc164229244"/>
      <w:r/>
      <w:bookmarkStart w:id="643" w:name="_Toc305158817"/>
      <w:r/>
      <w:bookmarkStart w:id="644" w:name="_Toc226965822"/>
      <w:r/>
      <w:bookmarkStart w:id="645" w:name="_Toc164608818"/>
      <w:r/>
      <w:bookmarkStart w:id="646" w:name="_Toc127151549"/>
      <w:r/>
      <w:bookmarkStart w:id="647" w:name="_Toc150509300"/>
      <w:r/>
      <w:bookmarkStart w:id="648" w:name="_Ref467307090"/>
      <w:r/>
      <w:bookmarkStart w:id="649" w:name="_Toc520356176"/>
      <w:r/>
      <w:bookmarkStart w:id="650" w:name="_Ref467306425"/>
      <w:r/>
      <w:bookmarkStart w:id="651" w:name="_Toc151190176"/>
      <w:r/>
      <w:bookmarkStart w:id="652" w:name="_Toc195842914"/>
      <w:r/>
      <w:bookmarkStart w:id="653" w:name="_Toc150774649"/>
      <w:r/>
      <w:bookmarkStart w:id="654" w:name="_Toc149720842"/>
      <w:r/>
      <w:bookmarkStart w:id="655" w:name="_Toc265228387"/>
      <w:r/>
      <w:bookmarkStart w:id="656" w:name="_Toc164608663"/>
      <w:r/>
      <w:bookmarkStart w:id="657" w:name="_Toc305158891"/>
      <w:r/>
      <w:bookmarkStart w:id="658" w:name="_Toc151193937"/>
      <w:r/>
      <w:bookmarkStart w:id="659" w:name="_Toc142311051"/>
      <w:r/>
      <w:bookmarkStart w:id="660" w:name="_Toc150774754"/>
      <w:r/>
      <w:bookmarkStart w:id="661" w:name="_Toc150480787"/>
      <w:r/>
      <w:bookmarkStart w:id="662" w:name="_Toc151193647"/>
      <w:r/>
      <w:bookmarkStart w:id="663" w:name="_Toc226337245"/>
      <w:r/>
      <w:bookmarkStart w:id="664" w:name="_Toc127151750"/>
      <w:r/>
      <w:bookmarkStart w:id="665" w:name="_Toc151193719"/>
      <w:r/>
      <w:bookmarkStart w:id="666" w:name="_Toc226965739"/>
      <w:r/>
      <w:bookmarkStart w:id="667" w:name="_Toc226309793"/>
      <w:r/>
      <w:bookmarkStart w:id="668" w:name="_Toc151193791"/>
      <w:r/>
      <w:bookmarkStart w:id="669" w:name="_Toc151193863"/>
      <w:r/>
      <w:bookmarkStart w:id="670" w:name="_Toc264969239"/>
      <w:r/>
      <w:bookmarkStart w:id="671" w:name="_Toc164351643"/>
      <w:r>
        <w:rPr>
          <w:sz w:val="24"/>
        </w:rPr>
        <w:t xml:space="preserve">中标公告与中标通知书</w:t>
      </w:r>
      <w:bookmarkEnd w:id="643"/>
      <w:r/>
      <w:bookmarkEnd w:id="657"/>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53"/>
        <w:numPr>
          <w:ilvl w:val="2"/>
          <w:numId w:val="8"/>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53"/>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053"/>
        <w:numPr>
          <w:ilvl w:val="2"/>
          <w:numId w:val="8"/>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053"/>
        <w:numPr>
          <w:ilvl w:val="2"/>
          <w:numId w:val="8"/>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53"/>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50480788"/>
      <w:r/>
      <w:bookmarkStart w:id="673" w:name="_Toc151193648"/>
      <w:r/>
      <w:bookmarkStart w:id="674" w:name="_Toc305158892"/>
      <w:r/>
      <w:bookmarkStart w:id="675" w:name="_Ref467306978"/>
      <w:r/>
      <w:bookmarkStart w:id="676" w:name="_Toc127161464"/>
      <w:r/>
      <w:bookmarkStart w:id="677" w:name="_Toc142311052"/>
      <w:r/>
      <w:bookmarkStart w:id="678" w:name="_Toc127151550"/>
      <w:r/>
      <w:bookmarkStart w:id="679" w:name="_Toc226309794"/>
      <w:r/>
      <w:bookmarkStart w:id="680" w:name="_Ref467306377"/>
      <w:r/>
      <w:bookmarkStart w:id="681" w:name="_Toc150774650"/>
      <w:r/>
      <w:bookmarkStart w:id="682" w:name="_Ref467307204"/>
      <w:r/>
      <w:bookmarkStart w:id="683" w:name="_Toc164351644"/>
      <w:r/>
      <w:bookmarkStart w:id="684" w:name="_Ref467307062"/>
      <w:r/>
      <w:bookmarkStart w:id="685" w:name="_Toc164608819"/>
      <w:r/>
      <w:bookmarkStart w:id="686" w:name="_Toc127151751"/>
      <w:r/>
      <w:bookmarkStart w:id="687" w:name="_Toc164229391"/>
      <w:r/>
      <w:bookmarkStart w:id="688" w:name="_Toc151193864"/>
      <w:r/>
      <w:bookmarkStart w:id="689" w:name="_Toc150509301"/>
      <w:r/>
      <w:bookmarkStart w:id="690" w:name="_Toc226965740"/>
      <w:r/>
      <w:bookmarkStart w:id="691" w:name="_Toc150774755"/>
      <w:r/>
      <w:bookmarkStart w:id="692" w:name="_Toc226965823"/>
      <w:r/>
      <w:bookmarkStart w:id="693" w:name="_Toc164229245"/>
      <w:r/>
      <w:bookmarkStart w:id="694" w:name="_Toc149720843"/>
      <w:r/>
      <w:bookmarkStart w:id="695" w:name="_Toc151193938"/>
      <w:r/>
      <w:bookmarkStart w:id="696" w:name="_Toc164608664"/>
      <w:r/>
      <w:bookmarkStart w:id="697" w:name="_Toc226337246"/>
      <w:r/>
      <w:bookmarkStart w:id="698" w:name="_Toc520356175"/>
      <w:r/>
      <w:bookmarkStart w:id="699" w:name="_Toc264969240"/>
      <w:r/>
      <w:bookmarkStart w:id="700" w:name="_Toc151193792"/>
      <w:r/>
      <w:bookmarkStart w:id="701" w:name="_Toc151193720"/>
      <w:r/>
      <w:bookmarkStart w:id="702" w:name="_Toc151190177"/>
      <w:r/>
      <w:bookmarkStart w:id="703" w:name="_Toc195842915"/>
      <w:r/>
      <w:bookmarkStart w:id="704" w:name="_Toc265228388"/>
      <w:r/>
      <w:bookmarkStart w:id="705" w:name="_Toc305158818"/>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53"/>
        <w:numPr>
          <w:ilvl w:val="2"/>
          <w:numId w:val="8"/>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053"/>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53"/>
        <w:numPr>
          <w:ilvl w:val="2"/>
          <w:numId w:val="8"/>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053"/>
        <w:numPr>
          <w:ilvl w:val="2"/>
          <w:numId w:val="8"/>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1053"/>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29"/>
        </w:rPr>
        <w:t xml:space="preserve">http://gk</w:t>
      </w:r>
      <w:bookmarkStart w:id="706" w:name="_Hlt100654014"/>
      <w:r>
        <w:rPr>
          <w:rStyle w:val="1129"/>
        </w:rPr>
        <w:t xml:space="preserve">s</w:t>
      </w:r>
      <w:bookmarkEnd w:id="706"/>
      <w:r>
        <w:rPr>
          <w:rStyle w:val="1129"/>
        </w:rPr>
        <w:t xml:space="preserve">.m</w:t>
      </w:r>
      <w:bookmarkStart w:id="707" w:name="_Hlt100653993"/>
      <w:r/>
      <w:bookmarkStart w:id="708" w:name="_Hlt100653994"/>
      <w:r>
        <w:rPr>
          <w:rStyle w:val="1129"/>
        </w:rPr>
        <w:t xml:space="preserve">o</w:t>
      </w:r>
      <w:bookmarkEnd w:id="707"/>
      <w:r/>
      <w:bookmarkEnd w:id="708"/>
      <w:r>
        <w:rPr>
          <w:rStyle w:val="1129"/>
        </w:rPr>
        <w:t xml:space="preserve">f.gov.cn/ztztz/zhengfucaigouguanli/201802/t20180201_2804589.htm</w:t>
      </w:r>
      <w:r>
        <w:fldChar w:fldCharType="end"/>
      </w:r>
      <w:r>
        <w:rPr>
          <w:rFonts w:hint="eastAsia"/>
        </w:rPr>
        <w:t xml:space="preserve">）</w:t>
      </w:r>
      <w:r>
        <w:rPr>
          <w:sz w:val="24"/>
        </w:rPr>
      </w:r>
      <w:r/>
    </w:p>
    <w:p>
      <w:pPr>
        <w:pStyle w:val="1053"/>
        <w:numPr>
          <w:ilvl w:val="2"/>
          <w:numId w:val="8"/>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53"/>
        <w:numPr>
          <w:ilvl w:val="2"/>
          <w:numId w:val="8"/>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53"/>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5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1053"/>
        <w:numPr>
          <w:ilvl w:val="1"/>
          <w:numId w:val="8"/>
        </w:numPr>
        <w:ind w:left="1077" w:hanging="720"/>
        <w:spacing w:line="360" w:lineRule="auto"/>
        <w:tabs>
          <w:tab w:val="left" w:pos="900" w:leader="none"/>
          <w:tab w:val="left" w:pos="1080" w:leader="none"/>
          <w:tab w:val="left" w:pos="1589" w:leader="none"/>
        </w:tabs>
        <w:rPr>
          <w:rFonts w:hint="eastAsia"/>
          <w:sz w:val="24"/>
        </w:rPr>
      </w:pPr>
      <w:r>
        <w:rPr>
          <w:rFonts w:hint="eastAsia"/>
          <w:sz w:val="24"/>
        </w:rPr>
        <w:t xml:space="preserve"> 集中采购机构不收取代理费。</w:t>
      </w: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numPr>
          <w:ilvl w:val="0"/>
          <w:numId w:val="0"/>
        </w:numPr>
        <w:jc w:val="both"/>
        <w:spacing w:line="360" w:lineRule="auto"/>
        <w:widowControl w:val="off"/>
        <w:tabs>
          <w:tab w:val="left" w:pos="1080" w:leader="none"/>
        </w:tabs>
        <w:rPr>
          <w:rFonts w:hint="eastAsia"/>
          <w:sz w:val="24"/>
        </w:rPr>
      </w:pPr>
      <w:r>
        <w:rPr>
          <w:rFonts w:hint="eastAsia"/>
          <w:sz w:val="24"/>
        </w:rPr>
      </w:r>
      <w:r/>
    </w:p>
    <w:p>
      <w:pPr>
        <w:pStyle w:val="1053"/>
        <w:jc w:val="center"/>
        <w:spacing w:line="360" w:lineRule="auto"/>
        <w:rPr>
          <w:b/>
          <w:sz w:val="36"/>
          <w:szCs w:val="36"/>
        </w:rPr>
        <w:outlineLvl w:val="0"/>
      </w:pPr>
      <w:r/>
      <w:bookmarkStart w:id="709" w:name="_Toc99301421"/>
      <w:r/>
      <w:bookmarkStart w:id="710" w:name="_Toc353873664"/>
      <w:r/>
      <w:bookmarkStart w:id="711" w:name="_Toc265228392"/>
      <w:r/>
      <w:bookmarkStart w:id="712" w:name="_Toc226337250"/>
      <w:r/>
      <w:bookmarkStart w:id="713" w:name="_Toc142311056"/>
      <w:r/>
      <w:bookmarkStart w:id="714" w:name="_Toc150774759"/>
      <w:r/>
      <w:bookmarkStart w:id="715" w:name="_Toc305158822"/>
      <w:r/>
      <w:bookmarkStart w:id="716" w:name="_Toc353873934"/>
      <w:r/>
      <w:bookmarkStart w:id="717" w:name="_Toc150480792"/>
      <w:r/>
      <w:bookmarkStart w:id="718" w:name="_Toc353825544"/>
      <w:r/>
      <w:bookmarkStart w:id="719" w:name="_Toc264969244"/>
      <w:r/>
      <w:bookmarkStart w:id="720" w:name="_Toc305158896"/>
      <w:r/>
      <w:bookmarkStart w:id="721" w:name="_Toc226965827"/>
      <w:r/>
      <w:bookmarkStart w:id="722" w:name="_Toc127151554"/>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1053"/>
        <w:jc w:val="center"/>
        <w:spacing w:line="360" w:lineRule="auto"/>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1053"/>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053"/>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53"/>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53"/>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53"/>
        <w:jc w:val="left"/>
        <w:widowControl/>
        <w:rPr>
          <w:sz w:val="24"/>
        </w:rPr>
      </w:pPr>
      <w:r>
        <w:rPr>
          <w:sz w:val="24"/>
        </w:rPr>
      </w:r>
      <w:r/>
    </w:p>
    <w:p>
      <w:pPr>
        <w:pStyle w:val="1053"/>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53"/>
              <w:jc w:val="center"/>
              <w:tabs>
                <w:tab w:val="left" w:pos="1080" w:leader="none"/>
              </w:tabs>
              <w:rPr>
                <w:b/>
                <w:sz w:val="24"/>
              </w:rPr>
            </w:pPr>
            <w:r/>
            <w:bookmarkStart w:id="725" w:name="_Hlt487972895"/>
            <w:r/>
            <w:bookmarkEnd w:id="725"/>
            <w:r>
              <w:rPr>
                <w:b/>
                <w:sz w:val="24"/>
              </w:rPr>
              <w:t xml:space="preserve">序号</w:t>
            </w:r>
            <w:r>
              <w:rPr>
                <w:b/>
                <w:sz w:val="24"/>
              </w:rPr>
            </w:r>
            <w:r/>
          </w:p>
        </w:tc>
        <w:tc>
          <w:tcPr>
            <w:tcW w:w="1066" w:type="dxa"/>
            <w:vAlign w:val="center"/>
            <w:textDirection w:val="lrTb"/>
            <w:noWrap w:val="false"/>
          </w:tcPr>
          <w:p>
            <w:pPr>
              <w:pStyle w:val="1053"/>
              <w:jc w:val="center"/>
              <w:tabs>
                <w:tab w:val="left" w:pos="1080" w:leader="none"/>
              </w:tabs>
              <w:rPr>
                <w:b/>
                <w:sz w:val="24"/>
              </w:rPr>
            </w:pPr>
            <w:r>
              <w:rPr>
                <w:b/>
                <w:sz w:val="24"/>
              </w:rPr>
              <w:t xml:space="preserve">审查因素</w:t>
            </w:r>
            <w:r>
              <w:rPr>
                <w:b/>
                <w:sz w:val="24"/>
              </w:rPr>
            </w:r>
            <w:r/>
          </w:p>
        </w:tc>
        <w:tc>
          <w:tcPr>
            <w:tcW w:w="2595" w:type="dxa"/>
            <w:vAlign w:val="center"/>
            <w:textDirection w:val="lrTb"/>
            <w:noWrap w:val="false"/>
          </w:tcPr>
          <w:p>
            <w:pPr>
              <w:pStyle w:val="1053"/>
              <w:jc w:val="center"/>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1053"/>
              <w:jc w:val="center"/>
              <w:tabs>
                <w:tab w:val="left" w:pos="1080" w:leader="none"/>
              </w:tabs>
              <w:rPr>
                <w:b/>
                <w:sz w:val="24"/>
              </w:rPr>
            </w:pPr>
            <w:r>
              <w:rPr>
                <w:b/>
                <w:sz w:val="24"/>
              </w:rPr>
              <w:t xml:space="preserve">格式要求</w:t>
            </w:r>
            <w:r>
              <w:rPr>
                <w:b/>
                <w:sz w:val="24"/>
              </w:rPr>
            </w:r>
            <w:r/>
          </w:p>
        </w:tc>
      </w:tr>
      <w:tr>
        <w:trPr>
          <w:cantSplit/>
          <w:trHeight w:val="468"/>
        </w:trPr>
        <w:tc>
          <w:tcPr>
            <w:tcW w:w="455" w:type="dxa"/>
            <w:vAlign w:val="center"/>
            <w:textDirection w:val="lrTb"/>
            <w:noWrap w:val="false"/>
          </w:tcPr>
          <w:p>
            <w:pPr>
              <w:pStyle w:val="1053"/>
              <w:jc w:val="center"/>
              <w:tabs>
                <w:tab w:val="left" w:pos="1080" w:leader="none"/>
              </w:tabs>
              <w:rPr>
                <w:sz w:val="24"/>
              </w:rPr>
            </w:pPr>
            <w:r>
              <w:rPr>
                <w:sz w:val="24"/>
              </w:rPr>
              <w:t xml:space="preserve">1</w:t>
            </w:r>
            <w:r>
              <w:rPr>
                <w:sz w:val="24"/>
              </w:rPr>
            </w:r>
            <w:r/>
          </w:p>
        </w:tc>
        <w:tc>
          <w:tcPr>
            <w:tcW w:w="1066" w:type="dxa"/>
            <w:vAlign w:val="center"/>
            <w:textDirection w:val="lrTb"/>
            <w:noWrap w:val="false"/>
          </w:tcPr>
          <w:p>
            <w:pPr>
              <w:pStyle w:val="1053"/>
              <w:tabs>
                <w:tab w:val="left" w:pos="1080" w:leader="none"/>
              </w:tabs>
              <w:rPr>
                <w:sz w:val="24"/>
              </w:rPr>
            </w:pPr>
            <w:r>
              <w:rPr>
                <w:sz w:val="24"/>
              </w:rPr>
              <w:t xml:space="preserve">满足《中华人民共和国政府采购法》第二十二条规定及法律法规的其他规定</w:t>
            </w:r>
            <w:r>
              <w:rPr>
                <w:sz w:val="24"/>
              </w:rPr>
            </w:r>
            <w:r/>
          </w:p>
        </w:tc>
        <w:tc>
          <w:tcPr>
            <w:tcW w:w="2595" w:type="dxa"/>
            <w:vAlign w:val="center"/>
            <w:textDirection w:val="lrTb"/>
            <w:noWrap w:val="false"/>
          </w:tcPr>
          <w:p>
            <w:pPr>
              <w:pStyle w:val="1053"/>
              <w:tabs>
                <w:tab w:val="left" w:pos="1080" w:leader="none"/>
              </w:tabs>
              <w:rPr>
                <w:sz w:val="24"/>
              </w:rPr>
            </w:pPr>
            <w:r>
              <w:rPr>
                <w:sz w:val="24"/>
              </w:rPr>
              <w:t xml:space="preserve">具体规定见第一章《招标公告》</w:t>
            </w:r>
            <w:r>
              <w:rPr>
                <w:sz w:val="24"/>
              </w:rPr>
            </w:r>
            <w:r/>
          </w:p>
        </w:tc>
        <w:tc>
          <w:tcPr>
            <w:tcW w:w="881" w:type="dxa"/>
            <w:vAlign w:val="center"/>
            <w:textDirection w:val="lrTb"/>
            <w:noWrap w:val="false"/>
          </w:tcPr>
          <w:p>
            <w:pPr>
              <w:pStyle w:val="1053"/>
              <w:tabs>
                <w:tab w:val="left" w:pos="1080" w:leader="none"/>
              </w:tabs>
              <w:rPr>
                <w:sz w:val="24"/>
              </w:rPr>
            </w:pPr>
            <w:r>
              <w:rPr>
                <w:sz w:val="24"/>
              </w:rPr>
            </w:r>
            <w:r/>
          </w:p>
        </w:tc>
      </w:tr>
      <w:tr>
        <w:trPr>
          <w:cantSplit/>
          <w:trHeight w:val="468"/>
        </w:trPr>
        <w:tc>
          <w:tcPr>
            <w:tcW w:w="455" w:type="dxa"/>
            <w:vAlign w:val="center"/>
            <w:textDirection w:val="lrTb"/>
            <w:noWrap w:val="false"/>
          </w:tcPr>
          <w:p>
            <w:pPr>
              <w:pStyle w:val="1053"/>
              <w:jc w:val="center"/>
              <w:tabs>
                <w:tab w:val="left" w:pos="1080" w:leader="none"/>
              </w:tabs>
              <w:rPr>
                <w:sz w:val="24"/>
              </w:rPr>
            </w:pPr>
            <w:r>
              <w:rPr>
                <w:sz w:val="24"/>
              </w:rPr>
              <w:t xml:space="preserve">1</w:t>
            </w:r>
            <w:r>
              <w:rPr>
                <w:rFonts w:hint="eastAsia"/>
                <w:sz w:val="24"/>
              </w:rPr>
              <w:t xml:space="preserve">-1</w:t>
            </w:r>
            <w:r>
              <w:rPr>
                <w:sz w:val="24"/>
              </w:rPr>
            </w:r>
            <w:r/>
          </w:p>
        </w:tc>
        <w:tc>
          <w:tcPr>
            <w:tcW w:w="1066" w:type="dxa"/>
            <w:vAlign w:val="center"/>
            <w:textDirection w:val="lrTb"/>
            <w:noWrap w:val="false"/>
          </w:tcPr>
          <w:p>
            <w:pPr>
              <w:pStyle w:val="1053"/>
              <w:tabs>
                <w:tab w:val="left" w:pos="1080" w:leader="none"/>
              </w:tabs>
              <w:rPr>
                <w:sz w:val="24"/>
              </w:rPr>
            </w:pPr>
            <w:r>
              <w:rPr>
                <w:rFonts w:hint="eastAsia"/>
                <w:sz w:val="24"/>
              </w:rPr>
              <w:t xml:space="preserve">投标人资格声明函</w:t>
            </w:r>
            <w:r>
              <w:rPr>
                <w:sz w:val="24"/>
              </w:rPr>
            </w:r>
            <w:r/>
          </w:p>
        </w:tc>
        <w:tc>
          <w:tcPr>
            <w:tcW w:w="2595" w:type="dxa"/>
            <w:vAlign w:val="center"/>
            <w:textDirection w:val="lrTb"/>
            <w:noWrap w:val="false"/>
          </w:tcPr>
          <w:p>
            <w:pPr>
              <w:pStyle w:val="1053"/>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rFonts w:hint="eastAsia"/>
                <w:b/>
                <w:bCs/>
                <w:sz w:val="24"/>
                <w:lang w:val="en-US" w:eastAsia="zh-CN"/>
              </w:rPr>
              <w:t xml:space="preserve">如为联合体，则联合体各方均需提供。</w:t>
            </w:r>
            <w:r>
              <w:rPr>
                <w:sz w:val="24"/>
              </w:rPr>
            </w:r>
            <w:r/>
          </w:p>
        </w:tc>
        <w:tc>
          <w:tcPr>
            <w:tcW w:w="881" w:type="dxa"/>
            <w:vAlign w:val="center"/>
            <w:textDirection w:val="lrTb"/>
            <w:noWrap w:val="false"/>
          </w:tcPr>
          <w:p>
            <w:pPr>
              <w:pStyle w:val="1053"/>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1053"/>
              <w:jc w:val="center"/>
              <w:tabs>
                <w:tab w:val="left" w:pos="1080" w:leader="none"/>
              </w:tabs>
              <w:rPr>
                <w:sz w:val="24"/>
              </w:rPr>
            </w:pPr>
            <w:r>
              <w:rPr>
                <w:rFonts w:hint="eastAsia"/>
                <w:sz w:val="24"/>
              </w:rPr>
              <w:t xml:space="preserve">1-2</w:t>
            </w:r>
            <w:r>
              <w:rPr>
                <w:sz w:val="24"/>
              </w:rPr>
            </w:r>
            <w:r/>
          </w:p>
        </w:tc>
        <w:tc>
          <w:tcPr>
            <w:tcW w:w="1066" w:type="dxa"/>
            <w:vAlign w:val="center"/>
            <w:textDirection w:val="lrTb"/>
            <w:noWrap w:val="false"/>
          </w:tcPr>
          <w:p>
            <w:pPr>
              <w:pStyle w:val="1053"/>
              <w:tabs>
                <w:tab w:val="left" w:pos="1080" w:leader="none"/>
              </w:tabs>
              <w:rPr>
                <w:sz w:val="24"/>
              </w:rPr>
            </w:pPr>
            <w:r>
              <w:rPr>
                <w:sz w:val="24"/>
              </w:rPr>
              <w:t xml:space="preserve">投标人信用记录</w:t>
            </w:r>
            <w:r>
              <w:rPr>
                <w:sz w:val="24"/>
              </w:rPr>
            </w:r>
            <w:r/>
          </w:p>
        </w:tc>
        <w:tc>
          <w:tcPr>
            <w:tcW w:w="2595" w:type="dxa"/>
            <w:vAlign w:val="center"/>
            <w:textDirection w:val="lrTb"/>
            <w:noWrap w:val="false"/>
          </w:tcPr>
          <w:p>
            <w:pPr>
              <w:pStyle w:val="1053"/>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1053"/>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53"/>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53"/>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881" w:type="dxa"/>
            <w:vAlign w:val="center"/>
            <w:textDirection w:val="lrTb"/>
            <w:noWrap w:val="false"/>
          </w:tcPr>
          <w:p>
            <w:pPr>
              <w:pStyle w:val="1053"/>
              <w:tabs>
                <w:tab w:val="left" w:pos="1080" w:leader="none"/>
              </w:tabs>
              <w:rPr>
                <w:sz w:val="24"/>
              </w:rPr>
            </w:pPr>
            <w:r>
              <w:rPr>
                <w:sz w:val="24"/>
              </w:rPr>
              <w:t xml:space="preserve">无须投标人提供，由采购人查询。</w:t>
            </w:r>
            <w:r>
              <w:rPr>
                <w:sz w:val="24"/>
              </w:rPr>
            </w:r>
            <w:r/>
          </w:p>
        </w:tc>
      </w:tr>
      <w:tr>
        <w:trPr>
          <w:cantSplit/>
          <w:trHeight w:val="468"/>
        </w:trPr>
        <w:tc>
          <w:tcPr>
            <w:tcW w:w="455" w:type="dxa"/>
            <w:vAlign w:val="center"/>
            <w:textDirection w:val="lrTb"/>
            <w:noWrap w:val="false"/>
          </w:tcPr>
          <w:p>
            <w:pPr>
              <w:pStyle w:val="1053"/>
              <w:jc w:val="center"/>
              <w:tabs>
                <w:tab w:val="left" w:pos="1080" w:leader="none"/>
              </w:tabs>
              <w:rPr>
                <w:sz w:val="24"/>
              </w:rPr>
            </w:pPr>
            <w:r>
              <w:rPr>
                <w:sz w:val="24"/>
              </w:rPr>
              <w:t xml:space="preserve">2</w:t>
            </w:r>
            <w:r>
              <w:rPr>
                <w:sz w:val="24"/>
              </w:rPr>
            </w:r>
            <w:r/>
          </w:p>
        </w:tc>
        <w:tc>
          <w:tcPr>
            <w:tcW w:w="1066" w:type="dxa"/>
            <w:vAlign w:val="center"/>
            <w:textDirection w:val="lrTb"/>
            <w:noWrap w:val="false"/>
          </w:tcPr>
          <w:p>
            <w:pPr>
              <w:pStyle w:val="1053"/>
              <w:tabs>
                <w:tab w:val="left" w:pos="1080" w:leader="none"/>
              </w:tabs>
              <w:rPr>
                <w:sz w:val="24"/>
              </w:rPr>
            </w:pPr>
            <w:r>
              <w:rPr>
                <w:sz w:val="24"/>
              </w:rPr>
              <w:t xml:space="preserve">落实政府采购政策需满足的资格要求</w:t>
            </w:r>
            <w:r>
              <w:rPr>
                <w:sz w:val="24"/>
              </w:rPr>
            </w:r>
            <w:r/>
          </w:p>
        </w:tc>
        <w:tc>
          <w:tcPr>
            <w:tcW w:w="2595" w:type="dxa"/>
            <w:vAlign w:val="center"/>
            <w:textDirection w:val="lrTb"/>
            <w:noWrap w:val="false"/>
          </w:tcPr>
          <w:p>
            <w:pPr>
              <w:pStyle w:val="1053"/>
              <w:tabs>
                <w:tab w:val="left" w:pos="1080" w:leader="none"/>
              </w:tabs>
              <w:rPr>
                <w:sz w:val="24"/>
              </w:rPr>
            </w:pPr>
            <w:r>
              <w:rPr>
                <w:sz w:val="24"/>
              </w:rPr>
              <w:t xml:space="preserve">具体要求见第一章《招标公告》</w:t>
            </w:r>
            <w:r>
              <w:rPr>
                <w:sz w:val="24"/>
              </w:rPr>
            </w:r>
            <w:r/>
          </w:p>
        </w:tc>
        <w:tc>
          <w:tcPr>
            <w:tcW w:w="881" w:type="dxa"/>
            <w:vAlign w:val="center"/>
            <w:textDirection w:val="lrTb"/>
            <w:noWrap w:val="false"/>
          </w:tcPr>
          <w:p>
            <w:pPr>
              <w:pStyle w:val="1053"/>
              <w:tabs>
                <w:tab w:val="left" w:pos="1080" w:leader="none"/>
              </w:tabs>
              <w:rPr>
                <w:sz w:val="24"/>
              </w:rPr>
            </w:pPr>
            <w:r>
              <w:rPr>
                <w:sz w:val="24"/>
              </w:rPr>
            </w:r>
            <w:r/>
          </w:p>
        </w:tc>
      </w:tr>
      <w:tr>
        <w:trPr>
          <w:cantSplit/>
          <w:trHeight w:val="468"/>
        </w:trPr>
        <w:tc>
          <w:tcPr>
            <w:tcW w:w="455" w:type="dxa"/>
            <w:vAlign w:val="center"/>
            <w:textDirection w:val="lrTb"/>
            <w:noWrap w:val="false"/>
          </w:tcPr>
          <w:p>
            <w:pPr>
              <w:pStyle w:val="1053"/>
              <w:jc w:val="center"/>
              <w:tabs>
                <w:tab w:val="left" w:pos="1080" w:leader="none"/>
              </w:tabs>
              <w:rPr>
                <w:sz w:val="24"/>
              </w:rPr>
            </w:pPr>
            <w:r>
              <w:rPr>
                <w:sz w:val="24"/>
              </w:rPr>
              <w:t xml:space="preserve">2-</w:t>
            </w:r>
            <w:r>
              <w:rPr>
                <w:rFonts w:hint="eastAsia"/>
                <w:sz w:val="24"/>
              </w:rPr>
              <w:t xml:space="preserve">2</w:t>
            </w:r>
            <w:r>
              <w:rPr>
                <w:sz w:val="24"/>
              </w:rPr>
            </w:r>
            <w:r/>
          </w:p>
        </w:tc>
        <w:tc>
          <w:tcPr>
            <w:tcW w:w="1066" w:type="dxa"/>
            <w:vAlign w:val="center"/>
            <w:textDirection w:val="lrTb"/>
            <w:noWrap w:val="false"/>
          </w:tcPr>
          <w:p>
            <w:pPr>
              <w:pStyle w:val="1053"/>
              <w:tabs>
                <w:tab w:val="left" w:pos="1080" w:leader="none"/>
              </w:tabs>
              <w:rPr>
                <w:sz w:val="24"/>
              </w:rPr>
            </w:pPr>
            <w:r>
              <w:rPr>
                <w:sz w:val="24"/>
              </w:rPr>
              <w:t xml:space="preserve">其它落实政府采购政策的资格要求</w:t>
            </w:r>
            <w:r>
              <w:rPr>
                <w:sz w:val="24"/>
              </w:rPr>
            </w:r>
            <w:r/>
          </w:p>
        </w:tc>
        <w:tc>
          <w:tcPr>
            <w:tcW w:w="2595" w:type="dxa"/>
            <w:vAlign w:val="center"/>
            <w:textDirection w:val="lrTb"/>
            <w:noWrap w:val="false"/>
          </w:tcPr>
          <w:p>
            <w:pPr>
              <w:pStyle w:val="1053"/>
              <w:tabs>
                <w:tab w:val="left" w:pos="1080" w:leader="none"/>
              </w:tabs>
              <w:rPr>
                <w:sz w:val="24"/>
              </w:rPr>
            </w:pPr>
            <w:r>
              <w:rPr>
                <w:sz w:val="24"/>
              </w:rPr>
              <w:t xml:space="preserve">无</w:t>
            </w:r>
            <w:r>
              <w:rPr>
                <w:sz w:val="24"/>
              </w:rPr>
            </w:r>
            <w:r/>
          </w:p>
        </w:tc>
        <w:tc>
          <w:tcPr>
            <w:tcW w:w="881" w:type="dxa"/>
            <w:vAlign w:val="center"/>
            <w:textDirection w:val="lrTb"/>
            <w:noWrap w:val="false"/>
          </w:tcPr>
          <w:p>
            <w:pPr>
              <w:pStyle w:val="1053"/>
              <w:jc w:val="center"/>
              <w:tabs>
                <w:tab w:val="left" w:pos="1080" w:leader="none"/>
              </w:tabs>
              <w:rPr>
                <w:sz w:val="24"/>
              </w:rPr>
            </w:pPr>
            <w:r>
              <w:rPr>
                <w:sz w:val="24"/>
              </w:rPr>
            </w:r>
            <w:r/>
          </w:p>
        </w:tc>
      </w:tr>
      <w:tr>
        <w:trPr>
          <w:cantSplit/>
          <w:trHeight w:val="468"/>
        </w:trPr>
        <w:tc>
          <w:tcPr>
            <w:tcW w:w="455" w:type="dxa"/>
            <w:vAlign w:val="center"/>
            <w:textDirection w:val="lrTb"/>
            <w:noWrap w:val="false"/>
          </w:tcPr>
          <w:p>
            <w:pPr>
              <w:pStyle w:val="1053"/>
              <w:jc w:val="center"/>
              <w:tabs>
                <w:tab w:val="left" w:pos="1080" w:leader="none"/>
              </w:tabs>
              <w:rPr>
                <w:sz w:val="24"/>
              </w:rPr>
            </w:pPr>
            <w:r>
              <w:rPr>
                <w:sz w:val="24"/>
              </w:rPr>
              <w:t xml:space="preserve">3</w:t>
            </w:r>
            <w:r>
              <w:rPr>
                <w:sz w:val="24"/>
              </w:rPr>
            </w:r>
            <w:r/>
          </w:p>
        </w:tc>
        <w:tc>
          <w:tcPr>
            <w:tcW w:w="1066" w:type="dxa"/>
            <w:vAlign w:val="center"/>
            <w:textDirection w:val="lrTb"/>
            <w:noWrap w:val="false"/>
          </w:tcPr>
          <w:p>
            <w:pPr>
              <w:pStyle w:val="1053"/>
              <w:tabs>
                <w:tab w:val="left" w:pos="1080" w:leader="none"/>
              </w:tabs>
              <w:rPr>
                <w:sz w:val="24"/>
              </w:rPr>
            </w:pPr>
            <w:r>
              <w:rPr>
                <w:sz w:val="24"/>
              </w:rPr>
              <w:t xml:space="preserve">本项目的特定资格要求</w:t>
            </w:r>
            <w:r>
              <w:rPr>
                <w:sz w:val="24"/>
              </w:rPr>
            </w:r>
            <w:r/>
          </w:p>
        </w:tc>
        <w:tc>
          <w:tcPr>
            <w:tcW w:w="2595" w:type="dxa"/>
            <w:vAlign w:val="center"/>
            <w:textDirection w:val="lrTb"/>
            <w:noWrap w:val="false"/>
          </w:tcPr>
          <w:p>
            <w:pPr>
              <w:pStyle w:val="1053"/>
              <w:tabs>
                <w:tab w:val="left" w:pos="1080" w:leader="none"/>
              </w:tabs>
              <w:rPr>
                <w:sz w:val="24"/>
              </w:rPr>
            </w:pPr>
            <w:r>
              <w:rPr>
                <w:sz w:val="24"/>
              </w:rPr>
              <w:t xml:space="preserve">如有，见第一章《招标公告》</w:t>
            </w:r>
            <w:r>
              <w:rPr>
                <w:sz w:val="24"/>
              </w:rPr>
            </w:r>
            <w:r/>
          </w:p>
        </w:tc>
        <w:tc>
          <w:tcPr>
            <w:tcW w:w="881" w:type="dxa"/>
            <w:vAlign w:val="center"/>
            <w:textDirection w:val="lrTb"/>
            <w:noWrap w:val="false"/>
          </w:tcPr>
          <w:p>
            <w:pPr>
              <w:pStyle w:val="1053"/>
              <w:tabs>
                <w:tab w:val="left" w:pos="1080" w:leader="none"/>
              </w:tabs>
              <w:rPr>
                <w:sz w:val="24"/>
              </w:rPr>
            </w:pPr>
            <w:r>
              <w:rPr>
                <w:sz w:val="24"/>
              </w:rPr>
            </w:r>
            <w:r/>
          </w:p>
        </w:tc>
      </w:tr>
      <w:tr>
        <w:trPr>
          <w:cantSplit/>
          <w:trHeight w:val="698"/>
        </w:trPr>
        <w:tc>
          <w:tcPr>
            <w:tcW w:w="455" w:type="dxa"/>
            <w:vAlign w:val="center"/>
            <w:textDirection w:val="lrTb"/>
            <w:noWrap w:val="false"/>
          </w:tcPr>
          <w:p>
            <w:pPr>
              <w:pStyle w:val="1053"/>
              <w:jc w:val="center"/>
              <w:tabs>
                <w:tab w:val="left" w:pos="1080" w:leader="none"/>
              </w:tabs>
              <w:rPr>
                <w:sz w:val="24"/>
              </w:rPr>
            </w:pPr>
            <w:r>
              <w:rPr>
                <w:sz w:val="24"/>
              </w:rPr>
              <w:t xml:space="preserve">3-1</w:t>
            </w:r>
            <w:r>
              <w:rPr>
                <w:sz w:val="24"/>
              </w:rPr>
            </w:r>
            <w:r/>
          </w:p>
        </w:tc>
        <w:tc>
          <w:tcPr>
            <w:tcW w:w="1066" w:type="dxa"/>
            <w:vAlign w:val="center"/>
            <w:textDirection w:val="lrTb"/>
            <w:noWrap w:val="false"/>
          </w:tcPr>
          <w:p>
            <w:pPr>
              <w:pStyle w:val="1053"/>
              <w:tabs>
                <w:tab w:val="left" w:pos="1080" w:leader="none"/>
              </w:tabs>
              <w:rPr>
                <w:sz w:val="24"/>
              </w:rPr>
            </w:pPr>
            <w:r>
              <w:rPr>
                <w:sz w:val="24"/>
              </w:rPr>
              <w:t xml:space="preserve">是否接受联合体投标</w:t>
            </w:r>
            <w:r>
              <w:rPr>
                <w:sz w:val="24"/>
              </w:rPr>
            </w:r>
            <w:r/>
          </w:p>
        </w:tc>
        <w:tc>
          <w:tcPr>
            <w:tcW w:w="4822" w:type="dxa"/>
            <w:vAlign w:val="center"/>
            <w:textDirection w:val="lrTb"/>
            <w:noWrap w:val="false"/>
          </w:tcPr>
          <w:p>
            <w:pPr>
              <w:pStyle w:val="1053"/>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1、本项目接受联合体响应，供应商为联合体时必须提供《联合协议》，明确各方拟承担的工作和责任，并指定联合体</w:t>
            </w:r>
            <w:r>
              <w:rPr>
                <w:rFonts w:hint="eastAsia" w:ascii="Times New Roman" w:hAnsi="Times New Roman" w:eastAsia="宋体" w:cs="Times New Roman"/>
                <w:sz w:val="24"/>
              </w:rPr>
              <w:t xml:space="preserve">牵头人</w:t>
            </w:r>
            <w:r>
              <w:rPr>
                <w:rFonts w:ascii="Times New Roman" w:hAnsi="Times New Roman" w:eastAsia="宋体" w:cs="Times New Roman"/>
                <w:sz w:val="24"/>
              </w:rPr>
              <w:t xml:space="preserve">，授权其代表所有联合体成员负责本项目响应和合同实施阶段的</w:t>
            </w:r>
            <w:r>
              <w:rPr>
                <w:rFonts w:hint="eastAsia" w:ascii="Times New Roman" w:hAnsi="Times New Roman" w:eastAsia="宋体" w:cs="Times New Roman"/>
                <w:sz w:val="24"/>
              </w:rPr>
              <w:t xml:space="preserve">牵头</w:t>
            </w:r>
            <w:r>
              <w:rPr>
                <w:rFonts w:ascii="Times New Roman" w:hAnsi="Times New Roman" w:eastAsia="宋体" w:cs="Times New Roman"/>
                <w:sz w:val="24"/>
              </w:rPr>
              <w:t xml:space="preserve">、协调工作。该联合协议作为响应文件的组成部分，与响应文件其他内容同时递交。</w:t>
            </w:r>
            <w:r>
              <w:rPr>
                <w:rFonts w:ascii="Times New Roman" w:hAnsi="Times New Roman" w:eastAsia="宋体" w:cs="Times New Roman"/>
                <w:sz w:val="24"/>
              </w:rPr>
            </w:r>
            <w:r/>
          </w:p>
          <w:p>
            <w:pPr>
              <w:pStyle w:val="1053"/>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联合体各成员单位均须提供本表中序号1-1、1-2的证明文件。</w:t>
            </w:r>
            <w:r>
              <w:rPr>
                <w:rFonts w:ascii="Times New Roman" w:hAnsi="Times New Roman" w:eastAsia="宋体" w:cs="Times New Roman"/>
                <w:sz w:val="24"/>
              </w:rPr>
            </w:r>
            <w:r/>
          </w:p>
          <w:p>
            <w:pPr>
              <w:pStyle w:val="1053"/>
              <w:tabs>
                <w:tab w:val="left" w:pos="1080" w:leader="none"/>
              </w:tabs>
              <w:rPr>
                <w:sz w:val="24"/>
              </w:rPr>
            </w:pPr>
            <w:r>
              <w:rPr>
                <w:rFonts w:hint="eastAsia" w:ascii="Times New Roman" w:hAnsi="Times New Roman" w:eastAsia="宋体" w:cs="Times New Roman"/>
                <w:sz w:val="24"/>
              </w:rPr>
              <w:t xml:space="preserve">3、本表序号3-2项规定的其他特定资格要求，联合体各方中至少有一方符合并提供证明文件。</w:t>
            </w:r>
            <w:r>
              <w:rPr>
                <w:sz w:val="24"/>
              </w:rPr>
            </w:r>
            <w:r/>
          </w:p>
        </w:tc>
        <w:tc>
          <w:tcPr>
            <w:tcW w:w="1638" w:type="dxa"/>
            <w:vAlign w:val="center"/>
            <w:textDirection w:val="lrTb"/>
            <w:noWrap w:val="false"/>
          </w:tcPr>
          <w:p>
            <w:pPr>
              <w:pStyle w:val="1053"/>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提供《联合协议》</w:t>
            </w:r>
            <w:r>
              <w:rPr>
                <w:rFonts w:hint="eastAsia" w:ascii="Times New Roman" w:hAnsi="Times New Roman" w:eastAsia="宋体" w:cs="Times New Roman"/>
                <w:sz w:val="24"/>
              </w:rPr>
              <w:t xml:space="preserve">原</w:t>
            </w:r>
            <w:r>
              <w:rPr>
                <w:rFonts w:ascii="Times New Roman" w:hAnsi="Times New Roman" w:eastAsia="宋体" w:cs="Times New Roman"/>
                <w:sz w:val="24"/>
              </w:rPr>
              <w:t xml:space="preserve">件的电子件</w:t>
            </w:r>
            <w:r>
              <w:rPr>
                <w:rFonts w:ascii="Times New Roman" w:hAnsi="Times New Roman" w:eastAsia="宋体" w:cs="Times New Roman"/>
                <w:sz w:val="24"/>
              </w:rPr>
            </w:r>
            <w:r/>
          </w:p>
          <w:p>
            <w:pPr>
              <w:pStyle w:val="1053"/>
              <w:tabs>
                <w:tab w:val="left" w:pos="1080" w:leader="none"/>
              </w:tabs>
              <w:rPr>
                <w:sz w:val="24"/>
              </w:rPr>
            </w:pPr>
            <w:r>
              <w:rPr>
                <w:rFonts w:ascii="Times New Roman" w:hAnsi="Times New Roman" w:eastAsia="宋体" w:cs="Times New Roman"/>
                <w:sz w:val="24"/>
              </w:rPr>
              <w:t xml:space="preserve">格式见《响应文件格式》</w:t>
            </w:r>
            <w:r>
              <w:rPr>
                <w:sz w:val="24"/>
              </w:rPr>
            </w:r>
            <w:r/>
          </w:p>
        </w:tc>
      </w:tr>
      <w:tr>
        <w:trPr>
          <w:cantSplit/>
          <w:trHeight w:val="460"/>
        </w:trPr>
        <w:tc>
          <w:tcPr>
            <w:tcW w:w="455" w:type="dxa"/>
            <w:vAlign w:val="center"/>
            <w:textDirection w:val="lrTb"/>
            <w:noWrap w:val="false"/>
          </w:tcPr>
          <w:p>
            <w:pPr>
              <w:pStyle w:val="1053"/>
              <w:jc w:val="center"/>
              <w:tabs>
                <w:tab w:val="left" w:pos="1080" w:leader="none"/>
              </w:tabs>
              <w:rPr>
                <w:sz w:val="24"/>
              </w:rPr>
            </w:pPr>
            <w:r>
              <w:rPr>
                <w:rFonts w:hint="eastAsia"/>
                <w:sz w:val="24"/>
                <w:lang w:val="en-US" w:eastAsia="zh-CN"/>
              </w:rPr>
              <w:t xml:space="preserve">3-2</w:t>
            </w:r>
            <w:r>
              <w:rPr>
                <w:sz w:val="24"/>
              </w:rPr>
            </w:r>
            <w:r/>
          </w:p>
        </w:tc>
        <w:tc>
          <w:tcPr>
            <w:tcW w:w="1066" w:type="dxa"/>
            <w:vAlign w:val="center"/>
            <w:textDirection w:val="lrTb"/>
            <w:noWrap w:val="false"/>
          </w:tcPr>
          <w:p>
            <w:pPr>
              <w:pStyle w:val="1053"/>
              <w:tabs>
                <w:tab w:val="left" w:pos="1080" w:leader="none"/>
              </w:tabs>
              <w:rPr>
                <w:sz w:val="24"/>
              </w:rPr>
            </w:pPr>
            <w:r>
              <w:rPr>
                <w:rFonts w:hint="eastAsia"/>
                <w:sz w:val="24"/>
                <w:lang w:val="en-US" w:eastAsia="zh-CN"/>
              </w:rPr>
              <w:t xml:space="preserve">其他特定资格要求</w:t>
            </w:r>
            <w:r>
              <w:rPr>
                <w:sz w:val="24"/>
              </w:rPr>
            </w:r>
            <w:r/>
          </w:p>
        </w:tc>
        <w:tc>
          <w:tcPr>
            <w:tcW w:w="2595" w:type="dxa"/>
            <w:vAlign w:val="center"/>
            <w:textDirection w:val="lrTb"/>
            <w:noWrap w:val="false"/>
          </w:tcPr>
          <w:p>
            <w:pPr>
              <w:pStyle w:val="1053"/>
              <w:tabs>
                <w:tab w:val="left" w:pos="1080" w:leader="none"/>
              </w:tabs>
              <w:rPr>
                <w:rFonts w:hint="eastAsia" w:eastAsia="宋体"/>
                <w:sz w:val="24"/>
                <w:lang w:eastAsia="zh-CN"/>
              </w:rPr>
            </w:pPr>
            <w:r>
              <w:rPr>
                <w:rFonts w:hint="eastAsia"/>
                <w:sz w:val="24"/>
                <w:lang w:val="en-US" w:eastAsia="zh-CN"/>
              </w:rPr>
              <w:t xml:space="preserve">无</w:t>
            </w:r>
            <w:r>
              <w:rPr>
                <w:rFonts w:hint="eastAsia" w:eastAsia="宋体"/>
                <w:sz w:val="24"/>
                <w:lang w:eastAsia="zh-CN"/>
              </w:rPr>
            </w:r>
            <w:r/>
          </w:p>
        </w:tc>
        <w:tc>
          <w:tcPr>
            <w:tcW w:w="881" w:type="dxa"/>
            <w:vAlign w:val="center"/>
            <w:textDirection w:val="lrTb"/>
            <w:noWrap w:val="false"/>
          </w:tcPr>
          <w:p>
            <w:pPr>
              <w:pStyle w:val="1053"/>
              <w:tabs>
                <w:tab w:val="left" w:pos="1080" w:leader="none"/>
              </w:tabs>
              <w:rPr>
                <w:sz w:val="24"/>
              </w:rPr>
            </w:pPr>
            <w:r>
              <w:rPr>
                <w:sz w:val="24"/>
              </w:rPr>
            </w:r>
            <w:r/>
          </w:p>
        </w:tc>
      </w:tr>
    </w:tbl>
    <w:p>
      <w:pPr>
        <w:pStyle w:val="1053"/>
        <w:jc w:val="left"/>
        <w:widowControl/>
        <w:rPr>
          <w:sz w:val="24"/>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353825550"/>
      <w:r/>
      <w:bookmarkStart w:id="727" w:name="_Toc127161490"/>
      <w:r/>
      <w:bookmarkStart w:id="728" w:name="_Toc226965858"/>
      <w:r/>
      <w:bookmarkStart w:id="729" w:name="_Toc127151779"/>
      <w:r/>
      <w:bookmarkStart w:id="730" w:name="_Toc353873940"/>
      <w:r>
        <w:rPr>
          <w:sz w:val="24"/>
        </w:rPr>
        <w:br w:type="page" w:clear="all"/>
      </w:r>
      <w:r>
        <w:rPr>
          <w:sz w:val="24"/>
        </w:rPr>
      </w:r>
      <w:r/>
    </w:p>
    <w:p>
      <w:pPr>
        <w:pStyle w:val="1053"/>
        <w:jc w:val="center"/>
        <w:spacing w:line="360" w:lineRule="auto"/>
        <w:rPr>
          <w:b/>
          <w:sz w:val="36"/>
          <w:szCs w:val="36"/>
        </w:rPr>
        <w:outlineLvl w:val="0"/>
      </w:pPr>
      <w:r/>
      <w:bookmarkStart w:id="731" w:name="_Toc99301423"/>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1053"/>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53"/>
        <w:numPr>
          <w:ilvl w:val="0"/>
          <w:numId w:val="12"/>
        </w:numPr>
        <w:spacing w:line="360" w:lineRule="auto"/>
        <w:tabs>
          <w:tab w:val="left" w:pos="360" w:leader="none"/>
          <w:tab w:val="left" w:pos="900" w:leader="none"/>
        </w:tabs>
        <w:rPr>
          <w:sz w:val="24"/>
        </w:rPr>
        <w:outlineLvl w:val="1"/>
      </w:pPr>
      <w:r/>
      <w:bookmarkStart w:id="733" w:name="_Toc151193855"/>
      <w:r/>
      <w:bookmarkStart w:id="734" w:name="_Toc305158883"/>
      <w:r/>
      <w:bookmarkStart w:id="735" w:name="_Toc151193783"/>
      <w:r/>
      <w:bookmarkStart w:id="736" w:name="_Toc150509292"/>
      <w:r/>
      <w:bookmarkStart w:id="737" w:name="_Toc150774641"/>
      <w:r/>
      <w:bookmarkStart w:id="738" w:name="_Toc164229382"/>
      <w:r/>
      <w:bookmarkStart w:id="739" w:name="_Toc265228379"/>
      <w:r/>
      <w:bookmarkStart w:id="740" w:name="_Toc142311043"/>
      <w:r/>
      <w:bookmarkStart w:id="741" w:name="_Toc164351635"/>
      <w:r/>
      <w:bookmarkStart w:id="742" w:name="_Toc164608655"/>
      <w:r/>
      <w:bookmarkStart w:id="743" w:name="_Toc164608810"/>
      <w:r/>
      <w:bookmarkStart w:id="744" w:name="_Toc195842906"/>
      <w:r/>
      <w:bookmarkStart w:id="745" w:name="_Toc151193929"/>
      <w:r/>
      <w:bookmarkStart w:id="746" w:name="_Toc150774746"/>
      <w:r/>
      <w:bookmarkStart w:id="747" w:name="_Toc151193711"/>
      <w:r/>
      <w:bookmarkStart w:id="748" w:name="_Toc226965814"/>
      <w:r/>
      <w:bookmarkStart w:id="749" w:name="_Toc127151742"/>
      <w:r/>
      <w:bookmarkStart w:id="750" w:name="_Toc127161455"/>
      <w:r/>
      <w:bookmarkStart w:id="751" w:name="_Toc150480779"/>
      <w:r/>
      <w:bookmarkStart w:id="752" w:name="_Toc226965731"/>
      <w:r/>
      <w:bookmarkStart w:id="753" w:name="_Toc226309785"/>
      <w:r/>
      <w:bookmarkStart w:id="754" w:name="_Toc151193639"/>
      <w:r/>
      <w:bookmarkStart w:id="755" w:name="_Toc151190168"/>
      <w:r/>
      <w:bookmarkStart w:id="756" w:name="_Toc127151541"/>
      <w:r/>
      <w:bookmarkStart w:id="757" w:name="_Toc149720834"/>
      <w:r/>
      <w:bookmarkStart w:id="758" w:name="_Toc226337237"/>
      <w:r/>
      <w:bookmarkStart w:id="759" w:name="_Toc305158809"/>
      <w:r/>
      <w:bookmarkStart w:id="760" w:name="_Toc264969231"/>
      <w:r/>
      <w:bookmarkStart w:id="761" w:name="_Toc164229236"/>
      <w:r/>
      <w:bookmarkStart w:id="762" w:name="_Toc353873941"/>
      <w:r/>
      <w:bookmarkStart w:id="763" w:name="_Toc353825551"/>
      <w:r/>
      <w:bookmarkStart w:id="764" w:name="_Toc353873665"/>
      <w:r/>
      <w:bookmarkStart w:id="765" w:name="_Toc150480793"/>
      <w:r/>
      <w:bookmarkStart w:id="766" w:name="_Toc305158897"/>
      <w:r/>
      <w:bookmarkStart w:id="767" w:name="_Toc142311057"/>
      <w:r/>
      <w:bookmarkStart w:id="768" w:name="_Toc265228393"/>
      <w:r/>
      <w:bookmarkStart w:id="769" w:name="_Toc226337251"/>
      <w:r/>
      <w:bookmarkStart w:id="770" w:name="_Toc264969245"/>
      <w:r/>
      <w:bookmarkStart w:id="771" w:name="_Toc195842920"/>
      <w:r/>
      <w:bookmarkStart w:id="772" w:name="_Toc353825545"/>
      <w:r/>
      <w:bookmarkStart w:id="773" w:name="_Toc305158823"/>
      <w:r/>
      <w:bookmarkStart w:id="774" w:name="_Toc353873935"/>
      <w:r/>
      <w:bookmarkStart w:id="775" w:name="_Toc226965828"/>
      <w:r/>
      <w:bookmarkStart w:id="776" w:name="_Toc127151555"/>
      <w:r/>
      <w:bookmarkStart w:id="777" w:name="_Toc150774760"/>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53"/>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trHeight w:val="300"/>
        </w:trPr>
        <w:tc>
          <w:tcPr>
            <w:tcW w:w="403" w:type="dxa"/>
            <w:vAlign w:val="center"/>
            <w:textDirection w:val="lrTb"/>
            <w:noWrap w:val="false"/>
          </w:tcPr>
          <w:p>
            <w:pPr>
              <w:pStyle w:val="1053"/>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1053"/>
              <w:jc w:val="center"/>
              <w:widowControl/>
              <w:rPr>
                <w:b/>
                <w:color w:val="000000"/>
                <w:sz w:val="24"/>
              </w:rPr>
            </w:pPr>
            <w:r>
              <w:rPr>
                <w:b/>
                <w:color w:val="000000"/>
                <w:sz w:val="24"/>
              </w:rPr>
              <w:t xml:space="preserve">审查因素</w:t>
            </w:r>
            <w:r>
              <w:rPr>
                <w:b/>
                <w:color w:val="000000"/>
                <w:sz w:val="24"/>
              </w:rPr>
            </w:r>
            <w:r/>
          </w:p>
        </w:tc>
        <w:tc>
          <w:tcPr>
            <w:tcW w:w="3620" w:type="dxa"/>
            <w:vAlign w:val="center"/>
            <w:textDirection w:val="lrTb"/>
            <w:noWrap w:val="false"/>
          </w:tcPr>
          <w:p>
            <w:pPr>
              <w:pStyle w:val="1053"/>
              <w:jc w:val="center"/>
              <w:widowControl/>
              <w:rPr>
                <w:b/>
                <w:color w:val="000000"/>
                <w:sz w:val="24"/>
              </w:rPr>
            </w:pPr>
            <w:r>
              <w:rPr>
                <w:b/>
                <w:color w:val="000000"/>
                <w:sz w:val="24"/>
              </w:rPr>
              <w:t xml:space="preserve">审查内容</w:t>
            </w:r>
            <w:r>
              <w:rPr>
                <w:b/>
                <w:color w:val="000000"/>
                <w:sz w:val="24"/>
              </w:rPr>
            </w:r>
            <w:r/>
          </w:p>
        </w:tc>
      </w:tr>
      <w:tr>
        <w:trPr>
          <w:trHeight w:val="685"/>
        </w:trPr>
        <w:tc>
          <w:tcPr>
            <w:tcW w:w="403" w:type="dxa"/>
            <w:vAlign w:val="center"/>
            <w:textDirection w:val="lrTb"/>
            <w:noWrap w:val="false"/>
          </w:tcPr>
          <w:p>
            <w:pPr>
              <w:pStyle w:val="1053"/>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1053"/>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620" w:type="dxa"/>
            <w:vAlign w:val="center"/>
            <w:textDirection w:val="lrTb"/>
            <w:noWrap w:val="false"/>
          </w:tcPr>
          <w:p>
            <w:pPr>
              <w:pStyle w:val="1053"/>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1053"/>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1053"/>
              <w:jc w:val="left"/>
              <w:widowControl/>
              <w:rPr>
                <w:color w:val="000000"/>
                <w:sz w:val="24"/>
              </w:rPr>
            </w:pPr>
            <w:r>
              <w:rPr>
                <w:color w:val="000000"/>
                <w:sz w:val="24"/>
              </w:rPr>
              <w:t xml:space="preserve">投标完整性</w:t>
            </w:r>
            <w:r>
              <w:rPr>
                <w:color w:val="000000"/>
                <w:sz w:val="24"/>
              </w:rPr>
            </w:r>
            <w:r/>
          </w:p>
        </w:tc>
        <w:tc>
          <w:tcPr>
            <w:tcW w:w="3620" w:type="dxa"/>
            <w:vAlign w:val="center"/>
            <w:textDirection w:val="lrTb"/>
            <w:noWrap w:val="false"/>
          </w:tcPr>
          <w:p>
            <w:pPr>
              <w:pStyle w:val="1053"/>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403" w:type="dxa"/>
            <w:vAlign w:val="center"/>
            <w:textDirection w:val="lrTb"/>
            <w:noWrap w:val="false"/>
          </w:tcPr>
          <w:p>
            <w:pPr>
              <w:pStyle w:val="1053"/>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1053"/>
              <w:jc w:val="left"/>
              <w:widowControl/>
              <w:rPr>
                <w:color w:val="000000"/>
                <w:sz w:val="24"/>
              </w:rPr>
            </w:pPr>
            <w:r>
              <w:rPr>
                <w:color w:val="000000"/>
                <w:sz w:val="24"/>
              </w:rPr>
              <w:t xml:space="preserve">投标报价</w:t>
            </w:r>
            <w:r>
              <w:rPr>
                <w:color w:val="000000"/>
                <w:sz w:val="24"/>
              </w:rPr>
            </w:r>
            <w:r/>
          </w:p>
        </w:tc>
        <w:tc>
          <w:tcPr>
            <w:tcW w:w="3620" w:type="dxa"/>
            <w:vAlign w:val="center"/>
            <w:textDirection w:val="lrTb"/>
            <w:noWrap w:val="false"/>
          </w:tcPr>
          <w:p>
            <w:pPr>
              <w:pStyle w:val="1053"/>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1053"/>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1053"/>
              <w:jc w:val="left"/>
              <w:widowControl/>
              <w:rPr>
                <w:color w:val="000000"/>
                <w:sz w:val="24"/>
              </w:rPr>
            </w:pPr>
            <w:r>
              <w:rPr>
                <w:color w:val="000000"/>
                <w:sz w:val="24"/>
              </w:rPr>
              <w:t xml:space="preserve">报价唯一性</w:t>
            </w:r>
            <w:r>
              <w:rPr>
                <w:color w:val="000000"/>
                <w:sz w:val="24"/>
              </w:rPr>
            </w:r>
            <w:r/>
          </w:p>
        </w:tc>
        <w:tc>
          <w:tcPr>
            <w:tcW w:w="3620" w:type="dxa"/>
            <w:vAlign w:val="center"/>
            <w:textDirection w:val="lrTb"/>
            <w:noWrap w:val="false"/>
          </w:tcPr>
          <w:p>
            <w:pPr>
              <w:pStyle w:val="1053"/>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1053"/>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1053"/>
              <w:jc w:val="left"/>
              <w:widowControl/>
              <w:rPr>
                <w:color w:val="000000"/>
                <w:sz w:val="24"/>
              </w:rPr>
            </w:pPr>
            <w:r>
              <w:rPr>
                <w:color w:val="000000"/>
                <w:sz w:val="24"/>
              </w:rPr>
              <w:t xml:space="preserve">投标有效期</w:t>
            </w:r>
            <w:r>
              <w:rPr>
                <w:color w:val="000000"/>
                <w:sz w:val="24"/>
              </w:rPr>
            </w:r>
            <w:r/>
          </w:p>
        </w:tc>
        <w:tc>
          <w:tcPr>
            <w:tcW w:w="3620" w:type="dxa"/>
            <w:vAlign w:val="center"/>
            <w:textDirection w:val="lrTb"/>
            <w:noWrap w:val="false"/>
          </w:tcPr>
          <w:p>
            <w:pPr>
              <w:pStyle w:val="1053"/>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403" w:type="dxa"/>
            <w:vAlign w:val="center"/>
            <w:textDirection w:val="lrTb"/>
            <w:noWrap w:val="false"/>
          </w:tcPr>
          <w:p>
            <w:pPr>
              <w:pStyle w:val="1053"/>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1053"/>
              <w:jc w:val="left"/>
              <w:widowControl/>
              <w:rPr>
                <w:color w:val="000000"/>
                <w:sz w:val="24"/>
              </w:rPr>
            </w:pPr>
            <w:r>
              <w:rPr>
                <w:color w:val="000000"/>
                <w:sz w:val="24"/>
              </w:rPr>
              <w:t xml:space="preserve">签署、加盖公章</w:t>
            </w:r>
            <w:r>
              <w:rPr>
                <w:color w:val="000000"/>
                <w:sz w:val="24"/>
              </w:rPr>
            </w:r>
            <w:r/>
          </w:p>
        </w:tc>
        <w:tc>
          <w:tcPr>
            <w:tcW w:w="3620" w:type="dxa"/>
            <w:vAlign w:val="center"/>
            <w:textDirection w:val="lrTb"/>
            <w:noWrap w:val="false"/>
          </w:tcPr>
          <w:p>
            <w:pPr>
              <w:pStyle w:val="1053"/>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403" w:type="dxa"/>
            <w:vAlign w:val="center"/>
            <w:textDirection w:val="lrTb"/>
            <w:noWrap w:val="false"/>
          </w:tcPr>
          <w:p>
            <w:pPr>
              <w:pStyle w:val="1053"/>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1053"/>
              <w:jc w:val="left"/>
              <w:widowControl/>
              <w:rPr>
                <w:color w:val="000000"/>
                <w:sz w:val="24"/>
              </w:rPr>
            </w:pPr>
            <w:r>
              <w:rPr>
                <w:rFonts w:hint="eastAsia"/>
                <w:color w:val="000000"/>
                <w:sz w:val="24"/>
              </w:rPr>
              <w:t xml:space="preserve">实质性格式</w:t>
            </w:r>
            <w:r>
              <w:rPr>
                <w:color w:val="000000"/>
                <w:sz w:val="24"/>
              </w:rPr>
            </w:r>
            <w:r/>
          </w:p>
        </w:tc>
        <w:tc>
          <w:tcPr>
            <w:tcW w:w="3620" w:type="dxa"/>
            <w:vAlign w:val="center"/>
            <w:textDirection w:val="lrTb"/>
            <w:noWrap w:val="false"/>
          </w:tcPr>
          <w:p>
            <w:pPr>
              <w:pStyle w:val="1053"/>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403" w:type="dxa"/>
            <w:vAlign w:val="center"/>
            <w:textDirection w:val="lrTb"/>
            <w:noWrap w:val="false"/>
          </w:tcPr>
          <w:p>
            <w:pPr>
              <w:pStyle w:val="1053"/>
              <w:jc w:val="center"/>
              <w:widowControl/>
              <w:rPr>
                <w:rFonts w:hint="eastAsia"/>
                <w:color w:val="000000"/>
                <w:sz w:val="24"/>
              </w:rPr>
            </w:pPr>
            <w:r>
              <w:rPr>
                <w:color w:val="000000"/>
                <w:sz w:val="24"/>
              </w:rPr>
              <w:t xml:space="preserve">8</w:t>
            </w:r>
            <w:r>
              <w:rPr>
                <w:rFonts w:hint="eastAsia"/>
                <w:color w:val="000000"/>
                <w:sz w:val="24"/>
              </w:rPr>
            </w:r>
            <w:r/>
          </w:p>
        </w:tc>
        <w:tc>
          <w:tcPr>
            <w:tcW w:w="975" w:type="dxa"/>
            <w:vAlign w:val="center"/>
            <w:textDirection w:val="lrTb"/>
            <w:noWrap w:val="false"/>
          </w:tcPr>
          <w:p>
            <w:pPr>
              <w:pStyle w:val="1053"/>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620" w:type="dxa"/>
            <w:vAlign w:val="center"/>
            <w:textDirection w:val="lrTb"/>
            <w:noWrap w:val="false"/>
          </w:tcPr>
          <w:p>
            <w:pPr>
              <w:pStyle w:val="1053"/>
              <w:jc w:val="left"/>
              <w:widowControl/>
              <w:rPr>
                <w:rFonts w:hint="eastAsia"/>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color w:val="000000"/>
                <w:sz w:val="24"/>
              </w:rPr>
            </w:r>
            <w:r/>
          </w:p>
        </w:tc>
      </w:tr>
      <w:tr>
        <w:trPr>
          <w:trHeight w:val="685"/>
        </w:trPr>
        <w:tc>
          <w:tcPr>
            <w:tcW w:w="403" w:type="dxa"/>
            <w:vAlign w:val="center"/>
            <w:textDirection w:val="lrTb"/>
            <w:noWrap w:val="false"/>
          </w:tcPr>
          <w:p>
            <w:pPr>
              <w:pStyle w:val="1053"/>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975" w:type="dxa"/>
            <w:vAlign w:val="center"/>
            <w:textDirection w:val="lrTb"/>
            <w:noWrap w:val="false"/>
          </w:tcPr>
          <w:p>
            <w:pPr>
              <w:pStyle w:val="1053"/>
              <w:jc w:val="left"/>
              <w:widowControl/>
              <w:rPr>
                <w:color w:val="000000"/>
                <w:sz w:val="24"/>
              </w:rPr>
            </w:pPr>
            <w:r>
              <w:rPr>
                <w:color w:val="000000"/>
                <w:sz w:val="24"/>
              </w:rPr>
              <w:t xml:space="preserve">报价的修正（如有）</w:t>
            </w:r>
            <w:r>
              <w:rPr>
                <w:color w:val="000000"/>
                <w:sz w:val="24"/>
              </w:rPr>
            </w:r>
            <w:r/>
          </w:p>
        </w:tc>
        <w:tc>
          <w:tcPr>
            <w:tcW w:w="3620" w:type="dxa"/>
            <w:vAlign w:val="center"/>
            <w:textDirection w:val="lrTb"/>
            <w:noWrap w:val="false"/>
          </w:tcPr>
          <w:p>
            <w:pPr>
              <w:pStyle w:val="1053"/>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749" w:type="dxa"/>
            <w:vAlign w:val="center"/>
            <w:textDirection w:val="lrTb"/>
            <w:noWrap w:val="false"/>
          </w:tcPr>
          <w:p>
            <w:pPr>
              <w:pStyle w:val="1053"/>
              <w:jc w:val="center"/>
              <w:widowControl/>
              <w:rPr>
                <w:color w:val="000000"/>
                <w:sz w:val="24"/>
              </w:rPr>
            </w:pPr>
            <w:r>
              <w:rPr>
                <w:rFonts w:hint="eastAsia"/>
                <w:color w:val="000000"/>
                <w:sz w:val="24"/>
              </w:rPr>
              <w:t xml:space="preserve">10</w:t>
            </w:r>
            <w:r>
              <w:rPr>
                <w:color w:val="000000"/>
                <w:sz w:val="24"/>
              </w:rPr>
            </w:r>
            <w:r/>
          </w:p>
        </w:tc>
        <w:tc>
          <w:tcPr>
            <w:tcW w:w="975" w:type="dxa"/>
            <w:vAlign w:val="center"/>
            <w:textDirection w:val="lrTb"/>
            <w:noWrap w:val="false"/>
          </w:tcPr>
          <w:p>
            <w:pPr>
              <w:pStyle w:val="1053"/>
              <w:jc w:val="left"/>
              <w:widowControl/>
              <w:rPr>
                <w:color w:val="000000"/>
                <w:sz w:val="24"/>
              </w:rPr>
            </w:pPr>
            <w:r>
              <w:rPr>
                <w:color w:val="000000"/>
                <w:sz w:val="24"/>
              </w:rPr>
              <w:t xml:space="preserve">报价合理性</w:t>
            </w:r>
            <w:r>
              <w:rPr>
                <w:color w:val="000000"/>
                <w:sz w:val="24"/>
              </w:rPr>
            </w:r>
            <w:r/>
          </w:p>
        </w:tc>
        <w:tc>
          <w:tcPr>
            <w:tcW w:w="3620" w:type="dxa"/>
            <w:vAlign w:val="center"/>
            <w:textDirection w:val="lrTb"/>
            <w:noWrap w:val="false"/>
          </w:tcPr>
          <w:p>
            <w:pPr>
              <w:pStyle w:val="1053"/>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749" w:type="dxa"/>
            <w:vAlign w:val="center"/>
            <w:textDirection w:val="lrTb"/>
            <w:noWrap w:val="false"/>
          </w:tcPr>
          <w:p>
            <w:pPr>
              <w:pStyle w:val="1053"/>
              <w:jc w:val="center"/>
              <w:widowControl/>
              <w:rPr>
                <w:color w:val="000000"/>
                <w:sz w:val="24"/>
              </w:rPr>
            </w:pPr>
            <w:r>
              <w:rPr>
                <w:rFonts w:hint="eastAsia"/>
                <w:color w:val="000000"/>
                <w:sz w:val="24"/>
              </w:rPr>
              <w:t xml:space="preserve">11</w:t>
            </w:r>
            <w:r>
              <w:rPr>
                <w:color w:val="000000"/>
                <w:sz w:val="24"/>
              </w:rPr>
            </w:r>
            <w:r/>
          </w:p>
        </w:tc>
        <w:tc>
          <w:tcPr>
            <w:tcW w:w="975" w:type="dxa"/>
            <w:vAlign w:val="center"/>
            <w:textDirection w:val="lrTb"/>
            <w:noWrap w:val="false"/>
          </w:tcPr>
          <w:p>
            <w:pPr>
              <w:pStyle w:val="1053"/>
              <w:jc w:val="left"/>
              <w:widowControl/>
              <w:rPr>
                <w:color w:val="000000"/>
                <w:sz w:val="24"/>
              </w:rPr>
            </w:pPr>
            <w:r>
              <w:rPr>
                <w:color w:val="000000"/>
                <w:sz w:val="24"/>
              </w:rPr>
              <w:t xml:space="preserve">公平竞争</w:t>
            </w:r>
            <w:r>
              <w:rPr>
                <w:color w:val="000000"/>
                <w:sz w:val="24"/>
              </w:rPr>
            </w:r>
            <w:r/>
          </w:p>
        </w:tc>
        <w:tc>
          <w:tcPr>
            <w:tcW w:w="3620" w:type="dxa"/>
            <w:vAlign w:val="center"/>
            <w:textDirection w:val="lrTb"/>
            <w:noWrap w:val="false"/>
          </w:tcPr>
          <w:p>
            <w:pPr>
              <w:pStyle w:val="1053"/>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749" w:type="dxa"/>
            <w:vAlign w:val="center"/>
            <w:textDirection w:val="lrTb"/>
            <w:noWrap w:val="false"/>
          </w:tcPr>
          <w:p>
            <w:pPr>
              <w:pStyle w:val="1053"/>
              <w:jc w:val="center"/>
              <w:widowControl/>
              <w:rPr>
                <w:color w:val="000000"/>
                <w:sz w:val="24"/>
              </w:rPr>
            </w:pPr>
            <w:r>
              <w:rPr>
                <w:rFonts w:hint="eastAsia"/>
                <w:color w:val="000000"/>
                <w:sz w:val="24"/>
              </w:rPr>
              <w:t xml:space="preserve">12</w:t>
            </w:r>
            <w:r>
              <w:rPr>
                <w:color w:val="000000"/>
                <w:sz w:val="24"/>
              </w:rPr>
            </w:r>
            <w:r/>
          </w:p>
        </w:tc>
        <w:tc>
          <w:tcPr>
            <w:tcW w:w="975" w:type="dxa"/>
            <w:vAlign w:val="center"/>
            <w:textDirection w:val="lrTb"/>
            <w:noWrap w:val="false"/>
          </w:tcPr>
          <w:p>
            <w:pPr>
              <w:pStyle w:val="1053"/>
              <w:jc w:val="left"/>
              <w:widowControl/>
              <w:rPr>
                <w:color w:val="000000"/>
                <w:sz w:val="24"/>
              </w:rPr>
            </w:pPr>
            <w:r>
              <w:rPr>
                <w:color w:val="000000"/>
                <w:sz w:val="24"/>
              </w:rPr>
              <w:t xml:space="preserve">串通投标</w:t>
            </w:r>
            <w:r>
              <w:rPr>
                <w:color w:val="000000"/>
                <w:sz w:val="24"/>
              </w:rPr>
            </w:r>
            <w:r/>
          </w:p>
        </w:tc>
        <w:tc>
          <w:tcPr>
            <w:tcW w:w="3620" w:type="dxa"/>
            <w:vAlign w:val="center"/>
            <w:textDirection w:val="lrTb"/>
            <w:noWrap w:val="false"/>
          </w:tcPr>
          <w:p>
            <w:pPr>
              <w:pStyle w:val="1053"/>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749" w:type="dxa"/>
            <w:vAlign w:val="center"/>
            <w:textDirection w:val="lrTb"/>
            <w:noWrap w:val="false"/>
          </w:tcPr>
          <w:p>
            <w:pPr>
              <w:pStyle w:val="1053"/>
              <w:jc w:val="center"/>
              <w:widowControl/>
              <w:rPr>
                <w:color w:val="000000"/>
                <w:sz w:val="24"/>
              </w:rPr>
            </w:pPr>
            <w:r>
              <w:rPr>
                <w:rFonts w:hint="eastAsia"/>
                <w:color w:val="000000"/>
                <w:sz w:val="24"/>
              </w:rPr>
              <w:t xml:space="preserve">13</w:t>
            </w:r>
            <w:r>
              <w:rPr>
                <w:color w:val="000000"/>
                <w:sz w:val="24"/>
              </w:rPr>
            </w:r>
            <w:r/>
          </w:p>
        </w:tc>
        <w:tc>
          <w:tcPr>
            <w:tcW w:w="975" w:type="dxa"/>
            <w:vAlign w:val="center"/>
            <w:textDirection w:val="lrTb"/>
            <w:noWrap w:val="false"/>
          </w:tcPr>
          <w:p>
            <w:pPr>
              <w:pStyle w:val="1053"/>
              <w:jc w:val="left"/>
              <w:widowControl/>
              <w:rPr>
                <w:color w:val="000000"/>
                <w:sz w:val="24"/>
              </w:rPr>
            </w:pPr>
            <w:r>
              <w:rPr>
                <w:color w:val="000000"/>
                <w:sz w:val="24"/>
              </w:rPr>
              <w:t xml:space="preserve">附加条件</w:t>
            </w:r>
            <w:r>
              <w:rPr>
                <w:color w:val="000000"/>
                <w:sz w:val="24"/>
              </w:rPr>
            </w:r>
            <w:r/>
          </w:p>
        </w:tc>
        <w:tc>
          <w:tcPr>
            <w:tcW w:w="3620" w:type="dxa"/>
            <w:vAlign w:val="center"/>
            <w:textDirection w:val="lrTb"/>
            <w:noWrap w:val="false"/>
          </w:tcPr>
          <w:p>
            <w:pPr>
              <w:pStyle w:val="1053"/>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3" w:type="dxa"/>
            <w:vAlign w:val="center"/>
            <w:textDirection w:val="lrTb"/>
            <w:noWrap w:val="false"/>
          </w:tcPr>
          <w:p>
            <w:pPr>
              <w:pStyle w:val="1053"/>
              <w:jc w:val="center"/>
              <w:widowControl/>
              <w:rPr>
                <w:rFonts w:eastAsia="宋体"/>
                <w:color w:val="000000"/>
                <w:sz w:val="24"/>
                <w:lang w:val="en-US" w:eastAsia="zh-CN"/>
              </w:rPr>
            </w:pPr>
            <w:r>
              <w:rPr>
                <w:rFonts w:hint="eastAsia"/>
                <w:color w:val="000000"/>
                <w:sz w:val="24"/>
                <w:lang w:val="en-US" w:eastAsia="zh-CN"/>
              </w:rPr>
              <w:t xml:space="preserve">14</w:t>
            </w:r>
            <w:r>
              <w:rPr>
                <w:rFonts w:eastAsia="宋体"/>
                <w:color w:val="000000"/>
                <w:sz w:val="24"/>
                <w:lang w:val="en-US" w:eastAsia="zh-CN"/>
              </w:rPr>
            </w:r>
            <w:r/>
          </w:p>
        </w:tc>
        <w:tc>
          <w:tcPr>
            <w:tcW w:w="975" w:type="dxa"/>
            <w:vAlign w:val="center"/>
            <w:textDirection w:val="lrTb"/>
            <w:noWrap w:val="false"/>
          </w:tcPr>
          <w:p>
            <w:pPr>
              <w:pStyle w:val="1053"/>
              <w:jc w:val="left"/>
              <w:widowControl/>
              <w:rPr>
                <w:color w:val="000000"/>
                <w:sz w:val="24"/>
              </w:rPr>
            </w:pPr>
            <w:r>
              <w:rPr>
                <w:color w:val="000000"/>
                <w:sz w:val="24"/>
              </w:rPr>
              <w:t xml:space="preserve">其他无效情形</w:t>
            </w:r>
            <w:r>
              <w:rPr>
                <w:color w:val="000000"/>
                <w:sz w:val="24"/>
              </w:rPr>
            </w:r>
            <w:r/>
          </w:p>
        </w:tc>
        <w:tc>
          <w:tcPr>
            <w:tcW w:w="3620" w:type="dxa"/>
            <w:vAlign w:val="center"/>
            <w:textDirection w:val="lrTb"/>
            <w:noWrap w:val="false"/>
          </w:tcPr>
          <w:p>
            <w:pPr>
              <w:pStyle w:val="1053"/>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1053"/>
        <w:numPr>
          <w:ilvl w:val="0"/>
          <w:numId w:val="13"/>
        </w:numPr>
        <w:spacing w:line="360" w:lineRule="auto"/>
        <w:tabs>
          <w:tab w:val="left" w:pos="900" w:leader="none"/>
          <w:tab w:val="left" w:pos="1080" w:leader="none"/>
          <w:tab w:val="left" w:pos="1589" w:leader="none"/>
        </w:tabs>
        <w:rPr>
          <w:sz w:val="24"/>
        </w:rPr>
        <w:sectPr>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sz w:val="24"/>
        </w:rPr>
      </w:r>
      <w:r/>
    </w:p>
    <w:p>
      <w:pPr>
        <w:pStyle w:val="1053"/>
        <w:numPr>
          <w:ilvl w:val="0"/>
          <w:numId w:val="12"/>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53"/>
        <w:numPr>
          <w:ilvl w:val="1"/>
          <w:numId w:val="12"/>
        </w:numPr>
        <w:ind w:left="1077" w:hanging="720"/>
        <w:pageBreakBefore w:val="0"/>
        <w:spacing w:line="360" w:lineRule="auto"/>
        <w:widowControl w:val="off"/>
        <w:tabs>
          <w:tab w:val="left" w:pos="1080" w:leader="none"/>
          <w:tab w:val="left" w:pos="1589" w:leader="none"/>
        </w:tabs>
        <w:rPr>
          <w:rFonts w:hint="eastAsia" w:ascii="Times New Roman" w:hAnsi="Times New Roman" w:eastAsia="宋体" w:cs="Times New Roman"/>
          <w:b w:val="0"/>
          <w:bCs/>
          <w:sz w:val="24"/>
          <w:szCs w:val="24"/>
          <w:highlight w:val="none"/>
        </w:rPr>
      </w:pPr>
      <w:r>
        <w:rPr>
          <w:rFonts w:hint="eastAsia" w:ascii="Times New Roman" w:hAnsi="Times New Roman" w:eastAsia="宋体" w:cs="Times New Roman"/>
          <w:color w:val="000000"/>
          <w:sz w:val="24"/>
          <w:highlight w:val="none"/>
          <w:lang w:val="en-US" w:eastAsia="zh-CN"/>
        </w:rPr>
        <w:t xml:space="preserve">评标</w:t>
      </w:r>
      <w:r>
        <w:rPr>
          <w:rFonts w:hint="eastAsia" w:ascii="Times New Roman" w:hAnsi="Times New Roman" w:eastAsia="宋体" w:cs="Times New Roman"/>
          <w:color w:val="000000"/>
          <w:sz w:val="24"/>
          <w:highlight w:val="none"/>
        </w:rPr>
        <w:t xml:space="preserve">小组</w:t>
      </w:r>
      <w:r>
        <w:rPr>
          <w:rFonts w:hint="eastAsia" w:ascii="宋体" w:hAnsi="宋体" w:eastAsia="宋体" w:cs="宋体"/>
          <w:sz w:val="24"/>
          <w:szCs w:val="24"/>
          <w:highlight w:val="none"/>
          <w:lang w:val="en-US" w:eastAsia="zh-CN"/>
        </w:rPr>
        <w:t xml:space="preserve">启动异常低价投标审查的情形和具体要求，包括：</w:t>
      </w:r>
      <w:r>
        <w:rPr>
          <w:rFonts w:hint="eastAsia" w:ascii="Times New Roman" w:hAnsi="Times New Roman" w:eastAsia="宋体" w:cs="Times New Roman"/>
          <w:b w:val="0"/>
          <w:bCs/>
          <w:sz w:val="24"/>
          <w:szCs w:val="24"/>
          <w:highlight w:val="none"/>
        </w:rPr>
      </w:r>
      <w:r/>
    </w:p>
    <w:p>
      <w:pPr>
        <w:pStyle w:val="1053"/>
        <w:numPr>
          <w:ilvl w:val="2"/>
          <w:numId w:val="12"/>
        </w:numPr>
        <w:ind w:left="0" w:firstLine="901"/>
        <w:jc w:val="left"/>
        <w:keepLines w:val="0"/>
        <w:keepNext w:val="0"/>
        <w:pageBreakBefore w:val="0"/>
        <w:spacing w:line="360" w:lineRule="auto"/>
        <w:widowControl w:val="off"/>
        <w:tabs>
          <w:tab w:val="left" w:pos="1080" w:leader="none"/>
        </w:tabs>
        <w:rPr>
          <w:rFonts w:hint="eastAsia" w:ascii="Times New Roman" w:hAnsi="Times New Roman" w:eastAsia="宋体" w:cs="Times New Roman"/>
          <w:highlight w:val="none"/>
        </w:rPr>
      </w:pPr>
      <w:r>
        <w:rPr>
          <w:rFonts w:hint="eastAsia" w:ascii="Times New Roman" w:hAnsi="Times New Roman" w:eastAsia="宋体" w:cs="Times New Roman"/>
          <w:b w:val="0"/>
          <w:bCs/>
          <w:sz w:val="24"/>
          <w:szCs w:val="24"/>
          <w:highlight w:val="none"/>
          <w:lang w:val="en-US" w:eastAsia="zh-CN"/>
        </w:rPr>
        <w:t xml:space="preserve">评审过程中出现下列情形之一的，评审委员会应当启动异常低价投标（响应）审查程序：</w:t>
      </w:r>
      <w:r>
        <w:rPr>
          <w:rFonts w:hint="eastAsia" w:ascii="Times New Roman" w:hAnsi="Times New Roman" w:eastAsia="宋体" w:cs="Times New Roman"/>
          <w:highlight w:val="none"/>
        </w:rPr>
      </w:r>
      <w:r/>
    </w:p>
    <w:p>
      <w:pPr>
        <w:pStyle w:val="1053"/>
        <w:ind w:firstLine="90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1）投标报价低于采购项目预算50%的，即投标报价＜采购项目预算×50%；</w:t>
      </w:r>
      <w:r>
        <w:rPr>
          <w:rFonts w:hint="eastAsia" w:ascii="宋体" w:hAnsi="宋体" w:eastAsia="宋体" w:cs="宋体"/>
          <w:sz w:val="24"/>
          <w:szCs w:val="24"/>
          <w:highlight w:val="none"/>
        </w:rPr>
      </w:r>
      <w:r/>
    </w:p>
    <w:p>
      <w:pPr>
        <w:pStyle w:val="1053"/>
        <w:ind w:firstLine="90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2）投标报价低于采购项目最高限价45%的，即投标报价＜采购项目最高限价×45% ；</w:t>
      </w:r>
      <w:r>
        <w:rPr>
          <w:rFonts w:hint="eastAsia" w:ascii="宋体" w:hAnsi="宋体" w:eastAsia="宋体" w:cs="宋体"/>
          <w:sz w:val="24"/>
          <w:szCs w:val="24"/>
          <w:highlight w:val="none"/>
        </w:rPr>
      </w:r>
      <w:r/>
    </w:p>
    <w:p>
      <w:pPr>
        <w:pStyle w:val="1053"/>
        <w:ind w:firstLine="901"/>
        <w:keepLines w:val="0"/>
        <w:keepNext w:val="0"/>
        <w:pageBreakBefore w:val="0"/>
        <w:spacing w:line="360" w:lineRule="auto"/>
        <w:widowControl w:val="off"/>
        <w:rPr>
          <w:rFonts w:hint="eastAsia" w:ascii="Times New Roman" w:hAnsi="Times New Roman" w:eastAsia="宋体" w:cs="Times New Roman"/>
          <w:highlight w:val="none"/>
        </w:rPr>
      </w:pPr>
      <w:r>
        <w:rPr>
          <w:rFonts w:hint="eastAsia" w:ascii="宋体" w:hAnsi="宋体" w:eastAsia="宋体" w:cs="宋体"/>
          <w:sz w:val="24"/>
          <w:szCs w:val="24"/>
          <w:highlight w:val="none"/>
          <w:lang w:val="en-US" w:eastAsia="zh-CN"/>
        </w:rPr>
        <w:t xml:space="preserve">3）评审委员会认定的投标人报价过低、有可能影响产品质量或者不能诚信履约的其他情形。</w:t>
      </w:r>
      <w:r>
        <w:rPr>
          <w:rFonts w:hint="eastAsia" w:ascii="Times New Roman" w:hAnsi="Times New Roman" w:eastAsia="宋体" w:cs="Times New Roman"/>
          <w:highlight w:val="none"/>
        </w:rPr>
      </w:r>
      <w:r/>
    </w:p>
    <w:p>
      <w:pPr>
        <w:pStyle w:val="1053"/>
        <w:numPr>
          <w:ilvl w:val="2"/>
          <w:numId w:val="12"/>
        </w:numPr>
        <w:ind w:left="0" w:firstLine="901"/>
        <w:jc w:val="left"/>
        <w:keepLines w:val="0"/>
        <w:keepNext w:val="0"/>
        <w:pageBreakBefore w:val="0"/>
        <w:spacing w:line="360" w:lineRule="auto"/>
        <w:widowControl w:val="off"/>
        <w:tabs>
          <w:tab w:val="left" w:pos="10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启动常低价投标审查后，评审委员会应当要求相关投标人在评标现场合理的时间内，提供项目具体成本测算等与报价合理性相关的书面说明及相关证明材料，对投标价格作出解释，由评标小组结合同类产品在主要电商平台的价格、该行业当地薪资水平等情况，依据专业经验对投标人报价合理性进行判断。投标人不提供书面说明、证明材料，或者提供的书面说明、证明材料不能证明其报价合理性的，评标小组应当将其作为无效投标处理。审查相关情况应当在评审报告中进行记录。</w:t>
      </w:r>
      <w:r>
        <w:rPr>
          <w:rFonts w:hint="eastAsia" w:ascii="宋体" w:hAnsi="宋体" w:eastAsia="宋体" w:cs="宋体"/>
          <w:sz w:val="24"/>
          <w:szCs w:val="24"/>
          <w:highlight w:val="none"/>
        </w:rPr>
      </w:r>
      <w:r/>
    </w:p>
    <w:p>
      <w:pPr>
        <w:pStyle w:val="1053"/>
        <w:numPr>
          <w:ilvl w:val="2"/>
          <w:numId w:val="12"/>
        </w:numPr>
        <w:ind w:left="0" w:firstLine="901"/>
        <w:jc w:val="left"/>
        <w:keepLines w:val="0"/>
        <w:keepNext w:val="0"/>
        <w:pageBreakBefore w:val="0"/>
        <w:spacing w:line="360" w:lineRule="auto"/>
        <w:widowControl w:val="off"/>
        <w:tabs>
          <w:tab w:val="left" w:pos="1080" w:leader="none"/>
        </w:tabs>
        <w:rPr>
          <w:rFonts w:ascii="Times New Roman" w:hAnsi="Times New Roman" w:eastAsia="宋体" w:cs="Times New Roman"/>
          <w:highlight w:val="none"/>
        </w:rPr>
      </w:pPr>
      <w:r>
        <w:rPr>
          <w:rFonts w:hint="eastAsia" w:ascii="宋体" w:hAnsi="宋体" w:eastAsia="宋体" w:cs="宋体"/>
          <w:sz w:val="24"/>
          <w:szCs w:val="24"/>
          <w:highlight w:val="none"/>
          <w:lang w:val="en-US" w:eastAsia="zh-CN"/>
        </w:rPr>
        <w:t xml:space="preserve">出现采购文件规定的异常低价情形，评标小组未启动异常低价审查或未对异常低价情形作出认定意见的，采购人应及时报告同级财政部门，由财政部门按照《中华人民共和国政府采购法实施条例》第七十五条追究评审专家的法律责任。</w:t>
      </w:r>
      <w:r>
        <w:rPr>
          <w:rFonts w:ascii="Times New Roman" w:hAnsi="Times New Roman" w:eastAsia="宋体" w:cs="Times New Roman"/>
          <w:highlight w:val="none"/>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53"/>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53"/>
        <w:ind w:left="2035"/>
        <w:spacing w:line="360" w:lineRule="auto"/>
        <w:tabs>
          <w:tab w:val="left" w:pos="1080" w:leader="none"/>
          <w:tab w:val="left" w:pos="1589" w:leader="none"/>
          <w:tab w:val="left" w:pos="2035" w:leader="none"/>
          <w:tab w:val="left" w:pos="2114" w:leader="none"/>
        </w:tabs>
        <w:rPr>
          <w:sz w:val="24"/>
        </w:rPr>
      </w:pPr>
      <w:r>
        <w:rPr>
          <w:b/>
          <w:color w:val="000000"/>
          <w:sz w:val="24"/>
        </w:rPr>
        <w:t xml:space="preserve">■</w:t>
      </w:r>
      <w:r>
        <w:rPr>
          <w:sz w:val="24"/>
        </w:rPr>
        <w:t xml:space="preserve">无，按下述2.4.2-2.4.7项规定修正。</w:t>
      </w:r>
      <w:r>
        <w:rPr>
          <w:sz w:val="24"/>
        </w:rPr>
      </w:r>
      <w:r/>
    </w:p>
    <w:p>
      <w:pPr>
        <w:pStyle w:val="1053"/>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1053"/>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1053"/>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53"/>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1053"/>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53"/>
        <w:numPr>
          <w:ilvl w:val="2"/>
          <w:numId w:val="12"/>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53"/>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1053"/>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sz w:val="24"/>
          <w:highlight w:val="none"/>
        </w:rPr>
      </w:r>
      <w:r/>
    </w:p>
    <w:p>
      <w:pPr>
        <w:pStyle w:val="1053"/>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分项报价表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1053"/>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b/>
          <w:bCs/>
          <w:sz w:val="24"/>
          <w:highlight w:val="none"/>
        </w:rPr>
      </w:r>
      <w:r/>
    </w:p>
    <w:p>
      <w:pPr>
        <w:pStyle w:val="1053"/>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bCs/>
          <w:sz w:val="24"/>
          <w:highlight w:val="none"/>
        </w:rPr>
      </w:r>
      <w:r/>
    </w:p>
    <w:p>
      <w:pPr>
        <w:pStyle w:val="1053"/>
        <w:numPr>
          <w:ilvl w:val="2"/>
          <w:numId w:val="12"/>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sz w:val="24"/>
          <w:highlight w:val="none"/>
        </w:rPr>
      </w:r>
      <w:r/>
    </w:p>
    <w:p>
      <w:pPr>
        <w:pStyle w:val="1053"/>
        <w:numPr>
          <w:ilvl w:val="0"/>
          <w:numId w:val="0"/>
        </w:numPr>
        <w:spacing w:line="360" w:lineRule="auto"/>
        <w:tabs>
          <w:tab w:val="left" w:pos="1080" w:leader="none"/>
          <w:tab w:val="left" w:pos="1589" w:leader="none"/>
          <w:tab w:val="left" w:pos="2014" w:leader="none"/>
        </w:tabs>
        <w:rPr>
          <w:sz w:val="24"/>
        </w:rPr>
      </w:pPr>
      <w:r>
        <w:rPr>
          <w:rFonts w:hint="eastAsia" w:ascii="Times New Roman" w:hAnsi="Times New Roman" w:eastAsia="宋体" w:cs="Times New Roman"/>
          <w:sz w:val="24"/>
          <w:highlight w:val="none"/>
        </w:rPr>
        <w:t xml:space="preserve">对本国产品给予</w:t>
      </w:r>
      <w:r>
        <w:rPr>
          <w:rFonts w:hint="eastAsia" w:ascii="Times New Roman" w:hAnsi="Times New Roman" w:eastAsia="宋体" w:cs="Times New Roman"/>
          <w:sz w:val="24"/>
          <w:highlight w:val="none"/>
          <w:lang w:eastAsia="zh-CN"/>
        </w:rPr>
        <w:t xml:space="preserve">的</w:t>
      </w:r>
      <w:r>
        <w:rPr>
          <w:rFonts w:hint="eastAsia" w:ascii="Times New Roman" w:hAnsi="Times New Roman" w:eastAsia="宋体" w:cs="Times New Roman"/>
          <w:sz w:val="24"/>
          <w:highlight w:val="none"/>
        </w:rPr>
        <w:t xml:space="preserve">价格评审优惠</w:t>
      </w:r>
      <w:r>
        <w:rPr>
          <w:rFonts w:hint="eastAsia" w:ascii="Times New Roman" w:hAnsi="Times New Roman" w:eastAsia="宋体" w:cs="Times New Roman"/>
          <w:sz w:val="24"/>
          <w:highlight w:val="none"/>
          <w:lang w:val="en-US" w:eastAsia="zh-CN"/>
        </w:rPr>
        <w:t xml:space="preserve">与</w:t>
      </w:r>
      <w:r>
        <w:rPr>
          <w:rFonts w:hint="eastAsia" w:ascii="Times New Roman" w:hAnsi="Times New Roman" w:eastAsia="宋体" w:cs="Times New Roman"/>
          <w:sz w:val="24"/>
          <w:highlight w:val="none"/>
        </w:rPr>
        <w:t xml:space="preserve">小微企业价格扣减的优惠政策</w:t>
      </w:r>
      <w:r>
        <w:rPr>
          <w:rFonts w:hint="eastAsia" w:ascii="Times New Roman" w:hAnsi="Times New Roman" w:eastAsia="宋体" w:cs="Times New Roman"/>
          <w:sz w:val="24"/>
          <w:highlight w:val="none"/>
          <w:lang w:val="en-US" w:eastAsia="zh-CN"/>
        </w:rPr>
        <w:t xml:space="preserve">可重复享受</w:t>
      </w:r>
      <w:r>
        <w:rPr>
          <w:rFonts w:hint="eastAsia" w:ascii="Times New Roman" w:hAnsi="Times New Roman" w:eastAsia="宋体" w:cs="Times New Roman"/>
          <w:sz w:val="24"/>
          <w:highlight w:val="none"/>
        </w:rPr>
        <w:t xml:space="preserve">。</w:t>
      </w:r>
      <w:r>
        <w:rPr>
          <w:sz w:val="24"/>
        </w:rPr>
      </w:r>
      <w:r/>
    </w:p>
    <w:p>
      <w:pPr>
        <w:pStyle w:val="1053"/>
        <w:numPr>
          <w:ilvl w:val="0"/>
          <w:numId w:val="12"/>
        </w:numPr>
        <w:spacing w:line="360" w:lineRule="auto"/>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53"/>
        <w:ind w:left="1985"/>
        <w:spacing w:line="360" w:lineRule="auto"/>
        <w:tabs>
          <w:tab w:val="left" w:pos="900" w:leader="none"/>
          <w:tab w:val="left" w:pos="1589" w:leader="none"/>
          <w:tab w:val="left" w:pos="1701" w:leader="none"/>
        </w:tabs>
        <w:rPr>
          <w:sz w:val="24"/>
        </w:rPr>
      </w:pPr>
      <w:r>
        <w:rPr>
          <w:b/>
          <w:color w:val="000000"/>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53"/>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53"/>
        <w:ind w:left="2035"/>
        <w:spacing w:line="360" w:lineRule="auto"/>
        <w:tabs>
          <w:tab w:val="left" w:pos="1080" w:leader="none"/>
          <w:tab w:val="left" w:pos="1589" w:leader="none"/>
          <w:tab w:val="left" w:pos="2035" w:leader="none"/>
        </w:tabs>
        <w:rPr>
          <w:sz w:val="24"/>
        </w:rPr>
      </w:pPr>
      <w:r>
        <w:rPr>
          <w:sz w:val="24"/>
        </w:rPr>
        <w:t xml:space="preserve">□随机抽取</w:t>
      </w:r>
      <w:r>
        <w:rPr>
          <w:sz w:val="24"/>
        </w:rPr>
      </w:r>
      <w:r/>
    </w:p>
    <w:p>
      <w:pPr>
        <w:pStyle w:val="1053"/>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1053"/>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1053"/>
        <w:numPr>
          <w:ilvl w:val="0"/>
          <w:numId w:val="12"/>
        </w:numPr>
        <w:spacing w:line="360" w:lineRule="auto"/>
        <w:tabs>
          <w:tab w:val="left" w:pos="360" w:leader="none"/>
          <w:tab w:val="left" w:pos="900" w:leader="none"/>
        </w:tabs>
        <w:rPr>
          <w:sz w:val="24"/>
        </w:rPr>
        <w:outlineLvl w:val="1"/>
      </w:pPr>
      <w:r>
        <w:rPr>
          <w:sz w:val="24"/>
        </w:rPr>
        <w:t xml:space="preserve">确定</w:t>
      </w:r>
      <w:bookmarkStart w:id="779" w:name="_Toc142311048"/>
      <w:r/>
      <w:bookmarkStart w:id="780" w:name="_Toc127161460"/>
      <w:r/>
      <w:bookmarkStart w:id="781" w:name="_Toc265228384"/>
      <w:r/>
      <w:bookmarkStart w:id="782" w:name="_Toc127151747"/>
      <w:r/>
      <w:bookmarkStart w:id="783" w:name="_Toc520356170"/>
      <w:r/>
      <w:bookmarkStart w:id="784" w:name="_Toc151193788"/>
      <w:r/>
      <w:bookmarkStart w:id="785" w:name="_Toc164351640"/>
      <w:r/>
      <w:bookmarkStart w:id="786" w:name="_Toc151193716"/>
      <w:r/>
      <w:bookmarkStart w:id="787" w:name="_Ref467307010"/>
      <w:r/>
      <w:bookmarkStart w:id="788" w:name="_Toc164608660"/>
      <w:r/>
      <w:bookmarkStart w:id="789" w:name="_Toc164608815"/>
      <w:r/>
      <w:bookmarkStart w:id="790" w:name="_Toc149720839"/>
      <w:r/>
      <w:bookmarkStart w:id="791" w:name="_Toc151193860"/>
      <w:r/>
      <w:bookmarkStart w:id="792" w:name="_Toc226309790"/>
      <w:r/>
      <w:bookmarkStart w:id="793" w:name="_Toc164229387"/>
      <w:r/>
      <w:bookmarkStart w:id="794" w:name="_Toc195842911"/>
      <w:r/>
      <w:bookmarkStart w:id="795" w:name="_Toc226965736"/>
      <w:r/>
      <w:bookmarkStart w:id="796" w:name="_Toc164229241"/>
      <w:r/>
      <w:bookmarkStart w:id="797" w:name="_Toc150774751"/>
      <w:r/>
      <w:bookmarkStart w:id="798" w:name="_Toc226965819"/>
      <w:r/>
      <w:bookmarkStart w:id="799" w:name="_Toc226337242"/>
      <w:r/>
      <w:bookmarkStart w:id="800" w:name="_Toc150774646"/>
      <w:r/>
      <w:bookmarkStart w:id="801" w:name="_Toc151193934"/>
      <w:r/>
      <w:bookmarkStart w:id="802" w:name="_Toc150480784"/>
      <w:r/>
      <w:bookmarkStart w:id="803" w:name="_Toc151193644"/>
      <w:r/>
      <w:bookmarkStart w:id="804" w:name="_Toc264969236"/>
      <w:r/>
      <w:bookmarkStart w:id="805" w:name="_Toc305158814"/>
      <w:r/>
      <w:bookmarkStart w:id="806" w:name="_Toc127151546"/>
      <w:r/>
      <w:bookmarkStart w:id="807" w:name="_Toc305158888"/>
      <w:r/>
      <w:bookmarkStart w:id="808" w:name="_Toc151190173"/>
      <w:r/>
      <w:bookmarkStart w:id="809" w:name="_Toc150509297"/>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92"/>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□随机抽取</w:t>
      </w:r>
      <w:r>
        <w:rPr>
          <w:rFonts w:ascii="Times New Roman" w:hAnsi="Times New Roman"/>
          <w:sz w:val="24"/>
          <w:szCs w:val="24"/>
        </w:rPr>
      </w:r>
      <w:r/>
    </w:p>
    <w:p>
      <w:pPr>
        <w:pStyle w:val="1092"/>
        <w:ind w:left="993" w:firstLine="137"/>
        <w:spacing w:line="360" w:lineRule="auto"/>
        <w:tabs>
          <w:tab w:val="left" w:pos="900" w:leader="none"/>
          <w:tab w:val="left" w:pos="2127" w:leader="none"/>
        </w:tabs>
        <w:rPr>
          <w:rFonts w:ascii="Times New Roman" w:hAnsi="Times New Roman"/>
          <w:sz w:val="24"/>
          <w:szCs w:val="24"/>
          <w:u w:val="single"/>
        </w:rPr>
      </w:pPr>
      <w:r>
        <w:rPr>
          <w:b/>
          <w:color w:val="000000"/>
          <w:sz w:val="24"/>
        </w:rPr>
        <w:t xml:space="preserve">■</w:t>
      </w:r>
      <w:r>
        <w:rPr>
          <w:rFonts w:ascii="Times New Roman" w:hAnsi="Times New Roman"/>
          <w:sz w:val="24"/>
          <w:szCs w:val="24"/>
        </w:rPr>
        <w:t xml:space="preserve">其他方式，具体要求：</w:t>
      </w:r>
      <w:r>
        <w:rPr>
          <w:rFonts w:ascii="Times New Roman" w:hAnsi="Times New Roman"/>
          <w:sz w:val="24"/>
          <w:szCs w:val="24"/>
          <w:u w:val="single"/>
        </w:rPr>
        <w:t xml:space="preserve">按投标报价由低到高顺序排列。得分且投标报价相</w:t>
      </w:r>
      <w:r>
        <w:rPr>
          <w:rFonts w:ascii="Times New Roman" w:hAnsi="Times New Roman"/>
          <w:sz w:val="24"/>
          <w:szCs w:val="24"/>
          <w:u w:val="single"/>
        </w:rPr>
      </w:r>
      <w:r/>
    </w:p>
    <w:p>
      <w:pPr>
        <w:pStyle w:val="1092"/>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u w:val="single"/>
        </w:rPr>
        <w:t xml:space="preserve">同的，按技术指标优劣顺序排列</w:t>
      </w:r>
      <w:r>
        <w:rPr>
          <w:rFonts w:ascii="Times New Roman" w:hAnsi="Times New Roman"/>
          <w:sz w:val="24"/>
          <w:szCs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053"/>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53"/>
        <w:numPr>
          <w:ilvl w:val="1"/>
          <w:numId w:val="12"/>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1053"/>
        <w:jc w:val="left"/>
        <w:widowControl/>
        <w:rPr>
          <w:b/>
          <w:sz w:val="24"/>
        </w:rPr>
      </w:pPr>
      <w:r>
        <w:rPr>
          <w:b/>
          <w:sz w:val="24"/>
        </w:rPr>
        <w:br w:type="page" w:clear="all"/>
      </w:r>
      <w:r>
        <w:rPr>
          <w:b/>
          <w:sz w:val="24"/>
        </w:rPr>
      </w:r>
      <w:r/>
    </w:p>
    <w:p>
      <w:pPr>
        <w:pStyle w:val="1053"/>
        <w:jc w:val="center"/>
        <w:spacing w:line="360" w:lineRule="auto"/>
        <w:tabs>
          <w:tab w:val="left" w:pos="360" w:leader="none"/>
          <w:tab w:val="left" w:pos="900" w:leader="none"/>
        </w:tabs>
        <w:rPr>
          <w:b/>
        </w:rPr>
        <w:outlineLvl w:val="1"/>
      </w:pPr>
      <w:r>
        <w:rPr>
          <w:b/>
          <w:sz w:val="24"/>
        </w:rPr>
        <w:t xml:space="preserve">二、评标标准</w:t>
      </w:r>
      <w:r>
        <w:rPr>
          <w:b/>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120"/>
        <w:gridCol w:w="2298"/>
      </w:tblGrid>
      <w:tr>
        <w:trPr>
          <w:trHeight w:val="510"/>
        </w:trPr>
        <w:tc>
          <w:tcPr>
            <w:tcW w:w="835" w:type="dxa"/>
            <w:vAlign w:val="center"/>
            <w:textDirection w:val="lrTb"/>
            <w:noWrap w:val="false"/>
          </w:tcPr>
          <w:p>
            <w:pPr>
              <w:pStyle w:val="105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462" w:type="dxa"/>
            <w:vAlign w:val="center"/>
            <w:textDirection w:val="lrTb"/>
            <w:noWrap w:val="false"/>
          </w:tcPr>
          <w:p>
            <w:pPr>
              <w:pStyle w:val="105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913" w:type="dxa"/>
            <w:vAlign w:val="center"/>
            <w:textDirection w:val="lrTb"/>
            <w:noWrap w:val="false"/>
          </w:tcPr>
          <w:p>
            <w:pPr>
              <w:pStyle w:val="105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4120" w:type="dxa"/>
            <w:vAlign w:val="center"/>
            <w:textDirection w:val="lrTb"/>
            <w:noWrap w:val="false"/>
          </w:tcPr>
          <w:p>
            <w:pPr>
              <w:pStyle w:val="105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2298" w:type="dxa"/>
            <w:vAlign w:val="center"/>
            <w:textDirection w:val="lrTb"/>
            <w:noWrap w:val="false"/>
          </w:tcPr>
          <w:p>
            <w:pPr>
              <w:pStyle w:val="1297"/>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631"/>
        </w:trPr>
        <w:tc>
          <w:tcPr>
            <w:tcW w:w="835" w:type="dxa"/>
            <w:vAlign w:val="center"/>
            <w:textDirection w:val="lrTb"/>
            <w:noWrap w:val="false"/>
          </w:tcPr>
          <w:p>
            <w:pPr>
              <w:pStyle w:val="105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r>
            <w:r/>
          </w:p>
        </w:tc>
        <w:tc>
          <w:tcPr>
            <w:tcW w:w="1462" w:type="dxa"/>
            <w:vAlign w:val="center"/>
            <w:textDirection w:val="lrTb"/>
            <w:noWrap w:val="false"/>
          </w:tcPr>
          <w:p>
            <w:pPr>
              <w:pStyle w:val="1053"/>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913"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4120" w:type="dxa"/>
            <w:vAlign w:val="center"/>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t xml:space="preserve">满足</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文件要求且最终报价最低的报价为评标基准价，其价格分为满分。其他供应商的价格分统一按照下列公式计算：</w:t>
            </w: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价格分得分＝（评标基准价/最终报价）×分值。</w:t>
            </w:r>
            <w:r>
              <w:rPr>
                <w:rFonts w:hint="eastAsia" w:ascii="宋体" w:hAnsi="宋体" w:eastAsia="宋体" w:cs="宋体"/>
                <w:sz w:val="24"/>
                <w:szCs w:val="24"/>
              </w:rPr>
            </w:r>
            <w:r/>
          </w:p>
        </w:tc>
        <w:tc>
          <w:tcPr>
            <w:tcW w:w="2298" w:type="dxa"/>
            <w:vAlign w:val="center"/>
            <w:textDirection w:val="lrTb"/>
            <w:noWrap w:val="false"/>
          </w:tcPr>
          <w:p>
            <w:pPr>
              <w:pStyle w:val="1053"/>
              <w:ind w:left="-38"/>
              <w:rPr>
                <w:rFonts w:hint="eastAsia" w:ascii="宋体" w:hAnsi="宋体" w:eastAsia="宋体" w:cs="宋体"/>
                <w:sz w:val="24"/>
                <w:szCs w:val="24"/>
              </w:rPr>
            </w:pPr>
            <w:r>
              <w:rPr>
                <w:rFonts w:hint="eastAsia" w:ascii="宋体" w:hAnsi="宋体" w:eastAsia="宋体" w:cs="宋体"/>
                <w:sz w:val="24"/>
                <w:szCs w:val="24"/>
              </w:rPr>
              <w:t xml:space="preserve">此处最终报价指经过报价修正，及因落实政府采购政策进行价格调整后的最终报价。</w:t>
            </w:r>
            <w:r>
              <w:rPr>
                <w:rFonts w:hint="eastAsia" w:ascii="宋体" w:hAnsi="宋体" w:eastAsia="宋体" w:cs="宋体"/>
                <w:sz w:val="24"/>
                <w:szCs w:val="24"/>
              </w:rPr>
            </w:r>
            <w:r/>
          </w:p>
        </w:tc>
      </w:tr>
      <w:tr>
        <w:trPr>
          <w:trHeight w:val="454"/>
        </w:trPr>
        <w:tc>
          <w:tcPr>
            <w:tcW w:w="835" w:type="dxa"/>
            <w:vAlign w:val="center"/>
            <w:textDirection w:val="lrTb"/>
            <w:noWrap w:val="false"/>
          </w:tcPr>
          <w:p>
            <w:pPr>
              <w:pStyle w:val="1053"/>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462" w:type="dxa"/>
            <w:vAlign w:val="center"/>
            <w:textDirection w:val="lrTb"/>
            <w:noWrap w:val="false"/>
          </w:tcPr>
          <w:p>
            <w:pPr>
              <w:pStyle w:val="1053"/>
              <w:ind w:firstLine="28"/>
              <w:jc w:val="center"/>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c>
          <w:tcPr>
            <w:tcW w:w="913" w:type="dxa"/>
            <w:vAlign w:val="center"/>
            <w:textDirection w:val="lrTb"/>
            <w:noWrap w:val="false"/>
          </w:tcPr>
          <w:p>
            <w:pPr>
              <w:pStyle w:val="105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ascii="宋体" w:hAnsi="宋体" w:eastAsia="宋体" w:cs="宋体"/>
                <w:sz w:val="24"/>
                <w:szCs w:val="24"/>
                <w:lang w:val="en-US" w:eastAsia="zh-CN"/>
              </w:rPr>
            </w:r>
            <w:r/>
          </w:p>
        </w:tc>
        <w:tc>
          <w:tcPr>
            <w:tcW w:w="4120" w:type="dxa"/>
            <w:vAlign w:val="center"/>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2298" w:type="dxa"/>
            <w:vAlign w:val="center"/>
            <w:textDirection w:val="lrTb"/>
            <w:noWrap w:val="false"/>
          </w:tcPr>
          <w:p>
            <w:pPr>
              <w:pStyle w:val="1053"/>
              <w:ind w:left="-38"/>
              <w:rPr>
                <w:rFonts w:hint="eastAsia" w:ascii="宋体" w:hAnsi="宋体" w:eastAsia="宋体" w:cs="宋体"/>
                <w:sz w:val="24"/>
                <w:szCs w:val="24"/>
              </w:rPr>
            </w:pPr>
            <w:r>
              <w:rPr>
                <w:rFonts w:hint="eastAsia" w:ascii="宋体" w:hAnsi="宋体" w:eastAsia="宋体" w:cs="宋体"/>
                <w:sz w:val="24"/>
                <w:szCs w:val="24"/>
              </w:rPr>
            </w:r>
            <w:r/>
          </w:p>
        </w:tc>
      </w:tr>
      <w:tr>
        <w:trPr/>
        <w:tc>
          <w:tcPr>
            <w:tcW w:w="835" w:type="dxa"/>
            <w:vAlign w:val="center"/>
            <w:textDirection w:val="lrTb"/>
            <w:noWrap w:val="false"/>
          </w:tcPr>
          <w:p>
            <w:pPr>
              <w:pStyle w:val="1053"/>
              <w:ind w:firstLine="28"/>
              <w:jc w:val="center"/>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462" w:type="dxa"/>
            <w:vAlign w:val="center"/>
            <w:textDirection w:val="lrTb"/>
            <w:noWrap w:val="false"/>
          </w:tcPr>
          <w:p>
            <w:pPr>
              <w:pStyle w:val="1053"/>
              <w:ind w:left="0" w:firstLine="28"/>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caps w:val="0"/>
                <w:spacing w:val="0"/>
                <w:sz w:val="24"/>
                <w:szCs w:val="24"/>
                <w:highlight w:val="none"/>
                <w:lang w:val="en-US" w:eastAsia="zh-CN"/>
              </w:rPr>
              <w:t xml:space="preserve">设备到货安装调试方案</w:t>
            </w:r>
            <w:r>
              <w:rPr>
                <w:rFonts w:hint="eastAsia" w:ascii="宋体" w:hAnsi="宋体" w:eastAsia="宋体" w:cs="宋体"/>
                <w:sz w:val="24"/>
                <w:szCs w:val="24"/>
              </w:rPr>
            </w:r>
            <w:r/>
          </w:p>
        </w:tc>
        <w:tc>
          <w:tcPr>
            <w:tcW w:w="913" w:type="dxa"/>
            <w:vAlign w:val="center"/>
            <w:textDirection w:val="lrTb"/>
            <w:noWrap w:val="false"/>
          </w:tcPr>
          <w:p>
            <w:pPr>
              <w:pStyle w:val="1053"/>
              <w:ind w:left="0" w:firstLine="28"/>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caps w:val="0"/>
                <w:spacing w:val="0"/>
                <w:sz w:val="24"/>
                <w:szCs w:val="24"/>
                <w:lang w:val="en-US" w:eastAsia="zh-CN"/>
              </w:rPr>
              <w:t xml:space="preserve">10</w:t>
            </w:r>
            <w:r>
              <w:rPr>
                <w:rFonts w:hint="eastAsia" w:ascii="宋体" w:hAnsi="宋体" w:eastAsia="宋体" w:cs="宋体"/>
                <w:sz w:val="24"/>
                <w:szCs w:val="24"/>
                <w:lang w:val="en-US" w:eastAsia="zh-CN"/>
              </w:rPr>
            </w:r>
            <w:r/>
          </w:p>
        </w:tc>
        <w:tc>
          <w:tcPr>
            <w:tcW w:w="4120" w:type="dxa"/>
            <w:vAlign w:val="center"/>
            <w:textDirection w:val="lrTb"/>
            <w:noWrap w:val="false"/>
          </w:tcPr>
          <w:p>
            <w:pPr>
              <w:pStyle w:val="1053"/>
              <w:ind w:left="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由评标委员会根据投标提供的硬件设备采购及安装方案的合理性进行评审。方案包含但不限于项目概况、入河排污口现状及水环境分析、水环境监测设备及监控设备的位置选定及布局规划、设备安装及调试方案（含重难点分析与应对措施）、工期及供货保障方案、质量保障措施等。</w:t>
            </w: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分，每缺少一项内容扣2分，扣完为止；每存在一处缺陷扣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分，扣完为止。未提供不得分。</w:t>
            </w:r>
            <w:r>
              <w:rPr>
                <w:rFonts w:hint="eastAsia" w:ascii="宋体" w:hAnsi="宋体" w:eastAsia="宋体" w:cs="宋体"/>
                <w:sz w:val="24"/>
                <w:szCs w:val="24"/>
              </w:rPr>
            </w:r>
            <w:r/>
          </w:p>
        </w:tc>
        <w:tc>
          <w:tcPr>
            <w:tcW w:w="2298" w:type="dxa"/>
            <w:vAlign w:val="center"/>
            <w:textDirection w:val="lrTb"/>
            <w:noWrap w:val="false"/>
          </w:tcPr>
          <w:p>
            <w:pPr>
              <w:pStyle w:val="1053"/>
              <w:ind w:left="-38"/>
              <w:rPr>
                <w:rFonts w:hint="eastAsia" w:ascii="宋体" w:hAnsi="宋体" w:eastAsia="宋体" w:cs="宋体"/>
                <w:sz w:val="24"/>
                <w:szCs w:val="24"/>
              </w:rPr>
            </w:pPr>
            <w:r>
              <w:rPr>
                <w:rFonts w:hint="eastAsia" w:ascii="宋体" w:hAnsi="宋体" w:eastAsia="宋体" w:cs="宋体"/>
                <w:sz w:val="24"/>
                <w:szCs w:val="24"/>
              </w:rPr>
            </w:r>
            <w:r/>
          </w:p>
        </w:tc>
      </w:tr>
      <w:tr>
        <w:trPr>
          <w:trHeight w:val="2608"/>
        </w:trPr>
        <w:tc>
          <w:tcPr>
            <w:tcW w:w="835"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W w:w="1462" w:type="dxa"/>
            <w:vAlign w:val="center"/>
            <w:textDirection w:val="lrTb"/>
            <w:noWrap w:val="false"/>
          </w:tcPr>
          <w:p>
            <w:pPr>
              <w:pStyle w:val="1053"/>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软件平台技术方案</w:t>
            </w:r>
            <w:r>
              <w:rPr>
                <w:rFonts w:hint="eastAsia" w:ascii="宋体" w:hAnsi="宋体" w:eastAsia="宋体" w:cs="宋体"/>
                <w:sz w:val="24"/>
                <w:szCs w:val="24"/>
                <w:lang w:val="en-US" w:eastAsia="zh-CN"/>
              </w:rPr>
            </w:r>
            <w:r/>
          </w:p>
        </w:tc>
        <w:tc>
          <w:tcPr>
            <w:tcW w:w="913" w:type="dxa"/>
            <w:vAlign w:val="center"/>
            <w:textDirection w:val="lrTb"/>
            <w:noWrap w:val="false"/>
          </w:tcPr>
          <w:p>
            <w:pPr>
              <w:pStyle w:val="1053"/>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sz w:val="24"/>
                <w:szCs w:val="24"/>
                <w:lang w:val="en-US" w:eastAsia="zh-CN"/>
              </w:rPr>
            </w:r>
            <w:r/>
          </w:p>
        </w:tc>
        <w:tc>
          <w:tcPr>
            <w:tcW w:w="4120" w:type="dxa"/>
            <w:vAlign w:val="center"/>
            <w:textDirection w:val="lrTb"/>
            <w:noWrap w:val="false"/>
          </w:tcPr>
          <w:p>
            <w:pPr>
              <w:pStyle w:val="1053"/>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由评标委员会根据</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提供的</w:t>
            </w:r>
            <w:r>
              <w:rPr>
                <w:rFonts w:hint="eastAsia" w:ascii="宋体" w:hAnsi="宋体" w:eastAsia="宋体" w:cs="宋体"/>
                <w:b/>
                <w:bCs/>
                <w:color w:val="000000"/>
                <w:sz w:val="24"/>
                <w:szCs w:val="24"/>
                <w:lang w:val="en-US" w:eastAsia="zh-CN"/>
              </w:rPr>
              <w:t xml:space="preserve">软件平台技术方案</w:t>
            </w:r>
            <w:r>
              <w:rPr>
                <w:rFonts w:hint="eastAsia" w:ascii="宋体" w:hAnsi="宋体" w:eastAsia="宋体" w:cs="宋体"/>
                <w:b/>
                <w:bCs/>
                <w:color w:val="000000"/>
                <w:sz w:val="24"/>
                <w:szCs w:val="24"/>
              </w:rPr>
              <w:t xml:space="preserve">（含</w:t>
            </w:r>
            <w:r>
              <w:rPr>
                <w:rFonts w:hint="eastAsia" w:ascii="宋体" w:hAnsi="宋体" w:eastAsia="宋体" w:cs="宋体"/>
                <w:b/>
                <w:bCs/>
                <w:color w:val="000000"/>
                <w:sz w:val="24"/>
                <w:szCs w:val="24"/>
                <w:lang w:val="en-US" w:eastAsia="zh-CN"/>
              </w:rPr>
              <w:t xml:space="preserve">整体设计、系统功能、集成对接、数据共享、实施计划</w:t>
            </w:r>
            <w:r>
              <w:rPr>
                <w:rFonts w:hint="eastAsia" w:ascii="宋体" w:hAnsi="宋体" w:eastAsia="宋体" w:cs="宋体"/>
                <w:b/>
                <w:bCs/>
                <w:color w:val="000000"/>
                <w:sz w:val="24"/>
                <w:szCs w:val="24"/>
              </w:rPr>
              <w:t xml:space="preserve">）进行评审。</w:t>
            </w:r>
            <w:r>
              <w:rPr>
                <w:rFonts w:hint="eastAsia" w:ascii="宋体" w:hAnsi="宋体" w:eastAsia="宋体" w:cs="宋体"/>
                <w:b/>
                <w:bCs/>
                <w:color w:val="000000"/>
                <w:sz w:val="24"/>
                <w:szCs w:val="24"/>
              </w:rPr>
            </w:r>
            <w:r/>
          </w:p>
          <w:p>
            <w:pPr>
              <w:pStyle w:val="1053"/>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分，每缺少一项内容扣2分，扣完为止；每存在一处缺陷扣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分，扣完为止。未提供不得分。</w:t>
            </w:r>
            <w:r>
              <w:rPr>
                <w:rFonts w:hint="eastAsia" w:ascii="宋体" w:hAnsi="宋体" w:eastAsia="宋体" w:cs="宋体"/>
                <w:sz w:val="24"/>
                <w:szCs w:val="24"/>
                <w:lang w:val="en-US" w:eastAsia="zh-CN"/>
              </w:rPr>
            </w:r>
            <w:r/>
          </w:p>
        </w:tc>
        <w:tc>
          <w:tcPr>
            <w:tcW w:w="2298" w:type="dxa"/>
            <w:vAlign w:val="center"/>
            <w:textDirection w:val="lrTb"/>
            <w:noWrap w:val="false"/>
          </w:tcPr>
          <w:p>
            <w:pPr>
              <w:pStyle w:val="1053"/>
              <w:ind w:left="-38"/>
              <w:rPr>
                <w:rFonts w:hint="eastAsia" w:ascii="宋体" w:hAnsi="宋体" w:eastAsia="宋体" w:cs="宋体"/>
                <w:sz w:val="24"/>
                <w:szCs w:val="24"/>
              </w:rPr>
            </w:pPr>
            <w:r>
              <w:rPr>
                <w:rFonts w:hint="eastAsia" w:ascii="宋体" w:hAnsi="宋体" w:eastAsia="宋体" w:cs="宋体"/>
                <w:sz w:val="24"/>
                <w:szCs w:val="24"/>
              </w:rPr>
            </w:r>
            <w:r/>
          </w:p>
        </w:tc>
      </w:tr>
      <w:tr>
        <w:trPr>
          <w:trHeight w:val="2608"/>
        </w:trPr>
        <w:tc>
          <w:tcPr>
            <w:tcW w:w="835" w:type="dxa"/>
            <w:vAlign w:val="center"/>
            <w:textDirection w:val="lrTb"/>
            <w:noWrap w:val="false"/>
          </w:tcPr>
          <w:p>
            <w:pPr>
              <w:pStyle w:val="105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1462" w:type="dxa"/>
            <w:vAlign w:val="center"/>
            <w:textDirection w:val="lrTb"/>
            <w:noWrap w:val="false"/>
          </w:tcPr>
          <w:p>
            <w:pPr>
              <w:pStyle w:val="105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运维及售后服务方案</w:t>
            </w:r>
            <w:r>
              <w:rPr>
                <w:rFonts w:hint="eastAsia" w:ascii="宋体" w:hAnsi="宋体" w:eastAsia="宋体" w:cs="宋体"/>
                <w:i w:val="0"/>
                <w:iCs w:val="0"/>
                <w:color w:val="000000"/>
                <w:sz w:val="24"/>
                <w:szCs w:val="24"/>
                <w:u w:val="none"/>
                <w:lang w:val="en-US" w:eastAsia="zh-CN" w:bidi="ar"/>
              </w:rPr>
            </w:r>
            <w:r/>
          </w:p>
        </w:tc>
        <w:tc>
          <w:tcPr>
            <w:tcW w:w="913" w:type="dxa"/>
            <w:vAlign w:val="center"/>
            <w:textDirection w:val="lrTb"/>
            <w:noWrap w:val="false"/>
          </w:tcPr>
          <w:p>
            <w:pPr>
              <w:pStyle w:val="105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4120" w:type="dxa"/>
            <w:vAlign w:val="center"/>
            <w:textDirection w:val="lrTb"/>
            <w:noWrap w:val="false"/>
          </w:tcPr>
          <w:p>
            <w:pPr>
              <w:pStyle w:val="1053"/>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由评标委员会根据投标提供的运维及售后服务方案（含运维方案、培训方案、</w:t>
            </w:r>
            <w:r>
              <w:rPr>
                <w:rFonts w:hint="eastAsia" w:ascii="宋体" w:hAnsi="宋体" w:eastAsia="宋体" w:cs="宋体"/>
                <w:b/>
                <w:bCs/>
                <w:color w:val="000000"/>
                <w:sz w:val="24"/>
                <w:szCs w:val="24"/>
                <w:lang w:val="en-US" w:eastAsia="zh-CN"/>
              </w:rPr>
              <w:t xml:space="preserve">应急预案、</w:t>
            </w:r>
            <w:r>
              <w:rPr>
                <w:rFonts w:hint="eastAsia" w:ascii="宋体" w:hAnsi="宋体" w:eastAsia="宋体" w:cs="宋体"/>
                <w:b/>
                <w:bCs/>
                <w:color w:val="000000"/>
                <w:sz w:val="24"/>
                <w:szCs w:val="24"/>
              </w:rPr>
              <w:t xml:space="preserve">售后服务、响应时间、人员安排）进行评审。</w:t>
            </w:r>
            <w:r>
              <w:rPr>
                <w:rFonts w:hint="eastAsia" w:ascii="宋体" w:hAnsi="宋体" w:eastAsia="宋体" w:cs="宋体"/>
                <w:b/>
                <w:bCs/>
                <w:color w:val="000000"/>
                <w:sz w:val="24"/>
                <w:szCs w:val="24"/>
              </w:rPr>
            </w:r>
            <w:r/>
          </w:p>
          <w:p>
            <w:pPr>
              <w:pStyle w:val="1053"/>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分，扣完为止。未提供不得分。</w:t>
            </w:r>
            <w:r>
              <w:rPr>
                <w:rFonts w:hint="eastAsia" w:ascii="宋体" w:hAnsi="宋体" w:eastAsia="宋体" w:cs="宋体"/>
                <w:i w:val="0"/>
                <w:iCs w:val="0"/>
                <w:color w:val="000000"/>
                <w:sz w:val="24"/>
                <w:szCs w:val="24"/>
                <w:u w:val="none"/>
                <w:lang w:val="en-US" w:eastAsia="zh-CN" w:bidi="ar"/>
              </w:rPr>
            </w:r>
            <w:r/>
          </w:p>
        </w:tc>
        <w:tc>
          <w:tcPr>
            <w:tcW w:w="2298" w:type="dxa"/>
            <w:vAlign w:val="center"/>
            <w:textDirection w:val="lrTb"/>
            <w:noWrap w:val="false"/>
          </w:tcPr>
          <w:p>
            <w:pPr>
              <w:pStyle w:val="1053"/>
              <w:ind w:left="-38"/>
              <w:rPr>
                <w:rFonts w:hint="eastAsia" w:ascii="宋体" w:hAnsi="宋体" w:eastAsia="宋体" w:cs="宋体"/>
                <w:sz w:val="24"/>
                <w:szCs w:val="24"/>
              </w:rPr>
            </w:pPr>
            <w:r>
              <w:rPr>
                <w:rFonts w:hint="eastAsia" w:ascii="宋体" w:hAnsi="宋体" w:eastAsia="宋体" w:cs="宋体"/>
                <w:sz w:val="24"/>
                <w:szCs w:val="24"/>
              </w:rPr>
            </w:r>
            <w:r/>
          </w:p>
        </w:tc>
      </w:tr>
      <w:tr>
        <w:trPr>
          <w:trHeight w:val="2608"/>
        </w:trPr>
        <w:tc>
          <w:tcPr>
            <w:tcW w:w="835" w:type="dxa"/>
            <w:vAlign w:val="center"/>
            <w:textDirection w:val="lrTb"/>
            <w:noWrap w:val="false"/>
          </w:tcPr>
          <w:p>
            <w:pPr>
              <w:pStyle w:val="105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1462" w:type="dxa"/>
            <w:vAlign w:val="center"/>
            <w:textDirection w:val="lrTb"/>
            <w:noWrap w:val="false"/>
          </w:tcPr>
          <w:p>
            <w:pPr>
              <w:pStyle w:val="1053"/>
              <w:ind w:firstLine="2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lang w:val="en-US" w:eastAsia="zh-CN" w:bidi="ar"/>
              </w:rPr>
              <w:t xml:space="preserve">系统演示</w:t>
            </w:r>
            <w:r>
              <w:rPr>
                <w:rFonts w:hint="eastAsia" w:ascii="宋体" w:hAnsi="宋体" w:eastAsia="宋体" w:cs="宋体"/>
                <w:i w:val="0"/>
                <w:iCs w:val="0"/>
                <w:color w:val="000000"/>
                <w:sz w:val="24"/>
                <w:szCs w:val="24"/>
                <w:u w:val="none"/>
                <w:lang w:val="en-US" w:eastAsia="zh-CN" w:bidi="ar"/>
              </w:rPr>
            </w:r>
            <w:r/>
          </w:p>
        </w:tc>
        <w:tc>
          <w:tcPr>
            <w:tcW w:w="913" w:type="dxa"/>
            <w:vAlign w:val="center"/>
            <w:textDirection w:val="lrTb"/>
            <w:noWrap w:val="false"/>
          </w:tcPr>
          <w:p>
            <w:pPr>
              <w:pStyle w:val="1053"/>
              <w:ind w:firstLine="28"/>
              <w:jc w:val="center"/>
              <w:rPr>
                <w:rFonts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lang w:val="en-US" w:eastAsia="zh-CN"/>
              </w:rPr>
              <w:t xml:space="preserve">10</w:t>
            </w:r>
            <w:r>
              <w:rPr>
                <w:rFonts w:ascii="宋体" w:hAnsi="宋体" w:eastAsia="宋体" w:cs="宋体"/>
                <w:i w:val="0"/>
                <w:iCs w:val="0"/>
                <w:color w:val="000000"/>
                <w:sz w:val="24"/>
                <w:szCs w:val="24"/>
                <w:u w:val="none"/>
                <w:lang w:val="en-US" w:eastAsia="zh-CN" w:bidi="ar"/>
              </w:rPr>
            </w:r>
            <w:r/>
          </w:p>
        </w:tc>
        <w:tc>
          <w:tcPr>
            <w:tcW w:w="4120" w:type="dxa"/>
            <w:vAlign w:val="center"/>
            <w:textDirection w:val="lrTb"/>
            <w:noWrap w:val="false"/>
          </w:tcPr>
          <w:p>
            <w:pPr>
              <w:pStyle w:val="1053"/>
              <w:jc w:val="lef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依照业务需求，投标人需提供功能演示视频</w:t>
            </w:r>
            <w:r>
              <w:rPr>
                <w:rFonts w:hint="eastAsia" w:ascii="宋体" w:hAnsi="宋体" w:eastAsia="宋体" w:cs="宋体"/>
                <w:sz w:val="24"/>
                <w:szCs w:val="24"/>
                <w:lang w:val="en-US" w:eastAsia="zh-CN"/>
              </w:rPr>
              <w:t xml:space="preserve">且视频要求中文配音或中文字幕</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1、季节差异分析演示操作（2分）</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可通过选择水质站，查看该站点下的水质情况，并通过季节差异分析，提供每个季节的水质数值及变化曲线。</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2、监测站点分析演示操作（2分）</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可通过选择水质站，并通过站点分析，可提供PH、COD、悬浮物、总磷、总氮指标数值及24小时变化曲线。</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3、巡查管控任务的下派演示操作（2分）</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可提供任务创建，包含任务点位、排口编号、所属企业、问题描述，下派任务到具体负责人。</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4、手机端接收处置演示操作（2分）</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可提供任务列表、任务查看详情、任务填报操作，反馈结果提交。</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5、告警详情演示操作（2分）</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可通过某个水质站点的告警列表，能够查看告警详情，包括告警时间、处置进度以及具体告警指标的变化曲线和数值。</w:t>
            </w:r>
            <w:r>
              <w:rPr>
                <w:rFonts w:hint="eastAsia" w:ascii="宋体" w:hAnsi="宋体" w:eastAsia="宋体" w:cs="宋体"/>
                <w:sz w:val="24"/>
                <w:szCs w:val="24"/>
              </w:rPr>
            </w:r>
            <w:r/>
          </w:p>
          <w:p>
            <w:pPr>
              <w:pStyle w:val="1053"/>
              <w:jc w:val="lef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本项最高得10分。</w:t>
            </w:r>
            <w:r>
              <w:rPr>
                <w:rFonts w:ascii="宋体" w:hAnsi="宋体" w:eastAsia="宋体" w:cs="宋体"/>
                <w:sz w:val="24"/>
                <w:szCs w:val="24"/>
                <w:lang w:val="en-US" w:eastAsia="zh-CN"/>
              </w:rPr>
            </w:r>
            <w:r/>
          </w:p>
        </w:tc>
        <w:tc>
          <w:tcPr>
            <w:tcW w:w="2298" w:type="dxa"/>
            <w:vAlign w:val="center"/>
            <w:textDirection w:val="lrTb"/>
            <w:noWrap w:val="false"/>
          </w:tcPr>
          <w:p>
            <w:pPr>
              <w:pStyle w:val="1053"/>
              <w:numPr>
                <w:ilvl w:val="0"/>
                <w:numId w:val="0"/>
              </w:num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投标人需按照招标文件规定的演示内容制作演示视频文件，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sz w:val="24"/>
                <w:szCs w:val="24"/>
                <w:lang w:val="en-US" w:eastAsia="zh-CN"/>
              </w:rPr>
            </w:r>
            <w:r/>
          </w:p>
          <w:p>
            <w:pPr>
              <w:pStyle w:val="1053"/>
              <w:numPr>
                <w:ilvl w:val="0"/>
                <w:numId w:val="0"/>
              </w:num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2、</w:t>
            </w:r>
            <w:r>
              <w:rPr>
                <w:rFonts w:hint="eastAsia" w:ascii="宋体" w:hAnsi="宋体" w:cs="宋体"/>
                <w:b/>
                <w:bCs/>
                <w:color w:val="000000"/>
                <w:sz w:val="24"/>
                <w:szCs w:val="24"/>
                <w:lang w:bidi="ar"/>
              </w:rPr>
              <w:t xml:space="preserve">以上内容</w:t>
            </w:r>
            <w:r>
              <w:rPr>
                <w:rFonts w:hint="eastAsia" w:ascii="宋体" w:hAnsi="宋体" w:cs="宋体"/>
                <w:b/>
                <w:bCs/>
                <w:color w:val="000000"/>
                <w:sz w:val="24"/>
                <w:szCs w:val="24"/>
                <w:lang w:val="en-US" w:eastAsia="zh-CN" w:bidi="ar"/>
              </w:rPr>
              <w:t xml:space="preserve">符合招标文件要求且</w:t>
            </w:r>
            <w:r>
              <w:rPr>
                <w:rFonts w:hint="eastAsia" w:ascii="宋体" w:hAnsi="宋体" w:cs="宋体"/>
                <w:b/>
                <w:bCs/>
                <w:color w:val="000000"/>
                <w:sz w:val="24"/>
                <w:szCs w:val="24"/>
                <w:lang w:bidi="ar"/>
              </w:rPr>
              <w:t xml:space="preserve">均能清晰完整演示的得各要点满分；各要点</w:t>
            </w:r>
            <w:r>
              <w:rPr>
                <w:rFonts w:hint="eastAsia" w:ascii="宋体" w:hAnsi="宋体" w:cs="宋体"/>
                <w:b/>
                <w:bCs/>
                <w:color w:val="000000"/>
                <w:sz w:val="24"/>
                <w:szCs w:val="24"/>
                <w:lang w:val="en-US" w:eastAsia="zh-CN" w:bidi="ar"/>
              </w:rPr>
              <w:t xml:space="preserve">不符合招标文件要求或</w:t>
            </w:r>
            <w:r>
              <w:rPr>
                <w:rFonts w:hint="eastAsia" w:ascii="宋体" w:hAnsi="宋体" w:cs="宋体"/>
                <w:b/>
                <w:bCs/>
                <w:color w:val="000000"/>
                <w:sz w:val="24"/>
                <w:szCs w:val="24"/>
                <w:lang w:bidi="ar"/>
              </w:rPr>
              <w:t xml:space="preserve">功能演示缺失或不提供的不得分。需用平台或DEMO进行演示，采用PPT、Word、截图等方式演示不得分</w:t>
            </w:r>
            <w:r>
              <w:rPr>
                <w:rFonts w:hint="eastAsia" w:ascii="宋体" w:hAnsi="宋体" w:cs="宋体"/>
                <w:b/>
                <w:bCs/>
                <w:color w:val="000000"/>
                <w:sz w:val="24"/>
                <w:szCs w:val="24"/>
                <w:lang w:eastAsia="zh-CN" w:bidi="ar"/>
              </w:rPr>
              <w:t xml:space="preserve">。</w:t>
            </w:r>
            <w:r>
              <w:rPr>
                <w:rFonts w:hint="eastAsia" w:ascii="宋体" w:hAnsi="宋体" w:eastAsia="宋体" w:cs="宋体"/>
                <w:sz w:val="24"/>
                <w:szCs w:val="24"/>
                <w:lang w:val="en-US" w:eastAsia="zh-CN"/>
              </w:rPr>
            </w:r>
            <w:r/>
          </w:p>
        </w:tc>
      </w:tr>
      <w:tr>
        <w:trPr>
          <w:trHeight w:val="395"/>
        </w:trPr>
        <w:tc>
          <w:tcPr>
            <w:tcW w:w="835" w:type="dxa"/>
            <w:vAlign w:val="center"/>
            <w:textDirection w:val="lrTb"/>
            <w:noWrap w:val="false"/>
          </w:tcPr>
          <w:p>
            <w:pPr>
              <w:pStyle w:val="1053"/>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462" w:type="dxa"/>
            <w:vAlign w:val="center"/>
            <w:textDirection w:val="lrTb"/>
            <w:noWrap w:val="false"/>
          </w:tcPr>
          <w:p>
            <w:pPr>
              <w:pStyle w:val="1053"/>
              <w:ind w:firstLine="28"/>
              <w:jc w:val="center"/>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913" w:type="dxa"/>
            <w:vAlign w:val="center"/>
            <w:textDirection w:val="lrTb"/>
            <w:noWrap w:val="false"/>
          </w:tcPr>
          <w:p>
            <w:pPr>
              <w:pStyle w:val="105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ascii="宋体" w:hAnsi="宋体" w:eastAsia="宋体" w:cs="宋体"/>
                <w:sz w:val="24"/>
                <w:szCs w:val="24"/>
                <w:lang w:val="en-US" w:eastAsia="zh-CN"/>
              </w:rPr>
            </w:r>
            <w:r/>
          </w:p>
        </w:tc>
        <w:tc>
          <w:tcPr>
            <w:tcW w:w="4120" w:type="dxa"/>
            <w:vAlign w:val="center"/>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2298" w:type="dxa"/>
            <w:vAlign w:val="center"/>
            <w:textDirection w:val="lrTb"/>
            <w:noWrap w:val="false"/>
          </w:tcPr>
          <w:p>
            <w:pPr>
              <w:pStyle w:val="1053"/>
              <w:ind w:left="-38"/>
              <w:rPr>
                <w:rFonts w:hint="eastAsia" w:ascii="宋体" w:hAnsi="宋体" w:eastAsia="宋体" w:cs="宋体"/>
                <w:sz w:val="24"/>
                <w:szCs w:val="24"/>
              </w:rPr>
            </w:pPr>
            <w:r>
              <w:rPr>
                <w:rFonts w:hint="eastAsia" w:ascii="宋体" w:hAnsi="宋体" w:eastAsia="宋体" w:cs="宋体"/>
                <w:sz w:val="24"/>
                <w:szCs w:val="24"/>
              </w:rPr>
            </w:r>
            <w:r/>
          </w:p>
        </w:tc>
      </w:tr>
      <w:tr>
        <w:trPr>
          <w:trHeight w:val="732"/>
        </w:trPr>
        <w:tc>
          <w:tcPr>
            <w:tcW w:w="835" w:type="dxa"/>
            <w:vAlign w:val="center"/>
            <w:textDirection w:val="lrTb"/>
            <w:noWrap w:val="false"/>
          </w:tcPr>
          <w:p>
            <w:pPr>
              <w:pStyle w:val="1053"/>
              <w:ind w:firstLine="28"/>
              <w:jc w:val="center"/>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462"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913"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4120" w:type="dxa"/>
            <w:vAlign w:val="center"/>
            <w:textDirection w:val="lrTb"/>
            <w:noWrap w:val="false"/>
          </w:tcPr>
          <w:p>
            <w:pPr>
              <w:pStyle w:val="1053"/>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投标人配备项目负责人1名，具有</w:t>
            </w:r>
            <w:r>
              <w:rPr>
                <w:rFonts w:hint="eastAsia" w:ascii="宋体" w:hAnsi="宋体" w:eastAsia="宋体" w:cs="宋体"/>
                <w:sz w:val="24"/>
                <w:szCs w:val="24"/>
                <w:lang w:val="en-US" w:eastAsia="zh-CN"/>
              </w:rPr>
              <w:t xml:space="preserve">通信</w:t>
            </w:r>
            <w:r>
              <w:rPr>
                <w:rFonts w:hint="eastAsia" w:ascii="宋体" w:hAnsi="宋体" w:eastAsia="宋体" w:cs="宋体"/>
                <w:sz w:val="24"/>
                <w:szCs w:val="24"/>
                <w:lang w:eastAsia="zh-CN"/>
              </w:rPr>
              <w:t xml:space="preserve">相关专业高级</w:t>
            </w:r>
            <w:r>
              <w:rPr>
                <w:rFonts w:hint="eastAsia" w:ascii="宋体" w:hAnsi="宋体" w:eastAsia="宋体" w:cs="宋体"/>
                <w:sz w:val="24"/>
                <w:szCs w:val="24"/>
                <w:lang w:val="en-US" w:eastAsia="zh-CN"/>
              </w:rPr>
              <w:t xml:space="preserve">职称</w:t>
            </w:r>
            <w:r>
              <w:rPr>
                <w:rFonts w:hint="eastAsia" w:ascii="宋体" w:hAnsi="宋体" w:eastAsia="宋体" w:cs="宋体"/>
                <w:sz w:val="24"/>
                <w:szCs w:val="24"/>
                <w:lang w:eastAsia="zh-CN"/>
              </w:rPr>
              <w:t xml:space="preserve">证书、ITIL</w:t>
            </w:r>
            <w:r>
              <w:rPr>
                <w:rFonts w:hint="eastAsia" w:ascii="宋体" w:hAnsi="宋体" w:eastAsia="宋体" w:cs="宋体"/>
                <w:color w:val="000000"/>
                <w:sz w:val="24"/>
                <w:szCs w:val="24"/>
                <w:lang w:val="en-US" w:eastAsia="zh-CN"/>
              </w:rPr>
              <w:t xml:space="preserve">认证证书</w:t>
            </w:r>
            <w:r>
              <w:rPr>
                <w:rFonts w:hint="eastAsia" w:ascii="宋体" w:hAnsi="宋体" w:eastAsia="宋体" w:cs="宋体"/>
                <w:sz w:val="24"/>
                <w:szCs w:val="24"/>
                <w:lang w:eastAsia="zh-CN"/>
              </w:rPr>
              <w:t xml:space="preserve">、系统集成项目管理工程师证书</w:t>
            </w:r>
            <w:r>
              <w:rPr>
                <w:rFonts w:hint="eastAsia" w:ascii="宋体" w:hAnsi="宋体" w:eastAsia="宋体" w:cs="宋体"/>
                <w:sz w:val="24"/>
                <w:szCs w:val="24"/>
                <w:lang w:eastAsia="zh-CN"/>
              </w:rPr>
              <w:t xml:space="preserve">中任意一个证书的得1分；</w:t>
            </w:r>
            <w:r>
              <w:rPr>
                <w:rFonts w:hint="eastAsia" w:ascii="宋体" w:hAnsi="宋体" w:eastAsia="宋体" w:cs="宋体"/>
                <w:sz w:val="24"/>
                <w:szCs w:val="24"/>
                <w:lang w:val="en-US" w:eastAsia="zh-CN"/>
              </w:rPr>
              <w:t xml:space="preserve">具有其中任意两个证书</w:t>
            </w:r>
            <w:r>
              <w:rPr>
                <w:rFonts w:hint="eastAsia" w:ascii="宋体" w:hAnsi="宋体" w:eastAsia="宋体" w:cs="宋体"/>
                <w:sz w:val="24"/>
                <w:szCs w:val="24"/>
                <w:lang w:eastAsia="zh-CN"/>
              </w:rPr>
              <w:t xml:space="preserve">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t xml:space="preserve">具有</w:t>
            </w:r>
            <w:r>
              <w:rPr>
                <w:rFonts w:hint="eastAsia" w:ascii="宋体" w:hAnsi="宋体" w:eastAsia="宋体" w:cs="宋体"/>
                <w:sz w:val="24"/>
                <w:szCs w:val="24"/>
                <w:lang w:val="en-US" w:eastAsia="zh-CN"/>
              </w:rPr>
              <w:t xml:space="preserve">三个证书的得4分</w:t>
            </w:r>
            <w:r>
              <w:rPr>
                <w:rFonts w:hint="eastAsia" w:ascii="宋体" w:hAnsi="宋体" w:eastAsia="宋体" w:cs="宋体"/>
                <w:sz w:val="24"/>
                <w:szCs w:val="24"/>
                <w:lang w:eastAsia="zh-CN"/>
              </w:rPr>
              <w:t xml:space="preserve">。不提供不得分。</w:t>
            </w:r>
            <w:r>
              <w:rPr>
                <w:rFonts w:hint="eastAsia" w:ascii="宋体" w:hAnsi="宋体" w:eastAsia="宋体" w:cs="宋体"/>
                <w:sz w:val="24"/>
                <w:szCs w:val="24"/>
                <w:lang w:eastAsia="zh-CN"/>
              </w:rPr>
            </w:r>
            <w:r/>
          </w:p>
        </w:tc>
        <w:tc>
          <w:tcPr>
            <w:tcW w:w="2298" w:type="dxa"/>
            <w:vAlign w:val="center"/>
            <w:vMerge w:val="restart"/>
            <w:textDirection w:val="lrTb"/>
            <w:noWrap w:val="false"/>
          </w:tcPr>
          <w:p>
            <w:pPr>
              <w:pStyle w:val="1053"/>
              <w:numPr>
                <w:ilvl w:val="0"/>
                <w:numId w:val="0"/>
              </w:numPr>
              <w:ind w:left="-38"/>
              <w:rPr>
                <w:rFonts w:hint="eastAsia" w:ascii="Times New Roman" w:hAnsi="Times New Roman" w:eastAsia="宋体" w:cs="Times New Roman"/>
                <w:sz w:val="24"/>
                <w:lang w:val="en-US" w:eastAsia="zh-CN"/>
              </w:rPr>
            </w:pPr>
            <w:r>
              <w:rPr>
                <w:rFonts w:hint="eastAsia"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lang w:val="en-US" w:eastAsia="zh-CN"/>
              </w:rPr>
              <w:t xml:space="preserve">以上人员不可兼任，不重复得分。</w:t>
            </w:r>
            <w:r>
              <w:rPr>
                <w:rFonts w:hint="eastAsia" w:ascii="Times New Roman" w:hAnsi="Times New Roman" w:eastAsia="宋体" w:cs="Times New Roman"/>
                <w:sz w:val="24"/>
                <w:lang w:val="en-US" w:eastAsia="zh-CN"/>
              </w:rPr>
            </w:r>
            <w:r/>
          </w:p>
          <w:p>
            <w:pPr>
              <w:pStyle w:val="1053"/>
              <w:ind w:left="-38"/>
              <w:rPr>
                <w:rFonts w:hint="eastAsia" w:ascii="宋体" w:hAnsi="宋体" w:eastAsia="宋体" w:cs="宋体"/>
                <w:sz w:val="24"/>
                <w:szCs w:val="24"/>
                <w:lang w:val="en-US" w:eastAsia="zh-CN"/>
              </w:rPr>
            </w:pPr>
            <w:r>
              <w:rPr>
                <w:rFonts w:hint="eastAsia"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lang w:val="en-US" w:eastAsia="zh-CN"/>
              </w:rPr>
              <w:t xml:space="preserve">须提供相关证书原件扫描件和人社部门出具的由投标人为其缴纳的社保证明材料并加盖投标人公章（社保缴纳从2025年12月至资审时间内的任何时间均可）。需在附件10：《</w:t>
            </w:r>
            <w:r>
              <w:rPr>
                <w:rFonts w:hint="eastAsia" w:ascii="Times New Roman" w:hAnsi="Times New Roman" w:eastAsia="宋体" w:cs="Times New Roman"/>
                <w:color w:val="000000"/>
                <w:sz w:val="24"/>
                <w:szCs w:val="20"/>
              </w:rPr>
              <w:t xml:space="preserve">参加本项目人员一览表</w:t>
            </w:r>
            <w:r>
              <w:rPr>
                <w:rFonts w:hint="eastAsia" w:ascii="Times New Roman" w:hAnsi="Times New Roman" w:eastAsia="宋体" w:cs="Times New Roman"/>
                <w:sz w:val="24"/>
                <w:lang w:val="en-US" w:eastAsia="zh-CN"/>
              </w:rPr>
              <w:t xml:space="preserve">》中填写，否则不得分。 </w:t>
            </w:r>
            <w:r>
              <w:rPr>
                <w:rFonts w:hint="eastAsia" w:ascii="宋体" w:hAnsi="宋体" w:eastAsia="宋体" w:cs="宋体"/>
                <w:sz w:val="24"/>
                <w:szCs w:val="24"/>
                <w:lang w:val="en-US" w:eastAsia="zh-CN"/>
              </w:rPr>
            </w:r>
            <w:r/>
          </w:p>
        </w:tc>
      </w:tr>
      <w:tr>
        <w:trPr>
          <w:trHeight w:val="732"/>
        </w:trPr>
        <w:tc>
          <w:tcPr>
            <w:tcW w:w="835"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US" w:eastAsia="zh-CN"/>
              </w:rPr>
            </w:r>
            <w:r/>
          </w:p>
        </w:tc>
        <w:tc>
          <w:tcPr>
            <w:tcW w:w="1462"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安全负责人</w:t>
            </w:r>
            <w:r>
              <w:rPr>
                <w:rFonts w:hint="eastAsia" w:ascii="宋体" w:hAnsi="宋体" w:eastAsia="宋体" w:cs="宋体"/>
                <w:sz w:val="24"/>
                <w:szCs w:val="24"/>
                <w:lang w:val="en-US" w:eastAsia="zh-CN"/>
              </w:rPr>
            </w:r>
            <w:r/>
          </w:p>
        </w:tc>
        <w:tc>
          <w:tcPr>
            <w:tcW w:w="913"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4120" w:type="dxa"/>
            <w:vAlign w:val="center"/>
            <w:textDirection w:val="lrTb"/>
            <w:noWrap w:val="false"/>
          </w:tcPr>
          <w:p>
            <w:pPr>
              <w:pStyle w:val="1053"/>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投标人配备安全负责人1名，具有网络安全专业高级工程师职称证书、注册信息安全专业人员(CISP)证书、DSO数据安全官证书</w:t>
            </w:r>
            <w:r>
              <w:rPr>
                <w:rFonts w:hint="eastAsia" w:ascii="宋体" w:hAnsi="宋体" w:eastAsia="宋体" w:cs="宋体"/>
                <w:sz w:val="24"/>
                <w:szCs w:val="24"/>
                <w:lang w:eastAsia="zh-CN"/>
              </w:rPr>
              <w:t xml:space="preserve">中任意一个证书的得1分；</w:t>
            </w:r>
            <w:r>
              <w:rPr>
                <w:rFonts w:hint="eastAsia" w:ascii="宋体" w:hAnsi="宋体" w:eastAsia="宋体" w:cs="宋体"/>
                <w:sz w:val="24"/>
                <w:szCs w:val="24"/>
                <w:lang w:val="en-US" w:eastAsia="zh-CN"/>
              </w:rPr>
              <w:t xml:space="preserve">具有其中任意两个证书</w:t>
            </w:r>
            <w:r>
              <w:rPr>
                <w:rFonts w:hint="eastAsia" w:ascii="宋体" w:hAnsi="宋体" w:eastAsia="宋体" w:cs="宋体"/>
                <w:sz w:val="24"/>
                <w:szCs w:val="24"/>
                <w:lang w:eastAsia="zh-CN"/>
              </w:rPr>
              <w:t xml:space="preserve">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分；具有</w:t>
            </w:r>
            <w:r>
              <w:rPr>
                <w:rFonts w:hint="eastAsia" w:ascii="宋体" w:hAnsi="宋体" w:eastAsia="宋体" w:cs="宋体"/>
                <w:sz w:val="24"/>
                <w:szCs w:val="24"/>
                <w:lang w:val="en-US" w:eastAsia="zh-CN"/>
              </w:rPr>
              <w:t xml:space="preserve">三个证书的得4分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不提供不得分。</w:t>
            </w:r>
            <w:r>
              <w:rPr>
                <w:rFonts w:hint="eastAsia" w:ascii="宋体" w:hAnsi="宋体" w:eastAsia="宋体" w:cs="宋体"/>
                <w:sz w:val="24"/>
                <w:szCs w:val="24"/>
                <w:lang w:val="en-US" w:eastAsia="zh-CN"/>
              </w:rPr>
            </w:r>
            <w:r/>
          </w:p>
        </w:tc>
        <w:tc>
          <w:tcPr>
            <w:tcW w:w="2298" w:type="dxa"/>
            <w:vAlign w:val="center"/>
            <w:vMerge w:val="continue"/>
            <w:textDirection w:val="lrTb"/>
            <w:noWrap w:val="false"/>
          </w:tcPr>
          <w:p>
            <w:pPr>
              <w:pStyle w:val="1053"/>
              <w:numPr>
                <w:ilvl w:val="0"/>
                <w:numId w:val="0"/>
              </w:numPr>
              <w:ind w:left="-38"/>
              <w:rPr>
                <w:rFonts w:hint="eastAsia" w:ascii="宋体" w:hAnsi="宋体" w:eastAsia="宋体" w:cs="宋体"/>
                <w:sz w:val="24"/>
                <w:szCs w:val="24"/>
              </w:rPr>
            </w:pPr>
            <w:r>
              <w:rPr>
                <w:rFonts w:hint="eastAsia" w:ascii="宋体" w:hAnsi="宋体" w:eastAsia="宋体" w:cs="宋体"/>
                <w:sz w:val="24"/>
                <w:szCs w:val="24"/>
              </w:rPr>
            </w:r>
            <w:r/>
          </w:p>
        </w:tc>
      </w:tr>
      <w:tr>
        <w:trPr>
          <w:trHeight w:val="732"/>
        </w:trPr>
        <w:tc>
          <w:tcPr>
            <w:tcW w:w="835"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en-US" w:eastAsia="zh-CN"/>
              </w:rPr>
            </w:r>
            <w:r/>
          </w:p>
        </w:tc>
        <w:tc>
          <w:tcPr>
            <w:tcW w:w="1462"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运维负责人</w:t>
            </w:r>
            <w:r>
              <w:rPr>
                <w:rFonts w:hint="eastAsia" w:ascii="宋体" w:hAnsi="宋体" w:eastAsia="宋体" w:cs="宋体"/>
                <w:sz w:val="24"/>
                <w:szCs w:val="24"/>
                <w:lang w:val="en-US" w:eastAsia="zh-CN"/>
              </w:rPr>
            </w:r>
            <w:r/>
          </w:p>
        </w:tc>
        <w:tc>
          <w:tcPr>
            <w:tcW w:w="913"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4120" w:type="dxa"/>
            <w:vAlign w:val="center"/>
            <w:textDirection w:val="lrTb"/>
            <w:noWrap w:val="false"/>
          </w:tcPr>
          <w:p>
            <w:pPr>
              <w:pStyle w:val="1053"/>
              <w:numPr>
                <w:ilvl w:val="0"/>
                <w:numId w:val="0"/>
              </w:numPr>
              <w:jc w:val="left"/>
              <w:keepLines w:val="0"/>
              <w:keepNext w:val="0"/>
              <w:pageBreakBefore w:val="0"/>
              <w:spacing w:beforeAutospacing="0" w:afterAutospacing="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配备运维负责人1名，具有通信工程高级工程师证书、信息系统安全专业认证（CISSP）证书、数据库管理系统认证专家证书中任意一个证书的得1分；具有其中任意两个证书的得2分；具有三个证书的得4分。不提供不得分。</w:t>
            </w:r>
            <w:r>
              <w:rPr>
                <w:rFonts w:hint="eastAsia" w:ascii="宋体" w:hAnsi="宋体" w:eastAsia="宋体" w:cs="宋体"/>
                <w:sz w:val="24"/>
                <w:szCs w:val="24"/>
                <w:lang w:val="en-US" w:eastAsia="zh-CN"/>
              </w:rPr>
            </w:r>
            <w:r/>
          </w:p>
        </w:tc>
        <w:tc>
          <w:tcPr>
            <w:tcW w:w="2298" w:type="dxa"/>
            <w:vAlign w:val="center"/>
            <w:vMerge w:val="continue"/>
            <w:textDirection w:val="lrTb"/>
            <w:noWrap w:val="false"/>
          </w:tcPr>
          <w:p>
            <w:pPr>
              <w:pStyle w:val="1053"/>
              <w:ind w:left="-38"/>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trHeight w:val="732"/>
        </w:trPr>
        <w:tc>
          <w:tcPr>
            <w:tcW w:w="835"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lang w:val="en-US" w:eastAsia="zh-CN"/>
              </w:rPr>
            </w:r>
            <w:r/>
          </w:p>
        </w:tc>
        <w:tc>
          <w:tcPr>
            <w:tcW w:w="1462"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w:t>
            </w:r>
            <w:r>
              <w:rPr>
                <w:rFonts w:hint="eastAsia" w:ascii="宋体" w:hAnsi="宋体" w:eastAsia="宋体" w:cs="宋体"/>
                <w:sz w:val="24"/>
                <w:szCs w:val="24"/>
                <w:lang w:val="en-US" w:eastAsia="zh-CN"/>
              </w:rPr>
            </w:r>
            <w:r/>
          </w:p>
        </w:tc>
        <w:tc>
          <w:tcPr>
            <w:tcW w:w="913"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c>
          <w:tcPr>
            <w:tcW w:w="4120" w:type="dxa"/>
            <w:vAlign w:val="center"/>
            <w:textDirection w:val="lrTb"/>
            <w:noWrap w:val="false"/>
          </w:tcPr>
          <w:p>
            <w:pPr>
              <w:pStyle w:val="1053"/>
              <w:jc w:val="left"/>
              <w:widowControl/>
              <w:rPr>
                <w:rFonts w:hint="eastAsia" w:ascii="宋体" w:hAnsi="宋体" w:eastAsia="宋体" w:cs="宋体"/>
                <w:sz w:val="24"/>
                <w:szCs w:val="24"/>
                <w:lang w:val="en-US" w:eastAsia="zh-CN"/>
              </w:rPr>
            </w:pPr>
            <w:r>
              <w:rPr>
                <w:rFonts w:hint="eastAsia" w:ascii="Times New Roman" w:hAnsi="Times New Roman" w:eastAsia="宋体" w:cs="宋体"/>
                <w:caps w:val="0"/>
                <w:spacing w:val="0"/>
                <w:sz w:val="24"/>
                <w:szCs w:val="24"/>
                <w:highlight w:val="none"/>
                <w:lang w:val="zh-CN"/>
              </w:rPr>
              <w:t xml:space="preserve">所投设备的技术参数全部满足或高于采购文件要求的得满分</w:t>
            </w:r>
            <w:r>
              <w:rPr>
                <w:rFonts w:hint="eastAsia" w:ascii="Times New Roman" w:hAnsi="Times New Roman" w:eastAsia="宋体" w:cs="宋体"/>
                <w:caps w:val="0"/>
                <w:spacing w:val="0"/>
                <w:sz w:val="24"/>
                <w:szCs w:val="24"/>
                <w:highlight w:val="none"/>
                <w:lang w:val="en-US" w:eastAsia="zh-CN"/>
              </w:rPr>
              <w:t xml:space="preserve">20</w:t>
            </w:r>
            <w:r>
              <w:rPr>
                <w:rFonts w:hint="eastAsia" w:ascii="Times New Roman" w:hAnsi="Times New Roman" w:eastAsia="宋体" w:cs="宋体"/>
                <w:caps w:val="0"/>
                <w:spacing w:val="0"/>
                <w:sz w:val="24"/>
                <w:szCs w:val="24"/>
                <w:highlight w:val="none"/>
                <w:lang w:val="zh-CN"/>
              </w:rPr>
              <w:t xml:space="preserve">分，“▲”技术指标若出现负偏离，每项扣</w:t>
            </w:r>
            <w:r>
              <w:rPr>
                <w:rFonts w:hint="eastAsia" w:ascii="Times New Roman" w:hAnsi="Times New Roman" w:eastAsia="宋体" w:cs="宋体"/>
                <w:caps w:val="0"/>
                <w:spacing w:val="0"/>
                <w:sz w:val="24"/>
                <w:szCs w:val="24"/>
                <w:highlight w:val="none"/>
                <w:lang w:val="en-US" w:eastAsia="zh-CN"/>
              </w:rPr>
              <w:t xml:space="preserve">1</w:t>
            </w:r>
            <w:r>
              <w:rPr>
                <w:rFonts w:hint="eastAsia" w:ascii="Times New Roman" w:hAnsi="Times New Roman" w:eastAsia="宋体" w:cs="宋体"/>
                <w:caps w:val="0"/>
                <w:spacing w:val="0"/>
                <w:sz w:val="24"/>
                <w:szCs w:val="24"/>
                <w:highlight w:val="none"/>
                <w:lang w:val="zh-CN"/>
              </w:rPr>
              <w:t xml:space="preserve">分，其余负偏离每项扣</w:t>
            </w:r>
            <w:r>
              <w:rPr>
                <w:rFonts w:hint="eastAsia" w:ascii="Times New Roman" w:hAnsi="Times New Roman" w:eastAsia="宋体" w:cs="宋体"/>
                <w:caps w:val="0"/>
                <w:spacing w:val="0"/>
                <w:sz w:val="24"/>
                <w:szCs w:val="24"/>
                <w:highlight w:val="none"/>
                <w:lang w:val="en-US" w:eastAsia="zh-CN"/>
              </w:rPr>
              <w:t xml:space="preserve">0.5</w:t>
            </w:r>
            <w:r>
              <w:rPr>
                <w:rFonts w:hint="eastAsia" w:ascii="Times New Roman" w:hAnsi="Times New Roman" w:eastAsia="宋体" w:cs="宋体"/>
                <w:caps w:val="0"/>
                <w:spacing w:val="0"/>
                <w:sz w:val="24"/>
                <w:szCs w:val="24"/>
                <w:highlight w:val="none"/>
                <w:lang w:val="zh-CN"/>
              </w:rPr>
              <w:t xml:space="preserve">分，扣完为止；技术条款中明确要求提供的技术支持资料（如检测报告、相关证书、截图等），未提供的，评审时不予认可，作为负偏离处理。</w:t>
            </w:r>
            <w:r>
              <w:rPr>
                <w:rFonts w:hint="eastAsia" w:ascii="宋体" w:hAnsi="宋体" w:eastAsia="宋体" w:cs="宋体"/>
                <w:sz w:val="24"/>
                <w:szCs w:val="24"/>
                <w:lang w:val="en-US" w:eastAsia="zh-CN"/>
              </w:rPr>
            </w:r>
            <w:r/>
          </w:p>
        </w:tc>
        <w:tc>
          <w:tcPr>
            <w:tcW w:w="2298" w:type="dxa"/>
            <w:vAlign w:val="center"/>
            <w:textDirection w:val="lrTb"/>
            <w:noWrap w:val="false"/>
          </w:tcPr>
          <w:p>
            <w:pPr>
              <w:pStyle w:val="1053"/>
              <w:rPr>
                <w:rFonts w:hint="eastAsia" w:ascii="宋体" w:hAnsi="宋体" w:eastAsia="宋体" w:cs="宋体"/>
                <w:sz w:val="24"/>
                <w:szCs w:val="24"/>
                <w:lang w:val="en-US" w:eastAsia="zh-CN"/>
              </w:rPr>
            </w:pPr>
            <w:r>
              <w:rPr>
                <w:rFonts w:hint="eastAsia" w:ascii="宋体" w:hAnsi="宋体" w:eastAsia="宋体" w:cs="宋体"/>
                <w:b w:val="0"/>
                <w:bCs w:val="0"/>
                <w:sz w:val="24"/>
                <w:highlight w:val="none"/>
              </w:rPr>
              <w:t xml:space="preserve">需在附件</w:t>
            </w:r>
            <w:r>
              <w:rPr>
                <w:rFonts w:hint="eastAsia" w:ascii="宋体" w:hAnsi="宋体" w:eastAsia="宋体" w:cs="宋体"/>
                <w:b w:val="0"/>
                <w:bCs w:val="0"/>
                <w:sz w:val="24"/>
                <w:highlight w:val="none"/>
                <w:lang w:val="en-US" w:eastAsia="zh-CN"/>
              </w:rPr>
              <w:t xml:space="preserve">7：</w:t>
            </w:r>
            <w:r>
              <w:rPr>
                <w:rFonts w:hint="eastAsia" w:ascii="宋体" w:hAnsi="宋体" w:eastAsia="宋体" w:cs="宋体"/>
                <w:b w:val="0"/>
                <w:bCs w:val="0"/>
                <w:caps w:val="0"/>
                <w:spacing w:val="0"/>
                <w:sz w:val="24"/>
                <w:szCs w:val="24"/>
              </w:rPr>
              <w:t xml:space="preserve">《采购需求偏离表》中填写，否则不得分。</w:t>
            </w:r>
            <w:r>
              <w:rPr>
                <w:rFonts w:hint="eastAsia" w:ascii="宋体" w:hAnsi="宋体" w:eastAsia="宋体" w:cs="宋体"/>
                <w:sz w:val="24"/>
                <w:szCs w:val="24"/>
                <w:lang w:val="en-US" w:eastAsia="zh-CN"/>
              </w:rPr>
            </w:r>
            <w:r/>
          </w:p>
        </w:tc>
      </w:tr>
      <w:tr>
        <w:trPr>
          <w:trHeight w:val="732"/>
        </w:trPr>
        <w:tc>
          <w:tcPr>
            <w:tcW w:w="835" w:type="dxa"/>
            <w:vAlign w:val="center"/>
            <w:textDirection w:val="lrTb"/>
            <w:noWrap w:val="false"/>
          </w:tcPr>
          <w:p>
            <w:pPr>
              <w:pStyle w:val="105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val="en-US" w:eastAsia="zh-CN"/>
              </w:rPr>
            </w:r>
            <w:r/>
          </w:p>
        </w:tc>
        <w:tc>
          <w:tcPr>
            <w:tcW w:w="1462" w:type="dxa"/>
            <w:vAlign w:val="center"/>
            <w:textDirection w:val="lrTb"/>
            <w:noWrap w:val="false"/>
          </w:tcPr>
          <w:p>
            <w:pPr>
              <w:pStyle w:val="1053"/>
              <w:ind w:firstLine="28"/>
              <w:jc w:val="center"/>
              <w:rPr>
                <w:rFonts w:hint="eastAsia" w:ascii="宋体" w:hAnsi="宋体" w:eastAsia="宋体" w:cs="宋体"/>
                <w:sz w:val="24"/>
                <w:szCs w:val="24"/>
              </w:rPr>
            </w:pPr>
            <w:r>
              <w:rPr>
                <w:rFonts w:hint="eastAsia" w:ascii="宋体" w:hAnsi="宋体" w:eastAsia="宋体" w:cs="宋体"/>
                <w:sz w:val="24"/>
                <w:szCs w:val="24"/>
              </w:rPr>
              <w:t xml:space="preserve">企业</w:t>
            </w:r>
            <w:r>
              <w:rPr>
                <w:rFonts w:hint="eastAsia" w:ascii="宋体" w:hAnsi="宋体" w:eastAsia="宋体" w:cs="宋体"/>
                <w:sz w:val="24"/>
                <w:szCs w:val="24"/>
              </w:rPr>
            </w:r>
            <w:r/>
          </w:p>
          <w:p>
            <w:pPr>
              <w:pStyle w:val="1053"/>
              <w:ind w:firstLine="28"/>
              <w:jc w:val="center"/>
              <w:rPr>
                <w:rFonts w:hint="eastAsia" w:ascii="宋体" w:hAnsi="宋体" w:eastAsia="宋体" w:cs="宋体"/>
                <w:color w:val="000000"/>
                <w:sz w:val="24"/>
                <w:szCs w:val="24"/>
                <w:lang w:bidi="ar"/>
              </w:rPr>
            </w:pPr>
            <w:r>
              <w:rPr>
                <w:rFonts w:hint="eastAsia" w:ascii="宋体" w:hAnsi="宋体" w:eastAsia="宋体" w:cs="宋体"/>
                <w:sz w:val="24"/>
                <w:szCs w:val="24"/>
              </w:rPr>
              <w:t xml:space="preserve">类似业绩</w:t>
            </w:r>
            <w:r>
              <w:rPr>
                <w:rFonts w:hint="eastAsia" w:ascii="宋体" w:hAnsi="宋体" w:eastAsia="宋体" w:cs="宋体"/>
                <w:color w:val="000000"/>
                <w:sz w:val="24"/>
                <w:szCs w:val="24"/>
                <w:lang w:bidi="ar"/>
              </w:rPr>
            </w:r>
            <w:r/>
          </w:p>
        </w:tc>
        <w:tc>
          <w:tcPr>
            <w:tcW w:w="913" w:type="dxa"/>
            <w:vAlign w:val="center"/>
            <w:textDirection w:val="lrTb"/>
            <w:noWrap w:val="false"/>
          </w:tcPr>
          <w:p>
            <w:pPr>
              <w:pStyle w:val="1053"/>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4120" w:type="dxa"/>
            <w:vAlign w:val="center"/>
            <w:textDirection w:val="lrTb"/>
            <w:noWrap w:val="false"/>
          </w:tcPr>
          <w:p>
            <w:pPr>
              <w:pStyle w:val="1053"/>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供应商自2023年1月1日（含）以来承担过类似信息化设备采购业绩的得2分。</w:t>
            </w:r>
            <w:r>
              <w:rPr>
                <w:rFonts w:hint="eastAsia" w:ascii="宋体" w:hAnsi="宋体" w:eastAsia="宋体" w:cs="宋体"/>
                <w:sz w:val="24"/>
                <w:szCs w:val="24"/>
                <w:lang w:val="en-US" w:eastAsia="zh-CN"/>
              </w:rPr>
            </w:r>
            <w:r/>
          </w:p>
        </w:tc>
        <w:tc>
          <w:tcPr>
            <w:tcW w:w="2298" w:type="dxa"/>
            <w:vAlign w:val="center"/>
            <w:textDirection w:val="lrTb"/>
            <w:noWrap w:val="false"/>
          </w:tcPr>
          <w:p>
            <w:pPr>
              <w:pStyle w:val="1053"/>
              <w:numPr>
                <w:ilvl w:val="0"/>
                <w:numId w:val="0"/>
              </w:numPr>
              <w:ind w:left="-38"/>
              <w:keepLines w:val="0"/>
              <w:keepNext w:val="0"/>
              <w:pageBreakBefore w:val="0"/>
              <w:spacing w:line="28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提供</w:t>
            </w:r>
            <w:r>
              <w:rPr>
                <w:rFonts w:hint="eastAsia" w:ascii="宋体" w:hAnsi="宋体" w:eastAsia="宋体" w:cs="宋体"/>
                <w:sz w:val="24"/>
                <w:highlight w:val="none"/>
                <w:lang w:val="en-US" w:eastAsia="zh-CN"/>
              </w:rPr>
              <w:t xml:space="preserve">中标通知书及</w:t>
            </w:r>
            <w:r>
              <w:rPr>
                <w:rFonts w:hint="eastAsia" w:ascii="宋体" w:hAnsi="宋体" w:eastAsia="宋体" w:cs="宋体"/>
                <w:sz w:val="24"/>
                <w:highlight w:val="none"/>
              </w:rPr>
              <w:t xml:space="preserve">合同原件扫描件并加盖</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公章。时间以合同签订时间为准。</w:t>
            </w:r>
            <w:r>
              <w:rPr>
                <w:rFonts w:hint="eastAsia" w:ascii="宋体" w:hAnsi="宋体" w:eastAsia="宋体" w:cs="宋体"/>
                <w:sz w:val="24"/>
                <w:highlight w:val="none"/>
                <w:lang w:val="en-US" w:eastAsia="zh-CN"/>
              </w:rPr>
              <w:t xml:space="preserve">如为联合体投标，由联合体牵头人提供。</w:t>
            </w:r>
            <w:r>
              <w:rPr>
                <w:rFonts w:hint="eastAsia" w:ascii="宋体" w:hAnsi="宋体" w:eastAsia="宋体" w:cs="宋体"/>
                <w:sz w:val="24"/>
                <w:highlight w:val="none"/>
              </w:rPr>
              <w:t xml:space="preserve">否则不得分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r>
            <w:r/>
          </w:p>
          <w:p>
            <w:pPr>
              <w:pStyle w:val="1053"/>
              <w:ind w:left="-38"/>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需在附件</w:t>
            </w: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w:t>
            </w:r>
            <w:r>
              <w:rPr>
                <w:rFonts w:hint="eastAsia" w:ascii="宋体" w:hAnsi="宋体" w:eastAsia="宋体" w:cs="宋体"/>
                <w:color w:val="000000"/>
                <w:sz w:val="24"/>
                <w:szCs w:val="20"/>
                <w:highlight w:val="none"/>
              </w:rPr>
              <w:t xml:space="preserve">相关业绩案例一览表</w:t>
            </w:r>
            <w:r>
              <w:rPr>
                <w:rFonts w:hint="eastAsia" w:ascii="宋体" w:hAnsi="宋体" w:eastAsia="宋体" w:cs="宋体"/>
                <w:sz w:val="24"/>
                <w:highlight w:val="none"/>
              </w:rPr>
              <w:t xml:space="preserve">》中填写，否则不得分。</w:t>
            </w:r>
            <w:r>
              <w:rPr>
                <w:rFonts w:ascii="宋体" w:hAnsi="宋体" w:eastAsia="宋体" w:cs="宋体"/>
                <w:sz w:val="24"/>
                <w:highlight w:val="none"/>
                <w:lang w:val="en-US" w:eastAsia="zh-CN"/>
              </w:rPr>
            </w:r>
            <w:r/>
          </w:p>
        </w:tc>
      </w:tr>
      <w:tr>
        <w:trPr/>
        <w:tc>
          <w:tcPr>
            <w:gridSpan w:val="2"/>
            <w:tcW w:w="2297" w:type="dxa"/>
            <w:vAlign w:val="center"/>
            <w:textDirection w:val="lrTb"/>
            <w:noWrap w:val="false"/>
          </w:tcPr>
          <w:p>
            <w:pPr>
              <w:pStyle w:val="1053"/>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913" w:type="dxa"/>
            <w:vAlign w:val="center"/>
            <w:textDirection w:val="lrTb"/>
            <w:noWrap w:val="false"/>
          </w:tcPr>
          <w:p>
            <w:pPr>
              <w:pStyle w:val="1053"/>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6418" w:type="dxa"/>
            <w:vAlign w:val="center"/>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bl>
    <w:p>
      <w:pPr>
        <w:pStyle w:val="1053"/>
        <w:ind w:firstLine="482"/>
        <w:jc w:val="left"/>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注：1、本项目评分细则中需要提供的相关证明材料由投标人自行提供，评审专家根据投标人提供的相关证明材料进行评审，相关证明材料的全面性、有效性、完整性、真实性由投标人自行负责。如发现供应商涉嫌资料造假等，采购人将有权取消其成交资格，并保留进一步追究其法律责任的权利。本项目评分细则中需要提供的相关证明材料，中标人在评审结束后3个工作日内提供原件由采购人核查。</w:t>
      </w:r>
      <w:r>
        <w:rPr>
          <w:rFonts w:ascii="宋体" w:hAnsi="宋体" w:cs="宋体"/>
          <w:b/>
          <w:color w:val="000000"/>
          <w:sz w:val="24"/>
          <w:szCs w:val="24"/>
        </w:rPr>
      </w:r>
      <w:r/>
    </w:p>
    <w:p>
      <w:pPr>
        <w:pStyle w:val="1053"/>
        <w:numPr>
          <w:ilvl w:val="1"/>
          <w:numId w:val="0"/>
        </w:numPr>
        <w:ind w:firstLine="482"/>
        <w:spacing w:line="360" w:lineRule="auto"/>
        <w:tabs>
          <w:tab w:val="left" w:pos="1080" w:leader="none"/>
        </w:tabs>
        <w:rPr>
          <w:rFonts w:ascii="宋体" w:hAnsi="宋体" w:cs="宋体"/>
          <w:b/>
          <w:bCs/>
          <w:color w:val="000000"/>
          <w:sz w:val="24"/>
          <w:szCs w:val="24"/>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cs="宋体"/>
          <w:b/>
          <w:bCs/>
          <w:color w:val="000000"/>
          <w:sz w:val="24"/>
          <w:szCs w:val="24"/>
        </w:rPr>
        <w:t xml:space="preserve">2、提供相同品牌产品（核心产品品牌相同）且通过资格审查、符合性审查的不同供应商参加同一合同项下投标的，按一家供应商计算，评审后得分最高的同品牌供应商获得中标人推荐资格；评审得分相同的，</w:t>
      </w:r>
      <w:r>
        <w:rPr>
          <w:rFonts w:ascii="宋体" w:hAnsi="宋体" w:cs="宋体"/>
          <w:b/>
          <w:bCs/>
          <w:color w:val="000000"/>
          <w:sz w:val="24"/>
          <w:szCs w:val="24"/>
        </w:rPr>
        <w:t xml:space="preserve">评标委员会</w:t>
      </w:r>
      <w:r>
        <w:rPr>
          <w:rFonts w:hint="eastAsia" w:ascii="宋体" w:hAnsi="宋体" w:cs="宋体"/>
          <w:b/>
          <w:bCs/>
          <w:color w:val="000000"/>
          <w:sz w:val="24"/>
          <w:szCs w:val="24"/>
        </w:rPr>
        <w:t xml:space="preserve">确定报价最低的</w:t>
      </w:r>
      <w:r>
        <w:rPr>
          <w:rFonts w:ascii="宋体" w:hAnsi="宋体" w:cs="宋体"/>
          <w:b/>
          <w:bCs/>
          <w:color w:val="000000"/>
          <w:sz w:val="24"/>
          <w:szCs w:val="24"/>
        </w:rPr>
        <w:t xml:space="preserve">同品牌投标人获得中标人推荐资格</w:t>
      </w:r>
      <w:r>
        <w:rPr>
          <w:rFonts w:hint="eastAsia" w:ascii="宋体" w:hAnsi="宋体" w:cs="宋体"/>
          <w:b/>
          <w:bCs/>
          <w:color w:val="000000"/>
          <w:sz w:val="24"/>
          <w:szCs w:val="24"/>
        </w:rPr>
        <w:t xml:space="preserve">；</w:t>
      </w:r>
      <w:r>
        <w:rPr>
          <w:rFonts w:ascii="宋体" w:hAnsi="宋体" w:cs="宋体"/>
          <w:b/>
          <w:bCs/>
          <w:color w:val="000000"/>
          <w:sz w:val="24"/>
          <w:szCs w:val="24"/>
        </w:rPr>
        <w:t xml:space="preserve">评审得分相同</w:t>
      </w:r>
      <w:r>
        <w:rPr>
          <w:rFonts w:hint="eastAsia" w:ascii="宋体" w:hAnsi="宋体" w:cs="宋体"/>
          <w:b/>
          <w:bCs/>
          <w:color w:val="000000"/>
          <w:sz w:val="24"/>
          <w:szCs w:val="24"/>
        </w:rPr>
        <w:t xml:space="preserve">且报价相同</w:t>
      </w:r>
      <w:r>
        <w:rPr>
          <w:rFonts w:ascii="宋体" w:hAnsi="宋体" w:cs="宋体"/>
          <w:b/>
          <w:bCs/>
          <w:color w:val="000000"/>
          <w:sz w:val="24"/>
          <w:szCs w:val="24"/>
        </w:rPr>
        <w:t xml:space="preserve">的，评标委员会</w:t>
      </w:r>
      <w:r>
        <w:rPr>
          <w:rFonts w:hint="eastAsia" w:ascii="宋体" w:hAnsi="宋体" w:cs="宋体"/>
          <w:b/>
          <w:bCs/>
          <w:color w:val="000000"/>
          <w:sz w:val="24"/>
          <w:szCs w:val="24"/>
        </w:rPr>
        <w:t xml:space="preserve">采用随机抽取的方式确定</w:t>
      </w:r>
      <w:r>
        <w:rPr>
          <w:rFonts w:ascii="宋体" w:hAnsi="宋体" w:cs="宋体"/>
          <w:b/>
          <w:bCs/>
          <w:color w:val="000000"/>
          <w:sz w:val="24"/>
          <w:szCs w:val="24"/>
        </w:rPr>
        <w:t xml:space="preserve">同品牌</w:t>
      </w:r>
      <w:r>
        <w:rPr>
          <w:rFonts w:hint="eastAsia" w:ascii="宋体" w:hAnsi="宋体" w:cs="宋体"/>
          <w:b/>
          <w:bCs/>
          <w:color w:val="000000"/>
          <w:sz w:val="24"/>
          <w:szCs w:val="24"/>
        </w:rPr>
        <w:t xml:space="preserve">供应商</w:t>
      </w:r>
      <w:r>
        <w:rPr>
          <w:rFonts w:ascii="宋体" w:hAnsi="宋体" w:cs="宋体"/>
          <w:b/>
          <w:bCs/>
          <w:color w:val="000000"/>
          <w:sz w:val="24"/>
          <w:szCs w:val="24"/>
        </w:rPr>
        <w:t xml:space="preserve">获得中标人推荐资格</w:t>
      </w:r>
      <w:r>
        <w:rPr>
          <w:rFonts w:hint="eastAsia" w:ascii="宋体" w:hAnsi="宋体" w:cs="宋体"/>
          <w:b/>
          <w:bCs/>
          <w:color w:val="000000"/>
          <w:sz w:val="24"/>
          <w:szCs w:val="24"/>
        </w:rPr>
        <w:t xml:space="preserve">，其他同品牌供应商</w:t>
      </w:r>
      <w:r>
        <w:rPr>
          <w:rFonts w:ascii="宋体" w:hAnsi="宋体" w:cs="宋体"/>
          <w:b/>
          <w:bCs/>
          <w:color w:val="000000"/>
          <w:sz w:val="24"/>
          <w:szCs w:val="24"/>
        </w:rPr>
        <w:t xml:space="preserve">不作为中标候选人。</w:t>
      </w:r>
      <w:r>
        <w:rPr>
          <w:rFonts w:ascii="宋体" w:hAnsi="宋体" w:cs="宋体"/>
          <w:b/>
          <w:bCs/>
          <w:color w:val="000000"/>
          <w:sz w:val="24"/>
          <w:szCs w:val="24"/>
        </w:rPr>
      </w:r>
      <w:r/>
    </w:p>
    <w:p>
      <w:pPr>
        <w:pStyle w:val="1053"/>
        <w:numPr>
          <w:ilvl w:val="0"/>
          <w:numId w:val="14"/>
        </w:numPr>
        <w:jc w:val="center"/>
        <w:spacing w:line="360" w:lineRule="auto"/>
        <w:rPr>
          <w:b/>
          <w:sz w:val="36"/>
          <w:szCs w:val="36"/>
        </w:rPr>
        <w:outlineLvl w:val="0"/>
      </w:pPr>
      <w:r/>
      <w:bookmarkStart w:id="810" w:name="_Toc99301424"/>
      <w:r>
        <w:rPr>
          <w:b/>
          <w:sz w:val="36"/>
          <w:szCs w:val="36"/>
        </w:rPr>
        <w:t xml:space="preserve">  采购需求</w:t>
      </w:r>
      <w:bookmarkEnd w:id="810"/>
      <w:r>
        <w:rPr>
          <w:b/>
          <w:sz w:val="36"/>
          <w:szCs w:val="36"/>
        </w:rPr>
      </w:r>
      <w:r/>
    </w:p>
    <w:p>
      <w:pPr>
        <w:pStyle w:val="1147"/>
        <w:numPr>
          <w:ilvl w:val="0"/>
          <w:numId w:val="0"/>
        </w:numPr>
        <w:contextualSpacing/>
        <w:ind w:firstLine="482"/>
        <w:keepLines w:val="0"/>
        <w:keepNext w:val="0"/>
        <w:pageBreakBefore w:val="0"/>
        <w:spacing w:line="360" w:lineRule="auto"/>
        <w:widowControl w:val="off"/>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bidi="ar-SA"/>
        </w:rPr>
        <w:t xml:space="preserve">一、</w:t>
      </w:r>
      <w:r>
        <w:rPr>
          <w:rFonts w:ascii="Times New Roman" w:hAnsi="Times New Roman" w:eastAsia="宋体" w:cs="Times New Roman"/>
          <w:b/>
          <w:sz w:val="24"/>
          <w:szCs w:val="24"/>
        </w:rPr>
        <w:t xml:space="preserve">采购标的</w:t>
      </w:r>
      <w:r>
        <w:rPr>
          <w:rFonts w:ascii="Times New Roman" w:hAnsi="Times New Roman" w:eastAsia="宋体" w:cs="Times New Roman"/>
          <w:b/>
          <w:sz w:val="24"/>
          <w:szCs w:val="24"/>
        </w:rPr>
      </w:r>
      <w:r/>
    </w:p>
    <w:p>
      <w:pPr>
        <w:pStyle w:val="1147"/>
        <w:numPr>
          <w:ilvl w:val="0"/>
          <w:numId w:val="0"/>
        </w:numPr>
        <w:contextualSpacing/>
        <w:ind w:firstLine="480"/>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1.采购标的</w:t>
      </w:r>
      <w:r>
        <w:rPr>
          <w:rFonts w:hint="eastAsia" w:ascii="Times New Roman" w:hAnsi="Times New Roman" w:eastAsia="宋体" w:cs="Times New Roman"/>
          <w:b w:val="0"/>
          <w:bCs/>
          <w:sz w:val="24"/>
          <w:szCs w:val="24"/>
          <w:lang w:val="en-US" w:eastAsia="zh-CN"/>
        </w:rPr>
      </w:r>
      <w:r/>
    </w:p>
    <w:p>
      <w:pPr>
        <w:pStyle w:val="1147"/>
        <w:numPr>
          <w:ilvl w:val="0"/>
          <w:numId w:val="0"/>
        </w:numPr>
        <w:contextualSpacing/>
        <w:ind w:firstLine="480"/>
        <w:jc w:val="center"/>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溧阳市入河排污口（中河-北溪河、赵村河、中干河）规范化建设项目采购清单</w:t>
      </w:r>
      <w:r>
        <w:rPr>
          <w:rFonts w:hint="eastAsia" w:ascii="Times New Roman" w:hAnsi="Times New Roman" w:eastAsia="宋体" w:cs="Times New Roman"/>
          <w:b w:val="0"/>
          <w:bCs/>
          <w:sz w:val="24"/>
          <w:szCs w:val="24"/>
          <w:lang w:val="en-US" w:eastAsia="zh-CN"/>
        </w:rPr>
      </w:r>
      <w:r/>
    </w:p>
    <w:tbl>
      <w:tblPr>
        <w:tblW w:w="1417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170"/>
        <w:gridCol w:w="960"/>
        <w:gridCol w:w="1215"/>
        <w:gridCol w:w="1575"/>
        <w:gridCol w:w="1845"/>
        <w:gridCol w:w="2880"/>
        <w:gridCol w:w="1020"/>
        <w:gridCol w:w="990"/>
        <w:gridCol w:w="1170"/>
        <w:gridCol w:w="1349"/>
      </w:tblGrid>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rPr>
                <w:rFonts w:hint="eastAsia" w:ascii="宋体" w:hAnsi="宋体" w:eastAsia="宋体" w:cs="宋体"/>
                <w:b/>
                <w:bCs/>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rPr>
                <w:rFonts w:hint="eastAsia" w:ascii="宋体" w:hAnsi="宋体" w:eastAsia="宋体" w:cs="宋体"/>
                <w:b/>
                <w:bCs/>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shd w:val="clear" w:color="auto" w:fill="ffffff"/>
            <w:tcW w:w="1170" w:type="dxa"/>
            <w:vAlign w:val="center"/>
            <w:textDirection w:val="lrTb"/>
            <w:noWrap w:val="false"/>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控制单价</w:t>
            </w:r>
            <w:r>
              <w:rPr>
                <w:rFonts w:hint="eastAsia" w:ascii="宋体" w:hAnsi="宋体" w:eastAsia="宋体" w:cs="宋体"/>
                <w:b/>
                <w:bCs/>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（元）</w:t>
            </w:r>
            <w:r>
              <w:rPr>
                <w:rFonts w:hint="eastAsia" w:ascii="宋体" w:hAnsi="宋体" w:eastAsia="宋体" w:cs="宋体"/>
                <w:b/>
                <w:bCs/>
                <w:i w:val="0"/>
                <w:iCs w:val="0"/>
                <w:color w:val="000000"/>
                <w:sz w:val="22"/>
                <w:szCs w:val="22"/>
                <w:u w:val="none"/>
              </w:rPr>
            </w:r>
            <w:r/>
          </w:p>
        </w:tc>
        <w:tc>
          <w:tcPr>
            <w:shd w:val="clear" w:color="auto" w:fill="ffffff"/>
            <w:tcW w:w="1349" w:type="dxa"/>
            <w:vAlign w:val="center"/>
            <w:textDirection w:val="lrTb"/>
            <w:noWrap w:val="false"/>
          </w:tcPr>
          <w:p>
            <w:pPr>
              <w:pStyle w:val="1053"/>
              <w:ind w:left="0" w:right="0" w:firstLine="0"/>
              <w:jc w:val="center"/>
              <w:keepLines w:val="0"/>
              <w:keepNext w:val="0"/>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合价</w:t>
            </w:r>
            <w:r>
              <w:rPr>
                <w:rFonts w:ascii="宋体" w:hAnsi="宋体" w:eastAsia="宋体" w:cs="宋体"/>
                <w:b/>
                <w:bCs/>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（元）</w:t>
            </w:r>
            <w:r>
              <w:rPr>
                <w:rFonts w:hint="eastAsia" w:ascii="宋体" w:hAnsi="宋体" w:eastAsia="宋体" w:cs="宋体"/>
                <w:b/>
                <w:bCs/>
                <w:i w:val="0"/>
                <w:iCs w:val="0"/>
                <w:color w:val="000000"/>
                <w:sz w:val="22"/>
                <w:szCs w:val="22"/>
                <w:u w:val="none"/>
              </w:rPr>
            </w:r>
            <w:r/>
          </w:p>
        </w:tc>
      </w:tr>
      <w:tr>
        <w:trPr>
          <w:trHeight w:val="397"/>
        </w:trPr>
        <w:tc>
          <w:tcPr>
            <w:gridSpan w:val="10"/>
            <w:shd w:val="clear" w:color="auto" w:fill="ffffff"/>
            <w:tcW w:w="14174" w:type="dxa"/>
            <w:vAlign w:val="center"/>
            <w:textDirection w:val="lrTb"/>
            <w:noWrap/>
          </w:tcPr>
          <w:p>
            <w:pPr>
              <w:pStyle w:val="1053"/>
              <w:ind w:left="0" w:right="0" w:firstLine="0"/>
              <w:jc w:val="left"/>
              <w:keepLines w:val="0"/>
              <w:keepNext w:val="0"/>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一、设备采购及安装</w:t>
            </w:r>
            <w:r>
              <w:rPr>
                <w:rFonts w:ascii="宋体" w:hAnsi="宋体" w:eastAsia="宋体" w:cs="宋体"/>
                <w:b/>
                <w:bCs/>
                <w:i w:val="0"/>
                <w:iCs w:val="0"/>
                <w:color w:val="000000"/>
                <w:sz w:val="22"/>
                <w:szCs w:val="22"/>
                <w:u w:val="none"/>
                <w:lang w:val="en-US" w:eastAsia="zh-CN" w:bidi="ar"/>
              </w:rPr>
            </w:r>
            <w:r/>
          </w:p>
        </w:tc>
      </w:tr>
      <w:tr>
        <w:trPr>
          <w:trHeight w:val="397"/>
        </w:trPr>
        <w:tc>
          <w:tcPr>
            <w:gridSpan w:val="10"/>
            <w:shd w:val="clear" w:color="auto" w:fill="ffffff"/>
            <w:tcW w:w="14174"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（一）排口立标建档</w:t>
            </w:r>
            <w:r>
              <w:rPr>
                <w:rFonts w:hint="eastAsia" w:ascii="宋体" w:hAnsi="宋体" w:eastAsia="宋体" w:cs="宋体"/>
                <w:b/>
                <w:bCs/>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排污口标识牌</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1、标识牌采用不低于1.5mm厚度冷轧钢板材质，平面固定式480*300mm；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2、简化标识牌由文字、图形符号、衬底色和边框组成。标识牌展示内容包含：入河排污口名称、编码及类型，或含有前述内容的二维码信息；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详尽标识牌由文字、图形符号、衬底色和边框组成。标识牌展示内容包含：入河排污口编号、入河排污口名称、入河排污口地理位置及经纬度坐标、排入的水功能区名称及水质保护目标、入河排污口设置单位、入河排污口设置审批单位及监督电话，入河排污口二维码（需关联入河排污口编号、排入水体名称、所处流域控制单元名称及水质目标等信息）、入河排污口责任主体、联系人及联系方式、标识、污染源-排污口-污染物流向与河流位置示意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4、标识牌表面采用搪瓷或者反光贴膜，标识牌的端面及立柱要经过防腐处理；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5、标识牌表面无气泡，膜或搪瓷无脱落；图案清晰，色泽一致，不得有明显缺损；标识牌的表面不应有开裂、脱落及其它破损；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6、标识牌底色为绿色，图案、边框、支架和文字为白色；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7、标识牌所有信息内容需整理成相应的资料文档进行备查；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8、标识牌展示高度不得低于2.3m，立柱采用热镀锌钢管材质，直径不得低于38mm，厚度不得低于4mm；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9、含每块独立标识牌设计及版面排版、立柱、基础及其他辅助配套设施。</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1565</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122070</w:t>
            </w:r>
            <w:r>
              <w:rPr>
                <w:rFonts w:hint="eastAsia" w:ascii="宋体" w:hAnsi="宋体" w:eastAsia="宋体" w:cs="宋体"/>
                <w:i w:val="0"/>
                <w:iCs w:val="0"/>
                <w:color w:val="000000"/>
                <w:sz w:val="22"/>
                <w:szCs w:val="22"/>
                <w:u w:val="none"/>
              </w:rPr>
            </w:r>
            <w:r/>
          </w:p>
        </w:tc>
      </w:tr>
      <w:tr>
        <w:trPr>
          <w:trHeight w:val="397"/>
        </w:trPr>
        <w:tc>
          <w:tcPr>
            <w:gridSpan w:val="10"/>
            <w:shd w:val="clear" w:color="auto" w:fill="ffffff"/>
            <w:tcW w:w="14174"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（二）排口水质流量自动监测</w:t>
            </w:r>
            <w:r>
              <w:rPr>
                <w:rFonts w:hint="eastAsia" w:ascii="宋体" w:hAnsi="宋体" w:eastAsia="宋体" w:cs="宋体"/>
                <w:b/>
                <w:bCs/>
                <w:i w:val="0"/>
                <w:iCs w:val="0"/>
                <w:color w:val="000000"/>
                <w:sz w:val="22"/>
                <w:szCs w:val="22"/>
                <w:u w:val="none"/>
              </w:rPr>
            </w:r>
            <w:r/>
          </w:p>
        </w:tc>
      </w:tr>
      <w:tr>
        <w:trPr>
          <w:trHeight w:val="3939"/>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岸基水文水质监测站</w:t>
            </w: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多功能水质自动监测柜</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1、定制化柜体，柜体尺寸不低于1200mm×800mm×1600mm（W×D×H），柜体采用优质冷轧钢板材质，两侧具有可挡雨型散热孔；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柜体内集成多种模块安装预留位，预留位满足各类配套模块安装，安装模块包含但不限于：低功耗多参数水质在线分析模块、全光谱水质监测模块、数字量PH水质监测模块、数字量电导率水质监测模块、数字量浊度水质监测模块、数字量溶解氧水质监测模块、模块化流通池、自动清洗模块、采水单元模组、配水单元模组、配电单元模块、散热组件、通讯控制模组及其他配套设施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3、柜体内部布局需充分考虑各类模块的安装便捷性、维修便利性、可拆卸性，以及供电回路、信号回路等线缆的引入对接接口配置和防水性能；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4、柜体防护等级不低于IP65；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5、含供电、基础及其他辅助配套设施。</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31850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2038400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低功耗多参数水质在线分析模块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numPr>
                <w:ilvl w:val="0"/>
                <w:numId w:val="0"/>
              </w:numPr>
              <w:ind w:left="0" w:right="0" w:firstLine="0"/>
              <w:jc w:val="left"/>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模块配置不低于7寸触摸显示屏，用于现场巡查时查看实时数据；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2、▲模块支持同时连接不少于8个传感器，具有自动配对识别探头功能；（提供省级及以上资质的国家法定计量检定机构出具的检测报告并加盖制造商公章）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3、模块内置数据采集传输模块，支持4G全网通无线传输，支持MQTT、HJ212等协议；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4、支持多种终端查看数据如：PC、微信小程序、手机APP；能够监测实时数据、日期、时间，电流输出值、报警状态、温度等信息；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5、▲为便于现场维护，模块需具备蓝牙功能，支持连接手机移动端蓝牙，支持蓝牙非接触校准、设置等功能；（提供省级及以上资质的国家法定计量检定机构出具的检测报告并加盖制造商公章）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6、▲模块具备自清洗功能：支持自动排污功能、自动超声波自动清洗功能、物理毛刷自动清洗功能；（提供省级及以上资质的国家法定计量检定机构出具的检测报告并加盖制造商公章）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7、模块具有低功耗模式，自动休眠，自动唤醒，自动测量，自动传输；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8、模块支持定位功能，可通过地图查看设备位置及其监测水质信息；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9、模块支持大容量数据存储，可存储32G或5年以上数据，可导出数据；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10、▲模块所接入传感器均支持远程OTA固件升级、支持过程校准和标准液校准，并支持恢复出厂设置功能；（提供省级及以上资质的国家法定计量检定机构出具的检测报告并加盖制造商公章）</w:t>
            </w:r>
            <w:r>
              <w:rPr>
                <w:rFonts w:hint="eastAsia" w:ascii="宋体" w:hAnsi="宋体" w:eastAsia="宋体" w:cs="宋体"/>
                <w:i w:val="0"/>
                <w:iCs w:val="0"/>
                <w:color w:val="ff0000"/>
                <w:sz w:val="22"/>
                <w:szCs w:val="22"/>
                <w:u w:val="none"/>
                <w:lang w:val="en-US" w:eastAsia="zh-CN" w:bidi="ar"/>
              </w:rPr>
            </w:r>
            <w:r/>
          </w:p>
          <w:p>
            <w:pPr>
              <w:pStyle w:val="1053"/>
              <w:numPr>
                <w:ilvl w:val="0"/>
                <w:numId w:val="0"/>
              </w:num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11、模块应支持拓展功能，可扩展接入包括：浊度、色度、pH、电导率、COD、氨氮、溶解氧、ORP等；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12、▲具有CE认证证书。（提供CE认证证书并加盖制造商公章）</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75630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4840320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全光谱水质监测模块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1、光谱分析法，采用180-2100nm全光谱光源，特征波长包含180nm，215nm，254nm，275nm，380nm，420nm，450nm，520nm，550nm，620nm，680nm，860nm，1100nm等；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2、测量指标覆盖包含：COD、氨氮、高锰酸盐指数、总磷、总氮；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3、无需使用化学试剂，可进行紫外可见光全谱分析；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4、无需取样或前处理，可进行在线连续监测；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5、支持RS-485,Modbus RTU协议端口，标配符合使用需求通讯线缆；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6、支持超声波自动清洗，且可自行设置清洗的时长、间隔频率等；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7、支持过程校准和标准液校准（出厂时需完成校准）；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8、支持现场手操器和远程OTA固件升级；并配置一套手操器，该手操器可以操作全光谱水质传感器、PH水质传感器、电导率、水质传感器、溶解氧水质传感器、浊度水质传感器、COD水质传感器、氨氮水质传感器等；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9、防护等级不低于IP68级；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10、测量参数：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化学需氧量(COD)：0～100/1000/5000mg/L；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氨氮(NH4-N)：0～10/100mg/；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总磷(TP)：0～2/10mg/L；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总氮：0~ 20 mg/L；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量程可支持按需拓展；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11、精度不低于±5%F.S，分辨率不低于0.01mg/L。</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87380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5592320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数字量PH水质监测模块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1、支持RS-485接口协议端口，标配符合使用需求通讯线缆；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2、支持超声波自动清洗，可自行设置清洗的时长、间隔频率；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3、支持过程校准和标准液校准（出厂时需完成校准）；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4、支持现场手操器和远程OTA固件升级；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5、防护等级不低于IP68级；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6、测量参数：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测量范围：pH0～14；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辨率：0.001pH；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温度测量范围：0～65℃；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温度补偿精度：±0.1℃，且支持温度自动补偿；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零点/量程漂移：≤±0.1；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响应时间：≤10s；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对比试验误差：±0.1；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7、▲重复性误差：≤±0.01PH，示值误差：≤±0.04PH。（提供省级及以上资质的国家法定计量检定机构出具的检测报告并加盖制造商公章）</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14690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940160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数字量电导率水质监测模块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1、支持RS-485接口协议端口，标配符合使用需求通讯线缆；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2、支持超声波自动清洗，可自行设置清洗的时长、间隔频率；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3、支持自动温度补偿功能；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4、支持过程校准和标准液校准（出厂时需完成校准）；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5、支持现场手操器和远程OTA固件升级；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6、防护等级不低于IP68级；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7、测量参数：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测量量程：0-20mS/cm，量程支持可拓展；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温度补偿：自动；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分辨率：0.01μS/cm；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准确度 ≤±1%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重复性 ≤1%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漂移 ≤±1%FS。</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13630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872320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数字量浊度水质监测模块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1、采用双参比光路设计，可实现3个月的完全免维护，提高抗污染能力；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2、支持RS-485接口协议端口，标配符合使用需求通讯线缆；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3、支持超声波自动清洗，可自行设置清洗的时长、间隔频率；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4、支持福尔马井标准液校准和过程校准（出厂时需完成校准）；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5、支持现场手操器和远程OTA固件升级；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6、测量参数：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测量范围：0-4000NTU；</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▲测量重复性：±0.04%；（提供省级及以上国家法定计量检定机构出具的检测报告并加盖制造商公章）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▲零点漂移：±1%；（提供省级及以上国家法定计量检定机构出具的检测报告并加盖制造商公章）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▲示值误差：0-40NTU范围内≤±0.6%，40-100NTU范围内≤±4.5%；（提供省级及以上国家法定计量检定机构出具的检测报告并加盖制造商公章）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分辨率：0.01NTU。</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11430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731520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数字量溶解氧水质监测模块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1、支持RS-485接口协议端口，标配符合使用需求通讯线缆；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2、支持超声波自动清洗，可自行设置清洗的时长、间隔频率；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3、支持过程校准和标准液校准（出厂时需完成校准）；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4、支持现场手操器和远程OTA固件升级；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5、防护等级不低于IP68级；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6、测量参数：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量程：0～20mg/L；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▲示值误差：±0.22mg/L；（提供省级及以上资质的国家法定计量检定机构出具的检测报告并加盖制造商公章）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▲漂移：零点漂移：±0.4%；量程漂移：±0.93%；（提供省级及以上资质的国家法定计量检定机构出具的检测报告并加盖制造商公章）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▲重复性：±0.01mg/L；（提供省级及以上资质的国家法定计量检定机构出具的检测报告并加盖制造商公章）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准确度：±0.15mg/L；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分辨率：0.01mg/L；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温度补偿精度：±0.1℃。</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11690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748160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模块化流通池</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304不锈钢材质，流通池采用全密封设计，全光谱水质传感器的尺寸不小于95mm*91mm*60mm，PH和电导率流通池尺寸不低于140mm*81mm*70mm，浊度水质传感器流通池尺寸不低于140mm*81mm*70mm，溶解氧水质传感器的流通池尺寸不低于95mm*91mm*60mm，含进出水口，传感器和流通池通过螺纹密封连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2、流通池带进出水螺纹接口，自动清洗模块预安装位。</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5320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340480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自动清洗模块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1、清洗方式为超声波自动清洗，用户可以自行设置清洗的时长和频率；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2、超声波自动清洗功能支持远程启动控制。</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775040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采水单元模组</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1、采水泵可采用自吸泵或者潜水泵；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2、采水泵支持远程启动和控制。</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7510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480640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配水单元模组</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1、配水单元利用流体力学进行冲刷，实现按需过滤；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2、不得采用沉砂过滤方式。</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6270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401280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rPr>
            </w:r>
            <w:r/>
          </w:p>
        </w:tc>
        <w:tc>
          <w:tcPr>
            <w:shd w:val="clear" w:color="auto" w:fill="ffffff"/>
            <w:tcW w:w="960"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排水管网内部水质流量监测站</w:t>
            </w: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微型水质自动监测柜</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numPr>
                <w:ilvl w:val="0"/>
                <w:numId w:val="0"/>
              </w:numPr>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定制化柜体，柜体尺寸不低于800mm×600mm×1200mm（W×D×H）柜体采用优质冷轧钢板材质，两侧具有可挡雨型散热孔；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柜体内集成多种模块安装预留位，预留位需满足各类配套模块安装，安装模块包含但不限于：低功耗多参数水质在线分析模块、数字量COD水质监测模块、数字量氨氮水质监测模块、数字量悬浮物水质监测模块、数字量PH水质监测模块、雷达流速流量监测模块、模块化流通池、自动清洗模块、采水单元模组、配水单元模组、配电单元</w:t>
            </w:r>
            <w:r>
              <w:rPr>
                <w:rFonts w:hint="eastAsia" w:ascii="宋体" w:hAnsi="宋体" w:eastAsia="宋体" w:cs="宋体"/>
                <w:i w:val="0"/>
                <w:iCs w:val="0"/>
                <w:color w:val="000000"/>
                <w:sz w:val="22"/>
                <w:szCs w:val="22"/>
                <w:u w:val="none"/>
                <w:lang w:val="en-US" w:eastAsia="zh-CN" w:bidi="ar"/>
              </w:rPr>
              <w:t xml:space="preserve">模块</w:t>
            </w:r>
            <w:r>
              <w:rPr>
                <w:rFonts w:hint="eastAsia" w:ascii="宋体" w:hAnsi="宋体" w:eastAsia="宋体" w:cs="宋体"/>
                <w:i w:val="0"/>
                <w:iCs w:val="0"/>
                <w:color w:val="000000"/>
                <w:sz w:val="22"/>
                <w:szCs w:val="22"/>
                <w:u w:val="none"/>
                <w:lang w:val="en-US" w:eastAsia="zh-CN" w:bidi="ar"/>
              </w:rPr>
              <w:t xml:space="preserve">、散热组件、通讯控制模组及其他配套设施等；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3、柜体内部布局需充分考虑各类模块的安装便捷性、维修便利性、可拆卸性，以及供电回路、信号回路等线缆的引入对接接口配置和防水性能；</w:t>
            </w:r>
            <w:r>
              <w:rPr>
                <w:rFonts w:hint="eastAsia" w:ascii="宋体" w:hAnsi="宋体" w:eastAsia="宋体" w:cs="宋体"/>
                <w:i w:val="0"/>
                <w:iCs w:val="0"/>
                <w:color w:val="000000"/>
                <w:sz w:val="22"/>
                <w:szCs w:val="22"/>
                <w:u w:val="none"/>
                <w:lang w:val="en-US" w:eastAsia="zh-CN" w:bidi="ar"/>
              </w:rPr>
            </w:r>
            <w:r/>
          </w:p>
          <w:p>
            <w:pPr>
              <w:pStyle w:val="1053"/>
              <w:numPr>
                <w:ilvl w:val="0"/>
                <w:numId w:val="0"/>
              </w:num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4、柜体防护等级不低于IP65；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5、含供电、基础及其他辅助配套设施。</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28710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574200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ascii="宋体" w:hAnsi="宋体" w:eastAsia="宋体" w:cs="宋体"/>
                <w:i w:val="0"/>
                <w:iCs w:val="0"/>
                <w:color w:val="000000"/>
                <w:sz w:val="22"/>
                <w:szCs w:val="22"/>
                <w:u w:val="none"/>
                <w:lang w:val="en-US"/>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低功耗多参数水质在线分析模块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1、模块支持同时连接不少于8个传感器，具有自动配对识别探头功能；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2、模块内置数据采集传输模块，支持4G全网通无线传输，支持MQTT、HJ212等协议；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3、支持多种终端查看数据如：PC、微信小程序、手机APP；能够监测实时数据、日期、时间，电流输出值、报警状态、温度等信息；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4、为便于现场维护，模块需具备蓝牙功能，支持连接手机移动端蓝牙，支持蓝牙非接触校准、设置等功能；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5、模块具备自清洗功能：支持自动排污功能、自动超声波自动清洗功能、物理毛刷自动清洗功能；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6、模块具有低功耗模式，自动休眠，自动唤醒，自动测量，自动传输；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7、模块支持定位功能，可通过地图查看设备位置及其监测水质信息；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8、模块支持大容量数据存储，可存储32G或5年以上数据，可导出数据；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9、模块所接入传感器均支持远程OTA固件升级、支持过程校准和标准液校准，并支持恢复出厂设置功能；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10、模块应支持拓展功能，可扩展接入包括：浊度、色度、pH、电导率、COD、氨氮、溶解氧、ORP等；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11、具有CE认证证书。</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72520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1450400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宋体" w:hAnsi="宋体" w:eastAsia="宋体" w:cs="宋体"/>
                <w:i w:val="0"/>
                <w:iCs w:val="0"/>
                <w:color w:val="000000"/>
                <w:sz w:val="22"/>
                <w:szCs w:val="22"/>
                <w:u w:val="none"/>
                <w:lang w:val="en-US"/>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数字量COD水质监测模块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1、采用UV原理，四光路设计，自动检测传感器污染程度，并自动补偿浊度色度干扰；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2、支持RS-485，Modbus RTU接口协议端口，标配符合使用需求通讯线缆；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3、支持超声波自动清洗，可自行设置清洗的时长、间隔频率；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4、支持过程校准和标准液校准（出厂时需完成校准）；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5、支持现场手操器和远程OTA固件升级；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6、▲支持通过连续24小时的连续中性盐雾试验，并且判定结果为合格；（提供具有CMA资质的第三方检测机构出具的检测报告并加盖制造商公章）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7、▲防护等级不低于IP68级；（提供具有CMA资质的第三方检测机构出具的检测报告并加盖制造商公章）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8、测量参数：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测量范围：0.1~100/150/500mg/L,支持量程可选择；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▲示值误差：≤±2%；（提供省级及以上资质的国家法定计量检定机构出具的检测报告并加盖制造商公章）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准确度：≤±5%；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分辨率：0.01mg/L；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▲重复性：≤0.56%；（提供省级及以上资质的国家法定计量检定机构出具的检测报告并加盖制造商公章）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响应时间：T90≤30s；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▲漂移：零点漂移：≤±0.24%；量程漂移：≤±0.99%。（提供省级及以上资质的国家法定计量检定机构出具的检测报告并加盖制造商公章）</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18830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376600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ascii="宋体" w:hAnsi="宋体" w:eastAsia="宋体" w:cs="宋体"/>
                <w:i w:val="0"/>
                <w:iCs w:val="0"/>
                <w:color w:val="000000"/>
                <w:sz w:val="22"/>
                <w:szCs w:val="22"/>
                <w:u w:val="none"/>
                <w:lang w:val="en-US"/>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数字量PH水质监测模块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1、支持RS-485接口协议端口，标配符合使用需求通讯线缆；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2、支持超声波自动清洗，可自行设置清洗的时长、间隔频率；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3、支持过程校准和标准液校准（出厂时需完成校准）；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4、支持现场手操器和远程OTA固件升级；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5、防护等级不低于IP68级；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6、测量参数：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测量范围：pH0～14；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辨率：0.001pH；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温度测量范围：0～65℃；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温度补偿精度：±0.1℃，且支持温度自动补偿；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零点/量程漂移：≤±0.1；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响应时间：≤10s；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对比试验误差：±0.1；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7、重复性误差：≤±0.01PH，示值误差：≤±0.04PH。</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690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293800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ascii="宋体" w:hAnsi="宋体" w:eastAsia="宋体" w:cs="宋体"/>
                <w:i w:val="0"/>
                <w:iCs w:val="0"/>
                <w:color w:val="000000"/>
                <w:sz w:val="22"/>
                <w:szCs w:val="22"/>
                <w:u w:val="none"/>
                <w:lang w:val="en-US"/>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数字量氨氮水质监测模块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1、支持RS-485，Modbus RTU接口协议端口，标配符合使用需求通讯线缆；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2、支持超声波自动清洗，可自行设置清洗的时长、间隔频率；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3、支持过程校准和标准液校准（出厂时需完成校准）；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4、支持现场手操器和远程OTA固件升级；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5、▲支持通过连续24小时的连续中性盐雾试验，并且判定结果为合格；（提供具有CMA资质的第三方检测机构出具的检测报告并加盖制造商公章）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6、▲防护等级不低于IP68级；（提供具有CMA资质的第三方检测机构出具的检测报告并加盖制造商公章）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7、测量参数：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测量范围：0-100/1000mg/L，可拓展；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准确度：≤±5%；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▲重复性：≤0.26%；（提供省级及以上资质的国家法定计量检定机构出具的检测报告并加盖制造商公章）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分辨率：≤0.01mg/L；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响应时间：T90≤30s；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▲漂移：零点漂移：≤0.32%；量程漂移：≤0.21%。（提供省级及以上资质的国家法定计量检定机构出具的检测报告并加盖制造商公章）</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840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t xml:space="preserve">6800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ascii="宋体" w:hAnsi="宋体" w:eastAsia="宋体" w:cs="宋体"/>
                <w:i w:val="0"/>
                <w:iCs w:val="0"/>
                <w:color w:val="000000"/>
                <w:sz w:val="22"/>
                <w:szCs w:val="22"/>
                <w:u w:val="none"/>
                <w:lang w:val="en-US"/>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数字量悬浮物水质监测模块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1、支持RS-485，Modbus RTU接口协议端口，标配符合使用需求通讯线缆；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2、支持超声波自动清洗，可自行设置清洗的时长、间隔频率；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3、支持过程校准和标准液校准（出厂时需完成校准）；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4、支持现场手操器和远程OTA固件升级；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5、防护等级不低于IP68级；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6、测量参数：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测量范围：0.01-20000 mg/L、0.01-45000 mg/L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显示精度：小于测量值的±5%；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流速：≤2.5m/s、8.2ft/s；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输出：RS485 MODBUS；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使用温度：0～40℃（不结冰）；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存储温度：-15～60℃；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压力范围：≤0.4Mpa。</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560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雷达流速流量监测模块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numPr>
                <w:ilvl w:val="0"/>
                <w:numId w:val="0"/>
              </w:numPr>
              <w:ind w:left="0" w:right="0" w:firstLine="0"/>
              <w:jc w:val="left"/>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测量范围：15m/45m/70m/110m；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(2)测量精度：±3mm；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(3)分辨率：1mm；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(4)使用温度：-35~+70℃；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(5)雷达频率：24GHz；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(6)雷达天线：平面微带阵列天线；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(7)防雷等级：6KV；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(8)防水等级：IP68；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(9)蓝牙标准：4.2以上；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(10)工作电压：不高于36V</w:t>
            </w:r>
            <w:r>
              <w:rPr>
                <w:rFonts w:hint="eastAsia" w:ascii="宋体" w:hAnsi="宋体" w:eastAsia="宋体" w:cs="宋体"/>
                <w:i w:val="0"/>
                <w:iCs w:val="0"/>
                <w:color w:val="000000"/>
                <w:sz w:val="22"/>
                <w:szCs w:val="22"/>
                <w:highlight w:val="yellow"/>
                <w:u w:val="none"/>
                <w:lang w:val="en-US" w:eastAsia="zh-CN" w:bidi="ar"/>
              </w:rPr>
            </w:r>
            <w:r/>
          </w:p>
          <w:p>
            <w:pPr>
              <w:pStyle w:val="1053"/>
              <w:numPr>
                <w:ilvl w:val="0"/>
                <w:numId w:val="0"/>
              </w:numPr>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(11)</w:t>
            </w:r>
            <w:r>
              <w:rPr>
                <w:rFonts w:hint="eastAsia" w:ascii="宋体" w:hAnsi="宋体" w:eastAsia="宋体" w:cs="宋体"/>
                <w:i w:val="0"/>
                <w:iCs w:val="0"/>
                <w:color w:val="000000"/>
                <w:sz w:val="22"/>
                <w:szCs w:val="22"/>
                <w:u w:val="none"/>
                <w:lang w:val="en-US" w:eastAsia="zh-CN" w:bidi="ar"/>
              </w:rPr>
              <w:t xml:space="preserve">重量小于900g，构造紧凑、轻巧，防风抗抖能力强；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(12)外壳：铝合金外壳/PE外壳，带有万向水平仪；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(13)非接触、安全低损、少维护、不受泥沙等影响；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(14)在洪水期高流速条件下也能进行监测；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(15)供电电路采用防反接、防雷保护设计；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(16)系统功耗低；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(17)内置角度姿态传感器，可以感知安装倾斜情况，方便安装调试；</w:t>
            </w:r>
            <w:r>
              <w:rPr>
                <w:rFonts w:hint="eastAsia" w:ascii="宋体" w:hAnsi="宋体" w:eastAsia="宋体" w:cs="宋体"/>
                <w:i w:val="0"/>
                <w:iCs w:val="0"/>
                <w:color w:val="000000"/>
                <w:sz w:val="22"/>
                <w:szCs w:val="22"/>
                <w:u w:val="none"/>
                <w:lang w:val="en-US" w:eastAsia="zh-CN" w:bidi="ar"/>
              </w:rPr>
            </w:r>
            <w:r/>
          </w:p>
          <w:p>
            <w:pPr>
              <w:pStyle w:val="1053"/>
              <w:numPr>
                <w:ilvl w:val="0"/>
                <w:numId w:val="0"/>
              </w:num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(18)多种接口方式，既有数字接口又具有模拟接口，便于接入各类系统；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(19)多种触发模式：周期、触发、手动、自动；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(20)平板天线设计，避免昆虫筑巢结网以及雾气对雷达信号影响的隐患；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(21)全防水设计，适合野外使用；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(22)防雷：防雷等级6KV；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(23)接口方式，既有数字接口又具有模拟接口，便于接入系统。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(24)触发模式：周期、触发、手动、自动；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(25)数传方式：可内置RTU实现设备远程升级和维护，支持4G、NB-IoT；</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(26)蓝牙配置：蓝牙调参功能，支持移动端对设备进行现场配置和维护；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(27)电脑端配置：具有可视化的电脑端调试软件，在电脑端显示水位、空高、雷达信号强度；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(28)实时数据，并提供参数设置、频谱获取、历史数据记录等功能。</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28720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574400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ascii="宋体" w:hAnsi="宋体" w:eastAsia="宋体" w:cs="宋体"/>
                <w:i w:val="0"/>
                <w:iCs w:val="0"/>
                <w:color w:val="000000"/>
                <w:sz w:val="22"/>
                <w:szCs w:val="22"/>
                <w:u w:val="none"/>
                <w:lang w:val="en-US"/>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模块化流通池</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1、304不锈钢材质，流通池采用全密封设计</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PH和电导率流通池尺寸不低于140mm*81mm*70mm，浊度水质传感器流通池尺寸不低于140mm*81mm*70mm，溶解氧水质传感器的流通池尺寸不低于95mm*9mm1*60mm，含进出水口，传感器和流通池通过螺纹密封连接。30</w:t>
            </w:r>
            <w:r>
              <w:rPr>
                <w:rFonts w:hint="eastAsia" w:ascii="宋体" w:hAnsi="宋体" w:eastAsia="宋体" w:cs="宋体"/>
                <w:i w:val="0"/>
                <w:iCs w:val="0"/>
                <w:color w:val="000000"/>
                <w:sz w:val="22"/>
                <w:szCs w:val="22"/>
                <w:highlight w:val="none"/>
                <w:u w:val="none"/>
                <w:lang w:val="en-US" w:eastAsia="zh-CN" w:bidi="ar"/>
              </w:rPr>
              <w:t xml:space="preserve">4不锈钢材质</w:t>
            </w:r>
            <w:r>
              <w:rPr>
                <w:rFonts w:hint="eastAsia" w:ascii="宋体" w:hAnsi="宋体" w:eastAsia="宋体" w:cs="宋体"/>
                <w:i w:val="0"/>
                <w:iCs w:val="0"/>
                <w:color w:val="000000"/>
                <w:sz w:val="22"/>
                <w:szCs w:val="22"/>
                <w:u w:val="none"/>
                <w:lang w:val="en-US" w:eastAsia="zh-CN" w:bidi="ar"/>
              </w:rPr>
              <w:t xml:space="preserve">，尺寸不低于140mm*70mm*70mm，含进出水口；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2、流通池带进出水螺纹接口，自动清洗模块预安装位；</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5320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106400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20</w:t>
            </w:r>
            <w:r>
              <w:rPr>
                <w:rFonts w:ascii="宋体" w:hAnsi="宋体" w:eastAsia="宋体" w:cs="宋体"/>
                <w:i w:val="0"/>
                <w:iCs w:val="0"/>
                <w:color w:val="000000"/>
                <w:sz w:val="22"/>
                <w:szCs w:val="22"/>
                <w:u w:val="none"/>
                <w:lang w:val="en-US" w:eastAsia="zh-CN"/>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自动清洗模块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1、清洗方式为超声波自动清洗，用户可以自行设置清洗的时长和频率；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2、超声波自动清洗功能支持远程启动控制。</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242200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21</w:t>
            </w:r>
            <w:r>
              <w:rPr>
                <w:rFonts w:ascii="宋体" w:hAnsi="宋体" w:eastAsia="宋体" w:cs="宋体"/>
                <w:i w:val="0"/>
                <w:iCs w:val="0"/>
                <w:color w:val="000000"/>
                <w:sz w:val="22"/>
                <w:szCs w:val="22"/>
                <w:u w:val="none"/>
                <w:lang w:val="en-US" w:eastAsia="zh-CN"/>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采水单元模组</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1、采水泵采用自吸泵或者潜水泵；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2、采水泵支持远程启动和控制。</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7510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150200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22</w:t>
            </w:r>
            <w:r>
              <w:rPr>
                <w:rFonts w:ascii="宋体" w:hAnsi="宋体" w:eastAsia="宋体" w:cs="宋体"/>
                <w:i w:val="0"/>
                <w:iCs w:val="0"/>
                <w:color w:val="000000"/>
                <w:sz w:val="22"/>
                <w:szCs w:val="22"/>
                <w:u w:val="none"/>
                <w:lang w:val="en-US" w:eastAsia="zh-CN"/>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配水单元模组</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1、配水单元利用流体力学进行冲刷，实现按需过滤；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2、不得采用沉砂过滤方式。</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6270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125400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rPr>
                <w:rFonts w:ascii="宋体" w:hAnsi="宋体" w:eastAsia="宋体" w:cs="宋体"/>
                <w:i w:val="0"/>
                <w:iCs w:val="0"/>
                <w:color w:val="000000"/>
                <w:sz w:val="22"/>
                <w:szCs w:val="22"/>
                <w:u w:val="none"/>
                <w:lang w:val="en-US" w:eastAsia="zh-CN"/>
              </w:rPr>
            </w:r>
            <w:r/>
          </w:p>
        </w:tc>
        <w:tc>
          <w:tcPr>
            <w:shd w:val="clear" w:color="auto" w:fill="ffffff"/>
            <w:tcW w:w="960"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供电单元模组</w:t>
            </w: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供配电单元模组</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供电模组支持太阳能/市电互补供电，支持在没有光伏充电，且电池低电压告警状态下，市电切换介入；支持低电电压值设置。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采用单晶硅光伏组件，满足发电总功率≥400W，标配12V 210AH三元动力电池，MPPT光伏控制器等；含立柱、基础及其他辅助配套设施。</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11420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959280</w:t>
            </w:r>
            <w:r>
              <w:rPr>
                <w:rFonts w:hint="eastAsia" w:ascii="宋体" w:hAnsi="宋体" w:eastAsia="宋体" w:cs="宋体"/>
                <w:i w:val="0"/>
                <w:iCs w:val="0"/>
                <w:color w:val="000000"/>
                <w:sz w:val="22"/>
                <w:szCs w:val="22"/>
                <w:u w:val="none"/>
              </w:rPr>
            </w:r>
            <w:r/>
          </w:p>
        </w:tc>
      </w:tr>
      <w:tr>
        <w:trPr>
          <w:trHeight w:val="397"/>
        </w:trPr>
        <w:tc>
          <w:tcPr>
            <w:gridSpan w:val="10"/>
            <w:shd w:val="clear" w:color="auto" w:fill="ffffff"/>
            <w:tcW w:w="14174"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（三）排污口周边AI视频监控</w:t>
            </w:r>
            <w:r>
              <w:rPr>
                <w:rFonts w:hint="eastAsia" w:ascii="宋体" w:hAnsi="宋体" w:eastAsia="宋体" w:cs="宋体"/>
                <w:b/>
                <w:bCs/>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AI高清网络球型摄像机</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1、400万像素，支持不低于2560*1440分辨率画面输出，支持不低于40倍光学变倍，支持不低于250米红外补光距离；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2、支持具有偏移自动校正功能，当设备运动结束静止后，其水平和垂直角度方向受到外力作用发生偏移时，可通过IE浏览器在监控画面上叠加OSD报警信息并自动恢复到偏移前的位置，偏差应不大于0.01°；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3、支陀螺仪防抖功能，在幅度≤±0.3 度和频率（1-10）Hz 范围内的抖动，开启陀螺仪防抖能使视频图像有明显改善；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具有三种滤光片，在白天、夜晚及有雾情况下可自动切换不同的滤光片进行成像。有雾情况下使用的滤光片不低于800nm～1100nm，透过率不小于96%；支持夜晚情况下使用的滤光片不低于475nm～530nm，透过率不小于96%；白天情况下使用的滤光片不低于450nm～545nm，透过率不小于96%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5、含供电、基础、立杆及其他辅助配套设施。</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11520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472320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微型存储服务器</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不低于4路400万像素视频监控接入；支持网络输入/输出带宽不低于80/40Mbps；视频解码格式支持H.265/H.264/Smart265/Smart264；支持不低于1个HDMI接口、1个RJ45接口、2个USB后置接口、1个SATA接口，支持单盘接入最大容量不低于8TB。</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145960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视频监控图像AI分析模块</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1、设备内置1颗高性能GPU，单颗GPU算力22TOPS（int8），每颗GPU最多可虚拟成4个智能引擎，每个智能引擎支持最多单独运行一类算法（以具体算法的加载要求为准）；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后智能分析：（1）支持最大选配5类算法；（2）后智能分析支持实时模式和分时轮巡模式切换，在分时轮巡模式下，依据算法能力不同，可配置分时视频分析和轮巡视频分析；（3）支持展示所有安装的算法及版本，展示算法状态，可对已安装的算法进行手动更新。</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16520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677320</w:t>
            </w:r>
            <w:r>
              <w:rPr>
                <w:rFonts w:hint="eastAsia" w:ascii="宋体" w:hAnsi="宋体" w:eastAsia="宋体" w:cs="宋体"/>
                <w:i w:val="0"/>
                <w:iCs w:val="0"/>
                <w:color w:val="000000"/>
                <w:sz w:val="22"/>
                <w:szCs w:val="22"/>
                <w:u w:val="none"/>
              </w:rPr>
            </w:r>
            <w:r/>
          </w:p>
        </w:tc>
      </w:tr>
      <w:tr>
        <w:trPr>
          <w:trHeight w:val="397"/>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专用硬盘</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监控级硬盘，≥4TB，SATS接口，256M缓存，5400RPM。</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2930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120130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工业级交换机</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工业级交换机，支持5个10/100/1000Mbps接口；支持-40℃～75℃宽温工作，防止交换机过热保护；支持9.6V～45VDC宽电压输入，适配工业电源。</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83230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视频分析服务器</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1、内置高性能多核处理器，国产化操作系统，含2*4T硬盘；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2、支持不低于24个算力为22TOPS（INT8）的64位8核GPU处理器芯片，芯片最高频率不低于1.7GHzGPU；</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3、每个GPU支持不低于3种引擎功能设置：视频压缩、智能分析、大模型引擎；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4、支持利用大模型对分析结果进行二次研判；支持去除误报和增补漏报两种模式；经过二次研判的结果均自动打标，包括正报、疑似误报、漏报三种状态，支持人工复核；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5、支持对动态视频进行不低于13倍的压缩，压缩前后视频文件帧率、分辨率、时长不变。压缩后图像峰值信噪比 PSNR≥33.7dB；结构相似度SSIM≥0.98。</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134840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134840</w:t>
            </w:r>
            <w:r>
              <w:rPr>
                <w:rFonts w:hint="eastAsia" w:ascii="宋体" w:hAnsi="宋体" w:eastAsia="宋体" w:cs="宋体"/>
                <w:i w:val="0"/>
                <w:iCs w:val="0"/>
                <w:color w:val="000000"/>
                <w:sz w:val="22"/>
                <w:szCs w:val="22"/>
                <w:u w:val="none"/>
              </w:rPr>
            </w:r>
            <w:r/>
          </w:p>
        </w:tc>
      </w:tr>
      <w:tr>
        <w:trPr>
          <w:trHeight w:val="397"/>
        </w:trPr>
        <w:tc>
          <w:tcPr>
            <w:gridSpan w:val="10"/>
            <w:shd w:val="clear" w:color="auto" w:fill="ffffff"/>
            <w:tcW w:w="14174"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（四）运营商专线租赁</w:t>
            </w:r>
            <w:r>
              <w:rPr>
                <w:rFonts w:hint="eastAsia" w:ascii="宋体" w:hAnsi="宋体" w:eastAsia="宋体" w:cs="宋体"/>
                <w:b/>
                <w:bCs/>
                <w:i w:val="0"/>
                <w:iCs w:val="0"/>
                <w:color w:val="000000"/>
                <w:sz w:val="22"/>
                <w:szCs w:val="22"/>
                <w:u w:val="none"/>
              </w:rPr>
            </w:r>
            <w:r/>
          </w:p>
        </w:tc>
      </w:tr>
      <w:tr>
        <w:trPr>
          <w:trHeight w:val="397"/>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运营商专线租赁</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运营商节点专线，不低于10M带宽速率，与项目同等质保时效。</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250510</w:t>
            </w:r>
            <w:r>
              <w:rPr>
                <w:rFonts w:hint="eastAsia" w:ascii="宋体" w:hAnsi="宋体" w:eastAsia="宋体" w:cs="宋体"/>
                <w:i w:val="0"/>
                <w:iCs w:val="0"/>
                <w:color w:val="000000"/>
                <w:sz w:val="22"/>
                <w:szCs w:val="22"/>
                <w:u w:val="none"/>
              </w:rPr>
            </w:r>
            <w:r/>
          </w:p>
        </w:tc>
      </w:tr>
      <w:tr>
        <w:trPr>
          <w:trHeight w:val="397"/>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运营商4G通用流量卡,不低于20G流量,与项目同等质保时效。</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2260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189840</w:t>
            </w:r>
            <w:r>
              <w:rPr>
                <w:rFonts w:hint="eastAsia" w:ascii="宋体" w:hAnsi="宋体" w:eastAsia="宋体" w:cs="宋体"/>
                <w:i w:val="0"/>
                <w:iCs w:val="0"/>
                <w:color w:val="000000"/>
                <w:sz w:val="22"/>
                <w:szCs w:val="22"/>
                <w:u w:val="none"/>
              </w:rPr>
            </w:r>
            <w:r/>
          </w:p>
        </w:tc>
      </w:tr>
      <w:tr>
        <w:trPr>
          <w:trHeight w:val="397"/>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运营商VPDN专线，不低于10M带宽速率，与项目同等质保时效。</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6110</w:t>
            </w:r>
            <w:r>
              <w:rPr>
                <w:rFonts w:hint="eastAsia" w:ascii="宋体" w:hAnsi="宋体" w:eastAsia="宋体" w:cs="宋体"/>
                <w:i w:val="0"/>
                <w:iCs w:val="0"/>
                <w:color w:val="000000"/>
                <w:sz w:val="22"/>
                <w:szCs w:val="22"/>
                <w:u w:val="none"/>
              </w:rPr>
            </w:r>
            <w:r/>
          </w:p>
        </w:tc>
      </w:tr>
      <w:tr>
        <w:trPr>
          <w:trHeight w:val="397"/>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运营商VPN专线，不低于200M带宽速率，与项目同等质保时效。</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81360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81360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运营商电子政务专线，不低于100M带宽速率，与项目同等质保时效。</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24410</w:t>
            </w:r>
            <w:r>
              <w:rPr>
                <w:rFonts w:hint="eastAsia" w:ascii="宋体" w:hAnsi="宋体" w:eastAsia="宋体" w:cs="宋体"/>
                <w:i w:val="0"/>
                <w:iCs w:val="0"/>
                <w:color w:val="000000"/>
                <w:sz w:val="22"/>
                <w:szCs w:val="22"/>
                <w:u w:val="none"/>
              </w:rPr>
            </w:r>
            <w:r/>
          </w:p>
        </w:tc>
      </w:tr>
      <w:tr>
        <w:trPr>
          <w:trHeight w:val="397"/>
        </w:trPr>
        <w:tc>
          <w:tcPr>
            <w:gridSpan w:val="10"/>
            <w:shd w:val="clear" w:color="auto" w:fill="ffffff"/>
            <w:tcW w:w="14174"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（五）终端安全及管理设备</w:t>
            </w:r>
            <w:r>
              <w:rPr>
                <w:rFonts w:hint="eastAsia" w:ascii="宋体" w:hAnsi="宋体" w:eastAsia="宋体" w:cs="宋体"/>
                <w:b/>
                <w:bCs/>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服务器机柜</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设备尺寸：600mm*1000mm*2000mm，冷轧钢板材质，静电喷塑工艺，前玻璃后网孔样式，机柜内含3块层板，2个16位PDU。</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数据服务器</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支持16核CPU*2，2*10/100/1000Mbps网口，不低于128G-DDR4内存，2*2TB 3.5时7.2K 12Gb SAS硬盘，8iSE 2GB SAS 12G RAID，550W冗余电源模块。</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180200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360400</w:t>
            </w:r>
            <w:r>
              <w:rPr>
                <w:rFonts w:hint="eastAsia" w:ascii="宋体" w:hAnsi="宋体" w:eastAsia="宋体" w:cs="宋体"/>
                <w:i w:val="0"/>
                <w:iCs w:val="0"/>
                <w:color w:val="000000"/>
                <w:sz w:val="22"/>
                <w:szCs w:val="22"/>
                <w:u w:val="none"/>
              </w:rPr>
            </w:r>
            <w:r/>
          </w:p>
        </w:tc>
      </w:tr>
      <w:tr>
        <w:trPr>
          <w:trHeight w:val="397"/>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操作系统</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国产化服务器操作系统。</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8140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16280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数据库软件系统</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rPr>
              <w:t xml:space="preserve">国产化数据库系统，支持各种国际和国内相关标准，具有高性能，高可靠性和易用性，支持多库、库之间小旦相对独立性，支持多CPU，支持TB级以上的少量数据和大用户并发处理、支持集群、可支撑中、大型企业和政府部门应用。</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75710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151420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路由器</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NAT会话数≥50万，带机量400-600；三层端口≥4GE(2Combo)+2SFP；≥4个业务扩展槽；支持IPv4/IPv6；支持静态路由RIPv1/v2、OSPFv2、BGP、IS-IS、路由迭代</w:t>
            </w:r>
            <w:r>
              <w:rPr>
                <w:rFonts w:hint="eastAsia" w:ascii="宋体" w:hAnsi="宋体" w:eastAsia="宋体" w:cs="宋体"/>
                <w:i w:val="0"/>
                <w:iCs w:val="0"/>
                <w:color w:val="000000"/>
                <w:sz w:val="22"/>
                <w:szCs w:val="22"/>
                <w:u w:val="none"/>
                <w:lang w:val="en-US" w:eastAsia="zh-CN" w:bidi="ar"/>
              </w:rPr>
              <w:t xml:space="preserve">、路由策略、ECMP支持L2TP，NAT/NAPT，PKI，RSA，SSH v1.5/2.0，SSL，URPF，GRE；支持语音；支持基于带宽的负载分担与备份、支持基于用户（IP地址）的负载分担与备份；支持URL过滤，网站黑白名单，关键字模糊匹配，支持近千种PC和手机常见应用的识别和控制；支持PORTAL，802.1x等认证；基于域的防火墙；攻击防范；基于角色接入控制；支持3/4G扩展；支持MPLS，支持VRRP、VRRPv3；支持U盘/短信开局，手机APP管理和开局；支持WEB；支持外网平台远程集中运维。</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18430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18430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防火墙</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numPr>
                <w:ilvl w:val="0"/>
                <w:numId w:val="15"/>
              </w:numPr>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设备采用不低于国产化四核处理器芯片，国产化操作系统，内存≥16G，512G固态硬盘，不低于（10个千兆电口，6个千兆光插槽，2个万兆光插槽，固化双电源，2个扩展槽位）,吞吐≥4G，并发连接≥160万。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2、支持策略路由，支持根据入接口、源/目的IP地址、协议、用户、应用、选路算法、探测等多种条件设置策略路由。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rPr>
                <w:rFonts w:hint="eastAsia" w:ascii="宋体" w:hAnsi="宋体" w:eastAsia="宋体" w:cs="宋体"/>
                <w:i w:val="0"/>
                <w:iCs w:val="0"/>
                <w:color w:val="000000"/>
                <w:sz w:val="22"/>
                <w:szCs w:val="22"/>
                <w:u w:val="none"/>
                <w:lang w:val="en-US" w:eastAsia="zh-CN" w:bidi="ar"/>
              </w:rPr>
            </w:r>
            <w:r/>
          </w:p>
          <w:p>
            <w:pPr>
              <w:pStyle w:val="1053"/>
              <w:numPr>
                <w:ilvl w:val="0"/>
                <w:numId w:val="0"/>
              </w:numPr>
              <w:ind w:righ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4、▲访问控制策略执行动作支持放行、阻断、认证、收集，对需要认证的流量进行Web认证，策略中可设置用户 Web 认证的门户地址或收集策略流量访问记录，生成更细粒的策略；（提供产品功能截图及第三方检测机构出具的产品功能检测报告并加盖制造商公章）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5、▲提供策略变更信息管理功能，支持查看变更策略、变更动作、变更时间、修改人、登录IP，支持对变更前后的策略进行直观对比，并能一键还原配置；（提供产品功能截图及第三方检测机构出具的产品功能检测报告并加盖制造商公章）</w:t>
            </w:r>
            <w:r>
              <w:rPr>
                <w:rFonts w:hint="eastAsia" w:ascii="宋体" w:hAnsi="宋体" w:eastAsia="宋体" w:cs="宋体"/>
                <w:i w:val="0"/>
                <w:iCs w:val="0"/>
                <w:color w:val="ff0000"/>
                <w:sz w:val="22"/>
                <w:szCs w:val="22"/>
                <w:u w:val="none"/>
                <w:lang w:val="en-US" w:eastAsia="zh-CN" w:bidi="ar"/>
              </w:rPr>
              <w:br w:type="textWrapping" w:clear="all"/>
            </w:r>
            <w:r>
              <w:rPr>
                <w:rFonts w:hint="eastAsia" w:ascii="宋体" w:hAnsi="宋体" w:eastAsia="宋体" w:cs="宋体"/>
                <w:i w:val="0"/>
                <w:iCs w:val="0"/>
                <w:color w:val="ff0000"/>
                <w:sz w:val="22"/>
                <w:szCs w:val="22"/>
                <w:u w:val="none"/>
                <w:lang w:val="en-US" w:eastAsia="zh-CN" w:bidi="ar"/>
              </w:rPr>
              <w:t xml:space="preserve">6、▲提供策略分析功能，支持策略命中分析、策略冗余分析、策略冲突检查、策略包含分析、宽泛策略分析，可在WEB界面显示检测结果。（提供产品功能截图及第三方检测机构出具的产品功能检测报告并加盖制造商公章）</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106320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106320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日志审计系统</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1、设备支持不低于（1个console口，6个千兆电口+4个千兆光插槽+2个万兆光插槽,32G内存，4T数据盘，冗余电源）。冗余电源，日志采集处理均值3000EPS及以上。默认包含不低于50条日志源。</w:t>
            </w:r>
            <w:r>
              <w:rPr>
                <w:rFonts w:hint="eastAsia" w:ascii="宋体" w:hAnsi="宋体" w:eastAsia="宋体" w:cs="宋体"/>
                <w:color w:val="000000"/>
                <w:sz w:val="22"/>
                <w:szCs w:val="22"/>
                <w:u w:val="none"/>
                <w:lang w:val="en-US" w:eastAsia="zh-CN" w:bidi="ar"/>
              </w:rPr>
              <w:br w:type="textWrapping" w:clear="all"/>
            </w:r>
            <w:r>
              <w:rPr>
                <w:rFonts w:hint="eastAsia" w:ascii="宋体" w:hAnsi="宋体" w:eastAsia="宋体" w:cs="宋体"/>
                <w:color w:val="000000"/>
                <w:sz w:val="22"/>
                <w:szCs w:val="22"/>
                <w:u w:val="none"/>
                <w:lang w:val="en-US" w:eastAsia="zh-CN" w:bidi="ar"/>
              </w:rPr>
              <w:t xml:space="preserve">2、支持网络设备、安全设备、操作系统、中间件、数据库、业务系统等各类日志数据采集。支持Syslog、SNMP Trap、Netflow、JDBC、WMI、FTP、SFTP、SCP、HTTP/HTTPS、Kafka、Filebeat、NetBIOS、SMB、文件/文件夹等方式进行数据采集；支持通过Agent采集日志数据。</w:t>
            </w:r>
            <w:r>
              <w:rPr>
                <w:rFonts w:hint="eastAsia" w:ascii="宋体" w:hAnsi="宋体" w:eastAsia="宋体" w:cs="宋体"/>
                <w:color w:val="000000"/>
                <w:sz w:val="22"/>
                <w:szCs w:val="22"/>
                <w:u w:val="none"/>
                <w:lang w:val="en-US" w:eastAsia="zh-CN" w:bidi="ar"/>
              </w:rPr>
              <w:br w:type="textWrapping" w:clear="all"/>
            </w:r>
            <w:r>
              <w:rPr>
                <w:rStyle w:val="1310"/>
                <w:color w:val="000000"/>
                <w:lang w:val="en-US" w:eastAsia="zh-CN" w:bidi="ar"/>
              </w:rPr>
              <w:t xml:space="preserve">3、支持日志文件导入功能，可实现WMI，FTP，SFTP，SCP，SYSLOG采集方式的日志文件导入采集。文件类型支持zip，txt，log，evtx(windows事件日志)；</w:t>
            </w:r>
            <w:r>
              <w:rPr>
                <w:rFonts w:hint="eastAsia" w:ascii="宋体" w:hAnsi="宋体" w:eastAsia="宋体" w:cs="宋体"/>
                <w:color w:val="000000"/>
                <w:sz w:val="22"/>
                <w:szCs w:val="22"/>
                <w:u w:val="none"/>
                <w:lang w:val="en-US" w:eastAsia="zh-CN" w:bidi="ar"/>
              </w:rPr>
              <w:br w:type="textWrapping" w:clear="all"/>
            </w:r>
            <w:r>
              <w:rPr>
                <w:rFonts w:hint="eastAsia" w:ascii="宋体" w:hAnsi="宋体" w:eastAsia="宋体" w:cs="宋体"/>
                <w:color w:val="000000"/>
                <w:sz w:val="22"/>
                <w:szCs w:val="22"/>
                <w:u w:val="none"/>
                <w:lang w:val="en-US" w:eastAsia="zh-CN" w:bidi="ar"/>
              </w:rPr>
              <w:t xml:space="preserve">4、支持日志存储空间监控，超过阀值进行告警。当日志存储量达到上限，可设置删除最旧日志或存储到备份路径；</w:t>
            </w:r>
            <w:r>
              <w:rPr>
                <w:rFonts w:hint="eastAsia" w:ascii="宋体" w:hAnsi="宋体" w:eastAsia="宋体" w:cs="宋体"/>
                <w:color w:val="000000"/>
                <w:sz w:val="22"/>
                <w:szCs w:val="22"/>
                <w:u w:val="none"/>
                <w:lang w:val="en-US" w:eastAsia="zh-CN" w:bidi="ar"/>
              </w:rPr>
              <w:br w:type="textWrapping" w:clear="all"/>
            </w:r>
            <w:r>
              <w:rPr>
                <w:rStyle w:val="1310"/>
                <w:color w:val="000000"/>
                <w:lang w:val="en-US" w:eastAsia="zh-CN" w:bidi="ar"/>
              </w:rPr>
              <w:t xml:space="preserve">5、支持日志存储加密，可针对不同日志源独立设置加密算法，加密算法可选择AES256、SM2以及SM4；</w:t>
            </w:r>
            <w:r>
              <w:rPr>
                <w:rFonts w:hint="eastAsia" w:ascii="宋体" w:hAnsi="宋体" w:eastAsia="宋体" w:cs="宋体"/>
                <w:color w:val="000000"/>
                <w:sz w:val="22"/>
                <w:szCs w:val="22"/>
                <w:u w:val="none"/>
                <w:lang w:val="en-US" w:eastAsia="zh-CN" w:bidi="ar"/>
              </w:rPr>
              <w:br w:type="textWrapping" w:clear="all"/>
            </w:r>
            <w:r>
              <w:rPr>
                <w:rFonts w:hint="eastAsia" w:ascii="宋体" w:hAnsi="宋体" w:eastAsia="宋体" w:cs="宋体"/>
                <w:color w:val="000000"/>
                <w:sz w:val="22"/>
                <w:szCs w:val="22"/>
                <w:u w:val="none"/>
                <w:lang w:val="en-US" w:eastAsia="zh-CN" w:bidi="ar"/>
              </w:rPr>
              <w:t xml:space="preserve">6、支持日志源管理功能，管理员可以对日志源进行查看、批量修改、添加、编辑、删除以及启\禁用的操作；</w:t>
            </w:r>
            <w:r>
              <w:rPr>
                <w:rFonts w:hint="eastAsia" w:ascii="宋体" w:hAnsi="宋体" w:eastAsia="宋体" w:cs="宋体"/>
                <w:color w:val="000000"/>
                <w:sz w:val="22"/>
                <w:szCs w:val="22"/>
                <w:u w:val="none"/>
                <w:lang w:val="en-US" w:eastAsia="zh-CN" w:bidi="ar"/>
              </w:rPr>
              <w:br w:type="textWrapping" w:clear="all"/>
            </w:r>
            <w:r>
              <w:rPr>
                <w:rStyle w:val="1310"/>
                <w:color w:val="000000"/>
                <w:lang w:val="en-US" w:eastAsia="zh-CN" w:bidi="ar"/>
              </w:rPr>
              <w:t xml:space="preserve">7、支持对重点日志源的关注设置，并可通过关注列表快速查看重点日志源的状态、当日日志量、采集日志总量、最近接收时间、业务组等基础信息；</w:t>
            </w:r>
            <w:r>
              <w:rPr>
                <w:rFonts w:hint="eastAsia" w:ascii="宋体" w:hAnsi="宋体" w:eastAsia="宋体" w:cs="宋体"/>
                <w:color w:val="000000"/>
                <w:sz w:val="22"/>
                <w:szCs w:val="22"/>
                <w:u w:val="none"/>
                <w:lang w:val="en-US" w:eastAsia="zh-CN" w:bidi="ar"/>
              </w:rPr>
              <w:br w:type="textWrapping" w:clear="all"/>
            </w:r>
            <w:r>
              <w:rPr>
                <w:rFonts w:hint="eastAsia" w:ascii="宋体" w:hAnsi="宋体" w:eastAsia="宋体" w:cs="宋体"/>
                <w:color w:val="000000"/>
                <w:sz w:val="22"/>
                <w:szCs w:val="22"/>
                <w:u w:val="none"/>
                <w:lang w:val="en-US" w:eastAsia="zh-CN" w:bidi="ar"/>
              </w:rPr>
              <w:t xml:space="preserve">8、支持以业务角度将日志源进行分组，支持在日志查询时以业务组进行查询，并能够在首页拓扑展示时以业务组进行展示；</w:t>
            </w:r>
            <w:r>
              <w:rPr>
                <w:rFonts w:hint="eastAsia" w:ascii="宋体" w:hAnsi="宋体" w:eastAsia="宋体" w:cs="宋体"/>
                <w:color w:val="000000"/>
                <w:sz w:val="22"/>
                <w:szCs w:val="22"/>
                <w:u w:val="none"/>
                <w:lang w:val="en-US" w:eastAsia="zh-CN" w:bidi="ar"/>
              </w:rPr>
              <w:br w:type="textWrapping" w:clear="all"/>
            </w:r>
            <w:r>
              <w:rPr>
                <w:rFonts w:hint="eastAsia" w:ascii="宋体" w:hAnsi="宋体" w:eastAsia="宋体" w:cs="宋体"/>
                <w:color w:val="000000"/>
                <w:sz w:val="22"/>
                <w:szCs w:val="22"/>
                <w:u w:val="none"/>
                <w:lang w:val="en-US" w:eastAsia="zh-CN" w:bidi="ar"/>
              </w:rPr>
              <w:t xml:space="preserve">9、支持将日志源管理权限分配给不同的操作管理员，不同用户管理不同日志源的日志，互不干扰。</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119930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119930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堡垒机</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设备支持不低于（1个console口，2个USB口，6个千兆电口，4个千兆光口，国产化cpu芯片，2.3GHz，8核；16G内存，系统盘16Gmsata，数据盘4T机械硬盘,冗余电源,2个扩展槽位）。另包含不低于50个License许可，建议总数&lt;=500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2、支持本地认证和三方认证服务器接入认证，如AD、LDAP、Radius服务器；支持双因子认证；认证方式支持OTP动态口令认证、短信认证、数字证书认证、USB-KEY认证、人脸识别等多因素认证方式；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3、支持内置人脸识别功能，无需与第三方人脸识别系统对接开发；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4、支持资产的增删改查、锁定、解锁等操作，对资产进行全生命周期管理；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5、支持资产网域化管理，按照不同局域网进行资产配置和管理；6、支持RDP、VNC图形操作过程中键盘输入操作记录、剪贴板和鼠标点击行为记录；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7、支持全文审计检索。可以对操作行为中的用户信息、资产信息、管理地址信息、管理方式信息、操作命令信息、操作结果信息进行全文检索、过滤，极大提高查询效率，更方便的进行用户关联追溯；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等价账号，可配置为等价账号的账号为同一资产不同协议的同名账号。等价账号主要用于账号改密，通过将同名账号配置为等价账号，可实现改密任务改密等价账号密码时，会将等价账号中所有不同协议同名账号的密码一并修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9、支持标签/九宫格展示方式，便于用户查看运维资产信息；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10、支持自定义命令，命令级别分为：普通命令、敏感命令和高危命令。</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86370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86370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数据交换机</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支持不低于24个10/100/1000BASE-T以太网端口,4个千兆SFP，交换容量不低于336Gbps/3.36Tbps，包转发率不低于108/126Mpps，支持双电源。</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WEB应用防火墙</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多核CPU硬件架构，网络层吞吐不低于8G，HTTP吞吐不低于1G，HTTP新建链接数不低于1.7W，HTTP并发链接数不低于80万，HTTPS不低于吞吐500M；支持单电源，不低于8G内存，不低于1T机械硬盘；国产化CPU芯片及操作系统；不低于1个扩展槽，可防护站点数不低于256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2、支持SSL透明代理，可以对HTTPS网站进行保护，https站点同时配置商密算法+国密算法；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3、支持具备注入攻击防御能力，可以对SQL注入、LDAP注入、SSI指令注入、Xpath注入、命令注入、远程文件包含以及其他注入进行防御；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4、支持具备信息泄露防御能力，可以防止服务器错误、数据库错误、Web目录内容、程序代码、关键字；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具备个人敏感信息防泄漏功能，可以检测到个人身份信息（包括中国大陆身份证号、港澳台身份证号、美国社会安全号）、银行卡号、信用卡号、邮件账号的信息泄露，支持对敏感信息的脱敏操作（替换为指定字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站点自动发现（http和https），自动发现网络中的http网站，包含服务器IP/端口/域名/访问次数等信息，并一键添加为保护站点；支持提供丰富的日志信息，包括设备管理日志、网络安全日志、网页安全日志、防篡改日志、访问控制日志、自学习策略日志、Web访问日志等。</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80510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80510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数据库审计系统</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1、国产化数据库审计系统，采用国产化芯片和国产化操作系统，不低于32G内存和4T数据盘，不低于6个千兆电口，4个千兆光口，2个万兆口；不低于2个扩展槽位；支持冗余电源；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不低于5W条/秒记录事件能力，抓包速率不低于5.48Gbps；内置多种数据库协议默认管控规则，包括Oracle、MySQL、SQLserver、PostgreSQL、Dameng、OSCAR、MongoDB、Sybase、DB2、Kingbase、SequoiaDB、Cassandra等多种协议分类，提供用户登录、高风险操作、SQL命令等出厂默认规则组，用户无需自定义可直接引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柱状图的方式展示用户排名、协议排名、协议大类流量Top10；展示用户、协议、协议组的百分比、详细、总流量、上下行流量、平均速率、上下行平均速率、峰值速率、上下行峰值速率、总会话数、上下行会话数等详细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4、支持查看会话回放，支持倍速回放，至少包括1倍速、2倍速、4倍速等，完整还原数据库操作情况；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5、支持敏感数据访问独立展示，可直观展示当天审计总事件数、敏感数据访问事件、复合型敏感数据、中文名类型、身份证号码类型等访问次数；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6、支持对审计日志中敏感数据（身份证号、手机号、银行卡号等）进行掩码处理，进行隐私保护，敏感保护规则可自定义；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支持潜在危害、异常行为（SQL基线、SQL注入、敏感检测、暴力破解、撞库攻击）、访问控制（告警、阻断）、网络攻击等行为进行告警，并生成告警日志；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7、支持匹配查询条件后的查询结果分析，分析结果支持在线查看报表导出；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以图表展示数据库高危操作行为统计，可直观展示针对数据库删库、删表等高危风险操作，并展示受影响数据库详情；针对数据库的批量数据修改和泄露操作进行统计展示，协助用户判断潜在危害，点击柱状图可展示详情。</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74660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74660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入侵检测系统</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产化CPU,国产操作系统，不低于32G内存及4T数据盘,不低于6个千兆电口(含1个管理口),不低于4个千兆光口及2个万兆光口,冗余电源,不低于2个扩展槽位,整机吞吐率不低于24000Mbps,最大并发连接数不低于200万,IDS吞吐率不低于1Gbps；包含三年的入侵检测特征库升级授权。</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56430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56430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不间断电源系统</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线式UPS不间断电源，额定功率≥10KVA/9KW，输入输出功率因素≥0.9,宽市电输入范围110V-300V，支持高效变频转换模式，支持ECO节能模式，支持RS232/USB接口和电脑通讯。含电池组（后备不低于1h）、连接线、电池柜等。</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14520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14520</w:t>
            </w:r>
            <w:r>
              <w:rPr>
                <w:rFonts w:hint="eastAsia" w:ascii="宋体" w:hAnsi="宋体" w:eastAsia="宋体" w:cs="宋体"/>
                <w:i w:val="0"/>
                <w:iCs w:val="0"/>
                <w:color w:val="000000"/>
                <w:sz w:val="22"/>
                <w:szCs w:val="22"/>
                <w:u w:val="none"/>
              </w:rPr>
            </w:r>
            <w:r/>
          </w:p>
        </w:tc>
      </w:tr>
      <w:tr>
        <w:trPr>
          <w:trHeight w:val="454"/>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系统工作站</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32英寸/I7/32G/512固态/2T硬盘/独显。</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28650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28650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操作系统</w:t>
            </w:r>
            <w:r>
              <w:rPr>
                <w:rFonts w:hint="eastAsia" w:ascii="宋体" w:hAnsi="宋体" w:eastAsia="宋体" w:cs="宋体"/>
                <w:i w:val="0"/>
                <w:iCs w:val="0"/>
                <w:color w:val="000000"/>
                <w:sz w:val="22"/>
                <w:szCs w:val="22"/>
                <w:u w:val="none"/>
              </w:rPr>
            </w:r>
            <w:r/>
          </w:p>
        </w:tc>
        <w:tc>
          <w:tcPr>
            <w:gridSpan w:val="3"/>
            <w:shd w:val="clear" w:color="auto" w:fill="ffffff"/>
            <w:tcW w:w="630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国产化操作系统，支持针对各种异构CPU平台进行硬件适配和软件移植，支持提供一致的软硬件接口，实现操作系统对不同体系结构平台的统一，支持提供强大的外设适配能力，支持提供强大的软件移植能力。</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2650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2650</w:t>
            </w:r>
            <w:r>
              <w:rPr>
                <w:rFonts w:hint="eastAsia" w:ascii="宋体" w:hAnsi="宋体" w:eastAsia="宋体" w:cs="宋体"/>
                <w:i w:val="0"/>
                <w:iCs w:val="0"/>
                <w:color w:val="000000"/>
                <w:sz w:val="22"/>
                <w:szCs w:val="22"/>
                <w:u w:val="none"/>
              </w:rPr>
            </w:r>
            <w:r/>
          </w:p>
        </w:tc>
      </w:tr>
      <w:tr>
        <w:trPr>
          <w:trHeight w:val="397"/>
        </w:trPr>
        <w:tc>
          <w:tcPr>
            <w:gridSpan w:val="10"/>
            <w:shd w:val="clear" w:color="auto" w:fill="ffffff"/>
            <w:tcW w:w="14174" w:type="dxa"/>
            <w:vAlign w:val="center"/>
            <w:textDirection w:val="lrTb"/>
            <w:noWrap/>
          </w:tcPr>
          <w:p>
            <w:pPr>
              <w:pStyle w:val="1053"/>
              <w:ind w:left="0" w:right="0" w:firstLine="0"/>
              <w:jc w:val="lef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（六）入河排污口动态管理系统平台</w:t>
            </w:r>
            <w:r>
              <w:rPr>
                <w:rFonts w:hint="eastAsia" w:ascii="宋体" w:hAnsi="宋体" w:eastAsia="宋体" w:cs="宋体"/>
                <w:b/>
                <w:bCs/>
                <w:i w:val="0"/>
                <w:iCs w:val="0"/>
                <w:color w:val="000000"/>
                <w:sz w:val="22"/>
                <w:szCs w:val="22"/>
                <w:u w:val="none"/>
              </w:rPr>
            </w:r>
            <w:r/>
          </w:p>
        </w:tc>
      </w:tr>
      <w:tr>
        <w:trPr/>
        <w:tc>
          <w:tcPr>
            <w:shd w:val="clear" w:color="auto" w:fill="ffffff"/>
            <w:tcW w:w="1170"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水环境监测控制系统平台</w:t>
            </w: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综合管理系统</w:t>
            </w: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综合预警</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预警列表</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以列表形式展示全部预警事件列表，支持多维度查询、分页及快捷导出预警清单。</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预警通知</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支持站内信、邮件推送，可配置分级通知规则。</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预警详情</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点击任意预警可查看触发值、阈值、站点、小时趋势图及处置进度。</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综合分析</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排口指标分析</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按日/周/月统计各排口超标次数，并给出变化分析。</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监测站指标分析</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按日/周/月统计各排水质监测站，对水质监测指标变化分析。</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预警频次统计</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以柱状图方式展示“排口/监测站-预警次数”分布统计。</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变化趋势分析</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基于周、月、季度数据，对所有关键指标汇总并计算区间，以图表方式展现其变化趋势。</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排口台账管理</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排口基础信息维护</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录入排口编号、名称、类型、所属企业、排放去向等，建立排口台账清单，提供维护功能。</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二维码生成</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为每个排口生成唯一二维码，含URL+编号加密签名，可批量下载。</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排口清单导入</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支持批量导入经纬度，责任人等相关数据。</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水质监测综合管理</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监测站台账</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录入监测站编号、站点名称、控制级别、建站时间、运维单位等主数据，建立排口台账清单，提供维护功能。</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物联设备台账</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支持批量导入设备档案，包括设备ID、通讯方式、设备位置坐标等数据。</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排口视频综合管理</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视频设备台账</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支持批量导入监控视频节点档案，包括视频监控ID、位置坐标等数据。</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排口综合展示系统</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排口基础管理一张图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排口全景分布</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在地图上叠加全部排口，按状态（正常/预警/离线）动态着色，支持以数据报表的形式展示各水质站的水质监测情况，包含：水质五参指标等，支持钻取到详情页。</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65400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水环境管理一张图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站口全景分布</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支持以数据报表的形式展示各水质站的水质情况，包含：COD、氨氮、悬浮物、PH等水质监测指标，支持基于地图的切换“全部点位、仅监测站点位、仅排口点位” 筛选视图，快速定位目标监测区域。</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65400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视频监控管理一张图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视频监控分布</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视频点位聚合 地图显示摄像头位置与基础设备信息，支持多个视频调阅以及全屏查看。</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65400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管控任务一张图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任务创建与下发</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针对监测到的异常预警，提供任务创建功能，可选择对应责任单位进行核实任务下派。任务下派时可随带预警信息，包含问题点位、发生时间、问题描述等。</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26600</w:t>
            </w:r>
            <w:r>
              <w:rPr>
                <w:rFonts w:hint="eastAsia" w:ascii="宋体" w:hAnsi="宋体" w:eastAsia="宋体" w:cs="宋体"/>
                <w:i w:val="0"/>
                <w:iCs w:val="0"/>
                <w:color w:val="000000"/>
                <w:sz w:val="22"/>
                <w:szCs w:val="22"/>
                <w:u w:val="none"/>
              </w:rPr>
            </w:r>
            <w:r/>
          </w:p>
        </w:tc>
      </w:tr>
      <w:tr>
        <w:trPr>
          <w:trHeight w:val="1020"/>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任务查看</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对下发任务处置完毕后，提供任务进度查看，点击进一步对任务的详细结果查看。</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13100</w:t>
            </w:r>
            <w:r>
              <w:rPr>
                <w:rFonts w:hint="eastAsia" w:ascii="宋体" w:hAnsi="宋体" w:eastAsia="宋体" w:cs="宋体"/>
                <w:i w:val="0"/>
                <w:iCs w:val="0"/>
                <w:color w:val="000000"/>
                <w:sz w:val="22"/>
                <w:szCs w:val="22"/>
                <w:u w:val="none"/>
              </w:rPr>
            </w:r>
            <w:r/>
          </w:p>
        </w:tc>
      </w:tr>
      <w:tr>
        <w:trPr>
          <w:trHeight w:val="1531"/>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任务一览</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以地图形式直观展示任务的分布情况，点击查看任务详情及任务关联的站点告警，并以任务进度划分统计数量，可查看任务总体情况。</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16500</w:t>
            </w:r>
            <w:r>
              <w:rPr>
                <w:rFonts w:hint="eastAsia" w:ascii="宋体" w:hAnsi="宋体" w:eastAsia="宋体" w:cs="宋体"/>
                <w:i w:val="0"/>
                <w:iCs w:val="0"/>
                <w:color w:val="000000"/>
                <w:sz w:val="22"/>
                <w:szCs w:val="22"/>
                <w:u w:val="none"/>
              </w:rPr>
            </w:r>
            <w:r/>
          </w:p>
        </w:tc>
      </w:tr>
      <w:tr>
        <w:trPr>
          <w:trHeight w:val="1814"/>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排口移动应用</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环境掌上地图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环境掌上地图</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支持加载手机端的地图展示，当前所有监测点位 / 排口点位，采用 “颜色区分状态”，点击点位可弹窗显示 “点位基础信息”与 “实时监测数据”。</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15800</w:t>
            </w:r>
            <w:r>
              <w:rPr>
                <w:rFonts w:hint="eastAsia" w:ascii="宋体" w:hAnsi="宋体" w:eastAsia="宋体" w:cs="宋体"/>
                <w:i w:val="0"/>
                <w:iCs w:val="0"/>
                <w:color w:val="000000"/>
                <w:sz w:val="22"/>
                <w:szCs w:val="22"/>
                <w:u w:val="none"/>
              </w:rPr>
            </w:r>
            <w:r/>
          </w:p>
        </w:tc>
      </w:tr>
      <w:tr>
        <w:trPr>
          <w:trHeight w:val="964"/>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视频监控展示</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视频监控分布</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支持基于地图，查看监控视频节点档案，包括视频监控ID、位置坐标。</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监测数据展示</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排口监测</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支持对单个监测排口，实时展示排口点位的水质达标情况、排口流量变化，支持“数据实时刷新”，全面掌握监测指标。</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水质监测</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支持对单个水质监测点，实时展示点位的水质达标情况、水质五项监测指标。</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排口二维码管理</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扫码查看</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扫码后跳转排口档案页，有权限者可直接查看基础信息、排口责任人、相关告警等信息。</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移动任务协同</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任务推送与认领</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提供移动端的接收巡检任务、照片上传、反馈结果提交等任务。</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结果回传</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提供写表单、拍照并一键上传，系统自动归档并关闭工单。</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27500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27500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水质变化AI分析功能</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季节项分析库</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通过采集长周期内站点、指标、年月、季节项数值、周期类型（月/季）等按季节变化的监测数据库。</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64200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64200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残差项分析库</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通过采集长周期内站点、指标、采样时间、残差值、是否异常（0/1）等组成河道水质的变化残差数据库。</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77800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77800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长期量化分析</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对每个站点COD等监测指标分解，对COD等指标逐站点做异常检测，对差异时段自动标红并写进“高亮”事件池，提取趋势项、季节项、残差项，量化差异。</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6800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6800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时空热点聚类图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以地图显示对“显著差异时段”同时出现的站点做聚类，输出空间热点区块及中心坐标。</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85400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85400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指标对比一张图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一张图同时呈现所有站点在地图上的空间分布，并用时间轴展示水质演变，同时侧边抽屉式面板，自动把“异常时段”标出，地图与曲线定位到该时段可联动。</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8200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8200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趋势异常预警</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以地图形式识别水质突变点，定位到小时，辅助事件回溯。抓取上月数据。</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分析报告输出</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288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选择时间范围与站点范围，系统可导出 PDF 报告，内嵌图表、显著差异表等指标。</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131200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131200</w:t>
            </w:r>
            <w:r>
              <w:rPr>
                <w:rFonts w:hint="eastAsia" w:ascii="宋体" w:hAnsi="宋体" w:eastAsia="宋体" w:cs="宋体"/>
                <w:i w:val="0"/>
                <w:iCs w:val="0"/>
                <w:color w:val="000000"/>
                <w:sz w:val="22"/>
                <w:szCs w:val="22"/>
                <w:u w:val="none"/>
              </w:rPr>
            </w:r>
            <w:r/>
          </w:p>
        </w:tc>
      </w:tr>
      <w:tr>
        <w:trPr/>
        <w:tc>
          <w:tcPr>
            <w:gridSpan w:val="10"/>
            <w:shd w:val="clear" w:color="auto" w:fill="ffffff"/>
            <w:tcW w:w="14174"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（七）平台系统集成升级</w:t>
            </w:r>
            <w:r>
              <w:rPr>
                <w:rFonts w:hint="eastAsia" w:ascii="宋体" w:hAnsi="宋体" w:eastAsia="宋体" w:cs="宋体"/>
                <w:b/>
                <w:bCs/>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系统平台对接</w:t>
            </w: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城运中心对接</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单点登录（SSO）</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按城运中心统一身份规范、并与常州市数字政府用户身份打通，实现扫码登录跳转，保持用户认证一致。</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65200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65200</w:t>
            </w:r>
            <w:r>
              <w:rPr>
                <w:rFonts w:hint="eastAsia" w:ascii="宋体" w:hAnsi="宋体" w:eastAsia="宋体" w:cs="宋体"/>
                <w:i w:val="0"/>
                <w:iCs w:val="0"/>
                <w:color w:val="000000"/>
                <w:sz w:val="22"/>
                <w:szCs w:val="22"/>
                <w:u w:val="none"/>
              </w:rPr>
            </w:r>
            <w:r/>
          </w:p>
        </w:tc>
      </w:tr>
      <w:tr>
        <w:trPr>
          <w:trHeight w:val="964"/>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大屏嵌入式页面</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按“一网统管”的对接规范要求，在城运中心大屏中嵌入系统展示页面对接，并面向城运数据平台共享监测数据。</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84100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84100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指标数据API</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面向溧阳市大数据共享平台，提供数据共享接口，按《水质数据》回传实时水质、预警、任务三类指标。</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82300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82300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融合通信对接</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视频流统一调阅</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按融合通信提供的上层封装接口，进行对接并获取视频监控的视频流，用以系统调阅。</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85100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85100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视频截图回存</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在融合通信完成截图后，回调本系统接口，将jpg文件及时间戳、点位ID自动归档到排污口附件库。</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1700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1700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物联监测云平台对接</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轮询取数任务</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与物联监测云平台对接，包含所有水质监测数据等，以每5分钟轮询的方式对云平台数据库进行查阅同步。</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63100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63100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断点续传</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支持时间戳游标，网络中断恢复后自动回补缺失时段数据，避免跳数。</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65600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65600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设备信息同步</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将物联平台的设备在线/离线、报警信息同步至本系统设备台账，保持状态一致。</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45500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45500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数据接口协议开发</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接口封装</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数据接口协议，采用开放式标准协议，支持双向数据传输协议HTTPS(RESTful API)、WebSocket、TCP/UDP等，明确协议的兼容版本HTTPS需兼容TLS1.2及以上，WebSocket需支持RFC6455标准等，支持数据超时控制、数据格式、字段约束等。</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68300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68300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集成共享接口</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数据对接模块，支持前端接入与集成，介于高效的系统管理后台，集成与地图、一网统管政务平台、运维监控的无缝对接，全面提升管理系统体验与运营效率。</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58500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58500</w:t>
            </w:r>
            <w:r>
              <w:rPr>
                <w:rFonts w:hint="eastAsia" w:ascii="宋体" w:hAnsi="宋体" w:eastAsia="宋体" w:cs="宋体"/>
                <w:i w:val="0"/>
                <w:iCs w:val="0"/>
                <w:color w:val="000000"/>
                <w:sz w:val="22"/>
                <w:szCs w:val="22"/>
                <w:u w:val="none"/>
              </w:rPr>
            </w:r>
            <w:r/>
          </w:p>
        </w:tc>
      </w:tr>
      <w:tr>
        <w:trPr>
          <w:trHeight w:val="397"/>
        </w:trPr>
        <w:tc>
          <w:tcPr>
            <w:gridSpan w:val="4"/>
            <w:shd w:val="clear" w:color="auto" w:fill="ffffff"/>
            <w:tcW w:w="492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b/>
                <w:bCs/>
                <w:i w:val="0"/>
                <w:iCs w:val="0"/>
                <w:color w:val="ff0000"/>
                <w:sz w:val="22"/>
                <w:szCs w:val="22"/>
                <w:u w:val="none"/>
                <w:lang w:val="en-US" w:eastAsia="zh-CN" w:bidi="ar"/>
              </w:rPr>
              <w:t xml:space="preserve">设备采购及安装控制价小计（元）</w:t>
            </w:r>
            <w:r>
              <w:rPr>
                <w:rFonts w:ascii="宋体" w:hAnsi="宋体" w:eastAsia="宋体" w:cs="宋体"/>
                <w:i w:val="0"/>
                <w:iCs w:val="0"/>
                <w:color w:val="ff0000"/>
                <w:sz w:val="22"/>
                <w:szCs w:val="22"/>
                <w:u w:val="none"/>
                <w:lang w:val="en-US" w:eastAsia="zh-CN" w:bidi="ar"/>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r>
            <w:r/>
          </w:p>
        </w:tc>
        <w:tc>
          <w:tcPr>
            <w:gridSpan w:val="4"/>
            <w:shd w:val="clear" w:color="auto" w:fill="ffffff"/>
            <w:tcW w:w="4529" w:type="dxa"/>
            <w:vAlign w:val="center"/>
            <w:textDirection w:val="lrTb"/>
            <w:noWrap/>
          </w:tcPr>
          <w:p>
            <w:pPr>
              <w:pStyle w:val="1053"/>
              <w:jc w:val="center"/>
              <w:keepLines w:val="0"/>
              <w:keepNext w:val="0"/>
              <w:widowControl/>
              <w:rPr>
                <w:rFonts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b/>
                <w:bCs/>
                <w:i w:val="0"/>
                <w:iCs w:val="0"/>
                <w:color w:val="ff0000"/>
                <w:sz w:val="22"/>
                <w:szCs w:val="22"/>
                <w:u w:val="none"/>
                <w:lang w:val="en-US" w:eastAsia="zh-CN" w:bidi="ar"/>
              </w:rPr>
              <w:t xml:space="preserve">28520000</w:t>
            </w:r>
            <w:r>
              <w:rPr>
                <w:rFonts w:ascii="宋体" w:hAnsi="宋体" w:eastAsia="宋体" w:cs="宋体"/>
                <w:i w:val="0"/>
                <w:iCs w:val="0"/>
                <w:color w:val="ff0000"/>
                <w:sz w:val="22"/>
                <w:szCs w:val="22"/>
                <w:u w:val="none"/>
                <w:lang w:val="en-US" w:eastAsia="zh-CN" w:bidi="ar"/>
              </w:rPr>
            </w:r>
            <w:r/>
          </w:p>
        </w:tc>
      </w:tr>
      <w:tr>
        <w:trPr>
          <w:trHeight w:val="397"/>
        </w:trPr>
        <w:tc>
          <w:tcPr>
            <w:gridSpan w:val="10"/>
            <w:shd w:val="clear" w:color="auto" w:fill="ffffff"/>
            <w:tcW w:w="14174" w:type="dxa"/>
            <w:vAlign w:val="center"/>
            <w:textDirection w:val="lrTb"/>
            <w:noWrap/>
          </w:tcPr>
          <w:p>
            <w:pPr>
              <w:pStyle w:val="1053"/>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二、运维保障</w:t>
            </w:r>
            <w:r>
              <w:rPr>
                <w:rFonts w:ascii="宋体" w:hAnsi="宋体" w:eastAsia="宋体" w:cs="宋体"/>
                <w:i w:val="0"/>
                <w:iCs w:val="0"/>
                <w:color w:val="000000"/>
                <w:sz w:val="22"/>
                <w:szCs w:val="22"/>
                <w:u w:val="none"/>
                <w:lang w:val="en-US" w:eastAsia="zh-CN" w:bidi="ar"/>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系统运维</w:t>
            </w: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应用系统</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基于本</w:t>
            </w:r>
            <w:r>
              <w:rPr>
                <w:rFonts w:hint="eastAsia" w:ascii="宋体" w:hAnsi="宋体" w:eastAsia="宋体" w:cs="宋体"/>
                <w:i w:val="0"/>
                <w:iCs w:val="0"/>
                <w:color w:val="000000"/>
                <w:sz w:val="22"/>
                <w:szCs w:val="22"/>
                <w:u w:val="none"/>
                <w:lang w:val="en-US" w:eastAsia="zh-CN" w:bidi="ar"/>
              </w:rPr>
              <w:t xml:space="preserve">项目现场硬件设备、第三方对接平台、系统应用平台、支撑软件及小程序等全栈数字化资产，提供基础技术与平台专项一体化运维服务，覆盖现场设备维保、系统平台稳运保障、多端对接调试、小程序功能运维四大核心场景，同步配套数据统计分析与技术迭代优化服务，全面保障项目数字化资产高效运转。建立故障分级分类处置机制，实现全周期闭环管理；开展系统实时监控记录，精准排查潜在隐患；完善运维日志统计分析体系。实行服务流程化标准化管控，配套规范管理文档，确保服务全流程可跟踪、可验证；严格执行系统变更工单制度，按期编制提交系统年度运行报告。</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242000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726000</w:t>
            </w: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监测管理</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为保障项目数据采集分析、前端预警处置、工单下派流转、档案资料归集等核心运营工作高效落地，本项目需组建专职监测及运营管理团队，团队专业技术人员配置不少于4人。主要实施内容涵盖：项目全量数据的实时采集、校验清洗、统计分析及可视化呈现，为决策提供数据支撑；前端预警阈值的动态配置、异常告警的快速响应、处置方案的制定与跟踪闭环；运维及故障工单的标准化创建、分级下派、进度管控及完成情况验收；项目全生命周期档案资料的系统化收集、分类归档、合规管理及便捷调阅。</w:t>
            </w:r>
            <w:r>
              <w:rPr>
                <w:rFonts w:hint="eastAsia" w:ascii="宋体" w:hAnsi="宋体" w:eastAsia="宋体" w:cs="宋体"/>
                <w:i w:val="0"/>
                <w:iCs w:val="0"/>
                <w:color w:val="000000"/>
                <w:sz w:val="22"/>
                <w:szCs w:val="22"/>
                <w:u w:val="none"/>
              </w:rPr>
            </w:r>
            <w:r/>
          </w:p>
        </w:tc>
        <w:tc>
          <w:tcPr>
            <w:shd w:val="clear" w:color="auto" w:fill="ffffff"/>
            <w:tcW w:w="10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rPr>
                <w:rFonts w:hint="eastAsia" w:ascii="宋体" w:hAnsi="宋体" w:eastAsia="宋体" w:cs="宋体"/>
                <w:i w:val="0"/>
                <w:iCs w:val="0"/>
                <w:color w:val="000000"/>
                <w:sz w:val="22"/>
                <w:szCs w:val="22"/>
                <w:u w:val="none"/>
              </w:rPr>
            </w:r>
            <w:r/>
          </w:p>
        </w:tc>
        <w:tc>
          <w:tcPr>
            <w:shd w:val="clear" w:color="auto" w:fill="ffffff"/>
            <w:tcW w:w="99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1170"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418000</w:t>
            </w:r>
            <w:r>
              <w:rPr>
                <w:rFonts w:hint="eastAsia" w:ascii="宋体" w:hAnsi="宋体" w:eastAsia="宋体" w:cs="宋体"/>
                <w:i w:val="0"/>
                <w:iCs w:val="0"/>
                <w:color w:val="000000"/>
                <w:sz w:val="22"/>
                <w:szCs w:val="22"/>
                <w:u w:val="none"/>
              </w:rPr>
            </w:r>
            <w:r/>
          </w:p>
        </w:tc>
        <w:tc>
          <w:tcPr>
            <w:shd w:val="clear" w:color="auto" w:fill="ffffff"/>
            <w:tcW w:w="1349" w:type="dxa"/>
            <w:vAlign w:val="center"/>
            <w:textDirection w:val="lrTb"/>
            <w:noWrap/>
          </w:tcPr>
          <w:p>
            <w:pPr>
              <w:pStyle w:val="105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1254000</w:t>
            </w:r>
            <w:r>
              <w:rPr>
                <w:rFonts w:hint="eastAsia" w:ascii="宋体" w:hAnsi="宋体" w:eastAsia="宋体" w:cs="宋体"/>
                <w:i w:val="0"/>
                <w:iCs w:val="0"/>
                <w:color w:val="000000"/>
                <w:sz w:val="22"/>
                <w:szCs w:val="22"/>
                <w:u w:val="none"/>
              </w:rPr>
            </w:r>
            <w:r/>
          </w:p>
        </w:tc>
      </w:tr>
      <w:tr>
        <w:trPr>
          <w:trHeight w:val="454"/>
        </w:trPr>
        <w:tc>
          <w:tcPr>
            <w:gridSpan w:val="4"/>
            <w:shd w:val="clear" w:color="auto" w:fill="ffffff"/>
            <w:tcW w:w="4920" w:type="dxa"/>
            <w:vAlign w:val="center"/>
            <w:textDirection w:val="lrTb"/>
            <w:noWrap/>
          </w:tcPr>
          <w:p>
            <w:pPr>
              <w:pStyle w:val="1053"/>
              <w:ind w:left="0" w:right="0" w:firstLine="0"/>
              <w:jc w:val="center"/>
              <w:keepLines w:val="0"/>
              <w:keepNext w:val="0"/>
              <w:widowControl/>
              <w:rPr>
                <w:rFonts w:hint="eastAsia" w:ascii="宋体" w:hAnsi="宋体" w:eastAsia="宋体" w:cs="宋体"/>
                <w:b/>
                <w:bCs/>
                <w:i w:val="0"/>
                <w:iCs w:val="0"/>
                <w:color w:val="ff0000"/>
                <w:sz w:val="22"/>
                <w:szCs w:val="22"/>
                <w:u w:val="none"/>
                <w:lang w:val="en-US" w:eastAsia="zh-CN" w:bidi="ar"/>
              </w:rPr>
              <w:suppressLineNumbers w:val="0"/>
            </w:pPr>
            <w:r>
              <w:rPr>
                <w:rFonts w:hint="eastAsia" w:ascii="宋体" w:hAnsi="宋体" w:eastAsia="宋体" w:cs="宋体"/>
                <w:b/>
                <w:bCs/>
                <w:i w:val="0"/>
                <w:iCs w:val="0"/>
                <w:color w:val="ff0000"/>
                <w:sz w:val="22"/>
                <w:szCs w:val="22"/>
                <w:u w:val="none"/>
                <w:lang w:val="en-US" w:eastAsia="zh-CN" w:bidi="ar"/>
              </w:rPr>
              <w:t xml:space="preserve">运维控制价小计（元）</w:t>
            </w:r>
            <w:r>
              <w:rPr>
                <w:rFonts w:hint="eastAsia" w:ascii="宋体" w:hAnsi="宋体" w:eastAsia="宋体" w:cs="宋体"/>
                <w:b/>
                <w:bCs/>
                <w:i w:val="0"/>
                <w:iCs w:val="0"/>
                <w:color w:val="ff0000"/>
                <w:sz w:val="22"/>
                <w:szCs w:val="22"/>
                <w:u w:val="none"/>
                <w:lang w:val="en-US" w:eastAsia="zh-CN" w:bidi="ar"/>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b/>
                <w:bCs/>
                <w:i w:val="0"/>
                <w:iCs w:val="0"/>
                <w:color w:val="ff0000"/>
                <w:sz w:val="22"/>
                <w:szCs w:val="22"/>
                <w:u w:val="none"/>
                <w:lang w:val="en-US" w:eastAsia="zh-CN" w:bidi="ar"/>
              </w:rPr>
              <w:suppressLineNumbers w:val="0"/>
            </w:pPr>
            <w:r>
              <w:rPr>
                <w:rFonts w:hint="eastAsia" w:ascii="宋体" w:hAnsi="宋体" w:eastAsia="宋体" w:cs="宋体"/>
                <w:b/>
                <w:bCs/>
                <w:i w:val="0"/>
                <w:iCs w:val="0"/>
                <w:color w:val="ff0000"/>
                <w:sz w:val="22"/>
                <w:szCs w:val="22"/>
                <w:u w:val="none"/>
                <w:lang w:val="en-US" w:eastAsia="zh-CN" w:bidi="ar"/>
              </w:rPr>
            </w:r>
            <w:r/>
          </w:p>
        </w:tc>
        <w:tc>
          <w:tcPr>
            <w:gridSpan w:val="4"/>
            <w:shd w:val="clear" w:color="auto" w:fill="ffffff"/>
            <w:tcW w:w="4529" w:type="dxa"/>
            <w:vAlign w:val="center"/>
            <w:textDirection w:val="lrTb"/>
            <w:noWrap/>
          </w:tcPr>
          <w:p>
            <w:pPr>
              <w:pStyle w:val="1053"/>
              <w:ind w:left="0" w:right="0" w:firstLine="0"/>
              <w:jc w:val="center"/>
              <w:rPr>
                <w:rFonts w:ascii="宋体" w:hAnsi="宋体" w:cs="宋体"/>
                <w:b/>
                <w:bCs/>
                <w:i w:val="0"/>
                <w:iCs w:val="0"/>
                <w:color w:val="ff0000"/>
                <w:sz w:val="22"/>
                <w:szCs w:val="22"/>
                <w:u w:val="none"/>
                <w:lang w:val="en-US" w:eastAsia="zh-CN"/>
              </w:rPr>
            </w:pPr>
            <w:r>
              <w:rPr>
                <w:rFonts w:hint="eastAsia" w:ascii="宋体" w:hAnsi="宋体" w:cs="宋体"/>
                <w:b/>
                <w:bCs/>
                <w:i w:val="0"/>
                <w:iCs w:val="0"/>
                <w:color w:val="ff0000"/>
                <w:sz w:val="22"/>
                <w:szCs w:val="22"/>
                <w:u w:val="none"/>
                <w:lang w:val="en-US" w:eastAsia="zh-CN"/>
              </w:rPr>
              <w:t xml:space="preserve">1980000</w:t>
            </w:r>
            <w:r>
              <w:rPr>
                <w:rFonts w:ascii="宋体" w:hAnsi="宋体" w:cs="宋体"/>
                <w:b/>
                <w:bCs/>
                <w:i w:val="0"/>
                <w:iCs w:val="0"/>
                <w:color w:val="ff0000"/>
                <w:sz w:val="22"/>
                <w:szCs w:val="22"/>
                <w:u w:val="none"/>
                <w:lang w:val="en-US" w:eastAsia="zh-CN"/>
              </w:rPr>
            </w:r>
            <w:r/>
          </w:p>
        </w:tc>
      </w:tr>
      <w:tr>
        <w:trPr>
          <w:trHeight w:val="454"/>
        </w:trPr>
        <w:tc>
          <w:tcPr>
            <w:gridSpan w:val="4"/>
            <w:shd w:val="clear" w:color="auto" w:fill="ffffff"/>
            <w:tcW w:w="4920" w:type="dxa"/>
            <w:vAlign w:val="center"/>
            <w:textDirection w:val="lrTb"/>
            <w:noWrap/>
          </w:tcPr>
          <w:p>
            <w:pPr>
              <w:pStyle w:val="1053"/>
              <w:ind w:left="0" w:right="0" w:firstLine="0"/>
              <w:jc w:val="center"/>
              <w:keepLines w:val="0"/>
              <w:keepNext w:val="0"/>
              <w:widowControl/>
              <w:rPr>
                <w:rFonts w:ascii="宋体" w:hAnsi="宋体" w:eastAsia="宋体" w:cs="宋体"/>
                <w:b/>
                <w:bCs/>
                <w:i w:val="0"/>
                <w:iCs w:val="0"/>
                <w:color w:val="ff0000"/>
                <w:sz w:val="22"/>
                <w:szCs w:val="22"/>
                <w:u w:val="none"/>
                <w:lang w:val="en-US" w:eastAsia="zh-CN" w:bidi="ar"/>
              </w:rPr>
              <w:suppressLineNumbers w:val="0"/>
            </w:pPr>
            <w:r>
              <w:rPr>
                <w:rFonts w:hint="eastAsia" w:ascii="宋体" w:hAnsi="宋体" w:eastAsia="宋体" w:cs="宋体"/>
                <w:b/>
                <w:bCs/>
                <w:i w:val="0"/>
                <w:iCs w:val="0"/>
                <w:color w:val="ff0000"/>
                <w:sz w:val="22"/>
                <w:szCs w:val="22"/>
                <w:u w:val="none"/>
                <w:lang w:val="en-US" w:eastAsia="zh-CN" w:bidi="ar"/>
              </w:rPr>
              <w:t xml:space="preserve">招标控制总价（元）</w:t>
            </w:r>
            <w:r>
              <w:rPr>
                <w:rFonts w:ascii="宋体" w:hAnsi="宋体" w:eastAsia="宋体" w:cs="宋体"/>
                <w:b/>
                <w:bCs/>
                <w:i w:val="0"/>
                <w:iCs w:val="0"/>
                <w:color w:val="ff0000"/>
                <w:sz w:val="22"/>
                <w:szCs w:val="22"/>
                <w:u w:val="none"/>
                <w:lang w:val="en-US" w:eastAsia="zh-CN" w:bidi="ar"/>
              </w:rPr>
            </w:r>
            <w:r/>
          </w:p>
        </w:tc>
        <w:tc>
          <w:tcPr>
            <w:gridSpan w:val="2"/>
            <w:shd w:val="clear" w:color="auto" w:fill="ffffff"/>
            <w:tcW w:w="4725" w:type="dxa"/>
            <w:vAlign w:val="center"/>
            <w:textDirection w:val="lrTb"/>
            <w:noWrap w:val="false"/>
          </w:tcPr>
          <w:p>
            <w:pPr>
              <w:pStyle w:val="1053"/>
              <w:ind w:left="0" w:right="0" w:firstLine="0"/>
              <w:jc w:val="left"/>
              <w:keepLines w:val="0"/>
              <w:keepNext w:val="0"/>
              <w:widowControl/>
              <w:rPr>
                <w:rFonts w:hint="eastAsia" w:ascii="宋体" w:hAnsi="宋体" w:eastAsia="宋体" w:cs="宋体"/>
                <w:b/>
                <w:bCs/>
                <w:i w:val="0"/>
                <w:iCs w:val="0"/>
                <w:color w:val="ff0000"/>
                <w:sz w:val="22"/>
                <w:szCs w:val="22"/>
                <w:u w:val="none"/>
                <w:lang w:val="en-US" w:eastAsia="zh-CN" w:bidi="ar"/>
              </w:rPr>
              <w:suppressLineNumbers w:val="0"/>
            </w:pPr>
            <w:r>
              <w:rPr>
                <w:rFonts w:hint="eastAsia" w:ascii="宋体" w:hAnsi="宋体" w:eastAsia="宋体" w:cs="宋体"/>
                <w:b/>
                <w:bCs/>
                <w:i w:val="0"/>
                <w:iCs w:val="0"/>
                <w:color w:val="ff0000"/>
                <w:sz w:val="22"/>
                <w:szCs w:val="22"/>
                <w:u w:val="none"/>
                <w:lang w:val="en-US" w:eastAsia="zh-CN" w:bidi="ar"/>
              </w:rPr>
            </w:r>
            <w:r/>
          </w:p>
        </w:tc>
        <w:tc>
          <w:tcPr>
            <w:gridSpan w:val="4"/>
            <w:shd w:val="clear" w:color="auto" w:fill="ffffff"/>
            <w:tcW w:w="4529" w:type="dxa"/>
            <w:vAlign w:val="center"/>
            <w:textDirection w:val="lrTb"/>
            <w:noWrap/>
          </w:tcPr>
          <w:p>
            <w:pPr>
              <w:pStyle w:val="1053"/>
              <w:ind w:left="0" w:right="0" w:firstLine="0"/>
              <w:jc w:val="center"/>
              <w:rPr>
                <w:rFonts w:ascii="宋体" w:hAnsi="宋体" w:eastAsia="宋体" w:cs="宋体"/>
                <w:b/>
                <w:bCs/>
                <w:i w:val="0"/>
                <w:iCs w:val="0"/>
                <w:color w:val="ff0000"/>
                <w:sz w:val="22"/>
                <w:szCs w:val="22"/>
                <w:u w:val="none"/>
                <w:lang w:val="en-US" w:eastAsia="zh-CN"/>
              </w:rPr>
            </w:pPr>
            <w:r>
              <w:rPr>
                <w:rFonts w:hint="eastAsia" w:ascii="宋体" w:hAnsi="宋体" w:cs="宋体"/>
                <w:b/>
                <w:bCs/>
                <w:i w:val="0"/>
                <w:iCs w:val="0"/>
                <w:color w:val="ff0000"/>
                <w:sz w:val="22"/>
                <w:szCs w:val="22"/>
                <w:u w:val="none"/>
                <w:lang w:val="en-US" w:eastAsia="zh-CN"/>
              </w:rPr>
              <w:t xml:space="preserve">30500000</w:t>
            </w:r>
            <w:r>
              <w:rPr>
                <w:rFonts w:ascii="宋体" w:hAnsi="宋体" w:eastAsia="宋体" w:cs="宋体"/>
                <w:b/>
                <w:bCs/>
                <w:i w:val="0"/>
                <w:iCs w:val="0"/>
                <w:color w:val="ff0000"/>
                <w:sz w:val="22"/>
                <w:szCs w:val="22"/>
                <w:u w:val="none"/>
                <w:lang w:val="en-US" w:eastAsia="zh-CN"/>
              </w:rPr>
            </w:r>
            <w:r/>
          </w:p>
        </w:tc>
      </w:tr>
    </w:tbl>
    <w:p>
      <w:pPr>
        <w:pStyle w:val="1147"/>
        <w:numPr>
          <w:ilvl w:val="0"/>
          <w:numId w:val="0"/>
        </w:numPr>
        <w:contextualSpacing/>
        <w:ind w:firstLine="480"/>
        <w:jc w:val="left"/>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r>
      <w:r/>
    </w:p>
    <w:p>
      <w:pPr>
        <w:pStyle w:val="1147"/>
        <w:numPr>
          <w:ilvl w:val="0"/>
          <w:numId w:val="0"/>
        </w:numPr>
        <w:contextualSpacing/>
        <w:ind w:firstLine="480"/>
        <w:jc w:val="left"/>
        <w:keepLines w:val="0"/>
        <w:keepNext w:val="0"/>
        <w:pageBreakBefore w:val="0"/>
        <w:spacing w:line="360" w:lineRule="auto"/>
        <w:widowControl w:val="off"/>
        <w:rPr>
          <w:rFonts w:ascii="Times New Roman" w:hAnsi="Times New Roman" w:eastAsia="宋体" w:cs="Times New Roman"/>
          <w:b w:val="0"/>
          <w:bCs/>
          <w:sz w:val="24"/>
          <w:szCs w:val="24"/>
          <w:highlight w:val="none"/>
          <w:lang w:val="en-US" w:eastAsia="zh-CN"/>
        </w:rPr>
        <w:sectPr>
          <w:footnotePr/>
          <w:endnotePr/>
          <w:type w:val="nextPage"/>
          <w:pgSz w:w="16840" w:h="11907" w:orient="landscape"/>
          <w:pgMar w:top="1701" w:right="1418" w:bottom="1134" w:left="1418" w:header="851" w:footer="851" w:gutter="0"/>
          <w:pgNumType w:start="1"/>
          <w:cols w:num="1" w:sep="0" w:space="1701" w:equalWidth="1"/>
          <w:docGrid w:linePitch="360"/>
        </w:sectPr>
      </w:pPr>
      <w:r>
        <w:rPr>
          <w:rFonts w:hint="eastAsia" w:ascii="Times New Roman" w:hAnsi="Times New Roman" w:eastAsia="宋体" w:cs="Times New Roman"/>
          <w:b w:val="0"/>
          <w:bCs/>
          <w:sz w:val="24"/>
          <w:szCs w:val="24"/>
          <w:lang w:val="en-US" w:eastAsia="zh-CN"/>
        </w:rPr>
        <w:t xml:space="preserve">注：以上价格均为含税价格。</w:t>
      </w:r>
      <w:r>
        <w:rPr>
          <w:rFonts w:ascii="Times New Roman" w:hAnsi="Times New Roman" w:eastAsia="宋体" w:cs="Times New Roman"/>
          <w:b w:val="0"/>
          <w:bCs/>
          <w:sz w:val="24"/>
          <w:szCs w:val="24"/>
          <w:highlight w:val="none"/>
          <w:lang w:val="en-US" w:eastAsia="zh-CN"/>
        </w:rPr>
      </w:r>
      <w:r/>
    </w:p>
    <w:p>
      <w:pPr>
        <w:pStyle w:val="1147"/>
        <w:numPr>
          <w:ilvl w:val="0"/>
          <w:numId w:val="0"/>
        </w:numPr>
        <w:contextualSpacing/>
        <w:ind w:firstLine="480"/>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2.项目概述</w:t>
      </w:r>
      <w:r>
        <w:rPr>
          <w:rFonts w:hint="eastAsia" w:ascii="Times New Roman" w:hAnsi="Times New Roman" w:eastAsia="宋体" w:cs="Times New Roman"/>
          <w:b w:val="0"/>
          <w:bCs/>
          <w:sz w:val="24"/>
          <w:szCs w:val="24"/>
          <w:lang w:val="en-US" w:eastAsia="zh-CN"/>
        </w:rPr>
      </w:r>
      <w:r/>
    </w:p>
    <w:p>
      <w:pPr>
        <w:pStyle w:val="114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溧阳市入河排污口（中河-北溪河、赵村河、中干河）规范化建设项目，</w:t>
      </w:r>
      <w:bookmarkStart w:id="811" w:name="_Hlk194332105"/>
      <w:r>
        <w:rPr>
          <w:rFonts w:hint="eastAsia" w:ascii="宋体" w:hAnsi="宋体" w:eastAsia="宋体" w:cs="宋体"/>
          <w:b w:val="0"/>
          <w:bCs/>
          <w:sz w:val="24"/>
          <w:szCs w:val="24"/>
          <w:lang w:val="en-US" w:eastAsia="zh-CN"/>
        </w:rPr>
        <w:t xml:space="preserve">具体内容：入河排污口立标建档78套、水质流量自动监测设备84套（其中岸基水文水质监测设备64套、排水管网内部水质流量监测设备20套）、排污口AI视频监控41套</w:t>
      </w:r>
      <w:bookmarkEnd w:id="811"/>
      <w:r>
        <w:rPr>
          <w:rFonts w:hint="eastAsia" w:ascii="宋体" w:hAnsi="宋体" w:eastAsia="宋体" w:cs="宋体"/>
          <w:b w:val="0"/>
          <w:bCs/>
          <w:sz w:val="24"/>
          <w:szCs w:val="24"/>
          <w:lang w:val="en-US" w:eastAsia="zh-CN"/>
        </w:rPr>
        <w:t xml:space="preserve">、入河排污口动态管理平台1套、平台系统集成升级及运维保障3年。</w:t>
      </w:r>
      <w:r>
        <w:rPr>
          <w:rFonts w:hint="eastAsia" w:ascii="宋体" w:hAnsi="宋体" w:eastAsia="宋体" w:cs="宋体"/>
          <w:b w:val="0"/>
          <w:bCs/>
          <w:sz w:val="24"/>
          <w:szCs w:val="24"/>
          <w:lang w:val="en-US" w:eastAsia="zh-CN"/>
        </w:rPr>
      </w:r>
      <w:r/>
    </w:p>
    <w:p>
      <w:pPr>
        <w:pStyle w:val="1147"/>
        <w:numPr>
          <w:ilvl w:val="0"/>
          <w:numId w:val="0"/>
        </w:numPr>
        <w:contextualSpacing/>
        <w:ind w:firstLine="480"/>
        <w:keepLines w:val="0"/>
        <w:keepNext w:val="0"/>
        <w:pageBreakBefore w:val="0"/>
        <w:spacing w:line="360" w:lineRule="auto"/>
        <w:widowControl w:val="off"/>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 xml:space="preserve">建设目标：通过项目建设，可随时了解排口的排污情况，实现入河排污口水质水量实时监控、周边环境实时显示，监管预警“零时差”，实现排污口水质状况的实时监控与精准预警，全面提升区域水环境监管效率与决策科学性。</w:t>
      </w:r>
      <w:r>
        <w:rPr>
          <w:rFonts w:hint="eastAsia" w:ascii="宋体" w:hAnsi="宋体" w:eastAsia="宋体" w:cs="宋体"/>
          <w:b/>
          <w:sz w:val="24"/>
          <w:szCs w:val="24"/>
          <w:lang w:val="en-US" w:eastAsia="zh-CN"/>
        </w:rPr>
      </w:r>
      <w:r/>
    </w:p>
    <w:p>
      <w:pPr>
        <w:pStyle w:val="1147"/>
        <w:numPr>
          <w:ilvl w:val="0"/>
          <w:numId w:val="0"/>
        </w:numPr>
        <w:contextualSpacing/>
        <w:ind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bidi="ar-SA"/>
        </w:rPr>
        <w:t xml:space="preserve">二、</w:t>
      </w:r>
      <w:r>
        <w:rPr>
          <w:rFonts w:hint="eastAsia" w:ascii="宋体" w:hAnsi="宋体" w:eastAsia="宋体" w:cs="宋体"/>
          <w:b/>
          <w:color w:val="000000"/>
          <w:sz w:val="24"/>
          <w:szCs w:val="24"/>
        </w:rPr>
        <w:t xml:space="preserve">商务要求</w:t>
      </w:r>
      <w:r>
        <w:rPr>
          <w:rFonts w:hint="eastAsia" w:ascii="宋体" w:hAnsi="宋体" w:eastAsia="宋体" w:cs="宋体"/>
          <w:b/>
          <w:color w:val="000000"/>
          <w:sz w:val="24"/>
          <w:szCs w:val="24"/>
        </w:rPr>
      </w:r>
      <w:r/>
    </w:p>
    <w:p>
      <w:pPr>
        <w:pStyle w:val="1053"/>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highlight w:val="none"/>
          <w:lang w:val="en-US" w:eastAsia="zh-CN"/>
        </w:rPr>
        <w:t xml:space="preserve">合同履行期限：</w:t>
      </w:r>
      <w:r>
        <w:rPr>
          <w:rFonts w:hint="eastAsia" w:ascii="宋体" w:hAnsi="宋体" w:cs="宋体"/>
          <w:color w:val="000000"/>
          <w:sz w:val="24"/>
          <w:szCs w:val="24"/>
          <w:lang w:val="en-US" w:eastAsia="zh-CN"/>
        </w:rPr>
        <w:t xml:space="preserve">自合同签订之日起至运维期满（其中合同范围内所有设备及软件的供货、安装及调试需在2026年8月31日前完成并验收合格。运维期自设备及软件验收合格之日起计算）</w:t>
      </w:r>
      <w:r>
        <w:rPr>
          <w:rFonts w:hint="eastAsia" w:ascii="宋体" w:hAnsi="宋体" w:cs="宋体"/>
          <w:sz w:val="24"/>
          <w:szCs w:val="24"/>
          <w:lang w:val="en-US" w:eastAsia="zh-CN"/>
        </w:rPr>
        <w:t xml:space="preserve">。</w:t>
      </w:r>
      <w:r>
        <w:rPr>
          <w:rFonts w:hint="eastAsia" w:ascii="宋体" w:hAnsi="宋体" w:eastAsia="宋体" w:cs="宋体"/>
          <w:sz w:val="24"/>
          <w:szCs w:val="24"/>
          <w:highlight w:val="none"/>
          <w:lang w:val="en-US" w:eastAsia="zh-CN"/>
        </w:rPr>
      </w:r>
      <w:r/>
    </w:p>
    <w:p>
      <w:pPr>
        <w:pStyle w:val="1053"/>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2.交货地点：采购人指定地点。</w:t>
      </w:r>
      <w:r>
        <w:rPr>
          <w:rFonts w:hint="eastAsia" w:ascii="宋体" w:hAnsi="宋体" w:eastAsia="宋体" w:cs="宋体"/>
          <w:sz w:val="24"/>
          <w:szCs w:val="24"/>
          <w:highlight w:val="none"/>
          <w:lang w:val="en-US" w:eastAsia="zh-CN"/>
        </w:rPr>
      </w:r>
      <w:r/>
    </w:p>
    <w:p>
      <w:pPr>
        <w:pStyle w:val="114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3.质保期：自项目验收合格之日起提供三年免费硬件质保服务。</w:t>
      </w:r>
      <w:r>
        <w:rPr>
          <w:rFonts w:hint="eastAsia" w:ascii="宋体" w:hAnsi="宋体" w:eastAsia="宋体" w:cs="宋体"/>
          <w:b w:val="0"/>
          <w:bCs/>
          <w:sz w:val="24"/>
          <w:szCs w:val="24"/>
          <w:highlight w:val="none"/>
          <w:lang w:val="en-US" w:eastAsia="zh-CN"/>
        </w:rPr>
      </w:r>
      <w:r/>
    </w:p>
    <w:p>
      <w:pPr>
        <w:pStyle w:val="114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4.质量要求：合格。</w:t>
      </w:r>
      <w:r>
        <w:rPr>
          <w:rFonts w:hint="eastAsia" w:ascii="宋体" w:hAnsi="宋体" w:eastAsia="宋体" w:cs="宋体"/>
          <w:b w:val="0"/>
          <w:bCs/>
          <w:sz w:val="24"/>
          <w:szCs w:val="24"/>
          <w:highlight w:val="none"/>
          <w:lang w:val="en-US" w:eastAsia="zh-CN"/>
        </w:rPr>
      </w:r>
      <w:r/>
    </w:p>
    <w:p>
      <w:pPr>
        <w:pStyle w:val="114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5.付款方式：</w:t>
      </w:r>
      <w:r>
        <w:rPr>
          <w:rFonts w:hint="eastAsia" w:ascii="宋体" w:hAnsi="宋体" w:eastAsia="宋体" w:cs="宋体"/>
          <w:b w:val="0"/>
          <w:bCs/>
          <w:sz w:val="24"/>
          <w:szCs w:val="24"/>
          <w:highlight w:val="none"/>
          <w:lang w:val="en-US" w:eastAsia="zh-CN"/>
        </w:rPr>
        <w:t xml:space="preserve">（1）设备采购及安装费用：合同签订后15个工作日内采购人支付设备采购及安装价款的40%作为预付款；所有设备到达现场安装完成后，支付至设备采购及安装价款的70%；所有设备调试完成，试运行20天，且经采购人组织验收合格并提交完整的验收归档资料后，支付至设备采购及安装价款的80%；经审计审定后支付至设备采购及安装审定价的100%。</w:t>
      </w:r>
      <w:r>
        <w:rPr>
          <w:rFonts w:hint="eastAsia" w:ascii="宋体" w:hAnsi="宋体" w:eastAsia="宋体" w:cs="宋体"/>
          <w:b w:val="0"/>
          <w:bCs/>
          <w:sz w:val="24"/>
          <w:szCs w:val="24"/>
          <w:highlight w:val="none"/>
          <w:lang w:val="en-US" w:eastAsia="zh-CN"/>
        </w:rPr>
      </w:r>
      <w:r/>
    </w:p>
    <w:p>
      <w:pPr>
        <w:pStyle w:val="114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运维费用：设备安装调试完成并经采购人验收合格后进入运维期，支付运维费的50%作为预付款；运维期满一年且考核合格，支付至运维费的70%；运维期满两年且考核合格，支付至运维费的90%；运维期满三年且考核合格，付清运维费余款。</w:t>
      </w:r>
      <w:r>
        <w:rPr>
          <w:rFonts w:hint="eastAsia" w:ascii="宋体" w:hAnsi="宋体" w:eastAsia="宋体" w:cs="宋体"/>
          <w:b w:val="0"/>
          <w:bCs/>
          <w:sz w:val="24"/>
          <w:szCs w:val="24"/>
          <w:highlight w:val="none"/>
          <w:lang w:val="en-US" w:eastAsia="zh-CN"/>
        </w:rPr>
      </w:r>
      <w:r/>
    </w:p>
    <w:p>
      <w:pPr>
        <w:pStyle w:val="114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color w:val="000000"/>
          <w:sz w:val="24"/>
          <w:highlight w:val="none"/>
          <w:lang w:val="en-US" w:eastAsia="zh-CN"/>
        </w:rPr>
      </w:pPr>
      <w:r>
        <w:rPr>
          <w:rFonts w:hint="eastAsia" w:ascii="宋体" w:hAnsi="宋体" w:eastAsia="宋体" w:cs="宋体"/>
          <w:b w:val="0"/>
          <w:bCs/>
          <w:sz w:val="24"/>
          <w:szCs w:val="24"/>
          <w:highlight w:val="none"/>
          <w:lang w:val="en-US" w:eastAsia="zh-CN"/>
        </w:rPr>
        <w:t xml:space="preserve">运维期内每年对供应商提供的运维服务进行考核，若当年考核不合格，采购人有权要求供应商进行整改，当年应付款项延期至整改合格后支付；若第三年考核不合格，采购人有权要求供应商延长运维期限，直至整改合格。延长运维期限不应超过一年。</w:t>
      </w:r>
      <w:r>
        <w:rPr>
          <w:rFonts w:hint="eastAsia" w:ascii="宋体" w:hAnsi="宋体" w:eastAsia="宋体" w:cs="宋体"/>
          <w:b w:val="0"/>
          <w:bCs/>
          <w:color w:val="000000"/>
          <w:sz w:val="24"/>
          <w:highlight w:val="none"/>
          <w:lang w:val="en-US" w:eastAsia="zh-CN"/>
        </w:rPr>
      </w:r>
      <w:r/>
    </w:p>
    <w:p>
      <w:pPr>
        <w:pStyle w:val="1053"/>
        <w:numPr>
          <w:ilvl w:val="0"/>
          <w:numId w:val="16"/>
        </w:numPr>
        <w:ind w:firstLine="482"/>
        <w:spacing w:line="360" w:lineRule="auto"/>
        <w:rPr>
          <w:rFonts w:hint="eastAsia" w:ascii="宋体" w:hAnsi="宋体" w:eastAsia="宋体" w:cs="Times New Roman"/>
          <w:b/>
          <w:sz w:val="24"/>
          <w:lang w:val="en-US" w:eastAsia="zh-CN"/>
        </w:rPr>
        <w:outlineLvl w:val="1"/>
      </w:pPr>
      <w:r>
        <w:rPr>
          <w:rFonts w:hint="eastAsia" w:ascii="宋体" w:hAnsi="宋体" w:eastAsia="宋体" w:cs="Times New Roman"/>
          <w:b/>
          <w:sz w:val="24"/>
          <w:lang w:val="en-US" w:eastAsia="zh-CN"/>
        </w:rPr>
        <w:t xml:space="preserve">技术要求</w:t>
      </w:r>
      <w:r>
        <w:rPr>
          <w:rFonts w:hint="eastAsia" w:ascii="宋体" w:hAnsi="宋体" w:eastAsia="宋体" w:cs="Times New Roman"/>
          <w:b/>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1.硬件部分</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（1）供应商须保证所提供设备是全新的、未使用过的原厂正品，并完全符合采购文件规定的质量、规格和性能的要求，同时必须明确所投设备的品牌、型号、技术参数。</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供应商提供的标的物在到达现场后，供应商应在使用单位人员在场情况下当面开箱，共同清点、检查外观，作出开箱记录，双方签字确认。供应商对所有设备都应进行严格的检验和试验，并提供完备的技术资料、装箱单和合格证等。</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3）本项目报价包括但不限于产品采购、供货、运输（至指定地点）、装卸、安装到位、调试、检测、培训、移交、售后服务、维护提升、质保期服务和完成这些工作所需的设备基础、杆件、备品备件、专业工器具以及其他相关服务、供应商应交纳的各项税款（增值税及其它税费）、政策性文件规定及合同包含的所有风险、责任和招标文件所要求的相关服务等全部内容。除非因特殊原因并经双方协商同意，供应商不得再要求追加任何费用。</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（4）本项目设备基础涉及占地用地情况，供应商应当自行勘探了解，此项相关费用已包含在投标报价中，投标人须综合考虑。</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（5）本项目设备供电以太阳能供电为主，市电供电为辅，保证设备在长期阴雨天能够保证设备不断电，供应商应自行对接相关部门并考虑解决方案，此项费用包含在投标报价中，投标人须综合考虑。</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6）供应商有义务以严谨、专业的态度开展现场及后端设备安装位置、周边环境的踏勘与考察工作，同时对后端设备安装环境以及系统功能对接需求等进行详细调研。收集并整理编制投标文件和签署合同所必需的各项资料。供应商应深入了解设备安装区域的具体情况，包括但不限于地理环境、周边设施等，全面掌握</w:t>
      </w:r>
      <w:r>
        <w:rPr>
          <w:rFonts w:hint="eastAsia" w:ascii="宋体" w:hAnsi="宋体" w:eastAsia="宋体" w:cs="宋体"/>
          <w:b w:val="0"/>
          <w:bCs w:val="0"/>
          <w:color w:val="000000"/>
          <w:sz w:val="24"/>
          <w:lang w:val="en-US" w:eastAsia="zh-CN"/>
        </w:rPr>
        <w:t xml:space="preserve">可能影响投标文件和签署合同所需的各项材料。在此期间，投标人需自行承担踏勘、考察现场所产生的一切责任与风险。一旦供应商中标，不得以对现场及周边环境了解不充分为理由，提出超出合同范围的额外补偿要求。同时，投标人必须严格落实踏勘、考察现场的安全保障措施，承担相应的安全责任，并自行承担踏勘、考察过程中的所有费用。供应商应切实履行后端设备安装、调试及系统对接等职责，保障上下游数据传输的稳定性与运用的高效性。并且，依据合同所约定的质保期限，对整体服务平台及其对接平台实施全方位的运营与维护管理，确保系统性能符合预期要求。</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（7）本项目建设技术要求除满足本采购文件相关规定外，还需满足国家相关技术规范及指南。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（8）</w:t>
      </w:r>
      <w:r>
        <w:rPr>
          <w:rFonts w:ascii="宋体" w:hAnsi="宋体" w:eastAsia="宋体" w:cs="宋体"/>
          <w:color w:val="000000"/>
          <w:sz w:val="24"/>
          <w:highlight w:val="none"/>
        </w:rPr>
        <w:t xml:space="preserve">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r>
        <w:rPr>
          <w:rFonts w:ascii="宋体" w:hAnsi="宋体" w:eastAsia="宋体" w:cs="宋体"/>
          <w:b w:val="0"/>
          <w:bCs w:val="0"/>
          <w:color w:val="000000"/>
          <w:sz w:val="24"/>
          <w:highlight w:val="none"/>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2.软件部分</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水环境监测控制系统平台的应用软件，需结合本项目实际需求开展针对性定制开发，同时完成已成熟软件的安装部署及调试工作，确保软件适配项目场景、稳定运行。</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水环境监测控制系统平台应包含但不限于综合管理系统、排口综合展示系统、排口移动应用、水质变化AI分析功能等子模块，全面覆盖项目所需的监测、管控、展示、分析、运维等各类业务需求。</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（1）综合管理系统模块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依托综合预警、综合分析、排口台账管理、水质监测综合管理、视频综合管理五大分类模块，助力管理人员实现精准高效管控，推动管理模式从被动应对向事前预判转型。模块应能实现异常事件分钟级识别、分级通知及处置全流程追踪，支持预警事件多维度检索</w:t>
      </w:r>
      <w:r>
        <w:rPr>
          <w:rFonts w:hint="eastAsia" w:ascii="宋体" w:hAnsi="宋体" w:eastAsia="宋体" w:cs="宋体"/>
          <w:b w:val="0"/>
          <w:bCs w:val="0"/>
          <w:color w:val="000000"/>
          <w:sz w:val="24"/>
          <w:lang w:val="en-US" w:eastAsia="zh-CN"/>
        </w:rPr>
        <w:t xml:space="preserve">、站内信与邮件双渠道触达，构建预警管控全闭环；按周期统计排口超标及监测站水质指标，以图表可视化呈现预警频次分布和核心指标变化趋势，为科学决策提供精准数据支撑；支持排口唯一数字化建档，实现基础信息维护、专属二维码生成及数据批量导入，确保台账与现场排口精准匹配、全维度可查可管；对监测站及物联网监测设备实施统一台账管理，规范档案标准化录入，从源头保障水质监测数据真实准确；可集中管控监控设备台账，实时查看摄像头运行状态与物理位置，支持视频节点档案批量导入，为远程取证、非现场监管提供可视化技术支撑，全面提升管控效能。</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（2）排口综合展示系统模块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排口综合展示系统以“一张图” 可视化管控为核心，整合排口、水环境、视频监控、管控任务四大管理模块，打造一体化地图管理体系，实现监管要素全域可视、管理流程地图化落地，助力管理方达成一图统览、一图指挥的精准管控目标，提升非现场监管与闭环处置效率。基于不同的数据特点，设计合适的可视化界面呈现。其中，排口基础管理将静态台账升级为动态地图，叠加全量排口并按正常/预警/离线状态动态着色，同步以报表呈现水质站五参等监测指标，支持报表与地图双向钻取至详情，一图统</w:t>
      </w:r>
      <w:r>
        <w:rPr>
          <w:rFonts w:hint="eastAsia" w:ascii="宋体" w:hAnsi="宋体" w:eastAsia="宋体" w:cs="宋体"/>
          <w:b w:val="0"/>
          <w:bCs w:val="0"/>
          <w:color w:val="000000"/>
          <w:sz w:val="24"/>
          <w:lang w:val="en-US" w:eastAsia="zh-CN"/>
        </w:rPr>
        <w:t xml:space="preserve">览排口分布及运行状态；水环境管理以可视化报表展示各监测站 COD、氨氮、悬浮物、PH 等核心指标，支持全部点位、仅监测站、仅排口三种地图视图切换，可快速锁定超标及风险区域，为水质溯源和区域治理提供靶向坐标；视频监控管理在地图上聚合展示全域视频点位及摄像头基础信息，支持多路视频同步调阅、全屏查看，减少现场出勤，提升非现场执法效率；管控任务模块支持基于异常预警创建并下派含关键信息的核实任务，可实时查看处置进度及结果，以地图展示任务分布、关联站点告警详情，按进度统计任务数量，实现任务管理全程可视、可量化、可考核。</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（3）排口移动应用子模块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排口移动应用系统以移动端为载体打造掌上监管平台，将监管视角延伸至指尖，构建“口袋里的指挥中心”。系统整合环境掌上地图、监控视频展示、监测数据展示、排口二维码管理、移动任务协同五大功能模块，为现场巡查、执法核验、任务处置提供全流程移动化支撑，推动监管工作实现高效化、现场化、闭环化开展。系统支持移动端加载地图，展示全量监测与排口点位并按状态颜色区分，点击点位弹窗可</w:t>
      </w:r>
      <w:r>
        <w:rPr>
          <w:rFonts w:hint="eastAsia" w:ascii="宋体" w:hAnsi="宋体" w:eastAsia="宋体" w:cs="宋体"/>
          <w:b w:val="0"/>
          <w:bCs w:val="0"/>
          <w:color w:val="000000"/>
          <w:sz w:val="24"/>
          <w:lang w:val="en-US" w:eastAsia="zh-CN"/>
        </w:rPr>
        <w:t xml:space="preserve">查看基础信息与实时监测数据，实现点位动态随时随地掌握；可在地图上查看所有视频监控节点档案，包含监控 ID、位置坐标等核心信息；能实时刷新展示单排口水质达标情况、流量变化，以及单水质监测点五项核心指标与达标状态，辅助现场人员快速研判采样、留证或应急启动需求；支持扫码直跳排口档案页，授权用户可一键查看排口基础信息、责任人、相关告警等内容，提升现场信息调取效率；还可接收并认领巡检任务，完成照片上传、结果反馈，亦可填写处置表单、拍照后一键上传，系统将自动归档并关闭工单，确保问题现场解决、数据当场回传、工单当日闭环。</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（4）水质变化AI分析功能子模块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水质变化AI分析子模块内容须包括七个方面，一是季节项分析库需能采集长周期内站点、指标、年月、季节项数值、周期类型（月/季）等按季节变化的监测数据；二是残差项分析库需能采集长周期</w:t>
      </w:r>
      <w:r>
        <w:rPr>
          <w:rFonts w:hint="eastAsia" w:ascii="宋体" w:hAnsi="宋体" w:eastAsia="宋体" w:cs="宋体"/>
          <w:b w:val="0"/>
          <w:bCs w:val="0"/>
          <w:color w:val="000000"/>
          <w:sz w:val="24"/>
          <w:lang w:val="en-US" w:eastAsia="zh-CN"/>
        </w:rPr>
        <w:t xml:space="preserve">内站点、指标、采样时间、残差值、是否异常等组成的河道水质变化残差数据；三是长期量化分析需对每个站点COD等监测指标分解，提取趋势项、季节项、残差项且量化差异；四是时空热点聚类呈现需以地图形式对“显著差异时段”同时出现的站点做聚类，输出空间热点区块及中心坐标；五是指标对比一张图需在一张图呈现所有站点地图空间分布，用时间轴展示水质演变；六是趋势异常预警需以地图形式识别水质突变点，定位到小时以辅助事件回溯，且能抓取上月数据；七是分析报告输出需支持按季度与站点范围，系统可导出内嵌图表、显著差异表等指标的PDF报告。</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结合业务与功能核心需求，平台软件需满足多维度性能及数据管理要求，同时充分考虑后续项目扩展及多部门数据对接需求，具体如下：支持不少于100名用户同时并发，保障系统容量及吞吐量达标；平台数据访问可靠性≥99%，确保数据访问稳定可控；数据查询页面响应时间≤2s，提升用户操作交互效率；搭建完善的数据备份机制，保障数据安全不丢失，同步提供数据离线下载功能，满足离线使用场景需求；优化数据写入性能，数据写入列表耗时≤30秒，且支持≥10万条/天数据并发写入，适配高体量数据写入业务场景。</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（5）平台系统集成升级及运维保障部分</w:t>
      </w:r>
      <w:r>
        <w:rPr>
          <w:rFonts w:hint="eastAsia" w:ascii="宋体" w:hAnsi="宋体" w:eastAsia="宋体" w:cs="宋体"/>
          <w:b w:val="0"/>
          <w:bCs w:val="0"/>
          <w:color w:val="000000"/>
          <w:sz w:val="24"/>
          <w:lang w:val="en-US" w:eastAsia="zh-CN"/>
        </w:rPr>
      </w:r>
      <w:r/>
    </w:p>
    <w:p>
      <w:pPr>
        <w:pStyle w:val="1053"/>
        <w:numPr>
          <w:ilvl w:val="0"/>
          <w:numId w:val="0"/>
        </w:numPr>
        <w:ind w:left="0" w:right="0" w:firstLine="482"/>
        <w:jc w:val="both"/>
        <w:keepLines w:val="0"/>
        <w:keepNext w:val="0"/>
        <w:pageBreakBefore w:val="0"/>
        <w:spacing w:before="0" w:after="0" w:line="360" w:lineRule="auto"/>
        <w:widowControl w:val="off"/>
        <w:rPr>
          <w:rFonts w:hint="eastAsia" w:ascii="宋体" w:hAnsi="宋体" w:eastAsia="宋体" w:cs="宋体"/>
          <w:b/>
          <w:bCs/>
          <w:color w:val="ff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lang w:val="en-US" w:eastAsia="zh-CN"/>
        </w:rPr>
        <w:t xml:space="preserve">1）★本项目软件平台需要接入溧阳市城市运行“一网统管”平台，供应商应承诺提供的水环境监测控制系统平台与溧阳市城市运行“一网统管”平台实现无缝对接。中标通知书发出之日起10日内，采购人将根据项目要求及供应商提供的承诺书对其平台对接能力进行测试，若测试后发现供应商提供虚假承诺，无法达到采购文件要求，采购人有权取消其中标资格，顺延第二中标候选人为中标人。平台对接及测试等相关费用已包含在投标报价中，投标人须综合考虑。（响应文件中提供书面承诺书（格式自拟）并加盖供应商公章，否则作无效标处理）</w:t>
      </w:r>
      <w:r>
        <w:rPr>
          <w:rFonts w:hint="eastAsia" w:ascii="宋体" w:hAnsi="宋体" w:eastAsia="宋体" w:cs="宋体"/>
          <w:b/>
          <w:bCs/>
          <w:color w:val="ff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t xml:space="preserve">本项目监测管理运维期为3年。在运维期内，供应商应按照《运维服务绩效考核实施细则》内相关内容进行本项目的运维工作。考核细则详见附件。</w:t>
      </w:r>
      <w:r>
        <w:rPr>
          <w:rFonts w:ascii="宋体" w:hAnsi="宋体" w:eastAsia="宋体" w:cs="宋体"/>
          <w:b w:val="0"/>
          <w:bCs w:val="0"/>
          <w:color w:val="000000"/>
          <w:sz w:val="24"/>
          <w:highlight w:val="none"/>
          <w:lang w:val="en-US" w:eastAsia="zh-CN"/>
        </w:rPr>
      </w:r>
      <w:r/>
    </w:p>
    <w:p>
      <w:pPr>
        <w:pStyle w:val="1053"/>
        <w:numPr>
          <w:ilvl w:val="0"/>
          <w:numId w:val="0"/>
        </w:numPr>
        <w:ind w:left="0"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四、验收标准</w:t>
      </w:r>
      <w:r>
        <w:rPr>
          <w:rFonts w:hint="eastAsia" w:ascii="宋体" w:hAnsi="宋体" w:eastAsia="宋体" w:cs="宋体"/>
          <w:b/>
          <w:bCs/>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w:t>
      </w:r>
      <w:r>
        <w:rPr>
          <w:rFonts w:ascii="宋体" w:hAnsi="宋体" w:eastAsia="宋体" w:cs="宋体"/>
          <w:b w:val="0"/>
          <w:bCs w:val="0"/>
          <w:color w:val="000000"/>
          <w:sz w:val="24"/>
          <w:lang w:val="en-US" w:eastAsia="zh-CN"/>
        </w:rPr>
        <w:t xml:space="preserve">验收依据</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招标文件、合同、采购人和中标人共同确定的相关技术文件、国家相关规范。</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w:t>
      </w:r>
      <w:r>
        <w:rPr>
          <w:rFonts w:ascii="宋体" w:hAnsi="宋体" w:eastAsia="宋体" w:cs="宋体"/>
          <w:b w:val="0"/>
          <w:bCs w:val="0"/>
          <w:color w:val="000000"/>
          <w:sz w:val="24"/>
          <w:lang w:val="en-US" w:eastAsia="zh-CN"/>
        </w:rPr>
        <w:t xml:space="preserve">验收组织</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验收主体：采购人</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验收方式：采购人应当成立验收小组，负责采购项目履约验收的具体工作。（对于采购人和使用人分离的采购项目，采购人应当邀请实际使用人参与验收。）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3.</w:t>
      </w:r>
      <w:r>
        <w:rPr>
          <w:rFonts w:ascii="宋体" w:hAnsi="宋体" w:eastAsia="宋体" w:cs="宋体"/>
          <w:b w:val="0"/>
          <w:bCs w:val="0"/>
          <w:color w:val="000000"/>
          <w:sz w:val="24"/>
          <w:lang w:val="en-US" w:eastAsia="zh-CN"/>
        </w:rPr>
        <w:t xml:space="preserve">验收要求</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（1）硬件设备安装调试验收方式</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供应商须保证所提供设备是全新的、未使用过的原厂正品，并完全符合采购文件规定的质量、规格和性能的要求。</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供应商提供的标的物在到达现场后，供应商应在采购单位人员在场情况下当面开箱，共同清点、检查外观，作出开箱记录，双方签字确认。</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供应商对所有设备都应进行严格的检验和试验，</w:t>
      </w:r>
      <w:r>
        <w:rPr>
          <w:rFonts w:hint="eastAsia" w:ascii="宋体" w:hAnsi="宋体" w:eastAsia="宋体" w:cs="宋体"/>
          <w:bCs/>
          <w:sz w:val="24"/>
          <w:szCs w:val="20"/>
          <w:lang w:val="en-US" w:eastAsia="zh-CN" w:bidi="ar-SA"/>
        </w:rPr>
        <w:t xml:space="preserve">要求提供与设备相符的中文技术纸质资料（进口设备还需提供英文资料），例如：操作手册、使用说明、图纸、维修指南、服务手册、安装手册或说明等，上述一套完整的资料应一式两份，其中一套必须为厂家原配资料，如另有上述的电子文本资料、安装光盘（含注册文件）等，也要求提供。</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供应商应派遣专业技术人员对所提供货物进行现场安装、启动、调试、监督等服务；提供标的物组装和一般维修所必须的工具；提供在合同规定的期限内对所提供货物实行运行监督、维修服务。</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验收合格条件如下：</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w:t>
      </w:r>
      <w:r>
        <w:rPr>
          <w:rFonts w:ascii="宋体" w:hAnsi="宋体" w:eastAsia="宋体" w:cs="宋体"/>
          <w:b w:val="0"/>
          <w:bCs w:val="0"/>
          <w:color w:val="000000"/>
          <w:sz w:val="24"/>
          <w:lang w:val="en-US" w:eastAsia="zh-CN"/>
        </w:rPr>
        <w:t xml:space="preserve">设备技术参数与采购合同一致，性能指标达到规定的标准。</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w:t>
      </w:r>
      <w:r>
        <w:rPr>
          <w:rFonts w:ascii="宋体" w:hAnsi="宋体" w:eastAsia="宋体" w:cs="宋体"/>
          <w:b w:val="0"/>
          <w:bCs w:val="0"/>
          <w:color w:val="000000"/>
          <w:sz w:val="24"/>
          <w:lang w:val="en-US" w:eastAsia="zh-CN"/>
        </w:rPr>
        <w:t xml:space="preserve">所有设备的技术资料、装箱单、合格证等资料齐全。</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3）</w:t>
      </w:r>
      <w:r>
        <w:rPr>
          <w:rFonts w:ascii="宋体" w:hAnsi="宋体" w:eastAsia="宋体" w:cs="宋体"/>
          <w:b w:val="0"/>
          <w:bCs w:val="0"/>
          <w:color w:val="000000"/>
          <w:sz w:val="24"/>
          <w:lang w:val="en-US" w:eastAsia="zh-CN"/>
        </w:rPr>
        <w:t xml:space="preserve">在系统试运行期间所出现的问题全部得到解决，并运行正常。</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4）</w:t>
      </w:r>
      <w:r>
        <w:rPr>
          <w:rFonts w:ascii="宋体" w:hAnsi="宋体" w:eastAsia="宋体" w:cs="宋体"/>
          <w:b w:val="0"/>
          <w:bCs w:val="0"/>
          <w:color w:val="000000"/>
          <w:sz w:val="24"/>
          <w:lang w:val="en-US" w:eastAsia="zh-CN"/>
        </w:rPr>
        <w:t xml:space="preserve">在规定时间内完成交货及验收，并经采购人确认。</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5）</w:t>
      </w:r>
      <w:r>
        <w:rPr>
          <w:rFonts w:ascii="宋体" w:hAnsi="宋体" w:eastAsia="宋体" w:cs="宋体"/>
          <w:b w:val="0"/>
          <w:bCs w:val="0"/>
          <w:color w:val="000000"/>
          <w:sz w:val="24"/>
          <w:lang w:val="en-US" w:eastAsia="zh-CN"/>
        </w:rPr>
        <w:t xml:space="preserve">所有设备在安装调试并进行不低于20天试运行试验，试运行期内设备各项符合要求后，才作为最终验收。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6）</w:t>
      </w:r>
      <w:r>
        <w:rPr>
          <w:rFonts w:ascii="宋体" w:hAnsi="宋体" w:eastAsia="宋体" w:cs="宋体"/>
          <w:b w:val="0"/>
          <w:bCs w:val="0"/>
          <w:color w:val="000000"/>
          <w:sz w:val="24"/>
          <w:lang w:val="en-US" w:eastAsia="zh-CN"/>
        </w:rPr>
        <w:t xml:space="preserve">符合国家相关规范和标准。</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（2）软件系统验收方式</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本项目规定的软件系统开发主体工作完成后，供应商应向采购人提交书面上线申请，采购人在收到申请后7天内，通知供应商进行软件系统上线部署。</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供应商在软件系统上线部署完成后，可向采购人申请软件系统初步验收工作。采购人在接到供应商的初步验收申请后，组织对项目功能及性能指标、系统运行情况、合同内容进行验收。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软件平台应满足清单各项内容，技术要求及功能要求。</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初步验收不合格，中标人应对采购人提出的问题及建议进行整改，完成后重新向采购人提出初步验收申请。</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软件系统初验合格后进入20天的试运行期限。如果在试运行期间发现因供应商原因造成的软件功能与性能与本合同约定不符，供应商有责任对其进行修改和更正直到达到约定的要求。除非由于供应商原因引起的软件系统的质量和性能问题造成整个系统瘫痪，并且不能在试运行期1天内恢复的，试运行期限应连续计算。</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（3）整体验收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在试运行期届满后7天内，供应商应向采购人提出正式验收申请，采购人同意后，按照采购人验收的权限，组织相关部门及人员形成验收小组，验收小组根据采购文件、投标文件、合同等约定的内容对项目进行综合运行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最终验收资料应当齐全、正确、真实、规范，并形成验收资料清单。</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验收流程符合规范，手续齐全，通过验收小组全面验收合格。</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本项目所采购的硬件设备、软件系统必须符合本项目技术参数要求及功能要求，因供应商原因未能达到技术参数指标时，</w:t>
      </w:r>
      <w:r>
        <w:rPr>
          <w:rFonts w:hint="eastAsia" w:ascii="宋体" w:hAnsi="宋体" w:eastAsia="宋体" w:cs="宋体"/>
          <w:b w:val="0"/>
          <w:bCs w:val="0"/>
          <w:color w:val="000000"/>
          <w:sz w:val="24"/>
          <w:highlight w:val="none"/>
          <w:lang w:val="en-US" w:eastAsia="zh-CN"/>
        </w:rPr>
        <w:t xml:space="preserve">由供应商负责整改直至达到验收要求</w:t>
      </w:r>
      <w:r>
        <w:rPr>
          <w:rFonts w:ascii="宋体" w:hAnsi="宋体" w:eastAsia="宋体" w:cs="宋体"/>
          <w:b w:val="0"/>
          <w:bCs w:val="0"/>
          <w:color w:val="000000"/>
          <w:sz w:val="24"/>
          <w:highlight w:val="none"/>
          <w:lang w:val="en-US" w:eastAsia="zh-CN"/>
        </w:rPr>
        <w:t xml:space="preserve">。</w:t>
      </w:r>
      <w:r>
        <w:rPr>
          <w:rFonts w:ascii="宋体" w:hAnsi="宋体" w:eastAsia="宋体" w:cs="宋体"/>
          <w:b w:val="0"/>
          <w:bCs w:val="0"/>
          <w:color w:val="000000"/>
          <w:sz w:val="24"/>
          <w:lang w:val="en-US" w:eastAsia="zh-CN"/>
        </w:rPr>
        <w:t xml:space="preserve">验收提交的材料包括但不限于如下内容：</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1）验收报告</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2）合同资料</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3）变更资料（如有）</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4）定制开发系统相关资料：需求说明书、数据库设计规范、测试报告、用户使用手册、用户培训计划等</w:t>
      </w:r>
      <w:r>
        <w:rPr>
          <w:rFonts w:hint="eastAsia" w:ascii="宋体" w:hAnsi="宋体" w:eastAsia="宋体" w:cs="宋体"/>
          <w:b w:val="0"/>
          <w:bCs w:val="0"/>
          <w:color w:val="000000"/>
          <w:sz w:val="24"/>
          <w:lang w:val="en-US" w:eastAsia="zh-CN"/>
        </w:rPr>
        <w:t xml:space="preserve">。</w:t>
      </w:r>
      <w:r>
        <w:rPr>
          <w:rFonts w:ascii="宋体" w:hAnsi="宋体" w:eastAsia="宋体" w:cs="宋体"/>
          <w:b w:val="0"/>
          <w:bCs w:val="0"/>
          <w:color w:val="000000"/>
          <w:sz w:val="24"/>
          <w:lang w:val="en-US" w:eastAsia="zh-CN"/>
        </w:rPr>
      </w:r>
      <w:r/>
    </w:p>
    <w:p>
      <w:pPr>
        <w:pStyle w:val="1147"/>
        <w:numPr>
          <w:ilvl w:val="0"/>
          <w:numId w:val="0"/>
        </w:numPr>
        <w:contextualSpacing/>
        <w:ind w:firstLine="482"/>
        <w:jc w:val="left"/>
        <w:keepLines w:val="0"/>
        <w:keepNext w:val="0"/>
        <w:pageBreakBefore w:val="0"/>
        <w:spacing w:line="360" w:lineRule="auto"/>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五、其他要求</w:t>
      </w:r>
      <w:r>
        <w:rPr>
          <w:rFonts w:ascii="宋体" w:hAnsi="宋体" w:eastAsia="宋体" w:cs="宋体"/>
          <w:b/>
          <w:bCs/>
          <w:sz w:val="24"/>
          <w:szCs w:val="24"/>
          <w:lang w:val="en-US" w:eastAsia="zh-CN" w:bidi="ar-SA"/>
        </w:rPr>
      </w:r>
      <w:r/>
    </w:p>
    <w:p>
      <w:pPr>
        <w:pStyle w:val="1147"/>
        <w:numPr>
          <w:ilvl w:val="0"/>
          <w:numId w:val="0"/>
        </w:numPr>
        <w:contextualSpacing/>
        <w:ind w:firstLine="480"/>
        <w:jc w:val="left"/>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（1）在项目实施或服务过程中发生的人员事故、用地纠纷等一切责任均由中标供应商负责，采购人不承担任何法律及经济责任。</w:t>
      </w:r>
      <w:r>
        <w:rPr>
          <w:rFonts w:hint="eastAsia" w:ascii="宋体" w:hAnsi="宋体" w:eastAsia="宋体" w:cs="宋体"/>
          <w:b w:val="0"/>
          <w:bCs w:val="0"/>
          <w:sz w:val="24"/>
          <w:szCs w:val="24"/>
          <w:lang w:val="en-US" w:eastAsia="zh-CN" w:bidi="ar-SA"/>
        </w:rPr>
      </w:r>
      <w:r/>
    </w:p>
    <w:p>
      <w:pPr>
        <w:pStyle w:val="1147"/>
        <w:contextualSpacing/>
        <w:ind w:firstLine="480"/>
        <w:jc w:val="left"/>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（2）成交供应商须在合同签订后3天内向采购人提供与投标所报电子文件一致的纸质投标书3份，并按要求签字盖章。</w:t>
      </w:r>
      <w:r>
        <w:rPr>
          <w:rFonts w:hint="eastAsia" w:ascii="宋体" w:hAnsi="宋体" w:eastAsia="宋体" w:cs="宋体"/>
          <w:b w:val="0"/>
          <w:bCs w:val="0"/>
          <w:sz w:val="24"/>
          <w:szCs w:val="24"/>
          <w:lang w:val="en-US" w:eastAsia="zh-CN" w:bidi="ar-SA"/>
        </w:rPr>
      </w:r>
      <w:r/>
    </w:p>
    <w:p>
      <w:pPr>
        <w:pStyle w:val="1053"/>
        <w:contextualSpacing/>
        <w:ind w:firstLine="480"/>
        <w:spacing w:line="360" w:lineRule="auto"/>
        <w:rPr>
          <w:rFonts w:hint="eastAsia"/>
          <w:b/>
          <w:bCs/>
          <w:iCs/>
          <w:color w:val="ff0000"/>
          <w:sz w:val="24"/>
          <w:highlight w:val="none"/>
          <w:lang w:eastAsia="zh-CN"/>
        </w:rPr>
      </w:pPr>
      <w:r>
        <w:rPr>
          <w:rFonts w:hint="eastAsia" w:ascii="宋体" w:hAnsi="宋体" w:eastAsia="宋体" w:cs="宋体"/>
          <w:b w:val="0"/>
          <w:bCs w:val="0"/>
          <w:sz w:val="24"/>
          <w:szCs w:val="24"/>
          <w:lang w:val="en-US" w:eastAsia="zh-CN" w:bidi="ar-SA"/>
        </w:rPr>
        <w:t xml:space="preserve">（3）</w:t>
      </w:r>
      <w:r>
        <w:rPr>
          <w:rFonts w:hint="eastAsia" w:ascii="宋体" w:hAnsi="宋体" w:eastAsia="宋体" w:cs="宋体"/>
          <w:b/>
          <w:bCs/>
          <w:color w:val="ff0000"/>
          <w:sz w:val="24"/>
          <w:szCs w:val="24"/>
          <w:lang w:val="en-US" w:eastAsia="zh-CN" w:bidi="ar-SA"/>
        </w:rPr>
        <w:t xml:space="preserve">本项目最高限价：30500000元（其中设备采购及安装控制价28520000元，运维控制价1980000元），</w:t>
      </w:r>
      <w:r>
        <w:rPr>
          <w:rFonts w:hint="eastAsia" w:ascii="Times New Roman" w:hAnsi="Times New Roman" w:eastAsia="宋体" w:cs="Times New Roman"/>
          <w:b/>
          <w:bCs/>
          <w:color w:val="ff0000"/>
          <w:sz w:val="24"/>
          <w:lang w:val="en-US" w:eastAsia="zh-CN"/>
        </w:rPr>
        <w:t xml:space="preserve">供应商的投标总价不得高于设备采购及安装控制价、运维控制价、招标控制总价，且不得超过招标控制单价，否则作无效标处理</w:t>
      </w:r>
      <w:r>
        <w:rPr>
          <w:rFonts w:hint="eastAsia"/>
          <w:b/>
          <w:bCs/>
          <w:iCs/>
          <w:color w:val="ff0000"/>
          <w:sz w:val="24"/>
          <w:highlight w:val="none"/>
          <w:lang w:eastAsia="zh-CN"/>
        </w:rPr>
        <w:t xml:space="preserve">。</w:t>
      </w:r>
      <w:r>
        <w:rPr>
          <w:rFonts w:hint="eastAsia"/>
          <w:b/>
          <w:bCs/>
          <w:iCs/>
          <w:color w:val="ff0000"/>
          <w:sz w:val="24"/>
          <w:highlight w:val="none"/>
          <w:lang w:eastAsia="zh-CN"/>
        </w:rPr>
      </w:r>
      <w:r/>
    </w:p>
    <w:p>
      <w:pPr>
        <w:pStyle w:val="1147"/>
        <w:contextualSpacing/>
        <w:ind w:firstLine="480"/>
        <w:jc w:val="left"/>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47"/>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053"/>
        <w:jc w:val="left"/>
        <w:widowControl/>
        <w:rPr>
          <w:b/>
          <w:sz w:val="36"/>
          <w:szCs w:val="36"/>
        </w:rPr>
      </w:pPr>
      <w:r>
        <w:rPr>
          <w:b/>
          <w:sz w:val="36"/>
          <w:szCs w:val="36"/>
        </w:rPr>
        <w:t xml:space="preserve"> </w:t>
      </w:r>
      <w:r>
        <w:rPr>
          <w:b/>
          <w:sz w:val="36"/>
          <w:szCs w:val="36"/>
        </w:rPr>
      </w:r>
      <w:r/>
    </w:p>
    <w:p>
      <w:pPr>
        <w:pStyle w:val="1053"/>
        <w:jc w:val="center"/>
        <w:spacing w:line="360" w:lineRule="auto"/>
        <w:rPr>
          <w:b/>
          <w:sz w:val="36"/>
          <w:szCs w:val="36"/>
        </w:rPr>
        <w:outlineLvl w:val="0"/>
      </w:pPr>
      <w:r/>
      <w:bookmarkStart w:id="812" w:name="_Toc99301425"/>
      <w:r>
        <w:rPr>
          <w:b/>
          <w:sz w:val="36"/>
          <w:szCs w:val="36"/>
        </w:rPr>
        <w:t xml:space="preserve">第六章   拟签订的合同文本</w:t>
      </w:r>
      <w:bookmarkEnd w:id="812"/>
      <w:r>
        <w:rPr>
          <w:b/>
          <w:sz w:val="36"/>
          <w:szCs w:val="36"/>
        </w:rPr>
      </w:r>
      <w:r/>
    </w:p>
    <w:p>
      <w:pPr>
        <w:pStyle w:val="1053"/>
        <w:spacing w:line="360" w:lineRule="auto"/>
        <w:tabs>
          <w:tab w:val="left" w:pos="900" w:leader="none"/>
          <w:tab w:val="left" w:pos="1080" w:leader="none"/>
        </w:tabs>
        <w:rPr>
          <w:sz w:val="18"/>
          <w:szCs w:val="18"/>
        </w:rPr>
      </w:pPr>
      <w:r>
        <w:rPr>
          <w:sz w:val="18"/>
          <w:szCs w:val="18"/>
        </w:rPr>
      </w:r>
      <w:r/>
    </w:p>
    <w:p>
      <w:pPr>
        <w:pStyle w:val="1053"/>
        <w:numPr>
          <w:ilvl w:val="0"/>
          <w:numId w:val="0"/>
        </w:numPr>
        <w:jc w:val="center"/>
        <w:spacing w:line="360" w:lineRule="auto"/>
        <w:rPr>
          <w:rFonts w:hint="eastAsia" w:ascii="Times New Roman" w:hAnsi="Times New Roman" w:eastAsia="宋体" w:cs="Times New Roman"/>
          <w:b/>
          <w:sz w:val="44"/>
          <w:szCs w:val="44"/>
          <w:lang w:eastAsia="zh-CN"/>
        </w:rPr>
        <w:outlineLvl w:val="0"/>
      </w:pPr>
      <w:r>
        <w:rPr>
          <w:rFonts w:hint="eastAsia" w:ascii="Times New Roman" w:hAnsi="Times New Roman" w:eastAsia="宋体" w:cs="Times New Roman"/>
          <w:b/>
          <w:sz w:val="44"/>
          <w:szCs w:val="44"/>
          <w:lang w:eastAsia="zh-CN"/>
        </w:rPr>
        <w:t xml:space="preserve">溧阳市入河排污口（中河-北溪河、赵村河、中干河）规范化建设项目</w:t>
      </w:r>
      <w:r>
        <w:rPr>
          <w:rFonts w:hint="eastAsia" w:ascii="Times New Roman" w:hAnsi="Times New Roman" w:eastAsia="宋体" w:cs="Times New Roman"/>
          <w:b/>
          <w:sz w:val="44"/>
          <w:szCs w:val="44"/>
          <w:lang w:eastAsia="zh-CN"/>
        </w:rPr>
      </w:r>
      <w:r/>
    </w:p>
    <w:p>
      <w:pPr>
        <w:pStyle w:val="1053"/>
        <w:numPr>
          <w:ilvl w:val="0"/>
          <w:numId w:val="0"/>
        </w:numPr>
        <w:jc w:val="center"/>
        <w:spacing w:line="360" w:lineRule="auto"/>
        <w:rPr>
          <w:rFonts w:hint="eastAsia" w:ascii="Times New Roman" w:hAnsi="Times New Roman" w:eastAsia="宋体" w:cs="Times New Roman"/>
          <w:b/>
          <w:sz w:val="44"/>
          <w:szCs w:val="44"/>
          <w:lang w:val="en-US" w:eastAsia="zh-CN"/>
        </w:rPr>
        <w:outlineLvl w:val="0"/>
      </w:pPr>
      <w:r>
        <w:rPr>
          <w:rFonts w:hint="eastAsia" w:ascii="Times New Roman" w:hAnsi="Times New Roman" w:eastAsia="宋体" w:cs="Times New Roman"/>
          <w:b/>
          <w:sz w:val="44"/>
          <w:szCs w:val="44"/>
          <w:lang w:val="en-US" w:eastAsia="zh-CN"/>
        </w:rPr>
      </w:r>
      <w:r/>
    </w:p>
    <w:p>
      <w:pPr>
        <w:pStyle w:val="1053"/>
        <w:numPr>
          <w:ilvl w:val="0"/>
          <w:numId w:val="0"/>
        </w:numPr>
        <w:jc w:val="center"/>
        <w:spacing w:line="360" w:lineRule="auto"/>
        <w:rPr>
          <w:rFonts w:hint="eastAsia" w:ascii="Times New Roman" w:hAnsi="Times New Roman" w:eastAsia="宋体" w:cs="Times New Roman"/>
          <w:b/>
          <w:sz w:val="44"/>
          <w:szCs w:val="44"/>
          <w:lang w:val="en-US" w:eastAsia="zh-CN"/>
        </w:rPr>
        <w:outlineLvl w:val="0"/>
      </w:pPr>
      <w:r>
        <w:rPr>
          <w:rFonts w:hint="eastAsia" w:ascii="Times New Roman" w:hAnsi="Times New Roman" w:eastAsia="宋体" w:cs="Times New Roman"/>
          <w:b/>
          <w:sz w:val="44"/>
          <w:szCs w:val="44"/>
          <w:lang w:val="en-US" w:eastAsia="zh-CN"/>
        </w:rPr>
        <w:t xml:space="preserve">合同书</w:t>
      </w:r>
      <w:r>
        <w:rPr>
          <w:rFonts w:hint="eastAsia" w:ascii="Times New Roman" w:hAnsi="Times New Roman" w:eastAsia="宋体" w:cs="Times New Roman"/>
          <w:b/>
          <w:sz w:val="44"/>
          <w:szCs w:val="44"/>
          <w:lang w:val="en-US" w:eastAsia="zh-CN"/>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tbl>
      <w:tblPr>
        <w:tblW w:w="708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4"/>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1053"/>
              <w:spacing w:line="360" w:lineRule="exact"/>
              <w:rPr>
                <w:rFonts w:hint="eastAsia" w:ascii="宋体" w:hAnsi="宋体" w:eastAsia="宋体" w:cs="Times New Roman"/>
                <w:spacing w:val="-20"/>
                <w:sz w:val="30"/>
                <w:szCs w:val="30"/>
                <w:highlight w:val="yellow"/>
                <w:lang w:eastAsia="zh-CN"/>
              </w:rPr>
            </w:pPr>
            <w:r>
              <w:rPr>
                <w:rFonts w:hint="eastAsia" w:ascii="宋体" w:hAnsi="宋体" w:eastAsia="宋体" w:cs="Times New Roman"/>
                <w:sz w:val="30"/>
              </w:rPr>
              <w:t xml:space="preserve">甲  方</w:t>
            </w:r>
            <w:r>
              <w:rPr>
                <w:rFonts w:hint="eastAsia" w:ascii="宋体" w:hAnsi="宋体" w:eastAsia="宋体" w:cs="Times New Roman"/>
                <w:sz w:val="30"/>
                <w:lang w:eastAsia="zh-CN"/>
              </w:rPr>
              <w:t xml:space="preserve">：</w:t>
            </w:r>
            <w:r>
              <w:rPr>
                <w:rFonts w:hint="eastAsia" w:ascii="宋体" w:hAnsi="宋体" w:eastAsia="宋体" w:cs="Times New Roman"/>
                <w:spacing w:val="-20"/>
                <w:sz w:val="30"/>
                <w:szCs w:val="30"/>
                <w:highlight w:val="yellow"/>
                <w:lang w:eastAsia="zh-CN"/>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1053"/>
              <w:ind w:firstLine="602"/>
              <w:jc w:val="both"/>
              <w:spacing w:line="360" w:lineRule="exact"/>
              <w:rPr>
                <w:rFonts w:ascii="宋体" w:hAnsi="宋体" w:eastAsia="宋体" w:cs="Times New Roman"/>
                <w:spacing w:val="-20"/>
                <w:sz w:val="30"/>
                <w:szCs w:val="30"/>
              </w:rPr>
            </w:pPr>
            <w:r>
              <w:rPr>
                <w:rFonts w:hint="eastAsia" w:ascii="宋体" w:hAnsi="宋体" w:eastAsia="宋体" w:cs="Times New Roman"/>
                <w:sz w:val="30"/>
              </w:rPr>
              <w:t xml:space="preserve">：</w:t>
            </w:r>
            <w:r>
              <w:rPr>
                <w:rFonts w:ascii="宋体" w:hAnsi="宋体" w:eastAsia="宋体" w:cs="Times New Roman"/>
                <w:spacing w:val="-20"/>
                <w:sz w:val="30"/>
                <w:szCs w:val="30"/>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1053"/>
              <w:spacing w:line="360" w:lineRule="exact"/>
              <w:rPr>
                <w:rFonts w:hint="eastAsia" w:ascii="宋体" w:hAnsi="宋体" w:eastAsia="宋体" w:cs="Times New Roman"/>
                <w:sz w:val="30"/>
                <w:lang w:eastAsia="zh-CN"/>
              </w:rPr>
            </w:pPr>
            <w:r>
              <w:rPr>
                <w:rFonts w:hint="eastAsia" w:ascii="宋体" w:hAnsi="宋体" w:eastAsia="宋体" w:cs="Times New Roman"/>
                <w:sz w:val="30"/>
                <w:lang w:eastAsia="zh-CN"/>
              </w:rPr>
              <w:t xml:space="preserve">溧阳市市域社会治理现代化指挥中心</w:t>
            </w:r>
            <w:r>
              <w:rPr>
                <w:rFonts w:hint="eastAsia" w:ascii="宋体" w:hAnsi="宋体" w:eastAsia="宋体" w:cs="Times New Roman"/>
                <w:sz w:val="30"/>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1053"/>
              <w:spacing w:line="360" w:lineRule="exact"/>
              <w:rPr>
                <w:rFonts w:hint="eastAsia" w:ascii="宋体" w:hAnsi="宋体" w:eastAsia="宋体" w:cs="Times New Roman"/>
                <w:sz w:val="30"/>
                <w:szCs w:val="30"/>
                <w:highlight w:val="yellow"/>
                <w:lang w:eastAsia="zh-CN"/>
              </w:rPr>
            </w:pPr>
            <w:r>
              <w:rPr>
                <w:rFonts w:hint="eastAsia" w:ascii="宋体" w:hAnsi="宋体" w:eastAsia="宋体" w:cs="Times New Roman"/>
                <w:sz w:val="30"/>
              </w:rPr>
              <w:t xml:space="preserve">乙  方</w:t>
            </w:r>
            <w:r>
              <w:rPr>
                <w:rFonts w:hint="eastAsia" w:ascii="宋体" w:hAnsi="宋体" w:eastAsia="宋体" w:cs="Times New Roman"/>
                <w:sz w:val="30"/>
                <w:lang w:eastAsia="zh-CN"/>
              </w:rPr>
              <w:t xml:space="preserve">：</w:t>
            </w:r>
            <w:r>
              <w:rPr>
                <w:rFonts w:hint="eastAsia" w:ascii="宋体" w:hAnsi="宋体" w:eastAsia="宋体" w:cs="Times New Roman"/>
                <w:sz w:val="30"/>
                <w:szCs w:val="30"/>
                <w:highlight w:val="yellow"/>
                <w:lang w:eastAsia="zh-CN"/>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1053"/>
              <w:ind w:firstLine="602"/>
              <w:jc w:val="both"/>
              <w:spacing w:line="360" w:lineRule="exact"/>
              <w:rPr>
                <w:rFonts w:ascii="宋体" w:hAnsi="宋体" w:eastAsia="宋体" w:cs="Times New Roman"/>
                <w:sz w:val="30"/>
              </w:rPr>
            </w:pPr>
            <w:r>
              <w:rPr>
                <w:rFonts w:hint="eastAsia" w:ascii="宋体" w:hAnsi="宋体" w:eastAsia="宋体" w:cs="Times New Roman"/>
                <w:sz w:val="30"/>
              </w:rPr>
              <w:t xml:space="preserve">：</w:t>
            </w:r>
            <w:r>
              <w:rPr>
                <w:rFonts w:ascii="宋体" w:hAnsi="宋体" w:eastAsia="宋体" w:cs="Times New Roman"/>
                <w:sz w:val="30"/>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1053"/>
              <w:spacing w:line="360" w:lineRule="exact"/>
              <w:rPr>
                <w:rFonts w:ascii="宋体" w:hAnsi="宋体" w:eastAsia="宋体" w:cs="Times New Roman"/>
                <w:sz w:val="30"/>
              </w:rPr>
            </w:pPr>
            <w:r>
              <w:rPr>
                <w:rFonts w:ascii="宋体" w:hAnsi="宋体" w:eastAsia="宋体" w:cs="Times New Roman"/>
                <w:sz w:val="30"/>
              </w:rPr>
            </w:r>
            <w:r/>
          </w:p>
        </w:tc>
      </w:tr>
    </w:tbl>
    <w:p>
      <w:pPr>
        <w:pStyle w:val="1053"/>
        <w:ind w:firstLine="640"/>
        <w:rPr>
          <w:rFonts w:ascii="宋体" w:hAnsi="宋体" w:eastAsia="宋体" w:cs="Times New Roman"/>
          <w:b/>
          <w:sz w:val="32"/>
          <w:szCs w:val="32"/>
        </w:rPr>
      </w:pPr>
      <w:r>
        <w:rPr>
          <w:rFonts w:ascii="宋体" w:hAnsi="宋体" w:eastAsia="宋体" w:cs="Times New Roman"/>
          <w:b/>
          <w:sz w:val="32"/>
          <w:szCs w:val="32"/>
        </w:rPr>
      </w:r>
      <w:r/>
    </w:p>
    <w:p>
      <w:pPr>
        <w:pStyle w:val="1053"/>
        <w:ind w:left="0" w:firstLine="0"/>
        <w:jc w:val="center"/>
        <w:spacing w:after="120" w:line="480" w:lineRule="exact"/>
        <w:widowControl w:val="off"/>
        <w:rPr>
          <w:rFonts w:ascii="宋体" w:hAnsi="宋体" w:eastAsia="宋体" w:cs="宋体"/>
          <w:sz w:val="30"/>
          <w:szCs w:val="30"/>
          <w:lang w:val="en-US" w:eastAsia="zh-CN" w:bidi="ar-SA"/>
        </w:rPr>
      </w:pPr>
      <w:r>
        <w:rPr>
          <w:rFonts w:hint="eastAsia" w:ascii="宋体" w:hAnsi="宋体" w:eastAsia="宋体" w:cs="Times New Roman"/>
          <w:sz w:val="32"/>
          <w:szCs w:val="32"/>
          <w:lang w:val="en-US" w:eastAsia="zh-CN" w:bidi="ar-SA"/>
        </w:rPr>
        <w:t xml:space="preserve">年    月   日</w:t>
      </w:r>
      <w:r>
        <w:rPr>
          <w:rFonts w:ascii="宋体" w:hAnsi="宋体" w:eastAsia="宋体" w:cs="宋体"/>
          <w:sz w:val="30"/>
          <w:szCs w:val="30"/>
          <w:lang w:val="en-US" w:eastAsia="zh-CN" w:bidi="ar-SA"/>
        </w:rPr>
      </w:r>
      <w:r/>
    </w:p>
    <w:p>
      <w:pPr>
        <w:pStyle w:val="1053"/>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53"/>
        <w:ind w:firstLine="482"/>
        <w:jc w:val="center"/>
        <w:keepLines w:val="0"/>
        <w:keepNext w:val="0"/>
        <w:pageBreakBefore w:val="0"/>
        <w:spacing w:before="240"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pStyle w:val="1053"/>
        <w:ind w:firstLine="482"/>
        <w:jc w:val="center"/>
        <w:keepLines w:val="0"/>
        <w:keepNext w:val="0"/>
        <w:pageBreakBefore w:val="0"/>
        <w:spacing w:before="240"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pStyle w:val="1053"/>
        <w:ind w:firstLine="482"/>
        <w:jc w:val="center"/>
        <w:keepLines w:val="0"/>
        <w:keepNext w:val="0"/>
        <w:pageBreakBefore w:val="0"/>
        <w:spacing w:before="240" w:line="360" w:lineRule="auto"/>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主要合同条款</w:t>
      </w:r>
      <w:r>
        <w:rPr>
          <w:rFonts w:ascii="宋体" w:hAnsi="宋体" w:eastAsia="宋体" w:cs="宋体"/>
          <w:b/>
          <w:sz w:val="24"/>
          <w:szCs w:val="24"/>
          <w:highlight w:val="none"/>
          <w:lang w:val="en-US" w:eastAsia="zh-CN"/>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甲方:溧阳市市域社会治理现代化指挥中心</w:t>
      </w:r>
      <w:r>
        <w:rPr>
          <w:rFonts w:hint="eastAsia" w:ascii="宋体" w:hAnsi="宋体" w:eastAsia="宋体" w:cs="宋体"/>
          <w:bCs/>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Cs/>
          <w:sz w:val="24"/>
          <w:szCs w:val="24"/>
          <w:highlight w:val="none"/>
          <w:lang w:val="en-US" w:eastAsia="zh-CN" w:bidi="ar"/>
        </w:rPr>
        <w:t xml:space="preserve">乙方:    </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根据《中华人民共和国民法典》等法律法规的规定，甲乙双方按照招标结果签订本合同。</w:t>
      </w:r>
      <w:r>
        <w:rPr>
          <w:rFonts w:hint="eastAsia" w:ascii="宋体" w:hAnsi="宋体" w:eastAsia="宋体" w:cs="宋体"/>
          <w:sz w:val="24"/>
          <w:szCs w:val="24"/>
          <w:highlight w:val="none"/>
        </w:rPr>
      </w:r>
      <w:r/>
    </w:p>
    <w:p>
      <w:pPr>
        <w:pStyle w:val="1053"/>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一、项目清单及合同金额</w:t>
      </w:r>
      <w:r>
        <w:rPr>
          <w:rFonts w:hint="eastAsia" w:ascii="宋体" w:hAnsi="宋体" w:eastAsia="宋体" w:cs="宋体"/>
          <w:b/>
          <w:bCs/>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1.项目名称：溧阳市入河排污口（中河-北溪河、赵村河、中干河）规范化建设项目</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2.合同金额：（大写）人民币（¥）。</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3.合同内容：采购清单范围内的设备（材料）制造、运输、装卸、现场成品保管、安装调试、验收、保修、售后服务等（具体为采购清单范围内的所有内容）。</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4.报价清单（详见附件）</w:t>
      </w:r>
      <w:r>
        <w:rPr>
          <w:rFonts w:hint="eastAsia" w:ascii="宋体" w:hAnsi="宋体" w:eastAsia="宋体" w:cs="宋体"/>
          <w:sz w:val="24"/>
          <w:szCs w:val="24"/>
          <w:highlight w:val="none"/>
          <w:lang w:val="en-US" w:eastAsia="zh-CN" w:bidi="ar"/>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5.本项目为固定单价合同</w:t>
      </w:r>
      <w:r>
        <w:rPr>
          <w:rFonts w:hint="eastAsia" w:ascii="宋体" w:hAnsi="宋体" w:eastAsia="宋体" w:cs="宋体"/>
          <w:sz w:val="24"/>
          <w:szCs w:val="24"/>
          <w:highlight w:val="none"/>
          <w:lang w:val="en-US" w:eastAsia="zh-CN" w:bidi="ar"/>
        </w:rPr>
        <w:t xml:space="preserve">。结算方式为固定综合单价，数量按实结算。 </w:t>
      </w:r>
      <w:r>
        <w:rPr>
          <w:rFonts w:hint="eastAsia" w:ascii="宋体" w:hAnsi="宋体" w:eastAsia="宋体" w:cs="宋体"/>
          <w:sz w:val="24"/>
          <w:szCs w:val="24"/>
          <w:highlight w:val="none"/>
          <w:lang w:val="en-US" w:eastAsia="zh-CN" w:bidi="ar"/>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固定综合单价合同在项目结算时不作任何调整，包括所有政策性调整。其中所有发生的费用，乙方自行承担，结算中不作任何调整。 </w:t>
      </w:r>
      <w:r>
        <w:rPr>
          <w:rFonts w:hint="eastAsia" w:ascii="宋体" w:hAnsi="宋体" w:eastAsia="宋体" w:cs="宋体"/>
          <w:sz w:val="24"/>
          <w:szCs w:val="24"/>
          <w:highlight w:val="none"/>
          <w:lang w:val="en-US" w:eastAsia="zh-CN" w:bidi="ar"/>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highlight w:val="none"/>
          <w:lang w:val="en-US" w:eastAsia="zh-CN" w:bidi="ar"/>
        </w:rPr>
        <w:t xml:space="preserve">合同价应为完成本项目所需的全部费用。包括但不限于：招标文件及其基本、技术要求范围内相应产品制造前的准备（包括现场踏勘、技术核对等）、货物采购（制作）费、安装及调试费、辅材费、运输费、装卸费、保险、利润、规费、税金、成品保护费、免费质保期内的售后维修保养等所有费用。 </w:t>
      </w:r>
      <w:r>
        <w:rPr>
          <w:rFonts w:hint="eastAsia" w:ascii="宋体" w:hAnsi="宋体" w:eastAsia="宋体" w:cs="宋体"/>
          <w:sz w:val="24"/>
          <w:szCs w:val="24"/>
        </w:rPr>
      </w:r>
      <w:r/>
    </w:p>
    <w:p>
      <w:pPr>
        <w:pStyle w:val="1053"/>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二、付款方式</w:t>
      </w:r>
      <w:r>
        <w:rPr>
          <w:rFonts w:hint="eastAsia" w:ascii="宋体" w:hAnsi="宋体" w:eastAsia="宋体" w:cs="宋体"/>
          <w:b/>
          <w:bCs/>
          <w:sz w:val="24"/>
          <w:szCs w:val="24"/>
          <w:highlight w:val="none"/>
          <w:lang w:val="en-US" w:eastAsia="zh-CN" w:bidi="ar"/>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设备采购及安装费用：合同签订后15个工作日内甲方支付设备采购及安装价款的40%作为预付款；所有设备到达现场安装完成后，支付至设备采购及安装价款的70%；所有设备调试完成，试运行20天，且经甲方组织验收合格并提交完整的验收归档资料后，支付至设备采购及安装价款的80%；经审计审定后支付至设备采购及安装审定价的100%。</w:t>
      </w:r>
      <w:r>
        <w:rPr>
          <w:rFonts w:hint="eastAsia" w:ascii="宋体" w:hAnsi="宋体" w:eastAsia="宋体" w:cs="宋体"/>
          <w:b w:val="0"/>
          <w:bCs/>
          <w:sz w:val="24"/>
          <w:szCs w:val="24"/>
          <w:highlight w:val="none"/>
          <w:lang w:val="en-US" w:eastAsia="zh-CN" w:bidi="ar"/>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运维费用：设备安装调试完成并经甲方验收合格后进入运维期，支付运维费的50%作为预付款；运维期满一年且考核合格，支付至运维费的70%；运维期满两年且考核合格，支付至运维费的90%；运维期满三年且考核合格，付清运维费余款。</w:t>
      </w:r>
      <w:r>
        <w:rPr>
          <w:rFonts w:hint="eastAsia" w:ascii="宋体" w:hAnsi="宋体" w:eastAsia="宋体" w:cs="宋体"/>
          <w:b w:val="0"/>
          <w:bCs/>
          <w:sz w:val="24"/>
          <w:szCs w:val="24"/>
          <w:highlight w:val="none"/>
          <w:lang w:val="en-US" w:eastAsia="zh-CN" w:bidi="ar"/>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运维期内每年对乙方提供的运维服务进行考核，若当年考核不合格，甲方有权要求乙方进行整改，当年应付款项延期至整改合格后支付；若第三年考核不合格，甲方有权要求乙方延长运维期限，直至整改合格。延长运维期限不应超过一年。</w:t>
      </w:r>
      <w:r>
        <w:rPr>
          <w:rFonts w:hint="eastAsia" w:ascii="宋体" w:hAnsi="宋体" w:eastAsia="宋体" w:cs="宋体"/>
          <w:b w:val="0"/>
          <w:bCs/>
          <w:sz w:val="24"/>
          <w:szCs w:val="24"/>
          <w:highlight w:val="none"/>
          <w:lang w:val="en-US" w:eastAsia="zh-CN" w:bidi="ar"/>
        </w:rPr>
      </w:r>
      <w:r/>
    </w:p>
    <w:p>
      <w:pPr>
        <w:pStyle w:val="1053"/>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7.甲方支付合同价款前，乙方应提供符合国家税法和甲方要求的同等金额的增值税专用发票。</w:t>
      </w:r>
      <w:r>
        <w:rPr>
          <w:rFonts w:hint="eastAsia" w:ascii="宋体" w:hAnsi="宋体" w:eastAsia="宋体" w:cs="宋体"/>
          <w:b/>
          <w:bCs w:val="0"/>
          <w:sz w:val="24"/>
          <w:szCs w:val="24"/>
          <w:highlight w:val="none"/>
          <w:lang w:val="en-US" w:eastAsia="zh-CN" w:bidi="ar"/>
        </w:rPr>
      </w:r>
      <w:r/>
    </w:p>
    <w:p>
      <w:pPr>
        <w:pStyle w:val="1053"/>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三、交货时间、地点及交付方式</w:t>
      </w:r>
      <w:r>
        <w:rPr>
          <w:rFonts w:hint="eastAsia" w:ascii="宋体" w:hAnsi="宋体" w:eastAsia="宋体" w:cs="宋体"/>
          <w:b/>
          <w:bCs/>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 合同履行期限：</w:t>
      </w:r>
      <w:r>
        <w:rPr>
          <w:rFonts w:hint="eastAsia" w:ascii="宋体" w:hAnsi="宋体" w:cs="宋体"/>
          <w:color w:val="000000"/>
          <w:sz w:val="24"/>
          <w:szCs w:val="24"/>
          <w:lang w:val="en-US" w:eastAsia="zh-CN"/>
        </w:rPr>
        <w:t xml:space="preserve">自合同签订之日起至运维期满（其中合同范围内所有设备及软件的供货、安装及调试需在2026年8月31日前完成并验收合格。运维期自设备及软件验收合格之日起计算）。</w:t>
      </w:r>
      <w:r>
        <w:rPr>
          <w:rFonts w:hint="eastAsia" w:ascii="宋体" w:hAnsi="宋体" w:eastAsia="宋体" w:cs="宋体"/>
          <w:sz w:val="24"/>
          <w:szCs w:val="24"/>
          <w:highlight w:val="none"/>
          <w:lang w:val="en-US" w:eastAsia="zh-CN" w:bidi="ar"/>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 交货地点：甲方指定地点。</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 交付方式：免费送货上门，并安装、调试到能正常使用。</w:t>
      </w:r>
      <w:r>
        <w:rPr>
          <w:rFonts w:hint="eastAsia" w:ascii="宋体" w:hAnsi="宋体" w:eastAsia="宋体" w:cs="宋体"/>
          <w:sz w:val="24"/>
          <w:szCs w:val="24"/>
          <w:highlight w:val="none"/>
          <w:lang w:val="en-US" w:eastAsia="zh-CN" w:bidi="ar"/>
        </w:rPr>
      </w:r>
      <w:r/>
    </w:p>
    <w:p>
      <w:pPr>
        <w:pStyle w:val="1053"/>
        <w:ind w:left="0" w:right="0" w:firstLine="480"/>
        <w:jc w:val="both"/>
        <w:spacing w:before="0" w:after="0" w:line="360" w:lineRule="auto"/>
        <w:rPr>
          <w:rFonts w:ascii="宋体" w:hAnsi="宋体" w:eastAsia="宋体" w:cs="宋体"/>
          <w:b/>
          <w:bCs/>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
        </w:rPr>
        <w:t xml:space="preserve">四、技术要求</w:t>
      </w:r>
      <w:r>
        <w:rPr>
          <w:rFonts w:ascii="宋体" w:hAnsi="宋体" w:eastAsia="宋体" w:cs="宋体"/>
          <w:b/>
          <w:bCs/>
          <w:sz w:val="24"/>
          <w:szCs w:val="24"/>
          <w:highlight w:val="none"/>
          <w:lang w:val="en-US" w:eastAsia="zh-CN" w:bidi="ar"/>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1.硬件部分</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（1）乙方须保证所提供设备是全新的、未使用过的原厂正品，并完全符合采购文件规定的质量、规格和性能的要求，同时必须明确所投设备的品牌、型号、技术参数。</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乙方提供的标的物在到达现场后，乙方应在使用单位人员在场情况下当面开箱，共同清点、检查外观，作出开箱记录，双方签字确认。乙方对所有设备都应进行严格的检验和试验，并提供完备的技术资料、装箱单和合格证等。</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（3）本项目设备基础涉及占地用地情况，乙方应当自行勘探了解，此项相关费用已包含在投标报价中。</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（4）本项目设备供电以太阳能供电为主，市电供电为辅，保证设备在长期阴雨天能够保证设备不断电，乙方应自行对接相关部门并考虑解决方案，此项费用包含在投标报价中。</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5）乙方有义务以严谨、专业的态度开展现场及后端设备安装位置、周边环境的踏勘与考察工作，同时对后端设备安装环境以及系统功能对接需求等进行详细调研。收集并整理编制投标文件和签署合同所必需的各项资料。乙方应深入了解设备安装区域的具体情况，包括但不限于地理环境、周边设施</w:t>
      </w:r>
      <w:r>
        <w:rPr>
          <w:rFonts w:hint="eastAsia" w:ascii="宋体" w:hAnsi="宋体" w:eastAsia="宋体" w:cs="宋体"/>
          <w:b w:val="0"/>
          <w:bCs w:val="0"/>
          <w:color w:val="000000"/>
          <w:sz w:val="24"/>
          <w:lang w:val="en-US" w:eastAsia="zh-CN"/>
        </w:rPr>
        <w:t xml:space="preserve">等，全面掌握可能影响投标文件和签署合同所需的各项材料。在此期间，投标人需自行承担踏勘、考察现场所产生的一切责任与风险。中标后，不得以对现场及周边环境了解不充分为理由，提出超出合同范围的额外补偿要求。同时，乙方必须严格落实踏勘、考察现场的安全保障措施，承担相应的安全责任，并自行承担踏勘、考察过程中的所有费用。乙方应切实履行后端设备安装、调试及系统对接等职责，保障上下游数据传输的稳定性与运用的高效性。并且，依据合同所约定的质保期限，对整体服务平台及其对接平台实施全方位的运营与维护管理，确保系统性能符合预期要求。</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（6）本项目建设技术要求除满足本采购文件相关规定外，还需满足国家相关技术规范及指南。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lang w:val="en-US" w:eastAsia="zh-CN"/>
        </w:rPr>
        <w:t xml:space="preserve">乙方</w:t>
      </w:r>
      <w:r>
        <w:rPr>
          <w:rFonts w:ascii="宋体" w:hAnsi="宋体" w:eastAsia="宋体" w:cs="宋体"/>
          <w:color w:val="000000"/>
          <w:sz w:val="24"/>
          <w:highlight w:val="none"/>
        </w:rPr>
        <w:t xml:space="preserve">应保证本项目设备涉及到的知识产权和软件、技术资料是合法取得，并享有完整的知识产权或合法使用权，不会因为</w:t>
      </w:r>
      <w:r>
        <w:rPr>
          <w:rFonts w:hint="eastAsia" w:ascii="宋体" w:hAnsi="宋体" w:eastAsia="宋体" w:cs="宋体"/>
          <w:bCs/>
          <w:sz w:val="24"/>
          <w:szCs w:val="24"/>
          <w:highlight w:val="none"/>
          <w:lang w:val="en-US" w:eastAsia="zh-CN" w:bidi="ar"/>
        </w:rPr>
        <w:t xml:space="preserve">甲方</w:t>
      </w:r>
      <w:r>
        <w:rPr>
          <w:rFonts w:ascii="宋体" w:hAnsi="宋体" w:eastAsia="宋体" w:cs="宋体"/>
          <w:color w:val="000000"/>
          <w:sz w:val="24"/>
          <w:highlight w:val="none"/>
        </w:rPr>
        <w:t xml:space="preserve">的使用而被责令停止使用、追偿或要求赔偿损失，如出现此情况，一切经济和法律责任均由</w:t>
      </w:r>
      <w:r>
        <w:rPr>
          <w:rFonts w:hint="eastAsia" w:ascii="宋体" w:hAnsi="宋体" w:eastAsia="宋体" w:cs="宋体"/>
          <w:b w:val="0"/>
          <w:bCs w:val="0"/>
          <w:color w:val="000000"/>
          <w:sz w:val="24"/>
          <w:lang w:val="en-US" w:eastAsia="zh-CN"/>
        </w:rPr>
        <w:t xml:space="preserve">乙方</w:t>
      </w:r>
      <w:r>
        <w:rPr>
          <w:rFonts w:ascii="宋体" w:hAnsi="宋体" w:eastAsia="宋体" w:cs="宋体"/>
          <w:color w:val="000000"/>
          <w:sz w:val="24"/>
          <w:highlight w:val="none"/>
        </w:rPr>
        <w:t xml:space="preserve">承担。</w:t>
      </w:r>
      <w:r>
        <w:rPr>
          <w:rFonts w:ascii="宋体" w:hAnsi="宋体" w:eastAsia="宋体" w:cs="宋体"/>
          <w:b w:val="0"/>
          <w:bCs w:val="0"/>
          <w:color w:val="000000"/>
          <w:sz w:val="24"/>
          <w:highlight w:val="none"/>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2.软件部分</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水环境监测控制系统平台的应用软件，需结合本项目实际需求开展针对性定制开发，同时完成已成熟软件的安装部署及调试工作，确保软件适配项目场景、稳定运行。</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水环境监测控制系统平台应包含但不限于综合管理系统、排口综合展示系统、排口移动应用、水质变化AI分析功能等子模块，全面覆盖项目所需的监测、管控、展示、分析、运维等各类业务需求。</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（1）综合管理系统模块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依托综合预警、综合分析、排口台账管理、水质监测综合管理、视频综合管理五大分类模块，助力管理人员实现精准高效管控，推动管理模式从被动应对向事前预判转型。模块应能实现异常事件分钟级识别、分级通知及处置全流程追踪，支持预警事件多维度检索</w:t>
      </w:r>
      <w:r>
        <w:rPr>
          <w:rFonts w:hint="eastAsia" w:ascii="宋体" w:hAnsi="宋体" w:eastAsia="宋体" w:cs="宋体"/>
          <w:b w:val="0"/>
          <w:bCs w:val="0"/>
          <w:color w:val="000000"/>
          <w:sz w:val="24"/>
          <w:lang w:val="en-US" w:eastAsia="zh-CN"/>
        </w:rPr>
        <w:t xml:space="preserve">、站内信与邮件双渠道触达，构建预警管控全闭环；按周期统计排口超标及监测站水质指标，以图表可视化呈现预警频次分布和核心指标变化趋势，为科学决策提供精准数据支撑；支持排口唯一数字化建档，实现基础信息维护、专属二维码生成及数据批量导入，确保台账与现场排口精准匹配、全维度可查可管；对监测站及物联网监测设备实施统一台账管理，规范档案标准化录入，从源头保障水质监测数据真实准确；可集中管控监控设备台账，实时查看摄像头运行状态与物理位置，支持视频节点档案批量导入，为远程取证、非现场监管提供可视化技术支撑，全面提升管控效能。</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（2）排口综合展示系统模块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排口综合展示系统以“一张图” 可视化管控为核心，整合排口、水环境、视频监控、管控任务四大管理模块，打造一体化地图管理体系，实现监管要素全域可视、管理流程地图化落地，助力管理方达成一图统览、一图指挥的精准管控目标，提升非现场监管与闭环处置效率。基于不同的数据特点，设计合适的可视化界面呈现。其中，排口基础管理将静态台账升级为动态地图，叠加全量排口并按正常/预警/离线状态动态着色，同步以报表呈现水质站五参等监测指标，支持报表与地图双向钻取至详情，一图统</w:t>
      </w:r>
      <w:r>
        <w:rPr>
          <w:rFonts w:hint="eastAsia" w:ascii="宋体" w:hAnsi="宋体" w:eastAsia="宋体" w:cs="宋体"/>
          <w:b w:val="0"/>
          <w:bCs w:val="0"/>
          <w:color w:val="000000"/>
          <w:sz w:val="24"/>
          <w:lang w:val="en-US" w:eastAsia="zh-CN"/>
        </w:rPr>
        <w:t xml:space="preserve">览排口分布及运行状态；水环境管理以可视化报表展示各监测站 COD、氨氮、悬浮物、PH 等核心指标，支持全部点位、仅监测站、仅排口三种地图视图切换，可快速锁定超标及风险区域，为水质溯源和区域治理提供靶向坐标；视频监控管理在地图上聚合展示全域视频点位及摄像头基础信息，支持多路视频同步调阅、全屏查看，减少现场出勤，提升非现场执法效率；管控任务模块支持基于异常预警创建并下派含关键信息的核实任务，可实时查看处置进度及结果，以地图展示任务分布、关联站点告警详情，按进度统计任务数量，实现任务管理全程可视、可量化、可考核。</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（3）排口移动应用子模块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排口移动应用系统以移动端为载体打造掌上监管平台，将监管视角延伸至指尖，构建“口袋里的指挥中心”。系统整合环境掌上地图、监控视频展示、监测数据展示、排口二维码管理、移动任务协同五大功能模块，为现场巡查、执法核验、任务处置提供全流程移动化支撑，推动监管工作实现高效化、现场化、闭环化开展。系统支持移动端加载地图，展示全量监测与排口点位并按状态颜色区分，点击点位弹窗可</w:t>
      </w:r>
      <w:r>
        <w:rPr>
          <w:rFonts w:hint="eastAsia" w:ascii="宋体" w:hAnsi="宋体" w:eastAsia="宋体" w:cs="宋体"/>
          <w:b w:val="0"/>
          <w:bCs w:val="0"/>
          <w:color w:val="000000"/>
          <w:sz w:val="24"/>
          <w:lang w:val="en-US" w:eastAsia="zh-CN"/>
        </w:rPr>
        <w:t xml:space="preserve">查看基础信息与实时监测数据，实现点位动态随时随地掌握；可在地图上查看所有视频监控节点档案，包含监控 ID、位置坐标等核心信息；能实时刷新展示单排口水质达标情况、流量变化，以及单水质监测点五项核心指标与达标状态，辅助现场人员快速研判采样、留证或应急启动需求；支持扫码直跳排口档案页，授权用户可一键查看排口基础信息、责任人、相关告警等内容，提升现场信息调取效率；还可接收并认领巡检任务，完成照片上传、结果反馈，亦可填写处置表单、拍照后一键上传，系统将自动归档并关闭工单，确保问题现场解决、数据当场回传、工单当日闭环。</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（4）水质变化AI分析功能子模块</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水质变化AI分析子模块内容须包括七个方面，一是季节项分析库需能采集长周期内站点、指标、年月、季节项数值、周期类型（月/季）等按季节变化的监测数据；二是残差项分析库需能采集长周期</w:t>
      </w:r>
      <w:r>
        <w:rPr>
          <w:rFonts w:hint="eastAsia" w:ascii="宋体" w:hAnsi="宋体" w:eastAsia="宋体" w:cs="宋体"/>
          <w:b w:val="0"/>
          <w:bCs w:val="0"/>
          <w:color w:val="000000"/>
          <w:sz w:val="24"/>
          <w:lang w:val="en-US" w:eastAsia="zh-CN"/>
        </w:rPr>
        <w:t xml:space="preserve">内站点、指标、采样时间、残差值、是否异常等组成的河道水质变化残差数据；三是长期量化分析需对每个站点COD等监测指标分解，提取趋势项、季节项、残差项且量化差异；四是时空热点聚类呈现需以地图形式对“显著差异时段”同时出现的站点做聚类，输出空间热点区块及中心坐标；五是指标对比一张图需在一张图呈现所有站点地图空间分布，用时间轴展示水质演变；六是趋势异常预警需以地图形式识别水质突变点，定位到小时以辅助事件回溯，且能抓取上月数据；七是分析报告输出需支持按季度与站点范围，系统可导出内嵌图表、显著差异表等指标的PDF报告。</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结合业务与功能核心需求，平台软件需满足多维度性能及数据管理要求，同时充分考虑后续项目扩展及多部门数据对接需求，具体如下：支持不少于100名用户同时并发，保障系统容量及吞吐量达标；平台数据访问可靠性≥99%，确保数据访问稳定可控；数据查询页面响应时间≤2s，提升用户操作交互效率；搭建完善的数据备份机制，保障数据安全不丢失，同步提供数据离线下载功能，满足离线使用场景需求；优化数据写入性能，数据写入列表耗时≤30秒，且支持≥10万条/天数据并发写入，适配高体量数据写入业务场景。</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（5）平台系统集成升级及运维保障部分</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1）本项目软件平台需要接入溧阳市城市运行“一网统管”平台，乙方应承诺提供的水环境监测控制系统平台与溧阳市城市运行“一网统管”平台实现无缝对接。（承诺书附后）。</w:t>
      </w:r>
      <w:r>
        <w:rPr>
          <w:rFonts w:hint="eastAsia"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highlight w:val="none"/>
          <w:lang w:val="en-US" w:eastAsia="zh-CN"/>
        </w:rPr>
        <w:t xml:space="preserve">本项目监测管理运维期为3年。在运维期内，乙方应按照《运维服务绩效考核实施细则》内相关内容进行本项目的运维工作。考核细则详见附件。</w:t>
      </w:r>
      <w:r>
        <w:rPr>
          <w:rFonts w:hint="eastAsia" w:ascii="宋体" w:hAnsi="宋体" w:eastAsia="宋体" w:cs="宋体"/>
          <w:b w:val="0"/>
          <w:bCs w:val="0"/>
          <w:color w:val="000000"/>
          <w:sz w:val="24"/>
          <w:szCs w:val="24"/>
          <w:highlight w:val="none"/>
          <w:lang w:val="en-US" w:eastAsia="zh-CN" w:bidi="ar"/>
        </w:rPr>
      </w:r>
      <w:r/>
    </w:p>
    <w:p>
      <w:pPr>
        <w:pStyle w:val="1053"/>
        <w:ind w:left="0" w:right="0" w:firstLine="482"/>
        <w:jc w:val="left"/>
        <w:keepLines w:val="0"/>
        <w:keepNext w:val="0"/>
        <w:pageBreakBefore w:val="0"/>
        <w:spacing w:before="0" w:beforeAutospacing="0" w:after="0" w:afterAutospacing="0" w:line="360" w:lineRule="auto"/>
        <w:widowControl/>
        <w:rPr>
          <w:rFonts w:ascii="宋体" w:hAnsi="宋体" w:eastAsia="宋体" w:cs="宋体"/>
          <w:b/>
          <w:bCs/>
          <w:sz w:val="24"/>
          <w:szCs w:val="24"/>
          <w:highlight w:val="none"/>
          <w:lang w:val="en-US"/>
        </w:rPr>
        <w:suppressLineNumbers w:val="0"/>
      </w:pPr>
      <w:r>
        <w:rPr>
          <w:rFonts w:hint="eastAsia" w:ascii="宋体" w:hAnsi="宋体" w:eastAsia="宋体" w:cs="宋体"/>
          <w:b/>
          <w:bCs/>
          <w:sz w:val="24"/>
          <w:szCs w:val="24"/>
          <w:highlight w:val="none"/>
          <w:lang w:val="en-US" w:eastAsia="zh-CN" w:bidi="ar"/>
        </w:rPr>
        <w:t xml:space="preserve">五、验收标准</w:t>
      </w:r>
      <w:r>
        <w:rPr>
          <w:rFonts w:ascii="宋体" w:hAnsi="宋体" w:eastAsia="宋体" w:cs="宋体"/>
          <w:b/>
          <w:bCs/>
          <w:sz w:val="24"/>
          <w:szCs w:val="24"/>
          <w:highlight w:val="none"/>
          <w:lang w:val="en-US"/>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w:t>
      </w:r>
      <w:r>
        <w:rPr>
          <w:rFonts w:ascii="宋体" w:hAnsi="宋体" w:eastAsia="宋体" w:cs="宋体"/>
          <w:b w:val="0"/>
          <w:bCs w:val="0"/>
          <w:color w:val="000000"/>
          <w:sz w:val="24"/>
          <w:lang w:val="en-US" w:eastAsia="zh-CN"/>
        </w:rPr>
        <w:t xml:space="preserve">验收依据</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招标文件、合同、</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和</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共同确定的相关技术文件、国家相关规范。</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w:t>
      </w:r>
      <w:r>
        <w:rPr>
          <w:rFonts w:ascii="宋体" w:hAnsi="宋体" w:eastAsia="宋体" w:cs="宋体"/>
          <w:b w:val="0"/>
          <w:bCs w:val="0"/>
          <w:color w:val="000000"/>
          <w:sz w:val="24"/>
          <w:lang w:val="en-US" w:eastAsia="zh-CN"/>
        </w:rPr>
        <w:t xml:space="preserve">验收组织</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验收主体：</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验收方式：</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应当成立验收小组，负责采购项目履约验收的具体工作。（对于</w:t>
      </w:r>
      <w:r>
        <w:rPr>
          <w:rFonts w:hint="eastAsia" w:ascii="宋体" w:hAnsi="宋体" w:eastAsia="宋体" w:cs="宋体"/>
          <w:b w:val="0"/>
          <w:bCs w:val="0"/>
          <w:color w:val="000000"/>
          <w:sz w:val="24"/>
          <w:lang w:val="en-US" w:eastAsia="zh-CN"/>
        </w:rPr>
        <w:t xml:space="preserve">甲方</w:t>
      </w:r>
      <w:r>
        <w:rPr>
          <w:rFonts w:ascii="宋体" w:hAnsi="宋体" w:eastAsia="宋体" w:cs="宋体"/>
          <w:b w:val="0"/>
          <w:bCs w:val="0"/>
          <w:color w:val="000000"/>
          <w:sz w:val="24"/>
          <w:lang w:val="en-US" w:eastAsia="zh-CN"/>
        </w:rPr>
        <w:t xml:space="preserve">和</w:t>
      </w:r>
      <w:r>
        <w:rPr>
          <w:rFonts w:hint="eastAsia" w:ascii="宋体" w:hAnsi="宋体" w:eastAsia="宋体" w:cs="宋体"/>
          <w:b w:val="0"/>
          <w:bCs w:val="0"/>
          <w:color w:val="000000"/>
          <w:sz w:val="24"/>
          <w:lang w:val="en-US" w:eastAsia="zh-CN"/>
        </w:rPr>
        <w:t xml:space="preserve">实际</w:t>
      </w:r>
      <w:r>
        <w:rPr>
          <w:rFonts w:ascii="宋体" w:hAnsi="宋体" w:eastAsia="宋体" w:cs="宋体"/>
          <w:b w:val="0"/>
          <w:bCs w:val="0"/>
          <w:color w:val="000000"/>
          <w:sz w:val="24"/>
          <w:lang w:val="en-US" w:eastAsia="zh-CN"/>
        </w:rPr>
        <w:t xml:space="preserve">使用人分离的采购项目，</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应当邀请实际使用人参与验收。）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3.</w:t>
      </w:r>
      <w:r>
        <w:rPr>
          <w:rFonts w:ascii="宋体" w:hAnsi="宋体" w:eastAsia="宋体" w:cs="宋体"/>
          <w:b w:val="0"/>
          <w:bCs w:val="0"/>
          <w:color w:val="000000"/>
          <w:sz w:val="24"/>
          <w:lang w:val="en-US" w:eastAsia="zh-CN"/>
        </w:rPr>
        <w:t xml:space="preserve">验收要求</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（1）硬件设备安装调试验收方式</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须保证所提供设备是全新的、未使用过的原厂正品，并完全符合采购文件规定的质量、规格和性能的要求。</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提供的标的物在到达现场后，</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应在采购单位人员在场情况下当面开箱，共同清点、检查外观，作出开箱记录，双方签字确认。</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对所有设备都应进行严格的检验和试验，</w:t>
      </w:r>
      <w:r>
        <w:rPr>
          <w:rFonts w:hint="eastAsia" w:ascii="宋体" w:hAnsi="宋体" w:eastAsia="宋体" w:cs="宋体"/>
          <w:bCs/>
          <w:sz w:val="24"/>
          <w:szCs w:val="20"/>
          <w:lang w:val="en-US" w:eastAsia="zh-CN" w:bidi="ar-SA"/>
        </w:rPr>
        <w:t xml:space="preserve">要求提供与设备相符的中文技术纸质资料（进口设备还需提供英文资料），例如：操作手册、使用说明、图纸、维修指南、服务手册、安装手册或说明等，上述一套完整的资料应一式两份，其中一套必须为厂家原配资料，如另有上述的电子文本资料、安装光盘（含注册文件）等，也要求提供。</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应派遣专业技术人员对所提供货物进行现场安装、启动、调试、监督等服务；提供标的物组装和一般维修所必须的工具；提供在合同规定的期限内对所提供货物实行运行监督、维修服务。</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验收合格条件如下：</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1）</w:t>
      </w:r>
      <w:r>
        <w:rPr>
          <w:rFonts w:ascii="宋体" w:hAnsi="宋体" w:eastAsia="宋体" w:cs="宋体"/>
          <w:b w:val="0"/>
          <w:bCs w:val="0"/>
          <w:color w:val="000000"/>
          <w:sz w:val="24"/>
          <w:lang w:val="en-US" w:eastAsia="zh-CN"/>
        </w:rPr>
        <w:t xml:space="preserve">设备技术参数与采购合同一致，性能指标达到规定的标准。</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2）</w:t>
      </w:r>
      <w:r>
        <w:rPr>
          <w:rFonts w:ascii="宋体" w:hAnsi="宋体" w:eastAsia="宋体" w:cs="宋体"/>
          <w:b w:val="0"/>
          <w:bCs w:val="0"/>
          <w:color w:val="000000"/>
          <w:sz w:val="24"/>
          <w:lang w:val="en-US" w:eastAsia="zh-CN"/>
        </w:rPr>
        <w:t xml:space="preserve">所有设备的技术资料、装箱单、合格证等资料齐全。</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3）</w:t>
      </w:r>
      <w:r>
        <w:rPr>
          <w:rFonts w:ascii="宋体" w:hAnsi="宋体" w:eastAsia="宋体" w:cs="宋体"/>
          <w:b w:val="0"/>
          <w:bCs w:val="0"/>
          <w:color w:val="000000"/>
          <w:sz w:val="24"/>
          <w:lang w:val="en-US" w:eastAsia="zh-CN"/>
        </w:rPr>
        <w:t xml:space="preserve">在系统试运行期间所出现的问题全部得到解决，并运行正常。</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4）</w:t>
      </w:r>
      <w:r>
        <w:rPr>
          <w:rFonts w:ascii="宋体" w:hAnsi="宋体" w:eastAsia="宋体" w:cs="宋体"/>
          <w:b w:val="0"/>
          <w:bCs w:val="0"/>
          <w:color w:val="000000"/>
          <w:sz w:val="24"/>
          <w:lang w:val="en-US" w:eastAsia="zh-CN"/>
        </w:rPr>
        <w:t xml:space="preserve">在规定时间内完成交货及验收，并经</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确认。</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5）</w:t>
      </w:r>
      <w:r>
        <w:rPr>
          <w:rFonts w:ascii="宋体" w:hAnsi="宋体" w:eastAsia="宋体" w:cs="宋体"/>
          <w:b w:val="0"/>
          <w:bCs w:val="0"/>
          <w:color w:val="000000"/>
          <w:sz w:val="24"/>
          <w:lang w:val="en-US" w:eastAsia="zh-CN"/>
        </w:rPr>
        <w:t xml:space="preserve">所有设备在安装调试并进行不低于20天试运行试验，试运行期内设备各项符合要求后，才作为最终验收。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6）</w:t>
      </w:r>
      <w:r>
        <w:rPr>
          <w:rFonts w:ascii="宋体" w:hAnsi="宋体" w:eastAsia="宋体" w:cs="宋体"/>
          <w:b w:val="0"/>
          <w:bCs w:val="0"/>
          <w:color w:val="000000"/>
          <w:sz w:val="24"/>
          <w:lang w:val="en-US" w:eastAsia="zh-CN"/>
        </w:rPr>
        <w:t xml:space="preserve">符合国家相关规范和标准。</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（2）软件系统验收方式</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本项目规定的软件系统开发主体工作完成后，</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应向</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提交书面上线申请，</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在收到申请后7天内，通知</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进行软件系统上线部署。</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在软件系统上线部署完成后，可向</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申请软件系统初步验收工作。</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在接到</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的初步验收申请后，组织对项目功能及性能指标、系统运行情况、合同内容进行验收。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软件平台应满足清单各项内容，技术要求及功能要求。</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初步验收不合格，</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应对</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提出的问题及建议进行整改，完成后重新向</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提出初步验收申请。</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软件系统初验合格后进入20天的试运行期限。如果在试运行期间发现因</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原因造成的软件功能与性能与本合同约定不符，</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有责任对其进行修改和更正直到达到约定的要求。除非由于</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原因引起的软件系统的质量和性能问题造成整个系统瘫痪，并且不能在试运行期1天内恢复的，试运行期限应连续计算。</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（3）整体验收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在试运行期届满后7天内，</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应向</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提出正式验收申请，</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同意后，按照</w:t>
      </w:r>
      <w:r>
        <w:rPr>
          <w:rFonts w:hint="eastAsia" w:ascii="宋体" w:hAnsi="宋体" w:eastAsia="宋体" w:cs="宋体"/>
          <w:bCs/>
          <w:sz w:val="24"/>
          <w:szCs w:val="24"/>
          <w:highlight w:val="none"/>
          <w:lang w:val="en-US" w:eastAsia="zh-CN" w:bidi="ar"/>
        </w:rPr>
        <w:t xml:space="preserve">甲方</w:t>
      </w:r>
      <w:r>
        <w:rPr>
          <w:rFonts w:ascii="宋体" w:hAnsi="宋体" w:eastAsia="宋体" w:cs="宋体"/>
          <w:b w:val="0"/>
          <w:bCs w:val="0"/>
          <w:color w:val="000000"/>
          <w:sz w:val="24"/>
          <w:lang w:val="en-US" w:eastAsia="zh-CN"/>
        </w:rPr>
        <w:t xml:space="preserve">验收的权限，组织相关部门及人员形成验收小组，验收小组根据采购文件、投标文件、合同等约定的内容对项目进行综合运行验收。</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最终验收资料应当齐全、正确、真实、规范，并形成验收资料清单。</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验收流程符合规范，手续齐全，通过验收小组全面验收合格。</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本项目所采购的硬件设备、软件系统必须符合本项目技术参数要求及功能要求，因</w:t>
      </w:r>
      <w:r>
        <w:rPr>
          <w:rFonts w:hint="eastAsia" w:ascii="宋体" w:hAnsi="宋体" w:eastAsia="宋体" w:cs="宋体"/>
          <w:b w:val="0"/>
          <w:bCs w:val="0"/>
          <w:color w:val="000000"/>
          <w:sz w:val="24"/>
          <w:lang w:val="en-US" w:eastAsia="zh-CN"/>
        </w:rPr>
        <w:t xml:space="preserve">乙方</w:t>
      </w:r>
      <w:r>
        <w:rPr>
          <w:rFonts w:ascii="宋体" w:hAnsi="宋体" w:eastAsia="宋体" w:cs="宋体"/>
          <w:b w:val="0"/>
          <w:bCs w:val="0"/>
          <w:color w:val="000000"/>
          <w:sz w:val="24"/>
          <w:lang w:val="en-US" w:eastAsia="zh-CN"/>
        </w:rPr>
        <w:t xml:space="preserve">原因未能达到技术参数指标时，</w:t>
      </w:r>
      <w:r>
        <w:rPr>
          <w:rFonts w:hint="eastAsia" w:ascii="宋体" w:hAnsi="宋体" w:eastAsia="宋体" w:cs="宋体"/>
          <w:b w:val="0"/>
          <w:bCs w:val="0"/>
          <w:color w:val="000000"/>
          <w:sz w:val="24"/>
          <w:highlight w:val="none"/>
          <w:lang w:val="en-US" w:eastAsia="zh-CN"/>
        </w:rPr>
        <w:t xml:space="preserve">由乙方负责整改直至达到验收要求</w:t>
      </w:r>
      <w:r>
        <w:rPr>
          <w:rFonts w:ascii="宋体" w:hAnsi="宋体" w:eastAsia="宋体" w:cs="宋体"/>
          <w:b w:val="0"/>
          <w:bCs w:val="0"/>
          <w:color w:val="000000"/>
          <w:sz w:val="24"/>
          <w:highlight w:val="none"/>
          <w:lang w:val="en-US" w:eastAsia="zh-CN"/>
        </w:rPr>
        <w:t xml:space="preserve">。</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验收提交的材料包括但不限于如下内容：</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1）验收报告</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2）合同资料</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3）变更资料（如有）</w:t>
      </w:r>
      <w:r>
        <w:rPr>
          <w:rFonts w:ascii="宋体" w:hAnsi="宋体" w:eastAsia="宋体" w:cs="宋体"/>
          <w:b w:val="0"/>
          <w:bCs w:val="0"/>
          <w:color w:val="000000"/>
          <w:sz w:val="24"/>
          <w:lang w:val="en-US" w:eastAsia="zh-CN"/>
        </w:rPr>
      </w:r>
      <w:r/>
    </w:p>
    <w:p>
      <w:pPr>
        <w:pStyle w:val="1053"/>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lang w:val="en-US" w:eastAsia="zh-CN"/>
        </w:rPr>
        <w:t xml:space="preserve">4）定制开发系统相关资料：需求说明书、数据库设计规范、测试报告、用户使用手册、用户培训计划等</w:t>
      </w:r>
      <w:r>
        <w:rPr>
          <w:rFonts w:hint="eastAsia" w:ascii="宋体" w:hAnsi="宋体" w:eastAsia="宋体" w:cs="宋体"/>
          <w:b w:val="0"/>
          <w:bCs w:val="0"/>
          <w:color w:val="000000"/>
          <w:sz w:val="24"/>
          <w:lang w:val="en-US" w:eastAsia="zh-CN"/>
        </w:rPr>
        <w:t xml:space="preserve">。</w:t>
      </w:r>
      <w:r>
        <w:rPr>
          <w:rFonts w:ascii="宋体" w:hAnsi="宋体" w:eastAsia="宋体" w:cs="宋体"/>
          <w:b w:val="0"/>
          <w:bCs w:val="0"/>
          <w:color w:val="000000"/>
          <w:sz w:val="24"/>
          <w:lang w:val="en-US" w:eastAsia="zh-CN"/>
        </w:rPr>
      </w:r>
      <w:r/>
    </w:p>
    <w:p>
      <w:pPr>
        <w:pStyle w:val="1053"/>
        <w:ind w:left="0" w:right="0" w:firstLine="482"/>
        <w:jc w:val="left"/>
        <w:keepLines w:val="0"/>
        <w:keepNext w:val="0"/>
        <w:pageBreakBefore w:val="0"/>
        <w:spacing w:before="0" w:beforeAutospacing="0" w:after="0" w:afterAutospacing="0" w:line="360" w:lineRule="auto"/>
        <w:widowControl/>
        <w:rPr>
          <w:rFonts w:ascii="宋体" w:hAnsi="宋体" w:eastAsia="宋体" w:cs="宋体"/>
          <w:bCs/>
          <w:sz w:val="24"/>
          <w:szCs w:val="20"/>
          <w:lang w:val="en-US" w:eastAsia="zh-CN" w:bidi="ar-SA"/>
        </w:rPr>
        <w:suppressLineNumbers w:val="0"/>
      </w:pPr>
      <w:r>
        <w:rPr>
          <w:rFonts w:hint="eastAsia" w:ascii="宋体" w:hAnsi="宋体" w:eastAsia="宋体" w:cs="宋体"/>
          <w:b/>
          <w:bCs/>
          <w:sz w:val="24"/>
          <w:szCs w:val="24"/>
          <w:highlight w:val="none"/>
          <w:lang w:val="en-US" w:eastAsia="zh-CN" w:bidi="ar"/>
        </w:rPr>
        <w:t xml:space="preserve">六、保修条款、售后服务</w:t>
      </w:r>
      <w:r>
        <w:rPr>
          <w:rFonts w:ascii="宋体" w:hAnsi="宋体" w:eastAsia="宋体" w:cs="宋体"/>
          <w:bCs/>
          <w:sz w:val="24"/>
          <w:szCs w:val="20"/>
          <w:lang w:val="en-US" w:eastAsia="zh-CN" w:bidi="ar-SA"/>
        </w:rPr>
      </w:r>
      <w:r/>
    </w:p>
    <w:p>
      <w:pPr>
        <w:pStyle w:val="1053"/>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1. 乙方所供设备硬件质保期为36个月，自安装、调试结束并经验收合格之日起计算</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乙方</w:t>
      </w:r>
      <w:r>
        <w:rPr>
          <w:rFonts w:hint="eastAsia" w:ascii="宋体" w:hAnsi="宋体" w:eastAsia="宋体" w:cs="宋体"/>
          <w:bCs/>
          <w:sz w:val="24"/>
        </w:rPr>
        <w:t xml:space="preserve">在承诺的保修期内，若发生质量问题，将免费负责更换或维修（同一产品、同一质量问题连续两次维修仍无法正常使用的，乙方必须更换相同型号产品或相同功能的替代品）。</w:t>
      </w:r>
      <w:r>
        <w:rPr>
          <w:rFonts w:hint="eastAsia" w:ascii="宋体" w:hAnsi="宋体" w:eastAsia="宋体" w:cs="宋体"/>
          <w:sz w:val="24"/>
          <w:szCs w:val="24"/>
          <w:highlight w:val="none"/>
          <w:lang w:val="en-US" w:eastAsia="zh-CN" w:bidi="ar"/>
        </w:rPr>
        <w:t xml:space="preserve">如维修响应不能达到甲方要求，甲方有权自行进行维修处理，凭票从合同价款中扣除相关费用，并追究相关违约责任。</w:t>
      </w:r>
      <w:r>
        <w:rPr>
          <w:rFonts w:hint="eastAsia" w:ascii="宋体" w:hAnsi="宋体" w:eastAsia="宋体" w:cs="宋体"/>
          <w:bCs/>
          <w:sz w:val="24"/>
        </w:rPr>
      </w:r>
      <w:r/>
    </w:p>
    <w:p>
      <w:pPr>
        <w:pStyle w:val="1053"/>
        <w:ind w:firstLine="480"/>
        <w:jc w:val="left"/>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2.质保（维保）期内，乙方应按以下方式提供免费服务：</w:t>
      </w:r>
      <w:r>
        <w:rPr>
          <w:rFonts w:hint="eastAsia" w:ascii="宋体" w:hAnsi="宋体" w:eastAsia="宋体" w:cs="宋体"/>
          <w:bCs/>
          <w:sz w:val="24"/>
          <w:lang w:val="en-US" w:eastAsia="zh-CN"/>
        </w:rPr>
      </w:r>
      <w:r/>
    </w:p>
    <w:p>
      <w:pPr>
        <w:pStyle w:val="1053"/>
        <w:ind w:firstLine="480"/>
        <w:jc w:val="left"/>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现场服务：当系统提供的业务中断、业务问题或功能提升复杂等级高且远程登录无法解决问题时，乙方须按照招标文件的规定派遣工程师赴现场解决问题，确保甲方平台及系统在规定时限内恢复正常运行。</w:t>
      </w:r>
      <w:r>
        <w:rPr>
          <w:rFonts w:hint="eastAsia" w:ascii="宋体" w:hAnsi="宋体" w:eastAsia="宋体" w:cs="宋体"/>
          <w:bCs/>
          <w:sz w:val="24"/>
          <w:lang w:val="en-US" w:eastAsia="zh-CN"/>
        </w:rPr>
      </w:r>
      <w:r/>
    </w:p>
    <w:p>
      <w:pPr>
        <w:pStyle w:val="1053"/>
        <w:ind w:firstLine="480"/>
        <w:jc w:val="left"/>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远程登录：当系统提供的业务中断、业务问题或功能提升复杂等级高时，需要提供远端登录支持。</w:t>
      </w:r>
      <w:r>
        <w:rPr>
          <w:rFonts w:hint="eastAsia" w:ascii="宋体" w:hAnsi="宋体" w:eastAsia="宋体" w:cs="宋体"/>
          <w:bCs/>
          <w:sz w:val="24"/>
          <w:lang w:val="en-US" w:eastAsia="zh-CN"/>
        </w:rPr>
      </w:r>
      <w:r/>
    </w:p>
    <w:p>
      <w:pPr>
        <w:pStyle w:val="1053"/>
        <w:numPr>
          <w:ilvl w:val="0"/>
          <w:numId w:val="0"/>
        </w:numPr>
        <w:ind w:firstLine="480"/>
        <w:jc w:val="left"/>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szCs w:val="24"/>
          <w:lang w:val="en-US" w:eastAsia="zh-CN" w:bidi="ar-SA"/>
        </w:rPr>
        <w:t xml:space="preserve">3.</w:t>
      </w:r>
      <w:r>
        <w:rPr>
          <w:rFonts w:hint="eastAsia" w:ascii="宋体" w:hAnsi="宋体" w:eastAsia="宋体" w:cs="宋体"/>
          <w:bCs/>
          <w:sz w:val="24"/>
          <w:lang w:val="en-US" w:eastAsia="zh-CN"/>
        </w:rPr>
        <w:t xml:space="preserve">乙方应配备充足的技术人员、工具和备件并保证提供的联系方式畅通。甲方在向乙方发出维修通知后，乙方应在2小时内响应、4小时内维修人员到达现场处理，并于到达现场后3日内解决设备及软件平台故障。项目竣工验收合格后，提供运维保障服务，详见运维服务绩效考核实施细则内容。</w:t>
      </w:r>
      <w:r>
        <w:rPr>
          <w:rFonts w:hint="eastAsia" w:ascii="宋体" w:hAnsi="宋体" w:eastAsia="宋体" w:cs="宋体"/>
          <w:bCs/>
          <w:sz w:val="24"/>
          <w:lang w:val="en-US" w:eastAsia="zh-CN"/>
        </w:rPr>
      </w:r>
      <w:r/>
    </w:p>
    <w:p>
      <w:pPr>
        <w:pStyle w:val="1053"/>
        <w:numPr>
          <w:ilvl w:val="0"/>
          <w:numId w:val="0"/>
        </w:numPr>
        <w:ind w:firstLine="480"/>
        <w:jc w:val="left"/>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4.系统正常运行后，由于乙方对系统软件进行版本升级，乙方应向甲方提供免费升级服务。</w:t>
      </w:r>
      <w:r>
        <w:rPr>
          <w:rFonts w:hint="eastAsia" w:ascii="宋体" w:hAnsi="宋体" w:eastAsia="宋体" w:cs="宋体"/>
          <w:bCs/>
          <w:sz w:val="24"/>
          <w:lang w:val="en-US" w:eastAsia="zh-CN"/>
        </w:rPr>
      </w:r>
      <w:r/>
    </w:p>
    <w:p>
      <w:pPr>
        <w:pStyle w:val="1053"/>
        <w:ind w:firstLine="480"/>
        <w:jc w:val="left"/>
        <w:keepLines w:val="0"/>
        <w:keepNext w:val="0"/>
        <w:pageBreakBefore w:val="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提供完整</w:t>
      </w:r>
      <w:r>
        <w:rPr>
          <w:rFonts w:hint="eastAsia" w:ascii="宋体" w:hAnsi="宋体" w:eastAsia="宋体" w:cs="宋体"/>
          <w:bCs/>
          <w:sz w:val="24"/>
          <w:highlight w:val="none"/>
          <w:lang w:val="en-US" w:eastAsia="zh-CN"/>
        </w:rPr>
        <w:t xml:space="preserve">免费</w:t>
      </w:r>
      <w:r>
        <w:rPr>
          <w:rFonts w:hint="eastAsia" w:ascii="宋体" w:hAnsi="宋体" w:eastAsia="宋体" w:cs="宋体"/>
          <w:bCs/>
          <w:sz w:val="24"/>
          <w:highlight w:val="none"/>
        </w:rPr>
        <w:t xml:space="preserve">的培训计划，为</w:t>
      </w:r>
      <w:r>
        <w:rPr>
          <w:rFonts w:hint="eastAsia" w:ascii="宋体" w:hAnsi="宋体" w:eastAsia="宋体" w:cs="宋体"/>
          <w:bCs/>
          <w:sz w:val="24"/>
          <w:highlight w:val="none"/>
          <w:lang w:val="en-US" w:eastAsia="zh-CN"/>
        </w:rPr>
        <w:t xml:space="preserve">甲方</w:t>
      </w:r>
      <w:r>
        <w:rPr>
          <w:rFonts w:hint="eastAsia" w:ascii="宋体" w:hAnsi="宋体" w:eastAsia="宋体" w:cs="宋体"/>
          <w:bCs/>
          <w:sz w:val="24"/>
          <w:highlight w:val="none"/>
        </w:rPr>
        <w:t xml:space="preserve">培训系统维护、操作人员，直至能独立操作设备。</w:t>
      </w:r>
      <w:r>
        <w:rPr>
          <w:rFonts w:hint="eastAsia" w:ascii="宋体" w:hAnsi="宋体" w:eastAsia="宋体" w:cs="宋体"/>
          <w:bCs/>
          <w:sz w:val="24"/>
          <w:highlight w:val="none"/>
        </w:rPr>
      </w:r>
      <w:r/>
    </w:p>
    <w:p>
      <w:pPr>
        <w:pStyle w:val="1053"/>
        <w:ind w:firstLine="480"/>
        <w:jc w:val="left"/>
        <w:keepLines w:val="0"/>
        <w:keepNext w:val="0"/>
        <w:pageBreakBefore w:val="0"/>
        <w:spacing w:line="360" w:lineRule="auto"/>
        <w:widowControl/>
        <w:rPr>
          <w:rFonts w:hint="eastAsia"/>
        </w:rPr>
      </w:pP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在保修期外，</w:t>
      </w:r>
      <w:r>
        <w:rPr>
          <w:rFonts w:hint="eastAsia" w:ascii="宋体" w:hAnsi="宋体" w:eastAsia="宋体" w:cs="宋体"/>
          <w:bCs/>
          <w:sz w:val="24"/>
          <w:lang w:val="en-US" w:eastAsia="zh-CN"/>
        </w:rPr>
        <w:t xml:space="preserve">乙方</w:t>
      </w:r>
      <w:r>
        <w:rPr>
          <w:rFonts w:hint="eastAsia" w:ascii="宋体" w:hAnsi="宋体" w:eastAsia="宋体" w:cs="宋体"/>
          <w:bCs/>
          <w:sz w:val="24"/>
        </w:rPr>
        <w:t xml:space="preserve">以最优惠的价格提供更换、维修</w:t>
      </w:r>
      <w:r>
        <w:rPr>
          <w:rFonts w:hint="eastAsia" w:ascii="宋体" w:hAnsi="宋体" w:eastAsia="宋体" w:cs="宋体"/>
          <w:bCs/>
          <w:sz w:val="24"/>
          <w:lang w:val="en-US" w:eastAsia="zh-CN"/>
        </w:rPr>
        <w:t xml:space="preserve">服务</w:t>
      </w:r>
      <w:r>
        <w:rPr>
          <w:rFonts w:hint="eastAsia" w:ascii="宋体" w:hAnsi="宋体" w:eastAsia="宋体" w:cs="宋体"/>
          <w:bCs/>
          <w:sz w:val="24"/>
        </w:rPr>
        <w:t xml:space="preserve">。</w:t>
      </w:r>
      <w:r>
        <w:rPr>
          <w:rFonts w:hint="eastAsia"/>
        </w:rPr>
      </w:r>
      <w:r/>
    </w:p>
    <w:p>
      <w:pPr>
        <w:pStyle w:val="1053"/>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七、相关权利及义务</w:t>
      </w:r>
      <w:r>
        <w:rPr>
          <w:rFonts w:hint="eastAsia" w:ascii="宋体" w:hAnsi="宋体" w:eastAsia="宋体" w:cs="宋体"/>
          <w:b/>
          <w:bCs/>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 甲方在验收时对不符合招标文件要求的产品有权拒绝接收和追究违约责任。</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 甲方有权监督乙方的售后服务，并对乙方的售后服务不符合投标文件承诺内容时加以指出乃至追究合同责任。</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 甲方在合同规定期限内协助履行付款责任。</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 甲方对乙方的技术及商业机密予以保密。</w:t>
      </w:r>
      <w:r>
        <w:rPr>
          <w:rFonts w:hint="eastAsia" w:ascii="宋体" w:hAnsi="宋体" w:eastAsia="宋体" w:cs="宋体"/>
          <w:sz w:val="24"/>
          <w:szCs w:val="24"/>
          <w:highlight w:val="none"/>
          <w:lang w:val="en-US" w:eastAsia="zh-CN" w:bidi="ar"/>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在未验收前，</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自行负责保管好其</w:t>
      </w: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rPr>
        <w:t xml:space="preserve">，直至验收合格，期间的丢失、被盗、损坏及与其它纠纷等事项由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负责，</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出现的事故与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无关。</w:t>
      </w:r>
      <w:r>
        <w:rPr>
          <w:rFonts w:hint="eastAsia" w:ascii="宋体" w:hAnsi="宋体" w:eastAsia="宋体" w:cs="宋体"/>
          <w:sz w:val="24"/>
          <w:szCs w:val="24"/>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6.乙方有义务按投标文件中的售后服务承诺提供良好的服务。</w:t>
      </w:r>
      <w:r>
        <w:rPr>
          <w:rFonts w:hint="eastAsia" w:ascii="宋体" w:hAnsi="宋体" w:eastAsia="宋体" w:cs="宋体"/>
          <w:sz w:val="24"/>
          <w:szCs w:val="24"/>
          <w:highlight w:val="none"/>
          <w:lang w:val="en-US" w:eastAsia="zh-CN" w:bidi="ar"/>
        </w:rPr>
      </w:r>
      <w:r/>
    </w:p>
    <w:p>
      <w:pPr>
        <w:pStyle w:val="1053"/>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八、违约责任</w:t>
      </w:r>
      <w:r>
        <w:rPr>
          <w:rFonts w:hint="eastAsia" w:ascii="宋体" w:hAnsi="宋体" w:eastAsia="宋体" w:cs="宋体"/>
          <w:b/>
          <w:bCs/>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甲乙双方均应遵守本合同，如有违约，将赔偿因违约给对方造成的经济损失，并向对方支付本合同总额5%的违约金。若因乙方原因在合同规定期限内无法交付，甲方有权终止合同，或经甲、乙双方协商同意继续履行合同，甲方还将视情况在延迟交货期内每天按合同总额的3‰从待付合同价款中扣除违约金。因不可抗拒力所导致的交货及付款延迟等按照相关法律规定及本合同第九条处理。</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w:t>
      </w:r>
      <w:r>
        <w:rPr>
          <w:rFonts w:hint="eastAsia" w:ascii="宋体" w:hAnsi="宋体" w:eastAsia="宋体" w:cs="宋体"/>
          <w:bCs/>
          <w:sz w:val="24"/>
          <w:szCs w:val="24"/>
          <w:highlight w:val="none"/>
          <w:lang w:val="en-US" w:eastAsia="zh-CN" w:bidi="ar"/>
        </w:rPr>
        <w:t xml:space="preserve">所供设备品牌必须符合甲方要求，如货物在送达甲方现场后，被检查出存在假冒伪劣、贴牌等情况，甲方有权拒绝接收，并按该货物的投标价格的双倍对乙方的违约行为实施罚款，罚款将从待付合同价款中扣除，乙方必须按甲方要求整改供货，且甲方有根据乙方的整改情况采取进一步处罚的权力。</w:t>
      </w:r>
      <w:r>
        <w:rPr>
          <w:rFonts w:hint="eastAsia" w:ascii="宋体" w:hAnsi="宋体" w:eastAsia="宋体" w:cs="宋体"/>
          <w:sz w:val="24"/>
          <w:szCs w:val="24"/>
          <w:highlight w:val="none"/>
        </w:rPr>
      </w:r>
      <w:r/>
    </w:p>
    <w:p>
      <w:pPr>
        <w:pStyle w:val="1053"/>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九、不可抗力</w:t>
      </w:r>
      <w:r>
        <w:rPr>
          <w:rFonts w:hint="eastAsia" w:ascii="宋体" w:hAnsi="宋体" w:eastAsia="宋体" w:cs="宋体"/>
          <w:b/>
          <w:bCs/>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甲方由于不可抗力的原因不能履行合同时，应及时向乙方通报不能履行或不能完全履行的理由；乙方由于不可抗力的原因不能履行合同时，应在交货时间到期以前及时向甲方通报不能履行或不能完全履行的理由；在取得有关主管机关证明以后，可以签订延期履行、部分履行补充合同或者不履行合同，并根据情况可部分或全部免予承担违约责任。</w:t>
      </w:r>
      <w:r>
        <w:rPr>
          <w:rFonts w:hint="eastAsia" w:ascii="宋体" w:hAnsi="宋体" w:eastAsia="宋体" w:cs="宋体"/>
          <w:sz w:val="24"/>
          <w:szCs w:val="24"/>
          <w:highlight w:val="none"/>
        </w:rPr>
      </w:r>
      <w:r/>
    </w:p>
    <w:p>
      <w:pPr>
        <w:pStyle w:val="1053"/>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十、争议</w:t>
      </w:r>
      <w:r>
        <w:rPr>
          <w:rFonts w:hint="eastAsia" w:ascii="宋体" w:hAnsi="宋体" w:eastAsia="宋体" w:cs="宋体"/>
          <w:b/>
          <w:bCs/>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双方本着友好合作的态度，对合同履行过程中发生的违约行为进行及时的协商解决，如不能协商解决可向溧阳市人民法院通过法律诉讼解决。</w:t>
      </w:r>
      <w:r>
        <w:rPr>
          <w:rFonts w:hint="eastAsia" w:ascii="宋体" w:hAnsi="宋体" w:eastAsia="宋体" w:cs="宋体"/>
          <w:sz w:val="24"/>
          <w:szCs w:val="24"/>
          <w:highlight w:val="none"/>
        </w:rPr>
      </w:r>
      <w:r/>
    </w:p>
    <w:p>
      <w:pPr>
        <w:pStyle w:val="1053"/>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 十一、生效和其他</w:t>
      </w:r>
      <w:r>
        <w:rPr>
          <w:rFonts w:hint="eastAsia" w:ascii="宋体" w:hAnsi="宋体" w:eastAsia="宋体" w:cs="宋体"/>
          <w:b/>
          <w:bCs w:val="0"/>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1.本合同经双方签署生效。</w:t>
      </w:r>
      <w:r>
        <w:rPr>
          <w:rFonts w:hint="eastAsia" w:ascii="宋体" w:hAnsi="宋体" w:eastAsia="宋体" w:cs="宋体"/>
          <w:sz w:val="24"/>
          <w:szCs w:val="24"/>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4"/>
          <w:szCs w:val="24"/>
          <w:highlight w:val="none"/>
          <w:lang w:val="en-US" w:eastAsia="zh-CN" w:bidi="ar"/>
        </w:rPr>
        <w:t xml:space="preserve">2.本合同一式   份，甲方持有   份，乙方持有   份。</w:t>
      </w:r>
      <w:r>
        <w:rPr>
          <w:rFonts w:hint="eastAsia" w:ascii="宋体" w:hAnsi="宋体" w:eastAsia="宋体" w:cs="宋体"/>
          <w:sz w:val="21"/>
          <w:szCs w:val="21"/>
          <w:highlight w:val="none"/>
        </w:rPr>
      </w:r>
      <w:r/>
    </w:p>
    <w:p>
      <w:pPr>
        <w:pStyle w:val="105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附件一：乙方报价清单</w:t>
      </w:r>
      <w:r>
        <w:rPr>
          <w:rFonts w:hint="eastAsia" w:ascii="宋体" w:hAnsi="宋体" w:eastAsia="宋体" w:cs="宋体"/>
          <w:bCs/>
          <w:sz w:val="24"/>
          <w:szCs w:val="24"/>
          <w:highlight w:val="none"/>
          <w:lang w:val="en-US" w:eastAsia="zh-CN" w:bidi="ar"/>
        </w:rPr>
      </w:r>
      <w:r/>
    </w:p>
    <w:p>
      <w:pPr>
        <w:pStyle w:val="1053"/>
        <w:ind w:left="0" w:right="0" w:firstLine="480"/>
        <w:jc w:val="left"/>
        <w:keepLines w:val="0"/>
        <w:keepNext w:val="0"/>
        <w:pageBreakBefore w:val="0"/>
        <w:spacing w:before="0" w:beforeAutospacing="0" w:after="0" w:afterAutospacing="0" w:line="360" w:lineRule="auto"/>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附件二：运维服务绩效考核实施细则</w:t>
      </w:r>
      <w:r>
        <w:rPr>
          <w:rFonts w:hint="eastAsia" w:ascii="宋体" w:hAnsi="宋体" w:eastAsia="宋体" w:cs="宋体"/>
          <w:b w:val="0"/>
          <w:bCs w:val="0"/>
          <w:color w:val="000000"/>
          <w:sz w:val="24"/>
          <w:highlight w:val="none"/>
          <w:lang w:val="en-US" w:eastAsia="zh-CN"/>
        </w:rPr>
        <w:t xml:space="preserve">。</w:t>
      </w:r>
      <w:r>
        <w:rPr>
          <w:rFonts w:ascii="宋体" w:hAnsi="宋体" w:eastAsia="宋体" w:cs="宋体"/>
          <w:bCs/>
          <w:sz w:val="24"/>
          <w:szCs w:val="24"/>
          <w:highlight w:val="none"/>
          <w:lang w:val="en-US" w:eastAsia="zh-CN" w:bidi="ar"/>
        </w:rPr>
      </w:r>
      <w:r/>
    </w:p>
    <w:p>
      <w:pPr>
        <w:pStyle w:val="1053"/>
        <w:jc w:val="center"/>
        <w:spacing w:line="360" w:lineRule="auto"/>
        <w:rPr>
          <w:b/>
          <w:sz w:val="36"/>
          <w:szCs w:val="36"/>
        </w:rPr>
        <w:outlineLvl w:val="0"/>
      </w:pPr>
      <w:r>
        <w:rPr>
          <w:b/>
          <w:sz w:val="36"/>
          <w:szCs w:val="36"/>
        </w:rPr>
      </w:r>
      <w:r/>
    </w:p>
    <w:tbl>
      <w:tblPr>
        <w:tblStyle w:val="11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4644"/>
        <w:gridCol w:w="4644"/>
      </w:tblGrid>
      <w:tr>
        <w:trPr>
          <w:trHeight w:val="850"/>
        </w:trPr>
        <w:tc>
          <w:tcPr>
            <w:tcW w:w="4644" w:type="dxa"/>
            <w:vAlign w:val="center"/>
            <w:textDirection w:val="lrTb"/>
            <w:noWrap w:val="false"/>
          </w:tcPr>
          <w:p>
            <w:pPr>
              <w:pStyle w:val="1053"/>
              <w:jc w:val="both"/>
              <w:spacing w:line="360" w:lineRule="auto"/>
              <w:rPr>
                <w:b/>
                <w:sz w:val="36"/>
                <w:szCs w:val="36"/>
                <w:vertAlign w:val="baseline"/>
              </w:rPr>
              <w:outlineLvl w:val="0"/>
            </w:pPr>
            <w:r/>
            <w:bookmarkStart w:id="813" w:name="_Toc99301426"/>
            <w:r>
              <w:rPr>
                <w:rFonts w:hint="eastAsia" w:ascii="宋体" w:hAnsi="宋体" w:eastAsia="宋体" w:cs="宋体"/>
                <w:bCs/>
                <w:sz w:val="24"/>
                <w:szCs w:val="24"/>
                <w:highlight w:val="none"/>
                <w:lang w:val="en-US" w:eastAsia="zh-CN" w:bidi="ar"/>
              </w:rPr>
              <w:t xml:space="preserve">单位名称（公章）：</w:t>
            </w:r>
            <w:r>
              <w:rPr>
                <w:b/>
                <w:sz w:val="36"/>
                <w:szCs w:val="36"/>
                <w:vertAlign w:val="baseline"/>
              </w:rPr>
            </w:r>
            <w:r/>
          </w:p>
        </w:tc>
        <w:tc>
          <w:tcPr>
            <w:tcW w:w="4644" w:type="dxa"/>
            <w:vAlign w:val="center"/>
            <w:textDirection w:val="lrTb"/>
            <w:noWrap w:val="false"/>
          </w:tcPr>
          <w:p>
            <w:pPr>
              <w:pStyle w:val="1053"/>
              <w:jc w:val="both"/>
              <w:spacing w:line="360" w:lineRule="auto"/>
              <w:rPr>
                <w:b/>
                <w:sz w:val="36"/>
                <w:szCs w:val="36"/>
                <w:vertAlign w:val="baseline"/>
              </w:rPr>
              <w:outlineLvl w:val="0"/>
            </w:pPr>
            <w:r>
              <w:rPr>
                <w:rFonts w:hint="eastAsia" w:ascii="宋体" w:hAnsi="宋体" w:eastAsia="宋体" w:cs="宋体"/>
                <w:bCs/>
                <w:sz w:val="24"/>
                <w:szCs w:val="24"/>
                <w:highlight w:val="none"/>
                <w:lang w:val="en-US" w:eastAsia="zh-CN" w:bidi="ar"/>
              </w:rPr>
              <w:t xml:space="preserve">单位名称（公章）：</w:t>
            </w:r>
            <w:r>
              <w:rPr>
                <w:b/>
                <w:sz w:val="36"/>
                <w:szCs w:val="36"/>
                <w:vertAlign w:val="baseline"/>
              </w:rPr>
            </w:r>
            <w:r/>
          </w:p>
        </w:tc>
      </w:tr>
      <w:tr>
        <w:trPr>
          <w:trHeight w:val="850"/>
        </w:trPr>
        <w:tc>
          <w:tcPr>
            <w:tcW w:w="4644" w:type="dxa"/>
            <w:vAlign w:val="center"/>
            <w:textDirection w:val="lrTb"/>
            <w:noWrap w:val="false"/>
          </w:tcPr>
          <w:p>
            <w:pPr>
              <w:pStyle w:val="1053"/>
              <w:jc w:val="both"/>
              <w:spacing w:line="360" w:lineRule="auto"/>
              <w:rPr>
                <w:rFonts w:hint="eastAsia" w:ascii="宋体" w:hAnsi="宋体" w:eastAsia="宋体" w:cs="宋体"/>
                <w:bCs/>
                <w:sz w:val="24"/>
                <w:szCs w:val="24"/>
                <w:highlight w:val="none"/>
                <w:lang w:val="en-US" w:eastAsia="zh-CN" w:bidi="ar"/>
              </w:rPr>
              <w:outlineLvl w:val="0"/>
            </w:pPr>
            <w:r>
              <w:rPr>
                <w:rFonts w:hint="eastAsia" w:ascii="宋体" w:hAnsi="宋体" w:eastAsia="宋体" w:cs="宋体"/>
                <w:bCs/>
                <w:sz w:val="24"/>
                <w:szCs w:val="24"/>
                <w:highlight w:val="none"/>
                <w:lang w:val="en-US" w:eastAsia="zh-CN" w:bidi="ar"/>
              </w:rPr>
              <w:t xml:space="preserve">法定代表人或</w:t>
            </w:r>
            <w:r>
              <w:rPr>
                <w:rFonts w:hint="eastAsia" w:ascii="宋体" w:hAnsi="宋体" w:eastAsia="宋体" w:cs="宋体"/>
                <w:bCs/>
                <w:sz w:val="24"/>
                <w:szCs w:val="24"/>
                <w:highlight w:val="none"/>
                <w:lang w:val="en-US" w:eastAsia="zh-CN" w:bidi="ar"/>
              </w:rPr>
            </w:r>
            <w:r/>
          </w:p>
          <w:p>
            <w:pPr>
              <w:pStyle w:val="1053"/>
              <w:jc w:val="both"/>
              <w:spacing w:line="360" w:lineRule="auto"/>
              <w:rPr>
                <w:rFonts w:hint="eastAsia" w:ascii="宋体" w:hAnsi="宋体" w:eastAsia="宋体" w:cs="宋体"/>
                <w:bCs/>
                <w:sz w:val="24"/>
                <w:szCs w:val="24"/>
                <w:highlight w:val="none"/>
                <w:lang w:val="en-US" w:eastAsia="zh-CN" w:bidi="ar"/>
              </w:rPr>
              <w:outlineLvl w:val="0"/>
            </w:pPr>
            <w:r>
              <w:rPr>
                <w:rFonts w:hint="eastAsia" w:ascii="宋体" w:hAnsi="宋体" w:eastAsia="宋体" w:cs="宋体"/>
                <w:bCs/>
                <w:sz w:val="24"/>
                <w:szCs w:val="24"/>
                <w:highlight w:val="none"/>
                <w:lang w:val="en-US" w:eastAsia="zh-CN" w:bidi="ar"/>
              </w:rPr>
              <w:t xml:space="preserve">委托代理人：</w:t>
            </w:r>
            <w:r>
              <w:rPr>
                <w:rFonts w:hint="eastAsia" w:ascii="宋体" w:hAnsi="宋体" w:eastAsia="宋体" w:cs="宋体"/>
                <w:bCs/>
                <w:sz w:val="24"/>
                <w:szCs w:val="24"/>
                <w:highlight w:val="none"/>
                <w:lang w:val="en-US" w:eastAsia="zh-CN" w:bidi="ar"/>
              </w:rPr>
            </w:r>
            <w:r/>
          </w:p>
        </w:tc>
        <w:tc>
          <w:tcPr>
            <w:tcW w:w="4644" w:type="dxa"/>
            <w:vAlign w:val="center"/>
            <w:textDirection w:val="lrTb"/>
            <w:noWrap w:val="false"/>
          </w:tcPr>
          <w:p>
            <w:pPr>
              <w:pStyle w:val="1053"/>
              <w:jc w:val="both"/>
              <w:spacing w:line="360" w:lineRule="auto"/>
              <w:rPr>
                <w:rFonts w:hint="eastAsia" w:ascii="宋体" w:hAnsi="宋体" w:eastAsia="宋体" w:cs="宋体"/>
                <w:bCs/>
                <w:sz w:val="24"/>
                <w:szCs w:val="24"/>
                <w:highlight w:val="none"/>
                <w:lang w:val="en-US" w:eastAsia="zh-CN" w:bidi="ar"/>
              </w:rPr>
              <w:outlineLvl w:val="0"/>
            </w:pPr>
            <w:r>
              <w:rPr>
                <w:rFonts w:hint="eastAsia" w:ascii="宋体" w:hAnsi="宋体" w:eastAsia="宋体" w:cs="宋体"/>
                <w:bCs/>
                <w:sz w:val="24"/>
                <w:szCs w:val="24"/>
                <w:highlight w:val="none"/>
                <w:lang w:val="en-US" w:eastAsia="zh-CN" w:bidi="ar"/>
              </w:rPr>
              <w:t xml:space="preserve">法定代表人或</w:t>
            </w:r>
            <w:r>
              <w:rPr>
                <w:rFonts w:hint="eastAsia" w:ascii="宋体" w:hAnsi="宋体" w:eastAsia="宋体" w:cs="宋体"/>
                <w:bCs/>
                <w:sz w:val="24"/>
                <w:szCs w:val="24"/>
                <w:highlight w:val="none"/>
                <w:lang w:val="en-US" w:eastAsia="zh-CN" w:bidi="ar"/>
              </w:rPr>
            </w:r>
            <w:r/>
          </w:p>
          <w:p>
            <w:pPr>
              <w:pStyle w:val="1053"/>
              <w:jc w:val="both"/>
              <w:spacing w:line="360" w:lineRule="auto"/>
              <w:rPr>
                <w:b/>
                <w:sz w:val="36"/>
                <w:szCs w:val="36"/>
                <w:vertAlign w:val="baseline"/>
              </w:rPr>
              <w:outlineLvl w:val="0"/>
            </w:pPr>
            <w:r>
              <w:rPr>
                <w:rFonts w:hint="eastAsia" w:ascii="宋体" w:hAnsi="宋体" w:eastAsia="宋体" w:cs="宋体"/>
                <w:bCs/>
                <w:sz w:val="24"/>
                <w:szCs w:val="24"/>
                <w:highlight w:val="none"/>
                <w:lang w:val="en-US" w:eastAsia="zh-CN" w:bidi="ar"/>
              </w:rPr>
              <w:t xml:space="preserve">委托代理人：</w:t>
            </w:r>
            <w:r>
              <w:rPr>
                <w:b/>
                <w:sz w:val="36"/>
                <w:szCs w:val="36"/>
                <w:vertAlign w:val="baseline"/>
              </w:rPr>
            </w:r>
            <w:r/>
          </w:p>
        </w:tc>
      </w:tr>
      <w:tr>
        <w:trPr>
          <w:trHeight w:val="850"/>
        </w:trPr>
        <w:tc>
          <w:tcPr>
            <w:tcW w:w="4644" w:type="dxa"/>
            <w:vAlign w:val="center"/>
            <w:textDirection w:val="lrTb"/>
            <w:noWrap w:val="false"/>
          </w:tcPr>
          <w:p>
            <w:pPr>
              <w:pStyle w:val="1053"/>
              <w:jc w:val="both"/>
              <w:spacing w:line="360" w:lineRule="auto"/>
              <w:rPr>
                <w:b/>
                <w:sz w:val="36"/>
                <w:szCs w:val="36"/>
                <w:vertAlign w:val="baseline"/>
              </w:rPr>
              <w:outlineLvl w:val="0"/>
            </w:pPr>
            <w:r>
              <w:rPr>
                <w:rFonts w:hint="eastAsia" w:ascii="宋体" w:hAnsi="宋体" w:eastAsia="宋体" w:cs="宋体"/>
                <w:sz w:val="24"/>
                <w:szCs w:val="24"/>
                <w:highlight w:val="none"/>
                <w:lang w:val="en-US" w:eastAsia="zh-CN" w:bidi="ar"/>
              </w:rPr>
              <w:t xml:space="preserve">电话（传真）：</w:t>
            </w:r>
            <w:r>
              <w:rPr>
                <w:b/>
                <w:sz w:val="36"/>
                <w:szCs w:val="36"/>
                <w:vertAlign w:val="baseline"/>
              </w:rPr>
            </w:r>
            <w:r/>
          </w:p>
        </w:tc>
        <w:tc>
          <w:tcPr>
            <w:tcW w:w="4644" w:type="dxa"/>
            <w:vAlign w:val="center"/>
            <w:textDirection w:val="lrTb"/>
            <w:noWrap w:val="false"/>
          </w:tcPr>
          <w:p>
            <w:pPr>
              <w:pStyle w:val="1053"/>
              <w:jc w:val="both"/>
              <w:spacing w:line="360" w:lineRule="auto"/>
              <w:rPr>
                <w:b/>
                <w:sz w:val="36"/>
                <w:szCs w:val="36"/>
                <w:vertAlign w:val="baseline"/>
              </w:rPr>
              <w:outlineLvl w:val="0"/>
            </w:pPr>
            <w:r>
              <w:rPr>
                <w:rFonts w:hint="eastAsia" w:ascii="宋体" w:hAnsi="宋体" w:eastAsia="宋体" w:cs="宋体"/>
                <w:sz w:val="24"/>
                <w:szCs w:val="24"/>
                <w:highlight w:val="none"/>
                <w:lang w:val="en-US" w:eastAsia="zh-CN" w:bidi="ar"/>
              </w:rPr>
              <w:t xml:space="preserve">电话（传真）：</w:t>
            </w:r>
            <w:r>
              <w:rPr>
                <w:b/>
                <w:sz w:val="36"/>
                <w:szCs w:val="36"/>
                <w:vertAlign w:val="baseline"/>
              </w:rPr>
            </w:r>
            <w:r/>
          </w:p>
        </w:tc>
      </w:tr>
      <w:tr>
        <w:trPr>
          <w:trHeight w:val="850"/>
        </w:trPr>
        <w:tc>
          <w:tcPr>
            <w:tcW w:w="4644" w:type="dxa"/>
            <w:vAlign w:val="center"/>
            <w:textDirection w:val="lrTb"/>
            <w:noWrap w:val="false"/>
          </w:tcPr>
          <w:p>
            <w:pPr>
              <w:pStyle w:val="1053"/>
              <w:jc w:val="both"/>
              <w:spacing w:line="360" w:lineRule="auto"/>
              <w:rPr>
                <w:b/>
                <w:sz w:val="36"/>
                <w:szCs w:val="36"/>
                <w:vertAlign w:val="baseline"/>
              </w:rPr>
              <w:outlineLvl w:val="0"/>
            </w:pPr>
            <w:r>
              <w:rPr>
                <w:rFonts w:hint="eastAsia" w:ascii="宋体" w:hAnsi="宋体" w:eastAsia="宋体" w:cs="宋体"/>
                <w:sz w:val="24"/>
                <w:szCs w:val="24"/>
                <w:highlight w:val="none"/>
                <w:lang w:val="en-US" w:eastAsia="zh-CN" w:bidi="ar"/>
              </w:rPr>
              <w:t xml:space="preserve">开户银行：</w:t>
            </w:r>
            <w:r>
              <w:rPr>
                <w:b/>
                <w:sz w:val="36"/>
                <w:szCs w:val="36"/>
                <w:vertAlign w:val="baseline"/>
              </w:rPr>
            </w:r>
            <w:r/>
          </w:p>
        </w:tc>
        <w:tc>
          <w:tcPr>
            <w:tcW w:w="4644" w:type="dxa"/>
            <w:vAlign w:val="center"/>
            <w:textDirection w:val="lrTb"/>
            <w:noWrap w:val="false"/>
          </w:tcPr>
          <w:p>
            <w:pPr>
              <w:pStyle w:val="1053"/>
              <w:jc w:val="both"/>
              <w:spacing w:line="360" w:lineRule="auto"/>
              <w:rPr>
                <w:b/>
                <w:sz w:val="36"/>
                <w:szCs w:val="36"/>
                <w:vertAlign w:val="baseline"/>
              </w:rPr>
              <w:outlineLvl w:val="0"/>
            </w:pPr>
            <w:r>
              <w:rPr>
                <w:rFonts w:hint="eastAsia" w:ascii="宋体" w:hAnsi="宋体" w:eastAsia="宋体" w:cs="宋体"/>
                <w:sz w:val="24"/>
                <w:szCs w:val="24"/>
                <w:highlight w:val="none"/>
                <w:lang w:val="en-US" w:eastAsia="zh-CN" w:bidi="ar"/>
              </w:rPr>
              <w:t xml:space="preserve">开户银行：</w:t>
            </w:r>
            <w:r>
              <w:rPr>
                <w:b/>
                <w:sz w:val="36"/>
                <w:szCs w:val="36"/>
                <w:vertAlign w:val="baseline"/>
              </w:rPr>
            </w:r>
            <w:r/>
          </w:p>
        </w:tc>
      </w:tr>
      <w:tr>
        <w:trPr>
          <w:trHeight w:val="850"/>
        </w:trPr>
        <w:tc>
          <w:tcPr>
            <w:tcW w:w="4644" w:type="dxa"/>
            <w:vAlign w:val="center"/>
            <w:textDirection w:val="lrTb"/>
            <w:noWrap w:val="false"/>
          </w:tcPr>
          <w:p>
            <w:pPr>
              <w:pStyle w:val="1053"/>
              <w:jc w:val="both"/>
              <w:spacing w:line="360" w:lineRule="auto"/>
              <w:rPr>
                <w:b/>
                <w:sz w:val="36"/>
                <w:szCs w:val="36"/>
                <w:vertAlign w:val="baseline"/>
              </w:rPr>
              <w:outlineLvl w:val="0"/>
            </w:pPr>
            <w:r>
              <w:rPr>
                <w:rFonts w:hint="eastAsia" w:ascii="宋体" w:hAnsi="宋体" w:eastAsia="宋体" w:cs="宋体"/>
                <w:sz w:val="24"/>
                <w:szCs w:val="24"/>
                <w:highlight w:val="none"/>
                <w:lang w:val="en-US" w:eastAsia="zh-CN" w:bidi="ar"/>
              </w:rPr>
              <w:t xml:space="preserve">账号：</w:t>
            </w:r>
            <w:r>
              <w:rPr>
                <w:b/>
                <w:sz w:val="36"/>
                <w:szCs w:val="36"/>
                <w:vertAlign w:val="baseline"/>
              </w:rPr>
            </w:r>
            <w:r/>
          </w:p>
        </w:tc>
        <w:tc>
          <w:tcPr>
            <w:tcW w:w="4644" w:type="dxa"/>
            <w:vAlign w:val="center"/>
            <w:textDirection w:val="lrTb"/>
            <w:noWrap w:val="false"/>
          </w:tcPr>
          <w:p>
            <w:pPr>
              <w:pStyle w:val="1053"/>
              <w:jc w:val="both"/>
              <w:spacing w:line="360" w:lineRule="auto"/>
              <w:rPr>
                <w:b/>
                <w:sz w:val="36"/>
                <w:szCs w:val="36"/>
                <w:vertAlign w:val="baseline"/>
              </w:rPr>
              <w:outlineLvl w:val="0"/>
            </w:pPr>
            <w:r>
              <w:rPr>
                <w:rFonts w:hint="eastAsia" w:ascii="宋体" w:hAnsi="宋体" w:eastAsia="宋体" w:cs="宋体"/>
                <w:sz w:val="24"/>
                <w:szCs w:val="24"/>
                <w:highlight w:val="none"/>
                <w:lang w:val="en-US" w:eastAsia="zh-CN" w:bidi="ar"/>
              </w:rPr>
              <w:t xml:space="preserve">账号：</w:t>
            </w:r>
            <w:r>
              <w:rPr>
                <w:b/>
                <w:sz w:val="36"/>
                <w:szCs w:val="36"/>
                <w:vertAlign w:val="baseline"/>
              </w:rPr>
            </w:r>
            <w:r/>
          </w:p>
        </w:tc>
      </w:tr>
      <w:tr>
        <w:trPr>
          <w:trHeight w:val="850"/>
        </w:trPr>
        <w:tc>
          <w:tcPr>
            <w:tcW w:w="4644" w:type="dxa"/>
            <w:vAlign w:val="center"/>
            <w:textDirection w:val="lrTb"/>
            <w:noWrap w:val="false"/>
          </w:tcPr>
          <w:p>
            <w:pPr>
              <w:pStyle w:val="1053"/>
              <w:jc w:val="both"/>
              <w:spacing w:line="360" w:lineRule="auto"/>
              <w:rPr>
                <w:b/>
                <w:sz w:val="36"/>
                <w:szCs w:val="36"/>
                <w:vertAlign w:val="baseline"/>
              </w:rPr>
              <w:outlineLvl w:val="0"/>
            </w:pPr>
            <w:r>
              <w:rPr>
                <w:rFonts w:hint="eastAsia" w:ascii="宋体" w:hAnsi="宋体" w:eastAsia="宋体" w:cs="宋体"/>
                <w:sz w:val="24"/>
                <w:szCs w:val="24"/>
                <w:highlight w:val="none"/>
                <w:lang w:val="en-US" w:eastAsia="zh-CN" w:bidi="ar"/>
              </w:rPr>
              <w:t xml:space="preserve">日期：   年    月    日</w:t>
            </w:r>
            <w:r>
              <w:rPr>
                <w:b/>
                <w:sz w:val="36"/>
                <w:szCs w:val="36"/>
                <w:vertAlign w:val="baseline"/>
              </w:rPr>
            </w:r>
            <w:r/>
          </w:p>
        </w:tc>
        <w:tc>
          <w:tcPr>
            <w:tcW w:w="4644" w:type="dxa"/>
            <w:vAlign w:val="center"/>
            <w:textDirection w:val="lrTb"/>
            <w:noWrap w:val="false"/>
          </w:tcPr>
          <w:p>
            <w:pPr>
              <w:pStyle w:val="1053"/>
              <w:jc w:val="both"/>
              <w:spacing w:line="360" w:lineRule="auto"/>
              <w:rPr>
                <w:b/>
                <w:sz w:val="36"/>
                <w:szCs w:val="36"/>
                <w:vertAlign w:val="baseline"/>
              </w:rPr>
              <w:outlineLvl w:val="0"/>
            </w:pPr>
            <w:r>
              <w:rPr>
                <w:rFonts w:hint="eastAsia" w:ascii="宋体" w:hAnsi="宋体" w:eastAsia="宋体" w:cs="宋体"/>
                <w:sz w:val="24"/>
                <w:szCs w:val="24"/>
                <w:highlight w:val="none"/>
                <w:lang w:val="en-US" w:eastAsia="zh-CN" w:bidi="ar"/>
              </w:rPr>
              <w:t xml:space="preserve">日期：   年    月    日</w:t>
            </w:r>
            <w:r>
              <w:rPr>
                <w:b/>
                <w:sz w:val="36"/>
                <w:szCs w:val="36"/>
                <w:vertAlign w:val="baseline"/>
              </w:rPr>
            </w:r>
            <w:r/>
          </w:p>
        </w:tc>
      </w:tr>
    </w:tbl>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r>
      <w:r/>
    </w:p>
    <w:p>
      <w:pPr>
        <w:pStyle w:val="1053"/>
        <w:jc w:val="center"/>
        <w:spacing w:line="360" w:lineRule="auto"/>
        <w:rPr>
          <w:b/>
          <w:sz w:val="36"/>
          <w:szCs w:val="36"/>
        </w:rPr>
        <w:outlineLvl w:val="0"/>
      </w:pPr>
      <w:r>
        <w:rPr>
          <w:b/>
          <w:sz w:val="36"/>
          <w:szCs w:val="36"/>
        </w:rPr>
        <w:t xml:space="preserve">第七章   投标文件格式</w:t>
      </w:r>
      <w:bookmarkEnd w:id="813"/>
      <w:r>
        <w:rPr>
          <w:b/>
          <w:sz w:val="36"/>
          <w:szCs w:val="36"/>
        </w:rPr>
      </w:r>
      <w:r/>
    </w:p>
    <w:p>
      <w:pPr>
        <w:pStyle w:val="1053"/>
        <w:ind w:left="142"/>
        <w:spacing w:line="360" w:lineRule="auto"/>
        <w:tabs>
          <w:tab w:val="left" w:pos="900" w:leader="none"/>
          <w:tab w:val="left" w:pos="1980" w:leader="none"/>
        </w:tabs>
        <w:rPr>
          <w:b/>
          <w:sz w:val="24"/>
        </w:rPr>
      </w:pPr>
      <w:r>
        <w:rPr>
          <w:b/>
          <w:sz w:val="24"/>
        </w:rPr>
      </w:r>
      <w:r/>
    </w:p>
    <w:p>
      <w:pPr>
        <w:pStyle w:val="1053"/>
        <w:ind w:left="142"/>
        <w:spacing w:line="360" w:lineRule="auto"/>
        <w:tabs>
          <w:tab w:val="left" w:pos="900" w:leader="none"/>
          <w:tab w:val="left" w:pos="1980" w:leader="none"/>
        </w:tabs>
        <w:rPr>
          <w:b/>
          <w:sz w:val="24"/>
        </w:rPr>
      </w:pPr>
      <w:r>
        <w:rPr>
          <w:b/>
          <w:sz w:val="24"/>
        </w:rPr>
      </w:r>
      <w:r/>
    </w:p>
    <w:p>
      <w:pPr>
        <w:pStyle w:val="1053"/>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53"/>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53"/>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53"/>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5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53"/>
        <w:jc w:val="left"/>
        <w:widowControl/>
        <w:rPr>
          <w:sz w:val="24"/>
        </w:rPr>
      </w:pPr>
      <w:r>
        <w:rPr>
          <w:sz w:val="24"/>
        </w:rPr>
        <w:br w:type="page" w:clear="all"/>
      </w:r>
      <w:r>
        <w:rPr>
          <w:sz w:val="24"/>
        </w:rPr>
      </w:r>
      <w:r/>
    </w:p>
    <w:p>
      <w:pPr>
        <w:pStyle w:val="1053"/>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1053"/>
        <w:rPr>
          <w:b/>
          <w:spacing w:val="20"/>
          <w:szCs w:val="21"/>
        </w:rPr>
      </w:pPr>
      <w:r>
        <w:rPr>
          <w:b/>
          <w:spacing w:val="20"/>
          <w:szCs w:val="21"/>
        </w:rPr>
      </w:r>
      <w:r/>
    </w:p>
    <w:p>
      <w:pPr>
        <w:pStyle w:val="1053"/>
        <w:rPr>
          <w:b/>
          <w:sz w:val="24"/>
        </w:rPr>
      </w:pPr>
      <w:r>
        <w:rPr>
          <w:b/>
          <w:spacing w:val="20"/>
          <w:sz w:val="24"/>
        </w:rPr>
        <w:t xml:space="preserve">投标文件</w:t>
      </w:r>
      <w:r>
        <w:rPr>
          <w:b/>
          <w:sz w:val="24"/>
        </w:rPr>
        <w:t xml:space="preserve">封面（非实质性格式）</w:t>
      </w:r>
      <w:r>
        <w:rPr>
          <w:b/>
          <w:sz w:val="24"/>
        </w:rPr>
      </w:r>
      <w:r/>
    </w:p>
    <w:p>
      <w:pPr>
        <w:pStyle w:val="1053"/>
        <w:jc w:val="center"/>
        <w:rPr>
          <w:szCs w:val="21"/>
        </w:rPr>
      </w:pPr>
      <w:r>
        <w:rPr>
          <w:szCs w:val="21"/>
        </w:rPr>
      </w:r>
      <w:r/>
    </w:p>
    <w:p>
      <w:pPr>
        <w:pStyle w:val="1053"/>
        <w:jc w:val="center"/>
        <w:rPr>
          <w:b/>
          <w:spacing w:val="60"/>
          <w:sz w:val="84"/>
          <w:szCs w:val="84"/>
        </w:rPr>
      </w:pPr>
      <w:r>
        <w:rPr>
          <w:b/>
          <w:spacing w:val="60"/>
          <w:sz w:val="84"/>
          <w:szCs w:val="84"/>
        </w:rPr>
        <w:t xml:space="preserve">投 标 文 件</w:t>
      </w:r>
      <w:r>
        <w:rPr>
          <w:b/>
          <w:spacing w:val="60"/>
          <w:sz w:val="84"/>
          <w:szCs w:val="84"/>
        </w:rPr>
      </w:r>
      <w:r/>
    </w:p>
    <w:p>
      <w:pPr>
        <w:pStyle w:val="1053"/>
        <w:ind w:firstLine="963"/>
        <w:rPr>
          <w:rFonts w:hint="eastAsia"/>
          <w:b/>
          <w:spacing w:val="60"/>
          <w:sz w:val="52"/>
          <w:szCs w:val="52"/>
        </w:rPr>
      </w:pPr>
      <w:r>
        <w:rPr>
          <w:rFonts w:hint="eastAsia"/>
          <w:b/>
          <w:spacing w:val="60"/>
          <w:sz w:val="52"/>
          <w:szCs w:val="52"/>
        </w:rPr>
      </w:r>
      <w:r/>
    </w:p>
    <w:p>
      <w:pPr>
        <w:pStyle w:val="1053"/>
        <w:ind w:firstLine="963"/>
        <w:rPr>
          <w:rFonts w:hint="eastAsia"/>
          <w:b/>
          <w:spacing w:val="60"/>
          <w:sz w:val="52"/>
          <w:szCs w:val="52"/>
        </w:rPr>
      </w:pPr>
      <w:r>
        <w:rPr>
          <w:rFonts w:hint="eastAsia"/>
          <w:b/>
          <w:spacing w:val="60"/>
          <w:sz w:val="52"/>
          <w:szCs w:val="52"/>
        </w:rPr>
      </w:r>
      <w:r/>
    </w:p>
    <w:p>
      <w:pPr>
        <w:pStyle w:val="1053"/>
        <w:ind w:firstLine="542"/>
        <w:rPr>
          <w:b/>
          <w:spacing w:val="20"/>
          <w:sz w:val="32"/>
          <w:szCs w:val="32"/>
        </w:rPr>
      </w:pPr>
      <w:r>
        <w:rPr>
          <w:b/>
          <w:spacing w:val="20"/>
          <w:sz w:val="32"/>
          <w:szCs w:val="32"/>
        </w:rPr>
      </w:r>
      <w:r/>
    </w:p>
    <w:p>
      <w:pPr>
        <w:pStyle w:val="1053"/>
        <w:ind w:firstLine="542"/>
        <w:rPr>
          <w:b/>
          <w:spacing w:val="20"/>
          <w:sz w:val="32"/>
          <w:szCs w:val="32"/>
        </w:rPr>
      </w:pPr>
      <w:r>
        <w:rPr>
          <w:b/>
          <w:spacing w:val="20"/>
          <w:sz w:val="32"/>
          <w:szCs w:val="32"/>
        </w:rPr>
      </w:r>
      <w:r/>
    </w:p>
    <w:p>
      <w:pPr>
        <w:pStyle w:val="105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5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5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5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53"/>
        <w:jc w:val="center"/>
        <w:rPr>
          <w:b/>
          <w:sz w:val="32"/>
          <w:szCs w:val="32"/>
        </w:rPr>
      </w:pPr>
      <w:r>
        <w:rPr>
          <w:b/>
          <w:sz w:val="32"/>
          <w:szCs w:val="32"/>
        </w:rPr>
      </w:r>
      <w:r/>
    </w:p>
    <w:p>
      <w:pPr>
        <w:pStyle w:val="1053"/>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53"/>
        <w:rPr>
          <w:b/>
        </w:rPr>
      </w:pPr>
      <w:r>
        <w:rPr>
          <w:b/>
        </w:rPr>
      </w:r>
      <w:r/>
    </w:p>
    <w:p>
      <w:pPr>
        <w:pStyle w:val="1053"/>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056"/>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05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5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67"/>
        <w:ind w:firstLine="480"/>
        <w:spacing w:line="460" w:lineRule="exact"/>
      </w:pPr>
      <w:r/>
      <w:r/>
    </w:p>
    <w:p>
      <w:pPr>
        <w:pStyle w:val="1067"/>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1067"/>
        <w:ind w:firstLine="480"/>
        <w:spacing w:line="460" w:lineRule="exact"/>
      </w:pPr>
      <w:r/>
      <w:r/>
    </w:p>
    <w:p>
      <w:pPr>
        <w:pStyle w:val="1067"/>
        <w:ind w:firstLine="480"/>
        <w:spacing w:line="460" w:lineRule="exact"/>
      </w:pPr>
      <w:r>
        <w:rPr>
          <w:rFonts w:hint="eastAsia"/>
        </w:rPr>
        <w:t xml:space="preserve">按照《中华人民共和国政府采购法》第二十二条和招标文件的规定，我单位郑重声明如下：</w:t>
      </w:r>
      <w:r/>
    </w:p>
    <w:p>
      <w:pPr>
        <w:pStyle w:val="106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67"/>
        <w:ind w:firstLine="480"/>
        <w:spacing w:line="460" w:lineRule="exact"/>
      </w:pPr>
      <w:r>
        <w:rPr>
          <w:rFonts w:hint="eastAsia"/>
        </w:rPr>
        <w:t xml:space="preserve">二、我单位具有良好的商业信誉（指投标人经营状况良好，无本资格声明第十条情形）和健全的财务会计制度。</w:t>
      </w:r>
      <w:r/>
    </w:p>
    <w:p>
      <w:pPr>
        <w:pStyle w:val="1067"/>
        <w:ind w:firstLine="480"/>
        <w:spacing w:line="460" w:lineRule="exact"/>
      </w:pPr>
      <w:r>
        <w:rPr>
          <w:rFonts w:hint="eastAsia"/>
        </w:rPr>
        <w:t xml:space="preserve">三、我单位依法进行纳税和社会保险申报并实际履行了义务。</w:t>
      </w:r>
      <w:r/>
    </w:p>
    <w:p>
      <w:pPr>
        <w:pStyle w:val="106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67"/>
        <w:ind w:firstLine="480"/>
        <w:spacing w:line="460" w:lineRule="exact"/>
      </w:pPr>
      <w:r>
        <w:rPr>
          <w:rFonts w:hint="eastAsia"/>
        </w:rPr>
        <w:t xml:space="preserve">主要设备有：</w:t>
      </w:r>
      <w:r>
        <w:rPr>
          <w:u w:val="single"/>
        </w:rPr>
        <w:t xml:space="preserve">            </w:t>
      </w:r>
      <w:r/>
    </w:p>
    <w:p>
      <w:pPr>
        <w:pStyle w:val="1067"/>
        <w:ind w:firstLine="480"/>
        <w:spacing w:line="460" w:lineRule="exact"/>
      </w:pPr>
      <w:r>
        <w:rPr>
          <w:rFonts w:hint="eastAsia"/>
        </w:rPr>
        <w:t xml:space="preserve">主要专业技术能力有</w:t>
      </w:r>
      <w:r>
        <w:rPr>
          <w:rFonts w:hint="eastAsia"/>
          <w:u w:val="single"/>
        </w:rPr>
        <w:t xml:space="preserve">                 </w:t>
      </w:r>
      <w:r/>
    </w:p>
    <w:p>
      <w:pPr>
        <w:pStyle w:val="106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7"/>
        <w:ind w:firstLine="480"/>
        <w:spacing w:line="460" w:lineRule="exact"/>
      </w:pPr>
      <w:r>
        <w:rPr>
          <w:rFonts w:hint="eastAsia"/>
        </w:rPr>
        <w:t xml:space="preserve">六、我单位具备法律、行政法规规定的其他条件。</w:t>
      </w:r>
      <w:r/>
    </w:p>
    <w:p>
      <w:pPr>
        <w:pStyle w:val="106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6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6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6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6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67"/>
        <w:ind w:firstLine="480"/>
        <w:spacing w:line="460" w:lineRule="exact"/>
      </w:pPr>
      <w:r>
        <w:rPr>
          <w:rFonts w:hint="eastAsia"/>
        </w:rPr>
        <w:t xml:space="preserve">九、</w:t>
      </w:r>
      <w:r>
        <w:t xml:space="preserve">我单位无以下不良信用记录情形：</w:t>
      </w:r>
      <w:r/>
    </w:p>
    <w:p>
      <w:pPr>
        <w:pStyle w:val="1067"/>
        <w:ind w:firstLine="480"/>
        <w:spacing w:line="460" w:lineRule="exact"/>
      </w:pPr>
      <w:r>
        <w:t xml:space="preserve">1</w:t>
      </w:r>
      <w:r>
        <w:rPr>
          <w:rFonts w:hint="eastAsia"/>
        </w:rPr>
        <w:t xml:space="preserve">、在“信用中国”网站被列入失信被执行人和重大税收违法案件当事人名单；</w:t>
      </w:r>
      <w:r/>
    </w:p>
    <w:p>
      <w:pPr>
        <w:pStyle w:val="1067"/>
        <w:ind w:firstLine="480"/>
        <w:spacing w:line="460" w:lineRule="exact"/>
      </w:pPr>
      <w:r>
        <w:t xml:space="preserve">2</w:t>
      </w:r>
      <w:r>
        <w:rPr>
          <w:rFonts w:hint="eastAsia"/>
        </w:rPr>
        <w:t xml:space="preserve">、在“中国政府采购网”网站被列入政府采购严重违法失信行为记录名单；</w:t>
      </w:r>
      <w:r/>
    </w:p>
    <w:p>
      <w:pPr>
        <w:pStyle w:val="1067"/>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1067"/>
        <w:ind w:firstLine="480"/>
        <w:spacing w:line="460" w:lineRule="exact"/>
      </w:pPr>
      <w:r/>
      <w:r/>
    </w:p>
    <w:p>
      <w:pPr>
        <w:pStyle w:val="106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67"/>
        <w:ind w:firstLine="480"/>
        <w:spacing w:line="460" w:lineRule="exact"/>
      </w:pPr>
      <w:r/>
      <w:r/>
    </w:p>
    <w:p>
      <w:pPr>
        <w:pStyle w:val="1067"/>
        <w:ind w:firstLine="480"/>
        <w:spacing w:line="460" w:lineRule="exact"/>
      </w:pPr>
      <w:r/>
      <w:r/>
    </w:p>
    <w:p>
      <w:pPr>
        <w:pStyle w:val="1067"/>
        <w:ind w:firstLine="480"/>
        <w:spacing w:line="460" w:lineRule="exact"/>
      </w:pPr>
      <w:r>
        <w:rPr>
          <w:rFonts w:hint="eastAsia"/>
        </w:rPr>
        <w:t xml:space="preserve">                                            投标人：（加盖公章）</w:t>
      </w:r>
      <w:r/>
    </w:p>
    <w:p>
      <w:pPr>
        <w:pStyle w:val="1067"/>
        <w:ind w:firstLine="480"/>
        <w:spacing w:line="460" w:lineRule="exact"/>
      </w:pPr>
      <w:r>
        <w:rPr>
          <w:rFonts w:hint="eastAsia"/>
        </w:rPr>
        <w:t xml:space="preserve">                                           法定代表人（或单位负责人）签字或盖章：</w:t>
      </w:r>
      <w:r/>
    </w:p>
    <w:p>
      <w:pPr>
        <w:pStyle w:val="1067"/>
        <w:ind w:firstLine="4920"/>
        <w:spacing w:line="460" w:lineRule="exact"/>
        <w:rPr>
          <w:rFonts w:hint="eastAsia"/>
        </w:rPr>
      </w:pPr>
      <w:r>
        <w:rPr>
          <w:rFonts w:hint="eastAsia"/>
        </w:rPr>
        <w:t xml:space="preserve">日期：    年    月    日</w:t>
      </w:r>
      <w:r>
        <w:rPr>
          <w:rFonts w:hint="eastAsia"/>
        </w:rPr>
      </w:r>
      <w:r/>
    </w:p>
    <w:p>
      <w:pPr>
        <w:pStyle w:val="1053"/>
        <w:spacing w:line="360" w:lineRule="auto"/>
        <w:rPr>
          <w:rFonts w:hint="eastAsia"/>
          <w:sz w:val="24"/>
        </w:rPr>
      </w:pPr>
      <w:r>
        <w:rPr>
          <w:rFonts w:hint="eastAsia"/>
          <w:sz w:val="24"/>
        </w:rPr>
      </w:r>
      <w:r/>
    </w:p>
    <w:p>
      <w:pPr>
        <w:pStyle w:val="1053"/>
        <w:spacing w:line="360" w:lineRule="auto"/>
        <w:rPr>
          <w:rFonts w:hint="eastAsia"/>
          <w:sz w:val="24"/>
        </w:rPr>
      </w:pPr>
      <w:r>
        <w:rPr>
          <w:rFonts w:hint="eastAsia"/>
          <w:sz w:val="24"/>
        </w:rPr>
      </w:r>
      <w:r/>
    </w:p>
    <w:p>
      <w:pPr>
        <w:pStyle w:val="1053"/>
        <w:spacing w:line="360" w:lineRule="auto"/>
        <w:rPr>
          <w:rFonts w:hint="eastAsia"/>
          <w:sz w:val="24"/>
        </w:rPr>
      </w:pPr>
      <w:r>
        <w:rPr>
          <w:rFonts w:hint="eastAsia"/>
          <w:sz w:val="24"/>
        </w:rPr>
      </w:r>
      <w:r/>
    </w:p>
    <w:p>
      <w:pPr>
        <w:pStyle w:val="1053"/>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1053"/>
        <w:spacing w:line="360" w:lineRule="auto"/>
        <w:tabs>
          <w:tab w:val="left" w:pos="5580" w:leader="none"/>
        </w:tabs>
        <w:rPr>
          <w:sz w:val="24"/>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sz w:val="24"/>
        </w:rPr>
      </w:r>
      <w:r/>
    </w:p>
    <w:p>
      <w:pPr>
        <w:pStyle w:val="1053"/>
        <w:spacing w:line="360" w:lineRule="auto"/>
        <w:rPr>
          <w:color w:val="000000"/>
          <w:sz w:val="24"/>
          <w:szCs w:val="20"/>
        </w:rPr>
        <w:outlineLvl w:val="2"/>
      </w:pPr>
      <w:r>
        <w:rPr>
          <w:color w:val="000000"/>
          <w:sz w:val="24"/>
          <w:szCs w:val="20"/>
        </w:rPr>
        <w:t xml:space="preserve">2 落实政府采购政策需满足的资格要求（如有）</w:t>
      </w:r>
      <w:r>
        <w:rPr>
          <w:color w:val="000000"/>
          <w:sz w:val="24"/>
          <w:szCs w:val="20"/>
        </w:rPr>
      </w:r>
      <w:r/>
    </w:p>
    <w:p>
      <w:pPr>
        <w:pStyle w:val="1053"/>
        <w:spacing w:line="360" w:lineRule="auto"/>
        <w:rPr>
          <w:color w:val="000000"/>
          <w:sz w:val="24"/>
          <w:szCs w:val="20"/>
        </w:rPr>
        <w:outlineLvl w:val="2"/>
      </w:pPr>
      <w:r>
        <w:rPr>
          <w:color w:val="000000"/>
          <w:sz w:val="24"/>
          <w:szCs w:val="20"/>
        </w:rPr>
        <w:t xml:space="preserve">2-3 </w:t>
      </w:r>
      <w:r>
        <w:rPr>
          <w:sz w:val="24"/>
        </w:rPr>
        <w:t xml:space="preserve">其它落实政府采购政策的资格要求</w:t>
      </w:r>
      <w:r>
        <w:rPr>
          <w:color w:val="000000"/>
          <w:sz w:val="24"/>
          <w:szCs w:val="20"/>
        </w:rPr>
        <w:t xml:space="preserve">（如有）</w:t>
      </w:r>
      <w:r>
        <w:rPr>
          <w:color w:val="000000"/>
          <w:sz w:val="24"/>
          <w:szCs w:val="20"/>
        </w:rPr>
      </w:r>
      <w:r/>
    </w:p>
    <w:p>
      <w:pPr>
        <w:pStyle w:val="1053"/>
        <w:jc w:val="left"/>
        <w:widowControl/>
        <w:rPr>
          <w:sz w:val="24"/>
        </w:rPr>
      </w:pPr>
      <w:r>
        <w:rPr>
          <w:sz w:val="24"/>
        </w:rPr>
      </w:r>
      <w:r/>
    </w:p>
    <w:p>
      <w:pPr>
        <w:pStyle w:val="1053"/>
        <w:jc w:val="left"/>
        <w:keepLines w:val="0"/>
        <w:keepNext w:val="0"/>
        <w:pageBreakBefore w:val="0"/>
        <w:spacing w:line="360" w:lineRule="auto"/>
        <w:widowControl/>
        <w:rPr>
          <w:sz w:val="24"/>
        </w:rPr>
      </w:pPr>
      <w:r>
        <w:rPr>
          <w:sz w:val="24"/>
        </w:rPr>
        <w:br w:type="page" w:clear="all"/>
      </w:r>
      <w:r>
        <w:rPr>
          <w:color w:val="000000"/>
          <w:sz w:val="24"/>
          <w:szCs w:val="20"/>
        </w:rPr>
        <w:t xml:space="preserve">3 </w:t>
      </w:r>
      <w:r>
        <w:rPr>
          <w:sz w:val="24"/>
        </w:rPr>
        <w:t xml:space="preserve">本项目的特定资格要求</w:t>
      </w:r>
      <w:r>
        <w:rPr>
          <w:color w:val="000000"/>
          <w:sz w:val="24"/>
          <w:szCs w:val="20"/>
        </w:rPr>
        <w:t xml:space="preserve">（如有）</w:t>
      </w:r>
      <w:r>
        <w:rPr>
          <w:sz w:val="24"/>
        </w:rPr>
      </w:r>
      <w:r/>
    </w:p>
    <w:p>
      <w:pPr>
        <w:pStyle w:val="1053"/>
        <w:keepLines w:val="0"/>
        <w:keepNext w:val="0"/>
        <w:pageBreakBefore w:val="0"/>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t xml:space="preserve">3-1联合协议（如有）（实质性格式）</w:t>
      </w:r>
      <w:r>
        <w:rPr>
          <w:rFonts w:ascii="Times New Roman" w:hAnsi="Times New Roman" w:eastAsia="宋体" w:cs="Times New Roman"/>
          <w:color w:val="000000"/>
          <w:sz w:val="24"/>
          <w:szCs w:val="20"/>
        </w:rPr>
      </w:r>
      <w:r/>
    </w:p>
    <w:p>
      <w:pPr>
        <w:pStyle w:val="1053"/>
        <w:jc w:val="center"/>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r>
      <w:r/>
    </w:p>
    <w:p>
      <w:pPr>
        <w:pStyle w:val="1053"/>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联合协议</w:t>
      </w:r>
      <w:r>
        <w:rPr>
          <w:rFonts w:ascii="Times New Roman" w:hAnsi="Times New Roman" w:eastAsia="宋体" w:cs="Times New Roman"/>
          <w:b/>
          <w:color w:val="000000"/>
          <w:sz w:val="36"/>
          <w:szCs w:val="36"/>
        </w:rPr>
      </w:r>
      <w:r/>
    </w:p>
    <w:p>
      <w:pPr>
        <w:pStyle w:val="1053"/>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53"/>
        <w:ind w:firstLine="828"/>
        <w:spacing w:line="360" w:lineRule="auto"/>
        <w:rPr>
          <w:rFonts w:ascii="Times New Roman" w:hAnsi="Times New Roman" w:eastAsia="宋体" w:cs="Times New Roman"/>
          <w:bCs/>
          <w:color w:val="000000"/>
        </w:rPr>
      </w:pPr>
      <w:r>
        <w:rPr>
          <w:rFonts w:ascii="Times New Roman" w:hAnsi="Times New Roman" w:eastAsia="宋体" w:cs="Times New Roman"/>
          <w:bCs/>
          <w:color w:val="000000"/>
          <w:sz w:val="24"/>
        </w:rPr>
        <w:t xml:space="preserve">___________ 及 __________就“________________</w:t>
      </w:r>
      <w:r>
        <w:rPr>
          <w:rFonts w:ascii="Times New Roman" w:hAnsi="Times New Roman" w:eastAsia="宋体" w:cs="Times New Roman"/>
          <w:bCs/>
          <w:color w:val="000000"/>
          <w:sz w:val="24"/>
          <w:u w:val="single"/>
        </w:rPr>
        <w:t xml:space="preserve">（项目名称）</w:t>
      </w:r>
      <w:r>
        <w:rPr>
          <w:rFonts w:ascii="Times New Roman" w:hAnsi="Times New Roman" w:eastAsia="宋体" w:cs="Times New Roman"/>
          <w:color w:val="000000"/>
          <w:sz w:val="24"/>
        </w:rPr>
        <w:t xml:space="preserve">”____包</w:t>
      </w:r>
      <w:r>
        <w:rPr>
          <w:rFonts w:ascii="Times New Roman" w:hAnsi="Times New Roman" w:eastAsia="宋体" w:cs="Times New Roman"/>
          <w:bCs/>
          <w:color w:val="000000"/>
          <w:sz w:val="24"/>
        </w:rPr>
        <w:t xml:space="preserve">采购项目的响应事宜，经各方充分协商一致，达成如下协议：</w:t>
      </w:r>
      <w:r>
        <w:rPr>
          <w:rFonts w:ascii="Times New Roman" w:hAnsi="Times New Roman" w:eastAsia="宋体" w:cs="Times New Roman"/>
          <w:bCs/>
          <w:color w:val="000000"/>
        </w:rPr>
      </w:r>
      <w:r/>
    </w:p>
    <w:p>
      <w:pPr>
        <w:pStyle w:val="1053"/>
        <w:numPr>
          <w:ilvl w:val="0"/>
          <w:numId w:val="17"/>
        </w:numPr>
        <w:ind w:left="780" w:hanging="600"/>
        <w:spacing w:line="360" w:lineRule="auto"/>
        <w:tabs>
          <w:tab w:val="left" w:pos="780" w:leader="none"/>
        </w:tabs>
        <w:rPr>
          <w:rFonts w:ascii="Times New Roman" w:hAnsi="Times New Roman" w:eastAsia="宋体" w:cs="Times New Roman"/>
          <w:bCs/>
          <w:color w:val="000000"/>
          <w:sz w:val="24"/>
        </w:rPr>
      </w:pPr>
      <w:r>
        <w:rPr>
          <w:rFonts w:ascii="Times New Roman" w:hAnsi="Times New Roman" w:eastAsia="宋体" w:cs="Times New Roman"/>
          <w:bCs/>
          <w:color w:val="000000"/>
          <w:sz w:val="24"/>
        </w:rPr>
        <w:t xml:space="preserve">由_____________牵头，___________参加，组成联合体共同进行采购项目的响应工作。</w:t>
      </w:r>
      <w:r>
        <w:rPr>
          <w:rFonts w:ascii="Times New Roman" w:hAnsi="Times New Roman" w:eastAsia="宋体" w:cs="Times New Roman"/>
          <w:bCs/>
          <w:color w:val="000000"/>
          <w:sz w:val="24"/>
        </w:rPr>
      </w:r>
      <w:r/>
    </w:p>
    <w:p>
      <w:pPr>
        <w:pStyle w:val="1053"/>
        <w:numPr>
          <w:ilvl w:val="0"/>
          <w:numId w:val="17"/>
        </w:numPr>
        <w:ind w:left="780" w:hanging="600"/>
        <w:spacing w:line="360" w:lineRule="auto"/>
        <w:tabs>
          <w:tab w:val="left" w:pos="780" w:leader="none"/>
        </w:tabs>
        <w:rPr>
          <w:rFonts w:ascii="Times New Roman" w:hAnsi="Times New Roman" w:eastAsia="宋体" w:cs="Times New Roman"/>
          <w:bCs/>
          <w:color w:val="000000"/>
          <w:sz w:val="24"/>
        </w:rPr>
      </w:pPr>
      <w:r>
        <w:rPr>
          <w:rFonts w:ascii="Times New Roman" w:hAnsi="Times New Roman" w:eastAsia="宋体" w:cs="Times New Roman"/>
          <w:bCs/>
          <w:color w:val="000000"/>
          <w:sz w:val="24"/>
        </w:rPr>
        <w:t xml:space="preserve">___________为本次响应的牵头人，联合体以牵头人的名义参加响应，联合体成交后，联合体各方共同与采购人签订合同，就采购合同约定的事项对采购人承担连带责任。</w:t>
      </w:r>
      <w:r>
        <w:rPr>
          <w:rFonts w:ascii="Times New Roman" w:hAnsi="Times New Roman" w:eastAsia="宋体" w:cs="Times New Roman"/>
          <w:bCs/>
          <w:color w:val="000000"/>
          <w:sz w:val="24"/>
        </w:rPr>
      </w:r>
      <w:r/>
    </w:p>
    <w:p>
      <w:pPr>
        <w:pStyle w:val="1053"/>
        <w:numPr>
          <w:ilvl w:val="0"/>
          <w:numId w:val="17"/>
        </w:numPr>
        <w:ind w:left="780" w:hanging="600"/>
        <w:spacing w:line="360" w:lineRule="auto"/>
        <w:tabs>
          <w:tab w:val="left" w:pos="780" w:leader="none"/>
        </w:tabs>
        <w:rPr>
          <w:rFonts w:ascii="Times New Roman" w:hAnsi="Times New Roman" w:eastAsia="宋体" w:cs="Times New Roman"/>
          <w:bCs/>
          <w:color w:val="000000"/>
          <w:sz w:val="24"/>
        </w:rPr>
      </w:pPr>
      <w:r>
        <w:rPr>
          <w:rFonts w:ascii="Times New Roman" w:hAnsi="Times New Roman" w:eastAsia="宋体" w:cs="Times New Roman"/>
          <w:b/>
          <w:bCs w:val="0"/>
          <w:color w:val="000000"/>
          <w:sz w:val="24"/>
        </w:rPr>
        <w:t xml:space="preserve">联合体各方均同意由牵头人代表其他联合体成员单位按磋商文件要求出具《授权委托书》。</w:t>
      </w:r>
      <w:r>
        <w:rPr>
          <w:rFonts w:ascii="Times New Roman" w:hAnsi="Times New Roman" w:eastAsia="宋体" w:cs="Times New Roman"/>
          <w:bCs/>
          <w:color w:val="000000"/>
          <w:sz w:val="24"/>
        </w:rPr>
      </w:r>
      <w:r/>
    </w:p>
    <w:p>
      <w:pPr>
        <w:pStyle w:val="1053"/>
        <w:numPr>
          <w:ilvl w:val="0"/>
          <w:numId w:val="17"/>
        </w:numPr>
        <w:ind w:left="780" w:hanging="600"/>
        <w:spacing w:line="360" w:lineRule="auto"/>
        <w:tabs>
          <w:tab w:val="left" w:pos="780" w:leader="none"/>
        </w:tabs>
        <w:rPr>
          <w:rFonts w:ascii="Times New Roman" w:hAnsi="Times New Roman" w:eastAsia="宋体" w:cs="Times New Roman"/>
          <w:bCs/>
          <w:color w:val="000000"/>
          <w:sz w:val="24"/>
        </w:rPr>
      </w:pPr>
      <w:r>
        <w:rPr>
          <w:rFonts w:ascii="Times New Roman" w:hAnsi="Times New Roman" w:eastAsia="宋体" w:cs="Times New Roman"/>
          <w:bCs/>
          <w:color w:val="000000"/>
          <w:sz w:val="24"/>
        </w:rPr>
        <w:t xml:space="preserve">牵头人为项目的总负责单位；组织各参加方进行项目实施工作。</w:t>
      </w:r>
      <w:r>
        <w:rPr>
          <w:rFonts w:ascii="Times New Roman" w:hAnsi="Times New Roman" w:eastAsia="宋体" w:cs="Times New Roman"/>
          <w:bCs/>
          <w:color w:val="000000"/>
          <w:sz w:val="24"/>
        </w:rPr>
      </w:r>
      <w:r/>
    </w:p>
    <w:p>
      <w:pPr>
        <w:pStyle w:val="1053"/>
        <w:numPr>
          <w:ilvl w:val="0"/>
          <w:numId w:val="17"/>
        </w:numPr>
        <w:ind w:left="780" w:hanging="600"/>
        <w:spacing w:line="360" w:lineRule="auto"/>
        <w:tabs>
          <w:tab w:val="left" w:pos="780" w:leader="none"/>
        </w:tabs>
        <w:rPr>
          <w:rFonts w:ascii="Times New Roman" w:hAnsi="Times New Roman" w:eastAsia="宋体" w:cs="Times New Roman"/>
          <w:bCs/>
          <w:color w:val="000000"/>
          <w:sz w:val="24"/>
        </w:rPr>
      </w:pPr>
      <w:r>
        <w:rPr>
          <w:rFonts w:ascii="Times New Roman" w:hAnsi="Times New Roman" w:eastAsia="宋体" w:cs="Times New Roman"/>
          <w:bCs/>
          <w:color w:val="000000"/>
          <w:sz w:val="24"/>
        </w:rPr>
        <w:t xml:space="preserve">___________负责_________，具体工作范围、内容以响应文件及合同为准。</w:t>
      </w:r>
      <w:r>
        <w:rPr>
          <w:rFonts w:ascii="Times New Roman" w:hAnsi="Times New Roman" w:eastAsia="宋体" w:cs="Times New Roman"/>
          <w:bCs/>
          <w:color w:val="000000"/>
          <w:sz w:val="24"/>
        </w:rPr>
      </w:r>
      <w:r/>
    </w:p>
    <w:p>
      <w:pPr>
        <w:pStyle w:val="1053"/>
        <w:numPr>
          <w:ilvl w:val="0"/>
          <w:numId w:val="17"/>
        </w:numPr>
        <w:ind w:left="780" w:hanging="600"/>
        <w:spacing w:line="360" w:lineRule="auto"/>
        <w:tabs>
          <w:tab w:val="left" w:pos="780" w:leader="none"/>
        </w:tabs>
        <w:rPr>
          <w:rFonts w:ascii="Times New Roman" w:hAnsi="Times New Roman" w:eastAsia="宋体" w:cs="Times New Roman"/>
          <w:bCs/>
          <w:color w:val="000000"/>
          <w:sz w:val="24"/>
        </w:rPr>
      </w:pPr>
      <w:r>
        <w:rPr>
          <w:rFonts w:ascii="Times New Roman" w:hAnsi="Times New Roman" w:eastAsia="宋体" w:cs="Times New Roman"/>
          <w:bCs/>
          <w:color w:val="000000"/>
          <w:sz w:val="24"/>
        </w:rPr>
        <w:t xml:space="preserve">___________负责_________，具体工作范围、内容以响应文件及合同为准。</w:t>
      </w:r>
      <w:r>
        <w:rPr>
          <w:rFonts w:ascii="Times New Roman" w:hAnsi="Times New Roman" w:eastAsia="宋体" w:cs="Times New Roman"/>
          <w:bCs/>
          <w:color w:val="000000"/>
          <w:sz w:val="24"/>
        </w:rPr>
      </w:r>
      <w:r/>
    </w:p>
    <w:p>
      <w:pPr>
        <w:pStyle w:val="1053"/>
        <w:numPr>
          <w:ilvl w:val="0"/>
          <w:numId w:val="17"/>
        </w:numPr>
        <w:ind w:left="780" w:hanging="600"/>
        <w:spacing w:line="360" w:lineRule="auto"/>
        <w:tabs>
          <w:tab w:val="left" w:pos="780" w:leader="none"/>
        </w:tabs>
        <w:rPr>
          <w:rFonts w:ascii="Times New Roman" w:hAnsi="Times New Roman" w:eastAsia="宋体" w:cs="Times New Roman"/>
          <w:sz w:val="24"/>
        </w:rPr>
      </w:pPr>
      <w:r>
        <w:rPr>
          <w:rFonts w:ascii="Times New Roman" w:hAnsi="Times New Roman" w:eastAsia="宋体" w:cs="Times New Roman"/>
          <w:sz w:val="24"/>
        </w:rPr>
        <w:t xml:space="preserve">本项目联合体协议合同总额为________元，联合体各成员按照如下比例分摊（按联合体成员分别列明）：</w:t>
      </w:r>
      <w:r>
        <w:rPr>
          <w:rFonts w:ascii="Times New Roman" w:hAnsi="Times New Roman" w:eastAsia="宋体" w:cs="Times New Roman"/>
          <w:sz w:val="24"/>
        </w:rPr>
      </w:r>
      <w:r/>
    </w:p>
    <w:p>
      <w:pPr>
        <w:pStyle w:val="1053"/>
        <w:ind w:left="851"/>
        <w:spacing w:line="360" w:lineRule="auto"/>
        <w:tabs>
          <w:tab w:val="left" w:pos="720" w:leader="none"/>
          <w:tab w:val="left" w:pos="90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（1）</w:t>
      </w:r>
      <w:r>
        <w:rPr>
          <w:rFonts w:ascii="Times New Roman" w:hAnsi="Times New Roman" w:eastAsia="宋体" w:cs="Times New Roman"/>
          <w:bCs/>
          <w:color w:val="000000"/>
          <w:sz w:val="24"/>
          <w:szCs w:val="20"/>
        </w:rPr>
        <w:t xml:space="preserve">___________</w:t>
      </w:r>
      <w:r>
        <w:rPr>
          <w:rFonts w:ascii="Times New Roman" w:hAnsi="Times New Roman" w:eastAsia="宋体" w:cs="Times New Roman"/>
          <w:color w:val="000000"/>
          <w:sz w:val="24"/>
          <w:szCs w:val="20"/>
        </w:rPr>
        <w:t xml:space="preserve">为□大型企业□中型企业、□小微企业（包含监狱企业、残疾人福利性单位）、□其他，合同金额为_____元；</w:t>
      </w:r>
      <w:r>
        <w:rPr>
          <w:rFonts w:ascii="Times New Roman" w:hAnsi="Times New Roman" w:eastAsia="宋体" w:cs="Times New Roman"/>
          <w:color w:val="000000"/>
          <w:sz w:val="24"/>
          <w:szCs w:val="20"/>
        </w:rPr>
      </w:r>
      <w:r/>
    </w:p>
    <w:p>
      <w:pPr>
        <w:pStyle w:val="1053"/>
        <w:ind w:left="851"/>
        <w:spacing w:line="360" w:lineRule="auto"/>
        <w:tabs>
          <w:tab w:val="left" w:pos="720" w:leader="none"/>
          <w:tab w:val="left" w:pos="90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w:t>
      </w:r>
      <w:r>
        <w:rPr>
          <w:rFonts w:ascii="Times New Roman" w:hAnsi="Times New Roman" w:eastAsia="宋体" w:cs="Times New Roman"/>
          <w:bCs/>
          <w:color w:val="000000"/>
          <w:sz w:val="24"/>
          <w:szCs w:val="20"/>
        </w:rPr>
        <w:t xml:space="preserve">___________</w:t>
      </w:r>
      <w:r>
        <w:rPr>
          <w:rFonts w:ascii="Times New Roman" w:hAnsi="Times New Roman" w:eastAsia="宋体" w:cs="Times New Roman"/>
          <w:color w:val="000000"/>
          <w:sz w:val="24"/>
          <w:szCs w:val="20"/>
        </w:rPr>
        <w:t xml:space="preserve">为□大型企业□中型企业、□小微企业（包含监狱企业、残疾人福利性单位）、□其他，合同金额为_____元；</w:t>
      </w:r>
      <w:r>
        <w:rPr>
          <w:rFonts w:ascii="Times New Roman" w:hAnsi="Times New Roman" w:eastAsia="宋体" w:cs="Times New Roman"/>
          <w:color w:val="000000"/>
          <w:sz w:val="24"/>
          <w:szCs w:val="20"/>
        </w:rPr>
      </w:r>
      <w:r/>
    </w:p>
    <w:p>
      <w:pPr>
        <w:pStyle w:val="1053"/>
        <w:ind w:left="851"/>
        <w:spacing w:line="360" w:lineRule="auto"/>
        <w:tabs>
          <w:tab w:val="left" w:pos="720" w:leader="none"/>
          <w:tab w:val="left" w:pos="90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w:t>
      </w:r>
      <w:r>
        <w:rPr>
          <w:rFonts w:ascii="Times New Roman" w:hAnsi="Times New Roman" w:eastAsia="宋体" w:cs="Times New Roman"/>
          <w:bCs/>
          <w:color w:val="000000"/>
          <w:sz w:val="24"/>
          <w:szCs w:val="20"/>
        </w:rPr>
        <w:t xml:space="preserve">___________</w:t>
      </w:r>
      <w:r>
        <w:rPr>
          <w:rFonts w:ascii="Times New Roman" w:hAnsi="Times New Roman" w:eastAsia="宋体" w:cs="Times New Roman"/>
          <w:color w:val="000000"/>
          <w:sz w:val="24"/>
          <w:szCs w:val="20"/>
        </w:rPr>
        <w:t xml:space="preserve">为□大型企业□中型企业、□小微企业（包含监狱企业、残疾人福利性单位）、□其他，合同金额为_____元。</w:t>
      </w:r>
      <w:r>
        <w:rPr>
          <w:rFonts w:ascii="Times New Roman" w:hAnsi="Times New Roman" w:eastAsia="宋体" w:cs="Times New Roman"/>
          <w:color w:val="000000"/>
          <w:sz w:val="24"/>
          <w:szCs w:val="20"/>
        </w:rPr>
      </w:r>
      <w:r/>
    </w:p>
    <w:p>
      <w:pPr>
        <w:pStyle w:val="1053"/>
        <w:numPr>
          <w:ilvl w:val="0"/>
          <w:numId w:val="17"/>
        </w:numPr>
        <w:ind w:left="780" w:hanging="600"/>
        <w:spacing w:line="360" w:lineRule="auto"/>
        <w:tabs>
          <w:tab w:val="left" w:pos="780" w:leader="none"/>
          <w:tab w:val="left" w:pos="993" w:leader="none"/>
        </w:tabs>
        <w:rPr>
          <w:rFonts w:ascii="Times New Roman" w:hAnsi="Times New Roman" w:eastAsia="宋体" w:cs="Times New Roman"/>
          <w:bCs/>
          <w:color w:val="000000"/>
          <w:sz w:val="24"/>
        </w:rPr>
      </w:pPr>
      <w:r>
        <w:rPr>
          <w:rFonts w:ascii="Times New Roman" w:hAnsi="Times New Roman" w:eastAsia="宋体" w:cs="Times New Roman"/>
          <w:bCs/>
          <w:color w:val="000000"/>
          <w:sz w:val="24"/>
        </w:rPr>
        <w:t xml:space="preserve">以联合体形式参加政府采购活动的，联合体各方不得再单独参加或者与其他供应商另外组成联合体参加同一合同项下的政府采购活动。</w:t>
      </w:r>
      <w:r>
        <w:rPr>
          <w:rFonts w:ascii="Times New Roman" w:hAnsi="Times New Roman" w:eastAsia="宋体" w:cs="Times New Roman"/>
          <w:bCs/>
          <w:color w:val="000000"/>
          <w:sz w:val="24"/>
        </w:rPr>
      </w:r>
      <w:r/>
    </w:p>
    <w:p>
      <w:pPr>
        <w:pStyle w:val="1053"/>
        <w:numPr>
          <w:ilvl w:val="0"/>
          <w:numId w:val="17"/>
        </w:numPr>
        <w:ind w:left="780" w:hanging="600"/>
        <w:spacing w:line="360" w:lineRule="auto"/>
        <w:tabs>
          <w:tab w:val="left" w:pos="780" w:leader="none"/>
        </w:tabs>
        <w:rPr>
          <w:rFonts w:ascii="Times New Roman" w:hAnsi="Times New Roman" w:eastAsia="宋体" w:cs="Times New Roman"/>
          <w:bCs/>
          <w:color w:val="000000"/>
          <w:sz w:val="24"/>
        </w:rPr>
      </w:pPr>
      <w:r>
        <w:rPr>
          <w:rFonts w:ascii="Times New Roman" w:hAnsi="Times New Roman" w:eastAsia="宋体" w:cs="Times New Roman"/>
          <w:bCs/>
          <w:color w:val="000000"/>
          <w:sz w:val="24"/>
        </w:rPr>
        <w:t xml:space="preserve">其他约定（如有）：______________</w:t>
      </w:r>
      <w:r>
        <w:rPr>
          <w:rFonts w:ascii="Times New Roman" w:hAnsi="Times New Roman" w:eastAsia="宋体" w:cs="Times New Roman"/>
          <w:bCs/>
          <w:color w:val="000000"/>
          <w:sz w:val="24"/>
        </w:rPr>
      </w:r>
      <w:r/>
    </w:p>
    <w:p>
      <w:pPr>
        <w:pStyle w:val="1053"/>
        <w:ind w:left="180" w:firstLine="480"/>
        <w:spacing w:line="360" w:lineRule="auto"/>
        <w:tabs>
          <w:tab w:val="left" w:pos="780" w:leader="none"/>
        </w:tabs>
        <w:rPr>
          <w:rFonts w:ascii="Times New Roman" w:hAnsi="Times New Roman" w:eastAsia="宋体" w:cs="Times New Roman"/>
          <w:color w:val="000000"/>
          <w:sz w:val="24"/>
        </w:rPr>
      </w:pPr>
      <w:r>
        <w:rPr>
          <w:rFonts w:ascii="Times New Roman" w:hAnsi="Times New Roman" w:eastAsia="宋体" w:cs="Times New Roman"/>
          <w:bCs/>
          <w:color w:val="000000"/>
          <w:sz w:val="24"/>
        </w:rPr>
        <w:t xml:space="preserve">本协议自各方盖章后生效，采购合同履行完毕后自动失效。如未成交，本协议自动终止。</w:t>
      </w:r>
      <w:r>
        <w:rPr>
          <w:rFonts w:ascii="Times New Roman" w:hAnsi="Times New Roman" w:eastAsia="宋体" w:cs="Times New Roman"/>
          <w:color w:val="000000"/>
          <w:sz w:val="24"/>
        </w:rPr>
      </w:r>
      <w:r/>
    </w:p>
    <w:p>
      <w:pPr>
        <w:pStyle w:val="1053"/>
        <w:ind w:firstLine="471"/>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联合体</w:t>
      </w:r>
      <w:r>
        <w:rPr>
          <w:rFonts w:ascii="Times New Roman" w:hAnsi="Times New Roman" w:eastAsia="宋体" w:cs="Times New Roman"/>
          <w:color w:val="000000"/>
          <w:sz w:val="24"/>
        </w:rPr>
        <w:t xml:space="preserve">牵头人</w:t>
      </w:r>
      <w:r>
        <w:rPr>
          <w:rFonts w:hint="eastAsia" w:ascii="Times New Roman" w:hAnsi="Times New Roman" w:eastAsia="宋体" w:cs="Times New Roman"/>
          <w:color w:val="000000"/>
          <w:sz w:val="24"/>
        </w:rPr>
        <w:t xml:space="preserve">名称：</w:t>
      </w:r>
      <w:r>
        <w:rPr>
          <w:rFonts w:ascii="Times New Roman" w:hAnsi="Times New Roman" w:eastAsia="宋体" w:cs="Times New Roman"/>
          <w:color w:val="000000"/>
          <w:sz w:val="24"/>
          <w:szCs w:val="20"/>
        </w:rPr>
        <w:t xml:space="preserve">______</w:t>
      </w:r>
      <w:r>
        <w:rPr>
          <w:rFonts w:ascii="Times New Roman" w:hAnsi="Times New Roman" w:eastAsia="宋体" w:cs="Times New Roman"/>
          <w:color w:val="000000"/>
          <w:sz w:val="24"/>
        </w:rPr>
        <w:tab/>
      </w:r>
      <w:r>
        <w:rPr>
          <w:rFonts w:ascii="Times New Roman" w:hAnsi="Times New Roman" w:eastAsia="宋体" w:cs="Times New Roman"/>
          <w:color w:val="000000"/>
          <w:sz w:val="24"/>
        </w:rPr>
        <w:tab/>
      </w:r>
      <w:r>
        <w:rPr>
          <w:rFonts w:ascii="Times New Roman" w:hAnsi="Times New Roman" w:eastAsia="宋体" w:cs="Times New Roman"/>
          <w:color w:val="000000"/>
          <w:sz w:val="24"/>
        </w:rPr>
        <w:tab/>
      </w:r>
      <w:r>
        <w:rPr>
          <w:rFonts w:ascii="Times New Roman" w:hAnsi="Times New Roman" w:eastAsia="宋体" w:cs="Times New Roman"/>
          <w:color w:val="000000"/>
          <w:sz w:val="24"/>
        </w:rPr>
        <w:tab/>
      </w:r>
      <w:r>
        <w:rPr>
          <w:rFonts w:ascii="Times New Roman" w:hAnsi="Times New Roman" w:eastAsia="宋体" w:cs="Times New Roman"/>
          <w:color w:val="000000"/>
          <w:sz w:val="24"/>
        </w:rPr>
        <w:tab/>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联合体成员名称</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0"/>
        </w:rPr>
        <w:t xml:space="preserve">______</w:t>
      </w:r>
      <w:r>
        <w:rPr>
          <w:rFonts w:ascii="Times New Roman" w:hAnsi="Times New Roman" w:eastAsia="宋体" w:cs="Times New Roman"/>
          <w:color w:val="000000"/>
          <w:sz w:val="24"/>
        </w:rPr>
      </w:r>
      <w:r/>
    </w:p>
    <w:p>
      <w:pPr>
        <w:pStyle w:val="1053"/>
        <w:ind w:firstLine="471"/>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盖章：</w:t>
      </w:r>
      <w:r>
        <w:rPr>
          <w:rFonts w:ascii="Times New Roman" w:hAnsi="Times New Roman" w:eastAsia="宋体" w:cs="Times New Roman"/>
          <w:color w:val="000000"/>
          <w:sz w:val="24"/>
          <w:szCs w:val="20"/>
        </w:rPr>
        <w:t xml:space="preserve">______</w:t>
      </w:r>
      <w:r>
        <w:rPr>
          <w:rFonts w:ascii="Times New Roman" w:hAnsi="Times New Roman" w:eastAsia="宋体" w:cs="Times New Roman"/>
          <w:color w:val="000000"/>
          <w:sz w:val="24"/>
        </w:rPr>
        <w:t xml:space="preserve">                           盖章：</w:t>
      </w:r>
      <w:r>
        <w:rPr>
          <w:rFonts w:ascii="Times New Roman" w:hAnsi="Times New Roman" w:eastAsia="宋体" w:cs="Times New Roman"/>
          <w:color w:val="000000"/>
          <w:sz w:val="24"/>
          <w:szCs w:val="20"/>
        </w:rPr>
        <w:t xml:space="preserve">______</w:t>
      </w:r>
      <w:r>
        <w:rPr>
          <w:rFonts w:ascii="Times New Roman" w:hAnsi="Times New Roman" w:eastAsia="宋体" w:cs="Times New Roman"/>
          <w:color w:val="000000"/>
          <w:sz w:val="24"/>
        </w:rPr>
      </w:r>
      <w:r/>
    </w:p>
    <w:p>
      <w:pPr>
        <w:pStyle w:val="1053"/>
        <w:ind w:firstLine="471"/>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53"/>
        <w:ind w:firstLine="471"/>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53"/>
        <w:ind w:firstLine="48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1053"/>
        <w:ind w:firstLine="471"/>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1053"/>
        <w:ind w:left="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53"/>
        <w:ind w:left="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日期：_____年______月______日</w:t>
      </w:r>
      <w:r>
        <w:rPr>
          <w:rFonts w:ascii="Times New Roman" w:hAnsi="Times New Roman" w:eastAsia="宋体" w:cs="Times New Roman"/>
          <w:color w:val="000000"/>
          <w:sz w:val="24"/>
        </w:rPr>
      </w:r>
      <w:r/>
    </w:p>
    <w:p>
      <w:pPr>
        <w:pStyle w:val="1053"/>
        <w:ind w:left="480"/>
        <w:jc w:val="right"/>
        <w:spacing w:line="360" w:lineRule="auto"/>
        <w:rPr>
          <w:rFonts w:ascii="Times New Roman" w:hAnsi="Times New Roman" w:eastAsia="宋体" w:cs="Times New Roman"/>
          <w:b/>
          <w:color w:val="000000"/>
          <w:sz w:val="24"/>
        </w:rPr>
      </w:pPr>
      <w:r>
        <w:rPr>
          <w:rFonts w:ascii="Times New Roman" w:hAnsi="Times New Roman" w:eastAsia="宋体" w:cs="Times New Roman"/>
          <w:b/>
          <w:color w:val="000000"/>
          <w:sz w:val="24"/>
        </w:rPr>
      </w:r>
      <w:r/>
    </w:p>
    <w:p>
      <w:pPr>
        <w:pStyle w:val="1053"/>
        <w:ind w:firstLine="480"/>
        <w:spacing w:line="360" w:lineRule="auto"/>
        <w:tabs>
          <w:tab w:val="left" w:pos="82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53"/>
        <w:ind w:firstLine="480"/>
        <w:spacing w:line="360" w:lineRule="auto"/>
        <w:tabs>
          <w:tab w:val="left" w:pos="82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53"/>
        <w:ind w:left="719" w:hanging="240"/>
        <w:spacing w:line="360" w:lineRule="auto"/>
        <w:rPr>
          <w:rFonts w:ascii="Times New Roman" w:hAnsi="Times New Roman" w:eastAsia="宋体" w:cs="Times New Roman"/>
          <w:b/>
          <w:bCs/>
          <w:color w:val="000000"/>
          <w:sz w:val="24"/>
          <w:lang w:val="en-US" w:eastAsia="zh-CN"/>
        </w:rPr>
      </w:pPr>
      <w:r>
        <w:rPr>
          <w:rFonts w:ascii="Times New Roman" w:hAnsi="Times New Roman" w:eastAsia="宋体" w:cs="Times New Roman"/>
          <w:color w:val="000000"/>
          <w:sz w:val="24"/>
        </w:rPr>
        <w:t xml:space="preserve">注：联合体各方成员应在本协议上共同盖章，不得分别签署协议书。</w:t>
      </w:r>
      <w:r>
        <w:rPr>
          <w:rFonts w:hint="eastAsia" w:ascii="Times New Roman" w:hAnsi="Times New Roman" w:eastAsia="宋体" w:cs="Times New Roman"/>
          <w:b/>
          <w:bCs/>
          <w:color w:val="000000"/>
          <w:sz w:val="24"/>
          <w:lang w:val="en-US" w:eastAsia="zh-CN"/>
        </w:rPr>
        <w:t xml:space="preserve">否则作无效标处理。</w:t>
      </w:r>
      <w:r>
        <w:rPr>
          <w:rFonts w:ascii="Times New Roman" w:hAnsi="Times New Roman" w:eastAsia="宋体" w:cs="Times New Roman"/>
          <w:b/>
          <w:bCs/>
          <w:color w:val="000000"/>
          <w:sz w:val="24"/>
          <w:lang w:val="en-US" w:eastAsia="zh-CN"/>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color w:val="000000"/>
          <w:sz w:val="24"/>
          <w:szCs w:val="20"/>
        </w:rPr>
        <w:outlineLvl w:val="2"/>
      </w:pPr>
      <w:r>
        <w:rPr>
          <w:color w:val="000000"/>
          <w:sz w:val="24"/>
          <w:szCs w:val="20"/>
        </w:rPr>
      </w:r>
      <w:r/>
    </w:p>
    <w:p>
      <w:pPr>
        <w:pStyle w:val="1053"/>
        <w:spacing w:line="360" w:lineRule="auto"/>
        <w:rPr>
          <w:rFonts w:hint="eastAsia" w:ascii="Times New Roman" w:eastAsia="宋体"/>
          <w:sz w:val="24"/>
          <w:lang w:val="en-US" w:eastAsia="zh-CN"/>
        </w:rPr>
        <w:outlineLvl w:val="2"/>
      </w:pPr>
      <w:r>
        <w:rPr>
          <w:rFonts w:hint="eastAsia" w:ascii="Times New Roman" w:eastAsia="宋体"/>
          <w:sz w:val="24"/>
          <w:lang w:val="en-US" w:eastAsia="zh-CN"/>
        </w:rPr>
        <w:t xml:space="preserve">联合体授权书格式自拟（如有）</w:t>
      </w:r>
      <w:r>
        <w:rPr>
          <w:rFonts w:hint="eastAsia" w:ascii="Times New Roman" w:eastAsia="宋体"/>
          <w:sz w:val="24"/>
          <w:lang w:val="en-US" w:eastAsia="zh-CN"/>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ind w:left="719" w:hanging="240"/>
        <w:spacing w:line="360" w:lineRule="auto"/>
        <w:rPr>
          <w:rFonts w:hint="eastAsia"/>
          <w:sz w:val="24"/>
          <w:szCs w:val="20"/>
        </w:rPr>
      </w:pPr>
      <w:r>
        <w:rPr>
          <w:rFonts w:hint="eastAsia"/>
          <w:sz w:val="24"/>
          <w:szCs w:val="20"/>
        </w:rPr>
      </w:r>
      <w:r/>
    </w:p>
    <w:p>
      <w:pPr>
        <w:pStyle w:val="1053"/>
        <w:jc w:val="center"/>
        <w:widowControl/>
        <w:rPr>
          <w:rFonts w:hint="eastAsia" w:ascii="宋体" w:hAnsi="宋体"/>
          <w:b/>
          <w:sz w:val="32"/>
          <w:szCs w:val="32"/>
        </w:rPr>
      </w:pPr>
      <w:r>
        <w:rPr>
          <w:rFonts w:ascii="宋体" w:hAnsi="宋体"/>
          <w:b/>
          <w:sz w:val="32"/>
          <w:szCs w:val="32"/>
        </w:rPr>
        <w:t xml:space="preserve">二、商务技术文件格式</w:t>
      </w:r>
      <w:bookmarkStart w:id="814" w:name="_Toc150480794"/>
      <w:r/>
      <w:bookmarkStart w:id="815" w:name="_Toc150774761"/>
      <w:r/>
      <w:bookmarkStart w:id="816" w:name="_Toc142311058"/>
      <w:r/>
      <w:bookmarkStart w:id="817" w:name="_Toc480942349"/>
      <w:r/>
      <w:bookmarkStart w:id="818" w:name="_Ref467988698"/>
      <w:r/>
      <w:bookmarkStart w:id="819" w:name="_Toc195842921"/>
      <w:r/>
      <w:bookmarkStart w:id="820" w:name="_Toc520356217"/>
      <w:r/>
      <w:bookmarkStart w:id="821" w:name="_Toc226309800"/>
      <w:r/>
      <w:bookmarkStart w:id="822" w:name="_Toc127151556"/>
      <w:r/>
      <w:bookmarkStart w:id="823" w:name="_Toc226965746"/>
      <w:r/>
      <w:bookmarkStart w:id="824" w:name="_Toc226965829"/>
      <w:r/>
      <w:bookmarkStart w:id="825" w:name="_Toc226337252"/>
      <w:r>
        <w:rPr>
          <w:rFonts w:hint="eastAsia" w:ascii="宋体" w:hAnsi="宋体"/>
          <w:b/>
          <w:sz w:val="32"/>
          <w:szCs w:val="32"/>
        </w:rPr>
      </w:r>
      <w:r/>
    </w:p>
    <w:p>
      <w:pPr>
        <w:pStyle w:val="1053"/>
        <w:jc w:val="center"/>
        <w:widowControl/>
        <w:rPr>
          <w:rFonts w:hint="eastAsia" w:ascii="宋体" w:hAnsi="宋体"/>
          <w:b/>
          <w:sz w:val="32"/>
          <w:szCs w:val="32"/>
        </w:rPr>
      </w:pPr>
      <w:r>
        <w:rPr>
          <w:rFonts w:hint="eastAsia" w:ascii="宋体" w:hAnsi="宋体"/>
          <w:b/>
          <w:sz w:val="32"/>
          <w:szCs w:val="32"/>
        </w:rPr>
      </w:r>
      <w:r/>
    </w:p>
    <w:p>
      <w:pPr>
        <w:pStyle w:val="1053"/>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Pr>
          <w:rFonts w:hint="eastAsia"/>
          <w:color w:val="000000"/>
          <w:sz w:val="24"/>
        </w:rPr>
        <w:t xml:space="preserve">函</w:t>
      </w:r>
      <w:r>
        <w:rPr>
          <w:color w:val="000000"/>
          <w:sz w:val="24"/>
          <w:szCs w:val="20"/>
        </w:rPr>
        <w:t xml:space="preserve">（实质性格式）</w:t>
      </w:r>
      <w:r>
        <w:rPr>
          <w:color w:val="000000"/>
          <w:sz w:val="24"/>
          <w:szCs w:val="20"/>
        </w:rPr>
      </w:r>
      <w:r/>
    </w:p>
    <w:p>
      <w:pPr>
        <w:pStyle w:val="1053"/>
        <w:spacing w:line="360" w:lineRule="auto"/>
        <w:tabs>
          <w:tab w:val="left" w:pos="5580" w:leader="none"/>
        </w:tabs>
        <w:rPr>
          <w:color w:val="000000"/>
          <w:sz w:val="24"/>
        </w:rPr>
      </w:pPr>
      <w:r>
        <w:rPr>
          <w:color w:val="000000"/>
          <w:sz w:val="24"/>
        </w:rPr>
      </w:r>
      <w:r/>
    </w:p>
    <w:p>
      <w:pPr>
        <w:pStyle w:val="1053"/>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105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53"/>
        <w:spacing w:line="360" w:lineRule="auto"/>
        <w:tabs>
          <w:tab w:val="left" w:pos="5580" w:leader="none"/>
        </w:tabs>
        <w:rPr>
          <w:color w:val="000000"/>
          <w:sz w:val="24"/>
          <w:szCs w:val="20"/>
        </w:rPr>
      </w:pPr>
      <w:r>
        <w:rPr>
          <w:color w:val="000000"/>
          <w:sz w:val="24"/>
          <w:szCs w:val="20"/>
        </w:rPr>
      </w:r>
      <w:r/>
    </w:p>
    <w:p>
      <w:pPr>
        <w:pStyle w:val="1053"/>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105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1053"/>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5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105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5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（4）如我方中标，我方将在法律规定的期限内与你方签订合同，并在合同约定的期限内完成合同规定的全部义务。</w:t>
      </w:r>
      <w:r>
        <w:rPr>
          <w:color w:val="000000"/>
          <w:sz w:val="24"/>
        </w:rPr>
      </w:r>
      <w:r/>
    </w:p>
    <w:p>
      <w:pPr>
        <w:pStyle w:val="105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53"/>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1053"/>
        <w:ind w:left="420"/>
        <w:spacing w:line="360" w:lineRule="auto"/>
        <w:tabs>
          <w:tab w:val="left" w:pos="5580" w:leader="none"/>
        </w:tabs>
        <w:rPr>
          <w:color w:val="000000"/>
          <w:sz w:val="24"/>
          <w:szCs w:val="20"/>
        </w:rPr>
      </w:pPr>
      <w:r>
        <w:rPr>
          <w:color w:val="000000"/>
          <w:sz w:val="24"/>
          <w:szCs w:val="20"/>
        </w:rPr>
      </w:r>
      <w:r/>
    </w:p>
    <w:p>
      <w:pPr>
        <w:pStyle w:val="105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5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53"/>
        <w:ind w:left="420"/>
        <w:spacing w:line="360" w:lineRule="auto"/>
        <w:tabs>
          <w:tab w:val="left" w:pos="5580" w:leader="none"/>
        </w:tabs>
        <w:rPr>
          <w:color w:val="000000"/>
          <w:sz w:val="24"/>
          <w:szCs w:val="20"/>
        </w:rPr>
      </w:pPr>
      <w:r>
        <w:rPr>
          <w:color w:val="000000"/>
          <w:sz w:val="24"/>
          <w:szCs w:val="20"/>
        </w:rPr>
      </w:r>
      <w:r/>
    </w:p>
    <w:p>
      <w:pPr>
        <w:pStyle w:val="1053"/>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1053"/>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53"/>
        <w:ind w:left="420"/>
        <w:spacing w:line="360" w:lineRule="auto"/>
        <w:tabs>
          <w:tab w:val="left" w:pos="5580" w:leader="none"/>
        </w:tabs>
        <w:rPr>
          <w:color w:val="000000"/>
          <w:sz w:val="24"/>
          <w:szCs w:val="20"/>
          <w:u w:val="single"/>
        </w:rPr>
      </w:pPr>
      <w:r>
        <w:rPr>
          <w:color w:val="000000"/>
          <w:sz w:val="24"/>
          <w:szCs w:val="20"/>
          <w:u w:val="single"/>
        </w:rPr>
      </w:r>
      <w:r/>
    </w:p>
    <w:p>
      <w:pPr>
        <w:pStyle w:val="1053"/>
        <w:jc w:val="left"/>
        <w:widowControl/>
        <w:rPr>
          <w:rFonts w:hint="eastAsia"/>
          <w:color w:val="000000"/>
          <w:sz w:val="24"/>
        </w:rPr>
      </w:pPr>
      <w:r/>
      <w:bookmarkStart w:id="826" w:name="_Hlt520356243"/>
      <w:r/>
      <w:bookmarkEnd w:id="826"/>
      <w:r/>
      <w:bookmarkStart w:id="827" w:name="_Hlt520355938"/>
      <w:r/>
      <w:bookmarkEnd w:id="827"/>
      <w:r>
        <w:rPr>
          <w:color w:val="000000"/>
          <w:sz w:val="24"/>
        </w:rPr>
        <w:br w:type="page" w:clear="all"/>
      </w:r>
      <w:r>
        <w:rPr>
          <w:rFonts w:hint="eastAsia"/>
          <w:color w:val="000000"/>
          <w:sz w:val="24"/>
        </w:rPr>
      </w:r>
      <w:r/>
    </w:p>
    <w:p>
      <w:pPr>
        <w:pStyle w:val="1053"/>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53"/>
        <w:jc w:val="center"/>
        <w:spacing w:line="360" w:lineRule="auto"/>
        <w:rPr>
          <w:rFonts w:hint="eastAsia" w:ascii="宋体" w:hAnsi="宋体"/>
          <w:b/>
          <w:sz w:val="32"/>
          <w:szCs w:val="32"/>
        </w:rPr>
      </w:pPr>
      <w:r>
        <w:rPr>
          <w:rFonts w:hint="eastAsia" w:ascii="宋体" w:hAnsi="宋体"/>
          <w:b/>
          <w:sz w:val="32"/>
          <w:szCs w:val="32"/>
        </w:rPr>
      </w:r>
      <w:r/>
    </w:p>
    <w:p>
      <w:pPr>
        <w:pStyle w:val="105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5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5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5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5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5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53"/>
        <w:spacing w:line="560" w:lineRule="exact"/>
        <w:rPr>
          <w:rFonts w:ascii="宋体" w:hAnsi="宋体"/>
          <w:sz w:val="24"/>
        </w:rPr>
      </w:pPr>
      <w:r>
        <w:rPr>
          <w:rFonts w:ascii="宋体" w:hAnsi="宋体"/>
          <w:sz w:val="24"/>
        </w:rPr>
      </w:r>
      <w:r/>
    </w:p>
    <w:p>
      <w:pPr>
        <w:pStyle w:val="108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5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5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53"/>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5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53"/>
        <w:jc w:val="left"/>
        <w:widowControl/>
        <w:rPr>
          <w:rFonts w:hint="eastAsia"/>
          <w:color w:val="000000"/>
          <w:sz w:val="24"/>
        </w:rPr>
      </w:pPr>
      <w:r>
        <w:rPr>
          <w:rFonts w:hint="eastAsia"/>
          <w:color w:val="000000"/>
          <w:sz w:val="24"/>
        </w:rPr>
      </w:r>
      <w:r/>
    </w:p>
    <w:p>
      <w:pPr>
        <w:pStyle w:val="1053"/>
        <w:jc w:val="left"/>
        <w:widowControl/>
        <w:rPr>
          <w:rFonts w:hint="eastAsia"/>
          <w:color w:val="000000"/>
          <w:sz w:val="24"/>
        </w:rPr>
      </w:pPr>
      <w:r>
        <w:rPr>
          <w:rFonts w:hint="eastAsia"/>
          <w:color w:val="000000"/>
          <w:sz w:val="24"/>
        </w:rPr>
      </w:r>
      <w:r/>
    </w:p>
    <w:p>
      <w:pPr>
        <w:pStyle w:val="1053"/>
        <w:jc w:val="left"/>
        <w:widowControl/>
        <w:rPr>
          <w:rFonts w:hint="eastAsia"/>
          <w:color w:val="000000"/>
          <w:sz w:val="24"/>
        </w:rPr>
      </w:pPr>
      <w:r>
        <w:rPr>
          <w:rFonts w:hint="eastAsia"/>
          <w:color w:val="000000"/>
          <w:sz w:val="24"/>
        </w:rPr>
      </w:r>
      <w:r/>
    </w:p>
    <w:p>
      <w:pPr>
        <w:pStyle w:val="1053"/>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53"/>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53"/>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1053"/>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1053"/>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1053"/>
        <w:jc w:val="left"/>
        <w:widowControl/>
        <w:rPr>
          <w:rFonts w:hint="eastAsia"/>
          <w:color w:val="000000"/>
          <w:sz w:val="24"/>
          <w:highlight w:val="none"/>
        </w:rPr>
      </w:pPr>
      <w:r>
        <w:rPr>
          <w:rFonts w:hint="eastAsia"/>
          <w:color w:val="000000"/>
          <w:sz w:val="24"/>
          <w:highlight w:val="none"/>
        </w:rPr>
        <w:t xml:space="preserve"> 授权委托书</w:t>
      </w:r>
      <w:r>
        <w:rPr>
          <w:color w:val="000000"/>
          <w:sz w:val="24"/>
          <w:szCs w:val="20"/>
          <w:highlight w:val="none"/>
        </w:rPr>
        <w:t xml:space="preserve">（实质性格式）</w:t>
      </w:r>
      <w:r>
        <w:rPr>
          <w:rFonts w:hint="eastAsia"/>
          <w:color w:val="000000"/>
          <w:sz w:val="24"/>
          <w:highlight w:val="none"/>
        </w:rPr>
      </w:r>
      <w:r/>
    </w:p>
    <w:p>
      <w:pPr>
        <w:pStyle w:val="1053"/>
        <w:jc w:val="left"/>
        <w:widowControl/>
        <w:rPr>
          <w:rFonts w:hint="eastAsia"/>
          <w:color w:val="000000"/>
          <w:sz w:val="24"/>
          <w:highlight w:val="none"/>
        </w:rPr>
      </w:pPr>
      <w:r>
        <w:rPr>
          <w:rFonts w:hint="eastAsia"/>
          <w:color w:val="000000"/>
          <w:sz w:val="24"/>
          <w:highlight w:val="none"/>
        </w:rPr>
      </w:r>
      <w:r/>
    </w:p>
    <w:p>
      <w:pPr>
        <w:pStyle w:val="1053"/>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授权委托书</w:t>
      </w:r>
      <w:r>
        <w:rPr>
          <w:rFonts w:hint="eastAsia" w:ascii="宋体" w:hAnsi="宋体"/>
          <w:b/>
          <w:sz w:val="32"/>
          <w:szCs w:val="32"/>
          <w:highlight w:val="none"/>
        </w:rPr>
      </w:r>
      <w:r/>
    </w:p>
    <w:p>
      <w:pPr>
        <w:pStyle w:val="1053"/>
        <w:spacing w:line="360" w:lineRule="auto"/>
        <w:rPr>
          <w:rFonts w:hint="eastAsia" w:ascii="宋体" w:hAnsi="宋体"/>
          <w:sz w:val="24"/>
          <w:highlight w:val="none"/>
        </w:rPr>
      </w:pPr>
      <w:r>
        <w:rPr>
          <w:rFonts w:hint="eastAsia" w:ascii="宋体" w:hAnsi="宋体"/>
          <w:sz w:val="24"/>
          <w:highlight w:val="none"/>
        </w:rPr>
        <w:t xml:space="preserve">本授权委托书声明：____________（供应商名称）授权________________（被授权人的姓名）为我方就</w:t>
      </w:r>
      <w:r>
        <w:rPr>
          <w:rFonts w:hint="eastAsia" w:ascii="宋体" w:hAnsi="宋体"/>
          <w:sz w:val="24"/>
          <w:highlight w:val="none"/>
          <w:u w:val="single"/>
        </w:rPr>
        <w:t xml:space="preserve">           </w:t>
      </w:r>
      <w:r>
        <w:rPr>
          <w:rFonts w:hint="eastAsia" w:ascii="宋体" w:hAnsi="宋体"/>
          <w:sz w:val="24"/>
          <w:highlight w:val="none"/>
        </w:rPr>
        <w:t xml:space="preserve">号项</w:t>
      </w:r>
      <w:r>
        <w:rPr>
          <w:rFonts w:hint="eastAsia" w:ascii="宋体" w:hAnsi="宋体"/>
          <w:sz w:val="24"/>
          <w:highlight w:val="none"/>
          <w:lang w:eastAsia="zh-CN"/>
        </w:rPr>
        <w:t xml:space="preserve">竞争性谈判</w:t>
      </w:r>
      <w:r>
        <w:rPr>
          <w:rFonts w:hint="eastAsia" w:ascii="宋体" w:hAnsi="宋体"/>
          <w:sz w:val="24"/>
          <w:highlight w:val="none"/>
        </w:rPr>
        <w:t xml:space="preserve">活动的合法代理人，以本公司名义全权处理一切与该项目</w:t>
      </w:r>
      <w:r>
        <w:rPr>
          <w:rFonts w:hint="eastAsia" w:ascii="宋体" w:hAnsi="宋体"/>
          <w:sz w:val="24"/>
          <w:highlight w:val="none"/>
          <w:lang w:eastAsia="zh-CN"/>
        </w:rPr>
        <w:t xml:space="preserve">竞争性谈判</w:t>
      </w:r>
      <w:r>
        <w:rPr>
          <w:rFonts w:hint="eastAsia" w:ascii="宋体" w:hAnsi="宋体"/>
          <w:sz w:val="24"/>
          <w:highlight w:val="none"/>
        </w:rPr>
        <w:t xml:space="preserve">有关的事务，我单位均予以承认。代理人无转委托权。</w:t>
      </w:r>
      <w:r>
        <w:rPr>
          <w:rFonts w:hint="eastAsia" w:ascii="宋体" w:hAnsi="宋体"/>
          <w:sz w:val="24"/>
          <w:highlight w:val="none"/>
        </w:rPr>
      </w:r>
      <w:r/>
    </w:p>
    <w:p>
      <w:pPr>
        <w:pStyle w:val="1053"/>
        <w:spacing w:line="360" w:lineRule="auto"/>
        <w:rPr>
          <w:rFonts w:hint="eastAsia" w:ascii="宋体" w:hAnsi="宋体"/>
          <w:sz w:val="24"/>
          <w:highlight w:val="none"/>
        </w:rPr>
      </w:pPr>
      <w:r>
        <w:rPr>
          <w:rFonts w:hint="eastAsia" w:ascii="宋体" w:hAnsi="宋体"/>
          <w:sz w:val="24"/>
          <w:highlight w:val="none"/>
        </w:rPr>
        <w:t xml:space="preserve">代理人的代理期限为自本授权委托书签署之日起至项目合同履行完毕止。代理人在授权委托书有效期内签署的所有文件不因授权委托的撤销而失效，本授权委托书的有效期与代理人的代理期限一致。</w:t>
      </w:r>
      <w:r>
        <w:rPr>
          <w:rFonts w:hint="eastAsia" w:ascii="宋体" w:hAnsi="宋体"/>
          <w:sz w:val="24"/>
          <w:highlight w:val="none"/>
        </w:rPr>
      </w:r>
      <w:r/>
    </w:p>
    <w:p>
      <w:pPr>
        <w:pStyle w:val="1053"/>
        <w:spacing w:line="360" w:lineRule="auto"/>
        <w:rPr>
          <w:rFonts w:hint="eastAsia" w:ascii="宋体" w:hAnsi="宋体"/>
          <w:sz w:val="24"/>
          <w:highlight w:val="none"/>
        </w:rPr>
      </w:pPr>
      <w:r>
        <w:rPr>
          <w:rFonts w:hint="eastAsia" w:ascii="宋体" w:hAnsi="宋体"/>
          <w:sz w:val="24"/>
          <w:highlight w:val="none"/>
        </w:rPr>
        <w:t xml:space="preserve">特此声明。</w:t>
      </w:r>
      <w:r>
        <w:rPr>
          <w:rFonts w:hint="eastAsia" w:ascii="宋体" w:hAnsi="宋体"/>
          <w:sz w:val="24"/>
          <w:highlight w:val="none"/>
        </w:rPr>
      </w:r>
      <w:r/>
    </w:p>
    <w:p>
      <w:pPr>
        <w:pStyle w:val="1053"/>
        <w:spacing w:line="360" w:lineRule="auto"/>
        <w:rPr>
          <w:rFonts w:hint="eastAsia" w:ascii="宋体" w:hAnsi="宋体"/>
          <w:sz w:val="24"/>
          <w:highlight w:val="none"/>
        </w:rPr>
      </w:pPr>
      <w:r>
        <w:rPr>
          <w:rFonts w:hint="eastAsia" w:ascii="宋体" w:hAnsi="宋体"/>
          <w:sz w:val="24"/>
          <w:highlight w:val="none"/>
        </w:rPr>
        <w:t xml:space="preserve">供应商（盖章）：</w:t>
      </w:r>
      <w:r>
        <w:rPr>
          <w:rFonts w:hint="eastAsia" w:ascii="宋体" w:hAnsi="宋体"/>
          <w:sz w:val="24"/>
          <w:highlight w:val="none"/>
        </w:rPr>
      </w:r>
      <w:r/>
    </w:p>
    <w:p>
      <w:pPr>
        <w:pStyle w:val="1053"/>
        <w:spacing w:line="360" w:lineRule="auto"/>
        <w:rPr>
          <w:rFonts w:hint="eastAsia" w:ascii="宋体" w:hAnsi="宋体"/>
          <w:sz w:val="24"/>
          <w:highlight w:val="none"/>
        </w:rPr>
      </w:pPr>
      <w:r>
        <w:rPr>
          <w:rFonts w:hint="eastAsia" w:ascii="宋体" w:hAnsi="宋体"/>
          <w:sz w:val="24"/>
          <w:highlight w:val="none"/>
        </w:rPr>
        <w:t xml:space="preserve">法定代表人（单位负责人）（签字或盖章）：</w:t>
      </w:r>
      <w:r>
        <w:rPr>
          <w:rFonts w:hint="eastAsia" w:ascii="宋体" w:hAnsi="宋体"/>
          <w:sz w:val="24"/>
          <w:highlight w:val="none"/>
        </w:rPr>
      </w:r>
      <w:r/>
    </w:p>
    <w:p>
      <w:pPr>
        <w:pStyle w:val="1084"/>
        <w:ind w:right="-46"/>
        <w:spacing w:line="360" w:lineRule="auto"/>
        <w:tabs>
          <w:tab w:val="left" w:pos="567" w:leader="none"/>
        </w:tabs>
        <w:rPr>
          <w:spacing w:val="-3"/>
          <w:highlight w:val="none"/>
        </w:rPr>
      </w:pPr>
      <w:r>
        <w:rPr>
          <w:highlight w:val="none"/>
        </w:rPr>
        <w:t xml:space="preserve">附：</w:t>
      </w:r>
      <w:r>
        <w:rPr>
          <w:rFonts w:hint="eastAsia"/>
          <w:spacing w:val="-3"/>
          <w:highlight w:val="none"/>
        </w:rPr>
        <w:t xml:space="preserve">代理人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5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53"/>
        <w:spacing w:line="360" w:lineRule="auto"/>
        <w:rPr>
          <w:rFonts w:hint="eastAsia" w:ascii="宋体" w:hAnsi="宋体"/>
          <w:sz w:val="24"/>
          <w:highlight w:val="none"/>
        </w:rPr>
      </w:pPr>
      <w:r>
        <w:rPr>
          <w:rFonts w:hint="eastAsia" w:ascii="宋体" w:hAnsi="宋体"/>
          <w:sz w:val="24"/>
          <w:highlight w:val="none"/>
        </w:rPr>
        <w:t xml:space="preserve">代理人：（签字或盖章）</w:t>
      </w:r>
      <w:r>
        <w:rPr>
          <w:rFonts w:hint="eastAsia" w:ascii="宋体" w:hAnsi="宋体"/>
          <w:sz w:val="24"/>
          <w:highlight w:val="none"/>
        </w:rPr>
      </w:r>
      <w:r/>
    </w:p>
    <w:p>
      <w:pPr>
        <w:pStyle w:val="1053"/>
        <w:spacing w:line="360" w:lineRule="auto"/>
        <w:rPr>
          <w:rFonts w:hint="eastAsia" w:ascii="宋体" w:hAnsi="宋体"/>
          <w:sz w:val="24"/>
          <w:highlight w:val="none"/>
        </w:rPr>
      </w:pPr>
      <w:r>
        <w:rPr>
          <w:rFonts w:hint="eastAsia" w:ascii="宋体" w:hAnsi="宋体"/>
          <w:sz w:val="24"/>
          <w:highlight w:val="none"/>
        </w:rPr>
        <w:t xml:space="preserve">通讯地址：                   通讯电话：</w:t>
      </w:r>
      <w:r>
        <w:rPr>
          <w:rFonts w:hint="eastAsia" w:ascii="宋体" w:hAnsi="宋体"/>
          <w:sz w:val="24"/>
          <w:highlight w:val="none"/>
        </w:rPr>
      </w:r>
      <w:r/>
    </w:p>
    <w:p>
      <w:pPr>
        <w:pStyle w:val="1053"/>
        <w:spacing w:line="360" w:lineRule="auto"/>
        <w:rPr>
          <w:rFonts w:hint="eastAsia" w:ascii="宋体" w:hAnsi="宋体"/>
          <w:sz w:val="24"/>
          <w:highlight w:val="none"/>
        </w:rPr>
      </w:pPr>
      <w:r>
        <w:rPr>
          <w:rFonts w:hint="eastAsia" w:ascii="宋体" w:hAnsi="宋体"/>
          <w:sz w:val="24"/>
          <w:highlight w:val="none"/>
        </w:rPr>
        <w:t xml:space="preserve">邮箱：</w:t>
      </w:r>
      <w:r>
        <w:rPr>
          <w:rFonts w:hint="eastAsia" w:ascii="宋体" w:hAnsi="宋体"/>
          <w:sz w:val="24"/>
          <w:highlight w:val="none"/>
        </w:rPr>
      </w:r>
      <w:r/>
    </w:p>
    <w:p>
      <w:pPr>
        <w:pStyle w:val="1053"/>
        <w:spacing w:line="360" w:lineRule="auto"/>
        <w:rPr>
          <w:rFonts w:hint="eastAsia" w:ascii="宋体" w:hAnsi="宋体"/>
          <w:sz w:val="24"/>
          <w:highlight w:val="none"/>
        </w:rPr>
      </w:pPr>
      <w:r>
        <w:rPr>
          <w:rFonts w:hint="eastAsia" w:ascii="宋体" w:hAnsi="宋体"/>
          <w:sz w:val="24"/>
          <w:highlight w:val="none"/>
        </w:rPr>
        <w:t xml:space="preserve">身份证号码：</w:t>
      </w:r>
      <w:r>
        <w:rPr>
          <w:rFonts w:hint="eastAsia" w:ascii="宋体" w:hAnsi="宋体"/>
          <w:sz w:val="24"/>
          <w:highlight w:val="none"/>
        </w:rPr>
      </w:r>
      <w:r/>
    </w:p>
    <w:p>
      <w:pPr>
        <w:pStyle w:val="1053"/>
        <w:spacing w:line="360" w:lineRule="auto"/>
        <w:rPr>
          <w:rFonts w:hint="eastAsia" w:ascii="宋体" w:hAnsi="宋体"/>
          <w:sz w:val="24"/>
          <w:highlight w:val="none"/>
        </w:rPr>
      </w:pPr>
      <w:r>
        <w:rPr>
          <w:rFonts w:hint="eastAsia" w:ascii="宋体" w:hAnsi="宋体"/>
          <w:sz w:val="24"/>
          <w:highlight w:val="none"/>
        </w:rPr>
        <w:t xml:space="preserve">                                         年    月     日</w:t>
      </w:r>
      <w:r>
        <w:rPr>
          <w:rFonts w:hint="eastAsia" w:ascii="宋体" w:hAnsi="宋体"/>
          <w:sz w:val="24"/>
          <w:highlight w:val="none"/>
        </w:rPr>
      </w:r>
      <w:r/>
    </w:p>
    <w:p>
      <w:pPr>
        <w:pStyle w:val="1307"/>
        <w:spacing w:line="360" w:lineRule="auto"/>
        <w:rPr>
          <w:rFonts w:hint="eastAsia"/>
          <w:highlight w:val="none"/>
        </w:rPr>
      </w:pPr>
      <w:r>
        <w:rPr>
          <w:rFonts w:hint="eastAsia"/>
          <w:highlight w:val="none"/>
        </w:rPr>
      </w:r>
      <w:r/>
    </w:p>
    <w:p>
      <w:pPr>
        <w:pStyle w:val="105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5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采购</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53"/>
        <w:jc w:val="left"/>
        <w:widowControl/>
        <w:rPr>
          <w:rFonts w:hint="eastAsia"/>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供应商为法定代表人参加</w:t>
      </w:r>
      <w:r>
        <w:rPr>
          <w:rFonts w:hint="eastAsia" w:ascii="宋体" w:hAnsi="宋体"/>
          <w:sz w:val="24"/>
          <w:highlight w:val="none"/>
          <w:lang w:eastAsia="zh-CN"/>
        </w:rPr>
        <w:t xml:space="preserve">公开招标</w:t>
      </w:r>
      <w:r>
        <w:rPr>
          <w:rFonts w:hint="eastAsia" w:ascii="宋体" w:hAnsi="宋体"/>
          <w:color w:val="000000"/>
          <w:sz w:val="24"/>
          <w:szCs w:val="20"/>
          <w:highlight w:val="none"/>
        </w:rPr>
        <w:t xml:space="preserve">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hint="eastAsia"/>
          <w:color w:val="000000"/>
          <w:sz w:val="24"/>
          <w:szCs w:val="20"/>
          <w:highlight w:val="none"/>
        </w:rPr>
      </w:r>
      <w:r/>
    </w:p>
    <w:p>
      <w:pPr>
        <w:pStyle w:val="1053"/>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1053"/>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1053"/>
        <w:jc w:val="left"/>
        <w:widowControl/>
        <w:rPr>
          <w:rFonts w:hint="eastAsia"/>
          <w:color w:val="000000"/>
          <w:sz w:val="24"/>
        </w:rPr>
      </w:pPr>
      <w:r>
        <w:rPr>
          <w:rFonts w:hint="eastAsia"/>
          <w:color w:val="000000"/>
          <w:sz w:val="24"/>
        </w:rPr>
      </w:r>
      <w:r/>
    </w:p>
    <w:p>
      <w:pPr>
        <w:pStyle w:val="1053"/>
        <w:jc w:val="left"/>
        <w:widowControl/>
        <w:rPr>
          <w:rFonts w:hint="eastAsia"/>
          <w:color w:val="000000"/>
          <w:sz w:val="24"/>
        </w:rPr>
      </w:pPr>
      <w:r>
        <w:rPr>
          <w:rFonts w:hint="eastAsia"/>
          <w:color w:val="000000"/>
          <w:sz w:val="24"/>
        </w:rPr>
      </w:r>
      <w:r/>
    </w:p>
    <w:p>
      <w:pPr>
        <w:pStyle w:val="1053"/>
        <w:jc w:val="left"/>
        <w:widowControl/>
        <w:rPr>
          <w:rFonts w:hint="eastAsia"/>
          <w:color w:val="000000"/>
          <w:sz w:val="24"/>
        </w:rPr>
      </w:pPr>
      <w:r>
        <w:rPr>
          <w:rFonts w:hint="eastAsia"/>
          <w:color w:val="000000"/>
          <w:sz w:val="24"/>
        </w:rPr>
      </w:r>
      <w:r/>
    </w:p>
    <w:p>
      <w:pPr>
        <w:pStyle w:val="1053"/>
        <w:jc w:val="left"/>
        <w:widowControl/>
        <w:rPr>
          <w:rFonts w:hint="eastAsia"/>
          <w:color w:val="000000"/>
          <w:sz w:val="24"/>
        </w:rPr>
      </w:pPr>
      <w:r>
        <w:rPr>
          <w:rFonts w:hint="eastAsia"/>
          <w:color w:val="000000"/>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授权委托书（实质性格式）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本授权委托书声明：____________（供应商名称）授权________________（被授权人的姓名）为我方就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号项</w:t>
      </w:r>
      <w:r>
        <w:rPr>
          <w:rFonts w:ascii="SimSun" w:hAnsi="SimSun" w:eastAsia="SimSun" w:cs="SimSun"/>
          <w:color w:val="000000"/>
          <w:sz w:val="24"/>
        </w:rPr>
        <w:t xml:space="preserve">公开招标</w:t>
      </w:r>
      <w:r>
        <w:rPr>
          <w:rFonts w:ascii="SimSun" w:hAnsi="SimSun" w:eastAsia="SimSun" w:cs="SimSun"/>
          <w:color w:val="000000"/>
          <w:sz w:val="24"/>
        </w:rPr>
        <w:t xml:space="preserve">活动的合法代理人，以本公司名义全权处理一切与该项目竞争性谈判有关的事务，我单位均予以承认。代理人无转委托权。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代理人的代理期限为自本授权委托书签署之日起至项目合同履行完毕止。代理人在授权委托书有效期内签署的所有文件不因授权委托的撤销而失效，本授权委托书的有效期与代理人的代理期限一致。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法定代表人（单位负责人）（签字或盖章）：</w:t>
      </w:r>
      <w:r/>
    </w:p>
    <w:p>
      <w:pPr>
        <w:ind w:left="0" w:right="-46"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代理人有效期内的身份证正反面电子件。</w:t>
      </w:r>
      <w:r/>
    </w:p>
    <w:tbl>
      <w:tblPr>
        <w:tblStyle w:val="9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4"/>
        <w:gridCol w:w="4295"/>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4"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5"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通讯地址：通讯电话：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1.若供应商为事业单位或其他组织或分支机构（仅当采购文件注明允许分支机构投标的），则法定代表人（单位负责人）处的签署人可为单位负责人。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2.供应商为法定代表人参加</w:t>
      </w:r>
      <w:r>
        <w:rPr>
          <w:rFonts w:ascii="SimSun" w:hAnsi="SimSun" w:eastAsia="SimSun" w:cs="SimSun"/>
          <w:color w:val="000000"/>
          <w:sz w:val="24"/>
        </w:rPr>
        <w:t xml:space="preserve">公开招标</w:t>
      </w:r>
      <w:r>
        <w:rPr>
          <w:rFonts w:ascii="SimSun" w:hAnsi="SimSun" w:eastAsia="SimSun" w:cs="SimSun"/>
          <w:color w:val="000000"/>
          <w:sz w:val="24"/>
        </w:rPr>
        <w:t xml:space="preserve">的情形，可不提供本《授权委托书》。</w:t>
      </w:r>
      <w:r/>
    </w:p>
    <w:p>
      <w:pPr>
        <w:pStyle w:val="1053"/>
        <w:jc w:val="left"/>
        <w:pageBreakBefore/>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105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5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53"/>
        <w:ind w:firstLine="640"/>
      </w:pPr>
      <w:r/>
      <w:r/>
    </w:p>
    <w:p>
      <w:pPr>
        <w:pStyle w:val="105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5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0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5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5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53"/>
        <w:jc w:val="left"/>
        <w:widowControl/>
        <w:rPr>
          <w:color w:val="000000"/>
          <w:sz w:val="24"/>
          <w:szCs w:val="20"/>
        </w:rPr>
      </w:pPr>
      <w:r/>
      <w:bookmarkStart w:id="828" w:name="_Hlt520271212"/>
      <w:r/>
      <w:bookmarkEnd w:id="828"/>
      <w:r/>
      <w:bookmarkStart w:id="829" w:name="_Hlt520274407"/>
      <w:r/>
      <w:bookmarkEnd w:id="829"/>
      <w:r/>
      <w:bookmarkStart w:id="830" w:name="_Hlt520274065"/>
      <w:r/>
      <w:bookmarkEnd w:id="830"/>
      <w:r/>
      <w:bookmarkStart w:id="831" w:name="_Hlt520274121"/>
      <w:r/>
      <w:bookmarkEnd w:id="831"/>
      <w:r/>
      <w:bookmarkStart w:id="832" w:name="_Hlt520343392"/>
      <w:r/>
      <w:bookmarkEnd w:id="832"/>
      <w:r/>
      <w:bookmarkStart w:id="833" w:name="_Hlt520350918"/>
      <w:r/>
      <w:bookmarkEnd w:id="833"/>
      <w:r/>
      <w:bookmarkStart w:id="834" w:name="_Hlt520273711"/>
      <w:r/>
      <w:bookmarkEnd w:id="834"/>
      <w:r/>
      <w:bookmarkStart w:id="835" w:name="_Hlt520343000"/>
      <w:r/>
      <w:bookmarkEnd w:id="835"/>
      <w:r/>
      <w:bookmarkStart w:id="836" w:name="_Hlt520355504"/>
      <w:r/>
      <w:bookmarkEnd w:id="836"/>
      <w:r/>
      <w:bookmarkStart w:id="837" w:name="_Hlt520274393"/>
      <w:r/>
      <w:bookmarkEnd w:id="837"/>
      <w:r/>
      <w:bookmarkStart w:id="838" w:name="_Toc150774762"/>
      <w:r/>
      <w:bookmarkStart w:id="839" w:name="_Toc305158825"/>
      <w:r/>
      <w:bookmarkStart w:id="840" w:name="_Toc226309801"/>
      <w:r/>
      <w:bookmarkStart w:id="841" w:name="_Toc305158899"/>
      <w:r/>
      <w:bookmarkStart w:id="842" w:name="_Toc226337253"/>
      <w:r/>
      <w:bookmarkStart w:id="843" w:name="_Toc264969247"/>
      <w:r/>
      <w:bookmarkStart w:id="844" w:name="_Ref467988705"/>
      <w:r/>
      <w:bookmarkStart w:id="845" w:name="_Toc226965747"/>
      <w:r/>
      <w:bookmarkStart w:id="846" w:name="_Toc150480795"/>
      <w:r/>
      <w:bookmarkStart w:id="847" w:name="_Toc226965830"/>
      <w:r/>
      <w:bookmarkStart w:id="848" w:name="_Toc265228395"/>
      <w:r/>
      <w:bookmarkStart w:id="849" w:name="_Toc142311059"/>
      <w:r/>
      <w:bookmarkStart w:id="850" w:name="_Toc127151557"/>
      <w:r/>
      <w:bookmarkStart w:id="851" w:name="_Toc480942350"/>
      <w:r/>
      <w:bookmarkStart w:id="852" w:name="_Toc195842922"/>
      <w:r/>
      <w:bookmarkStart w:id="853" w:name="_Toc520356218"/>
      <w:r>
        <w:rPr>
          <w:color w:val="000000"/>
          <w:sz w:val="24"/>
          <w:szCs w:val="20"/>
        </w:rPr>
        <w:br w:type="page" w:clear="all"/>
      </w:r>
      <w:r>
        <w:rPr>
          <w:color w:val="000000"/>
          <w:sz w:val="24"/>
          <w:szCs w:val="20"/>
        </w:rPr>
      </w:r>
      <w:r/>
    </w:p>
    <w:p>
      <w:pPr>
        <w:pStyle w:val="1053"/>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color w:val="000000"/>
          <w:sz w:val="24"/>
          <w:szCs w:val="20"/>
        </w:rPr>
        <w:t xml:space="preserve">（实质性格式）</w:t>
      </w:r>
      <w:r>
        <w:rPr>
          <w:color w:val="000000"/>
          <w:sz w:val="24"/>
          <w:szCs w:val="20"/>
        </w:rPr>
      </w:r>
      <w:r/>
    </w:p>
    <w:p>
      <w:pPr>
        <w:pStyle w:val="1053"/>
        <w:jc w:val="center"/>
        <w:keepLines w:val="0"/>
        <w:keepNext w:val="0"/>
        <w:pageBreakBefore w:val="0"/>
        <w:spacing w:line="360" w:lineRule="auto"/>
        <w:widowControl w:val="off"/>
        <w:rPr>
          <w:b/>
          <w:color w:val="000000"/>
          <w:sz w:val="36"/>
          <w:szCs w:val="36"/>
        </w:rPr>
      </w:pPr>
      <w:r/>
      <w:bookmarkStart w:id="854" w:name="_Toc264969248"/>
      <w:r/>
      <w:bookmarkStart w:id="855" w:name="_Toc265228396"/>
      <w:r/>
      <w:bookmarkStart w:id="856" w:name="_Toc226337254"/>
      <w:r/>
      <w:bookmarkStart w:id="857" w:name="_Toc164608672"/>
      <w:r/>
      <w:bookmarkStart w:id="858" w:name="_Toc305158900"/>
      <w:r/>
      <w:bookmarkStart w:id="859" w:name="_Toc226309802"/>
      <w:r/>
      <w:bookmarkStart w:id="860" w:name="_Toc164608827"/>
      <w:r/>
      <w:bookmarkStart w:id="861" w:name="_Toc226965831"/>
      <w:r/>
      <w:bookmarkStart w:id="862" w:name="_Toc305158826"/>
      <w:r/>
      <w:bookmarkStart w:id="863" w:name="_Toc226965748"/>
      <w:r/>
      <w:bookmarkStart w:id="864" w:name="_Toc195842923"/>
      <w:r>
        <w:rPr>
          <w:rFonts w:hint="eastAsia"/>
          <w:b/>
          <w:color w:val="000000"/>
          <w:sz w:val="36"/>
          <w:szCs w:val="36"/>
        </w:rPr>
        <w:t xml:space="preserve">开标一览表</w:t>
      </w:r>
      <w:bookmarkEnd w:id="854"/>
      <w:r/>
      <w:bookmarkEnd w:id="855"/>
      <w:r/>
      <w:bookmarkEnd w:id="856"/>
      <w:r/>
      <w:bookmarkEnd w:id="857"/>
      <w:r/>
      <w:bookmarkEnd w:id="858"/>
      <w:r/>
      <w:bookmarkEnd w:id="859"/>
      <w:r/>
      <w:bookmarkEnd w:id="860"/>
      <w:r/>
      <w:bookmarkEnd w:id="861"/>
      <w:r/>
      <w:bookmarkEnd w:id="862"/>
      <w:r/>
      <w:bookmarkEnd w:id="863"/>
      <w:r/>
      <w:bookmarkEnd w:id="864"/>
      <w:r>
        <w:rPr>
          <w:b/>
          <w:color w:val="000000"/>
          <w:sz w:val="36"/>
          <w:szCs w:val="36"/>
        </w:rPr>
      </w:r>
      <w:r/>
    </w:p>
    <w:p>
      <w:pPr>
        <w:pStyle w:val="1053"/>
        <w:jc w:val="left"/>
        <w:spacing w:line="360" w:lineRule="auto"/>
        <w:tabs>
          <w:tab w:val="left" w:pos="1800" w:leader="none"/>
          <w:tab w:val="left" w:pos="5580" w:leader="none"/>
        </w:tabs>
        <w:rPr>
          <w:i/>
          <w:color w:val="ff0000"/>
          <w:sz w:val="24"/>
        </w:rPr>
      </w:pPr>
      <w:r>
        <w:rPr>
          <w:i/>
          <w:color w:val="ff0000"/>
          <w:sz w:val="24"/>
        </w:rPr>
      </w:r>
      <w:r/>
    </w:p>
    <w:p>
      <w:pPr>
        <w:pStyle w:val="1053"/>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53"/>
              <w:jc w:val="center"/>
              <w:tabs>
                <w:tab w:val="left" w:pos="5580" w:leader="none"/>
              </w:tabs>
              <w:rPr>
                <w:b/>
                <w:sz w:val="24"/>
              </w:rPr>
            </w:pPr>
            <w:r>
              <w:rPr>
                <w:b/>
                <w:sz w:val="24"/>
              </w:rPr>
              <w:t xml:space="preserve">序号</w:t>
            </w:r>
            <w:r>
              <w:rPr>
                <w:b/>
                <w:sz w:val="24"/>
              </w:rPr>
            </w:r>
            <w:r/>
          </w:p>
        </w:tc>
        <w:tc>
          <w:tcPr>
            <w:tcW w:w="2215" w:type="dxa"/>
            <w:vAlign w:val="center"/>
            <w:vMerge w:val="restart"/>
            <w:textDirection w:val="lrTb"/>
            <w:noWrap w:val="false"/>
          </w:tcPr>
          <w:p>
            <w:pPr>
              <w:pStyle w:val="1053"/>
              <w:jc w:val="center"/>
              <w:tabs>
                <w:tab w:val="left" w:pos="5580" w:leader="none"/>
              </w:tabs>
              <w:rPr>
                <w:b/>
                <w:sz w:val="24"/>
              </w:rPr>
            </w:pPr>
            <w:r>
              <w:rPr>
                <w:b/>
                <w:sz w:val="24"/>
              </w:rPr>
              <w:t xml:space="preserve">投标人名称</w:t>
            </w:r>
            <w:r>
              <w:rPr>
                <w:b/>
                <w:sz w:val="24"/>
              </w:rPr>
            </w:r>
            <w:r/>
          </w:p>
        </w:tc>
        <w:tc>
          <w:tcPr>
            <w:gridSpan w:val="2"/>
            <w:tcW w:w="3973" w:type="dxa"/>
            <w:vAlign w:val="center"/>
            <w:textDirection w:val="lrTb"/>
            <w:noWrap w:val="false"/>
          </w:tcPr>
          <w:p>
            <w:pPr>
              <w:pStyle w:val="1053"/>
              <w:jc w:val="center"/>
              <w:tabs>
                <w:tab w:val="left" w:pos="5580" w:leader="none"/>
              </w:tabs>
              <w:rPr>
                <w:rFonts w:hint="eastAsia" w:eastAsia="宋体"/>
                <w:b/>
                <w:sz w:val="24"/>
                <w:lang w:eastAsia="zh-CN"/>
              </w:rPr>
            </w:pPr>
            <w:r>
              <w:rPr>
                <w:b/>
                <w:sz w:val="24"/>
              </w:rPr>
              <w:t xml:space="preserve">投标报价</w:t>
            </w:r>
            <w:r>
              <w:rPr>
                <w:rFonts w:hint="eastAsia" w:eastAsia="宋体"/>
                <w:b/>
                <w:sz w:val="24"/>
                <w:lang w:eastAsia="zh-CN"/>
              </w:rPr>
            </w:r>
            <w:r/>
          </w:p>
        </w:tc>
      </w:tr>
      <w:tr>
        <w:trPr>
          <w:trHeight w:val="674"/>
        </w:trPr>
        <w:tc>
          <w:tcPr>
            <w:tcW w:w="412" w:type="dxa"/>
            <w:vAlign w:val="center"/>
            <w:vMerge w:val="continue"/>
            <w:textDirection w:val="lrTb"/>
            <w:noWrap w:val="false"/>
          </w:tcPr>
          <w:p>
            <w:pPr>
              <w:pStyle w:val="1053"/>
              <w:jc w:val="center"/>
              <w:tabs>
                <w:tab w:val="left" w:pos="5580" w:leader="none"/>
              </w:tabs>
              <w:rPr>
                <w:sz w:val="24"/>
              </w:rPr>
            </w:pPr>
            <w:r>
              <w:rPr>
                <w:sz w:val="24"/>
              </w:rPr>
            </w:r>
            <w:r/>
          </w:p>
        </w:tc>
        <w:tc>
          <w:tcPr>
            <w:tcW w:w="2215" w:type="dxa"/>
            <w:vAlign w:val="center"/>
            <w:vMerge w:val="continue"/>
            <w:textDirection w:val="lrTb"/>
            <w:noWrap w:val="false"/>
          </w:tcPr>
          <w:p>
            <w:pPr>
              <w:pStyle w:val="1053"/>
              <w:jc w:val="center"/>
              <w:tabs>
                <w:tab w:val="left" w:pos="5580" w:leader="none"/>
              </w:tabs>
              <w:rPr>
                <w:sz w:val="24"/>
              </w:rPr>
            </w:pPr>
            <w:r>
              <w:rPr>
                <w:sz w:val="24"/>
              </w:rPr>
            </w:r>
            <w:r/>
          </w:p>
        </w:tc>
        <w:tc>
          <w:tcPr>
            <w:tcW w:w="1188" w:type="dxa"/>
            <w:vAlign w:val="center"/>
            <w:textDirection w:val="lrTb"/>
            <w:noWrap w:val="false"/>
          </w:tcPr>
          <w:p>
            <w:pPr>
              <w:pStyle w:val="1053"/>
              <w:jc w:val="center"/>
              <w:tabs>
                <w:tab w:val="left" w:pos="5580" w:leader="none"/>
              </w:tabs>
              <w:rPr>
                <w:b/>
                <w:sz w:val="24"/>
              </w:rPr>
            </w:pPr>
            <w:r>
              <w:rPr>
                <w:b/>
                <w:sz w:val="24"/>
              </w:rPr>
              <w:t xml:space="preserve">大写</w:t>
            </w:r>
            <w:r>
              <w:rPr>
                <w:b/>
                <w:sz w:val="24"/>
              </w:rPr>
            </w:r>
            <w:r/>
          </w:p>
        </w:tc>
        <w:tc>
          <w:tcPr>
            <w:tcW w:w="1182" w:type="dxa"/>
            <w:vAlign w:val="center"/>
            <w:textDirection w:val="lrTb"/>
            <w:noWrap w:val="false"/>
          </w:tcPr>
          <w:p>
            <w:pPr>
              <w:pStyle w:val="1053"/>
              <w:jc w:val="center"/>
              <w:tabs>
                <w:tab w:val="left" w:pos="5580" w:leader="none"/>
              </w:tabs>
              <w:rPr>
                <w:b/>
                <w:sz w:val="24"/>
              </w:rPr>
            </w:pPr>
            <w:r>
              <w:rPr>
                <w:b/>
                <w:sz w:val="24"/>
              </w:rPr>
              <w:t xml:space="preserve">小写</w:t>
            </w:r>
            <w:r>
              <w:rPr>
                <w:b/>
                <w:sz w:val="24"/>
              </w:rPr>
            </w:r>
            <w:r/>
          </w:p>
        </w:tc>
      </w:tr>
      <w:tr>
        <w:trPr>
          <w:trHeight w:val="976"/>
        </w:trPr>
        <w:tc>
          <w:tcPr>
            <w:tcW w:w="412" w:type="dxa"/>
            <w:vAlign w:val="center"/>
            <w:textDirection w:val="lrTb"/>
            <w:noWrap w:val="false"/>
          </w:tcPr>
          <w:p>
            <w:pPr>
              <w:pStyle w:val="1053"/>
              <w:jc w:val="center"/>
              <w:tabs>
                <w:tab w:val="left" w:pos="5580" w:leader="none"/>
              </w:tabs>
              <w:rPr>
                <w:sz w:val="24"/>
              </w:rPr>
            </w:pPr>
            <w:r>
              <w:rPr>
                <w:sz w:val="24"/>
              </w:rPr>
            </w:r>
            <w:r/>
          </w:p>
        </w:tc>
        <w:tc>
          <w:tcPr>
            <w:tcW w:w="2215" w:type="dxa"/>
            <w:vAlign w:val="center"/>
            <w:textDirection w:val="lrTb"/>
            <w:noWrap w:val="false"/>
          </w:tcPr>
          <w:p>
            <w:pPr>
              <w:pStyle w:val="1053"/>
              <w:jc w:val="center"/>
              <w:tabs>
                <w:tab w:val="left" w:pos="5580" w:leader="none"/>
              </w:tabs>
              <w:rPr>
                <w:sz w:val="24"/>
              </w:rPr>
            </w:pPr>
            <w:r>
              <w:rPr>
                <w:sz w:val="24"/>
              </w:rPr>
            </w:r>
            <w:r/>
          </w:p>
        </w:tc>
        <w:tc>
          <w:tcPr>
            <w:tcW w:w="1188" w:type="dxa"/>
            <w:vAlign w:val="center"/>
            <w:textDirection w:val="lrTb"/>
            <w:noWrap w:val="false"/>
          </w:tcPr>
          <w:p>
            <w:pPr>
              <w:pStyle w:val="1053"/>
              <w:jc w:val="center"/>
              <w:tabs>
                <w:tab w:val="left" w:pos="5580" w:leader="none"/>
              </w:tabs>
              <w:rPr>
                <w:sz w:val="24"/>
              </w:rPr>
            </w:pPr>
            <w:r>
              <w:rPr>
                <w:sz w:val="24"/>
              </w:rPr>
            </w:r>
            <w:r/>
          </w:p>
        </w:tc>
        <w:tc>
          <w:tcPr>
            <w:tcW w:w="1182" w:type="dxa"/>
            <w:vAlign w:val="center"/>
            <w:textDirection w:val="lrTb"/>
            <w:noWrap w:val="false"/>
          </w:tcPr>
          <w:p>
            <w:pPr>
              <w:pStyle w:val="1053"/>
              <w:jc w:val="center"/>
              <w:tabs>
                <w:tab w:val="left" w:pos="5580" w:leader="none"/>
              </w:tabs>
              <w:rPr>
                <w:sz w:val="24"/>
              </w:rPr>
            </w:pPr>
            <w:r>
              <w:rPr>
                <w:sz w:val="24"/>
              </w:rPr>
            </w:r>
            <w:r/>
          </w:p>
        </w:tc>
      </w:tr>
    </w:tbl>
    <w:p>
      <w:pPr>
        <w:pStyle w:val="1053"/>
        <w:jc w:val="left"/>
        <w:rPr>
          <w:color w:val="000000"/>
          <w:sz w:val="24"/>
        </w:rPr>
      </w:pPr>
      <w:r>
        <w:rPr>
          <w:color w:val="000000"/>
          <w:sz w:val="24"/>
        </w:rPr>
      </w:r>
      <w:r/>
    </w:p>
    <w:p>
      <w:pPr>
        <w:pStyle w:val="1053"/>
        <w:spacing w:before="25" w:after="25" w:line="360" w:lineRule="auto"/>
        <w:rPr>
          <w:color w:val="000000"/>
          <w:sz w:val="24"/>
          <w:lang w:val="zh-CN"/>
        </w:rPr>
      </w:pPr>
      <w:r>
        <w:rPr>
          <w:rFonts w:hint="eastAsia" w:ascii="Times New Roman" w:hAnsi="Times New Roman" w:eastAsia="宋体" w:cs="Times New Roman"/>
          <w:color w:val="000000"/>
          <w:sz w:val="24"/>
          <w:szCs w:val="20"/>
          <w:lang w:val="en-US" w:eastAsia="zh-CN"/>
        </w:rPr>
        <w:t xml:space="preserve">注：</w:t>
      </w:r>
      <w:r>
        <w:rPr>
          <w:rFonts w:ascii="Times New Roman" w:hAnsi="Times New Roman" w:eastAsia="宋体" w:cs="Times New Roman"/>
          <w:color w:val="000000"/>
          <w:sz w:val="24"/>
          <w:szCs w:val="20"/>
        </w:rPr>
        <w:t xml:space="preserve">此表报价应和《分项报价表》中的总价相一致。</w:t>
      </w:r>
      <w:r>
        <w:rPr>
          <w:color w:val="000000"/>
          <w:sz w:val="24"/>
          <w:lang w:val="zh-CN"/>
        </w:rPr>
      </w:r>
      <w:r/>
    </w:p>
    <w:p>
      <w:pPr>
        <w:pStyle w:val="105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5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5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53"/>
        <w:jc w:val="left"/>
        <w:widowControl/>
        <w:rPr>
          <w:color w:val="000000"/>
          <w:sz w:val="24"/>
          <w:szCs w:val="20"/>
        </w:rPr>
        <w:sectPr>
          <w:footnotePr/>
          <w:endnotePr/>
          <w:type w:val="nextPage"/>
          <w:pgSz w:w="11907" w:h="16840" w:orient="portrait"/>
          <w:pgMar w:top="1418" w:right="1134" w:bottom="1418" w:left="1701" w:header="851" w:footer="851" w:gutter="0"/>
          <w:pgNumType w:start="1"/>
          <w:cols w:num="1" w:sep="0" w:space="1701" w:equalWidth="1"/>
          <w:docGrid w:linePitch="360"/>
        </w:sectPr>
      </w:pPr>
      <w:r/>
      <w:bookmarkStart w:id="865" w:name="_Toc150774763"/>
      <w:r/>
      <w:bookmarkStart w:id="866" w:name="_Toc150480796"/>
      <w:r/>
      <w:bookmarkStart w:id="867" w:name="_Toc127151558"/>
      <w:r/>
      <w:bookmarkStart w:id="868" w:name="_Toc142311060"/>
      <w:r/>
      <w:bookmarkStart w:id="869" w:name="_Toc226337255"/>
      <w:r/>
      <w:bookmarkStart w:id="870" w:name="_Toc195842924"/>
      <w:r/>
      <w:bookmarkStart w:id="871" w:name="_Toc305158827"/>
      <w:r/>
      <w:bookmarkStart w:id="872" w:name="_Toc265228397"/>
      <w:r/>
      <w:bookmarkStart w:id="873" w:name="_Toc226965832"/>
      <w:r/>
      <w:bookmarkStart w:id="874" w:name="_Toc226309803"/>
      <w:r/>
      <w:bookmarkStart w:id="875" w:name="_Toc264969249"/>
      <w:r/>
      <w:bookmarkStart w:id="876" w:name="_Toc226965749"/>
      <w:r/>
      <w:bookmarkStart w:id="877" w:name="_Toc305158901"/>
      <w:r>
        <w:rPr>
          <w:color w:val="000000"/>
          <w:sz w:val="24"/>
          <w:szCs w:val="20"/>
        </w:rPr>
      </w:r>
      <w:r/>
    </w:p>
    <w:p>
      <w:pPr>
        <w:pStyle w:val="1053"/>
        <w:spacing w:line="360" w:lineRule="auto"/>
        <w:rPr>
          <w:rFonts w:ascii="Times New Roman" w:hAnsi="Times New Roman" w:eastAsia="宋体" w:cs="Times New Roman"/>
          <w:color w:val="000000"/>
          <w:sz w:val="24"/>
          <w:szCs w:val="20"/>
        </w:rPr>
        <w:outlineLvl w:val="2"/>
      </w:pPr>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Start w:id="878" w:name="_Toc305158904"/>
      <w:r/>
      <w:bookmarkStart w:id="879" w:name="_Toc226309806"/>
      <w:r/>
      <w:bookmarkStart w:id="880" w:name="_Toc265228400"/>
      <w:r/>
      <w:bookmarkStart w:id="881" w:name="_Toc226965835"/>
      <w:r/>
      <w:bookmarkStart w:id="882" w:name="_Toc195842927"/>
      <w:r/>
      <w:bookmarkStart w:id="883" w:name="_Toc142311062"/>
      <w:r/>
      <w:bookmarkStart w:id="884" w:name="_Toc305158830"/>
      <w:r/>
      <w:bookmarkStart w:id="885" w:name="_Toc150480798"/>
      <w:r/>
      <w:bookmarkStart w:id="886" w:name="_Toc226965752"/>
      <w:r/>
      <w:bookmarkStart w:id="887" w:name="_Toc127151562"/>
      <w:r/>
      <w:bookmarkStart w:id="888" w:name="_Toc150774765"/>
      <w:r/>
      <w:bookmarkStart w:id="889" w:name="_Toc264969252"/>
      <w:r/>
      <w:bookmarkStart w:id="890" w:name="_Toc226337258"/>
      <w:r/>
      <w:bookmarkStart w:id="891" w:name="_Toc305158829"/>
      <w:r/>
      <w:bookmarkStart w:id="892" w:name="_Toc264969251"/>
      <w:r/>
      <w:bookmarkStart w:id="893" w:name="_Toc127151561"/>
      <w:r/>
      <w:bookmarkStart w:id="894" w:name="_Toc195842926"/>
      <w:r/>
      <w:bookmarkStart w:id="895" w:name="_Toc305158903"/>
      <w:r/>
      <w:bookmarkStart w:id="896" w:name="_Toc150774764"/>
      <w:r/>
      <w:bookmarkStart w:id="897" w:name="_Toc226965751"/>
      <w:r/>
      <w:bookmarkStart w:id="898" w:name="_Toc226965834"/>
      <w:r/>
      <w:bookmarkStart w:id="899" w:name="_Toc142311061"/>
      <w:r/>
      <w:bookmarkStart w:id="900" w:name="_Toc265228399"/>
      <w:r/>
      <w:bookmarkStart w:id="901" w:name="_Toc226337257"/>
      <w:r/>
      <w:bookmarkStart w:id="902" w:name="_Toc150480797"/>
      <w:r/>
      <w:bookmarkStart w:id="903" w:name="_Toc226309805"/>
      <w:r>
        <w:rPr>
          <w:rFonts w:hint="eastAsia" w:ascii="Times New Roman" w:hAnsi="Times New Roman" w:eastAsia="宋体" w:cs="Times New Roman"/>
          <w:color w:val="000000"/>
          <w:sz w:val="24"/>
          <w:szCs w:val="20"/>
          <w:lang w:val="en-US" w:eastAsia="zh-CN"/>
        </w:rPr>
        <w:t xml:space="preserve">5 </w:t>
      </w:r>
      <w:r>
        <w:rPr>
          <w:rFonts w:ascii="Times New Roman" w:hAnsi="Times New Roman" w:eastAsia="宋体" w:cs="Times New Roman"/>
          <w:color w:val="000000"/>
          <w:sz w:val="24"/>
          <w:szCs w:val="20"/>
        </w:rPr>
        <w:t xml:space="preserve">分项报价表（实质性格式）</w:t>
      </w:r>
      <w:r>
        <w:rPr>
          <w:rFonts w:ascii="Times New Roman" w:hAnsi="Times New Roman" w:eastAsia="宋体" w:cs="Times New Roman"/>
          <w:color w:val="000000"/>
          <w:sz w:val="24"/>
          <w:szCs w:val="20"/>
        </w:rPr>
      </w:r>
      <w:r/>
    </w:p>
    <w:p>
      <w:pPr>
        <w:pStyle w:val="1053"/>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分项报价表</w:t>
      </w:r>
      <w:r>
        <w:rPr>
          <w:rFonts w:ascii="Times New Roman" w:hAnsi="Times New Roman" w:eastAsia="宋体" w:cs="Times New Roman"/>
          <w:b/>
          <w:color w:val="000000"/>
          <w:sz w:val="36"/>
          <w:szCs w:val="36"/>
        </w:rPr>
      </w:r>
      <w:r/>
    </w:p>
    <w:p>
      <w:pPr>
        <w:pStyle w:val="1053"/>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53"/>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项目编号/包号：___________ 项目名称：__________报价单位：人民币元</w:t>
      </w:r>
      <w:r>
        <w:rPr>
          <w:rFonts w:ascii="Times New Roman" w:hAnsi="Times New Roman" w:eastAsia="宋体" w:cs="Times New Roman"/>
          <w:color w:val="000000"/>
          <w:sz w:val="24"/>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tbl>
      <w:tblPr>
        <w:tblW w:w="1443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170"/>
        <w:gridCol w:w="960"/>
        <w:gridCol w:w="1215"/>
        <w:gridCol w:w="1575"/>
        <w:gridCol w:w="1845"/>
        <w:gridCol w:w="1710"/>
        <w:gridCol w:w="1230"/>
        <w:gridCol w:w="1065"/>
        <w:gridCol w:w="1305"/>
        <w:gridCol w:w="1110"/>
        <w:gridCol w:w="1245"/>
      </w:tblGrid>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rPr>
                <w:rFonts w:hint="eastAsia" w:ascii="宋体" w:hAnsi="宋体" w:eastAsia="宋体" w:cs="宋体"/>
                <w:b/>
                <w:bCs/>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rPr>
                <w:rFonts w:hint="eastAsia" w:ascii="宋体" w:hAnsi="宋体" w:eastAsia="宋体" w:cs="宋体"/>
                <w:b/>
                <w:bCs/>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shd w:val="clear" w:color="auto" w:fill="ffffff"/>
            <w:tcW w:w="1305" w:type="dxa"/>
            <w:vAlign w:val="center"/>
            <w:textDirection w:val="lrTb"/>
            <w:noWrap w:val="false"/>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投标单价</w:t>
            </w:r>
            <w:r>
              <w:rPr>
                <w:rFonts w:hint="eastAsia" w:ascii="宋体" w:hAnsi="宋体" w:eastAsia="宋体" w:cs="宋体"/>
                <w:b/>
                <w:bCs/>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（元）</w:t>
            </w:r>
            <w:r>
              <w:rPr>
                <w:rFonts w:hint="eastAsia" w:ascii="宋体" w:hAnsi="宋体" w:eastAsia="宋体" w:cs="宋体"/>
                <w:b/>
                <w:bCs/>
                <w:i w:val="0"/>
                <w:iCs w:val="0"/>
                <w:color w:val="000000"/>
                <w:sz w:val="22"/>
                <w:szCs w:val="22"/>
                <w:u w:val="none"/>
              </w:rPr>
            </w:r>
            <w:r/>
          </w:p>
        </w:tc>
        <w:tc>
          <w:tcPr>
            <w:shd w:val="clear" w:color="auto" w:fill="ffffff"/>
            <w:tcW w:w="1110" w:type="dxa"/>
            <w:vAlign w:val="center"/>
            <w:textDirection w:val="lrTb"/>
            <w:noWrap w:val="false"/>
          </w:tcPr>
          <w:p>
            <w:pPr>
              <w:pStyle w:val="1053"/>
              <w:ind w:left="0" w:right="0" w:firstLine="0"/>
              <w:jc w:val="center"/>
              <w:keepLines w:val="0"/>
              <w:keepNext w:val="0"/>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投标合价</w:t>
            </w:r>
            <w:r>
              <w:rPr>
                <w:rFonts w:ascii="宋体" w:hAnsi="宋体" w:eastAsia="宋体" w:cs="宋体"/>
                <w:b/>
                <w:bCs/>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（元）</w:t>
            </w:r>
            <w:r>
              <w:rPr>
                <w:rFonts w:hint="eastAsia" w:ascii="宋体" w:hAnsi="宋体" w:eastAsia="宋体" w:cs="宋体"/>
                <w:b/>
                <w:bCs/>
                <w:i w:val="0"/>
                <w:iCs w:val="0"/>
                <w:color w:val="000000"/>
                <w:sz w:val="22"/>
                <w:szCs w:val="22"/>
                <w:u w:val="none"/>
              </w:rPr>
            </w:r>
            <w:r/>
          </w:p>
        </w:tc>
        <w:tc>
          <w:tcPr>
            <w:shd w:val="clear" w:color="auto" w:fill="ffffff"/>
            <w:tcW w:w="1245" w:type="dxa"/>
            <w:vAlign w:val="center"/>
            <w:textDirection w:val="lrTb"/>
            <w:noWrap w:val="false"/>
          </w:tcPr>
          <w:p>
            <w:pPr>
              <w:pStyle w:val="1053"/>
              <w:ind w:left="0" w:right="0" w:firstLine="0"/>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cs="Arial"/>
                <w:b/>
                <w:bCs/>
                <w:sz w:val="24"/>
              </w:rPr>
              <w:t xml:space="preserve">品牌商标</w:t>
            </w:r>
            <w:r>
              <w:rPr>
                <w:rFonts w:hint="eastAsia" w:ascii="宋体" w:hAnsi="宋体" w:eastAsia="宋体" w:cs="宋体"/>
                <w:b/>
                <w:bCs/>
                <w:i w:val="0"/>
                <w:iCs w:val="0"/>
                <w:color w:val="000000"/>
                <w:sz w:val="22"/>
                <w:szCs w:val="22"/>
                <w:u w:val="none"/>
                <w:lang w:val="en-US" w:eastAsia="zh-CN" w:bidi="ar"/>
              </w:rPr>
            </w:r>
            <w:r/>
          </w:p>
        </w:tc>
      </w:tr>
      <w:tr>
        <w:trPr/>
        <w:tc>
          <w:tcPr>
            <w:gridSpan w:val="10"/>
            <w:shd w:val="clear" w:color="auto" w:fill="ffffff"/>
            <w:tcW w:w="13185" w:type="dxa"/>
            <w:vAlign w:val="center"/>
            <w:textDirection w:val="lrTb"/>
            <w:noWrap/>
          </w:tcPr>
          <w:p>
            <w:pPr>
              <w:pStyle w:val="1053"/>
              <w:ind w:left="0" w:right="0" w:firstLine="0"/>
              <w:jc w:val="left"/>
              <w:keepLines w:val="0"/>
              <w:keepNext w:val="0"/>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一、设备采购及安装</w:t>
            </w:r>
            <w:r>
              <w:rPr>
                <w:rFonts w:ascii="宋体" w:hAnsi="宋体" w:eastAsia="宋体" w:cs="宋体"/>
                <w:b/>
                <w:bCs/>
                <w:i w:val="0"/>
                <w:iCs w:val="0"/>
                <w:color w:val="000000"/>
                <w:sz w:val="22"/>
                <w:szCs w:val="22"/>
                <w:u w:val="none"/>
                <w:lang w:val="en-US" w:eastAsia="zh-CN" w:bidi="ar"/>
              </w:rPr>
            </w:r>
            <w:r/>
          </w:p>
        </w:tc>
        <w:tc>
          <w:tcPr>
            <w:shd w:val="clear" w:color="auto" w:fill="ffffff"/>
            <w:tcW w:w="124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c>
          <w:tcPr>
            <w:gridSpan w:val="10"/>
            <w:shd w:val="clear" w:color="auto" w:fill="ffffff"/>
            <w:tcW w:w="1318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（一）排口立标建档</w:t>
            </w:r>
            <w:r>
              <w:rPr>
                <w:rFonts w:hint="eastAsia" w:ascii="宋体" w:hAnsi="宋体" w:eastAsia="宋体" w:cs="宋体"/>
                <w:b/>
                <w:bCs/>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排污口标识牌</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gridSpan w:val="10"/>
            <w:shd w:val="clear" w:color="auto" w:fill="ffffff"/>
            <w:tcW w:w="1318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（二）排口水质流量自动监测</w:t>
            </w:r>
            <w:r>
              <w:rPr>
                <w:rFonts w:hint="eastAsia" w:ascii="宋体" w:hAnsi="宋体" w:eastAsia="宋体" w:cs="宋体"/>
                <w:b/>
                <w:bCs/>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850"/>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岸基水文水质监测站</w:t>
            </w: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多功能水质自动监测柜</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64"/>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低功耗多参数水质在线分析模块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numPr>
                <w:ilvl w:val="0"/>
                <w:numId w:val="0"/>
              </w:num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全光谱水质监测模块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数字量PH水质监测模块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数字量电导率水质监测模块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数字量浊度水质监测模块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数字量溶解氧水质监测模块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模块化流通池</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自动清洗模块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采水单元模组</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配水单元模组</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12</w:t>
            </w:r>
            <w:r>
              <w:rPr>
                <w:rFonts w:ascii="宋体" w:hAnsi="宋体" w:eastAsia="宋体" w:cs="宋体"/>
                <w:i w:val="0"/>
                <w:iCs w:val="0"/>
                <w:color w:val="000000"/>
                <w:sz w:val="22"/>
                <w:szCs w:val="22"/>
                <w:u w:val="none"/>
                <w:lang w:val="en-US" w:eastAsia="zh-CN"/>
              </w:rPr>
            </w:r>
            <w:r/>
          </w:p>
        </w:tc>
        <w:tc>
          <w:tcPr>
            <w:shd w:val="clear" w:color="auto" w:fill="ffffff"/>
            <w:tcW w:w="960"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排水管网内部水质流量监测站</w:t>
            </w: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微型水质自动监测柜</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numPr>
                <w:ilvl w:val="0"/>
                <w:numId w:val="0"/>
              </w:num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低功耗多参数水质在线分析模块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数字量COD水质监测模块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数字量PH水质监测模块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数字量氨氮水质监测模块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数字量悬浮物水质监测模块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雷达流速流量监测模块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numPr>
                <w:ilvl w:val="0"/>
                <w:numId w:val="0"/>
              </w:num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模块化流通池</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自动清洗模块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采水单元模组</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配水单元模组</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shd w:val="clear" w:color="auto" w:fill="ffffff"/>
            <w:tcW w:w="960"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供电单元模组</w:t>
            </w: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供配电单元模组</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gridSpan w:val="10"/>
            <w:shd w:val="clear" w:color="auto" w:fill="ffffff"/>
            <w:tcW w:w="1318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（三）排污口周边AI视频监控</w:t>
            </w:r>
            <w:r>
              <w:rPr>
                <w:rFonts w:hint="eastAsia" w:ascii="宋体" w:hAnsi="宋体" w:eastAsia="宋体" w:cs="宋体"/>
                <w:b/>
                <w:bCs/>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AI高清网络球型摄像机</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微型存储服务器</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视频监控图像AI分析模块</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专用硬盘</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工业级交换机</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视频分析服务器</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gridSpan w:val="10"/>
            <w:shd w:val="clear" w:color="auto" w:fill="ffffff"/>
            <w:tcW w:w="1318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（四）运营商专线租赁</w:t>
            </w:r>
            <w:r>
              <w:rPr>
                <w:rFonts w:hint="eastAsia" w:ascii="宋体" w:hAnsi="宋体" w:eastAsia="宋体" w:cs="宋体"/>
                <w:b/>
                <w:bCs/>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运营商专线租赁</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gridSpan w:val="10"/>
            <w:shd w:val="clear" w:color="auto" w:fill="ffffff"/>
            <w:tcW w:w="1318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（五）终端安全及管理设备</w:t>
            </w:r>
            <w:r>
              <w:rPr>
                <w:rFonts w:hint="eastAsia" w:ascii="宋体" w:hAnsi="宋体" w:eastAsia="宋体" w:cs="宋体"/>
                <w:b/>
                <w:bCs/>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服务器机柜</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数据服务器</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操作系统</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数据库软件系统</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路由器</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防火墙</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日志审计系统</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堡垒机</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数据交换机</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WEB应用防火墙</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数据库审计系统</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入侵检测系统</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不间断电源系统</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系统工作站</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gridSpan w:val="2"/>
            <w:shd w:val="clear" w:color="auto" w:fill="ffffff"/>
            <w:tcW w:w="217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操作系统</w:t>
            </w:r>
            <w:r>
              <w:rPr>
                <w:rFonts w:hint="eastAsia" w:ascii="宋体" w:hAnsi="宋体" w:eastAsia="宋体" w:cs="宋体"/>
                <w:i w:val="0"/>
                <w:iCs w:val="0"/>
                <w:color w:val="000000"/>
                <w:sz w:val="22"/>
                <w:szCs w:val="22"/>
                <w:u w:val="none"/>
              </w:rPr>
            </w:r>
            <w:r/>
          </w:p>
        </w:tc>
        <w:tc>
          <w:tcPr>
            <w:gridSpan w:val="3"/>
            <w:shd w:val="clear" w:color="auto" w:fill="ffffff"/>
            <w:tcW w:w="513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gridSpan w:val="10"/>
            <w:shd w:val="clear" w:color="auto" w:fill="ffffff"/>
            <w:tcW w:w="13185" w:type="dxa"/>
            <w:vAlign w:val="center"/>
            <w:textDirection w:val="lrTb"/>
            <w:noWrap/>
          </w:tcPr>
          <w:p>
            <w:pPr>
              <w:pStyle w:val="1053"/>
              <w:ind w:left="0" w:right="0" w:firstLine="0"/>
              <w:jc w:val="lef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（六）入河排污口动态管理系统平台</w:t>
            </w:r>
            <w:r>
              <w:rPr>
                <w:rFonts w:hint="eastAsia" w:ascii="宋体" w:hAnsi="宋体" w:eastAsia="宋体" w:cs="宋体"/>
                <w:b/>
                <w:bCs/>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left"/>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r>
            <w:r/>
          </w:p>
        </w:tc>
      </w:tr>
      <w:tr>
        <w:trPr/>
        <w:tc>
          <w:tcPr>
            <w:shd w:val="clear" w:color="auto" w:fill="ffffff"/>
            <w:tcW w:w="1170"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水环境监测控制系统平台</w:t>
            </w: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综合管理系统</w:t>
            </w: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综合预警</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预警列表</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预警通知</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预警详情</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综合分析</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排口指标分析</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监测站指标分析</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预警频次统计</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变化趋势分析</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排口台账管理</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排口基础信息维护</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二维码生成</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排口清单导入</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水质监测综合管理</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监测站台账</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物联设备台账</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排口视频综合管理</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视频设备台账</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排口综合展示系统</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排口基础管理一张图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排口全景分布</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水环境管理一张图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站口全景分布</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视频监控管理一张图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视频监控分布</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管控任务一张图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任务创建与下发</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任务查看</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任务一览</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排口移动应用</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环境掌上地图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环境掌上地图</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视频监控展示</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视频监控分布</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监测数据展示</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排口监测</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水质监测</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排口二维码管理</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扫码查看</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restart"/>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移动任务协同</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任务推送与认领</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vMerge w:val="continue"/>
            <w:textDirection w:val="lrTb"/>
            <w:noWrap w:val="false"/>
          </w:tcPr>
          <w:p>
            <w:pPr>
              <w:pStyle w:val="1053"/>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结果回传</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水质变化AI分析功能</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季节项分析库</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残差项分析库</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长期量化分析</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时空热点聚类图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指标对比一张图</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趋势异常预警</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分析报告输出</w:t>
            </w:r>
            <w:r>
              <w:rPr>
                <w:rFonts w:hint="eastAsia" w:ascii="宋体" w:hAnsi="宋体" w:eastAsia="宋体" w:cs="宋体"/>
                <w:i w:val="0"/>
                <w:iCs w:val="0"/>
                <w:color w:val="000000"/>
                <w:sz w:val="22"/>
                <w:szCs w:val="22"/>
                <w:u w:val="none"/>
              </w:rPr>
            </w:r>
            <w:r/>
          </w:p>
        </w:tc>
        <w:tc>
          <w:tcPr>
            <w:shd w:val="clear" w:color="auto" w:fill="ffffff"/>
            <w:tcW w:w="184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shd w:val="clear" w:color="auto" w:fill="ffffff"/>
            <w:tcW w:w="1710"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gridSpan w:val="10"/>
            <w:shd w:val="clear" w:color="auto" w:fill="ffffff"/>
            <w:tcW w:w="1318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（七）平台系统集成升级及运维保障</w:t>
            </w:r>
            <w:r>
              <w:rPr>
                <w:rFonts w:hint="eastAsia" w:ascii="宋体" w:hAnsi="宋体" w:eastAsia="宋体" w:cs="宋体"/>
                <w:b/>
                <w:bCs/>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系统平台对接</w:t>
            </w: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城运中心对接</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单点登录（SSO）</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大屏嵌入式页面</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指标数据API</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融合通信对接</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视频流统一调阅</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视频截图回存</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物联监测云平台对接</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轮询取数任务</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断点续传</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设备信息同步</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restart"/>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数据接口协议开发</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接口封装</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vMerge w:val="continue"/>
            <w:textDirection w:val="lrTb"/>
            <w:noWrap w:val="false"/>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集成共享接口</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gridSpan w:val="4"/>
            <w:shd w:val="clear" w:color="auto" w:fill="ffffff"/>
            <w:tcW w:w="492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设备采购及安装投标小计（元）</w:t>
            </w:r>
            <w:r>
              <w:rPr>
                <w:rFonts w:ascii="宋体" w:hAnsi="宋体" w:eastAsia="宋体" w:cs="宋体"/>
                <w:i w:val="0"/>
                <w:iCs w:val="0"/>
                <w:color w:val="000000"/>
                <w:sz w:val="22"/>
                <w:szCs w:val="22"/>
                <w:u w:val="none"/>
                <w:lang w:val="en-US" w:eastAsia="zh-CN" w:bidi="ar"/>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5"/>
            <w:shd w:val="clear" w:color="auto" w:fill="ffffff"/>
            <w:tcW w:w="595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gridSpan w:val="11"/>
            <w:shd w:val="clear" w:color="auto" w:fill="ffffff"/>
            <w:tcW w:w="14430" w:type="dxa"/>
            <w:vAlign w:val="center"/>
            <w:textDirection w:val="lrTb"/>
            <w:noWrap/>
          </w:tcPr>
          <w:p>
            <w:pPr>
              <w:pStyle w:val="1053"/>
              <w:ind w:left="0" w:right="0" w:firstLine="0"/>
              <w:jc w:val="left"/>
              <w:rPr>
                <w:rFonts w:ascii="宋体" w:hAnsi="宋体" w:eastAsia="宋体" w:cs="宋体"/>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二、运维保障</w:t>
            </w:r>
            <w:r>
              <w:rPr>
                <w:rFonts w:ascii="宋体" w:hAnsi="宋体" w:eastAsia="宋体" w:cs="宋体"/>
                <w:i w:val="0"/>
                <w:iCs w:val="0"/>
                <w:color w:val="000000"/>
                <w:sz w:val="22"/>
                <w:szCs w:val="22"/>
                <w:u w:val="none"/>
                <w:lang w:val="en-US" w:eastAsia="zh-CN"/>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960" w:type="dxa"/>
            <w:vAlign w:val="center"/>
            <w:vMerge w:val="restart"/>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系统运维</w:t>
            </w: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应用系统</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shd w:val="clear" w:color="auto" w:fill="ffffff"/>
            <w:tcW w:w="117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960" w:type="dxa"/>
            <w:vAlign w:val="center"/>
            <w:vMerge w:val="continue"/>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15" w:type="dxa"/>
            <w:vAlign w:val="center"/>
            <w:textDirection w:val="lrTb"/>
            <w:noWrap w:val="false"/>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监测管理</w:t>
            </w:r>
            <w:r>
              <w:rPr>
                <w:rFonts w:hint="eastAsia" w:ascii="宋体" w:hAnsi="宋体" w:eastAsia="宋体" w:cs="宋体"/>
                <w:i w:val="0"/>
                <w:iCs w:val="0"/>
                <w:color w:val="000000"/>
                <w:sz w:val="22"/>
                <w:szCs w:val="22"/>
                <w:u w:val="none"/>
              </w:rPr>
            </w:r>
            <w:r/>
          </w:p>
        </w:tc>
        <w:tc>
          <w:tcPr>
            <w:shd w:val="clear" w:color="auto" w:fill="ffffff"/>
            <w:tcW w:w="157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123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rPr>
                <w:rFonts w:hint="eastAsia" w:ascii="宋体" w:hAnsi="宋体" w:eastAsia="宋体" w:cs="宋体"/>
                <w:i w:val="0"/>
                <w:iCs w:val="0"/>
                <w:color w:val="000000"/>
                <w:sz w:val="22"/>
                <w:szCs w:val="22"/>
                <w:u w:val="none"/>
              </w:rPr>
            </w:r>
            <w:r/>
          </w:p>
        </w:tc>
        <w:tc>
          <w:tcPr>
            <w:shd w:val="clear" w:color="auto" w:fill="ffffff"/>
            <w:tcW w:w="1065"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130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110"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gridSpan w:val="4"/>
            <w:shd w:val="clear" w:color="auto" w:fill="ffffff"/>
            <w:tcW w:w="4920" w:type="dxa"/>
            <w:vAlign w:val="center"/>
            <w:textDirection w:val="lrTb"/>
            <w:noWrap/>
          </w:tcPr>
          <w:p>
            <w:pPr>
              <w:pStyle w:val="105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运维投标小计（元）</w:t>
            </w:r>
            <w:r>
              <w:rPr>
                <w:rFonts w:hint="eastAsia" w:ascii="宋体" w:hAnsi="宋体" w:eastAsia="宋体" w:cs="宋体"/>
                <w:i w:val="0"/>
                <w:iCs w:val="0"/>
                <w:color w:val="000000"/>
                <w:sz w:val="22"/>
                <w:szCs w:val="22"/>
                <w:u w:val="none"/>
                <w:lang w:val="en-US" w:eastAsia="zh-CN" w:bidi="ar"/>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4"/>
            <w:shd w:val="clear" w:color="auto" w:fill="ffffff"/>
            <w:tcW w:w="47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gridSpan w:val="4"/>
            <w:shd w:val="clear" w:color="auto" w:fill="ffffff"/>
            <w:tcW w:w="4920" w:type="dxa"/>
            <w:vAlign w:val="center"/>
            <w:textDirection w:val="lrTb"/>
            <w:noWrap/>
          </w:tcPr>
          <w:p>
            <w:pPr>
              <w:pStyle w:val="1053"/>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投标总价（元）</w:t>
            </w:r>
            <w:r>
              <w:rPr>
                <w:rFonts w:ascii="宋体" w:hAnsi="宋体" w:eastAsia="宋体" w:cs="宋体"/>
                <w:i w:val="0"/>
                <w:iCs w:val="0"/>
                <w:color w:val="000000"/>
                <w:sz w:val="22"/>
                <w:szCs w:val="22"/>
                <w:u w:val="none"/>
                <w:lang w:val="en-US" w:eastAsia="zh-CN" w:bidi="ar"/>
              </w:rPr>
            </w:r>
            <w:r/>
          </w:p>
        </w:tc>
        <w:tc>
          <w:tcPr>
            <w:gridSpan w:val="2"/>
            <w:shd w:val="clear" w:color="auto" w:fill="ffffff"/>
            <w:tcW w:w="3555" w:type="dxa"/>
            <w:vAlign w:val="center"/>
            <w:textDirection w:val="lrTb"/>
            <w:noWrap w:val="false"/>
          </w:tcPr>
          <w:p>
            <w:pPr>
              <w:pStyle w:val="1053"/>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4"/>
            <w:shd w:val="clear" w:color="auto" w:fill="ffffff"/>
            <w:tcW w:w="471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245"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gridSpan w:val="11"/>
            <w:shd w:val="clear" w:color="auto" w:fill="ffffff"/>
            <w:tcW w:w="14430" w:type="dxa"/>
            <w:vAlign w:val="center"/>
            <w:textDirection w:val="lrTb"/>
            <w:noWrap/>
          </w:tcPr>
          <w:p>
            <w:pPr>
              <w:pStyle w:val="1053"/>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Arial"/>
                <w:b/>
                <w:bCs/>
                <w:sz w:val="24"/>
              </w:rPr>
              <w:t xml:space="preserve">本采购包中提供的符合本国产品标准的产品成本之和占该采购包提供的全部产品成本之和的比例为</w:t>
            </w:r>
            <w:r>
              <w:rPr>
                <w:rFonts w:hint="eastAsia" w:ascii="宋体" w:hAnsi="宋体" w:eastAsia="宋体" w:cs="Arial"/>
                <w:b/>
                <w:bCs/>
                <w:sz w:val="24"/>
                <w:u w:val="single"/>
                <w:lang w:val="en-US" w:eastAsia="zh-CN"/>
              </w:rPr>
              <w:t xml:space="preserve">     </w:t>
            </w:r>
            <w:r>
              <w:rPr>
                <w:rFonts w:hint="eastAsia" w:ascii="宋体" w:hAnsi="宋体" w:eastAsia="宋体" w:cs="Arial"/>
                <w:b/>
                <w:bCs/>
                <w:sz w:val="24"/>
              </w:rPr>
              <w:t xml:space="preserve">%。</w:t>
            </w:r>
            <w:r>
              <w:rPr>
                <w:rFonts w:hint="eastAsia" w:ascii="宋体" w:hAnsi="宋体" w:eastAsia="宋体" w:cs="宋体"/>
                <w:i w:val="0"/>
                <w:iCs w:val="0"/>
                <w:color w:val="000000"/>
                <w:sz w:val="22"/>
                <w:szCs w:val="22"/>
                <w:u w:val="none"/>
              </w:rPr>
            </w:r>
            <w:r/>
          </w:p>
        </w:tc>
      </w:tr>
    </w:tbl>
    <w:p>
      <w:pPr>
        <w:pStyle w:val="1053"/>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注：1.</w:t>
      </w:r>
      <w:r>
        <w:rPr>
          <w:rFonts w:hint="eastAsia" w:ascii="Times New Roman" w:hAnsi="Times New Roman" w:eastAsia="宋体" w:cs="Times New Roman"/>
          <w:b w:val="0"/>
          <w:bCs/>
          <w:sz w:val="24"/>
          <w:szCs w:val="24"/>
          <w:lang w:val="en-US" w:eastAsia="zh-CN"/>
        </w:rPr>
        <w:t xml:space="preserve">以上价格均为含税价格</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53"/>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2.如果不提供分项报价将视为没有实质性响应招标文件。</w:t>
      </w:r>
      <w:r>
        <w:rPr>
          <w:rFonts w:ascii="Times New Roman" w:hAnsi="Times New Roman" w:eastAsia="宋体" w:cs="Times New Roman"/>
          <w:color w:val="000000"/>
          <w:sz w:val="24"/>
        </w:rPr>
      </w:r>
      <w:r/>
    </w:p>
    <w:p>
      <w:pPr>
        <w:pStyle w:val="1053"/>
        <w:ind w:firstLine="480"/>
        <w:jc w:val="left"/>
        <w:tabs>
          <w:tab w:val="left" w:pos="1800" w:leader="none"/>
          <w:tab w:val="left" w:pos="55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本表行数可以按照项目分项情况增加。</w:t>
      </w:r>
      <w:r>
        <w:rPr>
          <w:rFonts w:hint="eastAsia" w:ascii="Times New Roman" w:hAnsi="Times New Roman" w:eastAsia="宋体" w:cs="Times New Roman"/>
          <w:color w:val="000000"/>
          <w:sz w:val="24"/>
        </w:rPr>
      </w:r>
      <w:r/>
    </w:p>
    <w:p>
      <w:pPr>
        <w:pStyle w:val="1053"/>
        <w:ind w:firstLine="480"/>
        <w:jc w:val="left"/>
        <w:keepLines w:val="0"/>
        <w:keepNext w:val="0"/>
        <w:pageBreakBefore w:val="0"/>
        <w:spacing w:line="240" w:lineRule="auto"/>
        <w:widowControl w:val="off"/>
        <w:tabs>
          <w:tab w:val="left" w:pos="1800" w:leader="none"/>
          <w:tab w:val="left" w:pos="5580" w:leader="none"/>
        </w:tabs>
        <w:rPr>
          <w:rFonts w:ascii="Times New Roman" w:hAnsi="Times New Roman" w:eastAsia="宋体" w:cs="Times New Roman"/>
          <w:b w:val="0"/>
          <w:bCs/>
          <w:sz w:val="24"/>
          <w:szCs w:val="24"/>
          <w:lang w:val="en-US" w:eastAsia="zh-CN"/>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上述各项的详细规格</w:t>
      </w:r>
      <w:r>
        <w:rPr>
          <w:rFonts w:hint="eastAsia" w:ascii="Times New Roman" w:hAnsi="Times New Roman" w:eastAsia="宋体" w:cs="Times New Roman"/>
          <w:color w:val="000000"/>
          <w:sz w:val="24"/>
        </w:rPr>
        <w:t xml:space="preserve">、技术参数如表格中填写不下的</w:t>
      </w:r>
      <w:r>
        <w:rPr>
          <w:rFonts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ascii="Times New Roman" w:hAnsi="Times New Roman" w:eastAsia="宋体" w:cs="Times New Roman"/>
          <w:color w:val="000000"/>
          <w:sz w:val="24"/>
        </w:rPr>
        <w:t xml:space="preserve">另页描述。</w:t>
      </w:r>
      <w:r>
        <w:rPr>
          <w:rFonts w:ascii="Times New Roman" w:hAnsi="Times New Roman" w:eastAsia="宋体" w:cs="Times New Roman"/>
          <w:b w:val="0"/>
          <w:bCs/>
          <w:sz w:val="24"/>
          <w:szCs w:val="24"/>
          <w:lang w:val="en-US" w:eastAsia="zh-CN"/>
        </w:rPr>
      </w:r>
      <w:r/>
    </w:p>
    <w:p>
      <w:pPr>
        <w:pStyle w:val="1147"/>
        <w:numPr>
          <w:ilvl w:val="0"/>
          <w:numId w:val="0"/>
        </w:numPr>
        <w:contextualSpacing/>
        <w:ind w:firstLine="482"/>
        <w:jc w:val="left"/>
        <w:keepLines w:val="0"/>
        <w:keepNext w:val="0"/>
        <w:pageBreakBefore w:val="0"/>
        <w:spacing w:line="240" w:lineRule="auto"/>
        <w:widowControl w:val="off"/>
        <w:rPr>
          <w:rFonts w:ascii="Times New Roman" w:hAnsi="Times New Roman" w:eastAsia="宋体" w:cs="Times New Roman"/>
          <w:b/>
          <w:bCs w:val="0"/>
          <w:color w:val="ff0000"/>
          <w:sz w:val="24"/>
          <w:szCs w:val="24"/>
          <w:lang w:val="en-US" w:eastAsia="zh-CN"/>
        </w:rPr>
        <w:sectPr>
          <w:footnotePr/>
          <w:endnotePr/>
          <w:type w:val="nextPage"/>
          <w:pgSz w:w="16840" w:h="11907" w:orient="landscape"/>
          <w:pgMar w:top="1701" w:right="1418" w:bottom="1134" w:left="1418" w:header="851" w:footer="851" w:gutter="0"/>
          <w:pgNumType w:start="1"/>
          <w:cols w:num="1" w:sep="0" w:space="1701" w:equalWidth="1"/>
          <w:docGrid w:linePitch="360"/>
        </w:sectPr>
      </w:pPr>
      <w:r>
        <w:rPr>
          <w:rFonts w:ascii="Times New Roman" w:hAnsi="Times New Roman" w:eastAsia="宋体" w:cs="Times New Roman"/>
          <w:b/>
          <w:bCs w:val="0"/>
          <w:color w:val="ff0000"/>
          <w:sz w:val="24"/>
          <w:szCs w:val="24"/>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Times New Roman" w:eastAsia="宋体" w:cs="Times New Roman"/>
          <w:b/>
          <w:bCs w:val="0"/>
          <w:color w:val="ff0000"/>
          <w:sz w:val="24"/>
          <w:szCs w:val="24"/>
          <w:lang w:val="en-US" w:eastAsia="zh-CN"/>
        </w:rPr>
      </w:r>
      <w:r/>
    </w:p>
    <w:p>
      <w:pPr>
        <w:pStyle w:val="1053"/>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合同条款偏离表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color w:val="000000"/>
          <w:sz w:val="24"/>
          <w:szCs w:val="20"/>
        </w:rPr>
        <w:t xml:space="preserve">（实质性格式）</w:t>
      </w:r>
      <w:r>
        <w:rPr>
          <w:color w:val="000000"/>
          <w:sz w:val="24"/>
          <w:szCs w:val="20"/>
        </w:rPr>
      </w:r>
      <w:r/>
    </w:p>
    <w:p>
      <w:pPr>
        <w:pStyle w:val="1053"/>
        <w:spacing w:line="360" w:lineRule="auto"/>
        <w:rPr>
          <w:color w:val="000000"/>
          <w:sz w:val="24"/>
          <w:szCs w:val="20"/>
        </w:rPr>
      </w:pPr>
      <w:r>
        <w:rPr>
          <w:color w:val="000000"/>
          <w:sz w:val="24"/>
          <w:szCs w:val="20"/>
        </w:rPr>
      </w:r>
      <w:r/>
    </w:p>
    <w:p>
      <w:pPr>
        <w:pStyle w:val="1053"/>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1053"/>
        <w:spacing w:line="360" w:lineRule="auto"/>
        <w:rPr>
          <w:color w:val="000000"/>
          <w:sz w:val="24"/>
          <w:szCs w:val="20"/>
        </w:rPr>
      </w:pPr>
      <w:r>
        <w:rPr>
          <w:color w:val="000000"/>
          <w:sz w:val="24"/>
          <w:szCs w:val="20"/>
        </w:rPr>
      </w:r>
      <w:r/>
    </w:p>
    <w:p>
      <w:pPr>
        <w:pStyle w:val="1053"/>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53"/>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105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53"/>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1053"/>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053"/>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1053"/>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1053"/>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1053"/>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1053"/>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53"/>
              <w:jc w:val="center"/>
              <w:rPr>
                <w:color w:val="000000"/>
                <w:sz w:val="24"/>
              </w:rPr>
            </w:pPr>
            <w:r>
              <w:rPr>
                <w:color w:val="000000"/>
                <w:sz w:val="24"/>
              </w:rPr>
            </w:r>
            <w:r/>
          </w:p>
        </w:tc>
        <w:tc>
          <w:tcPr>
            <w:tcW w:w="1301" w:type="dxa"/>
            <w:vAlign w:val="center"/>
            <w:textDirection w:val="lrTb"/>
            <w:noWrap w:val="false"/>
          </w:tcPr>
          <w:p>
            <w:pPr>
              <w:pStyle w:val="1053"/>
              <w:jc w:val="center"/>
              <w:rPr>
                <w:color w:val="000000"/>
                <w:sz w:val="24"/>
              </w:rPr>
            </w:pPr>
            <w:r>
              <w:rPr>
                <w:color w:val="000000"/>
                <w:sz w:val="24"/>
              </w:rPr>
            </w:r>
            <w:r/>
          </w:p>
        </w:tc>
        <w:tc>
          <w:tcPr>
            <w:tcW w:w="2007" w:type="dxa"/>
            <w:vAlign w:val="center"/>
            <w:textDirection w:val="lrTb"/>
            <w:noWrap w:val="false"/>
          </w:tcPr>
          <w:p>
            <w:pPr>
              <w:pStyle w:val="1053"/>
              <w:jc w:val="center"/>
              <w:rPr>
                <w:color w:val="000000"/>
                <w:sz w:val="24"/>
              </w:rPr>
            </w:pPr>
            <w:r>
              <w:rPr>
                <w:color w:val="000000"/>
                <w:sz w:val="24"/>
              </w:rPr>
            </w:r>
            <w:r/>
          </w:p>
        </w:tc>
        <w:tc>
          <w:tcPr>
            <w:tcW w:w="2008" w:type="dxa"/>
            <w:vAlign w:val="center"/>
            <w:textDirection w:val="lrTb"/>
            <w:noWrap w:val="false"/>
          </w:tcPr>
          <w:p>
            <w:pPr>
              <w:pStyle w:val="1053"/>
              <w:jc w:val="center"/>
              <w:rPr>
                <w:color w:val="000000"/>
                <w:sz w:val="24"/>
              </w:rPr>
            </w:pPr>
            <w:r>
              <w:rPr>
                <w:color w:val="000000"/>
                <w:sz w:val="24"/>
              </w:rPr>
            </w:r>
            <w:r/>
          </w:p>
        </w:tc>
        <w:tc>
          <w:tcPr>
            <w:tcW w:w="2458" w:type="dxa"/>
            <w:vAlign w:val="center"/>
            <w:textDirection w:val="lrTb"/>
            <w:noWrap w:val="false"/>
          </w:tcPr>
          <w:p>
            <w:pPr>
              <w:pStyle w:val="1053"/>
              <w:jc w:val="center"/>
              <w:rPr>
                <w:color w:val="000000"/>
                <w:sz w:val="24"/>
              </w:rPr>
            </w:pPr>
            <w:r>
              <w:rPr>
                <w:color w:val="000000"/>
                <w:sz w:val="24"/>
              </w:rPr>
            </w:r>
            <w:r/>
          </w:p>
        </w:tc>
        <w:tc>
          <w:tcPr>
            <w:tcW w:w="788" w:type="dxa"/>
            <w:vAlign w:val="center"/>
            <w:textDirection w:val="lrTb"/>
            <w:noWrap w:val="false"/>
          </w:tcPr>
          <w:p>
            <w:pPr>
              <w:pStyle w:val="1053"/>
              <w:jc w:val="center"/>
              <w:rPr>
                <w:color w:val="000000"/>
                <w:sz w:val="24"/>
              </w:rPr>
            </w:pPr>
            <w:r>
              <w:rPr>
                <w:color w:val="000000"/>
                <w:sz w:val="24"/>
              </w:rPr>
            </w:r>
            <w:r/>
          </w:p>
        </w:tc>
      </w:tr>
      <w:tr>
        <w:trPr>
          <w:trHeight w:val="930"/>
        </w:trPr>
        <w:tc>
          <w:tcPr>
            <w:tcW w:w="834" w:type="dxa"/>
            <w:vAlign w:val="center"/>
            <w:textDirection w:val="lrTb"/>
            <w:noWrap w:val="false"/>
          </w:tcPr>
          <w:p>
            <w:pPr>
              <w:pStyle w:val="1053"/>
              <w:jc w:val="center"/>
              <w:rPr>
                <w:color w:val="000000"/>
                <w:sz w:val="24"/>
              </w:rPr>
            </w:pPr>
            <w:r>
              <w:rPr>
                <w:color w:val="000000"/>
                <w:sz w:val="24"/>
              </w:rPr>
            </w:r>
            <w:r/>
          </w:p>
        </w:tc>
        <w:tc>
          <w:tcPr>
            <w:tcW w:w="1301" w:type="dxa"/>
            <w:vAlign w:val="center"/>
            <w:textDirection w:val="lrTb"/>
            <w:noWrap w:val="false"/>
          </w:tcPr>
          <w:p>
            <w:pPr>
              <w:pStyle w:val="1053"/>
              <w:jc w:val="center"/>
              <w:rPr>
                <w:color w:val="000000"/>
                <w:sz w:val="24"/>
              </w:rPr>
            </w:pPr>
            <w:r>
              <w:rPr>
                <w:color w:val="000000"/>
                <w:sz w:val="24"/>
              </w:rPr>
            </w:r>
            <w:r/>
          </w:p>
        </w:tc>
        <w:tc>
          <w:tcPr>
            <w:tcW w:w="2007" w:type="dxa"/>
            <w:vAlign w:val="center"/>
            <w:textDirection w:val="lrTb"/>
            <w:noWrap w:val="false"/>
          </w:tcPr>
          <w:p>
            <w:pPr>
              <w:pStyle w:val="1053"/>
              <w:jc w:val="center"/>
              <w:rPr>
                <w:color w:val="000000"/>
                <w:sz w:val="24"/>
              </w:rPr>
            </w:pPr>
            <w:r>
              <w:rPr>
                <w:color w:val="000000"/>
                <w:sz w:val="24"/>
              </w:rPr>
            </w:r>
            <w:r/>
          </w:p>
        </w:tc>
        <w:tc>
          <w:tcPr>
            <w:tcW w:w="2008" w:type="dxa"/>
            <w:vAlign w:val="center"/>
            <w:textDirection w:val="lrTb"/>
            <w:noWrap w:val="false"/>
          </w:tcPr>
          <w:p>
            <w:pPr>
              <w:pStyle w:val="1053"/>
              <w:jc w:val="center"/>
              <w:rPr>
                <w:color w:val="000000"/>
                <w:sz w:val="24"/>
              </w:rPr>
            </w:pPr>
            <w:r>
              <w:rPr>
                <w:color w:val="000000"/>
                <w:sz w:val="24"/>
              </w:rPr>
            </w:r>
            <w:r/>
          </w:p>
        </w:tc>
        <w:tc>
          <w:tcPr>
            <w:tcW w:w="2458" w:type="dxa"/>
            <w:vAlign w:val="center"/>
            <w:textDirection w:val="lrTb"/>
            <w:noWrap w:val="false"/>
          </w:tcPr>
          <w:p>
            <w:pPr>
              <w:pStyle w:val="1053"/>
              <w:jc w:val="center"/>
              <w:rPr>
                <w:color w:val="000000"/>
                <w:sz w:val="24"/>
              </w:rPr>
            </w:pPr>
            <w:r>
              <w:rPr>
                <w:color w:val="000000"/>
                <w:sz w:val="24"/>
              </w:rPr>
            </w:r>
            <w:r/>
          </w:p>
        </w:tc>
        <w:tc>
          <w:tcPr>
            <w:tcW w:w="788" w:type="dxa"/>
            <w:vAlign w:val="center"/>
            <w:textDirection w:val="lrTb"/>
            <w:noWrap w:val="false"/>
          </w:tcPr>
          <w:p>
            <w:pPr>
              <w:pStyle w:val="1053"/>
              <w:jc w:val="center"/>
              <w:rPr>
                <w:color w:val="000000"/>
                <w:sz w:val="24"/>
              </w:rPr>
            </w:pPr>
            <w:r>
              <w:rPr>
                <w:color w:val="000000"/>
                <w:sz w:val="24"/>
              </w:rPr>
            </w:r>
            <w:r/>
          </w:p>
        </w:tc>
      </w:tr>
      <w:tr>
        <w:trPr>
          <w:trHeight w:val="930"/>
        </w:trPr>
        <w:tc>
          <w:tcPr>
            <w:tcW w:w="834" w:type="dxa"/>
            <w:vAlign w:val="center"/>
            <w:textDirection w:val="lrTb"/>
            <w:noWrap w:val="false"/>
          </w:tcPr>
          <w:p>
            <w:pPr>
              <w:pStyle w:val="1053"/>
              <w:jc w:val="center"/>
              <w:rPr>
                <w:color w:val="000000"/>
                <w:sz w:val="24"/>
              </w:rPr>
            </w:pPr>
            <w:r>
              <w:rPr>
                <w:color w:val="000000"/>
                <w:sz w:val="24"/>
              </w:rPr>
            </w:r>
            <w:r/>
          </w:p>
        </w:tc>
        <w:tc>
          <w:tcPr>
            <w:tcW w:w="1301" w:type="dxa"/>
            <w:vAlign w:val="center"/>
            <w:textDirection w:val="lrTb"/>
            <w:noWrap w:val="false"/>
          </w:tcPr>
          <w:p>
            <w:pPr>
              <w:pStyle w:val="1053"/>
              <w:jc w:val="center"/>
              <w:rPr>
                <w:color w:val="000000"/>
                <w:sz w:val="24"/>
              </w:rPr>
            </w:pPr>
            <w:r>
              <w:rPr>
                <w:color w:val="000000"/>
                <w:sz w:val="24"/>
              </w:rPr>
            </w:r>
            <w:r/>
          </w:p>
        </w:tc>
        <w:tc>
          <w:tcPr>
            <w:tcW w:w="2007" w:type="dxa"/>
            <w:vAlign w:val="center"/>
            <w:textDirection w:val="lrTb"/>
            <w:noWrap w:val="false"/>
          </w:tcPr>
          <w:p>
            <w:pPr>
              <w:pStyle w:val="1053"/>
              <w:jc w:val="center"/>
              <w:rPr>
                <w:color w:val="000000"/>
                <w:sz w:val="24"/>
              </w:rPr>
            </w:pPr>
            <w:r>
              <w:rPr>
                <w:color w:val="000000"/>
                <w:sz w:val="24"/>
              </w:rPr>
            </w:r>
            <w:r/>
          </w:p>
        </w:tc>
        <w:tc>
          <w:tcPr>
            <w:tcW w:w="2008" w:type="dxa"/>
            <w:vAlign w:val="center"/>
            <w:textDirection w:val="lrTb"/>
            <w:noWrap w:val="false"/>
          </w:tcPr>
          <w:p>
            <w:pPr>
              <w:pStyle w:val="1053"/>
              <w:jc w:val="center"/>
              <w:rPr>
                <w:color w:val="000000"/>
                <w:sz w:val="24"/>
              </w:rPr>
            </w:pPr>
            <w:r>
              <w:rPr>
                <w:color w:val="000000"/>
                <w:sz w:val="24"/>
              </w:rPr>
            </w:r>
            <w:r/>
          </w:p>
        </w:tc>
        <w:tc>
          <w:tcPr>
            <w:tcW w:w="2458" w:type="dxa"/>
            <w:vAlign w:val="center"/>
            <w:textDirection w:val="lrTb"/>
            <w:noWrap w:val="false"/>
          </w:tcPr>
          <w:p>
            <w:pPr>
              <w:pStyle w:val="1053"/>
              <w:jc w:val="center"/>
              <w:rPr>
                <w:color w:val="000000"/>
                <w:sz w:val="24"/>
              </w:rPr>
            </w:pPr>
            <w:r>
              <w:rPr>
                <w:color w:val="000000"/>
                <w:sz w:val="24"/>
              </w:rPr>
            </w:r>
            <w:r/>
          </w:p>
        </w:tc>
        <w:tc>
          <w:tcPr>
            <w:tcW w:w="788" w:type="dxa"/>
            <w:vAlign w:val="center"/>
            <w:textDirection w:val="lrTb"/>
            <w:noWrap w:val="false"/>
          </w:tcPr>
          <w:p>
            <w:pPr>
              <w:pStyle w:val="1053"/>
              <w:jc w:val="center"/>
              <w:rPr>
                <w:color w:val="000000"/>
                <w:sz w:val="24"/>
              </w:rPr>
            </w:pPr>
            <w:r>
              <w:rPr>
                <w:color w:val="000000"/>
                <w:sz w:val="24"/>
              </w:rPr>
            </w:r>
            <w:r/>
          </w:p>
        </w:tc>
      </w:tr>
      <w:tr>
        <w:trPr>
          <w:trHeight w:val="930"/>
        </w:trPr>
        <w:tc>
          <w:tcPr>
            <w:tcW w:w="834" w:type="dxa"/>
            <w:vAlign w:val="center"/>
            <w:textDirection w:val="lrTb"/>
            <w:noWrap w:val="false"/>
          </w:tcPr>
          <w:p>
            <w:pPr>
              <w:pStyle w:val="1053"/>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1053"/>
              <w:jc w:val="center"/>
              <w:rPr>
                <w:color w:val="000000"/>
                <w:sz w:val="24"/>
              </w:rPr>
            </w:pPr>
            <w:r>
              <w:rPr>
                <w:color w:val="000000"/>
                <w:sz w:val="24"/>
              </w:rPr>
            </w:r>
            <w:r/>
          </w:p>
        </w:tc>
        <w:tc>
          <w:tcPr>
            <w:tcW w:w="2007" w:type="dxa"/>
            <w:vAlign w:val="center"/>
            <w:textDirection w:val="lrTb"/>
            <w:noWrap w:val="false"/>
          </w:tcPr>
          <w:p>
            <w:pPr>
              <w:pStyle w:val="1053"/>
              <w:jc w:val="center"/>
              <w:rPr>
                <w:color w:val="000000"/>
                <w:sz w:val="24"/>
              </w:rPr>
            </w:pPr>
            <w:r>
              <w:rPr>
                <w:color w:val="000000"/>
                <w:sz w:val="24"/>
              </w:rPr>
            </w:r>
            <w:r/>
          </w:p>
        </w:tc>
        <w:tc>
          <w:tcPr>
            <w:tcW w:w="2008" w:type="dxa"/>
            <w:vAlign w:val="center"/>
            <w:textDirection w:val="lrTb"/>
            <w:noWrap w:val="false"/>
          </w:tcPr>
          <w:p>
            <w:pPr>
              <w:pStyle w:val="1053"/>
              <w:jc w:val="center"/>
              <w:rPr>
                <w:color w:val="000000"/>
                <w:sz w:val="24"/>
              </w:rPr>
            </w:pPr>
            <w:r>
              <w:rPr>
                <w:color w:val="000000"/>
                <w:sz w:val="24"/>
              </w:rPr>
            </w:r>
            <w:r/>
          </w:p>
        </w:tc>
        <w:tc>
          <w:tcPr>
            <w:tcW w:w="2458" w:type="dxa"/>
            <w:vAlign w:val="center"/>
            <w:textDirection w:val="lrTb"/>
            <w:noWrap w:val="false"/>
          </w:tcPr>
          <w:p>
            <w:pPr>
              <w:pStyle w:val="1053"/>
              <w:jc w:val="center"/>
              <w:rPr>
                <w:color w:val="000000"/>
                <w:sz w:val="24"/>
              </w:rPr>
            </w:pPr>
            <w:r>
              <w:rPr>
                <w:color w:val="000000"/>
                <w:sz w:val="24"/>
              </w:rPr>
            </w:r>
            <w:r/>
          </w:p>
        </w:tc>
        <w:tc>
          <w:tcPr>
            <w:tcW w:w="788" w:type="dxa"/>
            <w:vAlign w:val="center"/>
            <w:textDirection w:val="lrTb"/>
            <w:noWrap w:val="false"/>
          </w:tcPr>
          <w:p>
            <w:pPr>
              <w:pStyle w:val="1053"/>
              <w:jc w:val="center"/>
              <w:rPr>
                <w:color w:val="000000"/>
                <w:sz w:val="24"/>
              </w:rPr>
            </w:pPr>
            <w:r>
              <w:rPr>
                <w:color w:val="000000"/>
                <w:sz w:val="24"/>
              </w:rPr>
            </w:r>
            <w:r/>
          </w:p>
        </w:tc>
      </w:tr>
    </w:tbl>
    <w:p>
      <w:pPr>
        <w:pStyle w:val="1053"/>
        <w:jc w:val="left"/>
        <w:tabs>
          <w:tab w:val="left" w:pos="1800" w:leader="none"/>
          <w:tab w:val="left" w:pos="5580" w:leader="none"/>
        </w:tabs>
        <w:rPr>
          <w:color w:val="000000"/>
          <w:sz w:val="24"/>
        </w:rPr>
      </w:pPr>
      <w:r>
        <w:rPr>
          <w:color w:val="000000"/>
          <w:sz w:val="24"/>
        </w:rPr>
      </w:r>
      <w:r/>
    </w:p>
    <w:p>
      <w:pPr>
        <w:pStyle w:val="105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5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53"/>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1053"/>
        <w:spacing w:line="360" w:lineRule="auto"/>
        <w:rPr>
          <w:color w:val="000000"/>
          <w:sz w:val="24"/>
          <w:szCs w:val="20"/>
        </w:rPr>
      </w:pPr>
      <w:r>
        <w:rPr>
          <w:color w:val="000000"/>
          <w:sz w:val="24"/>
          <w:szCs w:val="20"/>
        </w:rPr>
      </w:r>
      <w:r/>
    </w:p>
    <w:p>
      <w:pPr>
        <w:pStyle w:val="105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5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05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53"/>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color w:val="000000"/>
          <w:sz w:val="24"/>
          <w:szCs w:val="20"/>
        </w:rPr>
        <w:t xml:space="preserve">采购需求偏离表（实质性格式）</w:t>
      </w:r>
      <w:r>
        <w:rPr>
          <w:color w:val="000000"/>
          <w:sz w:val="24"/>
          <w:szCs w:val="20"/>
        </w:rPr>
      </w:r>
      <w:r/>
    </w:p>
    <w:p>
      <w:pPr>
        <w:pStyle w:val="1053"/>
        <w:jc w:val="center"/>
        <w:spacing w:line="360" w:lineRule="auto"/>
        <w:rPr>
          <w:rFonts w:hint="eastAsia"/>
          <w:b/>
          <w:color w:val="000000"/>
          <w:sz w:val="36"/>
          <w:szCs w:val="36"/>
        </w:rPr>
      </w:pPr>
      <w:r>
        <w:rPr>
          <w:rFonts w:hint="eastAsia"/>
          <w:b/>
          <w:color w:val="000000"/>
          <w:sz w:val="36"/>
          <w:szCs w:val="36"/>
        </w:rPr>
      </w:r>
      <w:r/>
    </w:p>
    <w:p>
      <w:pPr>
        <w:pStyle w:val="1053"/>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105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53"/>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5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53"/>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1053"/>
        </w:trPr>
        <w:tc>
          <w:tcPr>
            <w:tcW w:w="775" w:type="dxa"/>
            <w:vAlign w:val="center"/>
            <w:textDirection w:val="lrTb"/>
            <w:noWrap w:val="false"/>
          </w:tcPr>
          <w:p>
            <w:pPr>
              <w:pStyle w:val="1053"/>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053"/>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val="false"/>
          </w:tcPr>
          <w:p>
            <w:pPr>
              <w:pStyle w:val="1053"/>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val="false"/>
          </w:tcPr>
          <w:p>
            <w:pPr>
              <w:pStyle w:val="1053"/>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val="false"/>
          </w:tcPr>
          <w:p>
            <w:pPr>
              <w:pStyle w:val="1053"/>
              <w:jc w:val="center"/>
              <w:rPr>
                <w:color w:val="000000"/>
                <w:sz w:val="24"/>
              </w:rPr>
            </w:pPr>
            <w:r>
              <w:rPr>
                <w:color w:val="000000"/>
                <w:sz w:val="24"/>
              </w:rPr>
              <w:t xml:space="preserve">偏离情况</w:t>
            </w:r>
            <w:r>
              <w:rPr>
                <w:color w:val="000000"/>
                <w:sz w:val="24"/>
              </w:rPr>
            </w:r>
            <w:r/>
          </w:p>
        </w:tc>
        <w:tc>
          <w:tcPr>
            <w:tcW w:w="1009" w:type="dxa"/>
            <w:vAlign w:val="center"/>
            <w:textDirection w:val="lrTb"/>
            <w:noWrap w:val="false"/>
          </w:tcPr>
          <w:p>
            <w:pPr>
              <w:pStyle w:val="1053"/>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053"/>
              <w:jc w:val="center"/>
              <w:rPr>
                <w:color w:val="000000"/>
                <w:sz w:val="24"/>
              </w:rPr>
            </w:pPr>
            <w:r>
              <w:rPr>
                <w:color w:val="000000"/>
                <w:sz w:val="24"/>
              </w:rPr>
            </w:r>
            <w:r/>
          </w:p>
        </w:tc>
        <w:tc>
          <w:tcPr>
            <w:tcW w:w="1482" w:type="dxa"/>
            <w:vAlign w:val="center"/>
            <w:textDirection w:val="lrTb"/>
            <w:noWrap w:val="false"/>
          </w:tcPr>
          <w:p>
            <w:pPr>
              <w:pStyle w:val="1053"/>
              <w:jc w:val="center"/>
              <w:rPr>
                <w:color w:val="000000"/>
                <w:sz w:val="24"/>
              </w:rPr>
            </w:pPr>
            <w:r>
              <w:rPr>
                <w:color w:val="000000"/>
                <w:sz w:val="24"/>
              </w:rPr>
            </w:r>
            <w:r/>
          </w:p>
        </w:tc>
        <w:tc>
          <w:tcPr>
            <w:tcW w:w="2384" w:type="dxa"/>
            <w:vAlign w:val="center"/>
            <w:textDirection w:val="lrTb"/>
            <w:noWrap w:val="false"/>
          </w:tcPr>
          <w:p>
            <w:pPr>
              <w:pStyle w:val="1053"/>
              <w:jc w:val="center"/>
              <w:rPr>
                <w:color w:val="000000"/>
                <w:sz w:val="24"/>
              </w:rPr>
            </w:pPr>
            <w:r>
              <w:rPr>
                <w:color w:val="000000"/>
                <w:sz w:val="24"/>
              </w:rPr>
            </w:r>
            <w:r/>
          </w:p>
        </w:tc>
        <w:tc>
          <w:tcPr>
            <w:tcW w:w="2126" w:type="dxa"/>
            <w:vAlign w:val="center"/>
            <w:textDirection w:val="lrTb"/>
            <w:noWrap w:val="false"/>
          </w:tcPr>
          <w:p>
            <w:pPr>
              <w:pStyle w:val="1053"/>
              <w:jc w:val="center"/>
              <w:rPr>
                <w:color w:val="000000"/>
                <w:sz w:val="24"/>
              </w:rPr>
            </w:pPr>
            <w:r>
              <w:rPr>
                <w:color w:val="000000"/>
                <w:sz w:val="24"/>
              </w:rPr>
            </w:r>
            <w:r/>
          </w:p>
        </w:tc>
        <w:tc>
          <w:tcPr>
            <w:tcW w:w="1875" w:type="dxa"/>
            <w:vAlign w:val="center"/>
            <w:textDirection w:val="lrTb"/>
            <w:noWrap w:val="false"/>
          </w:tcPr>
          <w:p>
            <w:pPr>
              <w:pStyle w:val="1053"/>
              <w:jc w:val="center"/>
              <w:rPr>
                <w:color w:val="000000"/>
                <w:sz w:val="24"/>
              </w:rPr>
            </w:pPr>
            <w:r>
              <w:rPr>
                <w:color w:val="000000"/>
                <w:sz w:val="24"/>
              </w:rPr>
            </w:r>
            <w:r/>
          </w:p>
        </w:tc>
        <w:tc>
          <w:tcPr>
            <w:tcW w:w="1009" w:type="dxa"/>
            <w:vAlign w:val="center"/>
            <w:textDirection w:val="lrTb"/>
            <w:noWrap w:val="false"/>
          </w:tcPr>
          <w:p>
            <w:pPr>
              <w:pStyle w:val="1053"/>
              <w:jc w:val="center"/>
              <w:rPr>
                <w:color w:val="000000"/>
                <w:sz w:val="24"/>
              </w:rPr>
            </w:pPr>
            <w:r>
              <w:rPr>
                <w:color w:val="000000"/>
                <w:sz w:val="24"/>
              </w:rPr>
            </w:r>
            <w:r/>
          </w:p>
        </w:tc>
      </w:tr>
      <w:tr>
        <w:trPr>
          <w:trHeight w:val="930"/>
        </w:trPr>
        <w:tc>
          <w:tcPr>
            <w:tcW w:w="775" w:type="dxa"/>
            <w:vAlign w:val="center"/>
            <w:textDirection w:val="lrTb"/>
            <w:noWrap w:val="false"/>
          </w:tcPr>
          <w:p>
            <w:pPr>
              <w:pStyle w:val="1053"/>
              <w:jc w:val="center"/>
              <w:rPr>
                <w:color w:val="000000"/>
                <w:sz w:val="24"/>
              </w:rPr>
            </w:pPr>
            <w:r>
              <w:rPr>
                <w:color w:val="000000"/>
                <w:sz w:val="24"/>
              </w:rPr>
            </w:r>
            <w:r/>
          </w:p>
        </w:tc>
        <w:tc>
          <w:tcPr>
            <w:tcW w:w="1482" w:type="dxa"/>
            <w:vAlign w:val="center"/>
            <w:textDirection w:val="lrTb"/>
            <w:noWrap w:val="false"/>
          </w:tcPr>
          <w:p>
            <w:pPr>
              <w:pStyle w:val="1053"/>
              <w:jc w:val="center"/>
              <w:rPr>
                <w:color w:val="000000"/>
                <w:sz w:val="24"/>
              </w:rPr>
            </w:pPr>
            <w:r>
              <w:rPr>
                <w:color w:val="000000"/>
                <w:sz w:val="24"/>
              </w:rPr>
            </w:r>
            <w:r/>
          </w:p>
        </w:tc>
        <w:tc>
          <w:tcPr>
            <w:tcW w:w="2384" w:type="dxa"/>
            <w:vAlign w:val="center"/>
            <w:textDirection w:val="lrTb"/>
            <w:noWrap w:val="false"/>
          </w:tcPr>
          <w:p>
            <w:pPr>
              <w:pStyle w:val="1053"/>
              <w:jc w:val="center"/>
              <w:rPr>
                <w:color w:val="000000"/>
                <w:sz w:val="24"/>
              </w:rPr>
            </w:pPr>
            <w:r>
              <w:rPr>
                <w:color w:val="000000"/>
                <w:sz w:val="24"/>
              </w:rPr>
            </w:r>
            <w:r/>
          </w:p>
        </w:tc>
        <w:tc>
          <w:tcPr>
            <w:tcW w:w="2126" w:type="dxa"/>
            <w:vAlign w:val="center"/>
            <w:textDirection w:val="lrTb"/>
            <w:noWrap w:val="false"/>
          </w:tcPr>
          <w:p>
            <w:pPr>
              <w:pStyle w:val="1053"/>
              <w:jc w:val="center"/>
              <w:rPr>
                <w:color w:val="000000"/>
                <w:sz w:val="24"/>
              </w:rPr>
            </w:pPr>
            <w:r>
              <w:rPr>
                <w:color w:val="000000"/>
                <w:sz w:val="24"/>
              </w:rPr>
            </w:r>
            <w:r/>
          </w:p>
        </w:tc>
        <w:tc>
          <w:tcPr>
            <w:tcW w:w="1875" w:type="dxa"/>
            <w:vAlign w:val="center"/>
            <w:textDirection w:val="lrTb"/>
            <w:noWrap w:val="false"/>
          </w:tcPr>
          <w:p>
            <w:pPr>
              <w:pStyle w:val="1053"/>
              <w:jc w:val="center"/>
              <w:rPr>
                <w:color w:val="000000"/>
                <w:sz w:val="24"/>
              </w:rPr>
            </w:pPr>
            <w:r>
              <w:rPr>
                <w:color w:val="000000"/>
                <w:sz w:val="24"/>
              </w:rPr>
            </w:r>
            <w:r/>
          </w:p>
        </w:tc>
        <w:tc>
          <w:tcPr>
            <w:tcW w:w="1009" w:type="dxa"/>
            <w:vAlign w:val="center"/>
            <w:textDirection w:val="lrTb"/>
            <w:noWrap w:val="false"/>
          </w:tcPr>
          <w:p>
            <w:pPr>
              <w:pStyle w:val="1053"/>
              <w:jc w:val="center"/>
              <w:rPr>
                <w:color w:val="000000"/>
                <w:sz w:val="24"/>
              </w:rPr>
            </w:pPr>
            <w:r>
              <w:rPr>
                <w:color w:val="000000"/>
                <w:sz w:val="24"/>
              </w:rPr>
            </w:r>
            <w:r/>
          </w:p>
        </w:tc>
      </w:tr>
      <w:tr>
        <w:trPr>
          <w:trHeight w:val="930"/>
        </w:trPr>
        <w:tc>
          <w:tcPr>
            <w:tcW w:w="775" w:type="dxa"/>
            <w:vAlign w:val="center"/>
            <w:textDirection w:val="lrTb"/>
            <w:noWrap w:val="false"/>
          </w:tcPr>
          <w:p>
            <w:pPr>
              <w:pStyle w:val="1053"/>
              <w:jc w:val="center"/>
              <w:rPr>
                <w:color w:val="000000"/>
                <w:sz w:val="24"/>
              </w:rPr>
            </w:pPr>
            <w:r>
              <w:rPr>
                <w:color w:val="000000"/>
                <w:sz w:val="24"/>
              </w:rPr>
            </w:r>
            <w:r/>
          </w:p>
        </w:tc>
        <w:tc>
          <w:tcPr>
            <w:tcW w:w="1482" w:type="dxa"/>
            <w:vAlign w:val="center"/>
            <w:textDirection w:val="lrTb"/>
            <w:noWrap w:val="false"/>
          </w:tcPr>
          <w:p>
            <w:pPr>
              <w:pStyle w:val="1053"/>
              <w:jc w:val="center"/>
              <w:rPr>
                <w:color w:val="000000"/>
                <w:sz w:val="24"/>
              </w:rPr>
            </w:pPr>
            <w:r>
              <w:rPr>
                <w:color w:val="000000"/>
                <w:sz w:val="24"/>
              </w:rPr>
            </w:r>
            <w:r/>
          </w:p>
        </w:tc>
        <w:tc>
          <w:tcPr>
            <w:tcW w:w="2384" w:type="dxa"/>
            <w:vAlign w:val="center"/>
            <w:textDirection w:val="lrTb"/>
            <w:noWrap w:val="false"/>
          </w:tcPr>
          <w:p>
            <w:pPr>
              <w:pStyle w:val="1053"/>
              <w:jc w:val="center"/>
              <w:rPr>
                <w:color w:val="000000"/>
                <w:sz w:val="24"/>
              </w:rPr>
            </w:pPr>
            <w:r>
              <w:rPr>
                <w:color w:val="000000"/>
                <w:sz w:val="24"/>
              </w:rPr>
            </w:r>
            <w:r/>
          </w:p>
        </w:tc>
        <w:tc>
          <w:tcPr>
            <w:tcW w:w="2126" w:type="dxa"/>
            <w:vAlign w:val="center"/>
            <w:textDirection w:val="lrTb"/>
            <w:noWrap w:val="false"/>
          </w:tcPr>
          <w:p>
            <w:pPr>
              <w:pStyle w:val="1053"/>
              <w:jc w:val="center"/>
              <w:rPr>
                <w:color w:val="000000"/>
                <w:sz w:val="24"/>
              </w:rPr>
            </w:pPr>
            <w:r>
              <w:rPr>
                <w:color w:val="000000"/>
                <w:sz w:val="24"/>
              </w:rPr>
            </w:r>
            <w:r/>
          </w:p>
        </w:tc>
        <w:tc>
          <w:tcPr>
            <w:tcW w:w="1875" w:type="dxa"/>
            <w:vAlign w:val="center"/>
            <w:textDirection w:val="lrTb"/>
            <w:noWrap w:val="false"/>
          </w:tcPr>
          <w:p>
            <w:pPr>
              <w:pStyle w:val="1053"/>
              <w:jc w:val="center"/>
              <w:rPr>
                <w:color w:val="000000"/>
                <w:sz w:val="24"/>
              </w:rPr>
            </w:pPr>
            <w:r>
              <w:rPr>
                <w:color w:val="000000"/>
                <w:sz w:val="24"/>
              </w:rPr>
            </w:r>
            <w:r/>
          </w:p>
        </w:tc>
        <w:tc>
          <w:tcPr>
            <w:tcW w:w="1009" w:type="dxa"/>
            <w:vAlign w:val="center"/>
            <w:textDirection w:val="lrTb"/>
            <w:noWrap w:val="false"/>
          </w:tcPr>
          <w:p>
            <w:pPr>
              <w:pStyle w:val="1053"/>
              <w:jc w:val="center"/>
              <w:rPr>
                <w:color w:val="000000"/>
                <w:sz w:val="24"/>
              </w:rPr>
            </w:pPr>
            <w:r>
              <w:rPr>
                <w:color w:val="000000"/>
                <w:sz w:val="24"/>
              </w:rPr>
            </w:r>
            <w:r/>
          </w:p>
        </w:tc>
      </w:tr>
      <w:tr>
        <w:trPr>
          <w:trHeight w:val="930"/>
        </w:trPr>
        <w:tc>
          <w:tcPr>
            <w:tcW w:w="775" w:type="dxa"/>
            <w:vAlign w:val="center"/>
            <w:textDirection w:val="lrTb"/>
            <w:noWrap w:val="false"/>
          </w:tcPr>
          <w:p>
            <w:pPr>
              <w:pStyle w:val="1053"/>
              <w:jc w:val="center"/>
              <w:rPr>
                <w:color w:val="000000"/>
                <w:sz w:val="24"/>
              </w:rPr>
            </w:pPr>
            <w:r>
              <w:rPr>
                <w:color w:val="000000"/>
                <w:sz w:val="24"/>
              </w:rPr>
            </w:r>
            <w:r/>
          </w:p>
        </w:tc>
        <w:tc>
          <w:tcPr>
            <w:tcW w:w="1482" w:type="dxa"/>
            <w:vAlign w:val="center"/>
            <w:textDirection w:val="lrTb"/>
            <w:noWrap w:val="false"/>
          </w:tcPr>
          <w:p>
            <w:pPr>
              <w:pStyle w:val="1053"/>
              <w:jc w:val="center"/>
              <w:rPr>
                <w:color w:val="000000"/>
                <w:sz w:val="24"/>
              </w:rPr>
            </w:pPr>
            <w:r>
              <w:rPr>
                <w:color w:val="000000"/>
                <w:sz w:val="24"/>
              </w:rPr>
            </w:r>
            <w:r/>
          </w:p>
        </w:tc>
        <w:tc>
          <w:tcPr>
            <w:tcW w:w="2384" w:type="dxa"/>
            <w:vAlign w:val="center"/>
            <w:textDirection w:val="lrTb"/>
            <w:noWrap w:val="false"/>
          </w:tcPr>
          <w:p>
            <w:pPr>
              <w:pStyle w:val="1053"/>
              <w:jc w:val="center"/>
              <w:rPr>
                <w:color w:val="000000"/>
                <w:sz w:val="24"/>
              </w:rPr>
            </w:pPr>
            <w:r>
              <w:rPr>
                <w:color w:val="000000"/>
                <w:sz w:val="24"/>
              </w:rPr>
            </w:r>
            <w:r/>
          </w:p>
        </w:tc>
        <w:tc>
          <w:tcPr>
            <w:tcW w:w="2126" w:type="dxa"/>
            <w:vAlign w:val="center"/>
            <w:textDirection w:val="lrTb"/>
            <w:noWrap w:val="false"/>
          </w:tcPr>
          <w:p>
            <w:pPr>
              <w:pStyle w:val="1053"/>
              <w:jc w:val="center"/>
              <w:rPr>
                <w:color w:val="000000"/>
                <w:sz w:val="24"/>
              </w:rPr>
            </w:pPr>
            <w:r>
              <w:rPr>
                <w:color w:val="000000"/>
                <w:sz w:val="24"/>
              </w:rPr>
            </w:r>
            <w:r/>
          </w:p>
        </w:tc>
        <w:tc>
          <w:tcPr>
            <w:tcW w:w="1875" w:type="dxa"/>
            <w:vAlign w:val="center"/>
            <w:textDirection w:val="lrTb"/>
            <w:noWrap w:val="false"/>
          </w:tcPr>
          <w:p>
            <w:pPr>
              <w:pStyle w:val="1053"/>
              <w:jc w:val="center"/>
              <w:rPr>
                <w:color w:val="000000"/>
                <w:sz w:val="24"/>
              </w:rPr>
            </w:pPr>
            <w:r>
              <w:rPr>
                <w:color w:val="000000"/>
                <w:sz w:val="24"/>
              </w:rPr>
            </w:r>
            <w:r/>
          </w:p>
        </w:tc>
        <w:tc>
          <w:tcPr>
            <w:tcW w:w="1009" w:type="dxa"/>
            <w:vAlign w:val="center"/>
            <w:textDirection w:val="lrTb"/>
            <w:noWrap w:val="false"/>
          </w:tcPr>
          <w:p>
            <w:pPr>
              <w:pStyle w:val="1053"/>
              <w:jc w:val="center"/>
              <w:rPr>
                <w:color w:val="000000"/>
                <w:sz w:val="24"/>
              </w:rPr>
            </w:pPr>
            <w:r>
              <w:rPr>
                <w:color w:val="000000"/>
                <w:sz w:val="24"/>
              </w:rPr>
            </w:r>
            <w:r/>
          </w:p>
        </w:tc>
      </w:tr>
      <w:tr>
        <w:trPr>
          <w:trHeight w:val="930"/>
        </w:trPr>
        <w:tc>
          <w:tcPr>
            <w:tcW w:w="775" w:type="dxa"/>
            <w:vAlign w:val="center"/>
            <w:textDirection w:val="lrTb"/>
            <w:noWrap w:val="false"/>
          </w:tcPr>
          <w:p>
            <w:pPr>
              <w:pStyle w:val="1053"/>
              <w:jc w:val="center"/>
              <w:rPr>
                <w:color w:val="000000"/>
                <w:sz w:val="24"/>
              </w:rPr>
            </w:pPr>
            <w:r>
              <w:rPr>
                <w:color w:val="000000"/>
                <w:sz w:val="24"/>
              </w:rPr>
            </w:r>
            <w:r/>
          </w:p>
        </w:tc>
        <w:tc>
          <w:tcPr>
            <w:tcW w:w="1482" w:type="dxa"/>
            <w:vAlign w:val="center"/>
            <w:textDirection w:val="lrTb"/>
            <w:noWrap w:val="false"/>
          </w:tcPr>
          <w:p>
            <w:pPr>
              <w:pStyle w:val="1053"/>
              <w:jc w:val="center"/>
              <w:rPr>
                <w:color w:val="000000"/>
                <w:sz w:val="24"/>
              </w:rPr>
            </w:pPr>
            <w:r>
              <w:rPr>
                <w:color w:val="000000"/>
                <w:sz w:val="24"/>
              </w:rPr>
            </w:r>
            <w:r/>
          </w:p>
        </w:tc>
        <w:tc>
          <w:tcPr>
            <w:tcW w:w="2384" w:type="dxa"/>
            <w:vAlign w:val="center"/>
            <w:textDirection w:val="lrTb"/>
            <w:noWrap w:val="false"/>
          </w:tcPr>
          <w:p>
            <w:pPr>
              <w:pStyle w:val="1053"/>
              <w:jc w:val="center"/>
              <w:rPr>
                <w:color w:val="000000"/>
                <w:sz w:val="24"/>
              </w:rPr>
            </w:pPr>
            <w:r>
              <w:rPr>
                <w:color w:val="000000"/>
                <w:sz w:val="24"/>
              </w:rPr>
            </w:r>
            <w:r/>
          </w:p>
        </w:tc>
        <w:tc>
          <w:tcPr>
            <w:tcW w:w="2126" w:type="dxa"/>
            <w:vAlign w:val="center"/>
            <w:textDirection w:val="lrTb"/>
            <w:noWrap w:val="false"/>
          </w:tcPr>
          <w:p>
            <w:pPr>
              <w:pStyle w:val="1053"/>
              <w:jc w:val="center"/>
              <w:rPr>
                <w:color w:val="000000"/>
                <w:sz w:val="24"/>
              </w:rPr>
            </w:pPr>
            <w:r>
              <w:rPr>
                <w:color w:val="000000"/>
                <w:sz w:val="24"/>
              </w:rPr>
            </w:r>
            <w:r/>
          </w:p>
        </w:tc>
        <w:tc>
          <w:tcPr>
            <w:tcW w:w="1875" w:type="dxa"/>
            <w:vAlign w:val="center"/>
            <w:textDirection w:val="lrTb"/>
            <w:noWrap w:val="false"/>
          </w:tcPr>
          <w:p>
            <w:pPr>
              <w:pStyle w:val="1053"/>
              <w:jc w:val="center"/>
              <w:rPr>
                <w:color w:val="000000"/>
                <w:sz w:val="24"/>
              </w:rPr>
            </w:pPr>
            <w:r>
              <w:rPr>
                <w:color w:val="000000"/>
                <w:sz w:val="24"/>
              </w:rPr>
            </w:r>
            <w:r/>
          </w:p>
        </w:tc>
        <w:tc>
          <w:tcPr>
            <w:tcW w:w="1009" w:type="dxa"/>
            <w:vAlign w:val="center"/>
            <w:textDirection w:val="lrTb"/>
            <w:noWrap w:val="false"/>
          </w:tcPr>
          <w:p>
            <w:pPr>
              <w:pStyle w:val="1053"/>
              <w:jc w:val="center"/>
              <w:rPr>
                <w:color w:val="000000"/>
                <w:sz w:val="24"/>
              </w:rPr>
            </w:pPr>
            <w:r>
              <w:rPr>
                <w:color w:val="000000"/>
                <w:sz w:val="24"/>
              </w:rPr>
            </w:r>
            <w:r/>
          </w:p>
        </w:tc>
      </w:tr>
      <w:tr>
        <w:trPr>
          <w:trHeight w:val="930"/>
        </w:trPr>
        <w:tc>
          <w:tcPr>
            <w:tcW w:w="775" w:type="dxa"/>
            <w:vAlign w:val="center"/>
            <w:textDirection w:val="lrTb"/>
            <w:noWrap w:val="false"/>
          </w:tcPr>
          <w:p>
            <w:pPr>
              <w:pStyle w:val="1053"/>
              <w:jc w:val="center"/>
              <w:rPr>
                <w:color w:val="000000"/>
                <w:sz w:val="24"/>
              </w:rPr>
            </w:pPr>
            <w:r>
              <w:rPr>
                <w:color w:val="000000"/>
                <w:sz w:val="24"/>
              </w:rPr>
              <w:t xml:space="preserve">……</w:t>
            </w:r>
            <w:r>
              <w:rPr>
                <w:color w:val="000000"/>
                <w:sz w:val="24"/>
              </w:rPr>
            </w:r>
            <w:r/>
          </w:p>
        </w:tc>
        <w:tc>
          <w:tcPr>
            <w:tcW w:w="1482" w:type="dxa"/>
            <w:vAlign w:val="center"/>
            <w:textDirection w:val="lrTb"/>
            <w:noWrap w:val="false"/>
          </w:tcPr>
          <w:p>
            <w:pPr>
              <w:pStyle w:val="1053"/>
              <w:jc w:val="center"/>
              <w:rPr>
                <w:color w:val="000000"/>
                <w:sz w:val="24"/>
              </w:rPr>
            </w:pPr>
            <w:r>
              <w:rPr>
                <w:color w:val="000000"/>
                <w:sz w:val="24"/>
              </w:rPr>
            </w:r>
            <w:r/>
          </w:p>
        </w:tc>
        <w:tc>
          <w:tcPr>
            <w:tcW w:w="2384" w:type="dxa"/>
            <w:vAlign w:val="center"/>
            <w:textDirection w:val="lrTb"/>
            <w:noWrap w:val="false"/>
          </w:tcPr>
          <w:p>
            <w:pPr>
              <w:pStyle w:val="1053"/>
              <w:jc w:val="center"/>
              <w:rPr>
                <w:color w:val="000000"/>
                <w:sz w:val="24"/>
              </w:rPr>
            </w:pPr>
            <w:r>
              <w:rPr>
                <w:color w:val="000000"/>
                <w:sz w:val="24"/>
              </w:rPr>
            </w:r>
            <w:r/>
          </w:p>
        </w:tc>
        <w:tc>
          <w:tcPr>
            <w:tcW w:w="2126" w:type="dxa"/>
            <w:vAlign w:val="center"/>
            <w:textDirection w:val="lrTb"/>
            <w:noWrap w:val="false"/>
          </w:tcPr>
          <w:p>
            <w:pPr>
              <w:pStyle w:val="1053"/>
              <w:jc w:val="center"/>
              <w:rPr>
                <w:color w:val="000000"/>
                <w:sz w:val="24"/>
              </w:rPr>
            </w:pPr>
            <w:r>
              <w:rPr>
                <w:color w:val="000000"/>
                <w:sz w:val="24"/>
              </w:rPr>
            </w:r>
            <w:r/>
          </w:p>
        </w:tc>
        <w:tc>
          <w:tcPr>
            <w:tcW w:w="1875" w:type="dxa"/>
            <w:vAlign w:val="center"/>
            <w:textDirection w:val="lrTb"/>
            <w:noWrap w:val="false"/>
          </w:tcPr>
          <w:p>
            <w:pPr>
              <w:pStyle w:val="1053"/>
              <w:jc w:val="center"/>
              <w:rPr>
                <w:color w:val="000000"/>
                <w:sz w:val="24"/>
              </w:rPr>
            </w:pPr>
            <w:r>
              <w:rPr>
                <w:color w:val="000000"/>
                <w:sz w:val="24"/>
              </w:rPr>
            </w:r>
            <w:r/>
          </w:p>
        </w:tc>
        <w:tc>
          <w:tcPr>
            <w:tcW w:w="1009" w:type="dxa"/>
            <w:vAlign w:val="center"/>
            <w:textDirection w:val="lrTb"/>
            <w:noWrap w:val="false"/>
          </w:tcPr>
          <w:p>
            <w:pPr>
              <w:pStyle w:val="1053"/>
              <w:jc w:val="center"/>
              <w:rPr>
                <w:color w:val="000000"/>
                <w:sz w:val="24"/>
              </w:rPr>
            </w:pPr>
            <w:r>
              <w:rPr>
                <w:color w:val="000000"/>
                <w:sz w:val="24"/>
              </w:rPr>
            </w:r>
            <w:r/>
          </w:p>
        </w:tc>
      </w:tr>
    </w:tbl>
    <w:p>
      <w:pPr>
        <w:pStyle w:val="105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5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53"/>
        <w:jc w:val="left"/>
        <w:tabs>
          <w:tab w:val="left" w:pos="1800" w:leader="none"/>
          <w:tab w:val="left" w:pos="5580" w:leader="none"/>
        </w:tabs>
        <w:rPr>
          <w:rFonts w:hint="eastAsia"/>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r>
      <w:r/>
    </w:p>
    <w:p>
      <w:pPr>
        <w:pStyle w:val="1053"/>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1053"/>
        <w:jc w:val="left"/>
        <w:tabs>
          <w:tab w:val="left" w:pos="1800" w:leader="none"/>
          <w:tab w:val="left" w:pos="5580" w:leader="none"/>
        </w:tabs>
        <w:rPr>
          <w:sz w:val="24"/>
        </w:rPr>
      </w:pPr>
      <w:r>
        <w:rPr>
          <w:sz w:val="24"/>
        </w:rPr>
      </w:r>
      <w:r/>
    </w:p>
    <w:p>
      <w:pPr>
        <w:pStyle w:val="1053"/>
        <w:jc w:val="left"/>
        <w:tabs>
          <w:tab w:val="left" w:pos="1800" w:leader="none"/>
          <w:tab w:val="left" w:pos="5580" w:leader="none"/>
        </w:tabs>
        <w:rPr>
          <w:color w:val="000000"/>
          <w:sz w:val="24"/>
        </w:rPr>
      </w:pPr>
      <w:r>
        <w:rPr>
          <w:color w:val="000000"/>
          <w:sz w:val="24"/>
        </w:rPr>
      </w:r>
      <w:r/>
    </w:p>
    <w:p>
      <w:pPr>
        <w:pStyle w:val="1053"/>
        <w:rPr>
          <w:color w:val="000000"/>
          <w:sz w:val="24"/>
          <w:szCs w:val="20"/>
        </w:rPr>
      </w:pPr>
      <w:r>
        <w:rPr>
          <w:color w:val="000000"/>
          <w:sz w:val="24"/>
          <w:szCs w:val="20"/>
        </w:rPr>
      </w:r>
      <w:r/>
    </w:p>
    <w:p>
      <w:pPr>
        <w:pStyle w:val="105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5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05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53"/>
        <w:spacing w:line="360" w:lineRule="auto"/>
        <w:rPr>
          <w:rFonts w:ascii="Times New Roman" w:hAnsi="Times New Roman" w:eastAsia="宋体" w:cs="Times New Roman"/>
          <w:color w:val="000000"/>
          <w:sz w:val="24"/>
          <w:szCs w:val="20"/>
        </w:rPr>
        <w:outlineLvl w:val="2"/>
      </w:pPr>
      <w:r>
        <w:rPr>
          <w:color w:val="000000"/>
          <w:sz w:val="24"/>
          <w:szCs w:val="20"/>
        </w:rPr>
        <w:br w:type="page" w:clear="all"/>
      </w:r>
      <w:r>
        <w:rPr>
          <w:rFonts w:hint="eastAsia" w:ascii="Times New Roman" w:hAnsi="Times New Roman" w:eastAsia="宋体" w:cs="Times New Roman"/>
          <w:color w:val="000000"/>
          <w:sz w:val="24"/>
          <w:szCs w:val="20"/>
          <w:lang w:val="en-US" w:eastAsia="zh-CN"/>
        </w:rPr>
        <w:t xml:space="preserve">8</w:t>
      </w:r>
      <w:r>
        <w:rPr>
          <w:rFonts w:ascii="Times New Roman" w:hAnsi="Times New Roman" w:eastAsia="宋体" w:cs="Times New Roman"/>
          <w:color w:val="000000"/>
          <w:sz w:val="24"/>
          <w:szCs w:val="20"/>
        </w:rPr>
        <w:t xml:space="preserve">  中小企业声明函</w:t>
      </w:r>
      <w:r>
        <w:rPr>
          <w:rFonts w:ascii="Times New Roman" w:hAnsi="Times New Roman" w:eastAsia="宋体" w:cs="Times New Roman"/>
          <w:color w:val="000000"/>
          <w:sz w:val="24"/>
          <w:szCs w:val="20"/>
        </w:rPr>
      </w:r>
      <w:r/>
    </w:p>
    <w:p>
      <w:pPr>
        <w:pStyle w:val="1053"/>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说明：</w:t>
      </w:r>
      <w:r>
        <w:rPr>
          <w:rFonts w:ascii="Times New Roman" w:hAnsi="Times New Roman" w:eastAsia="宋体" w:cs="Times New Roman"/>
          <w:sz w:val="24"/>
        </w:rPr>
      </w:r>
      <w:r/>
    </w:p>
    <w:p>
      <w:pPr>
        <w:pStyle w:val="1053"/>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Times New Roman" w:hAnsi="Times New Roman" w:eastAsia="宋体" w:cs="Times New Roman"/>
          <w:sz w:val="24"/>
        </w:rPr>
      </w:r>
      <w:r/>
    </w:p>
    <w:p>
      <w:pPr>
        <w:pStyle w:val="1053"/>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1053"/>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3）对于多标的的采购项目，投标人应充分、准确地了解所投产品制造企业信息。对相关情况了解不清楚的，不建议填报本声明函。</w:t>
      </w:r>
      <w:r>
        <w:rPr>
          <w:rFonts w:hint="eastAsia" w:ascii="Times New Roman" w:hAnsi="Times New Roman" w:eastAsia="宋体" w:cs="Times New Roman"/>
          <w:sz w:val="24"/>
        </w:rPr>
      </w:r>
      <w:r/>
    </w:p>
    <w:p>
      <w:pPr>
        <w:pStyle w:val="1053"/>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4）中小企业认定标准以《关于印发中小企业划型标准规定的通知》（工信部联企业〔2011〕300号）文件规定为准。</w:t>
      </w:r>
      <w:r>
        <w:rPr>
          <w:rFonts w:ascii="Times New Roman" w:hAnsi="Times New Roman" w:eastAsia="宋体" w:cs="Times New Roman"/>
          <w:sz w:val="24"/>
        </w:rPr>
      </w:r>
      <w:r/>
    </w:p>
    <w:p>
      <w:pPr>
        <w:pStyle w:val="1053"/>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 HYPERLINK "http://202.106.120.146/baosong/appweb/orgScale.html" </w:instrText>
      </w:r>
      <w:r>
        <w:rPr>
          <w:rFonts w:ascii="Times New Roman" w:hAnsi="Times New Roman" w:eastAsia="宋体" w:cs="Times New Roman"/>
          <w:sz w:val="24"/>
        </w:rPr>
        <w:fldChar w:fldCharType="separate"/>
      </w:r>
      <w:r>
        <w:rPr>
          <w:rStyle w:val="1129"/>
          <w:rFonts w:ascii="Times New Roman" w:hAnsi="Times New Roman" w:eastAsia="宋体" w:cs="Times New Roman"/>
          <w:sz w:val="24"/>
        </w:rPr>
        <w:t xml:space="preserve">http://202.106.120.146/baosong/appweb/orgScale.html</w:t>
      </w:r>
      <w:r>
        <w:rPr>
          <w:rFonts w:ascii="Times New Roman" w:hAnsi="Times New Roman" w:eastAsia="宋体" w:cs="Times New Roman"/>
          <w:sz w:val="24"/>
        </w:rPr>
        <w:fldChar w:fldCharType="end"/>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r>
      <w:r/>
    </w:p>
    <w:p>
      <w:pPr>
        <w:pStyle w:val="1053"/>
        <w:spacing w:line="360" w:lineRule="auto"/>
        <w:tabs>
          <w:tab w:val="left" w:pos="5580" w:leader="none"/>
        </w:tabs>
        <w:rPr>
          <w:rFonts w:hint="eastAsia" w:ascii="宋体" w:hAnsi="宋体" w:eastAsia="宋体" w:cs="Times New Roman"/>
          <w:b/>
          <w:sz w:val="24"/>
        </w:rPr>
      </w:pPr>
      <w:r>
        <w:rPr>
          <w:rFonts w:hint="eastAsia" w:ascii="Times New Roman" w:hAnsi="Times New Roman" w:eastAsia="宋体" w:cs="Times New Roman"/>
          <w:sz w:val="24"/>
        </w:rPr>
        <w:t xml:space="preserve">6）</w:t>
      </w:r>
      <w:r>
        <w:rPr>
          <w:rFonts w:ascii="宋体" w:hAnsi="宋体" w:eastAsia="宋体" w:cs="Times New Roman"/>
          <w:b/>
          <w:sz w:val="24"/>
        </w:rPr>
        <w:t xml:space="preserve">在货物采购项目中，供应商提供的货物既有中</w:t>
      </w:r>
      <w:r>
        <w:rPr>
          <w:rFonts w:hint="eastAsia" w:ascii="宋体" w:hAnsi="宋体" w:eastAsia="宋体" w:cs="Times New Roman"/>
          <w:b/>
          <w:sz w:val="24"/>
        </w:rPr>
        <w:t xml:space="preserve">型</w:t>
      </w:r>
      <w:r>
        <w:rPr>
          <w:rFonts w:ascii="宋体" w:hAnsi="宋体" w:eastAsia="宋体" w:cs="Times New Roman"/>
          <w:b/>
          <w:sz w:val="24"/>
        </w:rPr>
        <w:t xml:space="preserve">企业制造货物，也有</w:t>
      </w:r>
      <w:r>
        <w:rPr>
          <w:rFonts w:hint="eastAsia" w:ascii="宋体" w:hAnsi="宋体" w:eastAsia="宋体" w:cs="Times New Roman"/>
          <w:b/>
          <w:sz w:val="24"/>
        </w:rPr>
        <w:t xml:space="preserve">小微</w:t>
      </w:r>
      <w:r>
        <w:rPr>
          <w:rFonts w:ascii="宋体" w:hAnsi="宋体" w:eastAsia="宋体" w:cs="Times New Roman"/>
          <w:b/>
          <w:sz w:val="24"/>
        </w:rPr>
        <w:t xml:space="preserve">企业制造货物的，不享受</w:t>
      </w:r>
      <w:r>
        <w:rPr>
          <w:rFonts w:hint="eastAsia" w:ascii="宋体" w:hAnsi="宋体" w:eastAsia="宋体" w:cs="Times New Roman"/>
          <w:b/>
          <w:sz w:val="24"/>
        </w:rPr>
        <w:t xml:space="preserve">小微</w:t>
      </w:r>
      <w:r>
        <w:rPr>
          <w:rFonts w:ascii="宋体" w:hAnsi="宋体" w:eastAsia="宋体" w:cs="Times New Roman"/>
          <w:b/>
          <w:sz w:val="24"/>
        </w:rPr>
        <w:t xml:space="preserve">企业扶持政策</w:t>
      </w:r>
      <w:r>
        <w:rPr>
          <w:rFonts w:hint="eastAsia" w:ascii="宋体" w:hAnsi="宋体" w:eastAsia="宋体" w:cs="Times New Roman"/>
          <w:b/>
          <w:sz w:val="24"/>
        </w:rPr>
        <w:t xml:space="preserve">，不予价格扣除</w:t>
      </w:r>
      <w:r>
        <w:rPr>
          <w:rFonts w:ascii="宋体" w:hAnsi="宋体" w:eastAsia="宋体" w:cs="Times New Roman"/>
          <w:b/>
          <w:sz w:val="24"/>
        </w:rPr>
        <w:t xml:space="preserve">。</w:t>
      </w:r>
      <w:r>
        <w:rPr>
          <w:rFonts w:hint="eastAsia" w:ascii="宋体" w:hAnsi="宋体" w:eastAsia="宋体" w:cs="Times New Roman"/>
          <w:b/>
          <w:sz w:val="24"/>
        </w:rPr>
      </w:r>
      <w:r/>
    </w:p>
    <w:p>
      <w:pPr>
        <w:pStyle w:val="1053"/>
        <w:spacing w:line="360" w:lineRule="auto"/>
        <w:tabs>
          <w:tab w:val="left" w:pos="5580" w:leader="none"/>
        </w:tabs>
        <w:rPr>
          <w:rFonts w:ascii="宋体" w:hAnsi="宋体" w:eastAsia="宋体" w:cs="Times New Roman"/>
          <w:b/>
          <w:sz w:val="24"/>
        </w:rPr>
      </w:pPr>
      <w:r>
        <w:rPr>
          <w:rFonts w:hint="eastAsia" w:ascii="宋体" w:hAnsi="宋体" w:eastAsia="宋体" w:cs="Times New Roman"/>
          <w:b/>
          <w:sz w:val="24"/>
        </w:rPr>
        <w:t xml:space="preserve">7）小微企业未提供声明函的，价格分评审将不予价格扣除。</w:t>
      </w:r>
      <w:r>
        <w:rPr>
          <w:rFonts w:ascii="宋体" w:hAnsi="宋体" w:eastAsia="宋体" w:cs="Times New Roman"/>
          <w:b/>
          <w:sz w:val="24"/>
        </w:rPr>
      </w:r>
      <w:r/>
    </w:p>
    <w:p>
      <w:pPr>
        <w:pStyle w:val="1053"/>
        <w:jc w:val="left"/>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br w:type="page" w:clear="all"/>
      </w:r>
      <w:r>
        <w:rPr>
          <w:rFonts w:ascii="Times New Roman" w:hAnsi="Times New Roman" w:eastAsia="宋体" w:cs="Times New Roman"/>
          <w:b/>
          <w:bCs/>
          <w:color w:val="000000"/>
          <w:sz w:val="24"/>
        </w:rPr>
      </w:r>
      <w:r/>
    </w:p>
    <w:p>
      <w:pPr>
        <w:pStyle w:val="1053"/>
        <w:jc w:val="center"/>
        <w:spacing w:before="240" w:after="240" w:line="360" w:lineRule="auto"/>
        <w:rPr>
          <w:b/>
          <w:color w:val="000000"/>
          <w:sz w:val="36"/>
          <w:szCs w:val="36"/>
        </w:rPr>
      </w:pPr>
      <w:r>
        <w:rPr>
          <w:b/>
          <w:bCs/>
          <w:color w:val="000000"/>
          <w:sz w:val="36"/>
          <w:szCs w:val="36"/>
        </w:rPr>
        <w:t xml:space="preserve">中小企业声明函（货物）格式</w:t>
      </w:r>
      <w:r>
        <w:rPr>
          <w:b/>
          <w:color w:val="000000"/>
          <w:sz w:val="36"/>
          <w:szCs w:val="36"/>
        </w:rPr>
      </w:r>
      <w:r/>
    </w:p>
    <w:p>
      <w:pPr>
        <w:pStyle w:val="1053"/>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053"/>
        <w:numPr>
          <w:ilvl w:val="0"/>
          <w:numId w:val="18"/>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053"/>
        <w:numPr>
          <w:ilvl w:val="0"/>
          <w:numId w:val="18"/>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53"/>
        <w:ind w:left="860"/>
        <w:jc w:val="left"/>
        <w:spacing w:line="360" w:lineRule="auto"/>
        <w:rPr>
          <w:sz w:val="24"/>
        </w:rPr>
      </w:pPr>
      <w:r>
        <w:rPr>
          <w:sz w:val="24"/>
        </w:rPr>
        <w:t xml:space="preserve">……</w:t>
      </w:r>
      <w:r>
        <w:rPr>
          <w:sz w:val="24"/>
        </w:rPr>
      </w:r>
      <w:r/>
    </w:p>
    <w:p>
      <w:pPr>
        <w:pStyle w:val="1053"/>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053"/>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053"/>
        <w:ind w:firstLine="504"/>
        <w:spacing w:line="360" w:lineRule="auto"/>
        <w:rPr>
          <w:spacing w:val="6"/>
          <w:sz w:val="24"/>
        </w:rPr>
      </w:pPr>
      <w:r>
        <w:rPr>
          <w:spacing w:val="6"/>
          <w:sz w:val="24"/>
        </w:rPr>
      </w:r>
      <w:r/>
    </w:p>
    <w:p>
      <w:pPr>
        <w:pStyle w:val="1053"/>
        <w:ind w:firstLine="504"/>
        <w:spacing w:line="360" w:lineRule="auto"/>
        <w:rPr>
          <w:spacing w:val="6"/>
          <w:sz w:val="24"/>
        </w:rPr>
      </w:pPr>
      <w:r>
        <w:rPr>
          <w:spacing w:val="6"/>
          <w:sz w:val="24"/>
        </w:rPr>
      </w:r>
      <w:r/>
    </w:p>
    <w:p>
      <w:pPr>
        <w:pStyle w:val="1053"/>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53"/>
        <w:ind w:right="360" w:firstLine="480"/>
        <w:jc w:val="right"/>
        <w:spacing w:line="360" w:lineRule="auto"/>
        <w:rPr>
          <w:color w:val="000000"/>
          <w:sz w:val="24"/>
        </w:rPr>
      </w:pPr>
      <w:r>
        <w:rPr>
          <w:color w:val="000000"/>
          <w:sz w:val="24"/>
        </w:rPr>
        <w:t xml:space="preserve">日 期：________</w:t>
      </w:r>
      <w:r>
        <w:rPr>
          <w:color w:val="000000"/>
          <w:sz w:val="24"/>
        </w:rPr>
      </w:r>
      <w:r/>
    </w:p>
    <w:p>
      <w:pPr>
        <w:pStyle w:val="1053"/>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53"/>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53"/>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53"/>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1053"/>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053"/>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53"/>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53"/>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1053"/>
        <w:jc w:val="center"/>
        <w:spacing w:before="240" w:after="240" w:line="360" w:lineRule="auto"/>
        <w:rPr>
          <w:rFonts w:ascii="Times New Roman" w:hAnsi="Times New Roman" w:eastAsia="宋体" w:cs="Times New Roman"/>
          <w:color w:val="000000"/>
          <w:sz w:val="36"/>
          <w:szCs w:val="36"/>
        </w:rPr>
      </w:pPr>
      <w:r>
        <w:rPr>
          <w:rFonts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color w:val="000000"/>
          <w:sz w:val="36"/>
          <w:szCs w:val="36"/>
        </w:rPr>
        <w:t xml:space="preserve"> </w:t>
      </w:r>
      <w:r>
        <w:rPr>
          <w:rFonts w:ascii="Times New Roman" w:hAnsi="Times New Roman" w:eastAsia="宋体" w:cs="Times New Roman"/>
          <w:color w:val="000000"/>
          <w:sz w:val="36"/>
          <w:szCs w:val="36"/>
        </w:rPr>
      </w:r>
      <w:r/>
    </w:p>
    <w:p>
      <w:pPr>
        <w:pStyle w:val="1053"/>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1053"/>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1053"/>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且本单位参加______单位的______项目采购活动由本单位提供服务。</w:t>
      </w:r>
      <w:r>
        <w:rPr>
          <w:rFonts w:ascii="Times New Roman" w:hAnsi="Times New Roman" w:eastAsia="宋体" w:cs="Times New Roman"/>
          <w:spacing w:val="6"/>
          <w:sz w:val="24"/>
        </w:rPr>
      </w:r>
      <w:r/>
    </w:p>
    <w:p>
      <w:pPr>
        <w:pStyle w:val="1053"/>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1053"/>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53"/>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53"/>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单位名称（加盖公章）：</w:t>
      </w:r>
      <w:r>
        <w:rPr>
          <w:rFonts w:ascii="Times New Roman" w:hAnsi="Times New Roman" w:eastAsia="宋体" w:cs="Times New Roman"/>
          <w:spacing w:val="6"/>
          <w:sz w:val="24"/>
        </w:rPr>
      </w:r>
      <w:r/>
    </w:p>
    <w:p>
      <w:pPr>
        <w:pStyle w:val="1053"/>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日  期：</w:t>
      </w:r>
      <w:r>
        <w:rPr>
          <w:rFonts w:ascii="Times New Roman" w:hAnsi="Times New Roman" w:eastAsia="宋体" w:cs="Times New Roman"/>
          <w:spacing w:val="6"/>
          <w:sz w:val="24"/>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053"/>
        <w:ind w:firstLine="480"/>
        <w:spacing w:line="560" w:lineRule="exact"/>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1）</w:t>
      </w:r>
      <w:r>
        <w:rPr>
          <w:rFonts w:hint="eastAsia" w:ascii="Times New Roman" w:hAnsi="Times New Roman" w:eastAsia="宋体" w:cs="Times New Roman"/>
          <w:color w:val="000000"/>
          <w:sz w:val="24"/>
          <w:szCs w:val="20"/>
        </w:rPr>
        <w:t xml:space="preserve">设备到货安装调试方案</w:t>
      </w:r>
      <w:r>
        <w:rPr>
          <w:rFonts w:hint="eastAsia" w:ascii="Times New Roman" w:hAnsi="Times New Roman" w:eastAsia="宋体" w:cs="Times New Roman"/>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r>
      <w:r/>
    </w:p>
    <w:p>
      <w:pPr>
        <w:pStyle w:val="1053"/>
        <w:ind w:firstLine="480"/>
        <w:spacing w:line="560" w:lineRule="exact"/>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2）</w:t>
      </w:r>
      <w:r>
        <w:rPr>
          <w:rFonts w:hint="eastAsia" w:ascii="Times New Roman" w:hAnsi="Times New Roman" w:eastAsia="宋体" w:cs="Times New Roman"/>
          <w:color w:val="000000"/>
          <w:sz w:val="24"/>
          <w:szCs w:val="20"/>
        </w:rPr>
        <w:t xml:space="preserve">软件平台技术方案</w:t>
      </w:r>
      <w:r>
        <w:rPr>
          <w:rFonts w:hint="eastAsia" w:ascii="Times New Roman" w:hAnsi="Times New Roman" w:eastAsia="宋体" w:cs="Times New Roman"/>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r>
      <w:r/>
    </w:p>
    <w:p>
      <w:pPr>
        <w:pStyle w:val="1053"/>
        <w:ind w:firstLine="480"/>
        <w:spacing w:line="560" w:lineRule="exact"/>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3）运维及售后服务方案；</w:t>
      </w:r>
      <w:r>
        <w:rPr>
          <w:rFonts w:hint="eastAsia" w:ascii="Times New Roman" w:hAnsi="Times New Roman" w:eastAsia="宋体" w:cs="Times New Roman"/>
          <w:color w:val="000000"/>
          <w:sz w:val="24"/>
          <w:szCs w:val="20"/>
          <w:lang w:val="en-US" w:eastAsia="zh-CN"/>
        </w:rPr>
      </w:r>
      <w:r/>
    </w:p>
    <w:p>
      <w:pPr>
        <w:pStyle w:val="1053"/>
        <w:ind w:firstLine="480"/>
        <w:spacing w:line="560" w:lineRule="exact"/>
        <w:rPr>
          <w:rFonts w:hint="eastAsia" w:ascii="宋体" w:hAnsi="宋体" w:eastAsia="宋体" w:cs="宋体"/>
          <w:color w:val="000000"/>
          <w:sz w:val="24"/>
          <w:szCs w:val="24"/>
          <w:lang w:val="en-US" w:eastAsia="zh-CN" w:bidi="ar"/>
        </w:rPr>
      </w:pPr>
      <w:r>
        <w:rPr>
          <w:rFonts w:hint="eastAsia" w:ascii="Times New Roman" w:hAnsi="Times New Roman" w:eastAsia="宋体" w:cs="Times New Roman"/>
          <w:color w:val="000000"/>
          <w:sz w:val="24"/>
          <w:szCs w:val="20"/>
          <w:lang w:val="en-US" w:eastAsia="zh-CN"/>
        </w:rPr>
        <w:t xml:space="preserve">4）</w:t>
      </w:r>
      <w:r>
        <w:rPr>
          <w:rFonts w:hint="eastAsia" w:ascii="宋体" w:hAnsi="宋体" w:eastAsia="宋体" w:cs="宋体"/>
          <w:color w:val="000000"/>
          <w:sz w:val="24"/>
          <w:szCs w:val="24"/>
          <w:lang w:val="en-US" w:eastAsia="zh-CN" w:bidi="ar"/>
        </w:rPr>
        <w:t xml:space="preserve">系统演示；</w:t>
      </w:r>
      <w:r>
        <w:rPr>
          <w:rFonts w:hint="eastAsia" w:ascii="宋体" w:hAnsi="宋体" w:eastAsia="宋体" w:cs="宋体"/>
          <w:color w:val="000000"/>
          <w:sz w:val="24"/>
          <w:szCs w:val="24"/>
          <w:lang w:val="en-US" w:eastAsia="zh-CN" w:bidi="ar"/>
        </w:rPr>
      </w:r>
      <w:r/>
    </w:p>
    <w:p>
      <w:pPr>
        <w:pStyle w:val="1053"/>
        <w:ind w:firstLine="480"/>
        <w:spacing w:line="560" w:lineRule="exact"/>
        <w:rPr>
          <w:rFonts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5）</w:t>
      </w:r>
      <w:r>
        <w:rPr>
          <w:rFonts w:hint="eastAsia" w:ascii="Times New Roman" w:hAnsi="Times New Roman" w:eastAsia="宋体" w:cs="Times New Roman"/>
          <w:color w:val="000000"/>
          <w:sz w:val="24"/>
          <w:szCs w:val="20"/>
          <w:lang w:val="en-US" w:eastAsia="zh-CN"/>
        </w:rPr>
        <w:t xml:space="preserve">其他。</w:t>
      </w:r>
      <w:r>
        <w:rPr>
          <w:rFonts w:ascii="Times New Roman" w:hAnsi="Times New Roman" w:eastAsia="宋体" w:cs="Times New Roman"/>
          <w:color w:val="000000"/>
          <w:sz w:val="24"/>
          <w:szCs w:val="20"/>
          <w:lang w:val="en-US" w:eastAsia="zh-CN"/>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ind w:firstLine="480"/>
        <w:spacing w:line="560" w:lineRule="exact"/>
        <w:rPr>
          <w:rFonts w:hint="eastAsia"/>
          <w:color w:val="000000"/>
          <w:sz w:val="24"/>
          <w:szCs w:val="20"/>
        </w:rPr>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rPr>
          <w:color w:val="000000"/>
          <w:sz w:val="24"/>
          <w:szCs w:val="20"/>
        </w:rPr>
      </w:pPr>
      <w:r>
        <w:rPr>
          <w:rFonts w:hint="eastAsia"/>
          <w:color w:val="000000"/>
          <w:sz w:val="24"/>
          <w:szCs w:val="20"/>
          <w:lang w:val="en-US" w:eastAsia="zh-CN"/>
        </w:rPr>
        <w:t xml:space="preserve">10</w:t>
      </w:r>
      <w:r>
        <w:rPr>
          <w:rFonts w:hint="eastAsia"/>
          <w:color w:val="000000"/>
          <w:sz w:val="24"/>
          <w:szCs w:val="20"/>
        </w:rPr>
        <w:t xml:space="preserve">  参加本项目人员一览表</w:t>
      </w:r>
      <w:r>
        <w:rPr>
          <w:color w:val="000000"/>
          <w:sz w:val="24"/>
          <w:szCs w:val="20"/>
        </w:rPr>
      </w:r>
      <w:r/>
    </w:p>
    <w:p>
      <w:pPr>
        <w:pStyle w:val="1053"/>
        <w:jc w:val="center"/>
        <w:spacing w:line="360" w:lineRule="auto"/>
        <w:rPr>
          <w:rFonts w:hint="eastAsia" w:ascii="宋体" w:hAnsi="宋体"/>
          <w:b/>
          <w:sz w:val="32"/>
          <w:szCs w:val="32"/>
        </w:rPr>
      </w:pPr>
      <w:r>
        <w:rPr>
          <w:rFonts w:hint="eastAsia" w:ascii="宋体" w:hAnsi="宋体"/>
          <w:b/>
          <w:sz w:val="32"/>
          <w:szCs w:val="32"/>
        </w:rPr>
      </w:r>
      <w:r/>
    </w:p>
    <w:p>
      <w:pPr>
        <w:pStyle w:val="105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53"/>
        <w:spacing w:line="360" w:lineRule="auto"/>
        <w:rPr>
          <w:rFonts w:ascii="宋体" w:hAnsi="宋体"/>
          <w:sz w:val="22"/>
        </w:rPr>
      </w:pPr>
      <w:r>
        <w:rPr>
          <w:rFonts w:ascii="宋体" w:hAnsi="宋体"/>
          <w:sz w:val="22"/>
        </w:rPr>
      </w:r>
      <w:r/>
    </w:p>
    <w:p>
      <w:pPr>
        <w:pStyle w:val="105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5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53"/>
        <w:tabs>
          <w:tab w:val="left" w:pos="9765" w:leader="none"/>
        </w:tabs>
        <w:rPr>
          <w:rFonts w:ascii="宋体" w:hAnsi="宋体" w:cs="宋体"/>
          <w:b/>
          <w:sz w:val="24"/>
          <w:lang w:val="zh-CN"/>
        </w:rPr>
      </w:pPr>
      <w:r>
        <w:rPr>
          <w:rFonts w:ascii="宋体" w:hAnsi="宋体" w:cs="宋体"/>
          <w:b/>
          <w:sz w:val="24"/>
          <w:lang w:val="zh-CN"/>
        </w:rPr>
      </w:r>
      <w:r/>
    </w:p>
    <w:p>
      <w:pPr>
        <w:pStyle w:val="1053"/>
        <w:spacing w:line="360" w:lineRule="auto"/>
        <w:rPr>
          <w:rFonts w:ascii="宋体" w:hAnsi="宋体"/>
          <w:sz w:val="24"/>
        </w:rPr>
      </w:pPr>
      <w:r>
        <w:rPr>
          <w:rFonts w:ascii="宋体" w:hAnsi="宋体"/>
          <w:sz w:val="24"/>
        </w:rPr>
      </w:r>
      <w:r/>
    </w:p>
    <w:p>
      <w:pPr>
        <w:pStyle w:val="1053"/>
        <w:spacing w:line="360" w:lineRule="auto"/>
        <w:rPr>
          <w:rFonts w:ascii="宋体" w:hAnsi="宋体"/>
          <w:sz w:val="24"/>
        </w:rPr>
      </w:pPr>
      <w:r>
        <w:rPr>
          <w:rFonts w:ascii="宋体" w:hAnsi="宋体"/>
          <w:sz w:val="24"/>
        </w:rPr>
      </w:r>
      <w:r/>
    </w:p>
    <w:p>
      <w:pPr>
        <w:pStyle w:val="105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05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53"/>
        <w:rPr>
          <w:color w:val="000000"/>
          <w:sz w:val="24"/>
          <w:szCs w:val="20"/>
        </w:rPr>
      </w:pPr>
      <w:r>
        <w:rPr>
          <w:sz w:val="22"/>
        </w:rPr>
        <w:br w:type="page" w:clear="all"/>
      </w:r>
      <w:bookmarkStart w:id="904" w:name="_Toc288738397"/>
      <w:r/>
      <w:bookmarkStart w:id="905" w:name="_Toc288738839"/>
      <w:r>
        <w:rPr>
          <w:rFonts w:hint="eastAsia"/>
          <w:sz w:val="22"/>
          <w:lang w:val="en-US" w:eastAsia="zh-CN"/>
        </w:rPr>
        <w:t xml:space="preserve">11</w:t>
      </w:r>
      <w:r>
        <w:rPr>
          <w:rFonts w:hint="eastAsia"/>
          <w:color w:val="000000"/>
          <w:sz w:val="24"/>
          <w:szCs w:val="20"/>
        </w:rPr>
        <w:t xml:space="preserve">  相关业绩案例一览表</w:t>
      </w:r>
      <w:r>
        <w:rPr>
          <w:color w:val="000000"/>
          <w:sz w:val="24"/>
          <w:szCs w:val="20"/>
        </w:rPr>
      </w:r>
      <w:r/>
    </w:p>
    <w:p>
      <w:pPr>
        <w:pStyle w:val="1053"/>
        <w:rPr>
          <w:color w:val="000000"/>
          <w:sz w:val="24"/>
          <w:szCs w:val="20"/>
        </w:rPr>
      </w:pPr>
      <w:r>
        <w:rPr>
          <w:color w:val="000000"/>
          <w:sz w:val="24"/>
          <w:szCs w:val="20"/>
        </w:rPr>
      </w:r>
      <w:r/>
    </w:p>
    <w:p>
      <w:pPr>
        <w:pStyle w:val="1053"/>
        <w:jc w:val="center"/>
        <w:rPr>
          <w:rFonts w:ascii="宋体" w:hAnsi="宋体"/>
          <w:b/>
          <w:sz w:val="32"/>
          <w:szCs w:val="32"/>
        </w:rPr>
      </w:pPr>
      <w:r>
        <w:rPr>
          <w:rFonts w:hint="eastAsia" w:ascii="宋体" w:hAnsi="宋体"/>
          <w:b/>
          <w:sz w:val="32"/>
          <w:szCs w:val="32"/>
        </w:rPr>
        <w:t xml:space="preserve">相关业绩案例一览表</w:t>
      </w:r>
      <w:bookmarkEnd w:id="904"/>
      <w:r/>
      <w:bookmarkEnd w:id="905"/>
      <w:r>
        <w:rPr>
          <w:rFonts w:ascii="宋体" w:hAnsi="宋体"/>
          <w:b/>
          <w:sz w:val="32"/>
          <w:szCs w:val="32"/>
        </w:rPr>
      </w:r>
      <w:r/>
    </w:p>
    <w:p>
      <w:pPr>
        <w:pStyle w:val="1053"/>
        <w:jc w:val="center"/>
        <w:spacing w:line="360" w:lineRule="auto"/>
        <w:rPr>
          <w:rFonts w:ascii="宋体" w:hAnsi="宋体"/>
          <w:b/>
          <w:sz w:val="28"/>
          <w:szCs w:val="30"/>
        </w:rPr>
      </w:pPr>
      <w:r>
        <w:rPr>
          <w:rFonts w:ascii="宋体" w:hAnsi="宋体"/>
          <w:b/>
          <w:sz w:val="28"/>
          <w:szCs w:val="30"/>
        </w:rPr>
      </w:r>
      <w:r/>
    </w:p>
    <w:p>
      <w:pPr>
        <w:pStyle w:val="105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3"/>
              <w:spacing w:line="360" w:lineRule="auto"/>
              <w:tabs>
                <w:tab w:val="left" w:pos="9765" w:leader="none"/>
              </w:tabs>
              <w:rPr>
                <w:rFonts w:ascii="宋体" w:hAnsi="宋体" w:cs="宋体"/>
                <w:sz w:val="24"/>
              </w:rPr>
            </w:pPr>
            <w:r>
              <w:rPr>
                <w:rFonts w:ascii="宋体" w:hAnsi="宋体" w:cs="宋体"/>
                <w:sz w:val="24"/>
              </w:rPr>
            </w:r>
            <w:r/>
          </w:p>
        </w:tc>
      </w:tr>
    </w:tbl>
    <w:p>
      <w:pPr>
        <w:pStyle w:val="1053"/>
        <w:tabs>
          <w:tab w:val="left" w:pos="9765" w:leader="none"/>
        </w:tabs>
        <w:rPr>
          <w:rFonts w:ascii="宋体" w:hAnsi="宋体" w:cs="宋体"/>
          <w:sz w:val="24"/>
          <w:lang w:val="zh-CN"/>
        </w:rPr>
      </w:pPr>
      <w:r>
        <w:rPr>
          <w:rFonts w:ascii="宋体" w:hAnsi="宋体" w:cs="宋体"/>
          <w:sz w:val="24"/>
          <w:lang w:val="zh-CN"/>
        </w:rPr>
      </w:r>
      <w:r/>
    </w:p>
    <w:p>
      <w:pPr>
        <w:pStyle w:val="1053"/>
        <w:spacing w:line="360" w:lineRule="auto"/>
        <w:rPr>
          <w:rFonts w:ascii="宋体" w:hAnsi="宋体" w:cs="宋体"/>
          <w:sz w:val="24"/>
        </w:rPr>
      </w:pPr>
      <w:r>
        <w:rPr>
          <w:rFonts w:ascii="宋体" w:hAnsi="宋体" w:cs="宋体"/>
          <w:sz w:val="24"/>
        </w:rPr>
      </w:r>
      <w:r/>
    </w:p>
    <w:p>
      <w:pPr>
        <w:pStyle w:val="105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05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53"/>
      </w:pPr>
      <w:r/>
      <w:r/>
    </w:p>
    <w:p>
      <w:pPr>
        <w:pStyle w:val="1053"/>
      </w:pPr>
      <w:r/>
      <w:r/>
    </w:p>
    <w:p>
      <w:pPr>
        <w:pStyle w:val="1053"/>
      </w:pPr>
      <w:r/>
      <w:r/>
    </w:p>
    <w:p>
      <w:pPr>
        <w:pStyle w:val="1053"/>
      </w:pPr>
      <w:r/>
      <w:r/>
    </w:p>
    <w:p>
      <w:pPr>
        <w:pStyle w:val="1053"/>
      </w:p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rPr>
        <w:outlineLvl w:val="2"/>
      </w:pPr>
      <w:r>
        <w:rPr>
          <w:rFonts w:hint="eastAsia"/>
          <w:color w:val="000000"/>
          <w:sz w:val="24"/>
          <w:szCs w:val="20"/>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12  关于符合本国产品标准的声明函</w:t>
      </w:r>
      <w:r>
        <w:rPr>
          <w:rFonts w:hint="eastAsia" w:ascii="Times New Roman" w:hAnsi="Times New Roman" w:eastAsia="宋体" w:cs="Times New Roman"/>
          <w:color w:val="000000"/>
          <w:sz w:val="24"/>
          <w:szCs w:val="20"/>
          <w:highlight w:val="none"/>
          <w:lang w:val="en-US" w:eastAsia="zh-CN"/>
        </w:rPr>
      </w:r>
      <w:r/>
    </w:p>
    <w:p>
      <w:pPr>
        <w:pStyle w:val="1053"/>
        <w:jc w:val="left"/>
        <w:rPr>
          <w:rFonts w:hint="eastAsia"/>
          <w:color w:val="000000"/>
          <w:sz w:val="24"/>
          <w:szCs w:val="20"/>
          <w:lang w:val="en-US" w:eastAsia="zh-CN"/>
        </w:rPr>
      </w:pPr>
      <w:r>
        <w:rPr>
          <w:rFonts w:hint="eastAsia"/>
          <w:color w:val="000000"/>
          <w:sz w:val="24"/>
          <w:szCs w:val="20"/>
          <w:lang w:val="en-US" w:eastAsia="zh-CN"/>
        </w:rPr>
      </w:r>
      <w:r/>
    </w:p>
    <w:p>
      <w:pPr>
        <w:pStyle w:val="1053"/>
        <w:jc w:val="center"/>
        <w:rPr>
          <w:rFonts w:hint="eastAsia"/>
          <w:color w:val="000000"/>
          <w:sz w:val="24"/>
          <w:szCs w:val="20"/>
          <w:lang w:val="en-US" w:eastAsia="zh-CN"/>
        </w:rPr>
      </w:pPr>
      <w:r>
        <w:rPr>
          <w:rFonts w:hint="eastAsia"/>
          <w:color w:val="000000"/>
          <w:sz w:val="24"/>
          <w:szCs w:val="20"/>
          <w:lang w:val="en-US" w:eastAsia="zh-CN"/>
        </w:rPr>
      </w:r>
      <w:r/>
    </w:p>
    <w:p>
      <w:pPr>
        <w:pStyle w:val="1053"/>
        <w:jc w:val="center"/>
        <w:rPr>
          <w:rFonts w:hint="eastAsia" w:ascii="方正魏碑_GBK" w:hAnsi="方正魏碑_GBK" w:eastAsia="方正魏碑_GBK" w:cs="方正魏碑_GBK"/>
          <w:color w:val="000000"/>
          <w:sz w:val="24"/>
          <w:szCs w:val="24"/>
        </w:rPr>
      </w:pPr>
      <w:r>
        <w:rPr>
          <w:rFonts w:hint="eastAsia"/>
          <w:color w:val="000000"/>
          <w:sz w:val="24"/>
          <w:szCs w:val="20"/>
          <w:lang w:val="en-US" w:eastAsia="zh-CN"/>
        </w:rPr>
        <w:t xml:space="preserve"> </w:t>
      </w:r>
      <w:r>
        <w:rPr>
          <w:rFonts w:hint="eastAsia" w:ascii="方正魏碑_GBK" w:hAnsi="方正魏碑_GBK" w:eastAsia="方正魏碑_GBK" w:cs="方正魏碑_GBK"/>
          <w:b/>
          <w:color w:val="000000"/>
          <w:sz w:val="24"/>
          <w:szCs w:val="24"/>
        </w:rPr>
        <w:t xml:space="preserve">关于符合本国产品标准的声明函（采购包号：）</w:t>
      </w:r>
      <w:r>
        <w:rPr>
          <w:rFonts w:hint="eastAsia" w:ascii="方正魏碑_GBK" w:hAnsi="方正魏碑_GBK" w:eastAsia="方正魏碑_GBK" w:cs="方正魏碑_GBK"/>
          <w:color w:val="000000"/>
          <w:sz w:val="24"/>
          <w:szCs w:val="24"/>
        </w:rPr>
      </w:r>
      <w:r/>
    </w:p>
    <w:p>
      <w:pPr>
        <w:pStyle w:val="1114"/>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05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highlight w:val="none"/>
          <w:lang w:val="en-US" w:eastAsia="zh-CN"/>
        </w:rPr>
      </w:r>
      <w:r/>
    </w:p>
    <w:p>
      <w:pPr>
        <w:pStyle w:val="105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的（关键工序）在中国境内完成。</w:t>
      </w:r>
      <w:r>
        <w:rPr>
          <w:rFonts w:hint="eastAsia" w:ascii="宋体" w:hAnsi="宋体" w:eastAsia="宋体" w:cs="宋体"/>
          <w:sz w:val="24"/>
          <w:highlight w:val="none"/>
          <w:lang w:val="en-US" w:eastAsia="zh-CN"/>
        </w:rPr>
      </w:r>
      <w:r/>
    </w:p>
    <w:p>
      <w:pPr>
        <w:pStyle w:val="105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的（关键工序）在中国境内完成。</w:t>
      </w:r>
      <w:r>
        <w:rPr>
          <w:rFonts w:hint="eastAsia" w:ascii="宋体" w:hAnsi="宋体" w:eastAsia="宋体" w:cs="宋体"/>
          <w:sz w:val="24"/>
          <w:highlight w:val="none"/>
          <w:lang w:val="en-US" w:eastAsia="zh-CN"/>
        </w:rPr>
      </w:r>
      <w:r/>
    </w:p>
    <w:p>
      <w:pPr>
        <w:pStyle w:val="105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105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本公司（单位）对上述声明内容的真实性负责。如有虚假，愿承担相应法律责任。</w:t>
      </w:r>
      <w:r>
        <w:rPr>
          <w:rFonts w:hint="eastAsia" w:ascii="宋体" w:hAnsi="宋体" w:eastAsia="宋体" w:cs="宋体"/>
          <w:sz w:val="24"/>
          <w:highlight w:val="none"/>
          <w:lang w:val="en-US" w:eastAsia="zh-CN"/>
        </w:rPr>
      </w:r>
      <w:r/>
    </w:p>
    <w:p>
      <w:pPr>
        <w:pStyle w:val="105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105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1053"/>
        <w:jc w:val="righ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公司（单位）名称（盖章）：　        </w:t>
      </w:r>
      <w:r>
        <w:rPr>
          <w:rFonts w:hint="eastAsia" w:ascii="宋体" w:hAnsi="宋体" w:eastAsia="宋体" w:cs="宋体"/>
          <w:sz w:val="24"/>
          <w:highlight w:val="none"/>
          <w:lang w:val="en-US" w:eastAsia="zh-CN"/>
        </w:rPr>
      </w:r>
      <w:r/>
    </w:p>
    <w:p>
      <w:pPr>
        <w:pStyle w:val="1114"/>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宋体" w:hAnsi="宋体" w:eastAsia="宋体" w:cs="宋体"/>
          <w:sz w:val="24"/>
          <w:highlight w:val="none"/>
          <w:lang w:val="en-US" w:eastAsia="zh-CN"/>
        </w:rPr>
        <w:t xml:space="preserve">                              日期：　   年　  月　  日    </w:t>
      </w: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111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11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111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111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111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111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1053"/>
        <w:spacing w:line="360" w:lineRule="auto"/>
        <w:rPr>
          <w:color w:val="000000"/>
          <w:sz w:val="24"/>
          <w:szCs w:val="20"/>
          <w:lang w:val="en-US" w:eastAsia="zh-CN"/>
        </w:rPr>
        <w:outlineLvl w:val="2"/>
      </w:pPr>
      <w:r>
        <w:rPr>
          <w:rFonts w:hint="eastAsia" w:ascii="方正魏碑_GBK" w:hAnsi="方正魏碑_GBK" w:eastAsia="方正魏碑_GBK" w:cs="方正魏碑_GBK"/>
          <w:color w:val="000000"/>
          <w:sz w:val="22"/>
          <w:shd w:val="clear" w:color="auto" w:fill="ffffff"/>
        </w:rPr>
        <w:t xml:space="preserve">6.用斜线划除的地方无需填写。</w:t>
      </w:r>
      <w:r>
        <w:rPr>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53"/>
        <w:spacing w:line="360" w:lineRule="auto"/>
        <w:rPr>
          <w:color w:val="000000"/>
          <w:sz w:val="24"/>
          <w:szCs w:val="20"/>
        </w:rPr>
        <w:outlineLvl w:val="2"/>
      </w:pPr>
      <w:r>
        <w:rPr>
          <w:rFonts w:hint="eastAsia"/>
          <w:color w:val="000000"/>
          <w:sz w:val="24"/>
          <w:szCs w:val="20"/>
          <w:lang w:val="en-US" w:eastAsia="zh-CN"/>
        </w:rPr>
        <w:t xml:space="preserve">13   </w:t>
      </w:r>
      <w:r>
        <w:rPr>
          <w:color w:val="000000"/>
          <w:sz w:val="24"/>
          <w:szCs w:val="20"/>
        </w:rPr>
        <w:t xml:space="preserve">招标文件要求提供或投标人认为应附的其他材料</w:t>
      </w:r>
      <w:r>
        <w:rPr>
          <w:color w:val="000000"/>
          <w:sz w:val="24"/>
          <w:szCs w:val="20"/>
        </w:rPr>
      </w:r>
      <w:r/>
    </w:p>
    <w:p>
      <w:pPr>
        <w:pStyle w:val="1053"/>
        <w:jc w:val="left"/>
        <w:widowControl/>
        <w:rPr>
          <w:b/>
          <w:sz w:val="36"/>
          <w:szCs w:val="36"/>
        </w:rPr>
      </w:pPr>
      <w:r>
        <w:rPr>
          <w:b/>
          <w:sz w:val="36"/>
          <w:szCs w:val="36"/>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CESI黑体-GB2312">
    <w:panose1 w:val="020B0503020202020204"/>
  </w:font>
  <w:font w:name="仿宋">
    <w:panose1 w:val="02010609060101010101"/>
  </w:font>
  <w:font w:name="Wingdings">
    <w:panose1 w:val="05000000000000000000"/>
  </w:font>
  <w:font w:name="方正魏碑_GBK">
    <w:panose1 w:val="020B0503020202020204"/>
  </w:font>
  <w:font w:name="Cambria Math">
    <w:panose1 w:val="02040503050406030204"/>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right="360"/>
      <w:tabs>
        <w:tab w:val="center" w:pos="4153" w:leader="none"/>
        <w:tab w:val="right" w:pos="8306" w:leader="none"/>
      </w:tabs>
      <w:rPr>
        <w:rStyle w:val="1126"/>
      </w:rPr>
      <w:framePr w:wrap="around" w:vAnchor="text" w:hAnchor="margin" w:y="1"/>
    </w:pPr>
    <w:r>
      <w:rPr>
        <w:rStyle w:val="1126"/>
      </w:rPr>
    </w:r>
    <w:r/>
  </w:p>
  <w:p>
    <w:pPr>
      <w:pStyle w:val="1101"/>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rPr>
        <w:rStyle w:val="1126"/>
      </w:rPr>
      <w:framePr w:wrap="around" w:vAnchor="text" w:hAnchor="margin" w:xAlign="center" w:y="1"/>
    </w:pPr>
    <w:r>
      <w:fldChar w:fldCharType="begin"/>
    </w:r>
    <w:r>
      <w:rPr>
        <w:rStyle w:val="1126"/>
      </w:rPr>
      <w:instrText xml:space="preserve">PAGE  </w:instrText>
    </w:r>
    <w:r>
      <w:fldChar w:fldCharType="end"/>
    </w:r>
    <w:r>
      <w:rPr>
        <w:rStyle w:val="1126"/>
      </w:rPr>
    </w:r>
    <w:r/>
  </w:p>
  <w:p>
    <w:pPr>
      <w:pStyle w:val="110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rPr>
        <w:rStyle w:val="1126"/>
      </w:rPr>
      <w:framePr w:wrap="around" w:vAnchor="text" w:hAnchor="margin" w:xAlign="right" w:y="1"/>
    </w:pPr>
    <w:r>
      <w:rPr>
        <w:rStyle w:val="1126"/>
      </w:rPr>
    </w:r>
    <w:r/>
  </w:p>
  <w:p>
    <w:pPr>
      <w:pStyle w:val="1101"/>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rPr>
        <w:rStyle w:val="1126"/>
      </w:rPr>
      <w:framePr w:wrap="around" w:vAnchor="text" w:hAnchor="margin" w:xAlign="right" w:y="1"/>
    </w:pPr>
    <w:r>
      <w:rPr>
        <w:rStyle w:val="1126"/>
      </w:rPr>
      <w:fldChar w:fldCharType="begin"/>
    </w:r>
    <w:r>
      <w:rPr>
        <w:rStyle w:val="1126"/>
      </w:rPr>
      <w:instrText xml:space="preserve">PAGE  </w:instrText>
    </w:r>
    <w:r>
      <w:rPr>
        <w:rStyle w:val="1126"/>
      </w:rPr>
      <w:fldChar w:fldCharType="end"/>
    </w:r>
    <w:r>
      <w:rPr>
        <w:rStyle w:val="1126"/>
      </w:rPr>
    </w:r>
    <w:r/>
  </w:p>
  <w:p>
    <w:pPr>
      <w:pStyle w:val="1101"/>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5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rPr>
        <w:rStyle w:val="1126"/>
      </w:rPr>
      <w:framePr w:wrap="around" w:vAnchor="text" w:hAnchor="margin" w:xAlign="right" w:y="1"/>
    </w:pPr>
    <w:r>
      <w:rPr>
        <w:rStyle w:val="1126"/>
      </w:rPr>
      <w:fldChar w:fldCharType="begin"/>
    </w:r>
    <w:r>
      <w:rPr>
        <w:rStyle w:val="1126"/>
      </w:rPr>
      <w:instrText xml:space="preserve">PAGE  </w:instrText>
    </w:r>
    <w:r>
      <w:rPr>
        <w:rStyle w:val="1126"/>
      </w:rPr>
      <w:fldChar w:fldCharType="end"/>
    </w:r>
    <w:r>
      <w:rPr>
        <w:rStyle w:val="1126"/>
      </w:rPr>
    </w:r>
    <w:r/>
  </w:p>
  <w:p>
    <w:pPr>
      <w:pStyle w:val="1101"/>
      <w:ind w:right="360"/>
      <w:tabs>
        <w:tab w:val="center" w:pos="4153" w:leader="none"/>
        <w:tab w:val="right" w:pos="8306" w:leader="none"/>
      </w:tabs>
    </w:pPr>
    <w:r/>
    <w:r/>
  </w:p>
  <w:p>
    <w:pPr>
      <w:pStyle w:val="105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p>
    <w:pPr>
      <w:pStyle w:val="105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10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10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53"/>
        <w:ind w:left="4941" w:hanging="1140"/>
        <w:tabs>
          <w:tab w:val="num" w:pos="4941" w:leader="none"/>
        </w:tabs>
      </w:pPr>
      <w:rPr>
        <w:rFonts w:hint="eastAsia"/>
      </w:rPr>
    </w:lvl>
    <w:lvl w:ilvl="1">
      <w:start w:val="1"/>
      <w:numFmt w:val="lowerLetter"/>
      <w:isLgl w:val="false"/>
      <w:suff w:val="tab"/>
      <w:lvlText w:val="%2)"/>
      <w:lvlJc w:val="left"/>
      <w:pPr>
        <w:pStyle w:val="1053"/>
        <w:ind w:left="4641" w:hanging="420"/>
        <w:tabs>
          <w:tab w:val="num" w:pos="4641" w:leader="none"/>
        </w:tabs>
      </w:pPr>
    </w:lvl>
    <w:lvl w:ilvl="2">
      <w:start w:val="1"/>
      <w:numFmt w:val="lowerRoman"/>
      <w:isLgl w:val="false"/>
      <w:suff w:val="tab"/>
      <w:lvlText w:val="%3."/>
      <w:lvlJc w:val="right"/>
      <w:pPr>
        <w:pStyle w:val="1053"/>
        <w:ind w:left="5061" w:hanging="420"/>
        <w:tabs>
          <w:tab w:val="num" w:pos="5061" w:leader="none"/>
        </w:tabs>
      </w:pPr>
    </w:lvl>
    <w:lvl w:ilvl="3">
      <w:start w:val="1"/>
      <w:numFmt w:val="decimal"/>
      <w:isLgl w:val="false"/>
      <w:suff w:val="tab"/>
      <w:lvlText w:val="%4."/>
      <w:lvlJc w:val="left"/>
      <w:pPr>
        <w:pStyle w:val="1053"/>
        <w:ind w:left="5481" w:hanging="420"/>
        <w:tabs>
          <w:tab w:val="num" w:pos="5481" w:leader="none"/>
        </w:tabs>
      </w:pPr>
    </w:lvl>
    <w:lvl w:ilvl="4">
      <w:start w:val="1"/>
      <w:numFmt w:val="lowerLetter"/>
      <w:isLgl w:val="false"/>
      <w:suff w:val="tab"/>
      <w:lvlText w:val="%5)"/>
      <w:lvlJc w:val="left"/>
      <w:pPr>
        <w:pStyle w:val="1053"/>
        <w:ind w:left="5901" w:hanging="420"/>
        <w:tabs>
          <w:tab w:val="num" w:pos="5901" w:leader="none"/>
        </w:tabs>
      </w:pPr>
    </w:lvl>
    <w:lvl w:ilvl="5">
      <w:start w:val="1"/>
      <w:numFmt w:val="lowerRoman"/>
      <w:isLgl w:val="false"/>
      <w:suff w:val="tab"/>
      <w:lvlText w:val="%6."/>
      <w:lvlJc w:val="right"/>
      <w:pPr>
        <w:pStyle w:val="1053"/>
        <w:ind w:left="6321" w:hanging="420"/>
        <w:tabs>
          <w:tab w:val="num" w:pos="6321" w:leader="none"/>
        </w:tabs>
      </w:pPr>
    </w:lvl>
    <w:lvl w:ilvl="6">
      <w:start w:val="1"/>
      <w:numFmt w:val="decimal"/>
      <w:isLgl w:val="false"/>
      <w:suff w:val="tab"/>
      <w:lvlText w:val="%7."/>
      <w:lvlJc w:val="left"/>
      <w:pPr>
        <w:pStyle w:val="1053"/>
        <w:ind w:left="6741" w:hanging="420"/>
        <w:tabs>
          <w:tab w:val="num" w:pos="6741" w:leader="none"/>
        </w:tabs>
      </w:pPr>
    </w:lvl>
    <w:lvl w:ilvl="7">
      <w:start w:val="1"/>
      <w:numFmt w:val="lowerLetter"/>
      <w:isLgl w:val="false"/>
      <w:suff w:val="tab"/>
      <w:lvlText w:val="%8)"/>
      <w:lvlJc w:val="left"/>
      <w:pPr>
        <w:pStyle w:val="1053"/>
        <w:ind w:left="7161" w:hanging="420"/>
        <w:tabs>
          <w:tab w:val="num" w:pos="7161" w:leader="none"/>
        </w:tabs>
      </w:pPr>
    </w:lvl>
    <w:lvl w:ilvl="8">
      <w:start w:val="1"/>
      <w:numFmt w:val="lowerRoman"/>
      <w:isLgl w:val="false"/>
      <w:suff w:val="tab"/>
      <w:lvlText w:val="%9."/>
      <w:lvlJc w:val="right"/>
      <w:pPr>
        <w:pStyle w:val="1053"/>
        <w:ind w:left="7581" w:hanging="420"/>
        <w:tabs>
          <w:tab w:val="num" w:pos="7581" w:leader="none"/>
        </w:tabs>
      </w:pPr>
    </w:lvl>
  </w:abstractNum>
  <w:abstractNum w:abstractNumId="3">
    <w:multiLevelType w:val="hybridMultilevel"/>
    <w:lvl w:ilvl="0">
      <w:start w:val="1"/>
      <w:numFmt w:val="decimal"/>
      <w:pStyle w:val="1161"/>
      <w:isLgl w:val="false"/>
      <w:suff w:val="tab"/>
      <w:lvlText w:val="%1."/>
      <w:lvlJc w:val="left"/>
      <w:pPr>
        <w:pStyle w:val="1053"/>
        <w:ind w:left="420" w:hanging="420"/>
      </w:pPr>
    </w:lvl>
    <w:lvl w:ilvl="1">
      <w:start w:val="1"/>
      <w:numFmt w:val="decimal"/>
      <w:isLgl w:val="false"/>
      <w:suff w:val="tab"/>
      <w:lvlText w:val="（%2）"/>
      <w:lvlJc w:val="left"/>
      <w:pPr>
        <w:pStyle w:val="1053"/>
        <w:ind w:left="1140" w:hanging="720"/>
        <w:tabs>
          <w:tab w:val="num" w:pos="1140" w:leader="none"/>
        </w:tabs>
      </w:pPr>
      <w:rPr>
        <w:rFonts w:hint="eastAsia"/>
      </w:rPr>
    </w:lvl>
    <w:lvl w:ilvl="2">
      <w:start w:val="1"/>
      <w:numFmt w:val="lowerRoman"/>
      <w:isLgl w:val="false"/>
      <w:suff w:val="tab"/>
      <w:lvlText w:val="%3."/>
      <w:lvlJc w:val="right"/>
      <w:pPr>
        <w:pStyle w:val="1053"/>
        <w:ind w:left="1260" w:hanging="420"/>
      </w:pPr>
    </w:lvl>
    <w:lvl w:ilvl="3">
      <w:start w:val="1"/>
      <w:numFmt w:val="decimal"/>
      <w:isLgl w:val="false"/>
      <w:suff w:val="tab"/>
      <w:lvlText w:val="%4."/>
      <w:lvlJc w:val="left"/>
      <w:pPr>
        <w:pStyle w:val="1053"/>
        <w:ind w:left="1680" w:hanging="420"/>
      </w:pPr>
    </w:lvl>
    <w:lvl w:ilvl="4">
      <w:start w:val="1"/>
      <w:numFmt w:val="lowerLetter"/>
      <w:isLgl w:val="false"/>
      <w:suff w:val="tab"/>
      <w:lvlText w:val="%5)"/>
      <w:lvlJc w:val="left"/>
      <w:pPr>
        <w:pStyle w:val="1053"/>
        <w:ind w:left="2100" w:hanging="420"/>
      </w:pPr>
    </w:lvl>
    <w:lvl w:ilvl="5">
      <w:start w:val="1"/>
      <w:numFmt w:val="lowerRoman"/>
      <w:isLgl w:val="false"/>
      <w:suff w:val="tab"/>
      <w:lvlText w:val="%6."/>
      <w:lvlJc w:val="right"/>
      <w:pPr>
        <w:pStyle w:val="1053"/>
        <w:ind w:left="2520" w:hanging="420"/>
      </w:pPr>
    </w:lvl>
    <w:lvl w:ilvl="6">
      <w:start w:val="1"/>
      <w:numFmt w:val="decimal"/>
      <w:isLgl w:val="false"/>
      <w:suff w:val="tab"/>
      <w:lvlText w:val="%7."/>
      <w:lvlJc w:val="left"/>
      <w:pPr>
        <w:pStyle w:val="1053"/>
        <w:ind w:left="2940" w:hanging="420"/>
      </w:pPr>
    </w:lvl>
    <w:lvl w:ilvl="7">
      <w:start w:val="1"/>
      <w:numFmt w:val="lowerLetter"/>
      <w:isLgl w:val="false"/>
      <w:suff w:val="tab"/>
      <w:lvlText w:val="%8)"/>
      <w:lvlJc w:val="left"/>
      <w:pPr>
        <w:pStyle w:val="1053"/>
        <w:ind w:left="3360" w:hanging="420"/>
      </w:pPr>
    </w:lvl>
    <w:lvl w:ilvl="8">
      <w:start w:val="1"/>
      <w:numFmt w:val="lowerRoman"/>
      <w:isLgl w:val="false"/>
      <w:suff w:val="tab"/>
      <w:lvlText w:val="%9."/>
      <w:lvlJc w:val="right"/>
      <w:pPr>
        <w:pStyle w:val="1053"/>
        <w:ind w:left="3780" w:hanging="420"/>
      </w:pPr>
    </w:lvl>
  </w:abstractNum>
  <w:abstractNum w:abstractNumId="4">
    <w:multiLevelType w:val="hybridMultilevel"/>
    <w:lvl w:ilvl="0">
      <w:start w:val="1"/>
      <w:numFmt w:val="lowerLetter"/>
      <w:pStyle w:val="1236"/>
      <w:isLgl w:val="false"/>
      <w:suff w:val="tab"/>
      <w:lvlText w:val="%1)"/>
      <w:lvlJc w:val="left"/>
      <w:pPr>
        <w:pStyle w:val="1053"/>
        <w:ind w:left="902" w:hanging="420"/>
      </w:pPr>
      <w:rPr>
        <w:color w:val="000000"/>
      </w:rPr>
    </w:lvl>
    <w:lvl w:ilvl="1">
      <w:start w:val="1"/>
      <w:numFmt w:val="lowerLetter"/>
      <w:isLgl w:val="false"/>
      <w:suff w:val="tab"/>
      <w:lvlText w:val="%2)"/>
      <w:lvlJc w:val="left"/>
      <w:pPr>
        <w:pStyle w:val="1053"/>
        <w:ind w:left="1322" w:hanging="420"/>
      </w:pPr>
    </w:lvl>
    <w:lvl w:ilvl="2">
      <w:start w:val="1"/>
      <w:numFmt w:val="lowerRoman"/>
      <w:isLgl w:val="false"/>
      <w:suff w:val="tab"/>
      <w:lvlText w:val="%3."/>
      <w:lvlJc w:val="right"/>
      <w:pPr>
        <w:pStyle w:val="1053"/>
        <w:ind w:left="1742" w:hanging="420"/>
      </w:pPr>
    </w:lvl>
    <w:lvl w:ilvl="3">
      <w:start w:val="1"/>
      <w:numFmt w:val="decimal"/>
      <w:isLgl w:val="false"/>
      <w:suff w:val="tab"/>
      <w:lvlText w:val="%4."/>
      <w:lvlJc w:val="left"/>
      <w:pPr>
        <w:pStyle w:val="1053"/>
        <w:ind w:left="2162" w:hanging="420"/>
      </w:pPr>
    </w:lvl>
    <w:lvl w:ilvl="4">
      <w:start w:val="1"/>
      <w:numFmt w:val="lowerLetter"/>
      <w:isLgl w:val="false"/>
      <w:suff w:val="tab"/>
      <w:lvlText w:val="%5)"/>
      <w:lvlJc w:val="left"/>
      <w:pPr>
        <w:pStyle w:val="1053"/>
        <w:ind w:left="2582" w:hanging="420"/>
      </w:pPr>
    </w:lvl>
    <w:lvl w:ilvl="5">
      <w:start w:val="1"/>
      <w:numFmt w:val="lowerRoman"/>
      <w:isLgl w:val="false"/>
      <w:suff w:val="tab"/>
      <w:lvlText w:val="%6."/>
      <w:lvlJc w:val="right"/>
      <w:pPr>
        <w:pStyle w:val="1053"/>
        <w:ind w:left="3002" w:hanging="420"/>
      </w:pPr>
    </w:lvl>
    <w:lvl w:ilvl="6">
      <w:start w:val="1"/>
      <w:numFmt w:val="decimal"/>
      <w:isLgl w:val="false"/>
      <w:suff w:val="tab"/>
      <w:lvlText w:val="%7."/>
      <w:lvlJc w:val="left"/>
      <w:pPr>
        <w:pStyle w:val="1053"/>
        <w:ind w:left="3422" w:hanging="420"/>
      </w:pPr>
    </w:lvl>
    <w:lvl w:ilvl="7">
      <w:start w:val="1"/>
      <w:numFmt w:val="lowerLetter"/>
      <w:isLgl w:val="false"/>
      <w:suff w:val="tab"/>
      <w:lvlText w:val="%8)"/>
      <w:lvlJc w:val="left"/>
      <w:pPr>
        <w:pStyle w:val="1053"/>
        <w:ind w:left="3842" w:hanging="420"/>
      </w:pPr>
    </w:lvl>
    <w:lvl w:ilvl="8">
      <w:start w:val="1"/>
      <w:numFmt w:val="lowerRoman"/>
      <w:isLgl w:val="false"/>
      <w:suff w:val="tab"/>
      <w:lvlText w:val="%9."/>
      <w:lvlJc w:val="right"/>
      <w:pPr>
        <w:pStyle w:val="1053"/>
        <w:ind w:left="4262" w:hanging="420"/>
      </w:pPr>
    </w:lvl>
  </w:abstractNum>
  <w:abstractNum w:abstractNumId="5">
    <w:multiLevelType w:val="hybridMultilevel"/>
    <w:lvl w:ilvl="0">
      <w:start w:val="1"/>
      <w:numFmt w:val="decimal"/>
      <w:pStyle w:val="1206"/>
      <w:isLgl w:val="false"/>
      <w:suff w:val="tab"/>
      <w:lvlText w:val="%1."/>
      <w:lvlJc w:val="left"/>
      <w:pPr>
        <w:pStyle w:val="105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5"/>
      <w:isLgl w:val="false"/>
      <w:suff w:val="nothing"/>
      <w:lvlText w:val="%1　"/>
      <w:lvlJc w:val="left"/>
      <w:pPr>
        <w:pStyle w:val="105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5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53"/>
        <w:ind w:left="-25" w:firstLine="0"/>
      </w:pPr>
      <w:rPr>
        <w:rFonts w:ascii="Times New Roman" w:hAnsi="Times New Roman" w:eastAsia="黑体"/>
        <w:b/>
        <w:i w:val="0"/>
        <w:sz w:val="28"/>
      </w:rPr>
    </w:lvl>
    <w:lvl w:ilvl="3">
      <w:start w:val="1"/>
      <w:numFmt w:val="decimal"/>
      <w:pStyle w:val="1191"/>
      <w:isLgl w:val="false"/>
      <w:suff w:val="nothing"/>
      <w:lvlText w:val="%1.%2.%3.%4　"/>
      <w:lvlJc w:val="left"/>
      <w:pPr>
        <w:pStyle w:val="105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5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53"/>
        <w:ind w:left="-25" w:firstLine="0"/>
      </w:pPr>
      <w:rPr>
        <w:rFonts w:ascii="Times New Roman" w:hAnsi="Times New Roman" w:eastAsia="宋体"/>
        <w:b/>
        <w:i w:val="0"/>
        <w:sz w:val="28"/>
      </w:rPr>
    </w:lvl>
    <w:lvl w:ilvl="6">
      <w:start w:val="1"/>
      <w:numFmt w:val="lowerLetter"/>
      <w:pStyle w:val="1212"/>
      <w:isLgl w:val="false"/>
      <w:suff w:val="tab"/>
      <w:lvlText w:val="%7) "/>
      <w:lvlJc w:val="left"/>
      <w:pPr>
        <w:pStyle w:val="1053"/>
        <w:ind w:left="-125" w:firstLine="400"/>
        <w:tabs>
          <w:tab w:val="num" w:pos="635" w:leader="none"/>
        </w:tabs>
      </w:pPr>
      <w:rPr>
        <w:rFonts w:ascii="Times New Roman" w:hAnsi="Times New Roman" w:eastAsia="宋体"/>
        <w:b/>
        <w:i w:val="0"/>
        <w:color w:val="000000"/>
        <w:sz w:val="28"/>
        <w:u w:val="none"/>
      </w:rPr>
    </w:lvl>
    <w:lvl w:ilvl="7">
      <w:start w:val="1"/>
      <w:numFmt w:val="decimal"/>
      <w:pStyle w:val="1175"/>
      <w:isLgl w:val="false"/>
      <w:suff w:val="tab"/>
      <w:lvlText w:val="%8) "/>
      <w:lvlJc w:val="left"/>
      <w:pPr>
        <w:pStyle w:val="105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5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53"/>
        <w:ind w:left="768" w:hanging="360"/>
        <w:tabs>
          <w:tab w:val="num" w:pos="768" w:leader="none"/>
        </w:tabs>
      </w:pPr>
      <w:rPr>
        <w:rFonts w:hint="eastAsia"/>
      </w:rPr>
    </w:lvl>
    <w:lvl w:ilvl="1">
      <w:start w:val="1"/>
      <w:numFmt w:val="decimal"/>
      <w:pStyle w:val="1193"/>
      <w:isLgl w:val="false"/>
      <w:suff w:val="tab"/>
      <w:lvlText w:val="%2、"/>
      <w:lvlJc w:val="left"/>
      <w:pPr>
        <w:pStyle w:val="1053"/>
        <w:ind w:left="1188" w:hanging="360"/>
        <w:tabs>
          <w:tab w:val="num" w:pos="1188" w:leader="none"/>
        </w:tabs>
      </w:pPr>
      <w:rPr>
        <w:rFonts w:hint="eastAsia"/>
      </w:rPr>
    </w:lvl>
    <w:lvl w:ilvl="2">
      <w:start w:val="1"/>
      <w:numFmt w:val="decimal"/>
      <w:isLgl w:val="false"/>
      <w:suff w:val="tab"/>
      <w:lvlText w:val="（%3）"/>
      <w:lvlJc w:val="left"/>
      <w:pPr>
        <w:pStyle w:val="1053"/>
        <w:ind w:left="1968" w:hanging="720"/>
        <w:tabs>
          <w:tab w:val="num" w:pos="1968" w:leader="none"/>
        </w:tabs>
      </w:pPr>
      <w:rPr>
        <w:rFonts w:hint="eastAsia"/>
        <w:u w:val="none"/>
      </w:rPr>
    </w:lvl>
    <w:lvl w:ilvl="3">
      <w:start w:val="1"/>
      <w:numFmt w:val="decimal"/>
      <w:isLgl w:val="false"/>
      <w:suff w:val="tab"/>
      <w:lvlText w:val="%4."/>
      <w:lvlJc w:val="left"/>
      <w:pPr>
        <w:pStyle w:val="1053"/>
        <w:ind w:left="2088" w:hanging="420"/>
        <w:tabs>
          <w:tab w:val="num" w:pos="2088" w:leader="none"/>
        </w:tabs>
      </w:pPr>
    </w:lvl>
    <w:lvl w:ilvl="4">
      <w:start w:val="1"/>
      <w:numFmt w:val="lowerLetter"/>
      <w:isLgl w:val="false"/>
      <w:suff w:val="tab"/>
      <w:lvlText w:val="%5)"/>
      <w:lvlJc w:val="left"/>
      <w:pPr>
        <w:pStyle w:val="1053"/>
        <w:ind w:left="2508" w:hanging="420"/>
        <w:tabs>
          <w:tab w:val="num" w:pos="2508" w:leader="none"/>
        </w:tabs>
      </w:pPr>
    </w:lvl>
    <w:lvl w:ilvl="5">
      <w:start w:val="1"/>
      <w:numFmt w:val="lowerRoman"/>
      <w:isLgl w:val="false"/>
      <w:suff w:val="tab"/>
      <w:lvlText w:val="%6."/>
      <w:lvlJc w:val="right"/>
      <w:pPr>
        <w:pStyle w:val="1053"/>
        <w:ind w:left="2928" w:hanging="420"/>
        <w:tabs>
          <w:tab w:val="num" w:pos="2928" w:leader="none"/>
        </w:tabs>
      </w:pPr>
    </w:lvl>
    <w:lvl w:ilvl="6">
      <w:start w:val="1"/>
      <w:numFmt w:val="decimal"/>
      <w:isLgl w:val="false"/>
      <w:suff w:val="tab"/>
      <w:lvlText w:val="%7."/>
      <w:lvlJc w:val="left"/>
      <w:pPr>
        <w:pStyle w:val="1053"/>
        <w:ind w:left="3348" w:hanging="420"/>
        <w:tabs>
          <w:tab w:val="num" w:pos="3348" w:leader="none"/>
        </w:tabs>
      </w:pPr>
    </w:lvl>
    <w:lvl w:ilvl="7">
      <w:start w:val="1"/>
      <w:numFmt w:val="lowerLetter"/>
      <w:isLgl w:val="false"/>
      <w:suff w:val="tab"/>
      <w:lvlText w:val="%8)"/>
      <w:lvlJc w:val="left"/>
      <w:pPr>
        <w:pStyle w:val="1053"/>
        <w:ind w:left="3768" w:hanging="420"/>
        <w:tabs>
          <w:tab w:val="num" w:pos="3768" w:leader="none"/>
        </w:tabs>
      </w:pPr>
    </w:lvl>
    <w:lvl w:ilvl="8">
      <w:start w:val="1"/>
      <w:numFmt w:val="lowerRoman"/>
      <w:isLgl w:val="false"/>
      <w:suff w:val="tab"/>
      <w:lvlText w:val="%9."/>
      <w:lvlJc w:val="right"/>
      <w:pPr>
        <w:pStyle w:val="1053"/>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53"/>
        <w:ind w:left="900" w:hanging="900"/>
        <w:tabs>
          <w:tab w:val="num" w:pos="900" w:leader="none"/>
        </w:tabs>
      </w:pPr>
      <w:rPr>
        <w:rFonts w:hint="eastAsia"/>
      </w:rPr>
    </w:lvl>
    <w:lvl w:ilvl="1">
      <w:start w:val="1"/>
      <w:numFmt w:val="decimal"/>
      <w:isLgl w:val="false"/>
      <w:suff w:val="tab"/>
      <w:lvlText w:val="%1.%2"/>
      <w:lvlJc w:val="left"/>
      <w:pPr>
        <w:pStyle w:val="10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3"/>
        <w:ind w:left="1980" w:hanging="900"/>
        <w:tabs>
          <w:tab w:val="num" w:pos="1980" w:leader="none"/>
        </w:tabs>
      </w:pPr>
      <w:rPr>
        <w:rFonts w:hint="eastAsia"/>
      </w:rPr>
    </w:lvl>
    <w:lvl w:ilvl="3">
      <w:start w:val="1"/>
      <w:numFmt w:val="decimal"/>
      <w:isLgl w:val="false"/>
      <w:suff w:val="tab"/>
      <w:lvlText w:val="%1.%2.%3.%4"/>
      <w:lvlJc w:val="left"/>
      <w:pPr>
        <w:pStyle w:val="1053"/>
        <w:ind w:left="900" w:hanging="900"/>
        <w:tabs>
          <w:tab w:val="num" w:pos="900" w:leader="none"/>
        </w:tabs>
      </w:pPr>
      <w:rPr>
        <w:rFonts w:hint="eastAsia"/>
      </w:rPr>
    </w:lvl>
    <w:lvl w:ilvl="4">
      <w:start w:val="1"/>
      <w:numFmt w:val="decimal"/>
      <w:isLgl w:val="false"/>
      <w:suff w:val="tab"/>
      <w:lvlText w:val="%1.%2.%3.%4.%5"/>
      <w:lvlJc w:val="left"/>
      <w:pPr>
        <w:pStyle w:val="1053"/>
        <w:ind w:left="900" w:hanging="900"/>
        <w:tabs>
          <w:tab w:val="num" w:pos="900" w:leader="none"/>
        </w:tabs>
      </w:pPr>
      <w:rPr>
        <w:rFonts w:hint="eastAsia"/>
      </w:rPr>
    </w:lvl>
    <w:lvl w:ilvl="5">
      <w:start w:val="1"/>
      <w:numFmt w:val="decimal"/>
      <w:isLgl w:val="false"/>
      <w:suff w:val="tab"/>
      <w:lvlText w:val="%1.%2.%3.%4.%5.%6"/>
      <w:lvlJc w:val="left"/>
      <w:pPr>
        <w:pStyle w:val="1053"/>
        <w:ind w:left="900" w:hanging="900"/>
        <w:tabs>
          <w:tab w:val="num" w:pos="900" w:leader="none"/>
        </w:tabs>
      </w:pPr>
      <w:rPr>
        <w:rFonts w:hint="eastAsia"/>
      </w:rPr>
    </w:lvl>
    <w:lvl w:ilvl="6">
      <w:start w:val="1"/>
      <w:numFmt w:val="decimal"/>
      <w:isLgl w:val="false"/>
      <w:suff w:val="tab"/>
      <w:lvlText w:val="%1.%2.%3.%4.%5.%6.%7"/>
      <w:lvlJc w:val="left"/>
      <w:pPr>
        <w:pStyle w:val="1053"/>
        <w:ind w:left="900" w:hanging="900"/>
        <w:tabs>
          <w:tab w:val="num" w:pos="900" w:leader="none"/>
        </w:tabs>
      </w:pPr>
      <w:rPr>
        <w:rFonts w:hint="eastAsia"/>
      </w:rPr>
    </w:lvl>
    <w:lvl w:ilvl="7">
      <w:start w:val="1"/>
      <w:numFmt w:val="decimal"/>
      <w:isLgl w:val="false"/>
      <w:suff w:val="tab"/>
      <w:lvlText w:val="%1.%2.%3.%4.%5.%6.%7.%8"/>
      <w:lvlJc w:val="left"/>
      <w:pPr>
        <w:pStyle w:val="1053"/>
        <w:ind w:left="900" w:hanging="900"/>
        <w:tabs>
          <w:tab w:val="num" w:pos="900" w:leader="none"/>
        </w:tabs>
      </w:pPr>
      <w:rPr>
        <w:rFonts w:hint="eastAsia"/>
      </w:rPr>
    </w:lvl>
    <w:lvl w:ilvl="8">
      <w:start w:val="1"/>
      <w:numFmt w:val="decimal"/>
      <w:isLgl w:val="false"/>
      <w:suff w:val="tab"/>
      <w:lvlText w:val="%1.%2.%3.%4.%5.%6.%7.%8.%9"/>
      <w:lvlJc w:val="left"/>
      <w:pPr>
        <w:pStyle w:val="1053"/>
        <w:ind w:left="900" w:hanging="900"/>
        <w:tabs>
          <w:tab w:val="num" w:pos="900" w:leader="none"/>
        </w:tabs>
      </w:pPr>
      <w:rPr>
        <w:rFonts w:hint="eastAsia"/>
      </w:rPr>
    </w:lvl>
  </w:abstractNum>
  <w:abstractNum w:abstractNumId="9">
    <w:multiLevelType w:val="hybridMultilevel"/>
    <w:lvl w:ilvl="0">
      <w:start w:val="1"/>
      <w:numFmt w:val="decimal"/>
      <w:pStyle w:val="1160"/>
      <w:isLgl w:val="false"/>
      <w:suff w:val="tab"/>
      <w:lvlText w:val="%1)"/>
      <w:lvlJc w:val="left"/>
      <w:pPr>
        <w:pStyle w:val="1053"/>
        <w:ind w:left="420" w:hanging="420"/>
      </w:pPr>
    </w:lvl>
    <w:lvl w:ilvl="1">
      <w:start w:val="1"/>
      <w:numFmt w:val="lowerLetter"/>
      <w:isLgl w:val="false"/>
      <w:suff w:val="tab"/>
      <w:lvlText w:val="%2)"/>
      <w:lvlJc w:val="left"/>
      <w:pPr>
        <w:pStyle w:val="1053"/>
        <w:ind w:left="840" w:hanging="420"/>
      </w:pPr>
    </w:lvl>
    <w:lvl w:ilvl="2">
      <w:start w:val="1"/>
      <w:numFmt w:val="lowerRoman"/>
      <w:isLgl w:val="false"/>
      <w:suff w:val="tab"/>
      <w:lvlText w:val="%3."/>
      <w:lvlJc w:val="right"/>
      <w:pPr>
        <w:pStyle w:val="1053"/>
        <w:ind w:left="1260" w:hanging="420"/>
      </w:pPr>
    </w:lvl>
    <w:lvl w:ilvl="3">
      <w:start w:val="1"/>
      <w:numFmt w:val="decimal"/>
      <w:isLgl w:val="false"/>
      <w:suff w:val="tab"/>
      <w:lvlText w:val="%4."/>
      <w:lvlJc w:val="left"/>
      <w:pPr>
        <w:pStyle w:val="1053"/>
        <w:ind w:left="1680" w:hanging="420"/>
      </w:pPr>
    </w:lvl>
    <w:lvl w:ilvl="4">
      <w:start w:val="1"/>
      <w:numFmt w:val="lowerLetter"/>
      <w:isLgl w:val="false"/>
      <w:suff w:val="tab"/>
      <w:lvlText w:val="%5)"/>
      <w:lvlJc w:val="left"/>
      <w:pPr>
        <w:pStyle w:val="1053"/>
        <w:ind w:left="2100" w:hanging="420"/>
      </w:pPr>
    </w:lvl>
    <w:lvl w:ilvl="5">
      <w:start w:val="1"/>
      <w:numFmt w:val="lowerRoman"/>
      <w:isLgl w:val="false"/>
      <w:suff w:val="tab"/>
      <w:lvlText w:val="%6."/>
      <w:lvlJc w:val="right"/>
      <w:pPr>
        <w:pStyle w:val="1053"/>
        <w:ind w:left="2520" w:hanging="420"/>
      </w:pPr>
    </w:lvl>
    <w:lvl w:ilvl="6">
      <w:start w:val="1"/>
      <w:numFmt w:val="decimal"/>
      <w:isLgl w:val="false"/>
      <w:suff w:val="tab"/>
      <w:lvlText w:val="%7."/>
      <w:lvlJc w:val="left"/>
      <w:pPr>
        <w:pStyle w:val="1053"/>
        <w:ind w:left="2940" w:hanging="420"/>
      </w:pPr>
    </w:lvl>
    <w:lvl w:ilvl="7">
      <w:start w:val="1"/>
      <w:numFmt w:val="lowerLetter"/>
      <w:isLgl w:val="false"/>
      <w:suff w:val="tab"/>
      <w:lvlText w:val="%8)"/>
      <w:lvlJc w:val="left"/>
      <w:pPr>
        <w:pStyle w:val="1053"/>
        <w:ind w:left="3360" w:hanging="420"/>
      </w:pPr>
    </w:lvl>
    <w:lvl w:ilvl="8">
      <w:start w:val="1"/>
      <w:numFmt w:val="lowerRoman"/>
      <w:isLgl w:val="false"/>
      <w:suff w:val="tab"/>
      <w:lvlText w:val="%9."/>
      <w:lvlJc w:val="right"/>
      <w:pPr>
        <w:pStyle w:val="1053"/>
        <w:ind w:left="3780" w:hanging="420"/>
      </w:pPr>
    </w:lvl>
  </w:abstractNum>
  <w:abstractNum w:abstractNumId="10">
    <w:multiLevelType w:val="hybridMultilevel"/>
    <w:lvl w:ilvl="0">
      <w:start w:val="1"/>
      <w:numFmt w:val="decimal"/>
      <w:pStyle w:val="1261"/>
      <w:isLgl w:val="false"/>
      <w:suff w:val="tab"/>
      <w:lvlText w:val="%1"/>
      <w:lvlJc w:val="left"/>
      <w:pPr>
        <w:pStyle w:val="1053"/>
        <w:ind w:left="680" w:hanging="680"/>
      </w:pPr>
      <w:rPr>
        <w:rFonts w:hint="eastAsia" w:ascii="宋体" w:hAnsi="宋体" w:eastAsia="宋体"/>
      </w:rPr>
    </w:lvl>
    <w:lvl w:ilvl="1">
      <w:start w:val="1"/>
      <w:numFmt w:val="decimal"/>
      <w:pStyle w:val="1262"/>
      <w:isLgl w:val="false"/>
      <w:suff w:val="tab"/>
      <w:lvlText w:val="%1.%2"/>
      <w:lvlJc w:val="left"/>
      <w:pPr>
        <w:pStyle w:val="1053"/>
        <w:ind w:left="851" w:hanging="851"/>
      </w:pPr>
      <w:rPr>
        <w:rFonts w:hint="eastAsia" w:ascii="宋体" w:hAnsi="宋体" w:eastAsia="宋体"/>
        <w:color w:val="000000"/>
      </w:rPr>
    </w:lvl>
    <w:lvl w:ilvl="2">
      <w:start w:val="1"/>
      <w:numFmt w:val="decimal"/>
      <w:pStyle w:val="1263"/>
      <w:isLgl w:val="false"/>
      <w:suff w:val="tab"/>
      <w:lvlText w:val="%1.%2.%3"/>
      <w:lvlJc w:val="left"/>
      <w:pPr>
        <w:pStyle w:val="1053"/>
        <w:ind w:left="851" w:hanging="851"/>
      </w:pPr>
      <w:rPr>
        <w:rFonts w:hint="eastAsia"/>
      </w:rPr>
    </w:lvl>
    <w:lvl w:ilvl="3">
      <w:start w:val="1"/>
      <w:numFmt w:val="decimal"/>
      <w:isLgl w:val="false"/>
      <w:suff w:val="tab"/>
      <w:lvlText w:val="%1.%2.%3.%4"/>
      <w:lvlJc w:val="left"/>
      <w:pPr>
        <w:pStyle w:val="1053"/>
        <w:ind w:left="680" w:hanging="680"/>
      </w:pPr>
      <w:rPr>
        <w:rFonts w:hint="eastAsia"/>
      </w:rPr>
    </w:lvl>
    <w:lvl w:ilvl="4">
      <w:start w:val="1"/>
      <w:numFmt w:val="decimal"/>
      <w:isLgl w:val="false"/>
      <w:suff w:val="tab"/>
      <w:lvlText w:val="%1.%2.%3.%4.%5"/>
      <w:lvlJc w:val="left"/>
      <w:pPr>
        <w:pStyle w:val="1053"/>
        <w:ind w:left="680" w:hanging="680"/>
      </w:pPr>
      <w:rPr>
        <w:rFonts w:hint="eastAsia"/>
      </w:rPr>
    </w:lvl>
    <w:lvl w:ilvl="5">
      <w:start w:val="1"/>
      <w:numFmt w:val="decimal"/>
      <w:isLgl w:val="false"/>
      <w:suff w:val="tab"/>
      <w:lvlText w:val="%1.%2.%3.%4.%5.%6"/>
      <w:lvlJc w:val="left"/>
      <w:pPr>
        <w:pStyle w:val="1053"/>
        <w:ind w:left="680" w:hanging="680"/>
      </w:pPr>
      <w:rPr>
        <w:rFonts w:hint="eastAsia"/>
      </w:rPr>
    </w:lvl>
    <w:lvl w:ilvl="6">
      <w:start w:val="1"/>
      <w:numFmt w:val="decimal"/>
      <w:isLgl w:val="false"/>
      <w:suff w:val="tab"/>
      <w:lvlText w:val="%1.%2.%3.%4.%5.%6.%7"/>
      <w:lvlJc w:val="left"/>
      <w:pPr>
        <w:pStyle w:val="1053"/>
        <w:ind w:left="680" w:hanging="680"/>
      </w:pPr>
      <w:rPr>
        <w:rFonts w:hint="eastAsia"/>
      </w:rPr>
    </w:lvl>
    <w:lvl w:ilvl="7">
      <w:start w:val="1"/>
      <w:numFmt w:val="decimal"/>
      <w:isLgl w:val="false"/>
      <w:suff w:val="tab"/>
      <w:lvlText w:val="%1.%2.%3.%4.%5.%6.%7.%8"/>
      <w:lvlJc w:val="left"/>
      <w:pPr>
        <w:pStyle w:val="1053"/>
        <w:ind w:left="680" w:hanging="680"/>
      </w:pPr>
      <w:rPr>
        <w:rFonts w:hint="eastAsia"/>
      </w:rPr>
    </w:lvl>
    <w:lvl w:ilvl="8">
      <w:start w:val="1"/>
      <w:numFmt w:val="decimal"/>
      <w:isLgl w:val="false"/>
      <w:suff w:val="tab"/>
      <w:lvlText w:val="%1.%2.%3.%4.%5.%6.%7.%8.%9"/>
      <w:lvlJc w:val="left"/>
      <w:pPr>
        <w:pStyle w:val="1053"/>
        <w:ind w:left="680" w:hanging="680"/>
      </w:pPr>
      <w:rPr>
        <w:rFonts w:hint="eastAsia"/>
      </w:rPr>
    </w:lvl>
  </w:abstractNum>
  <w:abstractNum w:abstractNumId="11">
    <w:multiLevelType w:val="hybridMultilevel"/>
    <w:lvl w:ilvl="0">
      <w:start w:val="1"/>
      <w:numFmt w:val="decimal"/>
      <w:isLgl w:val="false"/>
      <w:suff w:val="tab"/>
      <w:lvlText w:val="%1"/>
      <w:lvlJc w:val="left"/>
      <w:pPr>
        <w:pStyle w:val="1053"/>
        <w:ind w:left="900" w:hanging="900"/>
        <w:tabs>
          <w:tab w:val="num" w:pos="900" w:leader="none"/>
        </w:tabs>
      </w:pPr>
      <w:rPr>
        <w:rFonts w:hint="eastAsia"/>
      </w:rPr>
    </w:lvl>
    <w:lvl w:ilvl="1">
      <w:start w:val="1"/>
      <w:numFmt w:val="decimal"/>
      <w:isLgl w:val="false"/>
      <w:suff w:val="tab"/>
      <w:lvlText w:val="%1.%2"/>
      <w:lvlJc w:val="left"/>
      <w:pPr>
        <w:pStyle w:val="10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3"/>
        <w:ind w:left="1980" w:hanging="900"/>
        <w:tabs>
          <w:tab w:val="num" w:pos="1980" w:leader="none"/>
        </w:tabs>
      </w:pPr>
      <w:rPr>
        <w:rFonts w:hint="eastAsia"/>
      </w:rPr>
    </w:lvl>
    <w:lvl w:ilvl="3">
      <w:start w:val="1"/>
      <w:numFmt w:val="decimal"/>
      <w:isLgl w:val="false"/>
      <w:suff w:val="tab"/>
      <w:lvlText w:val="%1.%2.%3.%4"/>
      <w:lvlJc w:val="left"/>
      <w:pPr>
        <w:pStyle w:val="1053"/>
        <w:ind w:left="900" w:hanging="900"/>
        <w:tabs>
          <w:tab w:val="num" w:pos="900" w:leader="none"/>
        </w:tabs>
      </w:pPr>
      <w:rPr>
        <w:rFonts w:hint="eastAsia"/>
      </w:rPr>
    </w:lvl>
    <w:lvl w:ilvl="4">
      <w:start w:val="1"/>
      <w:numFmt w:val="decimal"/>
      <w:isLgl w:val="false"/>
      <w:suff w:val="tab"/>
      <w:lvlText w:val="%1.%2.%3.%4.%5"/>
      <w:lvlJc w:val="left"/>
      <w:pPr>
        <w:pStyle w:val="1053"/>
        <w:ind w:left="900" w:hanging="900"/>
        <w:tabs>
          <w:tab w:val="num" w:pos="900" w:leader="none"/>
        </w:tabs>
      </w:pPr>
      <w:rPr>
        <w:rFonts w:hint="eastAsia"/>
      </w:rPr>
    </w:lvl>
    <w:lvl w:ilvl="5">
      <w:start w:val="1"/>
      <w:numFmt w:val="decimal"/>
      <w:isLgl w:val="false"/>
      <w:suff w:val="tab"/>
      <w:lvlText w:val="%1.%2.%3.%4.%5.%6"/>
      <w:lvlJc w:val="left"/>
      <w:pPr>
        <w:pStyle w:val="1053"/>
        <w:ind w:left="900" w:hanging="900"/>
        <w:tabs>
          <w:tab w:val="num" w:pos="900" w:leader="none"/>
        </w:tabs>
      </w:pPr>
      <w:rPr>
        <w:rFonts w:hint="eastAsia"/>
      </w:rPr>
    </w:lvl>
    <w:lvl w:ilvl="6">
      <w:start w:val="1"/>
      <w:numFmt w:val="decimal"/>
      <w:isLgl w:val="false"/>
      <w:suff w:val="tab"/>
      <w:lvlText w:val="%1.%2.%3.%4.%5.%6.%7"/>
      <w:lvlJc w:val="left"/>
      <w:pPr>
        <w:pStyle w:val="1053"/>
        <w:ind w:left="900" w:hanging="900"/>
        <w:tabs>
          <w:tab w:val="num" w:pos="900" w:leader="none"/>
        </w:tabs>
      </w:pPr>
      <w:rPr>
        <w:rFonts w:hint="eastAsia"/>
      </w:rPr>
    </w:lvl>
    <w:lvl w:ilvl="7">
      <w:start w:val="1"/>
      <w:numFmt w:val="decimal"/>
      <w:isLgl w:val="false"/>
      <w:suff w:val="tab"/>
      <w:lvlText w:val="%1.%2.%3.%4.%5.%6.%7.%8"/>
      <w:lvlJc w:val="left"/>
      <w:pPr>
        <w:pStyle w:val="1053"/>
        <w:ind w:left="900" w:hanging="900"/>
        <w:tabs>
          <w:tab w:val="num" w:pos="900" w:leader="none"/>
        </w:tabs>
      </w:pPr>
      <w:rPr>
        <w:rFonts w:hint="eastAsia"/>
      </w:rPr>
    </w:lvl>
    <w:lvl w:ilvl="8">
      <w:start w:val="1"/>
      <w:numFmt w:val="decimal"/>
      <w:isLgl w:val="false"/>
      <w:suff w:val="tab"/>
      <w:lvlText w:val="%1.%2.%3.%4.%5.%6.%7.%8.%9"/>
      <w:lvlJc w:val="left"/>
      <w:pPr>
        <w:pStyle w:val="1053"/>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53"/>
        <w:ind w:left="900" w:hanging="900"/>
        <w:tabs>
          <w:tab w:val="num" w:pos="900" w:leader="none"/>
        </w:tabs>
      </w:pPr>
      <w:rPr>
        <w:rFonts w:hint="eastAsia"/>
      </w:rPr>
    </w:lvl>
    <w:lvl w:ilvl="1">
      <w:start w:val="1"/>
      <w:numFmt w:val="decimal"/>
      <w:isLgl w:val="false"/>
      <w:suff w:val="tab"/>
      <w:lvlText w:val="%1.%2"/>
      <w:lvlJc w:val="left"/>
      <w:pPr>
        <w:pStyle w:val="10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3"/>
        <w:ind w:left="1980" w:hanging="900"/>
        <w:tabs>
          <w:tab w:val="num" w:pos="1980" w:leader="none"/>
        </w:tabs>
      </w:pPr>
      <w:rPr>
        <w:rFonts w:hint="eastAsia"/>
      </w:rPr>
    </w:lvl>
    <w:lvl w:ilvl="3">
      <w:start w:val="1"/>
      <w:numFmt w:val="decimal"/>
      <w:isLgl w:val="false"/>
      <w:suff w:val="tab"/>
      <w:lvlText w:val="%1.%2.%3.%4"/>
      <w:lvlJc w:val="left"/>
      <w:pPr>
        <w:pStyle w:val="1053"/>
        <w:ind w:left="900" w:hanging="900"/>
        <w:tabs>
          <w:tab w:val="num" w:pos="900" w:leader="none"/>
        </w:tabs>
      </w:pPr>
      <w:rPr>
        <w:rFonts w:hint="eastAsia"/>
      </w:rPr>
    </w:lvl>
    <w:lvl w:ilvl="4">
      <w:start w:val="1"/>
      <w:numFmt w:val="decimal"/>
      <w:isLgl w:val="false"/>
      <w:suff w:val="tab"/>
      <w:lvlText w:val="%1.%2.%3.%4.%5"/>
      <w:lvlJc w:val="left"/>
      <w:pPr>
        <w:pStyle w:val="1053"/>
        <w:ind w:left="900" w:hanging="900"/>
        <w:tabs>
          <w:tab w:val="num" w:pos="900" w:leader="none"/>
        </w:tabs>
      </w:pPr>
      <w:rPr>
        <w:rFonts w:hint="eastAsia"/>
      </w:rPr>
    </w:lvl>
    <w:lvl w:ilvl="5">
      <w:start w:val="1"/>
      <w:numFmt w:val="decimal"/>
      <w:isLgl w:val="false"/>
      <w:suff w:val="tab"/>
      <w:lvlText w:val="%1.%2.%3.%4.%5.%6"/>
      <w:lvlJc w:val="left"/>
      <w:pPr>
        <w:pStyle w:val="1053"/>
        <w:ind w:left="900" w:hanging="900"/>
        <w:tabs>
          <w:tab w:val="num" w:pos="900" w:leader="none"/>
        </w:tabs>
      </w:pPr>
      <w:rPr>
        <w:rFonts w:hint="eastAsia"/>
      </w:rPr>
    </w:lvl>
    <w:lvl w:ilvl="6">
      <w:start w:val="1"/>
      <w:numFmt w:val="decimal"/>
      <w:isLgl w:val="false"/>
      <w:suff w:val="tab"/>
      <w:lvlText w:val="%1.%2.%3.%4.%5.%6.%7"/>
      <w:lvlJc w:val="left"/>
      <w:pPr>
        <w:pStyle w:val="1053"/>
        <w:ind w:left="900" w:hanging="900"/>
        <w:tabs>
          <w:tab w:val="num" w:pos="900" w:leader="none"/>
        </w:tabs>
      </w:pPr>
      <w:rPr>
        <w:rFonts w:hint="eastAsia"/>
      </w:rPr>
    </w:lvl>
    <w:lvl w:ilvl="7">
      <w:start w:val="1"/>
      <w:numFmt w:val="decimal"/>
      <w:isLgl w:val="false"/>
      <w:suff w:val="tab"/>
      <w:lvlText w:val="%1.%2.%3.%4.%5.%6.%7.%8"/>
      <w:lvlJc w:val="left"/>
      <w:pPr>
        <w:pStyle w:val="1053"/>
        <w:ind w:left="900" w:hanging="900"/>
        <w:tabs>
          <w:tab w:val="num" w:pos="900" w:leader="none"/>
        </w:tabs>
      </w:pPr>
      <w:rPr>
        <w:rFonts w:hint="eastAsia"/>
      </w:rPr>
    </w:lvl>
    <w:lvl w:ilvl="8">
      <w:start w:val="1"/>
      <w:numFmt w:val="decimal"/>
      <w:isLgl w:val="false"/>
      <w:suff w:val="tab"/>
      <w:lvlText w:val="%1.%2.%3.%4.%5.%6.%7.%8.%9"/>
      <w:lvlJc w:val="left"/>
      <w:pPr>
        <w:pStyle w:val="1053"/>
        <w:ind w:left="900" w:hanging="900"/>
        <w:tabs>
          <w:tab w:val="num" w:pos="900" w:leader="none"/>
        </w:tabs>
      </w:pPr>
      <w:rPr>
        <w:rFonts w:hint="eastAsia"/>
      </w:rPr>
    </w:lvl>
  </w:abstractNum>
  <w:abstractNum w:abstractNumId="13">
    <w:multiLevelType w:val="hybridMultilevel"/>
    <w:lvl w:ilvl="0">
      <w:start w:val="1"/>
      <w:numFmt w:val="decimal"/>
      <w:isLgl w:val="false"/>
      <w:suff w:val="nothing"/>
      <w:lvlText w:val="%1、"/>
      <w:lvlJc w:val="left"/>
      <w:pPr>
        <w:pStyle w:val="10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053"/>
        <w:ind w:left="900" w:hanging="900"/>
        <w:tabs>
          <w:tab w:val="num" w:pos="900" w:leader="none"/>
        </w:tabs>
      </w:pPr>
      <w:rPr>
        <w:rFonts w:hint="eastAsia"/>
      </w:rPr>
    </w:lvl>
    <w:lvl w:ilvl="1">
      <w:start w:val="1"/>
      <w:numFmt w:val="decimal"/>
      <w:isLgl w:val="false"/>
      <w:suff w:val="tab"/>
      <w:lvlText w:val="%1.%2"/>
      <w:lvlJc w:val="left"/>
      <w:pPr>
        <w:pStyle w:val="10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3"/>
        <w:ind w:left="1980" w:hanging="900"/>
        <w:tabs>
          <w:tab w:val="num" w:pos="1980" w:leader="none"/>
        </w:tabs>
      </w:pPr>
      <w:rPr>
        <w:rFonts w:hint="eastAsia"/>
      </w:rPr>
    </w:lvl>
    <w:lvl w:ilvl="3">
      <w:start w:val="1"/>
      <w:numFmt w:val="decimal"/>
      <w:isLgl w:val="false"/>
      <w:suff w:val="tab"/>
      <w:lvlText w:val="%1.%2.%3.%4"/>
      <w:lvlJc w:val="left"/>
      <w:pPr>
        <w:pStyle w:val="1053"/>
        <w:ind w:left="900" w:hanging="900"/>
        <w:tabs>
          <w:tab w:val="num" w:pos="900" w:leader="none"/>
        </w:tabs>
      </w:pPr>
      <w:rPr>
        <w:rFonts w:hint="eastAsia"/>
      </w:rPr>
    </w:lvl>
    <w:lvl w:ilvl="4">
      <w:start w:val="1"/>
      <w:numFmt w:val="decimal"/>
      <w:isLgl w:val="false"/>
      <w:suff w:val="tab"/>
      <w:lvlText w:val="%1.%2.%3.%4.%5"/>
      <w:lvlJc w:val="left"/>
      <w:pPr>
        <w:pStyle w:val="1053"/>
        <w:ind w:left="900" w:hanging="900"/>
        <w:tabs>
          <w:tab w:val="num" w:pos="900" w:leader="none"/>
        </w:tabs>
      </w:pPr>
      <w:rPr>
        <w:rFonts w:hint="eastAsia"/>
      </w:rPr>
    </w:lvl>
    <w:lvl w:ilvl="5">
      <w:start w:val="1"/>
      <w:numFmt w:val="decimal"/>
      <w:isLgl w:val="false"/>
      <w:suff w:val="tab"/>
      <w:lvlText w:val="%1.%2.%3.%4.%5.%6"/>
      <w:lvlJc w:val="left"/>
      <w:pPr>
        <w:pStyle w:val="1053"/>
        <w:ind w:left="900" w:hanging="900"/>
        <w:tabs>
          <w:tab w:val="num" w:pos="900" w:leader="none"/>
        </w:tabs>
      </w:pPr>
      <w:rPr>
        <w:rFonts w:hint="eastAsia"/>
      </w:rPr>
    </w:lvl>
    <w:lvl w:ilvl="6">
      <w:start w:val="1"/>
      <w:numFmt w:val="decimal"/>
      <w:isLgl w:val="false"/>
      <w:suff w:val="tab"/>
      <w:lvlText w:val="%1.%2.%3.%4.%5.%6.%7"/>
      <w:lvlJc w:val="left"/>
      <w:pPr>
        <w:pStyle w:val="1053"/>
        <w:ind w:left="900" w:hanging="900"/>
        <w:tabs>
          <w:tab w:val="num" w:pos="900" w:leader="none"/>
        </w:tabs>
      </w:pPr>
      <w:rPr>
        <w:rFonts w:hint="eastAsia"/>
      </w:rPr>
    </w:lvl>
    <w:lvl w:ilvl="7">
      <w:start w:val="1"/>
      <w:numFmt w:val="decimal"/>
      <w:isLgl w:val="false"/>
      <w:suff w:val="tab"/>
      <w:lvlText w:val="%1.%2.%3.%4.%5.%6.%7.%8"/>
      <w:lvlJc w:val="left"/>
      <w:pPr>
        <w:pStyle w:val="1053"/>
        <w:ind w:left="900" w:hanging="900"/>
        <w:tabs>
          <w:tab w:val="num" w:pos="900" w:leader="none"/>
        </w:tabs>
      </w:pPr>
      <w:rPr>
        <w:rFonts w:hint="eastAsia"/>
      </w:rPr>
    </w:lvl>
    <w:lvl w:ilvl="8">
      <w:start w:val="1"/>
      <w:numFmt w:val="decimal"/>
      <w:isLgl w:val="false"/>
      <w:suff w:val="tab"/>
      <w:lvlText w:val="%1.%2.%3.%4.%5.%6.%7.%8.%9"/>
      <w:lvlJc w:val="left"/>
      <w:pPr>
        <w:pStyle w:val="1053"/>
        <w:ind w:left="900" w:hanging="900"/>
        <w:tabs>
          <w:tab w:val="num" w:pos="900" w:leader="none"/>
        </w:tabs>
      </w:pPr>
      <w:rPr>
        <w:rFonts w:hint="eastAsia"/>
      </w:rPr>
    </w:lvl>
  </w:abstractNum>
  <w:abstractNum w:abstractNumId="15">
    <w:multiLevelType w:val="hybridMultilevel"/>
    <w:lvl w:ilvl="0">
      <w:start w:val="1"/>
      <w:numFmt w:val="japaneseCounting"/>
      <w:isLgl w:val="false"/>
      <w:suff w:val="tab"/>
      <w:lvlText w:val="%1、"/>
      <w:lvlJc w:val="left"/>
      <w:pPr>
        <w:pStyle w:val="1053"/>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53"/>
        <w:ind w:left="205" w:hanging="322"/>
      </w:pPr>
      <w:rPr>
        <w:rFonts w:ascii="仿宋" w:hAnsi="仿宋" w:eastAsia="仿宋" w:cs="仿宋"/>
        <w:spacing w:val="-46"/>
        <w:sz w:val="30"/>
        <w:szCs w:val="30"/>
      </w:rPr>
    </w:lvl>
    <w:lvl w:ilvl="1">
      <w:start w:val="1"/>
      <w:numFmt w:val="lowerLetter"/>
      <w:isLgl w:val="false"/>
      <w:suff w:val="tab"/>
      <w:lvlText w:val="%2)"/>
      <w:lvlJc w:val="left"/>
      <w:pPr>
        <w:pStyle w:val="1053"/>
        <w:ind w:left="840" w:hanging="420"/>
      </w:pPr>
    </w:lvl>
    <w:lvl w:ilvl="2">
      <w:start w:val="1"/>
      <w:numFmt w:val="lowerRoman"/>
      <w:isLgl w:val="false"/>
      <w:suff w:val="tab"/>
      <w:lvlText w:val="%3."/>
      <w:lvlJc w:val="right"/>
      <w:pPr>
        <w:pStyle w:val="1053"/>
        <w:ind w:left="1260" w:hanging="420"/>
      </w:pPr>
    </w:lvl>
    <w:lvl w:ilvl="3">
      <w:start w:val="1"/>
      <w:numFmt w:val="decimal"/>
      <w:isLgl w:val="false"/>
      <w:suff w:val="tab"/>
      <w:lvlText w:val="%4."/>
      <w:lvlJc w:val="left"/>
      <w:pPr>
        <w:pStyle w:val="1053"/>
        <w:ind w:left="1680" w:hanging="420"/>
      </w:pPr>
    </w:lvl>
    <w:lvl w:ilvl="4">
      <w:start w:val="1"/>
      <w:numFmt w:val="lowerLetter"/>
      <w:isLgl w:val="false"/>
      <w:suff w:val="tab"/>
      <w:lvlText w:val="%5)"/>
      <w:lvlJc w:val="left"/>
      <w:pPr>
        <w:pStyle w:val="1053"/>
        <w:ind w:left="2100" w:hanging="420"/>
      </w:pPr>
    </w:lvl>
    <w:lvl w:ilvl="5">
      <w:start w:val="1"/>
      <w:numFmt w:val="lowerRoman"/>
      <w:isLgl w:val="false"/>
      <w:suff w:val="tab"/>
      <w:lvlText w:val="%6."/>
      <w:lvlJc w:val="right"/>
      <w:pPr>
        <w:pStyle w:val="1053"/>
        <w:ind w:left="2520" w:hanging="420"/>
      </w:pPr>
    </w:lvl>
    <w:lvl w:ilvl="6">
      <w:start w:val="1"/>
      <w:numFmt w:val="decimal"/>
      <w:isLgl w:val="false"/>
      <w:suff w:val="tab"/>
      <w:lvlText w:val="%7."/>
      <w:lvlJc w:val="left"/>
      <w:pPr>
        <w:pStyle w:val="1053"/>
        <w:ind w:left="2940" w:hanging="420"/>
      </w:pPr>
    </w:lvl>
    <w:lvl w:ilvl="7">
      <w:start w:val="1"/>
      <w:numFmt w:val="lowerLetter"/>
      <w:isLgl w:val="false"/>
      <w:suff w:val="tab"/>
      <w:lvlText w:val="%8)"/>
      <w:lvlJc w:val="left"/>
      <w:pPr>
        <w:pStyle w:val="1053"/>
        <w:ind w:left="3360" w:hanging="420"/>
      </w:pPr>
    </w:lvl>
    <w:lvl w:ilvl="8">
      <w:start w:val="1"/>
      <w:numFmt w:val="lowerRoman"/>
      <w:isLgl w:val="false"/>
      <w:suff w:val="tab"/>
      <w:lvlText w:val="%9."/>
      <w:lvlJc w:val="right"/>
      <w:pPr>
        <w:pStyle w:val="1053"/>
        <w:ind w:left="3780" w:hanging="420"/>
      </w:pPr>
    </w:lvl>
  </w:abstractNum>
  <w:abstractNum w:abstractNumId="17">
    <w:multiLevelType w:val="hybridMultilevel"/>
    <w:lvl w:ilvl="0">
      <w:start w:val="1"/>
      <w:numFmt w:val="decimal"/>
      <w:isLgl w:val="false"/>
      <w:suff w:val="tab"/>
      <w:lvlText w:val="%1"/>
      <w:lvlJc w:val="left"/>
      <w:pPr>
        <w:pStyle w:val="1053"/>
        <w:ind w:left="900" w:hanging="900"/>
        <w:tabs>
          <w:tab w:val="num" w:pos="900" w:leader="none"/>
        </w:tabs>
      </w:pPr>
      <w:rPr>
        <w:rFonts w:hint="eastAsia"/>
      </w:rPr>
    </w:lvl>
    <w:lvl w:ilvl="1">
      <w:start w:val="1"/>
      <w:numFmt w:val="decimal"/>
      <w:isLgl w:val="false"/>
      <w:suff w:val="tab"/>
      <w:lvlText w:val="%1.%2"/>
      <w:lvlJc w:val="left"/>
      <w:pPr>
        <w:pStyle w:val="10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3"/>
        <w:ind w:left="1980" w:hanging="900"/>
        <w:tabs>
          <w:tab w:val="num" w:pos="1980" w:leader="none"/>
        </w:tabs>
      </w:pPr>
      <w:rPr>
        <w:rFonts w:hint="eastAsia"/>
      </w:rPr>
    </w:lvl>
    <w:lvl w:ilvl="3">
      <w:start w:val="1"/>
      <w:numFmt w:val="decimal"/>
      <w:isLgl w:val="false"/>
      <w:suff w:val="tab"/>
      <w:lvlText w:val="%1.%2.%3.%4"/>
      <w:lvlJc w:val="left"/>
      <w:pPr>
        <w:pStyle w:val="1053"/>
        <w:ind w:left="900" w:hanging="900"/>
        <w:tabs>
          <w:tab w:val="num" w:pos="900" w:leader="none"/>
        </w:tabs>
      </w:pPr>
      <w:rPr>
        <w:rFonts w:hint="eastAsia"/>
      </w:rPr>
    </w:lvl>
    <w:lvl w:ilvl="4">
      <w:start w:val="1"/>
      <w:numFmt w:val="decimal"/>
      <w:isLgl w:val="false"/>
      <w:suff w:val="tab"/>
      <w:lvlText w:val="%1.%2.%3.%4.%5"/>
      <w:lvlJc w:val="left"/>
      <w:pPr>
        <w:pStyle w:val="1053"/>
        <w:ind w:left="900" w:hanging="900"/>
        <w:tabs>
          <w:tab w:val="num" w:pos="900" w:leader="none"/>
        </w:tabs>
      </w:pPr>
      <w:rPr>
        <w:rFonts w:hint="eastAsia"/>
      </w:rPr>
    </w:lvl>
    <w:lvl w:ilvl="5">
      <w:start w:val="1"/>
      <w:numFmt w:val="decimal"/>
      <w:isLgl w:val="false"/>
      <w:suff w:val="tab"/>
      <w:lvlText w:val="%1.%2.%3.%4.%5.%6"/>
      <w:lvlJc w:val="left"/>
      <w:pPr>
        <w:pStyle w:val="1053"/>
        <w:ind w:left="900" w:hanging="900"/>
        <w:tabs>
          <w:tab w:val="num" w:pos="900" w:leader="none"/>
        </w:tabs>
      </w:pPr>
      <w:rPr>
        <w:rFonts w:hint="eastAsia"/>
      </w:rPr>
    </w:lvl>
    <w:lvl w:ilvl="6">
      <w:start w:val="1"/>
      <w:numFmt w:val="decimal"/>
      <w:isLgl w:val="false"/>
      <w:suff w:val="tab"/>
      <w:lvlText w:val="%1.%2.%3.%4.%5.%6.%7"/>
      <w:lvlJc w:val="left"/>
      <w:pPr>
        <w:pStyle w:val="1053"/>
        <w:ind w:left="900" w:hanging="900"/>
        <w:tabs>
          <w:tab w:val="num" w:pos="900" w:leader="none"/>
        </w:tabs>
      </w:pPr>
      <w:rPr>
        <w:rFonts w:hint="eastAsia"/>
      </w:rPr>
    </w:lvl>
    <w:lvl w:ilvl="7">
      <w:start w:val="1"/>
      <w:numFmt w:val="decimal"/>
      <w:isLgl w:val="false"/>
      <w:suff w:val="tab"/>
      <w:lvlText w:val="%1.%2.%3.%4.%5.%6.%7.%8"/>
      <w:lvlJc w:val="left"/>
      <w:pPr>
        <w:pStyle w:val="1053"/>
        <w:ind w:left="900" w:hanging="900"/>
        <w:tabs>
          <w:tab w:val="num" w:pos="900" w:leader="none"/>
        </w:tabs>
      </w:pPr>
      <w:rPr>
        <w:rFonts w:hint="eastAsia"/>
      </w:rPr>
    </w:lvl>
    <w:lvl w:ilvl="8">
      <w:start w:val="1"/>
      <w:numFmt w:val="decimal"/>
      <w:isLgl w:val="false"/>
      <w:suff w:val="tab"/>
      <w:lvlText w:val="%1.%2.%3.%4.%5.%6.%7.%8.%9"/>
      <w:lvlJc w:val="left"/>
      <w:pPr>
        <w:pStyle w:val="1053"/>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4"/>
  </w:num>
  <w:num w:numId="12">
    <w:abstractNumId w:val="11"/>
  </w:num>
  <w:num w:numId="13">
    <w:abstractNumId w:val="17"/>
  </w:num>
  <w:num w:numId="14">
    <w:abstractNumId w:val="0"/>
  </w:num>
  <w:num w:numId="15">
    <w:abstractNumId w:val="13"/>
  </w:num>
  <w:num w:numId="16">
    <w:abstractNumId w:val="1"/>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1053"/>
    <w:next w:val="1053"/>
    <w:link w:val="876"/>
    <w:uiPriority w:val="9"/>
    <w:qFormat/>
    <w:pPr>
      <w:keepLines/>
      <w:keepNext/>
      <w:spacing w:before="480" w:after="200"/>
      <w:outlineLvl w:val="0"/>
    </w:pPr>
    <w:rPr>
      <w:rFonts w:ascii="Arial" w:hAnsi="Arial" w:eastAsia="Arial" w:cs="Arial"/>
      <w:sz w:val="40"/>
      <w:szCs w:val="40"/>
    </w:rPr>
  </w:style>
  <w:style w:type="character" w:styleId="876">
    <w:name w:val="Heading 1 Char"/>
    <w:link w:val="875"/>
    <w:uiPriority w:val="9"/>
    <w:rPr>
      <w:rFonts w:ascii="Arial" w:hAnsi="Arial" w:eastAsia="Arial" w:cs="Arial"/>
      <w:sz w:val="40"/>
      <w:szCs w:val="40"/>
    </w:rPr>
  </w:style>
  <w:style w:type="paragraph" w:styleId="877">
    <w:name w:val="Heading 2"/>
    <w:basedOn w:val="1053"/>
    <w:next w:val="1053"/>
    <w:link w:val="878"/>
    <w:uiPriority w:val="9"/>
    <w:unhideWhenUsed/>
    <w:qFormat/>
    <w:pPr>
      <w:keepLines/>
      <w:keepNext/>
      <w:spacing w:before="360" w:after="200"/>
      <w:outlineLvl w:val="1"/>
    </w:pPr>
    <w:rPr>
      <w:rFonts w:ascii="Arial" w:hAnsi="Arial" w:eastAsia="Arial" w:cs="Arial"/>
      <w:sz w:val="34"/>
    </w:rPr>
  </w:style>
  <w:style w:type="character" w:styleId="878">
    <w:name w:val="Heading 2 Char"/>
    <w:link w:val="877"/>
    <w:uiPriority w:val="9"/>
    <w:rPr>
      <w:rFonts w:ascii="Arial" w:hAnsi="Arial" w:eastAsia="Arial" w:cs="Arial"/>
      <w:sz w:val="34"/>
    </w:rPr>
  </w:style>
  <w:style w:type="paragraph" w:styleId="879">
    <w:name w:val="Heading 3"/>
    <w:basedOn w:val="1053"/>
    <w:next w:val="1053"/>
    <w:link w:val="880"/>
    <w:uiPriority w:val="9"/>
    <w:unhideWhenUsed/>
    <w:qFormat/>
    <w:pPr>
      <w:keepLines/>
      <w:keepNext/>
      <w:spacing w:before="320" w:after="200"/>
      <w:outlineLvl w:val="2"/>
    </w:pPr>
    <w:rPr>
      <w:rFonts w:ascii="Arial" w:hAnsi="Arial" w:eastAsia="Arial" w:cs="Arial"/>
      <w:sz w:val="30"/>
      <w:szCs w:val="30"/>
    </w:rPr>
  </w:style>
  <w:style w:type="character" w:styleId="880">
    <w:name w:val="Heading 3 Char"/>
    <w:link w:val="879"/>
    <w:uiPriority w:val="9"/>
    <w:rPr>
      <w:rFonts w:ascii="Arial" w:hAnsi="Arial" w:eastAsia="Arial" w:cs="Arial"/>
      <w:sz w:val="30"/>
      <w:szCs w:val="30"/>
    </w:rPr>
  </w:style>
  <w:style w:type="paragraph" w:styleId="881">
    <w:name w:val="Heading 4"/>
    <w:basedOn w:val="1053"/>
    <w:next w:val="1053"/>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link w:val="881"/>
    <w:uiPriority w:val="9"/>
    <w:rPr>
      <w:rFonts w:ascii="Arial" w:hAnsi="Arial" w:eastAsia="Arial" w:cs="Arial"/>
      <w:b/>
      <w:bCs/>
      <w:sz w:val="26"/>
      <w:szCs w:val="26"/>
    </w:rPr>
  </w:style>
  <w:style w:type="paragraph" w:styleId="883">
    <w:name w:val="Heading 5"/>
    <w:basedOn w:val="1053"/>
    <w:next w:val="1053"/>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link w:val="883"/>
    <w:uiPriority w:val="9"/>
    <w:rPr>
      <w:rFonts w:ascii="Arial" w:hAnsi="Arial" w:eastAsia="Arial" w:cs="Arial"/>
      <w:b/>
      <w:bCs/>
      <w:sz w:val="24"/>
      <w:szCs w:val="24"/>
    </w:rPr>
  </w:style>
  <w:style w:type="paragraph" w:styleId="885">
    <w:name w:val="Heading 6"/>
    <w:basedOn w:val="1053"/>
    <w:next w:val="1053"/>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link w:val="885"/>
    <w:uiPriority w:val="9"/>
    <w:rPr>
      <w:rFonts w:ascii="Arial" w:hAnsi="Arial" w:eastAsia="Arial" w:cs="Arial"/>
      <w:b/>
      <w:bCs/>
      <w:sz w:val="22"/>
      <w:szCs w:val="22"/>
    </w:rPr>
  </w:style>
  <w:style w:type="paragraph" w:styleId="887">
    <w:name w:val="Heading 7"/>
    <w:basedOn w:val="1053"/>
    <w:next w:val="1053"/>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link w:val="887"/>
    <w:uiPriority w:val="9"/>
    <w:rPr>
      <w:rFonts w:ascii="Arial" w:hAnsi="Arial" w:eastAsia="Arial" w:cs="Arial"/>
      <w:b/>
      <w:bCs/>
      <w:i/>
      <w:iCs/>
      <w:sz w:val="22"/>
      <w:szCs w:val="22"/>
    </w:rPr>
  </w:style>
  <w:style w:type="paragraph" w:styleId="889">
    <w:name w:val="Heading 8"/>
    <w:basedOn w:val="1053"/>
    <w:next w:val="1053"/>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link w:val="889"/>
    <w:uiPriority w:val="9"/>
    <w:rPr>
      <w:rFonts w:ascii="Arial" w:hAnsi="Arial" w:eastAsia="Arial" w:cs="Arial"/>
      <w:i/>
      <w:iCs/>
      <w:sz w:val="22"/>
      <w:szCs w:val="22"/>
    </w:rPr>
  </w:style>
  <w:style w:type="paragraph" w:styleId="891">
    <w:name w:val="Heading 9"/>
    <w:basedOn w:val="1053"/>
    <w:next w:val="1053"/>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link w:val="891"/>
    <w:uiPriority w:val="9"/>
    <w:rPr>
      <w:rFonts w:ascii="Arial" w:hAnsi="Arial" w:eastAsia="Arial" w:cs="Arial"/>
      <w:i/>
      <w:iCs/>
      <w:sz w:val="21"/>
      <w:szCs w:val="21"/>
    </w:rPr>
  </w:style>
  <w:style w:type="paragraph" w:styleId="893">
    <w:name w:val="List Paragraph"/>
    <w:basedOn w:val="1053"/>
    <w:uiPriority w:val="34"/>
    <w:qFormat/>
    <w:pPr>
      <w:contextualSpacing/>
      <w:ind w:left="720"/>
    </w:pPr>
  </w:style>
  <w:style w:type="paragraph" w:styleId="894">
    <w:name w:val="No Spacing"/>
    <w:uiPriority w:val="1"/>
    <w:qFormat/>
    <w:pPr>
      <w:spacing w:before="0" w:after="0" w:line="240" w:lineRule="auto"/>
    </w:pPr>
  </w:style>
  <w:style w:type="paragraph" w:styleId="895">
    <w:name w:val="Title"/>
    <w:basedOn w:val="1053"/>
    <w:next w:val="1053"/>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3"/>
    <w:next w:val="1053"/>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3"/>
    <w:next w:val="1053"/>
    <w:link w:val="900"/>
    <w:uiPriority w:val="29"/>
    <w:qFormat/>
    <w:pPr>
      <w:ind w:left="720" w:right="720"/>
    </w:pPr>
    <w:rPr>
      <w:i/>
    </w:rPr>
  </w:style>
  <w:style w:type="character" w:styleId="900">
    <w:name w:val="Quote Char"/>
    <w:link w:val="899"/>
    <w:uiPriority w:val="29"/>
    <w:rPr>
      <w:i/>
    </w:rPr>
  </w:style>
  <w:style w:type="paragraph" w:styleId="901">
    <w:name w:val="Intense Quote"/>
    <w:basedOn w:val="1053"/>
    <w:next w:val="1053"/>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3"/>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3"/>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3"/>
    <w:next w:val="1053"/>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5">
    <w:name w:val="Hyperlink"/>
    <w:uiPriority w:val="99"/>
    <w:unhideWhenUsed/>
    <w:rPr>
      <w:color w:val="0000ff" w:themeColor="hyperlink"/>
      <w:u w:val="single"/>
    </w:rPr>
  </w:style>
  <w:style w:type="paragraph" w:styleId="1036">
    <w:name w:val="footnote text"/>
    <w:basedOn w:val="1053"/>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uiPriority w:val="99"/>
    <w:unhideWhenUsed/>
    <w:rPr>
      <w:vertAlign w:val="superscript"/>
    </w:rPr>
  </w:style>
  <w:style w:type="paragraph" w:styleId="1039">
    <w:name w:val="endnote text"/>
    <w:basedOn w:val="1053"/>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uiPriority w:val="99"/>
    <w:semiHidden/>
    <w:unhideWhenUsed/>
    <w:rPr>
      <w:vertAlign w:val="superscript"/>
    </w:rPr>
  </w:style>
  <w:style w:type="paragraph" w:styleId="1042">
    <w:name w:val="toc 1"/>
    <w:basedOn w:val="1053"/>
    <w:next w:val="1053"/>
    <w:uiPriority w:val="39"/>
    <w:unhideWhenUsed/>
    <w:pPr>
      <w:ind w:left="0" w:right="0" w:firstLine="0"/>
      <w:spacing w:after="57"/>
    </w:pPr>
  </w:style>
  <w:style w:type="paragraph" w:styleId="1043">
    <w:name w:val="toc 2"/>
    <w:basedOn w:val="1053"/>
    <w:next w:val="1053"/>
    <w:uiPriority w:val="39"/>
    <w:unhideWhenUsed/>
    <w:pPr>
      <w:ind w:left="283" w:right="0" w:firstLine="0"/>
      <w:spacing w:after="57"/>
    </w:pPr>
  </w:style>
  <w:style w:type="paragraph" w:styleId="1044">
    <w:name w:val="toc 3"/>
    <w:basedOn w:val="1053"/>
    <w:next w:val="1053"/>
    <w:uiPriority w:val="39"/>
    <w:unhideWhenUsed/>
    <w:pPr>
      <w:ind w:left="567" w:right="0" w:firstLine="0"/>
      <w:spacing w:after="57"/>
    </w:pPr>
  </w:style>
  <w:style w:type="paragraph" w:styleId="1045">
    <w:name w:val="toc 4"/>
    <w:basedOn w:val="1053"/>
    <w:next w:val="1053"/>
    <w:uiPriority w:val="39"/>
    <w:unhideWhenUsed/>
    <w:pPr>
      <w:ind w:left="850" w:right="0" w:firstLine="0"/>
      <w:spacing w:after="57"/>
    </w:pPr>
  </w:style>
  <w:style w:type="paragraph" w:styleId="1046">
    <w:name w:val="toc 5"/>
    <w:basedOn w:val="1053"/>
    <w:next w:val="1053"/>
    <w:uiPriority w:val="39"/>
    <w:unhideWhenUsed/>
    <w:pPr>
      <w:ind w:left="1134" w:right="0" w:firstLine="0"/>
      <w:spacing w:after="57"/>
    </w:pPr>
  </w:style>
  <w:style w:type="paragraph" w:styleId="1047">
    <w:name w:val="toc 6"/>
    <w:basedOn w:val="1053"/>
    <w:next w:val="1053"/>
    <w:uiPriority w:val="39"/>
    <w:unhideWhenUsed/>
    <w:pPr>
      <w:ind w:left="1417" w:right="0" w:firstLine="0"/>
      <w:spacing w:after="57"/>
    </w:pPr>
  </w:style>
  <w:style w:type="paragraph" w:styleId="1048">
    <w:name w:val="toc 7"/>
    <w:basedOn w:val="1053"/>
    <w:next w:val="1053"/>
    <w:uiPriority w:val="39"/>
    <w:unhideWhenUsed/>
    <w:pPr>
      <w:ind w:left="1701" w:right="0" w:firstLine="0"/>
      <w:spacing w:after="57"/>
    </w:pPr>
  </w:style>
  <w:style w:type="paragraph" w:styleId="1049">
    <w:name w:val="toc 8"/>
    <w:basedOn w:val="1053"/>
    <w:next w:val="1053"/>
    <w:uiPriority w:val="39"/>
    <w:unhideWhenUsed/>
    <w:pPr>
      <w:ind w:left="1984" w:right="0" w:firstLine="0"/>
      <w:spacing w:after="57"/>
    </w:pPr>
  </w:style>
  <w:style w:type="paragraph" w:styleId="1050">
    <w:name w:val="toc 9"/>
    <w:basedOn w:val="1053"/>
    <w:next w:val="1053"/>
    <w:uiPriority w:val="39"/>
    <w:unhideWhenUsed/>
    <w:pPr>
      <w:ind w:left="2268" w:right="0" w:firstLine="0"/>
      <w:spacing w:after="57"/>
    </w:p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next w:val="1053"/>
    <w:link w:val="1053"/>
    <w:qFormat/>
    <w:pPr>
      <w:jc w:val="both"/>
      <w:widowControl w:val="off"/>
    </w:pPr>
    <w:rPr>
      <w:sz w:val="21"/>
      <w:szCs w:val="24"/>
      <w:lang w:val="en-US" w:eastAsia="zh-CN" w:bidi="ar-SA"/>
    </w:rPr>
  </w:style>
  <w:style w:type="paragraph" w:styleId="1054">
    <w:name w:val="标题 1"/>
    <w:basedOn w:val="1053"/>
    <w:next w:val="1053"/>
    <w:link w:val="1065"/>
    <w:qFormat/>
    <w:pPr>
      <w:jc w:val="center"/>
      <w:keepLines/>
      <w:keepNext/>
      <w:spacing w:before="240" w:after="120" w:line="300" w:lineRule="auto"/>
      <w:outlineLvl w:val="0"/>
    </w:pPr>
    <w:rPr>
      <w:rFonts w:ascii="宋体"/>
      <w:b/>
      <w:sz w:val="32"/>
      <w:szCs w:val="20"/>
    </w:rPr>
  </w:style>
  <w:style w:type="paragraph" w:styleId="1055">
    <w:name w:val="标题 2"/>
    <w:basedOn w:val="1053"/>
    <w:next w:val="1067"/>
    <w:link w:val="1066"/>
    <w:qFormat/>
    <w:pPr>
      <w:jc w:val="center"/>
      <w:keepLines/>
      <w:keepNext/>
      <w:spacing w:before="120" w:line="300" w:lineRule="auto"/>
      <w:outlineLvl w:val="1"/>
    </w:pPr>
    <w:rPr>
      <w:rFonts w:ascii="Arial" w:hAnsi="Arial" w:eastAsia="黑体"/>
      <w:b/>
      <w:sz w:val="30"/>
      <w:szCs w:val="20"/>
    </w:rPr>
  </w:style>
  <w:style w:type="paragraph" w:styleId="1056">
    <w:name w:val="标题 3"/>
    <w:basedOn w:val="1053"/>
    <w:next w:val="1067"/>
    <w:link w:val="1069"/>
    <w:qFormat/>
    <w:pPr>
      <w:jc w:val="left"/>
      <w:keepLines/>
      <w:keepNext/>
      <w:spacing w:before="360" w:after="120"/>
      <w:outlineLvl w:val="2"/>
    </w:pPr>
    <w:rPr>
      <w:rFonts w:ascii="宋体"/>
      <w:b/>
      <w:sz w:val="24"/>
      <w:szCs w:val="20"/>
      <w:u w:val="single"/>
    </w:rPr>
  </w:style>
  <w:style w:type="paragraph" w:styleId="1057">
    <w:name w:val="标题 4"/>
    <w:basedOn w:val="1053"/>
    <w:next w:val="1053"/>
    <w:link w:val="1070"/>
    <w:qFormat/>
    <w:pPr>
      <w:keepLines/>
      <w:keepNext/>
      <w:spacing w:before="280" w:after="290" w:line="376" w:lineRule="atLeast"/>
      <w:outlineLvl w:val="3"/>
    </w:pPr>
    <w:rPr>
      <w:rFonts w:ascii="Arial" w:hAnsi="Arial" w:eastAsia="黑体"/>
      <w:b/>
      <w:sz w:val="28"/>
      <w:szCs w:val="20"/>
    </w:rPr>
  </w:style>
  <w:style w:type="paragraph" w:styleId="1058">
    <w:name w:val="标题 5"/>
    <w:basedOn w:val="1053"/>
    <w:next w:val="1053"/>
    <w:link w:val="1071"/>
    <w:qFormat/>
    <w:pPr>
      <w:keepLines/>
      <w:keepNext/>
      <w:spacing w:before="280" w:after="290" w:line="376" w:lineRule="atLeast"/>
      <w:outlineLvl w:val="4"/>
    </w:pPr>
    <w:rPr>
      <w:b/>
      <w:sz w:val="28"/>
      <w:szCs w:val="20"/>
    </w:rPr>
  </w:style>
  <w:style w:type="paragraph" w:styleId="1059">
    <w:name w:val="标题 6"/>
    <w:basedOn w:val="1053"/>
    <w:next w:val="1053"/>
    <w:link w:val="1072"/>
    <w:qFormat/>
    <w:pPr>
      <w:keepLines/>
      <w:keepNext/>
      <w:spacing w:before="240" w:after="64" w:line="320" w:lineRule="atLeast"/>
      <w:outlineLvl w:val="5"/>
    </w:pPr>
    <w:rPr>
      <w:rFonts w:ascii="Arial" w:hAnsi="Arial" w:eastAsia="黑体"/>
      <w:b/>
      <w:sz w:val="24"/>
      <w:szCs w:val="20"/>
    </w:rPr>
  </w:style>
  <w:style w:type="paragraph" w:styleId="1060">
    <w:name w:val="标题 7"/>
    <w:basedOn w:val="1053"/>
    <w:next w:val="1053"/>
    <w:link w:val="1073"/>
    <w:qFormat/>
    <w:pPr>
      <w:keepLines/>
      <w:keepNext/>
      <w:spacing w:before="240" w:after="64" w:line="320" w:lineRule="atLeast"/>
      <w:outlineLvl w:val="6"/>
    </w:pPr>
    <w:rPr>
      <w:b/>
      <w:sz w:val="24"/>
      <w:szCs w:val="20"/>
    </w:rPr>
  </w:style>
  <w:style w:type="paragraph" w:styleId="1061">
    <w:name w:val="标题 8"/>
    <w:basedOn w:val="1053"/>
    <w:next w:val="1053"/>
    <w:link w:val="1074"/>
    <w:qFormat/>
    <w:pPr>
      <w:keepLines/>
      <w:keepNext/>
      <w:spacing w:before="240" w:after="64" w:line="320" w:lineRule="atLeast"/>
      <w:outlineLvl w:val="7"/>
    </w:pPr>
    <w:rPr>
      <w:rFonts w:ascii="Arial" w:hAnsi="Arial" w:eastAsia="黑体"/>
      <w:sz w:val="24"/>
      <w:szCs w:val="20"/>
    </w:rPr>
  </w:style>
  <w:style w:type="paragraph" w:styleId="1062">
    <w:name w:val="标题 9"/>
    <w:basedOn w:val="1053"/>
    <w:next w:val="1053"/>
    <w:link w:val="1075"/>
    <w:qFormat/>
    <w:pPr>
      <w:keepLines/>
      <w:keepNext/>
      <w:spacing w:before="240" w:after="64" w:line="320" w:lineRule="atLeast"/>
      <w:outlineLvl w:val="8"/>
    </w:pPr>
    <w:rPr>
      <w:rFonts w:ascii="Arial" w:hAnsi="Arial" w:eastAsia="黑体"/>
      <w:szCs w:val="20"/>
    </w:rPr>
  </w:style>
  <w:style w:type="character" w:styleId="1063">
    <w:name w:val="默认段落字体"/>
    <w:next w:val="1063"/>
    <w:link w:val="1053"/>
    <w:uiPriority w:val="1"/>
    <w:unhideWhenUsed/>
    <w:qFormat/>
  </w:style>
  <w:style w:type="table" w:styleId="1064">
    <w:name w:val="普通表格"/>
    <w:next w:val="1064"/>
    <w:link w:val="1053"/>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65">
    <w:name w:val="标题 1 Char"/>
    <w:basedOn w:val="1063"/>
    <w:next w:val="1065"/>
    <w:link w:val="1054"/>
    <w:qFormat/>
    <w:rPr>
      <w:rFonts w:ascii="宋体"/>
      <w:b/>
      <w:sz w:val="32"/>
    </w:rPr>
  </w:style>
  <w:style w:type="character" w:styleId="1066">
    <w:name w:val="标题 2 Char1"/>
    <w:next w:val="1066"/>
    <w:link w:val="1055"/>
    <w:qFormat/>
    <w:rPr>
      <w:rFonts w:ascii="Arial" w:hAnsi="Arial" w:eastAsia="黑体"/>
      <w:b/>
      <w:sz w:val="30"/>
      <w:lang w:val="en-US" w:eastAsia="zh-CN" w:bidi="ar-SA"/>
    </w:rPr>
  </w:style>
  <w:style w:type="paragraph" w:styleId="1067">
    <w:name w:val="正文缩进"/>
    <w:basedOn w:val="1053"/>
    <w:next w:val="1067"/>
    <w:link w:val="1068"/>
    <w:qFormat/>
    <w:pPr>
      <w:ind w:firstLine="420"/>
      <w:jc w:val="left"/>
    </w:pPr>
    <w:rPr>
      <w:rFonts w:ascii="宋体"/>
      <w:sz w:val="24"/>
    </w:rPr>
  </w:style>
  <w:style w:type="character" w:styleId="1068">
    <w:name w:val="正文缩进 Char1"/>
    <w:next w:val="1068"/>
    <w:link w:val="1067"/>
    <w:qFormat/>
    <w:rPr>
      <w:rFonts w:ascii="宋体" w:eastAsia="宋体"/>
      <w:sz w:val="24"/>
      <w:szCs w:val="24"/>
      <w:lang w:val="en-US" w:eastAsia="zh-CN" w:bidi="ar-SA"/>
    </w:rPr>
  </w:style>
  <w:style w:type="character" w:styleId="1069">
    <w:name w:val="标题 3 Char1"/>
    <w:next w:val="1069"/>
    <w:link w:val="1056"/>
    <w:qFormat/>
    <w:rPr>
      <w:rFonts w:ascii="宋体" w:eastAsia="宋体"/>
      <w:b/>
      <w:sz w:val="24"/>
      <w:u w:val="single"/>
      <w:lang w:val="en-US" w:eastAsia="zh-CN" w:bidi="ar-SA"/>
    </w:rPr>
  </w:style>
  <w:style w:type="character" w:styleId="1070">
    <w:name w:val="标题 4 Char"/>
    <w:basedOn w:val="1063"/>
    <w:next w:val="1070"/>
    <w:link w:val="1057"/>
    <w:qFormat/>
    <w:rPr>
      <w:rFonts w:ascii="Arial" w:hAnsi="Arial" w:eastAsia="黑体"/>
      <w:b/>
      <w:sz w:val="28"/>
    </w:rPr>
  </w:style>
  <w:style w:type="character" w:styleId="1071">
    <w:name w:val="标题 5 Char"/>
    <w:basedOn w:val="1063"/>
    <w:next w:val="1071"/>
    <w:link w:val="1058"/>
    <w:qFormat/>
    <w:rPr>
      <w:b/>
      <w:sz w:val="28"/>
    </w:rPr>
  </w:style>
  <w:style w:type="character" w:styleId="1072">
    <w:name w:val="标题 6 Char"/>
    <w:basedOn w:val="1063"/>
    <w:next w:val="1072"/>
    <w:link w:val="1059"/>
    <w:qFormat/>
    <w:rPr>
      <w:rFonts w:ascii="Arial" w:hAnsi="Arial" w:eastAsia="黑体"/>
      <w:b/>
      <w:sz w:val="24"/>
    </w:rPr>
  </w:style>
  <w:style w:type="character" w:styleId="1073">
    <w:name w:val="标题 7 Char"/>
    <w:basedOn w:val="1063"/>
    <w:next w:val="1073"/>
    <w:link w:val="1060"/>
    <w:qFormat/>
    <w:rPr>
      <w:b/>
      <w:sz w:val="24"/>
    </w:rPr>
  </w:style>
  <w:style w:type="character" w:styleId="1074">
    <w:name w:val="标题 8 Char"/>
    <w:basedOn w:val="1063"/>
    <w:next w:val="1074"/>
    <w:link w:val="1061"/>
    <w:qFormat/>
    <w:rPr>
      <w:rFonts w:ascii="Arial" w:hAnsi="Arial" w:eastAsia="黑体"/>
      <w:sz w:val="24"/>
    </w:rPr>
  </w:style>
  <w:style w:type="character" w:styleId="1075">
    <w:name w:val="标题 9 Char"/>
    <w:basedOn w:val="1063"/>
    <w:next w:val="1075"/>
    <w:link w:val="1062"/>
    <w:qFormat/>
    <w:rPr>
      <w:rFonts w:ascii="Arial" w:hAnsi="Arial" w:eastAsia="黑体"/>
      <w:sz w:val="21"/>
    </w:rPr>
  </w:style>
  <w:style w:type="paragraph" w:styleId="1076">
    <w:name w:val="目录 7"/>
    <w:basedOn w:val="1053"/>
    <w:next w:val="1053"/>
    <w:link w:val="1053"/>
    <w:qFormat/>
    <w:pPr>
      <w:ind w:left="2520"/>
    </w:pPr>
  </w:style>
  <w:style w:type="paragraph" w:styleId="1077">
    <w:name w:val="题注"/>
    <w:basedOn w:val="1053"/>
    <w:next w:val="1053"/>
    <w:link w:val="1053"/>
    <w:qFormat/>
    <w:pPr>
      <w:spacing w:line="480" w:lineRule="auto"/>
    </w:pPr>
    <w:rPr>
      <w:rFonts w:ascii="华文中宋" w:hAnsi="华文中宋" w:eastAsia="华文中宋"/>
      <w:sz w:val="36"/>
      <w:szCs w:val="20"/>
    </w:rPr>
  </w:style>
  <w:style w:type="paragraph" w:styleId="1078">
    <w:name w:val="文档结构图"/>
    <w:basedOn w:val="1053"/>
    <w:next w:val="1078"/>
    <w:link w:val="1079"/>
    <w:qFormat/>
    <w:pPr>
      <w:shd w:val="clear" w:color="auto" w:fill="000080"/>
    </w:pPr>
  </w:style>
  <w:style w:type="character" w:styleId="1079">
    <w:name w:val="文档结构图 Char"/>
    <w:basedOn w:val="1063"/>
    <w:next w:val="1079"/>
    <w:link w:val="1078"/>
    <w:qFormat/>
    <w:rPr>
      <w:sz w:val="21"/>
      <w:szCs w:val="24"/>
      <w:shd w:val="clear" w:color="auto" w:fill="000080"/>
    </w:rPr>
  </w:style>
  <w:style w:type="paragraph" w:styleId="1080">
    <w:name w:val="批注文字"/>
    <w:basedOn w:val="1053"/>
    <w:next w:val="1080"/>
    <w:link w:val="1081"/>
    <w:uiPriority w:val="99"/>
    <w:qFormat/>
    <w:pPr>
      <w:jc w:val="left"/>
    </w:pPr>
  </w:style>
  <w:style w:type="character" w:styleId="1081">
    <w:name w:val="批注文字 Char1"/>
    <w:next w:val="1081"/>
    <w:link w:val="1080"/>
    <w:uiPriority w:val="99"/>
    <w:qFormat/>
    <w:rPr>
      <w:sz w:val="21"/>
      <w:szCs w:val="24"/>
    </w:rPr>
  </w:style>
  <w:style w:type="paragraph" w:styleId="1082">
    <w:name w:val="正文文本 3"/>
    <w:basedOn w:val="1053"/>
    <w:next w:val="1082"/>
    <w:link w:val="1083"/>
    <w:qFormat/>
    <w:pPr>
      <w:spacing w:after="120"/>
    </w:pPr>
    <w:rPr>
      <w:sz w:val="16"/>
      <w:szCs w:val="16"/>
    </w:rPr>
  </w:style>
  <w:style w:type="character" w:styleId="1083">
    <w:name w:val="正文文本 3 Char"/>
    <w:basedOn w:val="1063"/>
    <w:next w:val="1083"/>
    <w:link w:val="1082"/>
    <w:qFormat/>
    <w:rPr>
      <w:sz w:val="16"/>
      <w:szCs w:val="16"/>
    </w:rPr>
  </w:style>
  <w:style w:type="paragraph" w:styleId="1084">
    <w:name w:val="正文文本"/>
    <w:basedOn w:val="1053"/>
    <w:next w:val="1053"/>
    <w:link w:val="1085"/>
    <w:qFormat/>
    <w:pPr>
      <w:spacing w:before="120" w:line="22" w:lineRule="atLeast"/>
      <w:tabs>
        <w:tab w:val="left" w:pos="567" w:leader="none"/>
      </w:tabs>
    </w:pPr>
    <w:rPr>
      <w:rFonts w:ascii="宋体" w:hAnsi="宋体"/>
      <w:sz w:val="24"/>
    </w:rPr>
  </w:style>
  <w:style w:type="character" w:styleId="1085">
    <w:name w:val="正文文本 Char"/>
    <w:basedOn w:val="1063"/>
    <w:next w:val="1085"/>
    <w:link w:val="1084"/>
    <w:qFormat/>
    <w:rPr>
      <w:rFonts w:ascii="宋体" w:hAnsi="宋体"/>
      <w:sz w:val="24"/>
      <w:szCs w:val="24"/>
    </w:rPr>
  </w:style>
  <w:style w:type="paragraph" w:styleId="1086">
    <w:name w:val="正文文本缩进"/>
    <w:basedOn w:val="1053"/>
    <w:next w:val="1086"/>
    <w:link w:val="1087"/>
    <w:qFormat/>
    <w:pPr>
      <w:ind w:firstLine="570"/>
      <w:spacing w:line="360" w:lineRule="auto"/>
    </w:pPr>
    <w:rPr>
      <w:sz w:val="24"/>
    </w:rPr>
  </w:style>
  <w:style w:type="character" w:styleId="1087">
    <w:name w:val="正文文本缩进 Char2"/>
    <w:next w:val="1087"/>
    <w:link w:val="1086"/>
    <w:qFormat/>
    <w:rPr>
      <w:rFonts w:eastAsia="宋体"/>
      <w:sz w:val="24"/>
      <w:szCs w:val="24"/>
      <w:lang w:val="en-US" w:eastAsia="zh-CN" w:bidi="ar-SA"/>
    </w:rPr>
  </w:style>
  <w:style w:type="paragraph" w:styleId="1088">
    <w:name w:val="列表 2"/>
    <w:basedOn w:val="1053"/>
    <w:next w:val="1088"/>
    <w:link w:val="1053"/>
    <w:qFormat/>
    <w:pPr>
      <w:ind w:left="100" w:hanging="200"/>
    </w:pPr>
  </w:style>
  <w:style w:type="paragraph" w:styleId="1089">
    <w:name w:val="文本块"/>
    <w:basedOn w:val="1053"/>
    <w:next w:val="1089"/>
    <w:link w:val="1053"/>
    <w:qFormat/>
    <w:pPr>
      <w:ind w:left="480" w:right="-341" w:firstLine="513"/>
      <w:widowControl/>
    </w:pPr>
    <w:rPr>
      <w:sz w:val="24"/>
      <w:szCs w:val="20"/>
    </w:rPr>
  </w:style>
  <w:style w:type="paragraph" w:styleId="1090">
    <w:name w:val="目录 5"/>
    <w:basedOn w:val="1053"/>
    <w:next w:val="1053"/>
    <w:link w:val="1053"/>
    <w:qFormat/>
    <w:pPr>
      <w:ind w:left="1680"/>
    </w:pPr>
  </w:style>
  <w:style w:type="paragraph" w:styleId="1091">
    <w:name w:val="目录 3"/>
    <w:basedOn w:val="1053"/>
    <w:next w:val="1053"/>
    <w:link w:val="1053"/>
    <w:uiPriority w:val="39"/>
    <w:qFormat/>
    <w:pPr>
      <w:ind w:left="840"/>
    </w:pPr>
  </w:style>
  <w:style w:type="paragraph" w:styleId="1092">
    <w:name w:val="纯文本"/>
    <w:basedOn w:val="1053"/>
    <w:next w:val="1092"/>
    <w:link w:val="1093"/>
    <w:qFormat/>
    <w:rPr>
      <w:rFonts w:hint="eastAsia" w:ascii="宋体" w:hAnsi="Courier New"/>
      <w:szCs w:val="20"/>
    </w:rPr>
  </w:style>
  <w:style w:type="character" w:styleId="1093">
    <w:name w:val="纯文本 Char"/>
    <w:basedOn w:val="1063"/>
    <w:next w:val="1093"/>
    <w:link w:val="1092"/>
    <w:qFormat/>
    <w:rPr>
      <w:rFonts w:hint="eastAsia" w:ascii="宋体" w:hAnsi="Courier New" w:eastAsia="宋体" w:cs="宋体"/>
      <w:sz w:val="21"/>
    </w:rPr>
  </w:style>
  <w:style w:type="paragraph" w:styleId="1094">
    <w:name w:val="目录 8"/>
    <w:basedOn w:val="1053"/>
    <w:next w:val="1053"/>
    <w:link w:val="1053"/>
    <w:qFormat/>
    <w:pPr>
      <w:ind w:left="2940"/>
    </w:pPr>
  </w:style>
  <w:style w:type="paragraph" w:styleId="1095">
    <w:name w:val="日期"/>
    <w:basedOn w:val="1053"/>
    <w:next w:val="1053"/>
    <w:link w:val="1096"/>
    <w:qFormat/>
    <w:pPr>
      <w:ind w:left="100"/>
    </w:pPr>
    <w:rPr>
      <w:rFonts w:ascii="仿宋_GB2312" w:hAnsi="宋体" w:eastAsia="仿宋_GB2312"/>
      <w:color w:val="000000"/>
      <w:sz w:val="24"/>
    </w:rPr>
  </w:style>
  <w:style w:type="character" w:styleId="1096">
    <w:name w:val="日期 Char"/>
    <w:basedOn w:val="1063"/>
    <w:next w:val="1096"/>
    <w:link w:val="1095"/>
    <w:qFormat/>
    <w:rPr>
      <w:rFonts w:ascii="仿宋_GB2312" w:hAnsi="宋体" w:eastAsia="仿宋_GB2312"/>
      <w:color w:val="000000"/>
      <w:sz w:val="24"/>
      <w:szCs w:val="24"/>
    </w:rPr>
  </w:style>
  <w:style w:type="paragraph" w:styleId="1097">
    <w:name w:val="正文文本缩进 2"/>
    <w:basedOn w:val="1053"/>
    <w:next w:val="1097"/>
    <w:link w:val="1098"/>
    <w:qFormat/>
    <w:pPr>
      <w:ind w:firstLine="480"/>
    </w:pPr>
    <w:rPr>
      <w:rFonts w:ascii="仿宋_GB2312" w:eastAsia="仿宋_GB2312"/>
      <w:sz w:val="24"/>
    </w:rPr>
  </w:style>
  <w:style w:type="character" w:styleId="1098">
    <w:name w:val="正文文本缩进 2 Char"/>
    <w:basedOn w:val="1063"/>
    <w:next w:val="1098"/>
    <w:link w:val="1097"/>
    <w:qFormat/>
    <w:rPr>
      <w:rFonts w:ascii="仿宋_GB2312" w:eastAsia="仿宋_GB2312"/>
      <w:sz w:val="24"/>
      <w:szCs w:val="24"/>
    </w:rPr>
  </w:style>
  <w:style w:type="paragraph" w:styleId="1099">
    <w:name w:val="批注框文本"/>
    <w:basedOn w:val="1053"/>
    <w:next w:val="1099"/>
    <w:link w:val="1100"/>
    <w:qFormat/>
    <w:rPr>
      <w:sz w:val="18"/>
      <w:szCs w:val="18"/>
    </w:rPr>
  </w:style>
  <w:style w:type="character" w:styleId="1100">
    <w:name w:val="批注框文本 Char"/>
    <w:basedOn w:val="1063"/>
    <w:next w:val="1100"/>
    <w:link w:val="1099"/>
    <w:qFormat/>
    <w:rPr>
      <w:sz w:val="18"/>
      <w:szCs w:val="18"/>
    </w:rPr>
  </w:style>
  <w:style w:type="paragraph" w:styleId="1101">
    <w:name w:val="页脚"/>
    <w:basedOn w:val="1053"/>
    <w:next w:val="1101"/>
    <w:link w:val="1102"/>
    <w:uiPriority w:val="99"/>
    <w:qFormat/>
    <w:pPr>
      <w:jc w:val="left"/>
      <w:tabs>
        <w:tab w:val="center" w:pos="4153" w:leader="none"/>
        <w:tab w:val="right" w:pos="8306" w:leader="none"/>
      </w:tabs>
    </w:pPr>
    <w:rPr>
      <w:rFonts w:ascii="宋体"/>
      <w:sz w:val="18"/>
      <w:szCs w:val="20"/>
    </w:rPr>
  </w:style>
  <w:style w:type="character" w:styleId="1102">
    <w:name w:val="页脚 Char1"/>
    <w:next w:val="1102"/>
    <w:link w:val="1101"/>
    <w:uiPriority w:val="99"/>
    <w:qFormat/>
    <w:rPr>
      <w:rFonts w:ascii="宋体" w:eastAsia="宋体"/>
      <w:sz w:val="18"/>
      <w:lang w:val="en-US" w:eastAsia="zh-CN" w:bidi="ar-SA"/>
    </w:rPr>
  </w:style>
  <w:style w:type="paragraph" w:styleId="1103">
    <w:name w:val="页眉"/>
    <w:basedOn w:val="1053"/>
    <w:next w:val="1103"/>
    <w:link w:val="1104"/>
    <w:qFormat/>
    <w:pPr>
      <w:jc w:val="center"/>
      <w:tabs>
        <w:tab w:val="center" w:pos="4153" w:leader="none"/>
        <w:tab w:val="right" w:pos="8306" w:leader="none"/>
      </w:tabs>
    </w:pPr>
    <w:rPr>
      <w:sz w:val="18"/>
      <w:szCs w:val="18"/>
    </w:rPr>
  </w:style>
  <w:style w:type="character" w:styleId="1104">
    <w:name w:val="页眉 Char1"/>
    <w:next w:val="1104"/>
    <w:link w:val="1103"/>
    <w:qFormat/>
    <w:rPr>
      <w:sz w:val="18"/>
      <w:szCs w:val="18"/>
    </w:rPr>
  </w:style>
  <w:style w:type="paragraph" w:styleId="1105">
    <w:name w:val="目录 1"/>
    <w:basedOn w:val="1053"/>
    <w:next w:val="1053"/>
    <w:link w:val="1053"/>
    <w:uiPriority w:val="39"/>
    <w:qFormat/>
    <w:pPr>
      <w:spacing w:line="300" w:lineRule="auto"/>
      <w:tabs>
        <w:tab w:val="left" w:pos="1050" w:leader="none"/>
        <w:tab w:val="right" w:pos="8937" w:leader="dot"/>
      </w:tabs>
    </w:pPr>
    <w:rPr>
      <w:rFonts w:ascii="宋体" w:hAnsi="宋体"/>
      <w:b/>
      <w:sz w:val="24"/>
    </w:rPr>
  </w:style>
  <w:style w:type="paragraph" w:styleId="1106">
    <w:name w:val="目录 4"/>
    <w:basedOn w:val="1053"/>
    <w:next w:val="1053"/>
    <w:link w:val="1053"/>
    <w:qFormat/>
    <w:pPr>
      <w:ind w:left="1260"/>
    </w:pPr>
  </w:style>
  <w:style w:type="paragraph" w:styleId="1107">
    <w:name w:val="目录 6"/>
    <w:basedOn w:val="1053"/>
    <w:next w:val="1053"/>
    <w:link w:val="1053"/>
    <w:qFormat/>
    <w:pPr>
      <w:ind w:left="2100"/>
    </w:pPr>
  </w:style>
  <w:style w:type="paragraph" w:styleId="1108">
    <w:name w:val="正文文本缩进 3"/>
    <w:basedOn w:val="1053"/>
    <w:next w:val="1108"/>
    <w:link w:val="1109"/>
    <w:qFormat/>
    <w:pPr>
      <w:ind w:left="720" w:firstLine="480"/>
      <w:jc w:val="left"/>
      <w:spacing w:before="120" w:line="22" w:lineRule="atLeast"/>
    </w:pPr>
    <w:rPr>
      <w:rFonts w:ascii="宋体"/>
      <w:sz w:val="24"/>
      <w:szCs w:val="20"/>
    </w:rPr>
  </w:style>
  <w:style w:type="character" w:styleId="1109">
    <w:name w:val="正文文本缩进 3 Char"/>
    <w:basedOn w:val="1063"/>
    <w:next w:val="1109"/>
    <w:link w:val="1108"/>
    <w:qFormat/>
    <w:rPr>
      <w:rFonts w:ascii="宋体"/>
      <w:sz w:val="24"/>
    </w:rPr>
  </w:style>
  <w:style w:type="paragraph" w:styleId="1110">
    <w:name w:val="目录 2"/>
    <w:basedOn w:val="1053"/>
    <w:next w:val="1053"/>
    <w:link w:val="1053"/>
    <w:uiPriority w:val="39"/>
    <w:qFormat/>
    <w:pPr>
      <w:ind w:left="420"/>
      <w:spacing w:line="312" w:lineRule="auto"/>
      <w:tabs>
        <w:tab w:val="right" w:pos="8937" w:leader="dot"/>
      </w:tabs>
    </w:pPr>
  </w:style>
  <w:style w:type="paragraph" w:styleId="1111">
    <w:name w:val="目录 9"/>
    <w:basedOn w:val="1053"/>
    <w:next w:val="1053"/>
    <w:link w:val="1053"/>
    <w:qFormat/>
    <w:pPr>
      <w:ind w:left="3360"/>
    </w:pPr>
  </w:style>
  <w:style w:type="paragraph" w:styleId="1112">
    <w:name w:val="HTML 预设格式"/>
    <w:basedOn w:val="1053"/>
    <w:next w:val="1112"/>
    <w:link w:val="11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3">
    <w:name w:val="HTML 预设格式 Char"/>
    <w:basedOn w:val="1063"/>
    <w:next w:val="1113"/>
    <w:link w:val="1112"/>
    <w:qFormat/>
    <w:rPr>
      <w:rFonts w:ascii="宋体" w:hAnsi="宋体" w:cs="宋体"/>
      <w:sz w:val="24"/>
      <w:szCs w:val="24"/>
    </w:rPr>
  </w:style>
  <w:style w:type="paragraph" w:styleId="1114">
    <w:name w:val="普通(网站)"/>
    <w:basedOn w:val="1053"/>
    <w:next w:val="1114"/>
    <w:link w:val="1053"/>
    <w:uiPriority w:val="99"/>
    <w:unhideWhenUsed/>
    <w:qFormat/>
    <w:pPr>
      <w:jc w:val="left"/>
      <w:spacing w:before="100" w:beforeAutospacing="1" w:after="100" w:afterAutospacing="1"/>
      <w:widowControl/>
    </w:pPr>
    <w:rPr>
      <w:rFonts w:ascii="宋体" w:hAnsi="宋体" w:cs="宋体"/>
      <w:sz w:val="24"/>
    </w:rPr>
  </w:style>
  <w:style w:type="paragraph" w:styleId="1115">
    <w:name w:val="索引 1"/>
    <w:basedOn w:val="1053"/>
    <w:next w:val="1053"/>
    <w:link w:val="1053"/>
    <w:qFormat/>
    <w:rPr>
      <w:szCs w:val="20"/>
    </w:rPr>
  </w:style>
  <w:style w:type="paragraph" w:styleId="1116">
    <w:name w:val="标题"/>
    <w:basedOn w:val="1053"/>
    <w:next w:val="1116"/>
    <w:link w:val="1117"/>
    <w:qFormat/>
    <w:pPr>
      <w:jc w:val="center"/>
      <w:outlineLvl w:val="0"/>
    </w:pPr>
    <w:rPr>
      <w:b/>
      <w:sz w:val="32"/>
      <w:szCs w:val="20"/>
    </w:rPr>
  </w:style>
  <w:style w:type="character" w:styleId="1117">
    <w:name w:val="标题 Char1"/>
    <w:next w:val="1117"/>
    <w:link w:val="1116"/>
    <w:qFormat/>
    <w:rPr>
      <w:b/>
      <w:sz w:val="32"/>
    </w:rPr>
  </w:style>
  <w:style w:type="paragraph" w:styleId="1118">
    <w:name w:val="批注主题"/>
    <w:basedOn w:val="1080"/>
    <w:next w:val="1080"/>
    <w:link w:val="1119"/>
    <w:qFormat/>
    <w:rPr>
      <w:b/>
      <w:bCs/>
    </w:rPr>
  </w:style>
  <w:style w:type="character" w:styleId="1119">
    <w:name w:val="批注主题 Char"/>
    <w:basedOn w:val="1120"/>
    <w:next w:val="1119"/>
    <w:link w:val="1118"/>
    <w:qFormat/>
    <w:rPr>
      <w:rFonts w:ascii="Times New Roman" w:hAnsi="Times New Roman" w:eastAsia="宋体" w:cs="Times New Roman"/>
      <w:b/>
      <w:bCs/>
      <w:sz w:val="21"/>
      <w:szCs w:val="24"/>
      <w:lang w:val="en-US" w:eastAsia="zh-CN" w:bidi="ar-SA"/>
    </w:rPr>
  </w:style>
  <w:style w:type="character" w:styleId="1120">
    <w:name w:val="批注文字 字符"/>
    <w:next w:val="1120"/>
    <w:link w:val="1053"/>
    <w:uiPriority w:val="99"/>
    <w:qFormat/>
    <w:rPr>
      <w:rFonts w:ascii="Times New Roman" w:hAnsi="Times New Roman" w:eastAsia="宋体" w:cs="Times New Roman"/>
      <w:sz w:val="24"/>
      <w:lang w:val="en-US" w:eastAsia="zh-CN" w:bidi="ar-SA"/>
    </w:rPr>
  </w:style>
  <w:style w:type="paragraph" w:styleId="1121">
    <w:name w:val="正文首行缩进 2"/>
    <w:basedOn w:val="1086"/>
    <w:next w:val="1121"/>
    <w:link w:val="1122"/>
    <w:qFormat/>
    <w:pPr>
      <w:ind w:left="420" w:firstLine="420"/>
      <w:spacing w:after="120" w:line="480" w:lineRule="exact"/>
    </w:pPr>
    <w:rPr>
      <w:szCs w:val="20"/>
    </w:rPr>
  </w:style>
  <w:style w:type="character" w:styleId="1122">
    <w:name w:val="正文首行缩进 2 Char"/>
    <w:basedOn w:val="1087"/>
    <w:next w:val="1122"/>
    <w:link w:val="1121"/>
    <w:qFormat/>
    <w:rPr>
      <w:rFonts w:eastAsia="宋体"/>
      <w:sz w:val="24"/>
      <w:szCs w:val="24"/>
      <w:lang w:val="en-US" w:eastAsia="zh-CN" w:bidi="ar-SA"/>
    </w:rPr>
  </w:style>
  <w:style w:type="table" w:styleId="1123">
    <w:name w:val="网格型"/>
    <w:basedOn w:val="1064"/>
    <w:next w:val="1123"/>
    <w:link w:val="1053"/>
    <w:uiPriority w:val="39"/>
    <w:qFormat/>
    <w:tblPr/>
  </w:style>
  <w:style w:type="table" w:styleId="1124">
    <w:name w:val="中等深浅网格 1 - 强调文字颜色 2"/>
    <w:basedOn w:val="1064"/>
    <w:next w:val="1124"/>
    <w:link w:val="1053"/>
    <w:qFormat/>
    <w:rPr>
      <w:sz w:val="21"/>
      <w:szCs w:val="24"/>
    </w:rPr>
    <w:tblPr/>
  </w:style>
  <w:style w:type="character" w:styleId="1125">
    <w:name w:val="要点"/>
    <w:next w:val="1125"/>
    <w:link w:val="1053"/>
    <w:qFormat/>
    <w:rPr>
      <w:b/>
      <w:bCs/>
    </w:rPr>
  </w:style>
  <w:style w:type="character" w:styleId="1126">
    <w:name w:val="页码"/>
    <w:basedOn w:val="1063"/>
    <w:next w:val="1126"/>
    <w:link w:val="1053"/>
    <w:qFormat/>
  </w:style>
  <w:style w:type="character" w:styleId="1127">
    <w:name w:val="已访问的超链接"/>
    <w:next w:val="1127"/>
    <w:link w:val="1053"/>
    <w:qFormat/>
    <w:rPr>
      <w:color w:val="800080"/>
      <w:u w:val="single"/>
    </w:rPr>
  </w:style>
  <w:style w:type="character" w:styleId="1128">
    <w:name w:val="强调"/>
    <w:next w:val="1128"/>
    <w:link w:val="1053"/>
    <w:qFormat/>
    <w:rPr>
      <w:color w:val="cc0033"/>
    </w:rPr>
  </w:style>
  <w:style w:type="character" w:styleId="1129">
    <w:name w:val="超链接"/>
    <w:next w:val="1129"/>
    <w:link w:val="1053"/>
    <w:uiPriority w:val="99"/>
    <w:qFormat/>
    <w:rPr>
      <w:color w:val="0000ff"/>
      <w:u w:val="single"/>
    </w:rPr>
  </w:style>
  <w:style w:type="character" w:styleId="1130">
    <w:name w:val="批注引用"/>
    <w:next w:val="1130"/>
    <w:link w:val="1053"/>
    <w:uiPriority w:val="99"/>
    <w:qFormat/>
    <w:rPr>
      <w:sz w:val="21"/>
      <w:szCs w:val="21"/>
    </w:rPr>
  </w:style>
  <w:style w:type="character" w:styleId="1131">
    <w:name w:val="HTML 引文"/>
    <w:next w:val="1131"/>
    <w:link w:val="1053"/>
    <w:qFormat/>
    <w:rPr>
      <w:i/>
      <w:iCs/>
    </w:rPr>
  </w:style>
  <w:style w:type="character" w:styleId="1132">
    <w:name w:val="c21"/>
    <w:next w:val="1132"/>
    <w:link w:val="1053"/>
    <w:qFormat/>
    <w:rPr>
      <w:rFonts w:ascii="ˎ̥" w:hAnsi="ˎ̥"/>
      <w:color w:val="000000"/>
      <w:sz w:val="20"/>
      <w:szCs w:val="20"/>
      <w:u w:val="none"/>
    </w:rPr>
  </w:style>
  <w:style w:type="character" w:styleId="1133">
    <w:name w:val="title4"/>
    <w:next w:val="1133"/>
    <w:link w:val="1053"/>
    <w:qFormat/>
    <w:rPr>
      <w:b/>
      <w:bCs/>
      <w:color w:val="1d87b3"/>
      <w:sz w:val="15"/>
      <w:szCs w:val="15"/>
    </w:rPr>
  </w:style>
  <w:style w:type="character" w:styleId="1134">
    <w:name w:val="标题 2 Char Char"/>
    <w:next w:val="1134"/>
    <w:link w:val="1053"/>
    <w:qFormat/>
    <w:rPr>
      <w:rFonts w:ascii="Arial" w:hAnsi="Arial" w:eastAsia="黑体"/>
      <w:b/>
      <w:bCs/>
      <w:sz w:val="32"/>
      <w:szCs w:val="32"/>
      <w:lang w:val="en-US" w:eastAsia="zh-CN" w:bidi="ar-SA"/>
    </w:rPr>
  </w:style>
  <w:style w:type="character" w:styleId="1135">
    <w:name w:val="black1"/>
    <w:next w:val="1135"/>
    <w:link w:val="1053"/>
    <w:qFormat/>
    <w:rPr>
      <w:color w:val="000000"/>
    </w:rPr>
  </w:style>
  <w:style w:type="character" w:styleId="1136">
    <w:name w:val="street-address"/>
    <w:basedOn w:val="1063"/>
    <w:next w:val="1136"/>
    <w:link w:val="1053"/>
    <w:qFormat/>
  </w:style>
  <w:style w:type="character" w:styleId="1137">
    <w:name w:val="locality"/>
    <w:basedOn w:val="1063"/>
    <w:next w:val="1137"/>
    <w:link w:val="1053"/>
    <w:qFormat/>
  </w:style>
  <w:style w:type="character" w:styleId="1138">
    <w:name w:val="正文文本缩进 Char1"/>
    <w:next w:val="1138"/>
    <w:link w:val="1139"/>
    <w:qFormat/>
    <w:rPr>
      <w:rFonts w:ascii="宋体" w:hAnsi="宋体" w:eastAsia="宋体"/>
      <w:sz w:val="24"/>
      <w:szCs w:val="24"/>
      <w:lang w:bidi="ar-SA"/>
    </w:rPr>
  </w:style>
  <w:style w:type="paragraph" w:styleId="1139">
    <w:name w:val="正文文本缩进1"/>
    <w:basedOn w:val="1053"/>
    <w:next w:val="1139"/>
    <w:link w:val="1138"/>
    <w:qFormat/>
    <w:pPr>
      <w:ind w:firstLine="480"/>
      <w:spacing w:line="480" w:lineRule="exact"/>
    </w:pPr>
    <w:rPr>
      <w:rFonts w:ascii="宋体" w:hAnsi="宋体"/>
      <w:sz w:val="24"/>
    </w:rPr>
  </w:style>
  <w:style w:type="character" w:styleId="1140">
    <w:name w:val="Char Char11"/>
    <w:next w:val="1140"/>
    <w:link w:val="1053"/>
    <w:qFormat/>
    <w:rPr>
      <w:rFonts w:ascii="宋体" w:eastAsia="宋体"/>
      <w:b/>
      <w:sz w:val="24"/>
      <w:u w:val="single"/>
      <w:lang w:val="en-US" w:eastAsia="zh-CN" w:bidi="ar-SA"/>
    </w:rPr>
  </w:style>
  <w:style w:type="character" w:styleId="1141">
    <w:name w:val="txt"/>
    <w:basedOn w:val="1063"/>
    <w:next w:val="1141"/>
    <w:link w:val="1053"/>
    <w:qFormat/>
  </w:style>
  <w:style w:type="character" w:styleId="1142">
    <w:name w:val="正文缩进 Char Char"/>
    <w:next w:val="1142"/>
    <w:link w:val="1143"/>
    <w:qFormat/>
    <w:rPr>
      <w:rFonts w:ascii="宋体" w:eastAsia="宋体"/>
      <w:color w:val="000000"/>
      <w:sz w:val="28"/>
      <w:lang w:bidi="ar-SA"/>
    </w:rPr>
  </w:style>
  <w:style w:type="paragraph" w:styleId="1143">
    <w:name w:val="正文缩进1"/>
    <w:basedOn w:val="1053"/>
    <w:next w:val="1143"/>
    <w:link w:val="1142"/>
    <w:qFormat/>
    <w:pPr>
      <w:ind w:firstLine="567"/>
      <w:spacing w:line="480" w:lineRule="exact"/>
      <w:widowControl/>
    </w:pPr>
    <w:rPr>
      <w:rFonts w:ascii="宋体"/>
      <w:color w:val="000000"/>
      <w:sz w:val="28"/>
      <w:szCs w:val="20"/>
    </w:rPr>
  </w:style>
  <w:style w:type="character" w:styleId="1144">
    <w:name w:val="普通文字1 Char1"/>
    <w:next w:val="1144"/>
    <w:link w:val="1053"/>
    <w:qFormat/>
    <w:rPr>
      <w:rFonts w:ascii="宋体" w:hAnsi="Courier New" w:eastAsia="宋体"/>
      <w:sz w:val="21"/>
      <w:lang w:val="en-US" w:eastAsia="zh-CN" w:bidi="ar-SA"/>
    </w:rPr>
  </w:style>
  <w:style w:type="character" w:styleId="1145">
    <w:name w:val="chanpin1"/>
    <w:next w:val="1145"/>
    <w:link w:val="1053"/>
    <w:qFormat/>
    <w:rPr>
      <w:rFonts w:ascii="ˎ̥" w:hAnsi="ˎ̥"/>
      <w:color w:val="000000"/>
      <w:sz w:val="20"/>
      <w:szCs w:val="20"/>
      <w:u w:val="none"/>
    </w:rPr>
  </w:style>
  <w:style w:type="character" w:styleId="1146">
    <w:name w:val="列出段落 Char1"/>
    <w:next w:val="1146"/>
    <w:link w:val="1147"/>
    <w:uiPriority w:val="34"/>
    <w:qFormat/>
    <w:rPr>
      <w:rFonts w:ascii="Calibri" w:hAnsi="Calibri" w:eastAsia="宋体"/>
      <w:sz w:val="21"/>
      <w:szCs w:val="22"/>
      <w:lang w:val="en-US" w:eastAsia="zh-CN" w:bidi="ar-SA"/>
    </w:rPr>
  </w:style>
  <w:style w:type="paragraph" w:styleId="1147">
    <w:name w:val="列出段落"/>
    <w:basedOn w:val="1053"/>
    <w:next w:val="1147"/>
    <w:link w:val="1146"/>
    <w:uiPriority w:val="34"/>
    <w:qFormat/>
    <w:pPr>
      <w:ind w:firstLine="420"/>
    </w:pPr>
    <w:rPr>
      <w:rFonts w:ascii="Calibri" w:hAnsi="Calibri"/>
      <w:szCs w:val="22"/>
    </w:rPr>
  </w:style>
  <w:style w:type="character" w:styleId="1148">
    <w:name w:val="标题 3 Char Char"/>
    <w:next w:val="1148"/>
    <w:link w:val="1053"/>
    <w:qFormat/>
    <w:rPr>
      <w:rFonts w:eastAsia="宋体"/>
      <w:b/>
      <w:bCs/>
      <w:sz w:val="32"/>
      <w:szCs w:val="32"/>
      <w:lang w:val="en-US" w:eastAsia="zh-CN" w:bidi="ar-SA"/>
    </w:rPr>
  </w:style>
  <w:style w:type="character" w:styleId="1149">
    <w:name w:val="段1 Char"/>
    <w:next w:val="1149"/>
    <w:link w:val="1053"/>
    <w:qFormat/>
    <w:rPr>
      <w:rFonts w:ascii="宋体" w:eastAsia="宋体"/>
      <w:sz w:val="24"/>
      <w:lang w:val="en-US" w:eastAsia="zh-CN" w:bidi="ar-SA"/>
    </w:rPr>
  </w:style>
  <w:style w:type="character" w:styleId="1150">
    <w:name w:val="chanpin拷贝"/>
    <w:basedOn w:val="1063"/>
    <w:next w:val="1150"/>
    <w:link w:val="1053"/>
    <w:qFormat/>
  </w:style>
  <w:style w:type="character" w:styleId="1151">
    <w:name w:val="纯文本 Char1"/>
    <w:next w:val="1151"/>
    <w:link w:val="1053"/>
    <w:qFormat/>
    <w:rPr>
      <w:rFonts w:ascii="宋体" w:hAnsi="Courier New" w:eastAsia="宋体"/>
      <w:sz w:val="21"/>
      <w:lang w:val="en-US" w:eastAsia="zh-CN" w:bidi="ar-SA"/>
    </w:rPr>
  </w:style>
  <w:style w:type="character" w:styleId="1152">
    <w:name w:val="apple-style-span"/>
    <w:next w:val="1152"/>
    <w:link w:val="1053"/>
    <w:qFormat/>
    <w:rPr>
      <w:rFonts w:cs="Times New Roman"/>
    </w:rPr>
  </w:style>
  <w:style w:type="paragraph" w:styleId="1153">
    <w:name w:val="二级条标题"/>
    <w:basedOn w:val="1154"/>
    <w:next w:val="1053"/>
    <w:link w:val="1053"/>
    <w:qFormat/>
    <w:pPr>
      <w:numPr>
        <w:ilvl w:val="0"/>
        <w:numId w:val="0"/>
      </w:numPr>
      <w:ind w:hanging="840"/>
      <w:tabs>
        <w:tab w:val="left" w:pos="360" w:leader="none"/>
        <w:tab w:val="left" w:pos="840" w:leader="none"/>
      </w:tabs>
      <w:outlineLvl w:val="2"/>
    </w:pPr>
    <w:rPr>
      <w:rFonts w:ascii="宋体" w:eastAsia="宋体"/>
      <w:b w:val="0"/>
    </w:rPr>
  </w:style>
  <w:style w:type="paragraph" w:styleId="1154">
    <w:name w:val="一级条标题"/>
    <w:basedOn w:val="1155"/>
    <w:next w:val="1053"/>
    <w:link w:val="1053"/>
    <w:qFormat/>
    <w:pPr>
      <w:numPr>
        <w:ilvl w:val="1"/>
      </w:numPr>
      <w:ind w:left="0" w:hanging="840"/>
      <w:tabs>
        <w:tab w:val="left" w:pos="360" w:leader="none"/>
        <w:tab w:val="left" w:pos="840" w:leader="none"/>
      </w:tabs>
      <w:outlineLvl w:val="1"/>
    </w:pPr>
  </w:style>
  <w:style w:type="paragraph" w:styleId="1155">
    <w:name w:val="章标题"/>
    <w:next w:val="1053"/>
    <w:link w:val="105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56">
    <w:name w:val="font7"/>
    <w:basedOn w:val="1053"/>
    <w:next w:val="1156"/>
    <w:link w:val="1053"/>
    <w:qFormat/>
    <w:pPr>
      <w:jc w:val="left"/>
      <w:spacing w:before="100" w:beforeAutospacing="1" w:after="100" w:afterAutospacing="1"/>
      <w:widowControl/>
    </w:pPr>
    <w:rPr>
      <w:rFonts w:eastAsia="Arial Unicode MS"/>
      <w:b/>
      <w:bCs/>
      <w:color w:val="000000"/>
      <w:sz w:val="20"/>
      <w:szCs w:val="20"/>
    </w:rPr>
  </w:style>
  <w:style w:type="paragraph" w:styleId="1157">
    <w:name w:val="字元 字元"/>
    <w:basedOn w:val="1053"/>
    <w:next w:val="1157"/>
    <w:link w:val="1053"/>
    <w:qFormat/>
    <w:rPr>
      <w:rFonts w:ascii="Tahoma" w:hAnsi="Tahoma"/>
      <w:sz w:val="24"/>
      <w:szCs w:val="20"/>
    </w:rPr>
  </w:style>
  <w:style w:type="paragraph" w:styleId="1158">
    <w:name w:val="Char3 Char Char Char"/>
    <w:basedOn w:val="1053"/>
    <w:next w:val="1158"/>
    <w:link w:val="1053"/>
    <w:qFormat/>
    <w:rPr>
      <w:rFonts w:ascii="Tahoma" w:hAnsi="Tahoma"/>
      <w:sz w:val="24"/>
      <w:szCs w:val="20"/>
    </w:rPr>
  </w:style>
  <w:style w:type="paragraph" w:styleId="1159">
    <w:name w:val="font6"/>
    <w:basedOn w:val="1053"/>
    <w:next w:val="1159"/>
    <w:link w:val="1053"/>
    <w:qFormat/>
    <w:pPr>
      <w:jc w:val="left"/>
      <w:spacing w:before="100" w:beforeAutospacing="1" w:after="100" w:afterAutospacing="1"/>
      <w:widowControl/>
    </w:pPr>
    <w:rPr>
      <w:rFonts w:ascii="宋体" w:hAnsi="宋体" w:cs="宋体"/>
      <w:sz w:val="20"/>
      <w:szCs w:val="20"/>
    </w:rPr>
  </w:style>
  <w:style w:type="paragraph" w:styleId="1160">
    <w:name w:val="项目编号2"/>
    <w:basedOn w:val="1161"/>
    <w:next w:val="1160"/>
    <w:link w:val="1053"/>
    <w:qFormat/>
    <w:pPr>
      <w:numPr>
        <w:numId w:val="3"/>
      </w:numPr>
    </w:pPr>
  </w:style>
  <w:style w:type="paragraph" w:styleId="1161">
    <w:name w:val="项目编号1"/>
    <w:basedOn w:val="1053"/>
    <w:next w:val="1161"/>
    <w:link w:val="1053"/>
    <w:qFormat/>
    <w:pPr>
      <w:numPr>
        <w:ilvl w:val="0"/>
        <w:numId w:val="2"/>
      </w:numPr>
      <w:spacing w:before="100" w:beforeAutospacing="1" w:after="100" w:afterAutospacing="1" w:line="360" w:lineRule="auto"/>
    </w:pPr>
    <w:rPr>
      <w:sz w:val="24"/>
    </w:rPr>
  </w:style>
  <w:style w:type="paragraph" w:styleId="1162">
    <w:name w:val="图中文字"/>
    <w:basedOn w:val="1053"/>
    <w:next w:val="1162"/>
    <w:link w:val="1053"/>
    <w:qFormat/>
    <w:pPr>
      <w:jc w:val="center"/>
      <w:spacing w:line="0" w:lineRule="atLeast"/>
    </w:pPr>
    <w:rPr>
      <w:sz w:val="24"/>
      <w:szCs w:val="20"/>
    </w:rPr>
  </w:style>
  <w:style w:type="paragraph" w:styleId="1163">
    <w:name w:val="xl46"/>
    <w:basedOn w:val="1053"/>
    <w:next w:val="1163"/>
    <w:link w:val="105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name w:val="xl25"/>
    <w:basedOn w:val="1053"/>
    <w:next w:val="1164"/>
    <w:link w:val="10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name w:val="Char2"/>
    <w:basedOn w:val="1053"/>
    <w:next w:val="1165"/>
    <w:link w:val="1053"/>
    <w:qFormat/>
    <w:rPr>
      <w:rFonts w:ascii="Tahoma" w:hAnsi="Tahoma"/>
      <w:sz w:val="24"/>
      <w:szCs w:val="20"/>
    </w:rPr>
  </w:style>
  <w:style w:type="paragraph" w:styleId="1166">
    <w:name w:val="xl35"/>
    <w:basedOn w:val="1053"/>
    <w:next w:val="1166"/>
    <w:link w:val="10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7">
    <w:name w:val="xl40"/>
    <w:basedOn w:val="1053"/>
    <w:next w:val="1167"/>
    <w:link w:val="10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52"/>
    <w:basedOn w:val="1053"/>
    <w:next w:val="1168"/>
    <w:link w:val="10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9">
    <w:name w:val="xl43"/>
    <w:basedOn w:val="1053"/>
    <w:next w:val="1169"/>
    <w:link w:val="10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0">
    <w:name w:val="background1"/>
    <w:basedOn w:val="1053"/>
    <w:next w:val="1170"/>
    <w:link w:val="1053"/>
    <w:qFormat/>
    <w:pPr>
      <w:jc w:val="left"/>
      <w:spacing w:before="100" w:beforeAutospacing="1" w:after="100" w:afterAutospacing="1"/>
      <w:widowControl/>
    </w:pPr>
    <w:rPr>
      <w:rFonts w:ascii="宋体" w:hAnsi="宋体" w:cs="宋体"/>
      <w:sz w:val="24"/>
    </w:rPr>
  </w:style>
  <w:style w:type="paragraph" w:styleId="1171">
    <w:name w:val="Char Char Char Char Char Char Char"/>
    <w:basedOn w:val="1053"/>
    <w:next w:val="1171"/>
    <w:link w:val="1053"/>
    <w:qFormat/>
    <w:pPr>
      <w:ind w:firstLine="200"/>
      <w:spacing w:line="360" w:lineRule="auto"/>
    </w:pPr>
    <w:rPr>
      <w:rFonts w:eastAsia="仿宋_GB2312"/>
      <w:sz w:val="24"/>
    </w:rPr>
  </w:style>
  <w:style w:type="paragraph" w:styleId="1172">
    <w:name w:val="xl38"/>
    <w:basedOn w:val="1053"/>
    <w:next w:val="1172"/>
    <w:link w:val="10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3">
    <w:name w:val="xl36"/>
    <w:basedOn w:val="1053"/>
    <w:next w:val="1173"/>
    <w:link w:val="105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4">
    <w:name w:val="正文 + 宋体"/>
    <w:basedOn w:val="1053"/>
    <w:next w:val="1174"/>
    <w:link w:val="1053"/>
    <w:qFormat/>
    <w:pPr>
      <w:ind w:left="360" w:hanging="360"/>
      <w:jc w:val="left"/>
      <w:widowControl/>
    </w:pPr>
    <w:rPr>
      <w:rFonts w:ascii="宋体" w:hAnsi="宋体" w:cs="宋体"/>
      <w:b/>
      <w:bCs/>
      <w:color w:val="000000"/>
      <w:sz w:val="18"/>
      <w:szCs w:val="18"/>
    </w:rPr>
  </w:style>
  <w:style w:type="paragraph" w:styleId="1175">
    <w:name w:val="正文列项_数字"/>
    <w:basedOn w:val="1053"/>
    <w:next w:val="1175"/>
    <w:link w:val="1053"/>
    <w:qFormat/>
    <w:pPr>
      <w:numPr>
        <w:ilvl w:val="7"/>
        <w:numId w:val="1"/>
      </w:numPr>
      <w:ind w:left="680" w:hanging="150"/>
      <w:spacing w:line="460" w:lineRule="exact"/>
      <w:tabs>
        <w:tab w:val="clear" w:pos="860" w:leader="none"/>
      </w:tabs>
      <w:outlineLvl w:val="7"/>
    </w:pPr>
    <w:rPr>
      <w:rFonts w:ascii="宋体"/>
      <w:sz w:val="28"/>
      <w:szCs w:val="20"/>
    </w:rPr>
  </w:style>
  <w:style w:type="paragraph" w:styleId="1176">
    <w:name w:val="xl39"/>
    <w:basedOn w:val="1053"/>
    <w:next w:val="1176"/>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37"/>
    <w:basedOn w:val="1053"/>
    <w:next w:val="1177"/>
    <w:link w:val="10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name w:val="xl32"/>
    <w:basedOn w:val="1053"/>
    <w:next w:val="1178"/>
    <w:link w:val="10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font8"/>
    <w:basedOn w:val="1053"/>
    <w:next w:val="1179"/>
    <w:link w:val="1053"/>
    <w:qFormat/>
    <w:pPr>
      <w:jc w:val="left"/>
      <w:spacing w:before="100" w:beforeAutospacing="1" w:after="100" w:afterAutospacing="1"/>
      <w:widowControl/>
    </w:pPr>
    <w:rPr>
      <w:sz w:val="36"/>
      <w:szCs w:val="36"/>
    </w:rPr>
  </w:style>
  <w:style w:type="paragraph" w:styleId="1180">
    <w:name w:val="Char"/>
    <w:basedOn w:val="1053"/>
    <w:next w:val="1180"/>
    <w:link w:val="1053"/>
    <w:qFormat/>
    <w:pPr>
      <w:tabs>
        <w:tab w:val="left" w:pos="360" w:leader="none"/>
      </w:tabs>
    </w:pPr>
    <w:rPr>
      <w:sz w:val="24"/>
    </w:rPr>
  </w:style>
  <w:style w:type="paragraph" w:styleId="1181">
    <w:name w:val="Char Char Char Char Char Char Char Char Char Char Char Char Char Char Char Char"/>
    <w:basedOn w:val="1053"/>
    <w:next w:val="1181"/>
    <w:link w:val="1053"/>
    <w:qFormat/>
    <w:pPr>
      <w:jc w:val="center"/>
      <w:spacing w:after="160" w:line="240" w:lineRule="exact"/>
      <w:widowControl/>
    </w:pPr>
    <w:rPr>
      <w:rFonts w:ascii="宋体" w:hAnsi="宋体"/>
      <w:b/>
      <w:sz w:val="30"/>
      <w:szCs w:val="30"/>
      <w:lang w:eastAsia="en-US"/>
    </w:rPr>
  </w:style>
  <w:style w:type="paragraph" w:styleId="1182">
    <w:name w:val="xl45"/>
    <w:basedOn w:val="1053"/>
    <w:next w:val="1182"/>
    <w:link w:val="10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Char Char1 Char Char Char Char Char Char"/>
    <w:basedOn w:val="1053"/>
    <w:next w:val="1183"/>
    <w:link w:val="1053"/>
    <w:qFormat/>
    <w:pPr>
      <w:jc w:val="left"/>
      <w:spacing w:after="160" w:line="240" w:lineRule="exact"/>
      <w:widowControl/>
    </w:pPr>
    <w:rPr>
      <w:rFonts w:ascii="Verdana" w:hAnsi="Verdana" w:eastAsia="仿宋_GB2312"/>
      <w:sz w:val="24"/>
      <w:szCs w:val="20"/>
      <w:lang w:eastAsia="en-US"/>
    </w:rPr>
  </w:style>
  <w:style w:type="paragraph" w:styleId="1184">
    <w:name w:val="Char Char1"/>
    <w:basedOn w:val="1078"/>
    <w:next w:val="1184"/>
    <w:link w:val="1053"/>
    <w:qFormat/>
    <w:rPr>
      <w:rFonts w:ascii="Tahoma" w:hAnsi="Tahoma"/>
      <w:sz w:val="24"/>
    </w:rPr>
  </w:style>
  <w:style w:type="paragraph" w:styleId="1185">
    <w:name w:val="xl26"/>
    <w:basedOn w:val="1053"/>
    <w:next w:val="1185"/>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6">
    <w:name w:val="xl30"/>
    <w:basedOn w:val="1053"/>
    <w:next w:val="1186"/>
    <w:link w:val="10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41"/>
    <w:basedOn w:val="1053"/>
    <w:next w:val="1187"/>
    <w:link w:val="105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样式 宋体 五号 行距: 单倍行距"/>
    <w:basedOn w:val="1053"/>
    <w:next w:val="1188"/>
    <w:link w:val="1053"/>
    <w:qFormat/>
    <w:pPr>
      <w:jc w:val="left"/>
    </w:pPr>
    <w:rPr>
      <w:rFonts w:ascii="宋体" w:hAnsi="宋体"/>
      <w:szCs w:val="20"/>
    </w:rPr>
  </w:style>
  <w:style w:type="paragraph" w:styleId="1189">
    <w:name w:val="Char1 Char Char Char1"/>
    <w:basedOn w:val="1053"/>
    <w:next w:val="1189"/>
    <w:link w:val="1053"/>
    <w:qFormat/>
    <w:rPr>
      <w:rFonts w:ascii="Tahoma" w:hAnsi="Tahoma" w:cs="仿宋_GB2312"/>
      <w:sz w:val="24"/>
      <w:szCs w:val="28"/>
    </w:rPr>
  </w:style>
  <w:style w:type="paragraph" w:styleId="1190">
    <w:name w:val="四级条标题"/>
    <w:basedOn w:val="1191"/>
    <w:next w:val="1053"/>
    <w:link w:val="1053"/>
    <w:qFormat/>
    <w:pPr>
      <w:numPr>
        <w:ilvl w:val="4"/>
      </w:numPr>
      <w:ind w:left="0" w:hanging="840"/>
      <w:tabs>
        <w:tab w:val="left" w:pos="360" w:leader="none"/>
        <w:tab w:val="left" w:pos="840" w:leader="none"/>
      </w:tabs>
      <w:outlineLvl w:val="4"/>
    </w:pPr>
  </w:style>
  <w:style w:type="paragraph" w:styleId="1191">
    <w:name w:val="三级条标题"/>
    <w:basedOn w:val="1153"/>
    <w:next w:val="1053"/>
    <w:link w:val="1053"/>
    <w:qFormat/>
    <w:pPr>
      <w:numPr>
        <w:ilvl w:val="3"/>
        <w:numId w:val="1"/>
      </w:numPr>
      <w:ind w:left="0" w:hanging="840"/>
      <w:tabs>
        <w:tab w:val="left" w:pos="360" w:leader="none"/>
        <w:tab w:val="left" w:pos="840" w:leader="none"/>
      </w:tabs>
      <w:outlineLvl w:val="3"/>
    </w:pPr>
  </w:style>
  <w:style w:type="paragraph" w:styleId="1192">
    <w:name w:val="??"/>
    <w:next w:val="1192"/>
    <w:link w:val="1053"/>
    <w:qFormat/>
    <w:pPr>
      <w:jc w:val="both"/>
      <w:widowControl w:val="off"/>
    </w:pPr>
    <w:rPr>
      <w:sz w:val="21"/>
      <w:lang w:val="en-US" w:eastAsia="en-US" w:bidi="ar-SA"/>
    </w:rPr>
  </w:style>
  <w:style w:type="paragraph" w:styleId="1193">
    <w:name w:val="样式 标题 2 + 宋体 五号 行距: 单倍行距"/>
    <w:basedOn w:val="1055"/>
    <w:next w:val="1193"/>
    <w:link w:val="105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94">
    <w:name w:val="List Paragraph1"/>
    <w:basedOn w:val="1053"/>
    <w:next w:val="1194"/>
    <w:link w:val="1053"/>
    <w:qFormat/>
    <w:pPr>
      <w:ind w:firstLine="420"/>
    </w:pPr>
    <w:rPr>
      <w:rFonts w:ascii="Calibri" w:hAnsi="Calibri"/>
      <w:szCs w:val="22"/>
    </w:rPr>
  </w:style>
  <w:style w:type="paragraph" w:styleId="1195">
    <w:name w:val="项目符号1"/>
    <w:basedOn w:val="1196"/>
    <w:next w:val="1195"/>
    <w:link w:val="1053"/>
    <w:qFormat/>
    <w:pPr>
      <w:ind w:left="-25" w:firstLine="0"/>
    </w:pPr>
  </w:style>
  <w:style w:type="paragraph" w:styleId="1196">
    <w:name w:val="正文文本样式"/>
    <w:basedOn w:val="1053"/>
    <w:next w:val="1196"/>
    <w:link w:val="1053"/>
    <w:qFormat/>
    <w:pPr>
      <w:ind w:firstLine="482"/>
      <w:spacing w:line="360" w:lineRule="auto"/>
    </w:pPr>
    <w:rPr>
      <w:rFonts w:cs="宋体"/>
      <w:sz w:val="24"/>
      <w:szCs w:val="20"/>
    </w:rPr>
  </w:style>
  <w:style w:type="paragraph" w:styleId="1197">
    <w:name w:val="xl27"/>
    <w:basedOn w:val="1053"/>
    <w:next w:val="1197"/>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8">
    <w:name w:val="font5"/>
    <w:basedOn w:val="1053"/>
    <w:next w:val="1198"/>
    <w:link w:val="1053"/>
    <w:qFormat/>
    <w:pPr>
      <w:jc w:val="left"/>
      <w:spacing w:before="100" w:beforeAutospacing="1" w:after="100" w:afterAutospacing="1"/>
      <w:widowControl/>
    </w:pPr>
    <w:rPr>
      <w:rFonts w:ascii="宋体" w:hAnsi="宋体" w:cs="宋体"/>
      <w:sz w:val="18"/>
      <w:szCs w:val="18"/>
    </w:rPr>
  </w:style>
  <w:style w:type="paragraph" w:styleId="1199">
    <w:name w:val="五级条标题"/>
    <w:basedOn w:val="1190"/>
    <w:next w:val="1053"/>
    <w:link w:val="1053"/>
    <w:qFormat/>
    <w:pPr>
      <w:numPr>
        <w:ilvl w:val="5"/>
      </w:numPr>
      <w:ind w:left="0" w:hanging="840"/>
      <w:tabs>
        <w:tab w:val="left" w:pos="360" w:leader="none"/>
        <w:tab w:val="left" w:pos="840" w:leader="none"/>
      </w:tabs>
      <w:outlineLvl w:val="5"/>
    </w:pPr>
  </w:style>
  <w:style w:type="paragraph" w:styleId="1200">
    <w:name w:val="xl49"/>
    <w:basedOn w:val="1053"/>
    <w:next w:val="1200"/>
    <w:link w:val="10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1">
    <w:name w:val="文档正文"/>
    <w:basedOn w:val="1053"/>
    <w:next w:val="1201"/>
    <w:link w:val="1053"/>
    <w:qFormat/>
    <w:pPr>
      <w:spacing w:before="120" w:after="120" w:line="180" w:lineRule="auto"/>
    </w:pPr>
    <w:rPr>
      <w:rFonts w:ascii="Arial" w:hAnsi="Arial"/>
      <w:szCs w:val="20"/>
    </w:rPr>
  </w:style>
  <w:style w:type="paragraph" w:styleId="1202">
    <w:name w:val="xl33"/>
    <w:basedOn w:val="1053"/>
    <w:next w:val="1202"/>
    <w:link w:val="10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3">
    <w:name w:val="xl42"/>
    <w:basedOn w:val="1053"/>
    <w:next w:val="1203"/>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4">
    <w:name w:val="Char Char Char1 Char"/>
    <w:basedOn w:val="1053"/>
    <w:next w:val="1204"/>
    <w:link w:val="1053"/>
    <w:qFormat/>
    <w:rPr>
      <w:rFonts w:ascii="Tahoma" w:hAnsi="Tahoma"/>
      <w:sz w:val="24"/>
      <w:szCs w:val="20"/>
    </w:rPr>
  </w:style>
  <w:style w:type="paragraph" w:styleId="1205">
    <w:name w:val="xl44"/>
    <w:basedOn w:val="1053"/>
    <w:next w:val="1205"/>
    <w:link w:val="10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6">
    <w:name w:val="1名"/>
    <w:basedOn w:val="1053"/>
    <w:next w:val="1206"/>
    <w:link w:val="1053"/>
    <w:qFormat/>
    <w:pPr>
      <w:numPr>
        <w:ilvl w:val="0"/>
        <w:numId w:val="5"/>
      </w:numPr>
      <w:spacing w:before="120"/>
      <w:tabs>
        <w:tab w:val="left" w:pos="360" w:leader="none"/>
      </w:tabs>
    </w:pPr>
    <w:rPr>
      <w:rFonts w:ascii="宋体"/>
      <w:sz w:val="28"/>
      <w:szCs w:val="20"/>
    </w:rPr>
  </w:style>
  <w:style w:type="paragraph" w:styleId="1207">
    <w:name w:val="font9"/>
    <w:basedOn w:val="1053"/>
    <w:next w:val="1207"/>
    <w:link w:val="1053"/>
    <w:qFormat/>
    <w:pPr>
      <w:jc w:val="left"/>
      <w:spacing w:before="100" w:beforeAutospacing="1" w:after="100" w:afterAutospacing="1"/>
      <w:widowControl/>
    </w:pPr>
    <w:rPr>
      <w:rFonts w:hint="eastAsia" w:ascii="宋体" w:hAnsi="宋体" w:cs="Arial Unicode MS"/>
      <w:color w:val="000000"/>
      <w:sz w:val="20"/>
      <w:szCs w:val="20"/>
    </w:rPr>
  </w:style>
  <w:style w:type="paragraph" w:styleId="1208">
    <w:name w:val="Char Char Char1 Char1"/>
    <w:basedOn w:val="1053"/>
    <w:next w:val="1208"/>
    <w:link w:val="1053"/>
    <w:qFormat/>
    <w:rPr>
      <w:rFonts w:ascii="Tahoma" w:hAnsi="Tahoma"/>
      <w:sz w:val="24"/>
      <w:szCs w:val="20"/>
    </w:rPr>
  </w:style>
  <w:style w:type="paragraph" w:styleId="1209">
    <w:name w:val="Char Char Char Char Char Char Char Char Char Char"/>
    <w:basedOn w:val="1053"/>
    <w:next w:val="1209"/>
    <w:link w:val="1053"/>
    <w:qFormat/>
  </w:style>
  <w:style w:type="paragraph" w:styleId="1210">
    <w:name w:val="Char Char1 Char Char Char Char Char Char Char Char"/>
    <w:basedOn w:val="1053"/>
    <w:next w:val="1210"/>
    <w:link w:val="1053"/>
    <w:qFormat/>
    <w:pPr>
      <w:jc w:val="left"/>
      <w:spacing w:after="160" w:line="240" w:lineRule="exact"/>
      <w:widowControl/>
    </w:pPr>
    <w:rPr>
      <w:rFonts w:ascii="Verdana" w:hAnsi="Verdana"/>
      <w:sz w:val="20"/>
      <w:szCs w:val="20"/>
      <w:lang w:eastAsia="en-US"/>
    </w:rPr>
  </w:style>
  <w:style w:type="paragraph" w:styleId="1211">
    <w:name w:val="Char1"/>
    <w:basedOn w:val="1053"/>
    <w:next w:val="1211"/>
    <w:link w:val="1053"/>
    <w:qFormat/>
    <w:pPr>
      <w:tabs>
        <w:tab w:val="left" w:pos="360" w:leader="none"/>
      </w:tabs>
    </w:pPr>
    <w:rPr>
      <w:sz w:val="24"/>
    </w:rPr>
  </w:style>
  <w:style w:type="paragraph" w:styleId="1212">
    <w:name w:val="正文列项_字母"/>
    <w:basedOn w:val="1053"/>
    <w:next w:val="1212"/>
    <w:link w:val="1053"/>
    <w:qFormat/>
    <w:pPr>
      <w:numPr>
        <w:ilvl w:val="6"/>
        <w:numId w:val="1"/>
      </w:numPr>
      <w:ind w:left="480" w:hanging="180"/>
      <w:spacing w:line="460" w:lineRule="exact"/>
      <w:tabs>
        <w:tab w:val="clear" w:pos="635" w:leader="none"/>
      </w:tabs>
      <w:outlineLvl w:val="6"/>
    </w:pPr>
    <w:rPr>
      <w:rFonts w:ascii="宋体"/>
      <w:sz w:val="28"/>
      <w:szCs w:val="20"/>
    </w:rPr>
  </w:style>
  <w:style w:type="paragraph" w:styleId="1213">
    <w:name w:val="xl28"/>
    <w:basedOn w:val="1053"/>
    <w:next w:val="1213"/>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xl47"/>
    <w:basedOn w:val="1053"/>
    <w:next w:val="1214"/>
    <w:link w:val="10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name w:val="默认段落字体 Para Char Char Char Char"/>
    <w:basedOn w:val="1053"/>
    <w:next w:val="1215"/>
    <w:link w:val="1053"/>
    <w:qFormat/>
    <w:rPr>
      <w:rFonts w:ascii="Arial" w:hAnsi="Arial" w:cs="Arial"/>
      <w:szCs w:val="21"/>
    </w:rPr>
  </w:style>
  <w:style w:type="paragraph" w:styleId="1216">
    <w:name w:val="xl48"/>
    <w:basedOn w:val="1053"/>
    <w:next w:val="1216"/>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7">
    <w:name w:val="xl31"/>
    <w:basedOn w:val="1053"/>
    <w:next w:val="1217"/>
    <w:link w:val="10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xl53"/>
    <w:basedOn w:val="1053"/>
    <w:next w:val="1218"/>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name w:val="Char Char Char"/>
    <w:basedOn w:val="1053"/>
    <w:next w:val="1219"/>
    <w:link w:val="1053"/>
    <w:qFormat/>
    <w:rPr>
      <w:rFonts w:ascii="Tahoma" w:hAnsi="Tahoma"/>
      <w:sz w:val="24"/>
      <w:szCs w:val="20"/>
    </w:rPr>
  </w:style>
  <w:style w:type="paragraph" w:styleId="1220">
    <w:name w:val="xl50"/>
    <w:basedOn w:val="1053"/>
    <w:next w:val="1220"/>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1">
    <w:name w:val="缺省文本"/>
    <w:basedOn w:val="1053"/>
    <w:next w:val="1221"/>
    <w:link w:val="1053"/>
    <w:qFormat/>
    <w:pPr>
      <w:jc w:val="left"/>
    </w:pPr>
    <w:rPr>
      <w:sz w:val="24"/>
    </w:rPr>
  </w:style>
  <w:style w:type="paragraph" w:styleId="1222">
    <w:name w:val="Char Char Char1"/>
    <w:basedOn w:val="1053"/>
    <w:next w:val="1222"/>
    <w:link w:val="1053"/>
    <w:qFormat/>
    <w:rPr>
      <w:rFonts w:ascii="Tahoma" w:hAnsi="Tahoma"/>
      <w:sz w:val="24"/>
      <w:szCs w:val="20"/>
    </w:rPr>
  </w:style>
  <w:style w:type="paragraph" w:styleId="1223">
    <w:name w:val="Char Char Char Char Char Char Char1"/>
    <w:basedOn w:val="1053"/>
    <w:next w:val="1223"/>
    <w:link w:val="1053"/>
    <w:qFormat/>
    <w:pPr>
      <w:ind w:firstLine="200"/>
      <w:spacing w:line="360" w:lineRule="auto"/>
    </w:pPr>
    <w:rPr>
      <w:rFonts w:eastAsia="仿宋_GB2312"/>
      <w:sz w:val="24"/>
    </w:rPr>
  </w:style>
  <w:style w:type="paragraph" w:styleId="1224">
    <w:name w:val="xl51"/>
    <w:basedOn w:val="1053"/>
    <w:next w:val="1224"/>
    <w:link w:val="10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name w:val="样式2"/>
    <w:basedOn w:val="1115"/>
    <w:next w:val="1225"/>
    <w:link w:val="1053"/>
    <w:qFormat/>
    <w:pPr>
      <w:jc w:val="center"/>
      <w:spacing w:line="360" w:lineRule="auto"/>
    </w:pPr>
    <w:rPr>
      <w:sz w:val="24"/>
    </w:rPr>
  </w:style>
  <w:style w:type="paragraph" w:styleId="1226">
    <w:name w:val="xl24"/>
    <w:basedOn w:val="1053"/>
    <w:next w:val="1226"/>
    <w:link w:val="10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name w:val="xl29"/>
    <w:basedOn w:val="1053"/>
    <w:next w:val="1227"/>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8">
    <w:name w:val="正文 + 楷体_GB2312"/>
    <w:basedOn w:val="1053"/>
    <w:next w:val="1228"/>
    <w:link w:val="1053"/>
    <w:qFormat/>
    <w:pPr>
      <w:jc w:val="left"/>
      <w:widowControl/>
    </w:pPr>
    <w:rPr>
      <w:rFonts w:ascii="楷体_GB2312" w:eastAsia="楷体_GB2312" w:cs="Arial"/>
      <w:sz w:val="24"/>
    </w:rPr>
  </w:style>
  <w:style w:type="paragraph" w:styleId="1229">
    <w:name w:val="xl34"/>
    <w:basedOn w:val="1053"/>
    <w:next w:val="1229"/>
    <w:link w:val="10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0">
    <w:name w:val="1 Char Char Char Char"/>
    <w:basedOn w:val="1053"/>
    <w:next w:val="1230"/>
    <w:link w:val="1053"/>
    <w:qFormat/>
    <w:rPr>
      <w:rFonts w:ascii="Tahoma" w:hAnsi="Tahoma"/>
      <w:sz w:val="24"/>
      <w:szCs w:val="20"/>
    </w:rPr>
  </w:style>
  <w:style w:type="paragraph" w:styleId="1231">
    <w:name w:val="Default"/>
    <w:next w:val="1231"/>
    <w:link w:val="1053"/>
    <w:qFormat/>
    <w:pPr>
      <w:widowControl w:val="off"/>
    </w:pPr>
    <w:rPr>
      <w:rFonts w:ascii="Symbol" w:hAnsi="Symbol" w:cs="Symbol"/>
      <w:color w:val="000000"/>
      <w:sz w:val="24"/>
      <w:szCs w:val="24"/>
      <w:lang w:val="en-US" w:eastAsia="zh-CN" w:bidi="ar-SA"/>
    </w:rPr>
  </w:style>
  <w:style w:type="paragraph" w:styleId="1232">
    <w:name w:val="列出段落1"/>
    <w:basedOn w:val="1053"/>
    <w:next w:val="1232"/>
    <w:link w:val="1053"/>
    <w:qFormat/>
    <w:pPr>
      <w:ind w:firstLine="420"/>
    </w:pPr>
    <w:rPr>
      <w:rFonts w:ascii="Calibri" w:hAnsi="Calibri"/>
      <w:szCs w:val="22"/>
    </w:rPr>
  </w:style>
  <w:style w:type="paragraph" w:styleId="1233">
    <w:name w:val="default"/>
    <w:basedOn w:val="1053"/>
    <w:next w:val="1233"/>
    <w:link w:val="1053"/>
    <w:qFormat/>
    <w:pPr>
      <w:jc w:val="left"/>
      <w:spacing w:before="100" w:beforeAutospacing="1" w:after="100" w:afterAutospacing="1"/>
      <w:widowControl/>
    </w:pPr>
    <w:rPr>
      <w:rFonts w:ascii="宋体" w:hAnsi="宋体" w:cs="宋体"/>
      <w:sz w:val="24"/>
    </w:rPr>
  </w:style>
  <w:style w:type="paragraph" w:styleId="1234">
    <w:name w:val="字元 字元1"/>
    <w:basedOn w:val="1053"/>
    <w:next w:val="1234"/>
    <w:link w:val="1053"/>
    <w:qFormat/>
    <w:rPr>
      <w:rFonts w:ascii="Tahoma" w:hAnsi="Tahoma"/>
      <w:sz w:val="24"/>
      <w:szCs w:val="20"/>
    </w:rPr>
  </w:style>
  <w:style w:type="paragraph" w:styleId="1235">
    <w:name w:val="_Style 160"/>
    <w:next w:val="1235"/>
    <w:link w:val="1053"/>
    <w:qFormat/>
    <w:rPr>
      <w:sz w:val="21"/>
      <w:szCs w:val="24"/>
      <w:lang w:val="en-US" w:eastAsia="zh-CN" w:bidi="ar-SA"/>
    </w:rPr>
  </w:style>
  <w:style w:type="paragraph" w:styleId="1236">
    <w:name w:val="项目编号3"/>
    <w:basedOn w:val="1196"/>
    <w:next w:val="1236"/>
    <w:link w:val="1053"/>
    <w:qFormat/>
    <w:pPr>
      <w:numPr>
        <w:ilvl w:val="0"/>
        <w:numId w:val="6"/>
      </w:numPr>
    </w:pPr>
  </w:style>
  <w:style w:type="paragraph" w:styleId="1237">
    <w:name w:val="Char21"/>
    <w:basedOn w:val="1053"/>
    <w:next w:val="1237"/>
    <w:link w:val="1053"/>
    <w:qFormat/>
    <w:rPr>
      <w:rFonts w:ascii="Tahoma" w:hAnsi="Tahoma"/>
      <w:sz w:val="24"/>
      <w:szCs w:val="20"/>
    </w:rPr>
  </w:style>
  <w:style w:type="paragraph" w:styleId="1238">
    <w:name w:val="表格文字"/>
    <w:basedOn w:val="1086"/>
    <w:next w:val="1238"/>
    <w:link w:val="1053"/>
    <w:qFormat/>
    <w:pPr>
      <w:ind w:firstLine="0"/>
      <w:spacing w:before="20" w:after="20" w:line="240" w:lineRule="auto"/>
    </w:pPr>
    <w:rPr>
      <w:rFonts w:ascii="Century Gothic" w:hAnsi="Century Gothic"/>
      <w:sz w:val="20"/>
      <w:szCs w:val="20"/>
    </w:rPr>
  </w:style>
  <w:style w:type="paragraph" w:styleId="1239">
    <w:name w:val="Char Char Char Char Char Char Char Char Char Char1"/>
    <w:basedOn w:val="1053"/>
    <w:next w:val="1239"/>
    <w:link w:val="1053"/>
    <w:qFormat/>
    <w:rPr>
      <w:rFonts w:ascii="宋体" w:hAnsi="宋体" w:cs="Courier New"/>
      <w:sz w:val="32"/>
      <w:szCs w:val="32"/>
    </w:rPr>
  </w:style>
  <w:style w:type="paragraph" w:styleId="1240">
    <w:name w:val="正文文本样式 加粗"/>
    <w:basedOn w:val="1196"/>
    <w:next w:val="1240"/>
    <w:link w:val="1053"/>
    <w:qFormat/>
    <w:rPr>
      <w:b/>
    </w:rPr>
  </w:style>
  <w:style w:type="paragraph" w:styleId="1241">
    <w:name w:val="Char2 Char Char Char Char Char Char"/>
    <w:basedOn w:val="1053"/>
    <w:next w:val="1241"/>
    <w:link w:val="1053"/>
    <w:qFormat/>
    <w:pPr>
      <w:jc w:val="center"/>
      <w:spacing w:line="400" w:lineRule="exact"/>
      <w:widowControl/>
    </w:pPr>
  </w:style>
  <w:style w:type="paragraph" w:styleId="1242">
    <w:name w:val="Char Char4"/>
    <w:basedOn w:val="1053"/>
    <w:next w:val="1242"/>
    <w:link w:val="1053"/>
    <w:qFormat/>
    <w:pPr>
      <w:jc w:val="center"/>
      <w:spacing w:line="400" w:lineRule="exact"/>
      <w:widowControl/>
    </w:pPr>
  </w:style>
  <w:style w:type="paragraph" w:styleId="1243">
    <w:name w:val="Char3 Char Char Char1"/>
    <w:basedOn w:val="1053"/>
    <w:next w:val="1243"/>
    <w:link w:val="1053"/>
    <w:qFormat/>
    <w:rPr>
      <w:rFonts w:ascii="Tahoma" w:hAnsi="Tahoma"/>
      <w:sz w:val="24"/>
      <w:szCs w:val="20"/>
    </w:rPr>
  </w:style>
  <w:style w:type="paragraph" w:styleId="1244">
    <w:name w:val="无间隔"/>
    <w:next w:val="1244"/>
    <w:link w:val="1053"/>
    <w:qFormat/>
    <w:pPr>
      <w:jc w:val="both"/>
      <w:widowControl w:val="off"/>
    </w:pPr>
    <w:rPr>
      <w:sz w:val="21"/>
      <w:szCs w:val="24"/>
      <w:lang w:val="en-US" w:eastAsia="zh-CN" w:bidi="ar-SA"/>
    </w:rPr>
  </w:style>
  <w:style w:type="paragraph" w:styleId="1245">
    <w:name w:val="22222222222222"/>
    <w:basedOn w:val="1053"/>
    <w:next w:val="1245"/>
    <w:link w:val="1053"/>
    <w:qFormat/>
    <w:pPr>
      <w:ind w:firstLine="480"/>
      <w:jc w:val="left"/>
      <w:spacing w:line="360" w:lineRule="auto"/>
      <w:widowControl/>
    </w:pPr>
    <w:rPr>
      <w:color w:val="ff0000"/>
      <w:sz w:val="24"/>
      <w:szCs w:val="20"/>
    </w:rPr>
  </w:style>
  <w:style w:type="character" w:styleId="1246">
    <w:name w:val="中等深浅网格 1 - 强调文字颜色 2 Char"/>
    <w:next w:val="1246"/>
    <w:link w:val="1247"/>
    <w:qFormat/>
    <w:rPr>
      <w:sz w:val="21"/>
      <w:szCs w:val="24"/>
      <w:lang w:val="zh-CN" w:eastAsia="zh-CN" w:bidi="ar-SA"/>
    </w:rPr>
  </w:style>
  <w:style w:type="paragraph" w:styleId="1247">
    <w:name w:val="1"/>
    <w:next w:val="1247"/>
    <w:link w:val="1246"/>
    <w:qFormat/>
    <w:rPr>
      <w:sz w:val="21"/>
      <w:szCs w:val="24"/>
      <w:lang w:val="zh-CN" w:eastAsia="zh-CN" w:bidi="ar-SA"/>
    </w:rPr>
  </w:style>
  <w:style w:type="paragraph" w:styleId="1248">
    <w:name w:val="图文"/>
    <w:basedOn w:val="1053"/>
    <w:next w:val="1248"/>
    <w:link w:val="1053"/>
    <w:qFormat/>
    <w:pPr>
      <w:spacing w:after="50" w:line="360" w:lineRule="auto"/>
    </w:pPr>
    <w:rPr>
      <w:sz w:val="24"/>
    </w:rPr>
  </w:style>
  <w:style w:type="paragraph" w:styleId="1249">
    <w:name w:val="xl23"/>
    <w:basedOn w:val="1053"/>
    <w:next w:val="1249"/>
    <w:link w:val="1053"/>
    <w:qFormat/>
    <w:pPr>
      <w:spacing w:before="100" w:beforeAutospacing="1" w:after="100" w:afterAutospacing="1" w:line="360" w:lineRule="auto"/>
      <w:widowControl/>
    </w:pPr>
    <w:rPr>
      <w:sz w:val="24"/>
      <w:szCs w:val="20"/>
    </w:rPr>
  </w:style>
  <w:style w:type="paragraph" w:styleId="1250">
    <w:name w:val="正文表格"/>
    <w:basedOn w:val="1053"/>
    <w:next w:val="1250"/>
    <w:link w:val="1251"/>
    <w:qFormat/>
    <w:pPr>
      <w:jc w:val="left"/>
    </w:pPr>
    <w:rPr>
      <w:rFonts w:ascii="宋体" w:hAnsi="宋体"/>
      <w:color w:val="000000"/>
      <w:szCs w:val="21"/>
    </w:rPr>
  </w:style>
  <w:style w:type="character" w:styleId="1251">
    <w:name w:val="正文表格 Char"/>
    <w:next w:val="1251"/>
    <w:link w:val="1250"/>
    <w:qFormat/>
    <w:rPr>
      <w:rFonts w:ascii="宋体" w:hAnsi="宋体"/>
      <w:color w:val="000000"/>
      <w:sz w:val="21"/>
      <w:szCs w:val="21"/>
    </w:rPr>
  </w:style>
  <w:style w:type="paragraph" w:styleId="1252">
    <w:name w:val="正文重点"/>
    <w:basedOn w:val="1053"/>
    <w:next w:val="1252"/>
    <w:link w:val="1253"/>
    <w:qFormat/>
    <w:pPr>
      <w:ind w:firstLine="482"/>
      <w:jc w:val="left"/>
      <w:spacing w:line="360" w:lineRule="auto"/>
    </w:pPr>
    <w:rPr>
      <w:b/>
      <w:sz w:val="24"/>
      <w:szCs w:val="20"/>
    </w:rPr>
  </w:style>
  <w:style w:type="character" w:styleId="1253">
    <w:name w:val="正文重点 Char"/>
    <w:next w:val="1253"/>
    <w:link w:val="1252"/>
    <w:qFormat/>
    <w:rPr>
      <w:b/>
      <w:sz w:val="24"/>
    </w:rPr>
  </w:style>
  <w:style w:type="paragraph" w:styleId="1254">
    <w:name w:val="标题1-附件"/>
    <w:basedOn w:val="1054"/>
    <w:next w:val="1254"/>
    <w:link w:val="1053"/>
    <w:qFormat/>
    <w:pPr>
      <w:jc w:val="left"/>
    </w:pPr>
    <w:rPr>
      <w:sz w:val="24"/>
      <w:szCs w:val="24"/>
    </w:rPr>
  </w:style>
  <w:style w:type="paragraph" w:styleId="1255">
    <w:name w:val="正文小标题"/>
    <w:basedOn w:val="1053"/>
    <w:next w:val="1067"/>
    <w:link w:val="1256"/>
    <w:qFormat/>
    <w:pPr>
      <w:ind w:firstLine="482"/>
      <w:jc w:val="left"/>
      <w:spacing w:before="312" w:after="312"/>
    </w:pPr>
    <w:rPr>
      <w:rFonts w:ascii="宋体" w:hAnsi="宋体"/>
      <w:b/>
      <w:i/>
      <w:color w:val="ff0000"/>
      <w:sz w:val="24"/>
      <w:szCs w:val="20"/>
    </w:rPr>
  </w:style>
  <w:style w:type="character" w:styleId="1256">
    <w:name w:val="正文小标题 Char"/>
    <w:next w:val="1256"/>
    <w:link w:val="1255"/>
    <w:qFormat/>
    <w:rPr>
      <w:rFonts w:ascii="宋体" w:hAnsi="宋体"/>
      <w:b/>
      <w:i/>
      <w:color w:val="ff0000"/>
      <w:sz w:val="24"/>
    </w:rPr>
  </w:style>
  <w:style w:type="paragraph" w:styleId="1257">
    <w:name w:val="正文大标题"/>
    <w:basedOn w:val="1255"/>
    <w:next w:val="1067"/>
    <w:link w:val="1258"/>
    <w:qFormat/>
    <w:pPr>
      <w:jc w:val="center"/>
    </w:pPr>
    <w:rPr>
      <w:i w:val="0"/>
      <w:color w:val="000000"/>
      <w:sz w:val="28"/>
      <w:szCs w:val="21"/>
    </w:rPr>
  </w:style>
  <w:style w:type="character" w:styleId="1258">
    <w:name w:val="正文大标题 Char"/>
    <w:next w:val="1258"/>
    <w:link w:val="1257"/>
    <w:qFormat/>
    <w:rPr>
      <w:rFonts w:ascii="宋体" w:hAnsi="宋体"/>
      <w:b/>
      <w:color w:val="000000"/>
      <w:sz w:val="28"/>
      <w:szCs w:val="21"/>
    </w:rPr>
  </w:style>
  <w:style w:type="paragraph" w:styleId="1259">
    <w:name w:val="注释"/>
    <w:basedOn w:val="1053"/>
    <w:next w:val="1259"/>
    <w:link w:val="1260"/>
    <w:qFormat/>
    <w:pPr>
      <w:ind w:left="420" w:hanging="420"/>
      <w:jc w:val="left"/>
    </w:pPr>
    <w:rPr>
      <w:rFonts w:ascii="宋体" w:hAnsi="宋体"/>
      <w:szCs w:val="21"/>
    </w:rPr>
  </w:style>
  <w:style w:type="character" w:styleId="1260">
    <w:name w:val="注释 Char"/>
    <w:next w:val="1260"/>
    <w:link w:val="1259"/>
    <w:qFormat/>
    <w:rPr>
      <w:rFonts w:ascii="宋体" w:hAnsi="宋体"/>
      <w:sz w:val="21"/>
      <w:szCs w:val="21"/>
    </w:rPr>
  </w:style>
  <w:style w:type="paragraph" w:styleId="1261">
    <w:name w:val="正文须知-1级"/>
    <w:basedOn w:val="1053"/>
    <w:next w:val="1053"/>
    <w:link w:val="1053"/>
    <w:qFormat/>
    <w:pPr>
      <w:numPr>
        <w:ilvl w:val="0"/>
        <w:numId w:val="7"/>
      </w:numPr>
      <w:spacing w:line="300" w:lineRule="auto"/>
    </w:pPr>
    <w:rPr>
      <w:rFonts w:ascii="宋体" w:hAnsi="Calibri"/>
      <w:sz w:val="24"/>
      <w:szCs w:val="21"/>
    </w:rPr>
  </w:style>
  <w:style w:type="paragraph" w:styleId="1262">
    <w:name w:val="正文须知-2级"/>
    <w:basedOn w:val="1053"/>
    <w:next w:val="1262"/>
    <w:link w:val="1053"/>
    <w:qFormat/>
    <w:pPr>
      <w:numPr>
        <w:ilvl w:val="1"/>
        <w:numId w:val="7"/>
      </w:numPr>
      <w:spacing w:line="300" w:lineRule="auto"/>
    </w:pPr>
    <w:rPr>
      <w:rFonts w:ascii="宋体" w:hAnsi="Calibri"/>
      <w:sz w:val="24"/>
      <w:szCs w:val="21"/>
    </w:rPr>
  </w:style>
  <w:style w:type="paragraph" w:styleId="1263">
    <w:name w:val="正文须知-3级"/>
    <w:basedOn w:val="1053"/>
    <w:next w:val="1263"/>
    <w:link w:val="1053"/>
    <w:qFormat/>
    <w:pPr>
      <w:numPr>
        <w:ilvl w:val="2"/>
        <w:numId w:val="7"/>
      </w:numPr>
      <w:ind w:hanging="355"/>
      <w:spacing w:line="300" w:lineRule="auto"/>
    </w:pPr>
    <w:rPr>
      <w:rFonts w:ascii="宋体" w:hAnsi="Calibri"/>
      <w:sz w:val="24"/>
      <w:szCs w:val="21"/>
    </w:rPr>
  </w:style>
  <w:style w:type="character" w:styleId="1264">
    <w:name w:val="纯文本 字符"/>
    <w:next w:val="1264"/>
    <w:link w:val="1053"/>
    <w:uiPriority w:val="99"/>
    <w:qFormat/>
    <w:rPr>
      <w:rFonts w:ascii="宋体" w:hAnsi="Courier New" w:eastAsia="宋体" w:cs="Times New Roman"/>
      <w:sz w:val="21"/>
      <w:szCs w:val="21"/>
      <w:lang w:val="en-US" w:eastAsia="zh-CN" w:bidi="ar-SA"/>
    </w:rPr>
  </w:style>
  <w:style w:type="paragraph" w:styleId="1265">
    <w:name w:val="表格1"/>
    <w:basedOn w:val="1053"/>
    <w:next w:val="1265"/>
    <w:link w:val="1053"/>
    <w:qFormat/>
    <w:pPr>
      <w:ind w:firstLine="480"/>
      <w:jc w:val="center"/>
    </w:pPr>
    <w:rPr>
      <w:sz w:val="24"/>
      <w:szCs w:val="20"/>
    </w:rPr>
  </w:style>
  <w:style w:type="character" w:styleId="1266">
    <w:name w:val="纯文本 字符1"/>
    <w:next w:val="1266"/>
    <w:link w:val="1053"/>
    <w:qFormat/>
    <w:rPr>
      <w:rFonts w:ascii="宋体" w:hAnsi="Courier New"/>
    </w:rPr>
  </w:style>
  <w:style w:type="character" w:styleId="1267">
    <w:name w:val="bjh-p"/>
    <w:next w:val="1267"/>
    <w:link w:val="1053"/>
    <w:qFormat/>
  </w:style>
  <w:style w:type="paragraph" w:styleId="1268">
    <w:name w:val="无标题条"/>
    <w:next w:val="1053"/>
    <w:link w:val="1053"/>
    <w:qFormat/>
    <w:pPr>
      <w:jc w:val="both"/>
    </w:pPr>
    <w:rPr>
      <w:sz w:val="21"/>
      <w:lang w:val="en-US" w:eastAsia="zh-CN" w:bidi="ar-SA"/>
    </w:rPr>
  </w:style>
  <w:style w:type="character" w:styleId="1269">
    <w:name w:val="正文格式 Char"/>
    <w:next w:val="1269"/>
    <w:link w:val="1270"/>
    <w:qFormat/>
    <w:rPr>
      <w:rFonts w:ascii="宋体" w:hAnsi="宋体"/>
      <w:sz w:val="24"/>
      <w:szCs w:val="24"/>
      <w:lang w:val="en-GB"/>
    </w:rPr>
  </w:style>
  <w:style w:type="paragraph" w:styleId="1270">
    <w:name w:val="正文格式"/>
    <w:basedOn w:val="1053"/>
    <w:next w:val="1270"/>
    <w:link w:val="1269"/>
    <w:qFormat/>
    <w:pPr>
      <w:ind w:firstLine="480"/>
      <w:spacing w:line="360" w:lineRule="auto"/>
    </w:pPr>
    <w:rPr>
      <w:rFonts w:ascii="宋体" w:hAnsi="宋体"/>
      <w:sz w:val="24"/>
      <w:lang w:val="en-GB"/>
    </w:rPr>
  </w:style>
  <w:style w:type="character" w:styleId="1271">
    <w:name w:val="标题 3 Char"/>
    <w:next w:val="1271"/>
    <w:link w:val="1053"/>
    <w:qFormat/>
    <w:rPr>
      <w:rFonts w:ascii="宋体" w:eastAsia="宋体"/>
      <w:b/>
      <w:sz w:val="24"/>
      <w:u w:val="single"/>
      <w:lang w:val="en-US" w:eastAsia="zh-CN" w:bidi="ar-SA"/>
    </w:rPr>
  </w:style>
  <w:style w:type="character" w:styleId="1272">
    <w:name w:val="正文缩进 Char"/>
    <w:next w:val="1272"/>
    <w:link w:val="1053"/>
    <w:qFormat/>
    <w:rPr>
      <w:rFonts w:ascii="宋体" w:eastAsia="宋体"/>
      <w:sz w:val="24"/>
      <w:szCs w:val="24"/>
      <w:lang w:val="en-US" w:eastAsia="zh-CN" w:bidi="ar-SA"/>
    </w:rPr>
  </w:style>
  <w:style w:type="character" w:styleId="1273">
    <w:name w:val="Char Char111"/>
    <w:next w:val="1273"/>
    <w:link w:val="1053"/>
    <w:qFormat/>
    <w:rPr>
      <w:rFonts w:ascii="宋体" w:eastAsia="宋体"/>
      <w:b/>
      <w:sz w:val="24"/>
      <w:u w:val="single"/>
      <w:lang w:val="en-US" w:eastAsia="zh-CN" w:bidi="ar-SA"/>
    </w:rPr>
  </w:style>
  <w:style w:type="character" w:styleId="1274">
    <w:name w:val="正文文本缩进 Char"/>
    <w:next w:val="1274"/>
    <w:link w:val="1053"/>
    <w:qFormat/>
    <w:rPr>
      <w:rFonts w:eastAsia="宋体"/>
      <w:sz w:val="24"/>
      <w:szCs w:val="24"/>
      <w:lang w:val="en-US" w:eastAsia="zh-CN" w:bidi="ar-SA"/>
    </w:rPr>
  </w:style>
  <w:style w:type="character" w:styleId="1275">
    <w:name w:val="列出段落 Char"/>
    <w:next w:val="1275"/>
    <w:link w:val="1053"/>
    <w:qFormat/>
    <w:rPr>
      <w:rFonts w:ascii="Calibri" w:hAnsi="Calibri" w:eastAsia="宋体"/>
      <w:sz w:val="21"/>
      <w:szCs w:val="22"/>
      <w:lang w:val="en-US" w:eastAsia="zh-CN" w:bidi="ar-SA"/>
    </w:rPr>
  </w:style>
  <w:style w:type="character" w:styleId="1276">
    <w:name w:val="页眉 Char"/>
    <w:next w:val="1276"/>
    <w:link w:val="1053"/>
    <w:qFormat/>
    <w:rPr>
      <w:rFonts w:eastAsia="宋体"/>
      <w:sz w:val="18"/>
      <w:szCs w:val="18"/>
      <w:lang w:val="en-US" w:eastAsia="zh-CN" w:bidi="ar-SA"/>
    </w:rPr>
  </w:style>
  <w:style w:type="character" w:styleId="1277">
    <w:name w:val="标题 2 Char"/>
    <w:next w:val="1277"/>
    <w:link w:val="1053"/>
    <w:qFormat/>
    <w:rPr>
      <w:rFonts w:ascii="Arial" w:hAnsi="Arial" w:eastAsia="黑体"/>
      <w:b/>
      <w:sz w:val="30"/>
      <w:lang w:val="en-US" w:eastAsia="zh-CN" w:bidi="ar-SA"/>
    </w:rPr>
  </w:style>
  <w:style w:type="paragraph" w:styleId="1278">
    <w:name w:val="字元 字元2"/>
    <w:basedOn w:val="1053"/>
    <w:next w:val="1278"/>
    <w:link w:val="1053"/>
    <w:qFormat/>
    <w:rPr>
      <w:rFonts w:ascii="Tahoma" w:hAnsi="Tahoma"/>
      <w:sz w:val="24"/>
      <w:szCs w:val="20"/>
    </w:rPr>
  </w:style>
  <w:style w:type="paragraph" w:styleId="1279">
    <w:name w:val="Char3 Char Char Char2"/>
    <w:basedOn w:val="1053"/>
    <w:next w:val="1279"/>
    <w:link w:val="1053"/>
    <w:qFormat/>
    <w:rPr>
      <w:rFonts w:ascii="Tahoma" w:hAnsi="Tahoma"/>
      <w:sz w:val="24"/>
      <w:szCs w:val="20"/>
    </w:rPr>
  </w:style>
  <w:style w:type="paragraph" w:styleId="1280">
    <w:name w:val="正文文本缩进2"/>
    <w:basedOn w:val="1053"/>
    <w:next w:val="1280"/>
    <w:link w:val="1053"/>
    <w:qFormat/>
    <w:pPr>
      <w:ind w:firstLine="480"/>
      <w:spacing w:line="480" w:lineRule="exact"/>
    </w:pPr>
    <w:rPr>
      <w:rFonts w:ascii="宋体" w:hAnsi="宋体"/>
      <w:sz w:val="24"/>
      <w:lang w:val="zh-CN" w:eastAsia="zh-CN"/>
    </w:rPr>
  </w:style>
  <w:style w:type="paragraph" w:styleId="1281">
    <w:name w:val="Char3"/>
    <w:basedOn w:val="1053"/>
    <w:next w:val="1281"/>
    <w:link w:val="1053"/>
    <w:qFormat/>
    <w:pPr>
      <w:tabs>
        <w:tab w:val="left" w:pos="360" w:leader="none"/>
      </w:tabs>
    </w:pPr>
    <w:rPr>
      <w:sz w:val="24"/>
    </w:rPr>
  </w:style>
  <w:style w:type="paragraph" w:styleId="1282">
    <w:name w:val="Char Char Char Char Char Char Char Char Char Char Char Char Char Char Char Char1"/>
    <w:basedOn w:val="1053"/>
    <w:next w:val="1282"/>
    <w:link w:val="1053"/>
    <w:qFormat/>
    <w:pPr>
      <w:jc w:val="center"/>
      <w:spacing w:after="160" w:line="240" w:lineRule="exact"/>
      <w:widowControl/>
    </w:pPr>
    <w:rPr>
      <w:rFonts w:ascii="宋体" w:hAnsi="宋体"/>
      <w:b/>
      <w:sz w:val="30"/>
      <w:szCs w:val="30"/>
      <w:lang w:eastAsia="en-US"/>
    </w:rPr>
  </w:style>
  <w:style w:type="paragraph" w:styleId="1283">
    <w:name w:val="Char Char1 Char Char Char Char Char Char1"/>
    <w:basedOn w:val="1053"/>
    <w:next w:val="1283"/>
    <w:link w:val="1053"/>
    <w:qFormat/>
    <w:pPr>
      <w:jc w:val="left"/>
      <w:spacing w:after="160" w:line="240" w:lineRule="exact"/>
      <w:widowControl/>
    </w:pPr>
    <w:rPr>
      <w:rFonts w:ascii="Verdana" w:hAnsi="Verdana" w:eastAsia="仿宋_GB2312"/>
      <w:sz w:val="24"/>
      <w:szCs w:val="20"/>
      <w:lang w:eastAsia="en-US"/>
    </w:rPr>
  </w:style>
  <w:style w:type="paragraph" w:styleId="1284">
    <w:name w:val="列出段落2"/>
    <w:basedOn w:val="1053"/>
    <w:next w:val="1284"/>
    <w:link w:val="1053"/>
    <w:qFormat/>
    <w:pPr>
      <w:ind w:firstLine="420"/>
    </w:pPr>
    <w:rPr>
      <w:rFonts w:ascii="Calibri" w:hAnsi="Calibri"/>
      <w:szCs w:val="22"/>
    </w:rPr>
  </w:style>
  <w:style w:type="paragraph" w:styleId="1285">
    <w:name w:val="Char Char Char1 Char2"/>
    <w:basedOn w:val="1053"/>
    <w:next w:val="1285"/>
    <w:link w:val="1053"/>
    <w:qFormat/>
    <w:rPr>
      <w:rFonts w:ascii="Tahoma" w:hAnsi="Tahoma"/>
      <w:sz w:val="24"/>
      <w:szCs w:val="20"/>
    </w:rPr>
  </w:style>
  <w:style w:type="paragraph" w:styleId="1286">
    <w:name w:val="Char Char Char2"/>
    <w:basedOn w:val="1053"/>
    <w:next w:val="1286"/>
    <w:link w:val="1053"/>
    <w:qFormat/>
    <w:rPr>
      <w:rFonts w:ascii="Tahoma" w:hAnsi="Tahoma"/>
      <w:sz w:val="24"/>
      <w:szCs w:val="20"/>
    </w:rPr>
  </w:style>
  <w:style w:type="paragraph" w:styleId="1287">
    <w:name w:val="Char Char Char Char Char Char Char2"/>
    <w:basedOn w:val="1053"/>
    <w:next w:val="1287"/>
    <w:link w:val="1053"/>
    <w:qFormat/>
    <w:pPr>
      <w:ind w:firstLine="200"/>
      <w:spacing w:line="360" w:lineRule="auto"/>
    </w:pPr>
    <w:rPr>
      <w:rFonts w:eastAsia="仿宋_GB2312"/>
      <w:sz w:val="24"/>
    </w:rPr>
  </w:style>
  <w:style w:type="paragraph" w:styleId="1288">
    <w:name w:val="正文缩进2"/>
    <w:basedOn w:val="1053"/>
    <w:next w:val="1288"/>
    <w:link w:val="1053"/>
    <w:qFormat/>
    <w:pPr>
      <w:ind w:firstLine="567"/>
      <w:spacing w:line="480" w:lineRule="exact"/>
      <w:widowControl/>
    </w:pPr>
    <w:rPr>
      <w:rFonts w:ascii="宋体"/>
      <w:color w:val="000000"/>
      <w:sz w:val="28"/>
      <w:szCs w:val="20"/>
      <w:lang w:val="zh-CN" w:eastAsia="zh-CN"/>
    </w:rPr>
  </w:style>
  <w:style w:type="paragraph" w:styleId="1289">
    <w:name w:val="Revision"/>
    <w:next w:val="1289"/>
    <w:link w:val="1053"/>
    <w:qFormat/>
    <w:rPr>
      <w:sz w:val="21"/>
      <w:szCs w:val="24"/>
      <w:lang w:val="en-US" w:eastAsia="zh-CN" w:bidi="ar-SA"/>
    </w:rPr>
  </w:style>
  <w:style w:type="paragraph" w:styleId="1290">
    <w:name w:val="Char22"/>
    <w:basedOn w:val="1053"/>
    <w:next w:val="1290"/>
    <w:link w:val="1053"/>
    <w:qFormat/>
    <w:rPr>
      <w:rFonts w:ascii="Tahoma" w:hAnsi="Tahoma"/>
      <w:sz w:val="24"/>
      <w:szCs w:val="20"/>
    </w:rPr>
  </w:style>
  <w:style w:type="paragraph" w:styleId="1291">
    <w:name w:val="Char Char Char Char Char Char Char Char Char Char2"/>
    <w:basedOn w:val="1053"/>
    <w:next w:val="1291"/>
    <w:link w:val="1053"/>
    <w:qFormat/>
    <w:rPr>
      <w:rFonts w:ascii="宋体" w:hAnsi="宋体" w:cs="Courier New"/>
      <w:sz w:val="32"/>
      <w:szCs w:val="32"/>
    </w:rPr>
  </w:style>
  <w:style w:type="paragraph" w:styleId="1292">
    <w:name w:val="Char2 Char Char Char Char Char Char1"/>
    <w:basedOn w:val="1053"/>
    <w:next w:val="1292"/>
    <w:link w:val="1053"/>
    <w:qFormat/>
    <w:pPr>
      <w:jc w:val="center"/>
      <w:spacing w:line="400" w:lineRule="exact"/>
      <w:widowControl/>
    </w:pPr>
  </w:style>
  <w:style w:type="character" w:styleId="1293">
    <w:name w:val="页脚 Char"/>
    <w:next w:val="1293"/>
    <w:link w:val="1053"/>
    <w:qFormat/>
    <w:rPr>
      <w:rFonts w:ascii="宋体" w:eastAsia="宋体"/>
      <w:sz w:val="18"/>
      <w:lang w:val="en-US" w:eastAsia="zh-CN" w:bidi="ar-SA"/>
    </w:rPr>
  </w:style>
  <w:style w:type="paragraph" w:styleId="1294">
    <w:name w:val="Char Char41"/>
    <w:basedOn w:val="1053"/>
    <w:next w:val="1294"/>
    <w:link w:val="1053"/>
    <w:qFormat/>
    <w:pPr>
      <w:jc w:val="center"/>
      <w:spacing w:line="400" w:lineRule="exact"/>
      <w:widowControl/>
    </w:pPr>
  </w:style>
  <w:style w:type="character" w:styleId="1295">
    <w:name w:val="批注文字 Char"/>
    <w:next w:val="1295"/>
    <w:link w:val="1053"/>
    <w:uiPriority w:val="99"/>
    <w:qFormat/>
    <w:rPr>
      <w:sz w:val="21"/>
      <w:szCs w:val="24"/>
    </w:rPr>
  </w:style>
  <w:style w:type="character" w:styleId="1296">
    <w:name w:val="标题 Char"/>
    <w:next w:val="1296"/>
    <w:link w:val="1053"/>
    <w:qFormat/>
    <w:rPr>
      <w:b/>
      <w:sz w:val="32"/>
    </w:rPr>
  </w:style>
  <w:style w:type="paragraph" w:styleId="1297">
    <w:name w:val="图例"/>
    <w:basedOn w:val="1053"/>
    <w:next w:val="1297"/>
    <w:link w:val="1053"/>
    <w:qFormat/>
    <w:pPr>
      <w:jc w:val="center"/>
      <w:spacing w:before="120" w:after="120" w:line="360" w:lineRule="auto"/>
    </w:pPr>
    <w:rPr>
      <w:rFonts w:eastAsia="仿宋_GB2312"/>
      <w:b/>
      <w:sz w:val="24"/>
      <w:szCs w:val="20"/>
    </w:rPr>
  </w:style>
  <w:style w:type="table" w:styleId="1298">
    <w:name w:val="Table Normal"/>
    <w:next w:val="1298"/>
    <w:link w:val="1053"/>
    <w:uiPriority w:val="2"/>
    <w:unhideWhenUsed/>
    <w:qFormat/>
    <w:pPr>
      <w:widowControl w:val="off"/>
    </w:pPr>
    <w:rPr>
      <w:rFonts w:ascii="Calibri" w:hAnsi="Calibri"/>
      <w:sz w:val="22"/>
      <w:szCs w:val="22"/>
      <w:lang w:val="en-US" w:eastAsia="en-US" w:bidi="ar-SA"/>
    </w:rPr>
    <w:tblPr/>
  </w:style>
  <w:style w:type="paragraph" w:styleId="1299">
    <w:name w:val="Table Paragraph"/>
    <w:basedOn w:val="1053"/>
    <w:next w:val="1299"/>
    <w:link w:val="1053"/>
    <w:uiPriority w:val="1"/>
    <w:qFormat/>
    <w:pPr>
      <w:jc w:val="left"/>
    </w:pPr>
    <w:rPr>
      <w:rFonts w:ascii="宋体" w:hAnsi="宋体" w:cs="宋体"/>
      <w:sz w:val="22"/>
      <w:szCs w:val="22"/>
      <w:lang w:eastAsia="en-US"/>
    </w:rPr>
  </w:style>
  <w:style w:type="paragraph" w:styleId="1300">
    <w:name w:val="成文日期"/>
    <w:basedOn w:val="1053"/>
    <w:next w:val="1300"/>
    <w:link w:val="1301"/>
    <w:qFormat/>
    <w:pPr>
      <w:ind w:right="400" w:firstLine="200"/>
      <w:jc w:val="right"/>
      <w:spacing w:line="570" w:lineRule="exact"/>
    </w:pPr>
    <w:rPr>
      <w:rFonts w:ascii="仿宋_GB2312" w:eastAsia="仿宋_GB2312"/>
      <w:sz w:val="32"/>
      <w:szCs w:val="20"/>
    </w:rPr>
  </w:style>
  <w:style w:type="character" w:styleId="1301">
    <w:name w:val="成文日期 Char"/>
    <w:next w:val="1301"/>
    <w:link w:val="1300"/>
    <w:rPr>
      <w:rFonts w:ascii="仿宋_GB2312" w:eastAsia="仿宋_GB2312"/>
      <w:sz w:val="32"/>
    </w:rPr>
  </w:style>
  <w:style w:type="paragraph" w:styleId="1302">
    <w:name w:val="修订"/>
    <w:next w:val="1302"/>
    <w:link w:val="1053"/>
    <w:uiPriority w:val="99"/>
    <w:unhideWhenUsed/>
    <w:rPr>
      <w:sz w:val="21"/>
      <w:szCs w:val="24"/>
      <w:lang w:val="en-US" w:eastAsia="zh-CN" w:bidi="ar-SA"/>
    </w:rPr>
  </w:style>
  <w:style w:type="paragraph" w:styleId="1303">
    <w:name w:val="无间隔1"/>
    <w:basedOn w:val="1053"/>
    <w:next w:val="1303"/>
    <w:link w:val="1053"/>
    <w:qFormat/>
    <w:rPr>
      <w:szCs w:val="20"/>
    </w:rPr>
  </w:style>
  <w:style w:type="character" w:styleId="1304">
    <w:name w:val="NormalCharacter1"/>
    <w:next w:val="1304"/>
    <w:link w:val="1053"/>
    <w:semiHidden/>
    <w:qFormat/>
    <w:rPr>
      <w:rFonts w:ascii="Calibri" w:hAnsi="Calibri" w:eastAsia="宋体" w:cs="Times New Roman"/>
      <w:sz w:val="21"/>
      <w:szCs w:val="24"/>
      <w:lang w:val="en-US" w:eastAsia="zh-CN" w:bidi="ar-SA"/>
    </w:rPr>
  </w:style>
  <w:style w:type="paragraph" w:styleId="1305">
    <w:name w:val="0正文zjh"/>
    <w:basedOn w:val="1053"/>
    <w:next w:val="1305"/>
    <w:link w:val="1053"/>
    <w:qFormat/>
    <w:pPr>
      <w:ind w:firstLine="480"/>
      <w:spacing w:line="360" w:lineRule="auto"/>
    </w:pPr>
    <w:rPr>
      <w:rFonts w:ascii="Cambria Math" w:hAnsi="Cambria Math"/>
      <w:iCs/>
      <w:szCs w:val="24"/>
    </w:rPr>
  </w:style>
  <w:style w:type="paragraph" w:styleId="1306">
    <w:name w:val="列出段落4"/>
    <w:basedOn w:val="1053"/>
    <w:next w:val="1306"/>
    <w:link w:val="1053"/>
    <w:uiPriority w:val="34"/>
    <w:qFormat/>
    <w:pPr>
      <w:ind w:firstLine="420"/>
    </w:pPr>
    <w:rPr>
      <w:rFonts w:ascii="Calibri" w:hAnsi="Calibri"/>
      <w:szCs w:val="22"/>
    </w:rPr>
  </w:style>
  <w:style w:type="paragraph" w:styleId="1307">
    <w:name w:val="PlainText1"/>
    <w:basedOn w:val="1053"/>
    <w:next w:val="1307"/>
    <w:link w:val="1053"/>
    <w:qFormat/>
    <w:rPr>
      <w:rFonts w:ascii="宋体" w:hAnsi="Courier New" w:eastAsia="宋体" w:cs="Times New Roman"/>
    </w:rPr>
  </w:style>
  <w:style w:type="character" w:styleId="1308">
    <w:name w:val="font01"/>
    <w:basedOn w:val="1063"/>
    <w:next w:val="1308"/>
    <w:link w:val="1053"/>
    <w:rPr>
      <w:rFonts w:hint="eastAsia" w:ascii="宋体" w:hAnsi="宋体" w:eastAsia="宋体" w:cs="宋体"/>
      <w:i w:val="0"/>
      <w:iCs w:val="0"/>
      <w:color w:val="000000"/>
      <w:sz w:val="22"/>
      <w:szCs w:val="22"/>
      <w:u w:val="none"/>
    </w:rPr>
  </w:style>
  <w:style w:type="character" w:styleId="1309">
    <w:name w:val="font61"/>
    <w:basedOn w:val="1063"/>
    <w:next w:val="1309"/>
    <w:link w:val="1053"/>
    <w:rPr>
      <w:rFonts w:hint="eastAsia" w:ascii="宋体" w:hAnsi="宋体" w:eastAsia="宋体" w:cs="宋体"/>
      <w:i w:val="0"/>
      <w:iCs w:val="0"/>
      <w:color w:val="ff0000"/>
      <w:sz w:val="22"/>
      <w:szCs w:val="22"/>
      <w:u w:val="none"/>
    </w:rPr>
  </w:style>
  <w:style w:type="character" w:styleId="1310">
    <w:name w:val="font41"/>
    <w:next w:val="1310"/>
    <w:link w:val="1053"/>
    <w:rPr>
      <w:rFonts w:hint="eastAsia" w:ascii="宋体" w:hAnsi="宋体" w:eastAsia="宋体" w:cs="宋体"/>
      <w:color w:val="ff0000"/>
      <w:sz w:val="22"/>
      <w:szCs w:val="22"/>
      <w:u w:val="none"/>
    </w:rPr>
  </w:style>
  <w:style w:type="character" w:styleId="1311" w:default="1">
    <w:name w:val="Default Paragraph Font"/>
    <w:uiPriority w:val="1"/>
    <w:semiHidden/>
    <w:unhideWhenUsed/>
  </w:style>
  <w:style w:type="numbering" w:styleId="1312" w:default="1">
    <w:name w:val="No List"/>
    <w:uiPriority w:val="99"/>
    <w:semiHidden/>
    <w:unhideWhenUsed/>
  </w:style>
  <w:style w:type="table" w:styleId="13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谢女士</cp:lastModifiedBy>
  <cp:revision>4</cp:revision>
  <dcterms:created xsi:type="dcterms:W3CDTF">2022-05-30T08:08:00Z</dcterms:created>
  <dcterms:modified xsi:type="dcterms:W3CDTF">2026-03-24T07:21:23Z</dcterms:modified>
</cp:coreProperties>
</file>