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1"/>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1"/>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2026年采购医疗设备一批项目</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JSZC-320412-CTZB-G2026-0035</w:t>
      </w:r>
      <w:r>
        <w:rPr>
          <w:rFonts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江苏常州经济开发区街道社区卫生服务中心</w:t>
      </w:r>
      <w:r>
        <w:rPr>
          <w:rFonts w:hint="eastAsia" w:ascii="宋体" w:hAnsi="宋体"/>
          <w:bCs/>
          <w:color w:val="000000"/>
          <w:sz w:val="36"/>
          <w:szCs w:val="36"/>
          <w:highlight w:val="none"/>
        </w:rPr>
      </w:r>
      <w:r/>
    </w:p>
    <w:p>
      <w:pPr>
        <w:pStyle w:val="1071"/>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1"/>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1"/>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123"/>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6"/>
          <w:color w:val="000000"/>
          <w:sz w:val="32"/>
          <w:szCs w:val="32"/>
          <w:highlight w:val="none"/>
        </w:rPr>
        <w:t xml:space="preserve">第一章   投标邀请</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6"/>
          <w:color w:val="000000"/>
          <w:sz w:val="32"/>
          <w:szCs w:val="32"/>
          <w:highlight w:val="none"/>
        </w:rPr>
        <w:t xml:space="preserve">第二章   投标人须知</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8</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6"/>
          <w:color w:val="000000"/>
          <w:sz w:val="32"/>
          <w:szCs w:val="32"/>
          <w:highlight w:val="none"/>
        </w:rPr>
        <w:t xml:space="preserve">第三章   资</w:t>
      </w:r>
      <w:bookmarkStart w:id="1" w:name="_Hlt100754117"/>
      <w:r>
        <w:rPr>
          <w:rStyle w:val="1146"/>
          <w:color w:val="000000"/>
          <w:sz w:val="32"/>
          <w:szCs w:val="32"/>
          <w:highlight w:val="none"/>
        </w:rPr>
        <w:t xml:space="preserve">格</w:t>
      </w:r>
      <w:bookmarkEnd w:id="1"/>
      <w:r>
        <w:rPr>
          <w:rStyle w:val="1146"/>
          <w:color w:val="000000"/>
          <w:sz w:val="32"/>
          <w:szCs w:val="32"/>
          <w:highlight w:val="none"/>
        </w:rPr>
        <w:t xml:space="preserve">审查</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6"/>
          <w:color w:val="000000"/>
          <w:sz w:val="32"/>
          <w:szCs w:val="32"/>
          <w:highlight w:val="none"/>
        </w:rPr>
        <w:t xml:space="preserve">第四章   评标程序、评标方法和评标标准</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6"/>
          <w:color w:val="000000"/>
          <w:sz w:val="32"/>
          <w:szCs w:val="32"/>
          <w:highlight w:val="none"/>
        </w:rPr>
        <w:t xml:space="preserve">第五章   采购</w:t>
      </w:r>
      <w:bookmarkStart w:id="2" w:name="_Hlt100754102"/>
      <w:r/>
      <w:bookmarkStart w:id="3" w:name="_Hlt100754103"/>
      <w:r>
        <w:rPr>
          <w:rStyle w:val="1146"/>
          <w:color w:val="000000"/>
          <w:sz w:val="32"/>
          <w:szCs w:val="32"/>
          <w:highlight w:val="none"/>
        </w:rPr>
        <w:t xml:space="preserve">需</w:t>
      </w:r>
      <w:bookmarkEnd w:id="2"/>
      <w:r/>
      <w:bookmarkEnd w:id="3"/>
      <w:r>
        <w:rPr>
          <w:rStyle w:val="1146"/>
          <w:color w:val="000000"/>
          <w:sz w:val="32"/>
          <w:szCs w:val="32"/>
          <w:highlight w:val="none"/>
        </w:rPr>
        <w:t xml:space="preserve">求</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6"/>
          <w:color w:val="000000"/>
          <w:sz w:val="32"/>
          <w:szCs w:val="32"/>
          <w:highlight w:val="none"/>
        </w:rPr>
        <w:t xml:space="preserve">第六章   拟签订的合同文本</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6"/>
          <w:color w:val="000000"/>
          <w:sz w:val="32"/>
          <w:szCs w:val="32"/>
          <w:highlight w:val="none"/>
        </w:rPr>
        <w:t xml:space="preserve">第七章   投标文件格式</w:t>
      </w:r>
      <w:r>
        <w:rPr>
          <w:rFonts w:hint="eastAsia"/>
          <w:color w:val="000000"/>
          <w:sz w:val="32"/>
          <w:szCs w:val="32"/>
          <w:highlight w:val="none"/>
        </w:rPr>
        <w:t xml:space="preserve">:</w:t>
      </w:r>
      <w:r>
        <w:rPr>
          <w:rFonts w:hint="eastAsia"/>
          <w:color w:val="000000"/>
          <w:sz w:val="32"/>
          <w:szCs w:val="32"/>
          <w:highlight w:val="none"/>
          <w:lang w:val="en-US" w:eastAsia="zh-CN"/>
        </w:rPr>
        <w:t xml:space="preserve">                          </w:t>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64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3"/>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江苏常州经济开发区街道社区卫生服务中心2026年采购医疗设备一批项目的潜在投标人应在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cs="宋体"/>
          <w:b/>
          <w:bCs/>
          <w:color w:val="000000"/>
          <w:sz w:val="32"/>
          <w:szCs w:val="32"/>
          <w:highlight w:val="none"/>
        </w:rPr>
        <w:t xml:space="preserve">2026年</w:t>
      </w:r>
      <w:r>
        <w:rPr>
          <w:rFonts w:hint="eastAsia" w:ascii="仿宋" w:hAnsi="仿宋" w:eastAsia="仿宋" w:cs="宋体"/>
          <w:b/>
          <w:bCs/>
          <w:color w:val="000000"/>
          <w:sz w:val="32"/>
          <w:szCs w:val="32"/>
          <w:highlight w:val="none"/>
          <w:lang w:val="en-US" w:eastAsia="zh-CN"/>
        </w:rPr>
        <w:t xml:space="preserve">0</w:t>
      </w:r>
      <w:r>
        <w:rPr>
          <w:rFonts w:hint="eastAsia" w:ascii="仿宋" w:hAnsi="仿宋" w:eastAsia="仿宋" w:cs="宋体"/>
          <w:b/>
          <w:bCs/>
          <w:color w:val="000000"/>
          <w:sz w:val="32"/>
          <w:szCs w:val="32"/>
          <w:highlight w:val="none"/>
          <w:lang w:val="en-US" w:eastAsia="zh-CN"/>
        </w:rPr>
        <w:t xml:space="preserve">5</w:t>
      </w:r>
      <w:r>
        <w:rPr>
          <w:rFonts w:hint="eastAsia" w:ascii="仿宋" w:hAnsi="仿宋" w:eastAsia="仿宋" w:cs="宋体"/>
          <w:b/>
          <w:bCs/>
          <w:color w:val="000000"/>
          <w:sz w:val="32"/>
          <w:szCs w:val="32"/>
          <w:highlight w:val="none"/>
        </w:rPr>
        <w:t xml:space="preserve">月11</w:t>
      </w:r>
      <w:r>
        <w:rPr>
          <w:rFonts w:hint="eastAsia" w:ascii="仿宋" w:hAnsi="仿宋" w:eastAsia="仿宋" w:cs="宋体"/>
          <w:b/>
          <w:bCs/>
          <w:color w:val="000000"/>
          <w:sz w:val="32"/>
          <w:szCs w:val="32"/>
          <w:highlight w:val="none"/>
        </w:rPr>
        <w:t xml:space="preserve">日09点30分（北京时间）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3"/>
        <w:ind w:firstLine="643"/>
        <w:jc w:val="left"/>
        <w:spacing w:before="240" w:line="360" w:lineRule="auto"/>
        <w:rPr>
          <w:rFonts w:ascii="仿宋" w:hAnsi="仿宋" w:eastAsia="仿宋"/>
          <w:color w:val="000000"/>
          <w:sz w:val="32"/>
          <w:szCs w:val="32"/>
          <w:highlight w:val="none"/>
        </w:rPr>
      </w:pPr>
      <w:r/>
      <w:bookmarkStart w:id="5" w:name="_Toc35393790"/>
      <w:r/>
      <w:bookmarkStart w:id="6" w:name="_Toc35393621"/>
      <w:r/>
      <w:bookmarkStart w:id="7" w:name="_Toc28359079"/>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1"/>
        <w:ind w:firstLine="640"/>
        <w:spacing w:line="360" w:lineRule="auto"/>
        <w:rPr>
          <w:rFonts w:ascii="仿宋" w:hAnsi="仿宋"/>
          <w:color w:val="000000"/>
          <w:sz w:val="32"/>
          <w:szCs w:val="32"/>
          <w:highlight w:val="none"/>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JSZC-320412-CTZB-G2026-0035</w:t>
      </w:r>
      <w:r>
        <w:rPr>
          <w:rFonts w:ascii="仿宋" w:hAnsi="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江苏常州经济开发区街道社区卫生服务中心2026年采购医疗设备一批项目</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287.1</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，其中包01：98万元、包02:83万元、包03：39.6万元、包04：29.5万元、包05：21.5万元、包06：15.5万元</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287.1</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，其中包01：98万元、包02:83万元、包03：39.6万元、包04：29.5万元、包05：21.5万元、包06：15.5万元</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30"/>
        <w:gridCol w:w="1724"/>
        <w:gridCol w:w="996"/>
        <w:gridCol w:w="4280"/>
      </w:tblGrid>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6" w:type="dxa"/>
            <w:vAlign w:val="center"/>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bCs/>
                <w:color w:val="000000"/>
                <w:sz w:val="32"/>
                <w:szCs w:val="32"/>
                <w:highlight w:val="none"/>
              </w:rPr>
            </w:pPr>
            <w:r>
              <w:rPr>
                <w:rFonts w:ascii="仿宋" w:hAnsi="仿宋"/>
                <w:bCs/>
                <w:color w:val="000000"/>
                <w:sz w:val="32"/>
                <w:szCs w:val="32"/>
                <w:highlight w:val="none"/>
              </w:rPr>
              <w:t xml:space="preserve">彩色多普勒超声系统</w:t>
            </w:r>
            <w:r>
              <w:rPr>
                <w:rFonts w:ascii="仿宋" w:hAnsi="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98</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restart"/>
            <w:textDirection w:val="lrTb"/>
            <w:noWrap w:val="false"/>
          </w:tcPr>
          <w:p>
            <w:pPr>
              <w:pStyle w:val="1071"/>
              <w:jc w:val="center"/>
              <w:rPr>
                <w:rFonts w:ascii="仿宋" w:hAnsi="仿宋" w:eastAsia="仿宋"/>
                <w:color w:val="000000"/>
                <w:sz w:val="32"/>
                <w:szCs w:val="32"/>
                <w:highlight w:val="none"/>
              </w:rPr>
            </w:pPr>
            <w:r/>
            <w:bookmarkStart w:id="10" w:name="OLE_LINK4"/>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具体内容包括：设备的制造（采购）、运输、装卸、安装、调试、测试、售后服务、技术培训等，直至通过采购单位及其他相关部门的验收以及质保、免费维保等全部工作。</w:t>
            </w:r>
            <w:bookmarkEnd w:id="10"/>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02</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慢病筛防中心设备一批</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83</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03</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牙科综合治疗机等</w:t>
            </w:r>
            <w:r>
              <w:rPr>
                <w:rFonts w:ascii="仿宋" w:hAnsi="仿宋" w:eastAsia="仿宋"/>
                <w:bCs/>
                <w:color w:val="000000"/>
                <w:sz w:val="32"/>
                <w:szCs w:val="32"/>
                <w:highlight w:val="none"/>
              </w:rPr>
            </w:r>
            <w:r/>
          </w:p>
        </w:tc>
        <w:tc>
          <w:tcPr>
            <w:tcW w:w="933"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rPr>
              <w:t xml:space="preserve">39.6</w:t>
            </w:r>
            <w:r>
              <w:rPr>
                <w:rFonts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04</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牙科影像板扫描仪等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29.5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05</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数字式心电图机等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21.5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1"/>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06</w:t>
            </w:r>
            <w:r>
              <w:rPr>
                <w:rFonts w:ascii="仿宋" w:hAnsi="仿宋" w:eastAsia="仿宋"/>
                <w:bCs/>
                <w:color w:val="000000"/>
                <w:sz w:val="32"/>
                <w:szCs w:val="32"/>
                <w:highlight w:val="none"/>
              </w:rPr>
            </w:r>
            <w:r/>
          </w:p>
        </w:tc>
        <w:tc>
          <w:tcPr>
            <w:tcW w:w="828"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牙科X射线机等</w:t>
            </w:r>
            <w:r>
              <w:rPr>
                <w:rFonts w:hint="eastAsia" w:ascii="仿宋" w:hAnsi="仿宋" w:eastAsia="仿宋"/>
                <w:bCs/>
                <w:color w:val="000000"/>
                <w:sz w:val="32"/>
                <w:szCs w:val="32"/>
                <w:highlight w:val="none"/>
              </w:rPr>
            </w:r>
            <w:r/>
          </w:p>
        </w:tc>
        <w:tc>
          <w:tcPr>
            <w:tcW w:w="933"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15.5</w:t>
            </w:r>
            <w:r>
              <w:rPr>
                <w:rFonts w:hint="eastAsia" w:ascii="仿宋" w:hAnsi="仿宋" w:eastAsia="仿宋"/>
                <w:bCs/>
                <w:color w:val="000000"/>
                <w:sz w:val="32"/>
                <w:szCs w:val="32"/>
                <w:highlight w:val="none"/>
              </w:rPr>
            </w:r>
            <w:r/>
          </w:p>
        </w:tc>
        <w:tc>
          <w:tcPr>
            <w:tcW w:w="539" w:type="dxa"/>
            <w:vAlign w:val="center"/>
            <w:textDirection w:val="lrTb"/>
            <w:noWrap w:val="false"/>
          </w:tcPr>
          <w:p>
            <w:pPr>
              <w:pStyle w:val="1071"/>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1批</w:t>
            </w:r>
            <w:r>
              <w:rPr>
                <w:rFonts w:hint="eastAsia" w:ascii="仿宋" w:hAnsi="仿宋" w:eastAsia="仿宋"/>
                <w:bCs/>
                <w:color w:val="000000"/>
                <w:sz w:val="32"/>
                <w:szCs w:val="32"/>
                <w:highlight w:val="none"/>
              </w:rPr>
            </w:r>
            <w:r/>
          </w:p>
        </w:tc>
        <w:tc>
          <w:tcPr>
            <w:tcW w:w="2316" w:type="dxa"/>
            <w:vAlign w:val="center"/>
            <w:vMerge w:val="continue"/>
            <w:textDirection w:val="lrTb"/>
            <w:noWrap w:val="false"/>
          </w:tcPr>
          <w:p>
            <w:pPr>
              <w:pStyle w:val="1071"/>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bl>
    <w:p>
      <w:pPr>
        <w:pStyle w:val="1071"/>
        <w:ind w:firstLine="640"/>
        <w:spacing w:line="360" w:lineRule="auto"/>
        <w:rPr>
          <w:rFonts w:ascii="仿宋" w:hAnsi="仿宋" w:eastAsia="仿宋" w:cs="宋体"/>
          <w:b/>
          <w:color w:val="000000"/>
          <w:spacing w:val="2"/>
          <w:sz w:val="32"/>
          <w:szCs w:val="32"/>
          <w:highlight w:val="none"/>
        </w:rPr>
      </w:pPr>
      <w:r>
        <w:rPr>
          <w:rFonts w:hint="eastAsia" w:ascii="仿宋" w:hAnsi="仿宋" w:eastAsia="仿宋" w:cs="宋体"/>
          <w:color w:val="000000"/>
          <w:sz w:val="32"/>
          <w:szCs w:val="32"/>
          <w:highlight w:val="none"/>
        </w:rPr>
        <w:t xml:space="preserve">本项目共分6个采购包，投标人可对本次采购的单个采购包或全部采购包进行响应，在投标文件中注明所投采购包并响应该采购包全部内容。每个供应商仅限中标一个采购包。</w:t>
      </w:r>
      <w:r>
        <w:rPr>
          <w:rFonts w:hint="eastAsia" w:ascii="仿宋" w:hAnsi="仿宋" w:eastAsia="仿宋" w:cs="宋体"/>
          <w:bCs/>
          <w:color w:val="000000"/>
          <w:spacing w:val="2"/>
          <w:sz w:val="32"/>
          <w:szCs w:val="32"/>
          <w:highlight w:val="none"/>
        </w:rPr>
        <w:t xml:space="preserve">6个采购包同时评审，按采购包1、采购包2、采购包3、采购包4、采购包5、采购包6的顺序依次确定中标人，前1采购包确定为第一中标候选人的投标人不再列为后续采购包的中标候选人，由第二中标候选人递补，以此类推。</w:t>
      </w:r>
      <w:r>
        <w:rPr>
          <w:rFonts w:ascii="仿宋" w:hAnsi="仿宋" w:eastAsia="仿宋" w:cs="宋体"/>
          <w:b/>
          <w:color w:val="000000"/>
          <w:spacing w:val="2"/>
          <w:sz w:val="32"/>
          <w:szCs w:val="32"/>
          <w:highlight w:val="none"/>
        </w:rPr>
      </w:r>
      <w:r/>
    </w:p>
    <w:p>
      <w:pPr>
        <w:pStyle w:val="1071"/>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合同履行期限：合同签订后30天内完成供货、安装、调试、培训，并通过采购人及有关部门（主管部门、财政部门）验收。</w:t>
      </w:r>
      <w:r>
        <w:rPr>
          <w:rFonts w:ascii="仿宋" w:hAnsi="仿宋" w:eastAsia="仿宋"/>
          <w:color w:val="000000"/>
          <w:sz w:val="32"/>
          <w:szCs w:val="32"/>
          <w:highlight w:val="none"/>
          <w:u w:val="singl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11" w:name="_Toc35393622"/>
      <w:r/>
      <w:bookmarkStart w:id="12" w:name="_Toc35393791"/>
      <w:r/>
      <w:bookmarkStart w:id="13" w:name="_Toc28359003"/>
      <w:r/>
      <w:bookmarkStart w:id="14" w:name="_Toc28359080"/>
      <w:r>
        <w:rPr>
          <w:rFonts w:ascii="仿宋" w:hAnsi="仿宋" w:eastAsia="仿宋"/>
          <w:color w:val="000000"/>
          <w:sz w:val="32"/>
          <w:szCs w:val="32"/>
          <w:highlight w:val="none"/>
        </w:rPr>
        <w:t xml:space="preserve">二、申请人的资格要求（须同时满足）</w:t>
      </w:r>
      <w:bookmarkEnd w:id="11"/>
      <w:r/>
      <w:bookmarkEnd w:id="12"/>
      <w:r/>
      <w:bookmarkEnd w:id="13"/>
      <w:r/>
      <w:bookmarkEnd w:id="14"/>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bookmarkStart w:id="15" w:name="_Toc28359081"/>
      <w:r/>
      <w:bookmarkStart w:id="16"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1"/>
        <w:ind w:firstLine="640"/>
        <w:spacing w:line="360" w:lineRule="auto"/>
        <w:tabs>
          <w:tab w:val="left" w:pos="0"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1"/>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□本项目专门面向 □中小□小微企业 采购。即：提供的货物全部由符合政策要求的中小/小微企业制造。</w:t>
      </w:r>
      <w:r>
        <w:rPr>
          <w:rFonts w:ascii="仿宋" w:hAnsi="仿宋" w:eastAsia="仿宋"/>
          <w:b/>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1"/>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1"/>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1"/>
        <w:ind w:firstLine="643"/>
        <w:spacing w:line="360" w:lineRule="auto"/>
        <w:tabs>
          <w:tab w:val="left" w:pos="900" w:leader="none"/>
          <w:tab w:val="left" w:pos="1134" w:leader="none"/>
          <w:tab w:val="left" w:pos="1589" w:leader="none"/>
          <w:tab w:val="left" w:pos="5521" w:leader="none"/>
        </w:tabs>
        <w:rPr>
          <w:rFonts w:ascii="仿宋" w:hAnsi="仿宋" w:eastAsia="仿宋"/>
          <w:b/>
          <w:color w:val="000000"/>
          <w:sz w:val="32"/>
          <w:szCs w:val="32"/>
          <w:highlight w:val="none"/>
        </w:rPr>
      </w:pPr>
      <w:r/>
      <w:bookmarkEnd w:id="15"/>
      <w:r/>
      <w:bookmarkEnd w:id="16"/>
      <w:r/>
      <w:bookmarkStart w:id="17" w:name="_Toc35393623"/>
      <w:r/>
      <w:bookmarkStart w:id="18" w:name="_Toc35393792"/>
      <w:r>
        <w:rPr>
          <w:rFonts w:hint="eastAsia" w:ascii="仿宋" w:hAnsi="仿宋" w:eastAsia="仿宋"/>
          <w:b/>
          <w:color w:val="000000"/>
          <w:sz w:val="32"/>
          <w:szCs w:val="32"/>
          <w:highlight w:val="none"/>
        </w:rPr>
        <w:t xml:space="preserve">采购包0</w:t>
      </w:r>
      <w:r>
        <w:rPr>
          <w:rFonts w:ascii="仿宋" w:hAnsi="仿宋" w:eastAsia="仿宋"/>
          <w:b/>
          <w:color w:val="000000"/>
          <w:sz w:val="32"/>
          <w:szCs w:val="32"/>
          <w:highlight w:val="none"/>
        </w:rPr>
        <w:t xml:space="preserve">1</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2</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3</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5</w:t>
      </w:r>
      <w:r>
        <w:rPr>
          <w:rFonts w:hint="eastAsia" w:ascii="仿宋" w:hAnsi="仿宋" w:eastAsia="仿宋"/>
          <w:b/>
          <w:color w:val="000000"/>
          <w:sz w:val="32"/>
          <w:szCs w:val="32"/>
          <w:highlight w:val="none"/>
        </w:rPr>
        <w:t xml:space="preserve">、0</w:t>
      </w:r>
      <w:r>
        <w:rPr>
          <w:rFonts w:ascii="仿宋" w:hAnsi="仿宋" w:eastAsia="仿宋"/>
          <w:b/>
          <w:color w:val="000000"/>
          <w:sz w:val="32"/>
          <w:szCs w:val="32"/>
          <w:highlight w:val="none"/>
        </w:rPr>
        <w:t xml:space="preserve">6</w:t>
      </w:r>
      <w:r>
        <w:rPr>
          <w:rFonts w:hint="eastAsia" w:ascii="仿宋" w:hAnsi="仿宋" w:eastAsia="仿宋"/>
          <w:b/>
          <w:color w:val="000000"/>
          <w:sz w:val="32"/>
          <w:szCs w:val="32"/>
          <w:highlight w:val="none"/>
        </w:rPr>
        <w:t xml:space="preserve">：</w:t>
      </w:r>
      <w:r>
        <w:rPr>
          <w:rFonts w:ascii="仿宋" w:hAnsi="仿宋" w:eastAsia="仿宋"/>
          <w:b/>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ascii="仿宋" w:hAnsi="仿宋" w:eastAsia="仿宋"/>
          <w:color w:val="000000"/>
          <w:sz w:val="32"/>
          <w:szCs w:val="32"/>
          <w:highlight w:val="none"/>
        </w:rPr>
      </w:r>
      <w:r/>
    </w:p>
    <w:p>
      <w:pPr>
        <w:pStyle w:val="1071"/>
        <w:ind w:firstLine="643"/>
        <w:spacing w:line="360" w:lineRule="auto"/>
        <w:tabs>
          <w:tab w:val="left" w:pos="900" w:leader="none"/>
          <w:tab w:val="left" w:pos="1134" w:leader="none"/>
          <w:tab w:val="left" w:pos="1589" w:leader="none"/>
          <w:tab w:val="left" w:pos="5521" w:leader="none"/>
        </w:tabs>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采购包0</w:t>
      </w:r>
      <w:r>
        <w:rPr>
          <w:rFonts w:ascii="仿宋" w:hAnsi="仿宋" w:eastAsia="仿宋"/>
          <w:b/>
          <w:color w:val="000000"/>
          <w:sz w:val="32"/>
          <w:szCs w:val="32"/>
          <w:highlight w:val="none"/>
        </w:rPr>
        <w:t xml:space="preserve">4</w:t>
      </w:r>
      <w:r>
        <w:rPr>
          <w:rFonts w:hint="eastAsia" w:ascii="仿宋" w:hAnsi="仿宋" w:eastAsia="仿宋"/>
          <w:b/>
          <w:color w:val="000000"/>
          <w:sz w:val="32"/>
          <w:szCs w:val="32"/>
          <w:highlight w:val="none"/>
        </w:rPr>
        <w:t xml:space="preserve">：</w:t>
      </w:r>
      <w:r>
        <w:rPr>
          <w:rFonts w:ascii="仿宋" w:hAnsi="仿宋" w:eastAsia="仿宋"/>
          <w:b/>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hint="eastAsia" w:ascii="仿宋" w:hAnsi="仿宋" w:eastAsia="仿宋"/>
          <w:color w:val="000000"/>
          <w:sz w:val="32"/>
          <w:szCs w:val="32"/>
          <w:highlight w:val="none"/>
        </w:rPr>
      </w:r>
      <w:r/>
    </w:p>
    <w:p>
      <w:pPr>
        <w:pStyle w:val="1071"/>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rPr>
        <w:t xml:space="preserve">）投标人具有有效期内的辐射安全许可证。</w:t>
      </w:r>
      <w:r>
        <w:rPr>
          <w:rFonts w:hint="eastAsia"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7"/>
      <w:r/>
      <w:bookmarkEnd w:id="18"/>
      <w:r>
        <w:rPr>
          <w:rFonts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hint="eastAsia"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1"/>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1"/>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3"/>
        <w:ind w:firstLine="643"/>
        <w:jc w:val="left"/>
        <w:spacing w:before="0" w:line="360" w:lineRule="auto"/>
        <w:widowControl/>
        <w:rPr>
          <w:rFonts w:ascii="仿宋" w:hAnsi="仿宋" w:eastAsia="仿宋"/>
          <w:color w:val="000000"/>
          <w:sz w:val="32"/>
          <w:szCs w:val="32"/>
          <w:highlight w:val="none"/>
        </w:rPr>
      </w:pPr>
      <w:r/>
      <w:bookmarkStart w:id="19" w:name="_Toc28359005"/>
      <w:r/>
      <w:bookmarkStart w:id="20" w:name="_Toc28359082"/>
      <w:r/>
      <w:bookmarkStart w:id="21" w:name="_Toc35393793"/>
      <w:r/>
      <w:bookmarkStart w:id="22" w:name="_Toc35393624"/>
      <w:r>
        <w:rPr>
          <w:rFonts w:ascii="仿宋" w:hAnsi="仿宋" w:eastAsia="仿宋"/>
          <w:color w:val="000000"/>
          <w:sz w:val="32"/>
          <w:szCs w:val="32"/>
          <w:highlight w:val="none"/>
        </w:rPr>
        <w:t xml:space="preserve">四、提交投标文件</w:t>
      </w:r>
      <w:bookmarkEnd w:id="19"/>
      <w:r/>
      <w:bookmarkEnd w:id="20"/>
      <w:r>
        <w:rPr>
          <w:rFonts w:ascii="仿宋" w:hAnsi="仿宋" w:eastAsia="仿宋"/>
          <w:color w:val="000000"/>
          <w:sz w:val="32"/>
          <w:szCs w:val="32"/>
          <w:highlight w:val="none"/>
        </w:rPr>
        <w:t xml:space="preserve">截止时间、开标时间和地点</w:t>
      </w:r>
      <w:bookmarkEnd w:id="21"/>
      <w:r/>
      <w:bookmarkEnd w:id="22"/>
      <w:r>
        <w:rPr>
          <w:rFonts w:ascii="仿宋" w:hAnsi="仿宋" w:eastAsia="仿宋"/>
          <w:color w:val="000000"/>
          <w:sz w:val="32"/>
          <w:szCs w:val="32"/>
          <w:highlight w:val="none"/>
        </w:rPr>
      </w:r>
      <w:r/>
    </w:p>
    <w:p>
      <w:pPr>
        <w:pStyle w:val="1071"/>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color w:val="000000"/>
          <w:sz w:val="32"/>
          <w:szCs w:val="32"/>
          <w:highlight w:val="none"/>
          <w:lang w:bidi="ar"/>
        </w:rPr>
        <w:t xml:space="preserve">2</w:t>
      </w:r>
      <w:r>
        <w:rPr>
          <w:rFonts w:ascii="仿宋" w:hAnsi="仿宋" w:eastAsia="仿宋"/>
          <w:color w:val="000000"/>
          <w:sz w:val="32"/>
          <w:szCs w:val="32"/>
          <w:highlight w:val="none"/>
          <w:lang w:bidi="ar"/>
        </w:rPr>
        <w:t xml:space="preserve">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05</w:t>
      </w:r>
      <w:r>
        <w:rPr>
          <w:rFonts w:hint="eastAsia" w:ascii="仿宋" w:hAnsi="仿宋" w:eastAsia="仿宋" w:cs="宋体"/>
          <w:color w:val="000000"/>
          <w:sz w:val="32"/>
          <w:szCs w:val="32"/>
          <w:highlight w:val="none"/>
        </w:rPr>
        <w:t xml:space="preserve">月11</w:t>
      </w:r>
      <w:r>
        <w:rPr>
          <w:rFonts w:hint="eastAsia" w:ascii="仿宋" w:hAnsi="仿宋" w:eastAsia="仿宋" w:cs="宋体"/>
          <w:color w:val="000000"/>
          <w:sz w:val="32"/>
          <w:szCs w:val="32"/>
          <w:highlight w:val="none"/>
        </w:rPr>
        <w:t xml:space="preserve">日0</w:t>
      </w:r>
      <w:r>
        <w:rPr>
          <w:rFonts w:ascii="仿宋" w:hAnsi="仿宋" w:eastAsia="仿宋" w:cs="宋体"/>
          <w:color w:val="000000"/>
          <w:sz w:val="32"/>
          <w:szCs w:val="32"/>
          <w:highlight w:val="none"/>
        </w:rPr>
        <w:t xml:space="preserve">9</w:t>
      </w:r>
      <w:r>
        <w:rPr>
          <w:rFonts w:hint="eastAsia" w:ascii="仿宋" w:hAnsi="仿宋" w:eastAsia="仿宋"/>
          <w:color w:val="000000"/>
          <w:sz w:val="32"/>
          <w:szCs w:val="32"/>
          <w:highlight w:val="none"/>
          <w:lang w:bidi="ar"/>
        </w:rPr>
        <w:t xml:space="preserve">点3</w:t>
      </w:r>
      <w:r>
        <w:rPr>
          <w:rFonts w:ascii="仿宋" w:hAnsi="仿宋" w:eastAsia="仿宋"/>
          <w:color w:val="000000"/>
          <w:sz w:val="32"/>
          <w:szCs w:val="32"/>
          <w:highlight w:val="none"/>
          <w:lang w:bidi="ar"/>
        </w:rPr>
        <w:t xml:space="preserve">0</w:t>
      </w:r>
      <w:r>
        <w:rPr>
          <w:rFonts w:hint="eastAsia" w:ascii="仿宋" w:hAnsi="仿宋" w:eastAsia="仿宋"/>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1"/>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3" w:name="_Toc28359084"/>
      <w:r/>
      <w:bookmarkStart w:id="24" w:name="_Toc35393625"/>
      <w:r/>
      <w:bookmarkStart w:id="25" w:name="_Toc35393794"/>
      <w:r/>
      <w:bookmarkStart w:id="26" w:name="_Toc28359007"/>
      <w:r>
        <w:rPr>
          <w:rFonts w:ascii="仿宋" w:hAnsi="仿宋" w:eastAsia="仿宋"/>
          <w:color w:val="000000"/>
          <w:sz w:val="32"/>
          <w:szCs w:val="32"/>
          <w:highlight w:val="none"/>
        </w:rPr>
        <w:t xml:space="preserve">五、公告期限</w:t>
      </w:r>
      <w:bookmarkEnd w:id="23"/>
      <w:r/>
      <w:bookmarkEnd w:id="24"/>
      <w:r/>
      <w:bookmarkEnd w:id="25"/>
      <w:r/>
      <w:bookmarkEnd w:id="26"/>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3"/>
        <w:ind w:firstLine="643"/>
        <w:jc w:val="left"/>
        <w:spacing w:before="0" w:line="360" w:lineRule="auto"/>
        <w:rPr>
          <w:rFonts w:ascii="仿宋" w:hAnsi="仿宋" w:eastAsia="仿宋"/>
          <w:color w:val="000000"/>
          <w:sz w:val="32"/>
          <w:szCs w:val="32"/>
          <w:highlight w:val="none"/>
        </w:rPr>
      </w:pPr>
      <w:r/>
      <w:bookmarkStart w:id="27" w:name="_Toc35393795"/>
      <w:r/>
      <w:bookmarkStart w:id="28" w:name="_Toc35393626"/>
      <w:r>
        <w:rPr>
          <w:rFonts w:ascii="仿宋" w:hAnsi="仿宋" w:eastAsia="仿宋"/>
          <w:color w:val="000000"/>
          <w:sz w:val="32"/>
          <w:szCs w:val="32"/>
          <w:highlight w:val="none"/>
        </w:rPr>
        <w:t xml:space="preserve">六、其他补充事宜</w:t>
      </w:r>
      <w:bookmarkEnd w:id="27"/>
      <w:r/>
      <w:bookmarkEnd w:id="28"/>
      <w:r>
        <w:rPr>
          <w:rFonts w:ascii="仿宋" w:hAnsi="仿宋" w:eastAsia="仿宋"/>
          <w:color w:val="000000"/>
          <w:sz w:val="32"/>
          <w:szCs w:val="32"/>
          <w:highlight w:val="none"/>
        </w:rPr>
      </w:r>
      <w:r/>
    </w:p>
    <w:p>
      <w:pPr>
        <w:pStyle w:val="1071"/>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1"/>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1"/>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1"/>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3"/>
        <w:ind w:firstLine="643"/>
        <w:jc w:val="left"/>
        <w:spacing w:before="0" w:line="360" w:lineRule="auto"/>
        <w:rPr>
          <w:rFonts w:ascii="仿宋" w:hAnsi="仿宋" w:eastAsia="仿宋"/>
          <w:color w:val="000000"/>
          <w:sz w:val="32"/>
          <w:szCs w:val="32"/>
          <w:highlight w:val="none"/>
        </w:rPr>
      </w:pPr>
      <w:r/>
      <w:bookmarkStart w:id="29" w:name="_Toc28359008"/>
      <w:r/>
      <w:bookmarkStart w:id="30" w:name="_Toc35393627"/>
      <w:r/>
      <w:bookmarkStart w:id="31" w:name="_Toc35393796"/>
      <w:r/>
      <w:bookmarkStart w:id="32" w:name="_Toc28359085"/>
      <w:r>
        <w:rPr>
          <w:rFonts w:ascii="仿宋" w:hAnsi="仿宋" w:eastAsia="仿宋"/>
          <w:color w:val="000000"/>
          <w:sz w:val="32"/>
          <w:szCs w:val="32"/>
          <w:highlight w:val="none"/>
        </w:rPr>
        <w:t xml:space="preserve">七、对本次招标提出询问，请按以下方式联系。</w:t>
      </w:r>
      <w:bookmarkEnd w:id="29"/>
      <w:r/>
      <w:bookmarkEnd w:id="30"/>
      <w:r/>
      <w:bookmarkEnd w:id="31"/>
      <w:r/>
      <w:bookmarkEnd w:id="32"/>
      <w:r>
        <w:rPr>
          <w:rFonts w:ascii="仿宋" w:hAnsi="仿宋" w:eastAsia="仿宋"/>
          <w:color w:val="000000"/>
          <w:sz w:val="32"/>
          <w:szCs w:val="32"/>
          <w:highlight w:val="none"/>
        </w:rPr>
      </w:r>
      <w:r/>
    </w:p>
    <w:p>
      <w:pPr>
        <w:pStyle w:val="1071"/>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1.采购人信息</w:t>
      </w:r>
      <w:r>
        <w:rPr>
          <w:rFonts w:hint="eastAsia" w:ascii="仿宋" w:hAnsi="仿宋" w:eastAsia="仿宋"/>
          <w:b/>
          <w:bCs/>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bookmarkStart w:id="33" w:name="_Toc28359086"/>
      <w:r/>
      <w:bookmarkStart w:id="34" w:name="_Toc28359009"/>
      <w:r>
        <w:rPr>
          <w:rFonts w:hint="eastAsia" w:ascii="仿宋" w:hAnsi="仿宋" w:eastAsia="仿宋"/>
          <w:color w:val="000000"/>
          <w:sz w:val="32"/>
          <w:szCs w:val="32"/>
          <w:highlight w:val="none"/>
        </w:rPr>
        <w:t xml:space="preserve">单位名称：江苏常州经济开发区街道社区卫生服务中心</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单位地址：经开区潞城花苑71栋</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联系人：钟女士</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联系电话：0519-88401897</w:t>
      </w:r>
      <w:r>
        <w:rPr>
          <w:rFonts w:hint="eastAsia" w:ascii="仿宋" w:hAnsi="仿宋" w:eastAsia="仿宋"/>
          <w:color w:val="000000"/>
          <w:sz w:val="32"/>
          <w:szCs w:val="32"/>
          <w:highlight w:val="none"/>
        </w:rPr>
      </w:r>
      <w:r/>
    </w:p>
    <w:p>
      <w:pPr>
        <w:pStyle w:val="1071"/>
        <w:ind w:firstLine="643"/>
        <w:spacing w:line="360" w:lineRule="auto"/>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2.采购代理机构信息</w:t>
      </w:r>
      <w:bookmarkEnd w:id="33"/>
      <w:r/>
      <w:bookmarkEnd w:id="34"/>
      <w:r>
        <w:rPr>
          <w:rFonts w:hint="eastAsia" w:ascii="仿宋" w:hAnsi="仿宋" w:eastAsia="仿宋"/>
          <w:b/>
          <w:bCs/>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bookmarkStart w:id="35" w:name="_Toc28359087"/>
      <w:r/>
      <w:bookmarkStart w:id="36"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1"/>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1"/>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5"/>
      <w:r/>
      <w:bookmarkEnd w:id="36"/>
      <w:r>
        <w:rPr>
          <w:rFonts w:hint="eastAsia" w:ascii="仿宋" w:hAnsi="仿宋" w:eastAsia="仿宋"/>
          <w:b/>
          <w:color w:val="000000"/>
          <w:sz w:val="32"/>
          <w:szCs w:val="32"/>
          <w:highlight w:val="none"/>
        </w:rPr>
      </w:r>
      <w:r/>
    </w:p>
    <w:p>
      <w:pPr>
        <w:pStyle w:val="1071"/>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hint="eastAsia" w:ascii="仿宋" w:hAnsi="仿宋" w:eastAsia="仿宋"/>
          <w:color w:val="000000"/>
          <w:sz w:val="32"/>
          <w:szCs w:val="32"/>
          <w:highlight w:val="none"/>
        </w:rPr>
      </w:r>
      <w:r/>
    </w:p>
    <w:p>
      <w:pPr>
        <w:pStyle w:val="1071"/>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w:t>
      </w:r>
      <w:r>
        <w:rPr>
          <w:rFonts w:ascii="仿宋" w:hAnsi="仿宋" w:eastAsia="仿宋"/>
          <w:color w:val="000000"/>
          <w:sz w:val="24"/>
          <w:highlight w:val="none"/>
        </w:rPr>
      </w:r>
      <w:r/>
    </w:p>
    <w:p>
      <w:pPr>
        <w:pStyle w:val="1071"/>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7" w:name="_Toc305158928"/>
      <w:r/>
      <w:bookmarkStart w:id="38" w:name="_Toc353873938"/>
      <w:r/>
      <w:bookmarkStart w:id="39" w:name="_Toc512937850"/>
      <w:r/>
      <w:bookmarkStart w:id="40" w:name="_Toc150774783"/>
      <w:r/>
      <w:bookmarkStart w:id="41" w:name="_Toc195842950"/>
      <w:r/>
      <w:bookmarkStart w:id="42" w:name="_Toc99301420"/>
      <w:r/>
      <w:bookmarkStart w:id="43" w:name="_Toc265228423"/>
      <w:r/>
      <w:bookmarkStart w:id="44" w:name="_Toc305158854"/>
      <w:r/>
      <w:bookmarkStart w:id="45" w:name="_Toc264969275"/>
      <w:r/>
      <w:bookmarkStart w:id="46" w:name="_Toc127151777"/>
      <w:r/>
      <w:bookmarkStart w:id="47" w:name="_Toc353825548"/>
      <w:r/>
      <w:bookmarkStart w:id="48" w:name="_Toc226965856"/>
      <w:r/>
      <w:bookmarkStart w:id="49" w:name="_Toc127161488"/>
      <w:r>
        <w:rPr>
          <w:rFonts w:ascii="宋体" w:hAnsi="宋体"/>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ascii="宋体" w:hAnsi="宋体"/>
          <w:b/>
          <w:color w:val="000000"/>
          <w:sz w:val="32"/>
          <w:szCs w:val="32"/>
          <w:highlight w:val="none"/>
        </w:rPr>
      </w:r>
      <w:r/>
    </w:p>
    <w:p>
      <w:pPr>
        <w:pStyle w:val="1073"/>
        <w:spacing w:before="0" w:line="360" w:lineRule="auto"/>
        <w:tabs>
          <w:tab w:val="center" w:pos="4592" w:leader="none"/>
          <w:tab w:val="left" w:pos="7860" w:leader="none"/>
        </w:tabs>
        <w:rPr>
          <w:rFonts w:ascii="宋体" w:hAnsi="宋体" w:eastAsia="宋体"/>
          <w:color w:val="000000"/>
          <w:sz w:val="28"/>
          <w:highlight w:val="none"/>
        </w:rPr>
      </w:pPr>
      <w:r/>
      <w:bookmarkStart w:id="50" w:name="_Toc226965792"/>
      <w:r/>
      <w:bookmarkStart w:id="51" w:name="_Toc151193833"/>
      <w:r/>
      <w:bookmarkStart w:id="52" w:name="_Toc520356144"/>
      <w:r/>
      <w:bookmarkStart w:id="53" w:name="_Toc127161433"/>
      <w:r/>
      <w:bookmarkStart w:id="54" w:name="_Toc151193689"/>
      <w:r/>
      <w:bookmarkStart w:id="55" w:name="_Toc164229214"/>
      <w:r/>
      <w:bookmarkStart w:id="56" w:name="_Toc195842884"/>
      <w:r/>
      <w:bookmarkStart w:id="57" w:name="_Toc164229360"/>
      <w:r/>
      <w:bookmarkStart w:id="58" w:name="_Toc164351613"/>
      <w:r/>
      <w:bookmarkStart w:id="59" w:name="_Toc149720812"/>
      <w:r/>
      <w:bookmarkStart w:id="60" w:name="_Toc150774724"/>
      <w:r/>
      <w:bookmarkStart w:id="61" w:name="_Toc127151519"/>
      <w:r/>
      <w:bookmarkStart w:id="62" w:name="_Toc150774619"/>
      <w:r/>
      <w:bookmarkStart w:id="63" w:name="_Toc164608633"/>
      <w:r/>
      <w:bookmarkStart w:id="64" w:name="_Toc151190146"/>
      <w:r/>
      <w:bookmarkStart w:id="65" w:name="_Toc226309763"/>
      <w:r/>
      <w:bookmarkStart w:id="66" w:name="_Toc151193907"/>
      <w:r/>
      <w:bookmarkStart w:id="67" w:name="_Toc226965709"/>
      <w:r/>
      <w:bookmarkStart w:id="68" w:name="_Toc150509270"/>
      <w:r/>
      <w:bookmarkStart w:id="69" w:name="_Toc127151720"/>
      <w:r/>
      <w:bookmarkStart w:id="70" w:name="_Toc150480757"/>
      <w:r/>
      <w:bookmarkStart w:id="71" w:name="_Toc164608788"/>
      <w:r/>
      <w:bookmarkStart w:id="72" w:name="_Toc151193617"/>
      <w:r/>
      <w:bookmarkStart w:id="73" w:name="_Toc151193761"/>
      <w:r/>
      <w:bookmarkStart w:id="74" w:name="_Toc142311021"/>
      <w:r/>
      <w:bookmarkStart w:id="75" w:name="_Toc226337215"/>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1"/>
        <w:jc w:val="center"/>
        <w:rPr>
          <w:rFonts w:ascii="宋体" w:hAnsi="宋体"/>
          <w:b/>
          <w:color w:val="000000"/>
          <w:sz w:val="28"/>
          <w:szCs w:val="28"/>
          <w:highlight w:val="none"/>
        </w:rPr>
      </w:pPr>
      <w:r>
        <w:rPr>
          <w:rFonts w:ascii="宋体" w:hAnsi="宋体"/>
          <w:b/>
          <w:color w:val="000000"/>
          <w:sz w:val="28"/>
          <w:szCs w:val="28"/>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0"/>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0"/>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 01 包为单一产品采购项目。</w:t>
            </w:r>
            <w:r>
              <w:rPr>
                <w:rFonts w:hAnsi="宋体" w:cs="宋体"/>
                <w:color w:val="000000"/>
                <w:sz w:val="24"/>
                <w:szCs w:val="24"/>
                <w:highlight w:val="none"/>
              </w:rPr>
            </w:r>
            <w:r/>
          </w:p>
          <w:p>
            <w:pPr>
              <w:pStyle w:val="1071"/>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本项目_02/03/04/05/06_包为非单一产品采购项目，</w:t>
            </w:r>
            <w:r>
              <w:rPr>
                <w:rFonts w:hint="eastAsia" w:ascii="宋体" w:hAnsi="宋体" w:cs="宋体"/>
                <w:b/>
                <w:bCs/>
                <w:color w:val="000000"/>
                <w:sz w:val="24"/>
                <w:highlight w:val="none"/>
              </w:rPr>
              <w:t xml:space="preserve">包02</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血压脉搏测量装置</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包03</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牙科综合治疗机</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包04</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口腔曲面体层X射线机；包05</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屈光筛查仪；包06</w:t>
            </w:r>
            <w:r>
              <w:rPr>
                <w:rFonts w:hint="eastAsia" w:ascii="宋体" w:hAnsi="宋体" w:cs="宋体"/>
                <w:color w:val="000000"/>
                <w:sz w:val="24"/>
                <w:highlight w:val="none"/>
              </w:rPr>
              <w:t xml:space="preserve">的核心产品为：</w:t>
            </w:r>
            <w:r>
              <w:rPr>
                <w:rFonts w:hint="eastAsia" w:ascii="宋体" w:hAnsi="宋体" w:cs="宋体"/>
                <w:b/>
                <w:bCs/>
                <w:color w:val="000000"/>
                <w:sz w:val="24"/>
                <w:highlight w:val="none"/>
              </w:rPr>
              <w:t xml:space="preserve">呼吸机。</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1"/>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0"/>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0"/>
              <w:jc w:val="center"/>
              <w:rPr>
                <w:rFonts w:hAnsi="宋体" w:cs="宋体"/>
                <w:color w:val="000000"/>
                <w:sz w:val="24"/>
                <w:szCs w:val="24"/>
                <w:highlight w:val="yellow"/>
              </w:rPr>
            </w:pPr>
            <w:r>
              <w:rPr>
                <w:rFonts w:hAnsi="宋体" w:cs="宋体"/>
                <w:color w:val="0000ff"/>
                <w:sz w:val="24"/>
                <w:szCs w:val="24"/>
                <w:highlight w:val="yellow"/>
              </w:rPr>
              <w:t xml:space="preserve">5.9</w:t>
            </w:r>
            <w:r>
              <w:rPr>
                <w:rFonts w:hAnsi="宋体" w:cs="宋体"/>
                <w:color w:val="000000"/>
                <w:sz w:val="24"/>
                <w:szCs w:val="24"/>
                <w:highlight w:val="yellow"/>
              </w:rPr>
            </w:r>
            <w:r/>
          </w:p>
        </w:tc>
        <w:tc>
          <w:tcPr>
            <w:tcW w:w="1701" w:type="dxa"/>
            <w:vAlign w:val="center"/>
            <w:textDirection w:val="lrTb"/>
            <w:noWrap w:val="false"/>
          </w:tcPr>
          <w:p>
            <w:pPr>
              <w:pStyle w:val="1071"/>
              <w:jc w:val="center"/>
              <w:spacing w:line="360" w:lineRule="exact"/>
              <w:rPr>
                <w:rFonts w:hint="eastAsia" w:ascii="宋体" w:hAnsi="宋体" w:cs="宋体"/>
                <w:color w:val="000000"/>
                <w:sz w:val="24"/>
                <w:highlight w:val="yellow"/>
              </w:rPr>
            </w:pPr>
            <w:r>
              <w:rPr>
                <w:rFonts w:hint="eastAsia"/>
                <w:color w:val="0000ff"/>
                <w:sz w:val="24"/>
                <w:highlight w:val="yellow"/>
              </w:rPr>
              <w:t xml:space="preserve">本国产品政策支持</w:t>
            </w:r>
            <w:r>
              <w:rPr>
                <w:rFonts w:hint="eastAsia" w:ascii="宋体" w:hAnsi="宋体" w:cs="宋体"/>
                <w:color w:val="000000"/>
                <w:sz w:val="24"/>
                <w:highlight w:val="yellow"/>
              </w:rPr>
            </w:r>
            <w:r/>
          </w:p>
        </w:tc>
        <w:tc>
          <w:tcPr>
            <w:tcW w:w="7540" w:type="dxa"/>
            <w:vAlign w:val="center"/>
            <w:textDirection w:val="lrTb"/>
            <w:noWrap w:val="false"/>
          </w:tcPr>
          <w:p>
            <w:pPr>
              <w:pStyle w:val="1071"/>
              <w:jc w:val="left"/>
              <w:spacing w:line="360" w:lineRule="exact"/>
              <w:rPr>
                <w:rFonts w:hint="eastAsia"/>
                <w:color w:val="0000ff"/>
                <w:sz w:val="24"/>
                <w:highlight w:val="yellow"/>
              </w:rPr>
            </w:pPr>
            <w:r>
              <w:rPr>
                <w:color w:val="0000ff"/>
                <w:sz w:val="24"/>
                <w:highlight w:val="yellow"/>
              </w:rPr>
              <w:t xml:space="preserve">关于</w:t>
            </w:r>
            <w:r>
              <w:rPr>
                <w:rFonts w:hint="eastAsia"/>
                <w:color w:val="0000ff"/>
                <w:sz w:val="24"/>
                <w:highlight w:val="yellow"/>
              </w:rPr>
              <w:t xml:space="preserve">对采购本国产品给予政策支持，本项目：</w:t>
            </w:r>
            <w:r>
              <w:rPr>
                <w:rFonts w:ascii="Wingdings 2" w:hAnsi="Wingdings 2" w:eastAsia="Wingdings 2" w:cs="Wingdings 2"/>
                <w:color w:val="0000ff"/>
                <w:sz w:val="24"/>
                <w:highlight w:val="yellow"/>
              </w:rPr>
              <w:t xml:space="preserve">R</w:t>
            </w:r>
            <w:r>
              <w:rPr>
                <w:rFonts w:hint="eastAsia"/>
                <w:color w:val="0000ff"/>
                <w:sz w:val="24"/>
                <w:highlight w:val="yellow"/>
              </w:rPr>
              <w:t xml:space="preserve">适用 </w:t>
            </w:r>
            <w:r>
              <w:rPr>
                <w:rFonts w:hint="eastAsia"/>
                <w:color w:val="0000ff"/>
                <w:sz w:val="24"/>
                <w:highlight w:val="yellow"/>
              </w:rPr>
              <w:fldChar w:fldCharType="begin"/>
            </w:r>
            <w:r>
              <w:rPr>
                <w:rFonts w:hint="eastAsia"/>
                <w:color w:val="0000ff"/>
                <w:sz w:val="24"/>
                <w:highlight w:val="yellow"/>
              </w:rPr>
              <w:instrText xml:space="preserve"> eq \o \ac(□)</w:instrText>
            </w:r>
            <w:r>
              <w:rPr>
                <w:rFonts w:hint="eastAsia"/>
                <w:color w:val="0000ff"/>
                <w:sz w:val="24"/>
                <w:highlight w:val="yellow"/>
              </w:rPr>
              <w:fldChar w:fldCharType="end"/>
            </w:r>
            <w:r>
              <w:rPr>
                <w:rFonts w:hint="eastAsia"/>
                <w:color w:val="0000ff"/>
                <w:sz w:val="24"/>
                <w:highlight w:val="yellow"/>
              </w:rPr>
              <w:t xml:space="preserve">不适用。</w:t>
            </w:r>
            <w:r>
              <w:rPr>
                <w:rFonts w:hint="eastAsia"/>
                <w:color w:val="0000ff"/>
                <w:sz w:val="24"/>
                <w:highlight w:val="yellow"/>
              </w:rPr>
            </w:r>
            <w:r/>
          </w:p>
          <w:p>
            <w:pPr>
              <w:pStyle w:val="1073"/>
              <w:jc w:val="both"/>
              <w:keepLines w:val="0"/>
              <w:keepNext w:val="0"/>
              <w:spacing w:before="0" w:line="360" w:lineRule="exact"/>
              <w:shd w:val="clear" w:color="auto" w:fill="ffffff"/>
              <w:widowControl/>
              <w:rPr>
                <w:rFonts w:hint="eastAsia" w:ascii="宋体" w:hAnsi="宋体" w:cs="宋体"/>
                <w:color w:val="000000"/>
                <w:sz w:val="24"/>
                <w:highlight w:val="yellow"/>
              </w:rPr>
            </w:pPr>
            <w:r>
              <w:rPr>
                <w:rFonts w:hint="eastAsia" w:ascii="Times New Roman" w:hAnsi="Times New Roman" w:eastAsia="宋体"/>
                <w:b w:val="0"/>
                <w:color w:val="0000ff"/>
                <w:sz w:val="24"/>
                <w:szCs w:val="24"/>
                <w:highlight w:val="yellow"/>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yellow"/>
              </w:rPr>
            </w:r>
            <w:r/>
          </w:p>
        </w:tc>
      </w:tr>
      <w:tr>
        <w:trPr>
          <w:trHeight w:val="841"/>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w:t>
            </w:r>
            <w:r>
              <w:rPr>
                <w:rFonts w:ascii="宋体" w:hAnsi="宋体" w:cs="宋体"/>
                <w:b/>
                <w:color w:val="000000"/>
                <w:sz w:val="24"/>
                <w:highlight w:val="none"/>
              </w:rPr>
              <w:t xml:space="preserve">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13</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1"/>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1"/>
              <w:jc w:val="left"/>
              <w:rPr>
                <w:rFonts w:hint="eastAsia" w:ascii="宋体" w:hAnsi="宋体" w:cs="宋体"/>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Cs/>
                <w:color w:val="000000"/>
                <w:sz w:val="24"/>
                <w:highlight w:val="none"/>
              </w:rPr>
              <w:t xml:space="preserve">成交供应商须按其成交金额的0.8%计算并支付代理费。代理费按上述计算方法不足人民币3000元的，按人民币3000元收取。</w:t>
            </w:r>
            <w:r>
              <w:rPr>
                <w:rFonts w:hint="eastAsia" w:ascii="宋体" w:hAnsi="宋体" w:cs="宋体"/>
                <w:bCs/>
                <w:color w:val="000000"/>
                <w:sz w:val="24"/>
                <w:highlight w:val="none"/>
              </w:rPr>
            </w:r>
            <w:r/>
          </w:p>
          <w:p>
            <w:pPr>
              <w:pStyle w:val="1071"/>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1"/>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0"/>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1"/>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1"/>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1"/>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1"/>
        <w:jc w:val="center"/>
        <w:spacing w:before="240" w:after="240"/>
        <w:rPr>
          <w:rFonts w:hint="eastAsia" w:ascii="宋体" w:hAnsi="宋体" w:cs="宋体"/>
          <w:b/>
          <w:color w:val="000000"/>
          <w:sz w:val="28"/>
          <w:szCs w:val="28"/>
          <w:highlight w:val="none"/>
        </w:rPr>
      </w:pPr>
      <w:r/>
      <w:bookmarkStart w:id="76" w:name="_Toc150480755"/>
      <w:r/>
      <w:bookmarkStart w:id="77" w:name="_Toc142311019"/>
      <w:r/>
      <w:bookmarkStart w:id="78" w:name="_Toc265228355"/>
      <w:r/>
      <w:bookmarkStart w:id="79" w:name="_Toc226337213"/>
      <w:r/>
      <w:bookmarkStart w:id="80" w:name="_Toc353873932"/>
      <w:r/>
      <w:bookmarkStart w:id="81" w:name="_Toc353825542"/>
      <w:r/>
      <w:bookmarkStart w:id="82" w:name="_Toc127151517"/>
      <w:r/>
      <w:bookmarkStart w:id="83" w:name="_Toc264969207"/>
      <w:r/>
      <w:bookmarkStart w:id="84" w:name="_Toc150774722"/>
      <w:r/>
      <w:bookmarkStart w:id="85" w:name="_Toc195842882"/>
      <w:r/>
      <w:bookmarkStart w:id="86" w:name="_Toc305158785"/>
      <w:r/>
      <w:bookmarkStart w:id="87" w:name="_Toc305158859"/>
      <w:r/>
      <w:bookmarkStart w:id="88" w:name="_Toc226965790"/>
      <w:r/>
      <w:bookmarkStart w:id="89" w:name="_Toc353873662"/>
      <w:r>
        <w:rPr>
          <w:rFonts w:hint="eastAsia" w:ascii="宋体" w:hAnsi="宋体" w:cs="宋体"/>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b/>
          <w:color w:val="000000"/>
          <w:sz w:val="28"/>
          <w:szCs w:val="28"/>
          <w:highlight w:val="none"/>
        </w:rPr>
      </w:r>
      <w:r/>
    </w:p>
    <w:p>
      <w:pPr>
        <w:pStyle w:val="1073"/>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90" w:name="_Toc265228356"/>
      <w:r/>
      <w:bookmarkStart w:id="91" w:name="_Toc150509269"/>
      <w:r/>
      <w:bookmarkStart w:id="92" w:name="_Toc151193688"/>
      <w:r/>
      <w:bookmarkStart w:id="93" w:name="_Toc226309762"/>
      <w:r/>
      <w:bookmarkStart w:id="94" w:name="_Toc226965708"/>
      <w:r/>
      <w:bookmarkStart w:id="95" w:name="_Toc142311020"/>
      <w:r/>
      <w:bookmarkStart w:id="96" w:name="_Toc151193906"/>
      <w:r/>
      <w:bookmarkStart w:id="97" w:name="_Toc226337214"/>
      <w:r/>
      <w:bookmarkStart w:id="98" w:name="_Toc226965791"/>
      <w:r/>
      <w:bookmarkStart w:id="99" w:name="_Toc127151518"/>
      <w:r/>
      <w:bookmarkStart w:id="100" w:name="_Toc150480756"/>
      <w:r/>
      <w:bookmarkStart w:id="101" w:name="_Toc305158860"/>
      <w:r/>
      <w:bookmarkStart w:id="102" w:name="_Toc264969208"/>
      <w:r/>
      <w:bookmarkStart w:id="103" w:name="_Toc151193760"/>
      <w:r/>
      <w:bookmarkStart w:id="104" w:name="_Toc520356143"/>
      <w:r/>
      <w:bookmarkStart w:id="105" w:name="_Toc305158786"/>
      <w:r/>
      <w:bookmarkStart w:id="106" w:name="_Toc151190145"/>
      <w:r/>
      <w:bookmarkStart w:id="107" w:name="_Toc151193616"/>
      <w:r/>
      <w:bookmarkStart w:id="108" w:name="_Toc151193832"/>
      <w:r/>
      <w:bookmarkStart w:id="109" w:name="_Toc150774723"/>
      <w:r/>
      <w:bookmarkStart w:id="110" w:name="_Toc150774618"/>
      <w:r/>
      <w:bookmarkStart w:id="111" w:name="_Toc195842883"/>
      <w:r>
        <w:rPr>
          <w:rFonts w:hint="eastAsia" w:ascii="宋体" w:hAnsi="宋体" w:eastAsia="宋体" w:cs="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color w:val="000000"/>
          <w:sz w:val="28"/>
          <w:highlight w:val="none"/>
        </w:rPr>
        <w:t xml:space="preserve">:</w:t>
      </w:r>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2" w:name="_Toc305158861"/>
      <w:r/>
      <w:bookmarkStart w:id="113" w:name="_Toc265228357"/>
      <w:r/>
      <w:bookmarkStart w:id="114" w:name="_Toc305158787"/>
      <w:r/>
      <w:bookmarkStart w:id="115" w:name="_Toc264969209"/>
      <w:r>
        <w:rPr>
          <w:rFonts w:hint="eastAsia" w:ascii="宋体" w:hAnsi="宋体" w:cs="宋体"/>
          <w:b/>
          <w:color w:val="000000"/>
          <w:sz w:val="24"/>
          <w:highlight w:val="none"/>
        </w:rPr>
        <w:t xml:space="preserve">采购人、采购代理机构、投标人</w:t>
      </w:r>
      <w:bookmarkEnd w:id="112"/>
      <w:r/>
      <w:bookmarkEnd w:id="113"/>
      <w:r/>
      <w:bookmarkEnd w:id="114"/>
      <w:r/>
      <w:bookmarkEnd w:id="115"/>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16" w:name="_Toc226337216"/>
      <w:r/>
      <w:bookmarkStart w:id="117" w:name="_Toc164229215"/>
      <w:r/>
      <w:bookmarkStart w:id="118" w:name="_Toc226965793"/>
      <w:r/>
      <w:bookmarkStart w:id="119" w:name="_Toc265228358"/>
      <w:r/>
      <w:bookmarkStart w:id="120" w:name="_Toc150509271"/>
      <w:r/>
      <w:bookmarkStart w:id="121" w:name="_Toc151193690"/>
      <w:r/>
      <w:bookmarkStart w:id="122" w:name="_Toc150774725"/>
      <w:r/>
      <w:bookmarkStart w:id="123" w:name="_Toc226965710"/>
      <w:r/>
      <w:bookmarkStart w:id="124" w:name="_Toc151193618"/>
      <w:r/>
      <w:bookmarkStart w:id="125" w:name="_Toc164608789"/>
      <w:r/>
      <w:bookmarkStart w:id="126" w:name="_Toc150774620"/>
      <w:r/>
      <w:bookmarkStart w:id="127" w:name="_Toc149720813"/>
      <w:r/>
      <w:bookmarkStart w:id="128" w:name="_Toc127151721"/>
      <w:r/>
      <w:bookmarkStart w:id="129" w:name="_Toc226309764"/>
      <w:r/>
      <w:bookmarkStart w:id="130" w:name="_Toc305158862"/>
      <w:r/>
      <w:bookmarkStart w:id="131" w:name="_Toc150480758"/>
      <w:r/>
      <w:bookmarkStart w:id="132" w:name="_Toc127161434"/>
      <w:r/>
      <w:bookmarkStart w:id="133" w:name="_Toc142311022"/>
      <w:r/>
      <w:bookmarkStart w:id="134" w:name="_Toc151193834"/>
      <w:r/>
      <w:bookmarkStart w:id="135" w:name="_Toc164351614"/>
      <w:r/>
      <w:bookmarkStart w:id="136" w:name="_Toc151193908"/>
      <w:r/>
      <w:bookmarkStart w:id="137" w:name="_Toc151193762"/>
      <w:r/>
      <w:bookmarkStart w:id="138" w:name="_Toc195842885"/>
      <w:r/>
      <w:bookmarkStart w:id="139" w:name="_Toc164229361"/>
      <w:r/>
      <w:bookmarkStart w:id="140" w:name="_Toc151190147"/>
      <w:r/>
      <w:bookmarkStart w:id="141" w:name="_Toc127151520"/>
      <w:r/>
      <w:bookmarkStart w:id="142" w:name="_Toc164608634"/>
      <w:r/>
      <w:bookmarkStart w:id="143" w:name="_Toc264969210"/>
      <w:r/>
      <w:bookmarkStart w:id="144" w:name="_Toc305158788"/>
      <w:r>
        <w:rPr>
          <w:rFonts w:hint="eastAsia" w:ascii="宋体" w:hAnsi="宋体" w:cs="宋体"/>
          <w:b/>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5" w:name="_Toc150509273"/>
      <w:r/>
      <w:bookmarkStart w:id="146" w:name="_Toc150480760"/>
      <w:r/>
      <w:bookmarkStart w:id="147" w:name="_Toc265228360"/>
      <w:r/>
      <w:bookmarkStart w:id="148" w:name="_Toc305158790"/>
      <w:r/>
      <w:bookmarkStart w:id="149" w:name="_Toc142311024"/>
      <w:r/>
      <w:bookmarkStart w:id="150" w:name="_Toc226337218"/>
      <w:r/>
      <w:bookmarkStart w:id="151" w:name="_Toc264969212"/>
      <w:r/>
      <w:bookmarkStart w:id="152" w:name="_Toc150774727"/>
      <w:r/>
      <w:bookmarkStart w:id="153" w:name="_Toc151193620"/>
      <w:r/>
      <w:bookmarkStart w:id="154" w:name="_Toc226965795"/>
      <w:r/>
      <w:bookmarkStart w:id="155" w:name="_Toc150774622"/>
      <w:r/>
      <w:bookmarkStart w:id="156" w:name="_Toc520356146"/>
      <w:r/>
      <w:bookmarkStart w:id="157" w:name="_Toc151193910"/>
      <w:r/>
      <w:bookmarkStart w:id="158" w:name="_Toc226309766"/>
      <w:r/>
      <w:bookmarkStart w:id="159" w:name="_Toc226965712"/>
      <w:r/>
      <w:bookmarkStart w:id="160" w:name="_Toc151193692"/>
      <w:r/>
      <w:bookmarkStart w:id="161" w:name="_Toc305158864"/>
      <w:r/>
      <w:bookmarkStart w:id="162" w:name="_Toc127151522"/>
      <w:r/>
      <w:bookmarkStart w:id="163" w:name="_Toc151193764"/>
      <w:r/>
      <w:bookmarkStart w:id="164" w:name="_Toc151190149"/>
      <w:r/>
      <w:bookmarkStart w:id="165" w:name="_Toc195842887"/>
      <w:r/>
      <w:bookmarkStart w:id="166" w:name="_Toc151193836"/>
      <w:r>
        <w:rPr>
          <w:rFonts w:hint="eastAsia" w:ascii="宋体" w:hAnsi="宋体" w:cs="宋体"/>
          <w:color w:val="000000"/>
          <w:sz w:val="28"/>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1"/>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5"/>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1"/>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cs="宋体"/>
          <w:color w:val="000000"/>
          <w:sz w:val="24"/>
          <w:highlight w:val="none"/>
        </w:rPr>
      </w:r>
      <w:r/>
    </w:p>
    <w:p>
      <w:pPr>
        <w:pStyle w:val="107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1"/>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1"/>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1"/>
        <w:ind w:firstLine="560"/>
        <w:spacing w:line="360" w:lineRule="auto"/>
        <w:tabs>
          <w:tab w:val="left" w:pos="1080" w:leader="none"/>
        </w:tabs>
        <w:rPr>
          <w:rFonts w:hint="eastAsia" w:ascii="宋体" w:hAnsi="宋体" w:cs="宋体"/>
          <w:color w:val="000000"/>
          <w:sz w:val="28"/>
          <w:highlight w:val="none"/>
        </w:rPr>
      </w:pPr>
      <w:r/>
      <w:bookmarkStart w:id="167" w:name="_1.8_计量单位"/>
      <w:r/>
      <w:bookmarkEnd w:id="167"/>
      <w:r>
        <w:rPr>
          <w:rFonts w:hint="eastAsia" w:ascii="宋体" w:hAnsi="宋体" w:cs="宋体"/>
          <w:color w:val="000000"/>
          <w:sz w:val="28"/>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8" w:name="_Toc151193693"/>
      <w:r/>
      <w:bookmarkStart w:id="169" w:name="_Toc164229364"/>
      <w:r/>
      <w:bookmarkStart w:id="170" w:name="_Toc127151523"/>
      <w:r/>
      <w:bookmarkStart w:id="171" w:name="_Toc265228361"/>
      <w:r/>
      <w:bookmarkStart w:id="172" w:name="_Toc150774623"/>
      <w:r/>
      <w:bookmarkStart w:id="173" w:name="_Toc305158791"/>
      <w:r/>
      <w:bookmarkStart w:id="174" w:name="_Toc127151724"/>
      <w:r/>
      <w:bookmarkStart w:id="175" w:name="_Toc149720816"/>
      <w:r/>
      <w:bookmarkStart w:id="176" w:name="_Toc150480761"/>
      <w:r/>
      <w:bookmarkStart w:id="177" w:name="_Toc151193621"/>
      <w:r/>
      <w:bookmarkStart w:id="178" w:name="_Toc520356147"/>
      <w:r/>
      <w:bookmarkStart w:id="179" w:name="_Toc151190150"/>
      <w:r/>
      <w:bookmarkStart w:id="180" w:name="_Toc164608792"/>
      <w:r/>
      <w:bookmarkStart w:id="181" w:name="_Toc226965713"/>
      <w:r/>
      <w:bookmarkStart w:id="182" w:name="_Toc164351617"/>
      <w:r/>
      <w:bookmarkStart w:id="183" w:name="_Toc142311025"/>
      <w:r/>
      <w:bookmarkStart w:id="184" w:name="_Toc226309767"/>
      <w:r/>
      <w:bookmarkStart w:id="185" w:name="_Toc226337219"/>
      <w:r/>
      <w:bookmarkStart w:id="186" w:name="_Toc150774728"/>
      <w:r/>
      <w:bookmarkStart w:id="187" w:name="_Toc150509274"/>
      <w:r/>
      <w:bookmarkStart w:id="188" w:name="_Toc305158865"/>
      <w:r/>
      <w:bookmarkStart w:id="189" w:name="_Toc264969213"/>
      <w:r/>
      <w:bookmarkStart w:id="190" w:name="_Toc164229218"/>
      <w:r/>
      <w:bookmarkStart w:id="191" w:name="_Toc151193911"/>
      <w:r/>
      <w:bookmarkStart w:id="192" w:name="_Toc195842888"/>
      <w:r/>
      <w:bookmarkStart w:id="193" w:name="_Toc226965796"/>
      <w:r/>
      <w:bookmarkStart w:id="194" w:name="_Toc127161437"/>
      <w:r/>
      <w:bookmarkStart w:id="195" w:name="_Toc151193765"/>
      <w:r/>
      <w:bookmarkStart w:id="196" w:name="_Toc164608637"/>
      <w:r/>
      <w:bookmarkStart w:id="197" w:name="_Toc151193837"/>
      <w:r>
        <w:rPr>
          <w:rFonts w:hint="eastAsia" w:ascii="宋体" w:hAnsi="宋体" w:cs="宋体"/>
          <w:b/>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198" w:name="_Toc150774731"/>
      <w:r/>
      <w:bookmarkStart w:id="199" w:name="_Toc150480764"/>
      <w:r/>
      <w:bookmarkStart w:id="200" w:name="_Toc151190153"/>
      <w:r/>
      <w:bookmarkStart w:id="201" w:name="_Toc151193696"/>
      <w:r/>
      <w:bookmarkStart w:id="202" w:name="_Toc226309770"/>
      <w:r/>
      <w:bookmarkStart w:id="203" w:name="_Toc264969216"/>
      <w:r/>
      <w:bookmarkStart w:id="204" w:name="_Toc151193840"/>
      <w:r/>
      <w:bookmarkStart w:id="205" w:name="_Toc265228364"/>
      <w:r/>
      <w:bookmarkStart w:id="206" w:name="_Toc150774626"/>
      <w:r/>
      <w:bookmarkStart w:id="207" w:name="_Toc150509277"/>
      <w:r/>
      <w:bookmarkStart w:id="208" w:name="_Toc305158868"/>
      <w:r/>
      <w:bookmarkStart w:id="209" w:name="_Toc151193914"/>
      <w:r/>
      <w:bookmarkStart w:id="210" w:name="_Toc305158794"/>
      <w:r/>
      <w:bookmarkStart w:id="211" w:name="_Toc516367020"/>
      <w:r/>
      <w:bookmarkStart w:id="212" w:name="_Toc151193768"/>
      <w:r/>
      <w:bookmarkStart w:id="213" w:name="_Toc226337222"/>
      <w:r/>
      <w:bookmarkStart w:id="214" w:name="_Toc151193624"/>
      <w:r/>
      <w:bookmarkStart w:id="215" w:name="_Toc142311028"/>
      <w:r/>
      <w:bookmarkStart w:id="216" w:name="_Toc520356150"/>
      <w:r/>
      <w:bookmarkStart w:id="217" w:name="_Toc195842891"/>
      <w:r/>
      <w:bookmarkStart w:id="218" w:name="_Toc127151526"/>
      <w:r/>
      <w:bookmarkStart w:id="219" w:name="_Toc226965716"/>
      <w:r/>
      <w:bookmarkStart w:id="220" w:name="_Toc226965799"/>
      <w:r>
        <w:rPr>
          <w:rFonts w:hint="eastAsia" w:ascii="宋体" w:hAnsi="宋体" w:eastAsia="宋体" w:cs="宋体"/>
          <w:color w:val="000000"/>
          <w:sz w:val="28"/>
          <w:highlight w:val="none"/>
        </w:rPr>
        <w:t xml:space="preserve">三   投标文件</w:t>
      </w:r>
      <w:bookmarkEnd w:id="211"/>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1" w:name="_Toc150509278"/>
      <w:r/>
      <w:bookmarkStart w:id="222" w:name="_Toc151193841"/>
      <w:r/>
      <w:bookmarkStart w:id="223" w:name="_Toc151190154"/>
      <w:r/>
      <w:bookmarkStart w:id="224" w:name="_Toc226965800"/>
      <w:r/>
      <w:bookmarkStart w:id="225" w:name="_Toc264969217"/>
      <w:r/>
      <w:bookmarkStart w:id="226" w:name="_Toc151193697"/>
      <w:r/>
      <w:bookmarkStart w:id="227" w:name="_Toc516367021"/>
      <w:r/>
      <w:bookmarkStart w:id="228" w:name="_Toc164608641"/>
      <w:r/>
      <w:bookmarkStart w:id="229" w:name="_Toc142311029"/>
      <w:r/>
      <w:bookmarkStart w:id="230" w:name="_Toc195842892"/>
      <w:r/>
      <w:bookmarkStart w:id="231" w:name="_Toc151193625"/>
      <w:r/>
      <w:bookmarkStart w:id="232" w:name="_Toc127161441"/>
      <w:r/>
      <w:bookmarkStart w:id="233" w:name="_Toc226337223"/>
      <w:r/>
      <w:bookmarkStart w:id="234" w:name="_Toc150774732"/>
      <w:r/>
      <w:bookmarkStart w:id="235" w:name="_Toc164351621"/>
      <w:r/>
      <w:bookmarkStart w:id="236" w:name="_Toc164608796"/>
      <w:r/>
      <w:bookmarkStart w:id="237" w:name="_Toc150774627"/>
      <w:r/>
      <w:bookmarkStart w:id="238" w:name="_Toc265228365"/>
      <w:r/>
      <w:bookmarkStart w:id="239" w:name="_Toc151193769"/>
      <w:r/>
      <w:bookmarkStart w:id="240" w:name="_Toc149720820"/>
      <w:r/>
      <w:bookmarkStart w:id="241" w:name="_Toc226309771"/>
      <w:r/>
      <w:bookmarkStart w:id="242" w:name="_Toc150480765"/>
      <w:r/>
      <w:bookmarkStart w:id="243" w:name="_Toc305158869"/>
      <w:r/>
      <w:bookmarkStart w:id="244" w:name="_Toc127151527"/>
      <w:r/>
      <w:bookmarkStart w:id="245" w:name="_Toc151193915"/>
      <w:r/>
      <w:bookmarkStart w:id="246" w:name="_Toc164229222"/>
      <w:r/>
      <w:bookmarkStart w:id="247" w:name="_Toc226965717"/>
      <w:r/>
      <w:bookmarkStart w:id="248" w:name="_Toc305158795"/>
      <w:r/>
      <w:bookmarkStart w:id="249" w:name="_Toc127151728"/>
      <w:r/>
      <w:bookmarkStart w:id="250" w:name="_Toc520356151"/>
      <w:r/>
      <w:bookmarkStart w:id="251" w:name="_Toc164229368"/>
      <w:r>
        <w:rPr>
          <w:rFonts w:hint="eastAsia" w:ascii="宋体" w:hAnsi="宋体" w:cs="宋体"/>
          <w:b/>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2" w:name="_Toc149720821"/>
      <w:r/>
      <w:bookmarkStart w:id="253" w:name="_Toc127151528"/>
      <w:r/>
      <w:bookmarkStart w:id="254" w:name="_Toc264969218"/>
      <w:r/>
      <w:bookmarkStart w:id="255" w:name="_Toc305158870"/>
      <w:r/>
      <w:bookmarkStart w:id="256" w:name="_Toc226337224"/>
      <w:r/>
      <w:bookmarkStart w:id="257" w:name="_Toc127151729"/>
      <w:r/>
      <w:bookmarkStart w:id="258" w:name="_Toc164229223"/>
      <w:r/>
      <w:bookmarkStart w:id="259" w:name="_Ref467306195"/>
      <w:r/>
      <w:bookmarkStart w:id="260" w:name="_Toc516367022"/>
      <w:r/>
      <w:bookmarkStart w:id="261" w:name="_Ref467306676"/>
      <w:r/>
      <w:bookmarkStart w:id="262" w:name="_Toc151193770"/>
      <w:r/>
      <w:bookmarkStart w:id="263" w:name="_Toc151193626"/>
      <w:r/>
      <w:bookmarkStart w:id="264" w:name="_Toc150509279"/>
      <w:r/>
      <w:bookmarkStart w:id="265" w:name="_Toc164608642"/>
      <w:r/>
      <w:bookmarkStart w:id="266" w:name="_Toc520356152"/>
      <w:r/>
      <w:bookmarkStart w:id="267" w:name="_Toc142311030"/>
      <w:r/>
      <w:bookmarkStart w:id="268" w:name="_Toc164229369"/>
      <w:r/>
      <w:bookmarkStart w:id="269" w:name="_Toc195842893"/>
      <w:r/>
      <w:bookmarkStart w:id="270" w:name="_Toc164351622"/>
      <w:r/>
      <w:bookmarkStart w:id="271" w:name="_Toc127161442"/>
      <w:r/>
      <w:bookmarkStart w:id="272" w:name="_Toc150774733"/>
      <w:r/>
      <w:bookmarkStart w:id="273" w:name="_Toc226965801"/>
      <w:r/>
      <w:bookmarkStart w:id="274" w:name="_Toc265228366"/>
      <w:r/>
      <w:bookmarkStart w:id="275" w:name="_Toc150480766"/>
      <w:r/>
      <w:bookmarkStart w:id="276" w:name="_Toc226309772"/>
      <w:r/>
      <w:bookmarkStart w:id="277" w:name="_Toc150774628"/>
      <w:r/>
      <w:bookmarkStart w:id="278" w:name="_Toc151190155"/>
      <w:r/>
      <w:bookmarkStart w:id="279" w:name="_Toc305158796"/>
      <w:r/>
      <w:bookmarkStart w:id="280" w:name="_Toc226965718"/>
      <w:r/>
      <w:bookmarkStart w:id="281" w:name="_Toc151193698"/>
      <w:r/>
      <w:bookmarkStart w:id="282" w:name="_Toc164608797"/>
      <w:r/>
      <w:bookmarkStart w:id="283" w:name="_Toc151193842"/>
      <w:r/>
      <w:bookmarkStart w:id="284" w:name="_Toc151193916"/>
      <w:r>
        <w:rPr>
          <w:rFonts w:hint="eastAsia" w:ascii="宋体" w:hAnsi="宋体" w:cs="宋体"/>
          <w:b/>
          <w:color w:val="000000"/>
          <w:sz w:val="24"/>
          <w:highlight w:val="none"/>
        </w:rPr>
        <w:t xml:space="preserve">投标文件</w:t>
      </w:r>
      <w:bookmarkEnd w:id="259"/>
      <w:r/>
      <w:bookmarkEnd w:id="260"/>
      <w:r/>
      <w:bookmarkEnd w:id="261"/>
      <w:r>
        <w:rPr>
          <w:rFonts w:hint="eastAsia" w:ascii="宋体" w:hAnsi="宋体" w:cs="宋体"/>
          <w:b/>
          <w:color w:val="000000"/>
          <w:sz w:val="24"/>
          <w:highlight w:val="none"/>
        </w:rPr>
        <w:t xml:space="preserve">构成</w:t>
      </w:r>
      <w:bookmarkEnd w:id="252"/>
      <w:r/>
      <w:bookmarkEnd w:id="253"/>
      <w:r/>
      <w:bookmarkEnd w:id="254"/>
      <w:r/>
      <w:bookmarkEnd w:id="255"/>
      <w:r/>
      <w:bookmarkEnd w:id="256"/>
      <w:r/>
      <w:bookmarkEnd w:id="257"/>
      <w:r/>
      <w:bookmarkEnd w:id="25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5"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5"/>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6" w:name="_Toc151193700"/>
      <w:r/>
      <w:bookmarkStart w:id="287" w:name="_Toc150774735"/>
      <w:r/>
      <w:bookmarkStart w:id="288" w:name="_Toc151193628"/>
      <w:r/>
      <w:bookmarkStart w:id="289" w:name="_Toc150774630"/>
      <w:r/>
      <w:bookmarkStart w:id="290" w:name="_Toc164608799"/>
      <w:r/>
      <w:bookmarkStart w:id="291" w:name="_Toc164351624"/>
      <w:r/>
      <w:bookmarkStart w:id="292" w:name="_Toc151193844"/>
      <w:r/>
      <w:bookmarkStart w:id="293" w:name="_Toc520356155"/>
      <w:r/>
      <w:bookmarkStart w:id="294" w:name="_Toc151190157"/>
      <w:r/>
      <w:bookmarkStart w:id="295" w:name="_Toc127151530"/>
      <w:r/>
      <w:bookmarkStart w:id="296" w:name="_Toc149720823"/>
      <w:r/>
      <w:bookmarkStart w:id="297" w:name="_Toc164608644"/>
      <w:r/>
      <w:bookmarkStart w:id="298" w:name="_Toc127151731"/>
      <w:r/>
      <w:bookmarkStart w:id="299" w:name="_Toc127161444"/>
      <w:r/>
      <w:bookmarkStart w:id="300" w:name="_Toc150480768"/>
      <w:r/>
      <w:bookmarkStart w:id="301" w:name="_Toc150509281"/>
      <w:r/>
      <w:bookmarkStart w:id="302" w:name="_Toc164229371"/>
      <w:r/>
      <w:bookmarkStart w:id="303" w:name="_Toc164229225"/>
      <w:r/>
      <w:bookmarkStart w:id="304" w:name="_Toc151193772"/>
      <w:r/>
      <w:bookmarkStart w:id="305" w:name="_Toc151193918"/>
      <w:r/>
      <w:bookmarkStart w:id="306" w:name="_Toc195842895"/>
      <w:r/>
      <w:bookmarkStart w:id="307" w:name="_Toc142311032"/>
      <w:r>
        <w:rPr>
          <w:rFonts w:hint="eastAsia" w:ascii="宋体" w:hAnsi="宋体" w:cs="宋体"/>
          <w:b/>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8" w:name="_Toc151193629"/>
      <w:r/>
      <w:bookmarkStart w:id="309" w:name="_Toc151190158"/>
      <w:r/>
      <w:bookmarkStart w:id="310" w:name="_Toc127151531"/>
      <w:r/>
      <w:bookmarkStart w:id="311" w:name="_Toc164229226"/>
      <w:r/>
      <w:bookmarkStart w:id="312" w:name="_Toc127161445"/>
      <w:r/>
      <w:bookmarkStart w:id="313" w:name="_Toc151193773"/>
      <w:r/>
      <w:bookmarkStart w:id="314" w:name="_Toc150774631"/>
      <w:r/>
      <w:bookmarkStart w:id="315" w:name="_Toc151193701"/>
      <w:r/>
      <w:bookmarkStart w:id="316" w:name="_Toc149720824"/>
      <w:r/>
      <w:bookmarkStart w:id="317" w:name="_Ref467306513"/>
      <w:r/>
      <w:bookmarkStart w:id="318" w:name="_Toc264969221"/>
      <w:r/>
      <w:bookmarkStart w:id="319" w:name="_Toc226337227"/>
      <w:r/>
      <w:bookmarkStart w:id="320" w:name="_Toc195842896"/>
      <w:r/>
      <w:bookmarkStart w:id="321" w:name="_Toc150774736"/>
      <w:r/>
      <w:bookmarkStart w:id="322" w:name="_Toc127151732"/>
      <w:r/>
      <w:bookmarkStart w:id="323" w:name="_Toc226965721"/>
      <w:r/>
      <w:bookmarkStart w:id="324" w:name="_Toc164608800"/>
      <w:r/>
      <w:bookmarkStart w:id="325" w:name="_Toc164229372"/>
      <w:r/>
      <w:bookmarkStart w:id="326" w:name="_Toc265228369"/>
      <w:r/>
      <w:bookmarkStart w:id="327" w:name="_Toc151193919"/>
      <w:r/>
      <w:bookmarkStart w:id="328" w:name="_Toc520356156"/>
      <w:r/>
      <w:bookmarkStart w:id="329" w:name="_Toc164351625"/>
      <w:r/>
      <w:bookmarkStart w:id="330" w:name="_Toc142311033"/>
      <w:r/>
      <w:bookmarkStart w:id="331" w:name="_Toc150509282"/>
      <w:r/>
      <w:bookmarkStart w:id="332" w:name="_Toc226965804"/>
      <w:r/>
      <w:bookmarkStart w:id="333" w:name="_Toc151193845"/>
      <w:r/>
      <w:bookmarkStart w:id="334" w:name="_Toc305158799"/>
      <w:r/>
      <w:bookmarkStart w:id="335" w:name="_Toc305158873"/>
      <w:r/>
      <w:bookmarkStart w:id="336" w:name="_Toc226309775"/>
      <w:r/>
      <w:bookmarkStart w:id="337" w:name="_Toc150480769"/>
      <w:r/>
      <w:bookmarkStart w:id="338" w:name="_Toc164608645"/>
      <w:r>
        <w:rPr>
          <w:rFonts w:hint="eastAsia" w:ascii="宋体" w:hAnsi="宋体" w:cs="宋体"/>
          <w:b/>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rFonts w:hint="eastAsia" w:ascii="宋体" w:hAnsi="宋体" w:cs="宋体"/>
          <w:b/>
          <w:color w:val="000000"/>
          <w:sz w:val="24"/>
          <w:highlight w:val="none"/>
        </w:rPr>
      </w:r>
      <w:r/>
    </w:p>
    <w:p>
      <w:pPr>
        <w:pStyle w:val="1071"/>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9" w:name="_Toc150774737"/>
      <w:r/>
      <w:bookmarkStart w:id="340" w:name="_Toc149720825"/>
      <w:r/>
      <w:bookmarkStart w:id="341" w:name="_Toc164229373"/>
      <w:r/>
      <w:bookmarkStart w:id="342" w:name="_Toc127151733"/>
      <w:r/>
      <w:bookmarkStart w:id="343" w:name="_Toc226309776"/>
      <w:r/>
      <w:bookmarkStart w:id="344" w:name="_Toc226965722"/>
      <w:r/>
      <w:bookmarkStart w:id="345" w:name="_Toc305158800"/>
      <w:r/>
      <w:bookmarkStart w:id="346" w:name="_Toc226965805"/>
      <w:r/>
      <w:bookmarkStart w:id="347" w:name="_Toc142311034"/>
      <w:r/>
      <w:bookmarkStart w:id="348" w:name="_Toc164608801"/>
      <w:r/>
      <w:bookmarkStart w:id="349" w:name="_Toc150774632"/>
      <w:r/>
      <w:bookmarkStart w:id="350" w:name="_Toc164229227"/>
      <w:r/>
      <w:bookmarkStart w:id="351" w:name="_Toc164351626"/>
      <w:r/>
      <w:bookmarkStart w:id="352" w:name="_Toc151193774"/>
      <w:r/>
      <w:bookmarkStart w:id="353" w:name="_Toc164608646"/>
      <w:r/>
      <w:bookmarkStart w:id="354" w:name="_Toc520356157"/>
      <w:r/>
      <w:bookmarkStart w:id="355" w:name="_Toc127161446"/>
      <w:r/>
      <w:bookmarkStart w:id="356" w:name="_Toc151193846"/>
      <w:r/>
      <w:bookmarkStart w:id="357" w:name="_Toc151193920"/>
      <w:r/>
      <w:bookmarkStart w:id="358" w:name="_Toc151193702"/>
      <w:r/>
      <w:bookmarkStart w:id="359" w:name="_Toc150509283"/>
      <w:r/>
      <w:bookmarkStart w:id="360" w:name="_Toc305158874"/>
      <w:r/>
      <w:bookmarkStart w:id="361" w:name="_Toc264969222"/>
      <w:r/>
      <w:bookmarkStart w:id="362" w:name="_Toc127151532"/>
      <w:r/>
      <w:bookmarkStart w:id="363" w:name="_Toc150480770"/>
      <w:r/>
      <w:bookmarkStart w:id="364" w:name="_Toc151190159"/>
      <w:r/>
      <w:bookmarkStart w:id="365" w:name="_Toc226337228"/>
      <w:r/>
      <w:bookmarkStart w:id="366" w:name="_Toc265228370"/>
      <w:r/>
      <w:bookmarkStart w:id="367" w:name="_Toc151193630"/>
      <w:r/>
      <w:bookmarkStart w:id="368" w:name="_Toc195842897"/>
      <w:r>
        <w:rPr>
          <w:rFonts w:hint="eastAsia" w:ascii="宋体" w:hAnsi="宋体" w:cs="宋体"/>
          <w:b/>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9" w:name="_Toc264969223"/>
      <w:r/>
      <w:bookmarkStart w:id="370" w:name="_Toc226309777"/>
      <w:r/>
      <w:bookmarkStart w:id="371" w:name="_Toc226337229"/>
      <w:r/>
      <w:bookmarkStart w:id="372" w:name="_Toc164229228"/>
      <w:r/>
      <w:bookmarkStart w:id="373" w:name="_Toc127161447"/>
      <w:r/>
      <w:bookmarkStart w:id="374" w:name="_Toc164351627"/>
      <w:r/>
      <w:bookmarkStart w:id="375" w:name="_Toc226965806"/>
      <w:r/>
      <w:bookmarkStart w:id="376" w:name="_Toc164608647"/>
      <w:r/>
      <w:bookmarkStart w:id="377" w:name="_Toc164229374"/>
      <w:r/>
      <w:bookmarkStart w:id="378" w:name="_Toc150774633"/>
      <w:r/>
      <w:bookmarkStart w:id="379" w:name="_Toc127151734"/>
      <w:r/>
      <w:bookmarkStart w:id="380" w:name="_Toc164608802"/>
      <w:r/>
      <w:bookmarkStart w:id="381" w:name="_Toc151193703"/>
      <w:r/>
      <w:bookmarkStart w:id="382" w:name="_Toc149720826"/>
      <w:r/>
      <w:bookmarkStart w:id="383" w:name="_Toc151193921"/>
      <w:r/>
      <w:bookmarkStart w:id="384" w:name="_Toc305158801"/>
      <w:r/>
      <w:bookmarkStart w:id="385" w:name="_Toc151190160"/>
      <w:r/>
      <w:bookmarkStart w:id="386" w:name="_Toc305158875"/>
      <w:r/>
      <w:bookmarkStart w:id="387" w:name="_Toc151193847"/>
      <w:r/>
      <w:bookmarkStart w:id="388" w:name="_Toc150509284"/>
      <w:r/>
      <w:bookmarkStart w:id="389" w:name="_Toc226965723"/>
      <w:r/>
      <w:bookmarkStart w:id="390" w:name="_Toc195842898"/>
      <w:r/>
      <w:bookmarkStart w:id="391" w:name="_Toc151193775"/>
      <w:r/>
      <w:bookmarkStart w:id="392" w:name="_Toc150774738"/>
      <w:r/>
      <w:bookmarkStart w:id="393" w:name="_Toc265228371"/>
      <w:r/>
      <w:bookmarkStart w:id="394" w:name="_Toc150480771"/>
      <w:r/>
      <w:bookmarkStart w:id="395" w:name="_Toc127151533"/>
      <w:r/>
      <w:bookmarkStart w:id="396" w:name="_Toc142311035"/>
      <w:r/>
      <w:bookmarkStart w:id="397" w:name="_Toc151193631"/>
      <w:r/>
      <w:bookmarkStart w:id="398" w:name="_Toc520356158"/>
      <w:r>
        <w:rPr>
          <w:rFonts w:hint="eastAsia" w:ascii="宋体" w:hAnsi="宋体" w:cs="宋体"/>
          <w:b/>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9" w:name="_Toc142311036"/>
      <w:r/>
      <w:bookmarkStart w:id="400" w:name="_Toc195842899"/>
      <w:r/>
      <w:bookmarkStart w:id="401" w:name="_Toc305158802"/>
      <w:r/>
      <w:bookmarkStart w:id="402" w:name="_Toc151193848"/>
      <w:r/>
      <w:bookmarkStart w:id="403" w:name="_Toc226337230"/>
      <w:r/>
      <w:bookmarkStart w:id="404" w:name="_Toc151193632"/>
      <w:r/>
      <w:bookmarkStart w:id="405" w:name="_Toc150509285"/>
      <w:r/>
      <w:bookmarkStart w:id="406" w:name="_Toc151193922"/>
      <w:r/>
      <w:bookmarkStart w:id="407" w:name="_Toc127151534"/>
      <w:r/>
      <w:bookmarkStart w:id="408" w:name="_Toc150480772"/>
      <w:r/>
      <w:bookmarkStart w:id="409" w:name="_Toc265228372"/>
      <w:r/>
      <w:bookmarkStart w:id="410" w:name="_Toc520356159"/>
      <w:r/>
      <w:bookmarkStart w:id="411" w:name="_Toc226965807"/>
      <w:r/>
      <w:bookmarkStart w:id="412" w:name="_Toc151193776"/>
      <w:r/>
      <w:bookmarkStart w:id="413" w:name="_Toc151190161"/>
      <w:r/>
      <w:bookmarkStart w:id="414" w:name="_Toc151193704"/>
      <w:r/>
      <w:bookmarkStart w:id="415" w:name="_Toc150774634"/>
      <w:r/>
      <w:bookmarkStart w:id="416" w:name="_Toc305158876"/>
      <w:r/>
      <w:bookmarkStart w:id="417" w:name="_Toc226965724"/>
      <w:r/>
      <w:bookmarkStart w:id="418" w:name="_Toc150774739"/>
      <w:r/>
      <w:bookmarkStart w:id="419" w:name="_Toc226309778"/>
      <w:r/>
      <w:bookmarkStart w:id="420" w:name="_Toc26496922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1"/>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3"/>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1" w:name="_Toc226309779"/>
      <w:r/>
      <w:bookmarkStart w:id="422" w:name="_Toc149720828"/>
      <w:r/>
      <w:bookmarkStart w:id="423" w:name="_Toc164229376"/>
      <w:r/>
      <w:bookmarkStart w:id="424" w:name="_Toc226337231"/>
      <w:r/>
      <w:bookmarkStart w:id="425" w:name="_Toc127151535"/>
      <w:r/>
      <w:bookmarkStart w:id="426" w:name="_Toc150480773"/>
      <w:r/>
      <w:bookmarkStart w:id="427" w:name="_Toc164229230"/>
      <w:r/>
      <w:bookmarkStart w:id="428" w:name="_Toc264969225"/>
      <w:r/>
      <w:bookmarkStart w:id="429" w:name="_Toc164608649"/>
      <w:r/>
      <w:bookmarkStart w:id="430" w:name="_Toc265228373"/>
      <w:r/>
      <w:bookmarkStart w:id="431" w:name="_Toc151193777"/>
      <w:r/>
      <w:bookmarkStart w:id="432" w:name="_Toc151193705"/>
      <w:r/>
      <w:bookmarkStart w:id="433" w:name="_Toc151193633"/>
      <w:r/>
      <w:bookmarkStart w:id="434" w:name="_Toc226965808"/>
      <w:r/>
      <w:bookmarkStart w:id="435" w:name="_Toc127161449"/>
      <w:r/>
      <w:bookmarkStart w:id="436" w:name="_Toc127151736"/>
      <w:r/>
      <w:bookmarkStart w:id="437" w:name="_Toc142311037"/>
      <w:r/>
      <w:bookmarkStart w:id="438" w:name="_Toc195842900"/>
      <w:r/>
      <w:bookmarkStart w:id="439" w:name="_Toc305158877"/>
      <w:r/>
      <w:bookmarkStart w:id="440" w:name="_Toc164351629"/>
      <w:r/>
      <w:bookmarkStart w:id="441" w:name="_Toc305158803"/>
      <w:r/>
      <w:bookmarkStart w:id="442" w:name="_Toc520356160"/>
      <w:r/>
      <w:bookmarkStart w:id="443" w:name="_Toc151193923"/>
      <w:r/>
      <w:bookmarkStart w:id="444" w:name="_Toc151193849"/>
      <w:r/>
      <w:bookmarkStart w:id="445" w:name="_Toc164608804"/>
      <w:r/>
      <w:bookmarkStart w:id="446" w:name="_Toc226965725"/>
      <w:r/>
      <w:bookmarkStart w:id="447" w:name="_Toc150774740"/>
      <w:r/>
      <w:bookmarkStart w:id="448" w:name="_Toc150774635"/>
      <w:r/>
      <w:bookmarkStart w:id="449" w:name="_Toc150509286"/>
      <w:r/>
      <w:bookmarkStart w:id="450" w:name="_Toc151190162"/>
      <w:r>
        <w:rPr>
          <w:rFonts w:hint="eastAsia" w:ascii="宋体" w:hAnsi="宋体" w:cs="宋体"/>
          <w:b/>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1" w:name="_Toc305158804"/>
      <w:r/>
      <w:bookmarkStart w:id="452" w:name="_Toc150774636"/>
      <w:r/>
      <w:bookmarkStart w:id="453" w:name="_Toc150774741"/>
      <w:r/>
      <w:bookmarkStart w:id="454" w:name="_Toc520356161"/>
      <w:r/>
      <w:bookmarkStart w:id="455" w:name="_Toc164608805"/>
      <w:r/>
      <w:bookmarkStart w:id="456" w:name="_Toc264969226"/>
      <w:r/>
      <w:bookmarkStart w:id="457" w:name="_Toc127151536"/>
      <w:r/>
      <w:bookmarkStart w:id="458" w:name="_Toc226965809"/>
      <w:r/>
      <w:bookmarkStart w:id="459" w:name="_Toc151193634"/>
      <w:r/>
      <w:bookmarkStart w:id="460" w:name="_Toc164229377"/>
      <w:r/>
      <w:bookmarkStart w:id="461" w:name="_Toc127151737"/>
      <w:r/>
      <w:bookmarkStart w:id="462" w:name="_Toc265228374"/>
      <w:r/>
      <w:bookmarkStart w:id="463" w:name="_Toc164608650"/>
      <w:r/>
      <w:bookmarkStart w:id="464" w:name="_Toc151190163"/>
      <w:r/>
      <w:bookmarkStart w:id="465" w:name="_Toc195842901"/>
      <w:r/>
      <w:bookmarkStart w:id="466" w:name="_Toc164229231"/>
      <w:r/>
      <w:bookmarkStart w:id="467" w:name="_Toc127161450"/>
      <w:r/>
      <w:bookmarkStart w:id="468" w:name="_Toc226337232"/>
      <w:r/>
      <w:bookmarkStart w:id="469" w:name="_Toc142311038"/>
      <w:r/>
      <w:bookmarkStart w:id="470" w:name="_Toc151193778"/>
      <w:r/>
      <w:bookmarkStart w:id="471" w:name="_Toc226309780"/>
      <w:r/>
      <w:bookmarkStart w:id="472" w:name="_Toc150509287"/>
      <w:r/>
      <w:bookmarkStart w:id="473" w:name="_Toc149720829"/>
      <w:r/>
      <w:bookmarkStart w:id="474" w:name="_Toc151193850"/>
      <w:r/>
      <w:bookmarkStart w:id="475" w:name="_Toc151193706"/>
      <w:r/>
      <w:bookmarkStart w:id="476" w:name="_Toc164351630"/>
      <w:r/>
      <w:bookmarkStart w:id="477" w:name="_Toc226965726"/>
      <w:r/>
      <w:bookmarkStart w:id="478" w:name="_Toc305158878"/>
      <w:r/>
      <w:bookmarkStart w:id="479" w:name="_Toc150480774"/>
      <w:r/>
      <w:bookmarkStart w:id="480" w:name="_Toc151193924"/>
      <w:r>
        <w:rPr>
          <w:rFonts w:hint="eastAsia" w:ascii="宋体" w:hAnsi="宋体" w:cs="宋体"/>
          <w:b/>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1" w:name="_Toc195842902"/>
      <w:r/>
      <w:bookmarkStart w:id="482" w:name="_Toc151193707"/>
      <w:r/>
      <w:bookmarkStart w:id="483" w:name="_Toc226309781"/>
      <w:r/>
      <w:bookmarkStart w:id="484" w:name="_Toc150509288"/>
      <w:r/>
      <w:bookmarkStart w:id="485" w:name="_Toc226337233"/>
      <w:r/>
      <w:bookmarkStart w:id="486" w:name="_Toc127161451"/>
      <w:r/>
      <w:bookmarkStart w:id="487" w:name="_Toc127151738"/>
      <w:r/>
      <w:bookmarkStart w:id="488" w:name="_Toc305158805"/>
      <w:r/>
      <w:bookmarkStart w:id="489" w:name="_Toc151193925"/>
      <w:r/>
      <w:bookmarkStart w:id="490" w:name="_Toc142311039"/>
      <w:r/>
      <w:bookmarkStart w:id="491" w:name="_Toc151193635"/>
      <w:r/>
      <w:bookmarkStart w:id="492" w:name="_Toc127151537"/>
      <w:r/>
      <w:bookmarkStart w:id="493" w:name="_Toc149720830"/>
      <w:r/>
      <w:bookmarkStart w:id="494" w:name="_Toc226965810"/>
      <w:r/>
      <w:bookmarkStart w:id="495" w:name="_Toc150774742"/>
      <w:r/>
      <w:bookmarkStart w:id="496" w:name="_Toc264969227"/>
      <w:r/>
      <w:bookmarkStart w:id="497" w:name="_Toc164608806"/>
      <w:r/>
      <w:bookmarkStart w:id="498" w:name="_Toc226965727"/>
      <w:r/>
      <w:bookmarkStart w:id="499" w:name="_Toc150480775"/>
      <w:r/>
      <w:bookmarkStart w:id="500" w:name="_Toc164351631"/>
      <w:r/>
      <w:bookmarkStart w:id="501" w:name="_Toc151193779"/>
      <w:r/>
      <w:bookmarkStart w:id="502" w:name="_Toc520356162"/>
      <w:r/>
      <w:bookmarkStart w:id="503" w:name="_Toc151193851"/>
      <w:r/>
      <w:bookmarkStart w:id="504" w:name="_Toc164229378"/>
      <w:r/>
      <w:bookmarkStart w:id="505" w:name="_Toc151190164"/>
      <w:r/>
      <w:bookmarkStart w:id="506" w:name="_Toc164608651"/>
      <w:r/>
      <w:bookmarkStart w:id="507" w:name="_Toc164229232"/>
      <w:r/>
      <w:bookmarkStart w:id="508" w:name="_Toc150774637"/>
      <w:r/>
      <w:bookmarkStart w:id="509" w:name="_Toc305158879"/>
      <w:r/>
      <w:bookmarkStart w:id="510" w:name="_Toc265228375"/>
      <w:r>
        <w:rPr>
          <w:rFonts w:hint="eastAsia" w:ascii="宋体" w:hAnsi="宋体" w:cs="宋体"/>
          <w:b/>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11" w:name="_Toc151193780"/>
      <w:r/>
      <w:bookmarkStart w:id="512" w:name="_Toc142311040"/>
      <w:r/>
      <w:bookmarkStart w:id="513" w:name="_Toc151193926"/>
      <w:r/>
      <w:bookmarkStart w:id="514" w:name="_Toc151193852"/>
      <w:r/>
      <w:bookmarkStart w:id="515" w:name="_Toc151190165"/>
      <w:r/>
      <w:bookmarkStart w:id="516" w:name="_Toc151193636"/>
      <w:r/>
      <w:bookmarkStart w:id="517" w:name="_Toc150774638"/>
      <w:r/>
      <w:bookmarkStart w:id="518" w:name="_Toc305158880"/>
      <w:r/>
      <w:bookmarkStart w:id="519" w:name="_Toc305158806"/>
      <w:r/>
      <w:bookmarkStart w:id="520" w:name="_Toc151193708"/>
      <w:r/>
      <w:bookmarkStart w:id="521" w:name="_Toc226965728"/>
      <w:r/>
      <w:bookmarkStart w:id="522" w:name="_Toc195842903"/>
      <w:r/>
      <w:bookmarkStart w:id="523" w:name="_Toc150774743"/>
      <w:r/>
      <w:bookmarkStart w:id="524" w:name="_Toc150480776"/>
      <w:r/>
      <w:bookmarkStart w:id="525" w:name="_Toc127151538"/>
      <w:r/>
      <w:bookmarkStart w:id="526" w:name="_Toc226337234"/>
      <w:r/>
      <w:bookmarkStart w:id="527" w:name="_Toc520356163"/>
      <w:r/>
      <w:bookmarkStart w:id="528" w:name="_Toc264969228"/>
      <w:r/>
      <w:bookmarkStart w:id="529" w:name="_Toc226965811"/>
      <w:r/>
      <w:bookmarkStart w:id="530" w:name="_Toc226309782"/>
      <w:r/>
      <w:bookmarkStart w:id="531" w:name="_Toc150509289"/>
      <w:r/>
      <w:bookmarkStart w:id="532" w:name="_Toc265228376"/>
      <w:r>
        <w:rPr>
          <w:rFonts w:hint="eastAsia" w:ascii="宋体" w:hAnsi="宋体" w:eastAsia="宋体" w:cs="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3" w:name="_Toc127161453"/>
      <w:r/>
      <w:bookmarkStart w:id="534" w:name="_Toc195842904"/>
      <w:r/>
      <w:bookmarkStart w:id="535" w:name="_Toc265228377"/>
      <w:r/>
      <w:bookmarkStart w:id="536" w:name="_Toc127151539"/>
      <w:r/>
      <w:bookmarkStart w:id="537" w:name="_Toc164229234"/>
      <w:r/>
      <w:bookmarkStart w:id="538" w:name="_Toc164229380"/>
      <w:r/>
      <w:bookmarkStart w:id="539" w:name="_Toc127151740"/>
      <w:r/>
      <w:bookmarkStart w:id="540" w:name="_Toc151190166"/>
      <w:r/>
      <w:bookmarkStart w:id="541" w:name="_Toc226309783"/>
      <w:r/>
      <w:bookmarkStart w:id="542" w:name="_Toc226337235"/>
      <w:r/>
      <w:bookmarkStart w:id="543" w:name="_Toc142311041"/>
      <w:r/>
      <w:bookmarkStart w:id="544" w:name="_Toc151193853"/>
      <w:r/>
      <w:bookmarkStart w:id="545" w:name="_Toc164608808"/>
      <w:r/>
      <w:bookmarkStart w:id="546" w:name="_Toc150774639"/>
      <w:r/>
      <w:bookmarkStart w:id="547" w:name="_Toc150480777"/>
      <w:r/>
      <w:bookmarkStart w:id="548" w:name="_Toc149720832"/>
      <w:r/>
      <w:bookmarkStart w:id="549" w:name="_Toc226965812"/>
      <w:r/>
      <w:bookmarkStart w:id="550" w:name="_Toc164608653"/>
      <w:r/>
      <w:bookmarkStart w:id="551" w:name="_Toc151193781"/>
      <w:r/>
      <w:bookmarkStart w:id="552" w:name="_Toc150509290"/>
      <w:r/>
      <w:bookmarkStart w:id="553" w:name="_Toc164351633"/>
      <w:r/>
      <w:bookmarkStart w:id="554" w:name="_Toc264969229"/>
      <w:r/>
      <w:bookmarkStart w:id="555" w:name="_Toc520356164"/>
      <w:r/>
      <w:bookmarkStart w:id="556" w:name="_Toc151193927"/>
      <w:r/>
      <w:bookmarkStart w:id="557" w:name="_Toc150774744"/>
      <w:r/>
      <w:bookmarkStart w:id="558" w:name="_Toc226965729"/>
      <w:r/>
      <w:bookmarkStart w:id="559" w:name="_Toc305158881"/>
      <w:r/>
      <w:bookmarkStart w:id="560" w:name="_Toc305158807"/>
      <w:r/>
      <w:bookmarkStart w:id="561" w:name="_Toc151193637"/>
      <w:r/>
      <w:bookmarkStart w:id="562" w:name="_Toc151193709"/>
      <w:r>
        <w:rPr>
          <w:rFonts w:hint="eastAsia" w:ascii="宋体" w:hAnsi="宋体" w:cs="宋体"/>
          <w:b/>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3"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1"/>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1"/>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1"/>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3"/>
      <w:r/>
      <w:bookmarkStart w:id="564" w:name="_Toc226965730"/>
      <w:r/>
      <w:bookmarkStart w:id="565" w:name="_Toc164229235"/>
      <w:r/>
      <w:bookmarkStart w:id="566" w:name="_Toc305158882"/>
      <w:r/>
      <w:bookmarkStart w:id="567" w:name="_Toc150774745"/>
      <w:r/>
      <w:bookmarkStart w:id="568" w:name="_Toc305158808"/>
      <w:r/>
      <w:bookmarkStart w:id="569" w:name="_Toc164608809"/>
      <w:r/>
      <w:bookmarkStart w:id="570" w:name="_Toc127151741"/>
      <w:r/>
      <w:bookmarkStart w:id="571" w:name="_Toc151193638"/>
      <w:r/>
      <w:bookmarkStart w:id="572" w:name="_Toc151193854"/>
      <w:r/>
      <w:bookmarkStart w:id="573" w:name="_Toc150774640"/>
      <w:r/>
      <w:bookmarkStart w:id="574" w:name="_Toc264969230"/>
      <w:r/>
      <w:bookmarkStart w:id="575" w:name="_Toc164351634"/>
      <w:r/>
      <w:bookmarkStart w:id="576" w:name="_Toc151193928"/>
      <w:r/>
      <w:bookmarkStart w:id="577" w:name="_Toc142311042"/>
      <w:r/>
      <w:bookmarkStart w:id="578" w:name="_Toc151193710"/>
      <w:r/>
      <w:bookmarkStart w:id="579" w:name="_Toc226965813"/>
      <w:r/>
      <w:bookmarkStart w:id="580" w:name="_Toc195842905"/>
      <w:r/>
      <w:bookmarkStart w:id="581" w:name="_Toc150480778"/>
      <w:r/>
      <w:bookmarkStart w:id="582" w:name="_Toc149720833"/>
      <w:r/>
      <w:bookmarkStart w:id="583" w:name="_Toc151190167"/>
      <w:r/>
      <w:bookmarkStart w:id="584" w:name="_Toc127151540"/>
      <w:r/>
      <w:bookmarkStart w:id="585" w:name="_Toc150509291"/>
      <w:r/>
      <w:bookmarkStart w:id="586" w:name="_Toc265228378"/>
      <w:r/>
      <w:bookmarkStart w:id="587" w:name="_Toc151193782"/>
      <w:r/>
      <w:bookmarkStart w:id="588" w:name="_Toc226337236"/>
      <w:r/>
      <w:bookmarkStart w:id="589" w:name="_Toc226309784"/>
      <w:r/>
      <w:bookmarkStart w:id="590" w:name="_Toc127161454"/>
      <w:r/>
      <w:bookmarkStart w:id="591" w:name="_Toc164229381"/>
      <w:r/>
      <w:bookmarkStart w:id="592" w:name="_Toc164608654"/>
      <w:r>
        <w:rPr>
          <w:rFonts w:hint="eastAsia" w:ascii="宋体" w:hAnsi="宋体" w:cs="宋体"/>
          <w:b/>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3" w:name="_Toc520356166"/>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3"/>
      <w:r/>
      <w:bookmarkStart w:id="594" w:name="_Toc520356169"/>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1"/>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3"/>
        <w:ind w:firstLine="562"/>
        <w:spacing w:before="0" w:line="360" w:lineRule="auto"/>
        <w:rPr>
          <w:rFonts w:hint="eastAsia" w:ascii="宋体" w:hAnsi="宋体" w:eastAsia="宋体" w:cs="宋体"/>
          <w:color w:val="000000"/>
          <w:sz w:val="28"/>
          <w:highlight w:val="none"/>
        </w:rPr>
      </w:pPr>
      <w:r/>
      <w:bookmarkStart w:id="595" w:name="_Toc127151545"/>
      <w:r/>
      <w:bookmarkStart w:id="596" w:name="_Toc142311047"/>
      <w:r/>
      <w:bookmarkStart w:id="597" w:name="_Toc151193715"/>
      <w:r/>
      <w:bookmarkStart w:id="598" w:name="_Toc226309789"/>
      <w:r/>
      <w:bookmarkStart w:id="599" w:name="_Toc151193643"/>
      <w:r/>
      <w:bookmarkStart w:id="600" w:name="_Toc151193859"/>
      <w:r/>
      <w:bookmarkStart w:id="601" w:name="_Toc226965818"/>
      <w:r/>
      <w:bookmarkStart w:id="602" w:name="_Toc151193787"/>
      <w:r/>
      <w:bookmarkStart w:id="603" w:name="_Toc150774645"/>
      <w:r/>
      <w:bookmarkStart w:id="604" w:name="_Toc305158813"/>
      <w:r/>
      <w:bookmarkStart w:id="605" w:name="_Toc150509296"/>
      <w:r/>
      <w:bookmarkStart w:id="606" w:name="_Toc150774750"/>
      <w:r/>
      <w:bookmarkStart w:id="607" w:name="_Toc195842910"/>
      <w:r/>
      <w:bookmarkStart w:id="608" w:name="_Toc264969235"/>
      <w:r/>
      <w:bookmarkStart w:id="609" w:name="_Toc265228383"/>
      <w:r/>
      <w:bookmarkStart w:id="610" w:name="_Toc150480783"/>
      <w:r/>
      <w:bookmarkStart w:id="611" w:name="_Toc151190172"/>
      <w:r/>
      <w:bookmarkStart w:id="612" w:name="_Toc226337241"/>
      <w:r/>
      <w:bookmarkStart w:id="613" w:name="_Toc226965735"/>
      <w:r/>
      <w:bookmarkStart w:id="614" w:name="_Toc305158887"/>
      <w:r/>
      <w:bookmarkStart w:id="615" w:name="_Toc151193933"/>
      <w:r>
        <w:rPr>
          <w:rFonts w:hint="eastAsia" w:ascii="宋体" w:hAnsi="宋体" w:eastAsia="宋体" w:cs="宋体"/>
          <w:color w:val="000000"/>
          <w:sz w:val="28"/>
          <w:highlight w:val="none"/>
        </w:rPr>
        <w:t xml:space="preserve">六   </w:t>
      </w:r>
      <w:bookmarkEnd w:id="594"/>
      <w:r>
        <w:rPr>
          <w:rFonts w:hint="eastAsia" w:ascii="宋体" w:hAnsi="宋体" w:eastAsia="宋体" w:cs="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26965820"/>
      <w:r/>
      <w:bookmarkStart w:id="617" w:name="_Toc127151748"/>
      <w:r/>
      <w:bookmarkStart w:id="618" w:name="_Toc127161461"/>
      <w:r/>
      <w:bookmarkStart w:id="619" w:name="_Toc151193935"/>
      <w:r/>
      <w:bookmarkStart w:id="620" w:name="_Toc164229242"/>
      <w:r/>
      <w:bookmarkStart w:id="621" w:name="_Toc226309791"/>
      <w:r/>
      <w:bookmarkStart w:id="622" w:name="_Toc305158889"/>
      <w:r/>
      <w:bookmarkStart w:id="623" w:name="_Toc226337243"/>
      <w:r/>
      <w:bookmarkStart w:id="624" w:name="_Toc151193645"/>
      <w:r/>
      <w:bookmarkStart w:id="625" w:name="_Toc164229388"/>
      <w:r/>
      <w:bookmarkStart w:id="626" w:name="_Toc264969237"/>
      <w:r/>
      <w:bookmarkStart w:id="627" w:name="_Toc149720840"/>
      <w:r/>
      <w:bookmarkStart w:id="628" w:name="_Toc150509298"/>
      <w:r/>
      <w:bookmarkStart w:id="629" w:name="_Toc226965737"/>
      <w:r/>
      <w:bookmarkStart w:id="630" w:name="_Toc142311049"/>
      <w:r/>
      <w:bookmarkStart w:id="631" w:name="_Toc164351641"/>
      <w:r/>
      <w:bookmarkStart w:id="632" w:name="_Toc151193717"/>
      <w:r/>
      <w:bookmarkStart w:id="633" w:name="_Toc151190174"/>
      <w:r/>
      <w:bookmarkStart w:id="634" w:name="_Toc127151547"/>
      <w:r/>
      <w:bookmarkStart w:id="635" w:name="_Toc151193861"/>
      <w:r/>
      <w:bookmarkStart w:id="636" w:name="_Toc151193789"/>
      <w:r/>
      <w:bookmarkStart w:id="637" w:name="_Toc164608816"/>
      <w:r/>
      <w:bookmarkStart w:id="638" w:name="_Toc305158815"/>
      <w:r/>
      <w:bookmarkStart w:id="639" w:name="_Toc195842912"/>
      <w:r/>
      <w:bookmarkStart w:id="640" w:name="_Toc150774752"/>
      <w:r/>
      <w:bookmarkStart w:id="641" w:name="_Toc150774647"/>
      <w:r/>
      <w:bookmarkStart w:id="642" w:name="_Toc265228385"/>
      <w:r/>
      <w:bookmarkStart w:id="643" w:name="_Toc150480785"/>
      <w:r/>
      <w:bookmarkStart w:id="644" w:name="_Toc164608661"/>
      <w:r>
        <w:rPr>
          <w:rFonts w:hint="eastAsia" w:ascii="宋体" w:hAnsi="宋体" w:eastAsia="宋体" w:cs="宋体"/>
          <w:color w:val="000000"/>
          <w:sz w:val="28"/>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5" w:name="_Toc264969239"/>
      <w:r/>
      <w:bookmarkStart w:id="646" w:name="_Toc142311051"/>
      <w:r/>
      <w:bookmarkStart w:id="647" w:name="_Toc151193791"/>
      <w:r/>
      <w:bookmarkStart w:id="648" w:name="_Toc305158817"/>
      <w:r/>
      <w:bookmarkStart w:id="649" w:name="_Toc149720842"/>
      <w:r/>
      <w:bookmarkStart w:id="650" w:name="_Toc195842914"/>
      <w:r/>
      <w:bookmarkStart w:id="651" w:name="_Toc151193647"/>
      <w:r/>
      <w:bookmarkStart w:id="652" w:name="_Toc265228387"/>
      <w:r/>
      <w:bookmarkStart w:id="653" w:name="_Ref467307090"/>
      <w:r/>
      <w:bookmarkStart w:id="654" w:name="_Toc520356176"/>
      <w:r/>
      <w:bookmarkStart w:id="655" w:name="_Ref467306425"/>
      <w:r/>
      <w:bookmarkStart w:id="656" w:name="_Toc164229244"/>
      <w:r/>
      <w:bookmarkStart w:id="657" w:name="_Toc226965739"/>
      <w:r/>
      <w:bookmarkStart w:id="658" w:name="_Toc226309793"/>
      <w:r/>
      <w:bookmarkStart w:id="659" w:name="_Toc150774649"/>
      <w:r/>
      <w:bookmarkStart w:id="660" w:name="_Toc151193719"/>
      <w:r/>
      <w:bookmarkStart w:id="661" w:name="_Toc151190176"/>
      <w:r/>
      <w:bookmarkStart w:id="662" w:name="_Toc305158891"/>
      <w:r/>
      <w:bookmarkStart w:id="663" w:name="_Toc150774754"/>
      <w:r/>
      <w:bookmarkStart w:id="664" w:name="_Toc151193937"/>
      <w:r/>
      <w:bookmarkStart w:id="665" w:name="_Toc127151750"/>
      <w:r/>
      <w:bookmarkStart w:id="666" w:name="_Toc150480787"/>
      <w:r/>
      <w:bookmarkStart w:id="667" w:name="_Toc226965822"/>
      <w:r/>
      <w:bookmarkStart w:id="668" w:name="_Toc151193863"/>
      <w:r/>
      <w:bookmarkStart w:id="669" w:name="_Toc226337245"/>
      <w:r/>
      <w:bookmarkStart w:id="670" w:name="_Toc127151549"/>
      <w:r/>
      <w:bookmarkStart w:id="671" w:name="_Toc127161463"/>
      <w:r/>
      <w:bookmarkStart w:id="672" w:name="_Toc164351643"/>
      <w:r/>
      <w:bookmarkStart w:id="673" w:name="_Toc164229390"/>
      <w:r/>
      <w:bookmarkStart w:id="674" w:name="_Toc150509300"/>
      <w:r/>
      <w:bookmarkStart w:id="675" w:name="_Toc164608818"/>
      <w:r/>
      <w:bookmarkStart w:id="676" w:name="_Toc164608663"/>
      <w:r>
        <w:rPr>
          <w:rFonts w:hint="eastAsia" w:ascii="宋体" w:hAnsi="宋体" w:cs="宋体"/>
          <w:b/>
          <w:color w:val="000000"/>
          <w:sz w:val="24"/>
          <w:highlight w:val="none"/>
        </w:rPr>
        <w:t xml:space="preserve">中标公告与中标通知书</w:t>
      </w:r>
      <w:bookmarkEnd w:id="648"/>
      <w:r/>
      <w:bookmarkEnd w:id="662"/>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1"/>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5"/>
      <w:r/>
      <w:bookmarkEnd w:id="646"/>
      <w:r/>
      <w:bookmarkEnd w:id="647"/>
      <w:r/>
      <w:bookmarkEnd w:id="649"/>
      <w:r/>
      <w:bookmarkEnd w:id="650"/>
      <w:r/>
      <w:bookmarkEnd w:id="651"/>
      <w:r/>
      <w:bookmarkEnd w:id="652"/>
      <w:r/>
      <w:bookmarkEnd w:id="656"/>
      <w:r/>
      <w:bookmarkEnd w:id="657"/>
      <w:r/>
      <w:bookmarkEnd w:id="658"/>
      <w:r/>
      <w:bookmarkEnd w:id="659"/>
      <w:r/>
      <w:bookmarkEnd w:id="660"/>
      <w:r/>
      <w:bookmarkEnd w:id="661"/>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Start w:id="677" w:name="_Toc226965740"/>
      <w:r/>
      <w:bookmarkStart w:id="678" w:name="_Toc127161464"/>
      <w:r/>
      <w:bookmarkStart w:id="679" w:name="_Toc150509301"/>
      <w:r/>
      <w:bookmarkStart w:id="680" w:name="_Toc164608819"/>
      <w:r/>
      <w:bookmarkStart w:id="681" w:name="_Toc226309794"/>
      <w:r/>
      <w:bookmarkStart w:id="682" w:name="_Toc520356175"/>
      <w:r/>
      <w:bookmarkStart w:id="683" w:name="_Toc151193720"/>
      <w:r/>
      <w:bookmarkStart w:id="684" w:name="_Toc151193864"/>
      <w:r/>
      <w:bookmarkStart w:id="685" w:name="_Toc150480788"/>
      <w:r/>
      <w:bookmarkStart w:id="686" w:name="_Toc305158892"/>
      <w:r/>
      <w:bookmarkStart w:id="687" w:name="_Toc164351644"/>
      <w:r/>
      <w:bookmarkStart w:id="688" w:name="_Toc151193648"/>
      <w:r/>
      <w:bookmarkStart w:id="689" w:name="_Toc226337246"/>
      <w:r/>
      <w:bookmarkStart w:id="690" w:name="_Toc151190177"/>
      <w:r/>
      <w:bookmarkStart w:id="691" w:name="_Toc164608664"/>
      <w:r/>
      <w:bookmarkStart w:id="692" w:name="_Ref467307062"/>
      <w:r/>
      <w:bookmarkStart w:id="693" w:name="_Toc164229391"/>
      <w:r/>
      <w:bookmarkStart w:id="694" w:name="_Ref467306377"/>
      <w:r/>
      <w:bookmarkStart w:id="695" w:name="_Ref467307204"/>
      <w:r/>
      <w:bookmarkStart w:id="696" w:name="_Toc195842915"/>
      <w:r/>
      <w:bookmarkStart w:id="697" w:name="_Toc142311052"/>
      <w:r/>
      <w:bookmarkStart w:id="698" w:name="_Toc305158818"/>
      <w:r/>
      <w:bookmarkStart w:id="699" w:name="_Toc164229245"/>
      <w:r/>
      <w:bookmarkStart w:id="700" w:name="_Toc150774650"/>
      <w:r/>
      <w:bookmarkStart w:id="701" w:name="_Toc151193938"/>
      <w:r/>
      <w:bookmarkStart w:id="702" w:name="_Toc264969240"/>
      <w:r/>
      <w:bookmarkStart w:id="703" w:name="_Toc265228388"/>
      <w:r/>
      <w:bookmarkStart w:id="704" w:name="_Toc150774755"/>
      <w:r/>
      <w:bookmarkStart w:id="705" w:name="_Toc151193792"/>
      <w:r/>
      <w:bookmarkStart w:id="706" w:name="_Toc127151751"/>
      <w:r/>
      <w:bookmarkStart w:id="707" w:name="_Toc226965823"/>
      <w:r/>
      <w:bookmarkStart w:id="708" w:name="_Ref467306978"/>
      <w:r/>
      <w:bookmarkStart w:id="709" w:name="_Toc149720843"/>
      <w:r/>
      <w:bookmarkStart w:id="710" w:name="_Toc127151550"/>
      <w:r>
        <w:rPr>
          <w:rFonts w:hint="eastAsia" w:ascii="宋体" w:hAnsi="宋体" w:cs="宋体"/>
          <w:b/>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3"/>
      <w:r/>
      <w:bookmarkEnd w:id="654"/>
      <w:r/>
      <w:bookmarkEnd w:id="655"/>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1"/>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6"/>
          <w:rFonts w:hint="eastAsia" w:ascii="宋体" w:hAnsi="宋体" w:cs="宋体"/>
          <w:color w:val="000000"/>
          <w:highlight w:val="none"/>
        </w:rPr>
        <w:t xml:space="preserve">http://gk</w:t>
      </w:r>
      <w:bookmarkStart w:id="711" w:name="_Hlt100654014"/>
      <w:r>
        <w:rPr>
          <w:rStyle w:val="1146"/>
          <w:rFonts w:hint="eastAsia" w:ascii="宋体" w:hAnsi="宋体" w:cs="宋体"/>
          <w:color w:val="000000"/>
          <w:highlight w:val="none"/>
        </w:rPr>
        <w:t xml:space="preserve">s</w:t>
      </w:r>
      <w:bookmarkEnd w:id="711"/>
      <w:r>
        <w:rPr>
          <w:rStyle w:val="1146"/>
          <w:rFonts w:hint="eastAsia" w:ascii="宋体" w:hAnsi="宋体" w:cs="宋体"/>
          <w:color w:val="000000"/>
          <w:highlight w:val="none"/>
        </w:rPr>
        <w:t xml:space="preserve">.m</w:t>
      </w:r>
      <w:bookmarkStart w:id="712" w:name="_Hlt100653994"/>
      <w:r/>
      <w:bookmarkStart w:id="713" w:name="_Hlt100653993"/>
      <w:r>
        <w:rPr>
          <w:rStyle w:val="1146"/>
          <w:rFonts w:hint="eastAsia" w:ascii="宋体" w:hAnsi="宋体" w:cs="宋体"/>
          <w:color w:val="000000"/>
          <w:highlight w:val="none"/>
        </w:rPr>
        <w:t xml:space="preserve">o</w:t>
      </w:r>
      <w:bookmarkEnd w:id="712"/>
      <w:r/>
      <w:bookmarkEnd w:id="713"/>
      <w:r>
        <w:rPr>
          <w:rStyle w:val="1146"/>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1"/>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1"/>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1"/>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14" w:name="_Toc353873664"/>
      <w:r/>
      <w:bookmarkStart w:id="715" w:name="_Toc353873934"/>
      <w:r/>
      <w:bookmarkStart w:id="716" w:name="_Toc226965827"/>
      <w:r/>
      <w:bookmarkStart w:id="717" w:name="_Toc353825544"/>
      <w:r/>
      <w:bookmarkStart w:id="718" w:name="_Toc226337250"/>
      <w:r/>
      <w:bookmarkStart w:id="719" w:name="_Toc305158896"/>
      <w:r/>
      <w:bookmarkStart w:id="720" w:name="_Toc150480792"/>
      <w:r/>
      <w:bookmarkStart w:id="721" w:name="_Toc127151554"/>
      <w:r/>
      <w:bookmarkStart w:id="722" w:name="_Toc265228392"/>
      <w:r/>
      <w:bookmarkStart w:id="723" w:name="_Toc305158822"/>
      <w:r/>
      <w:bookmarkStart w:id="724" w:name="_Toc150774759"/>
      <w:r/>
      <w:bookmarkStart w:id="725" w:name="_Toc142311056"/>
      <w:r/>
      <w:bookmarkStart w:id="726" w:name="_Toc264969244"/>
      <w:r>
        <w:rPr>
          <w:rFonts w:hint="eastAsia" w:ascii="宋体" w:hAnsi="宋体" w:cs="宋体"/>
          <w:color w:val="000000"/>
          <w:sz w:val="24"/>
          <w:highlight w:val="none"/>
        </w:rPr>
        <w:br w:type="page" w:clear="all"/>
      </w:r>
      <w:bookmarkStart w:id="727" w:name="_Toc99301421"/>
      <w:r>
        <w:rPr>
          <w:rFonts w:hint="eastAsia" w:ascii="宋体" w:hAnsi="宋体" w:cs="宋体"/>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宋体" w:hAnsi="宋体" w:cs="宋体"/>
          <w:b/>
          <w:color w:val="000000"/>
          <w:sz w:val="36"/>
          <w:szCs w:val="36"/>
          <w:highlight w:val="none"/>
        </w:rPr>
        <w:t xml:space="preserve">资格审查</w:t>
      </w:r>
      <w:bookmarkEnd w:id="727"/>
      <w:r/>
      <w:bookmarkStart w:id="728" w:name="_Toc487900382"/>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9" w:name="_Toc99301422"/>
      <w:r>
        <w:rPr>
          <w:rFonts w:hint="eastAsia" w:ascii="宋体" w:hAnsi="宋体" w:cs="宋体"/>
          <w:b/>
          <w:color w:val="000000"/>
          <w:sz w:val="24"/>
          <w:highlight w:val="none"/>
        </w:rPr>
        <w:t xml:space="preserve">一、资格审查程序</w:t>
      </w:r>
      <w:bookmarkEnd w:id="729"/>
      <w:r>
        <w:rPr>
          <w:rFonts w:hint="eastAsia" w:ascii="宋体" w:hAnsi="宋体" w:cs="宋体"/>
          <w:b/>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1"/>
        </w:numPr>
        <w:ind w:left="0" w:firstLine="480"/>
        <w:spacing w:line="360" w:lineRule="auto"/>
        <w:tabs>
          <w:tab w:val="left" w:pos="284" w:leader="none"/>
          <w:tab w:val="left" w:pos="90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1"/>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bookmarkStart w:id="730" w:name="_Hlt487972895"/>
            <w:r/>
            <w:bookmarkEnd w:id="730"/>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1"/>
        <w:jc w:val="left"/>
        <w:widowControl/>
        <w:rPr>
          <w:rFonts w:hint="eastAsia" w:ascii="宋体" w:hAnsi="宋体" w:cs="宋体"/>
          <w:color w:val="000000"/>
          <w:sz w:val="24"/>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8"/>
      <w:r/>
      <w:bookmarkStart w:id="731" w:name="_Toc127161490"/>
      <w:r/>
      <w:bookmarkStart w:id="732" w:name="_Toc226965858"/>
      <w:r/>
      <w:bookmarkStart w:id="733" w:name="_Toc353825550"/>
      <w:r/>
      <w:bookmarkStart w:id="734" w:name="_Toc353873940"/>
      <w:r/>
      <w:bookmarkStart w:id="735"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1"/>
        <w:jc w:val="center"/>
        <w:spacing w:line="360" w:lineRule="auto"/>
        <w:rPr>
          <w:rFonts w:hint="eastAsia" w:ascii="宋体" w:hAnsi="宋体" w:cs="宋体"/>
          <w:b/>
          <w:color w:val="000000"/>
          <w:sz w:val="36"/>
          <w:szCs w:val="36"/>
          <w:highlight w:val="none"/>
        </w:rPr>
        <w:outlineLvl w:val="0"/>
      </w:pPr>
      <w:r/>
      <w:bookmarkStart w:id="736" w:name="_Toc99301423"/>
      <w:r>
        <w:rPr>
          <w:rFonts w:hint="eastAsia" w:ascii="宋体" w:hAnsi="宋体" w:cs="宋体"/>
          <w:b/>
          <w:color w:val="000000"/>
          <w:sz w:val="36"/>
          <w:szCs w:val="36"/>
          <w:highlight w:val="none"/>
        </w:rPr>
        <w:t xml:space="preserve">第四章   </w:t>
      </w:r>
      <w:bookmarkEnd w:id="731"/>
      <w:r/>
      <w:bookmarkEnd w:id="732"/>
      <w:r/>
      <w:bookmarkEnd w:id="733"/>
      <w:r/>
      <w:bookmarkEnd w:id="734"/>
      <w:r/>
      <w:bookmarkEnd w:id="735"/>
      <w:r/>
      <w:bookmarkStart w:id="737" w:name="_Hlt164229061"/>
      <w:r/>
      <w:bookmarkEnd w:id="737"/>
      <w:r>
        <w:rPr>
          <w:rFonts w:hint="eastAsia" w:ascii="宋体" w:hAnsi="宋体" w:cs="宋体"/>
          <w:b/>
          <w:color w:val="000000"/>
          <w:sz w:val="36"/>
          <w:szCs w:val="36"/>
          <w:highlight w:val="none"/>
        </w:rPr>
        <w:t xml:space="preserve">评标程序、评标方法和评标标准</w:t>
      </w:r>
      <w:bookmarkEnd w:id="736"/>
      <w:r>
        <w:rPr>
          <w:rFonts w:hint="eastAsia" w:ascii="宋体" w:hAnsi="宋体" w:cs="宋体"/>
          <w:b/>
          <w:color w:val="000000"/>
          <w:sz w:val="36"/>
          <w:szCs w:val="36"/>
          <w:highlight w:val="none"/>
        </w:rPr>
      </w:r>
      <w:r/>
    </w:p>
    <w:p>
      <w:pPr>
        <w:pStyle w:val="1071"/>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1"/>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color w:val="000000"/>
          <w:sz w:val="24"/>
          <w:highlight w:val="none"/>
        </w:rPr>
        <w:outlineLvl w:val="1"/>
      </w:pPr>
      <w:r/>
      <w:bookmarkStart w:id="738" w:name="_Toc164351635"/>
      <w:r/>
      <w:bookmarkStart w:id="739" w:name="_Toc127161455"/>
      <w:r/>
      <w:bookmarkStart w:id="740" w:name="_Toc150774641"/>
      <w:r/>
      <w:bookmarkStart w:id="741" w:name="_Toc264969231"/>
      <w:r/>
      <w:bookmarkStart w:id="742" w:name="_Toc305158809"/>
      <w:r/>
      <w:bookmarkStart w:id="743" w:name="_Toc151193783"/>
      <w:r/>
      <w:bookmarkStart w:id="744" w:name="_Toc142311043"/>
      <w:r/>
      <w:bookmarkStart w:id="745" w:name="_Toc151190168"/>
      <w:r/>
      <w:bookmarkStart w:id="746" w:name="_Toc151193639"/>
      <w:r/>
      <w:bookmarkStart w:id="747" w:name="_Toc127151742"/>
      <w:r/>
      <w:bookmarkStart w:id="748" w:name="_Toc226309785"/>
      <w:r/>
      <w:bookmarkStart w:id="749" w:name="_Toc164608810"/>
      <w:r/>
      <w:bookmarkStart w:id="750" w:name="_Toc127151541"/>
      <w:r/>
      <w:bookmarkStart w:id="751" w:name="_Toc226965814"/>
      <w:r/>
      <w:bookmarkStart w:id="752" w:name="_Toc305158883"/>
      <w:r/>
      <w:bookmarkStart w:id="753" w:name="_Toc151193855"/>
      <w:r/>
      <w:bookmarkStart w:id="754" w:name="_Toc164229236"/>
      <w:r/>
      <w:bookmarkStart w:id="755" w:name="_Toc226965731"/>
      <w:r/>
      <w:bookmarkStart w:id="756" w:name="_Toc151193711"/>
      <w:r/>
      <w:bookmarkStart w:id="757" w:name="_Toc195842906"/>
      <w:r/>
      <w:bookmarkStart w:id="758" w:name="_Toc151193929"/>
      <w:r/>
      <w:bookmarkStart w:id="759" w:name="_Toc150509292"/>
      <w:r/>
      <w:bookmarkStart w:id="760" w:name="_Toc265228379"/>
      <w:r/>
      <w:bookmarkStart w:id="761" w:name="_Toc150774746"/>
      <w:r/>
      <w:bookmarkStart w:id="762" w:name="_Toc150480779"/>
      <w:r/>
      <w:bookmarkStart w:id="763" w:name="_Toc226337237"/>
      <w:r/>
      <w:bookmarkStart w:id="764" w:name="_Toc164229382"/>
      <w:r/>
      <w:bookmarkStart w:id="765" w:name="_Toc149720834"/>
      <w:r/>
      <w:bookmarkStart w:id="766" w:name="_Toc164608655"/>
      <w:r/>
      <w:bookmarkStart w:id="767" w:name="_Toc353825551"/>
      <w:r/>
      <w:bookmarkStart w:id="768" w:name="_Toc353873941"/>
      <w:r/>
      <w:bookmarkStart w:id="769" w:name="_Toc305158897"/>
      <w:r/>
      <w:bookmarkStart w:id="770" w:name="_Toc226965828"/>
      <w:r/>
      <w:bookmarkStart w:id="771" w:name="_Toc127151555"/>
      <w:r/>
      <w:bookmarkStart w:id="772" w:name="_Toc195842920"/>
      <w:r/>
      <w:bookmarkStart w:id="773" w:name="_Toc150774760"/>
      <w:r/>
      <w:bookmarkStart w:id="774" w:name="_Toc353873665"/>
      <w:r/>
      <w:bookmarkStart w:id="775" w:name="_Toc353873935"/>
      <w:r/>
      <w:bookmarkStart w:id="776" w:name="_Toc226337251"/>
      <w:r/>
      <w:bookmarkStart w:id="777" w:name="_Toc264969245"/>
      <w:r/>
      <w:bookmarkStart w:id="778" w:name="_Toc265228393"/>
      <w:r/>
      <w:bookmarkStart w:id="779" w:name="_Toc142311057"/>
      <w:r/>
      <w:bookmarkStart w:id="780" w:name="_Toc150480793"/>
      <w:r/>
      <w:bookmarkStart w:id="781" w:name="_Toc305158823"/>
      <w:r/>
      <w:bookmarkStart w:id="782" w:name="_Toc353825545"/>
      <w:r>
        <w:rPr>
          <w:rFonts w:hint="eastAsia" w:ascii="宋体" w:hAnsi="宋体" w:cs="宋体"/>
          <w:b/>
          <w:color w:val="000000"/>
          <w:sz w:val="24"/>
          <w:highlight w:val="none"/>
        </w:rPr>
        <w:t xml:space="preserve">投标文件的符合性审查</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3" w:name="_Toc520356167"/>
      <w:r>
        <w:rPr>
          <w:rFonts w:hint="eastAsia" w:ascii="宋体" w:hAnsi="宋体" w:cs="宋体"/>
          <w:color w:val="000000"/>
          <w:sz w:val="24"/>
          <w:highlight w:val="none"/>
        </w:rPr>
      </w:r>
      <w:r/>
    </w:p>
    <w:p>
      <w:pPr>
        <w:pStyle w:val="1071"/>
        <w:numPr>
          <w:ilvl w:val="1"/>
          <w:numId w:val="12"/>
        </w:numPr>
        <w:ind w:left="0" w:firstLine="480"/>
        <w:spacing w:line="360" w:lineRule="auto"/>
        <w:tabs>
          <w:tab w:val="left" w:pos="993"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1"/>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1"/>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bookmarkEnd w:id="767"/>
      <w:r/>
      <w:bookmarkEnd w:id="768"/>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1"/>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1"/>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1"/>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1"/>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4" w:name="_Toc151193644"/>
      <w:r/>
      <w:bookmarkStart w:id="785" w:name="_Toc520356170"/>
      <w:r/>
      <w:bookmarkStart w:id="786" w:name="_Toc142311048"/>
      <w:r/>
      <w:bookmarkStart w:id="787" w:name="_Toc164229387"/>
      <w:r/>
      <w:bookmarkStart w:id="788" w:name="_Toc164351640"/>
      <w:r/>
      <w:bookmarkStart w:id="789" w:name="_Toc151190173"/>
      <w:r/>
      <w:bookmarkStart w:id="790" w:name="_Toc195842911"/>
      <w:r/>
      <w:bookmarkStart w:id="791" w:name="_Ref467307010"/>
      <w:r/>
      <w:bookmarkStart w:id="792" w:name="_Toc151193716"/>
      <w:r/>
      <w:bookmarkStart w:id="793" w:name="_Toc149720839"/>
      <w:r/>
      <w:bookmarkStart w:id="794" w:name="_Toc265228384"/>
      <w:r/>
      <w:bookmarkStart w:id="795" w:name="_Toc226965819"/>
      <w:r/>
      <w:bookmarkStart w:id="796" w:name="_Toc164229241"/>
      <w:r/>
      <w:bookmarkStart w:id="797" w:name="_Toc164608815"/>
      <w:r/>
      <w:bookmarkStart w:id="798" w:name="_Toc150774646"/>
      <w:r/>
      <w:bookmarkStart w:id="799" w:name="_Toc164608660"/>
      <w:r/>
      <w:bookmarkStart w:id="800" w:name="_Toc305158888"/>
      <w:r/>
      <w:bookmarkStart w:id="801" w:name="_Toc226337242"/>
      <w:r/>
      <w:bookmarkStart w:id="802" w:name="_Toc305158814"/>
      <w:r/>
      <w:bookmarkStart w:id="803" w:name="_Toc264969236"/>
      <w:r/>
      <w:bookmarkStart w:id="804" w:name="_Toc226309790"/>
      <w:r/>
      <w:bookmarkStart w:id="805" w:name="_Toc127151747"/>
      <w:r/>
      <w:bookmarkStart w:id="806" w:name="_Toc151193860"/>
      <w:r/>
      <w:bookmarkStart w:id="807" w:name="_Toc150509297"/>
      <w:r/>
      <w:bookmarkStart w:id="808" w:name="_Toc226965736"/>
      <w:r/>
      <w:bookmarkStart w:id="809" w:name="_Toc151193788"/>
      <w:r/>
      <w:bookmarkStart w:id="810" w:name="_Toc127161460"/>
      <w:r/>
      <w:bookmarkStart w:id="811" w:name="_Toc151193934"/>
      <w:r/>
      <w:bookmarkStart w:id="812" w:name="_Toc150774751"/>
      <w:r/>
      <w:bookmarkStart w:id="813" w:name="_Toc127151546"/>
      <w:r/>
      <w:bookmarkStart w:id="814" w:name="_Toc150480784"/>
      <w:r>
        <w:rPr>
          <w:rFonts w:hint="eastAsia" w:ascii="宋体" w:hAnsi="宋体" w:cs="宋体"/>
          <w:b/>
          <w:color w:val="000000"/>
          <w:sz w:val="24"/>
          <w:highlight w:val="none"/>
        </w:rPr>
        <w:t xml:space="preserve">中标候选人名单</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0"/>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1"/>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1"/>
        <w:spacing w:line="360" w:lineRule="auto"/>
        <w:tabs>
          <w:tab w:val="left" w:pos="0" w:leader="none"/>
          <w:tab w:val="left" w:pos="567"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1"/>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1"/>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
        <w:gridCol w:w="1262"/>
        <w:gridCol w:w="883"/>
        <w:gridCol w:w="3435"/>
        <w:gridCol w:w="2757"/>
      </w:tblGrid>
      <w:tr>
        <w:trPr>
          <w:trHeight w:val="170"/>
        </w:trPr>
        <w:tc>
          <w:tcPr>
            <w:tcW w:w="512"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849"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484" w:type="dxa"/>
            <w:vAlign w:val="center"/>
            <w:textDirection w:val="lrTb"/>
            <w:noWrap w:val="false"/>
          </w:tcPr>
          <w:p>
            <w:pPr>
              <w:pStyle w:val="1132"/>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50</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1"/>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投标报价得分=（评标基准价/投标报价）*50</w:t>
            </w:r>
            <w:r>
              <w:rPr>
                <w:rFonts w:hint="eastAsia" w:ascii="宋体" w:hAnsi="宋体" w:cs="宋体"/>
                <w:b/>
                <w:color w:val="000000"/>
                <w:sz w:val="24"/>
                <w:highlight w:val="none"/>
              </w:rPr>
            </w:r>
            <w:r/>
          </w:p>
        </w:tc>
        <w:tc>
          <w:tcPr>
            <w:tcW w:w="1484"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26</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23</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技术要求的符合性，即对提供货物的技术参数、配置、性能是否符合或优于招标文件要求进行评价。符合技术要求的得23分，技术要求中带</w:t>
            </w:r>
            <w:r>
              <w:rPr>
                <w:rFonts w:ascii="SimSun" w:hAnsi="SimSun" w:eastAsia="SimSun" w:cs="SimSun"/>
                <w:color w:val="000000"/>
                <w:sz w:val="24"/>
                <w:highlight w:val="green"/>
              </w:rPr>
              <w:t xml:space="preserve">“★”</w:t>
            </w:r>
            <w:r>
              <w:rPr>
                <w:rFonts w:hint="eastAsia" w:ascii="宋体" w:hAnsi="宋体" w:cs="宋体"/>
                <w:color w:val="000000"/>
                <w:sz w:val="24"/>
                <w:highlight w:val="none"/>
                <w:lang w:bidi="ar"/>
              </w:rPr>
              <w:t xml:space="preserve">参数为实质性参数，未提供或负偏离将作无效投标处理；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技术要求中带“▲”参数为重要参数，每有一项负偏离的，扣2分；其他参数为一般参数，每有一项负偏离的，扣1分；扣完为止。</w:t>
            </w:r>
            <w:r>
              <w:rPr>
                <w:rFonts w:hint="eastAsia" w:ascii="宋体" w:hAnsi="宋体" w:cs="宋体"/>
                <w:color w:val="000000"/>
                <w:sz w:val="24"/>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w:t>
            </w:r>
            <w:r>
              <w:rPr>
                <w:rFonts w:hint="eastAsia" w:ascii="宋体" w:hAnsi="宋体" w:cs="宋体"/>
                <w:b/>
                <w:color w:val="000000"/>
                <w:sz w:val="24"/>
                <w:highlight w:val="none"/>
              </w:rPr>
            </w:r>
            <w:r/>
          </w:p>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849" w:type="dxa"/>
            <w:vAlign w:val="center"/>
            <w:textDirection w:val="lrTb"/>
            <w:noWrap w:val="false"/>
          </w:tcPr>
          <w:p>
            <w:pPr>
              <w:pStyle w:val="1132"/>
              <w:spacing w:before="0" w:beforeAutospacing="0" w:after="0" w:afterAutospacing="0" w:line="360" w:lineRule="exact"/>
              <w:widowControl w:val="off"/>
              <w:rPr>
                <w:rFonts w:hint="eastAsia"/>
                <w:b/>
                <w:color w:val="000000"/>
                <w:highlight w:val="none"/>
              </w:rPr>
            </w:pPr>
            <w:r>
              <w:rPr>
                <w:rFonts w:hint="eastAsia"/>
                <w:bCs/>
                <w:color w:val="000000"/>
                <w:highlight w:val="none"/>
                <w:lang w:bidi="ar"/>
              </w:rPr>
              <w:t xml:space="preserve">提供投标人或者制造商(含制造商其他代理商)自2023年1月1日以来在国内的销售合同（</w:t>
            </w:r>
            <w:r>
              <w:rPr>
                <w:rFonts w:hint="eastAsia"/>
                <w:b/>
                <w:color w:val="000000"/>
                <w:highlight w:val="none"/>
                <w:lang w:bidi="ar"/>
              </w:rPr>
              <w:t xml:space="preserve">合同内产品必须与投标产品或核心产品（非单一产品项目适用）为同品牌同型号</w:t>
            </w:r>
            <w:r>
              <w:rPr>
                <w:rFonts w:hint="eastAsia"/>
                <w:bCs/>
                <w:color w:val="000000"/>
                <w:highlight w:val="none"/>
                <w:lang w:bidi="ar"/>
              </w:rPr>
              <w:t xml:space="preserve">），每提供一份有效合同得1分，最多得2分。</w:t>
            </w:r>
            <w:r>
              <w:rPr>
                <w:rFonts w:hint="eastAsia"/>
                <w:b/>
                <w:color w:val="000000"/>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投标文件提供合同扫描件，未提供不得分。</w:t>
            </w: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849"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484" w:type="dxa"/>
            <w:vAlign w:val="center"/>
            <w:textDirection w:val="lrTb"/>
            <w:noWrap w:val="false"/>
          </w:tcPr>
          <w:p>
            <w:pPr>
              <w:pStyle w:val="1071"/>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8"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1849"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26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项目实施方案</w:t>
            </w:r>
            <w:r>
              <w:rPr>
                <w:rFonts w:hint="eastAsia" w:ascii="宋体" w:hAnsi="宋体" w:cs="宋体"/>
                <w:color w:val="000000"/>
                <w:sz w:val="24"/>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262"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运输安装调试方案</w:t>
            </w:r>
            <w:r>
              <w:rPr>
                <w:rFonts w:hint="eastAsia" w:ascii="宋体" w:hAnsi="宋体" w:cs="宋体"/>
                <w:color w:val="000000"/>
                <w:sz w:val="24"/>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提供针对本项目的运输安装调试方案，包括但不限于设备出库、运输及货物保障、设备安装及初始化调试、设备验收检查流程等。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方案内容全面，详细合理，针对性强，技术保障措施完善，得4分；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方案内容较全面合理，针对性一般，技术保障措施较为完善，得2.5分；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W w:w="1262"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产品质量保障方案</w:t>
            </w:r>
            <w:r>
              <w:rPr>
                <w:rFonts w:hint="eastAsia" w:ascii="宋体" w:hAnsi="宋体" w:cs="宋体"/>
                <w:color w:val="000000"/>
                <w:sz w:val="24"/>
                <w:highlight w:val="none"/>
              </w:rPr>
            </w:r>
            <w:r/>
          </w:p>
        </w:tc>
        <w:tc>
          <w:tcPr>
            <w:tcW w:w="883" w:type="dxa"/>
            <w:vAlign w:val="center"/>
            <w:textDirection w:val="lrTb"/>
            <w:noWrap w:val="false"/>
          </w:tcPr>
          <w:p>
            <w:pPr>
              <w:pStyle w:val="1071"/>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投标人提供产品质量保障方案，包括货物质量保证、货物检验标准、货物来源渠道等。</w:t>
            </w:r>
            <w:r>
              <w:rPr>
                <w:rFonts w:hint="eastAsia" w:ascii="宋体" w:hAnsi="宋体" w:cs="宋体"/>
                <w:color w:val="000000"/>
                <w:sz w:val="24"/>
                <w:highlight w:val="none"/>
              </w:rPr>
            </w:r>
            <w:r/>
          </w:p>
          <w:p>
            <w:pPr>
              <w:pStyle w:val="107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ascii="宋体" w:hAnsi="宋体" w:cs="宋体"/>
                <w:color w:val="000000"/>
                <w:sz w:val="24"/>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宋体" w:cs="宋体"/>
                <w:color w:val="000000"/>
                <w:sz w:val="24"/>
                <w:highlight w:val="none"/>
              </w:rPr>
            </w:r>
            <w:r/>
          </w:p>
        </w:tc>
        <w:tc>
          <w:tcPr>
            <w:tcW w:w="1262" w:type="dxa"/>
            <w:vAlign w:val="center"/>
            <w:textDirection w:val="lrTb"/>
            <w:noWrap w:val="false"/>
          </w:tcPr>
          <w:p>
            <w:pPr>
              <w:pStyle w:val="1132"/>
              <w:jc w:val="center"/>
              <w:spacing w:before="0" w:beforeAutospacing="0" w:after="0" w:afterAutospacing="0" w:line="360" w:lineRule="exact"/>
              <w:widowControl w:val="off"/>
              <w:rPr>
                <w:rFonts w:hint="eastAsia"/>
                <w:color w:val="000000"/>
                <w:highlight w:val="none"/>
              </w:rPr>
            </w:pPr>
            <w:r>
              <w:rPr>
                <w:rFonts w:hint="eastAsia"/>
                <w:color w:val="000000"/>
                <w:highlight w:val="none"/>
              </w:rPr>
              <w:t xml:space="preserve">培训方案</w:t>
            </w:r>
            <w:r>
              <w:rPr>
                <w:rFonts w:hint="eastAsia"/>
                <w:color w:val="000000"/>
                <w:highlight w:val="none"/>
              </w:rPr>
            </w:r>
            <w:r/>
          </w:p>
        </w:tc>
        <w:tc>
          <w:tcPr>
            <w:tcW w:w="88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培训方案详细具体，可行性高，优于项目需求的得4分；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培训方案较为详细具体，可行性较高，满足项目需求的得2.5分；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3.5</w:t>
            </w:r>
            <w:r>
              <w:rPr>
                <w:rFonts w:hint="eastAsia" w:ascii="宋体" w:hAnsi="宋体" w:cs="宋体"/>
                <w:color w:val="000000"/>
                <w:sz w:val="24"/>
                <w:highlight w:val="none"/>
              </w:rPr>
            </w:r>
            <w:r/>
          </w:p>
        </w:tc>
        <w:tc>
          <w:tcPr>
            <w:tcW w:w="1262" w:type="dxa"/>
            <w:vAlign w:val="center"/>
            <w:textDirection w:val="lrTb"/>
            <w:noWrap w:val="false"/>
          </w:tcPr>
          <w:p>
            <w:pPr>
              <w:pStyle w:val="1071"/>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hint="eastAsia" w:ascii="宋体" w:hAnsi="宋体" w:cs="宋体"/>
                <w:color w:val="000000"/>
                <w:sz w:val="24"/>
                <w:highlight w:val="none"/>
              </w:rPr>
            </w:r>
            <w:r/>
          </w:p>
        </w:tc>
        <w:tc>
          <w:tcPr>
            <w:tcW w:w="883"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方案详细，可操作性强，完全满足项目需要的，得4分；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方案较详细，可操作性较强，基本满足项目需求，略有欠缺需要完善的，得2.5分；</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71"/>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946"/>
        </w:trPr>
        <w:tc>
          <w:tcPr>
            <w:tcW w:w="951"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3.6</w:t>
            </w:r>
            <w:r>
              <w:rPr>
                <w:rFonts w:hint="eastAsia" w:ascii="宋体" w:hAnsi="宋体" w:cs="宋体"/>
                <w:color w:val="000000"/>
                <w:sz w:val="24"/>
                <w:highlight w:val="none"/>
              </w:rPr>
            </w:r>
            <w:r/>
          </w:p>
        </w:tc>
        <w:tc>
          <w:tcPr>
            <w:tcW w:w="1262" w:type="dxa"/>
            <w:vAlign w:val="center"/>
            <w:textDirection w:val="lrTb"/>
            <w:noWrap w:val="false"/>
          </w:tcPr>
          <w:p>
            <w:pPr>
              <w:pStyle w:val="1071"/>
              <w:jc w:val="left"/>
              <w:widowControl/>
              <w:rPr>
                <w:rFonts w:hint="eastAsia"/>
                <w:color w:val="000000"/>
                <w:highlight w:val="none"/>
              </w:rPr>
            </w:pPr>
            <w:r>
              <w:rPr>
                <w:rFonts w:hint="eastAsia" w:ascii="宋体" w:hAnsi="宋体" w:cs="宋体"/>
                <w:color w:val="000000"/>
                <w:sz w:val="24"/>
                <w:highlight w:val="none"/>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rPr>
            </w:r>
            <w:r/>
          </w:p>
        </w:tc>
        <w:tc>
          <w:tcPr>
            <w:tcW w:w="883" w:type="dxa"/>
            <w:vAlign w:val="center"/>
            <w:textDirection w:val="lrTb"/>
            <w:noWrap w:val="false"/>
          </w:tcPr>
          <w:p>
            <w:pPr>
              <w:pStyle w:val="1071"/>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435" w:type="dxa"/>
            <w:vAlign w:val="center"/>
            <w:textDirection w:val="lrTb"/>
            <w:noWrap w:val="false"/>
          </w:tcPr>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质保期满后的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32"/>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color w:val="000000"/>
                <w:highlight w:val="none"/>
              </w:rPr>
            </w:r>
            <w:r/>
          </w:p>
        </w:tc>
        <w:tc>
          <w:tcPr>
            <w:tcW w:w="1484" w:type="dxa"/>
            <w:vAlign w:val="center"/>
            <w:textDirection w:val="lrTb"/>
            <w:noWrap w:val="false"/>
          </w:tcPr>
          <w:p>
            <w:pPr>
              <w:pStyle w:val="1071"/>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1"/>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71"/>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b/>
          <w:bCs/>
          <w:i/>
          <w:iCs/>
          <w:color w:val="000000"/>
          <w:sz w:val="24"/>
          <w:highlight w:val="none"/>
        </w:rPr>
        <w:t xml:space="preserve">（采购需求中标注“★”项条款，均为实质性要求，必须满足并响应，按要求提供有关材料，否则投标无效。）</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江苏常州经济开发区街道社区卫生服务中心2026年采购医疗设备一批项目，具体内容包括：设备的制造（采购）、运输、装卸、安装、调试、测试、售后服务、技术培训等，直至通过采购单位及其他相关部门的验收以及质保、免费维保等全部工作。</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lang w:bidi="ar"/>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659"/>
        <w:gridCol w:w="3383"/>
        <w:gridCol w:w="845"/>
        <w:gridCol w:w="3488"/>
      </w:tblGrid>
      <w:tr>
        <w:trPr/>
        <w:tc>
          <w:tcPr>
            <w:tcW w:w="48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包号</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序号</w:t>
            </w:r>
            <w:r>
              <w:rPr>
                <w:rFonts w:ascii="宋体" w:hAnsi="宋体" w:cs="宋体"/>
                <w:color w:val="000000"/>
                <w:sz w:val="24"/>
                <w:highlight w:val="none"/>
                <w:lang w:bidi="ar"/>
              </w:rPr>
            </w:r>
            <w:r/>
          </w:p>
        </w:tc>
        <w:tc>
          <w:tcPr>
            <w:tcW w:w="1822"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设备名称</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数量</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i/>
                <w:iCs/>
                <w:color w:val="000000"/>
                <w:sz w:val="24"/>
                <w:highlight w:val="none"/>
                <w:lang w:bidi="ar"/>
              </w:rPr>
            </w:pPr>
            <w:r>
              <w:rPr>
                <w:rFonts w:hint="eastAsia" w:ascii="宋体" w:hAnsi="宋体" w:cs="宋体"/>
                <w:b/>
                <w:bCs/>
                <w:i/>
                <w:iCs/>
                <w:color w:val="000000"/>
                <w:sz w:val="24"/>
                <w:highlight w:val="none"/>
                <w:lang w:bidi="ar"/>
              </w:rPr>
              <w:t xml:space="preserve">★</w:t>
            </w:r>
            <w:r>
              <w:rPr>
                <w:rFonts w:hint="eastAsia" w:ascii="宋体" w:hAnsi="宋体" w:cs="宋体"/>
                <w:i/>
                <w:iCs/>
                <w:color w:val="000000"/>
                <w:sz w:val="24"/>
                <w:highlight w:val="none"/>
                <w:lang w:bidi="ar"/>
              </w:rPr>
              <w:t xml:space="preserve">备注</w:t>
            </w:r>
            <w:r>
              <w:rPr>
                <w:rFonts w:ascii="宋体" w:hAnsi="宋体" w:cs="宋体"/>
                <w:i/>
                <w:iCs/>
                <w:color w:val="000000"/>
                <w:sz w:val="24"/>
                <w:highlight w:val="none"/>
                <w:lang w:bidi="ar"/>
              </w:rPr>
            </w:r>
            <w:r/>
          </w:p>
        </w:tc>
      </w:tr>
      <w:tr>
        <w:trPr/>
        <w:tc>
          <w:tcPr>
            <w:tcW w:w="48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包01</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彩色多普勒超声系统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i/>
                <w:iCs/>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i/>
                <w:iCs/>
                <w:color w:val="000000"/>
                <w:sz w:val="24"/>
                <w:highlight w:val="none"/>
                <w:lang w:bidi="ar"/>
              </w:rPr>
            </w:r>
            <w:r/>
          </w:p>
        </w:tc>
      </w:tr>
      <w:tr>
        <w:trPr>
          <w:trHeight w:val="606"/>
        </w:trPr>
        <w:tc>
          <w:tcPr>
            <w:tcW w:w="488" w:type="dxa"/>
            <w:vAlign w:val="center"/>
            <w:vMerge w:val="restart"/>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包02</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left"/>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基层慢病两筛三防智能管理系统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r>
      <w:tr>
        <w:trPr>
          <w:trHeight w:val="473"/>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体征采集管理系统</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人体成分分析仪</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rHeight w:val="90"/>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ascii="宋体" w:hAnsi="宋体" w:cs="宋体"/>
                <w:color w:val="000000"/>
                <w:sz w:val="24"/>
                <w:highlight w:val="none"/>
                <w:lang w:bidi="ar"/>
              </w:rPr>
            </w:pPr>
            <w:r>
              <w:rPr>
                <w:rFonts w:hint="eastAsia" w:ascii="宋体" w:hAnsi="宋体" w:cs="宋体"/>
                <w:color w:val="000000"/>
                <w:sz w:val="22"/>
                <w:szCs w:val="22"/>
                <w:highlight w:val="none"/>
                <w:lang w:bidi="ar"/>
              </w:rPr>
              <w:t xml:space="preserve">血压脉搏测量装置</w:t>
            </w:r>
            <w:r>
              <w:rPr>
                <w:rFonts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动态血压监测仪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rHeight w:val="465"/>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上下肢康复运动训练器</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7</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康复数据处理软件</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8</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动态心肺功能数据分析软件</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9</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便携式多参数健康检查仪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10</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便携式全自动多功能检测仪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包03</w:t>
            </w:r>
            <w:r>
              <w:rPr>
                <w:rFonts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牙科综合治疗机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牙科综合治疗机（种植款）</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口腔数字印模仪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4</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牙科种植机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5</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种植体稳固度检测仪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包04</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牙科影像板扫描仪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口腔曲面体层X射线机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hint="eastAsia" w:ascii="宋体" w:hAnsi="宋体" w:cs="宋体"/>
                <w:b/>
                <w:bCs/>
                <w:i/>
                <w:iCs/>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包05</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数字式心电图机</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6台</w:t>
            </w:r>
            <w:r>
              <w:rPr>
                <w:rFonts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4"/>
                <w:highlight w:val="none"/>
                <w:lang w:bidi="ar"/>
              </w:rPr>
            </w:pPr>
            <w:r>
              <w:rPr>
                <w:rFonts w:hint="eastAsia" w:ascii="宋体" w:hAnsi="宋体" w:cs="宋体"/>
                <w:color w:val="000000"/>
                <w:sz w:val="22"/>
                <w:szCs w:val="22"/>
                <w:highlight w:val="none"/>
                <w:lang w:bidi="ar"/>
              </w:rPr>
              <w:t xml:space="preserve">屈光筛查仪</w:t>
            </w:r>
            <w:r>
              <w:rPr>
                <w:rFonts w:hint="eastAsia" w:ascii="宋体" w:hAnsi="宋体" w:cs="宋体"/>
                <w:color w:val="000000"/>
                <w:sz w:val="24"/>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restart"/>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包06</w:t>
            </w: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牙科X射线机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r>
        <w:trPr/>
        <w:tc>
          <w:tcPr>
            <w:tcW w:w="488" w:type="dxa"/>
            <w:vAlign w:val="center"/>
            <w:vMerge w:val="continue"/>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355"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r>
            <w:r/>
          </w:p>
        </w:tc>
        <w:tc>
          <w:tcPr>
            <w:tcW w:w="1822" w:type="dxa"/>
            <w:vAlign w:val="center"/>
            <w:textDirection w:val="lrTb"/>
            <w:noWrap w:val="false"/>
          </w:tcPr>
          <w:p>
            <w:pPr>
              <w:pStyle w:val="1071"/>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呼吸机</w:t>
            </w:r>
            <w:r>
              <w:rPr>
                <w:rFonts w:hint="eastAsia" w:ascii="宋体" w:hAnsi="宋体" w:cs="宋体"/>
                <w:color w:val="000000"/>
                <w:sz w:val="22"/>
                <w:szCs w:val="22"/>
                <w:highlight w:val="none"/>
                <w:lang w:bidi="ar"/>
              </w:rPr>
            </w:r>
            <w:r/>
          </w:p>
        </w:tc>
        <w:tc>
          <w:tcPr>
            <w:tcW w:w="455" w:type="dxa"/>
            <w:vAlign w:val="center"/>
            <w:textDirection w:val="lrTb"/>
            <w:noWrap w:val="false"/>
          </w:tcPr>
          <w:p>
            <w:pPr>
              <w:pStyle w:val="1071"/>
              <w:jc w:val="cente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1台</w:t>
            </w:r>
            <w:r>
              <w:rPr>
                <w:rFonts w:hint="eastAsia" w:ascii="宋体" w:hAnsi="宋体" w:cs="宋体"/>
                <w:color w:val="000000"/>
                <w:sz w:val="24"/>
                <w:highlight w:val="none"/>
                <w:lang w:bidi="ar"/>
              </w:rPr>
            </w:r>
            <w:r/>
          </w:p>
        </w:tc>
        <w:tc>
          <w:tcPr>
            <w:tcW w:w="1878" w:type="dxa"/>
            <w:vAlign w:val="center"/>
            <w:textDirection w:val="lrTb"/>
            <w:noWrap w:val="false"/>
          </w:tcPr>
          <w:p>
            <w:pPr>
              <w:pStyle w:val="1071"/>
              <w:jc w:val="center"/>
              <w:spacing w:line="360" w:lineRule="auto"/>
              <w:rPr>
                <w:rFonts w:ascii="宋体" w:hAnsi="宋体" w:cs="宋体"/>
                <w:color w:val="000000"/>
                <w:sz w:val="24"/>
                <w:highlight w:val="none"/>
                <w:lang w:bidi="ar"/>
              </w:rPr>
            </w:pPr>
            <w:r>
              <w:rPr>
                <w:rFonts w:hint="eastAsia" w:ascii="宋体" w:hAnsi="宋体" w:cs="宋体"/>
                <w:b/>
                <w:bCs/>
                <w:i/>
                <w:iCs/>
                <w:color w:val="000000"/>
                <w:sz w:val="24"/>
                <w:highlight w:val="none"/>
                <w:lang w:bidi="ar"/>
              </w:rPr>
              <w:t xml:space="preserve">★提供有效的医疗器械注册证</w:t>
            </w:r>
            <w:r>
              <w:rPr>
                <w:rFonts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包01：彩色多普勒超声系统</w:t>
      </w:r>
      <w:r>
        <w:rPr>
          <w:rFonts w:hint="eastAsia" w:ascii="宋体" w:hAnsi="宋体" w:cs="宋体"/>
          <w:b/>
          <w:color w:val="000000"/>
          <w:sz w:val="24"/>
          <w:highlight w:val="none"/>
          <w:lang w:bidi="ar"/>
        </w:rPr>
      </w:r>
      <w:r/>
    </w:p>
    <w:p>
      <w:pPr>
        <w:pStyle w:val="1071"/>
        <w:ind w:firstLine="48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（一）设备用途：</w:t>
      </w:r>
      <w:r>
        <w:rPr>
          <w:rFonts w:hint="eastAsia" w:ascii="宋体" w:hAnsi="宋体" w:cs="宋体"/>
          <w:color w:val="000000"/>
          <w:sz w:val="24"/>
          <w:highlight w:val="none"/>
          <w:lang w:bidi="ar"/>
        </w:rPr>
        <w:t xml:space="preserve">适用于腹部、产科、妇科、心脏、小器官、泌尿、血管、儿科、神经、急诊、麻醉、其他。</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（二）物理规格及人机交互要求</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2.1显示器要求：≥23英寸高分辨率彩色液晶显示器，亮度对比度可调，≥4个显示器关节支撑臂，显示器可以上下倾斜、左右旋转、前后移动，具有独立的显示器锁定装置（非关节臂锁定）；</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2.2触摸屏要求：≥13英寸彩色触摸屏，触摸屏角度可以独立于主机调节；</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2.3触摸屏支持手势控制，支持手写和带上橡胶手套触摸，支持触摸屏编辑（长按进行按钮添加、删除、或移动），支持将显示器上的超声图像投影到触摸屏上，通过手指进行放大，描迹测量等操作；</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2.4具备最近使用过的检查探头和其模式记录，可一键切换到最常用探头和其模式；</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▲2.5操作面板具有6向独立调节功能（即电动上下升降、左右旋转和前后平移），方便操作者进行操作；</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2.6探头接口数量≥5个（5个探头接口均为无针式接口且大小一致）；</w:t>
      </w:r>
      <w:r>
        <w:rPr>
          <w:rFonts w:hint="eastAsia" w:ascii="宋体" w:hAnsi="宋体" w:cs="宋体"/>
          <w:color w:val="000000"/>
          <w:sz w:val="24"/>
          <w:highlight w:val="none"/>
        </w:rPr>
      </w:r>
      <w:r/>
    </w:p>
    <w:p>
      <w:pPr>
        <w:pStyle w:val="1071"/>
        <w:contextualSpacing/>
        <w:ind w:right="210" w:firstLine="480"/>
        <w:jc w:val="left"/>
        <w:spacing w:line="360" w:lineRule="auto"/>
        <w:widowControl/>
        <w:tabs>
          <w:tab w:val="left" w:pos="946"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▲2.7中央刹车和直行锁功能（提供机器图片）；</w:t>
      </w:r>
      <w:r>
        <w:rPr>
          <w:rFonts w:hint="eastAsia" w:ascii="宋体" w:hAnsi="宋体" w:cs="宋体"/>
          <w:color w:val="000000"/>
          <w:sz w:val="24"/>
          <w:highlight w:val="none"/>
        </w:rPr>
      </w:r>
      <w:r/>
    </w:p>
    <w:p>
      <w:pPr>
        <w:pStyle w:val="1071"/>
        <w:contextualSpacing/>
        <w:ind w:right="210" w:firstLine="480"/>
        <w:jc w:val="left"/>
        <w:spacing w:line="360" w:lineRule="auto"/>
        <w:widowControl/>
        <w:tabs>
          <w:tab w:val="left" w:pos="946"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2.8具备面板集成式物理键盘（非抽拉式或软键盘）。</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（三）系统成像技术</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3.1全域动态聚焦技术，声像图全程动态聚焦技术，全场图像均匀一致，图像上无焦点显示，仪器无任何实体和触摸按键可调节焦点；</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3.2具备B模式局部ROI区域高分辨率显示技术，提高感兴趣区的二维图像分辨率和细节分辨率，支持实时显示高分辨率显示取样框，且支持高分辨率显示取样框的大小可调节，有利于甲状腺等组织肿块的鉴别诊断；</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3.3穿刺针增强技术，凸阵和线阵探头均可支持，具有双屏双实时对比显示，增强前后效果，并支持自适应校正角度；</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3.4支持二维宽景和能量宽景，具有红、蓝、绿三种彩色框及文字提示扫描速度过快、过慢或者正常；</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▲3.5具有2种血管标记功能，一种为专业血管图谱编辑功能，可手动编辑图谱，直观显示病变的位置；一种为传统体表体位图标记；</w:t>
      </w:r>
      <w:r>
        <w:rPr>
          <w:rFonts w:hint="eastAsia" w:ascii="宋体" w:hAnsi="宋体" w:cs="宋体"/>
          <w:color w:val="000000"/>
          <w:sz w:val="24"/>
          <w:highlight w:val="none"/>
          <w:lang w:bidi="ar"/>
        </w:rPr>
      </w:r>
      <w:r/>
    </w:p>
    <w:p>
      <w:pPr>
        <w:pStyle w:val="1071"/>
        <w:ind w:firstLine="482"/>
        <w:jc w:val="left"/>
        <w:spacing w:line="360" w:lineRule="auto"/>
        <w:widowControl/>
        <w:rPr>
          <w:rFonts w:hint="eastAsia" w:ascii="宋体" w:hAnsi="宋体" w:cs="宋体"/>
          <w:color w:val="000000"/>
          <w:sz w:val="24"/>
          <w:highlight w:val="none"/>
          <w:lang w:bidi="ar"/>
        </w:rPr>
      </w:pPr>
      <w:r>
        <w:rPr>
          <w:rFonts w:hint="eastAsia" w:ascii="宋体" w:hAnsi="宋体" w:cs="宋体"/>
          <w:b/>
          <w:bCs/>
          <w:i/>
          <w:iCs/>
          <w:color w:val="000000"/>
          <w:sz w:val="24"/>
          <w:highlight w:val="none"/>
          <w:lang w:bidi="ar"/>
        </w:rPr>
        <w:t xml:space="preserve">★3.6声衰减成像技术，可对肝脏组织的衰减系数进行测量及可视化显示，用干脂肪肝和肝纤维化的量化评估诊断。能够提供客观量化指标、规避人为因素影响；</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▲3.7支持局部声速值，采用自动声速相关算法来测量了肝脏中的声速变化，根据肝实质回波信号测量声速大小，以量化与肝脏脂肪变性严重程度相关的脂肪含量。</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▲3.8支持肝肾比测量，基于B图像自动计算肾皮质和肝脏的灰阶比值进行肝脂肪变性评估，一键式肝肾皮质识别，实现快速简便的肝脂肪变性评估。</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▲3.9支持肝纹理功能，通过肝脏图像纹理特征分析，辅助定量评估肝脏脂肪变性程度。</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3.10 具备区域的血流定量分析技术，可获得感兴趣区内血管分布量，在疾病诊断、随访、疗效评估或制定治疗方案中提供指导信息。</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3.11超微细血流成像技术，对微细低速血流具有高敏感度，可检测并显示组织内部及病灶血流灌注的低速血流，明显提高血流敏感度、血管空间分辨力。</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▲3.12支持动态向量血流，通过彩色编码的向量箭头来追踪血流速度的大小和方向，生动且准确地显示外周血管的血流动力学特征。</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▲3.13动态向量血流成像要求无角度依赖，且分辨率达到毫秒级。</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（四）高级成像功能</w:t>
      </w:r>
      <w:r>
        <w:rPr>
          <w:rFonts w:hint="eastAsia" w:ascii="宋体" w:hAnsi="宋体" w:cs="宋体"/>
          <w:b/>
          <w:bCs/>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4.1造影成像</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▲4.1.1具备造影时序分析功能，使用不同颜色标记造影剂到达时间，方便观察并比较病灶及组织的造影剂灌注特点，可对彩色和时间进行设置；</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4.1.2支持造影，实时显示组织图像和造影图像，支持造影击碎，支持斑点噪声抑制，具备混合模式，支持造影图像和组织图像位置互换，成像帧率：凸阵探头10cm深度，扫描角度45°，帧率≥30帧/秒，线阵探头4cm深度，帧率≥50帧/秒；</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4.2.弹性成像</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4.2.1支持应变式弹性成像支持应变、应变率和应变直方图的测量，具有肿块周边组织与正常组织、肿块周边组织与肿块内组织弹性分析功能；</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color w:val="000000"/>
          <w:sz w:val="24"/>
          <w:highlight w:val="none"/>
        </w:rPr>
      </w:pPr>
      <w:r>
        <w:rPr>
          <w:rFonts w:hint="eastAsia" w:ascii="宋体" w:hAnsi="宋体" w:cs="宋体"/>
          <w:b/>
          <w:bCs/>
          <w:i/>
          <w:iCs/>
          <w:color w:val="000000"/>
          <w:sz w:val="24"/>
          <w:highlight w:val="none"/>
          <w:lang w:bidi="ar"/>
        </w:rPr>
        <w:t xml:space="preserve">★4.2.2剪切波定量弹性成像，动态显示二维剪切波弹性成像图，支持凸阵探头、线阵探头和腔内双平面探头（一线一凸）；</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4.2.3具有病灶周边浸润区的环形定量工具，同时需具有实体的专用的按键调节精准控制，环形的大小分级分档，可视可调；</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▲4.2.4支持在同一切面下同时进行应变式弹性成像和剪切波弹性成像并实时双幅显示。</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（五）测量和报告</w:t>
      </w:r>
      <w:r>
        <w:rPr>
          <w:rFonts w:hint="eastAsia" w:ascii="宋体" w:hAnsi="宋体" w:cs="宋体"/>
          <w:b/>
          <w:bCs/>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5.1可支持乳腺病灶自动分析功能</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▲5.1.1可自动识别乳腺病灶边界，自动分析病灶形态，边缘，回声类型，后方回声，钙化及血流状态。分析结果自动进入报告。可自动识别并同屏显示同一病灶≥4相交切面图像，支持≥6个病灶的自动分析。</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5.2.可支持甲状腺病灶自动分析功能</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▲5.2.1可支持识别甲状腺病灶边界，自动分析病灶形态，边缘，回声类型，后方回声，钙化及血流状态。分析结果自动进入报告。可自动识别并同屏显示同一病灶≥3相交切面图像，支持≥6个病灶的自动分析。</w:t>
      </w:r>
      <w:r>
        <w:rPr>
          <w:rFonts w:hint="eastAsia" w:ascii="宋体" w:hAnsi="宋体" w:cs="宋体"/>
          <w:color w:val="000000"/>
          <w:sz w:val="24"/>
          <w:highlight w:val="none"/>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（六）探头规格</w:t>
      </w:r>
      <w:r>
        <w:rPr>
          <w:rFonts w:hint="eastAsia" w:ascii="宋体" w:hAnsi="宋体" w:cs="宋体"/>
          <w:b/>
          <w:bCs/>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 可支持宽频面阵线阵探头，最大阵元数≥500阵元</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 系统最高可支持探头频率：≥30MHz</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b/>
          <w:bCs/>
          <w:i/>
          <w:iCs/>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b/>
          <w:bCs/>
          <w:i/>
          <w:iCs/>
          <w:color w:val="000000"/>
          <w:sz w:val="24"/>
          <w:highlight w:val="none"/>
          <w:lang w:bidi="ar"/>
        </w:rPr>
        <w:t xml:space="preserve">6.3探头配置（3把）：单晶体凸阵探头、宽频线阵探头、腔内凸阵探头</w:t>
      </w:r>
      <w:r>
        <w:rPr>
          <w:rFonts w:hint="eastAsia" w:ascii="宋体" w:hAnsi="宋体" w:cs="宋体"/>
          <w:b/>
          <w:bCs/>
          <w:i/>
          <w:iCs/>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6.4 探头频率:</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单晶体凸阵探头频率：1.2-6.0 MHz</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宽频线阵探头频率：4.0-15.0 MHz</w:t>
      </w:r>
      <w:r>
        <w:rPr>
          <w:rFonts w:hint="eastAsia" w:ascii="宋体" w:hAnsi="宋体" w:cs="宋体"/>
          <w:color w:val="000000"/>
          <w:sz w:val="24"/>
          <w:highlight w:val="none"/>
          <w:lang w:bidi="ar"/>
        </w:rPr>
      </w:r>
      <w:r/>
    </w:p>
    <w:p>
      <w:pPr>
        <w:pStyle w:val="1071"/>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腔内凸阵频率: 3.0-11.0 MHz</w:t>
      </w:r>
      <w:r>
        <w:rPr>
          <w:rFonts w:hint="eastAsia" w:ascii="宋体" w:hAnsi="宋体" w:cs="宋体"/>
          <w:color w:val="000000"/>
          <w:sz w:val="24"/>
          <w:highlight w:val="none"/>
          <w:lang w:bidi="ar"/>
        </w:rPr>
      </w:r>
      <w:r/>
    </w:p>
    <w:p>
      <w:pPr>
        <w:pStyle w:val="107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（七） 外设和附件及其他要求</w:t>
      </w:r>
      <w:r>
        <w:rPr>
          <w:rFonts w:hint="eastAsia" w:ascii="宋体" w:hAnsi="宋体" w:cs="宋体"/>
          <w:b/>
          <w:bCs/>
          <w:color w:val="000000"/>
          <w:sz w:val="24"/>
          <w:highlight w:val="none"/>
        </w:rPr>
      </w:r>
      <w:r/>
    </w:p>
    <w:p>
      <w:pPr>
        <w:pStyle w:val="1071"/>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7.1耦合剂加热器，支持实体按键开关，温度多级可调</w:t>
      </w:r>
      <w:r>
        <w:rPr>
          <w:rFonts w:hint="eastAsia" w:ascii="宋体" w:hAnsi="宋体" w:cs="宋体"/>
          <w:color w:val="000000"/>
          <w:sz w:val="24"/>
          <w:highlight w:val="none"/>
          <w:lang w:bidi="ar"/>
        </w:rPr>
      </w:r>
      <w:r/>
    </w:p>
    <w:p>
      <w:pPr>
        <w:pStyle w:val="1071"/>
        <w:ind w:firstLine="482"/>
        <w:jc w:val="left"/>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★7.2 </w:t>
      </w:r>
      <w:r>
        <w:rPr>
          <w:rFonts w:hint="eastAsia" w:ascii="宋体" w:hAnsi="宋体" w:cs="宋体"/>
          <w:b/>
          <w:bCs/>
          <w:i/>
          <w:iCs/>
          <w:color w:val="000000"/>
          <w:sz w:val="24"/>
          <w:highlight w:val="none"/>
          <w:lang w:bidi="ar"/>
        </w:rPr>
        <w:t xml:space="preserve">设备接口免费开放，接入医院现有信息系统，并承担接口费用，投标时提供承诺函。</w:t>
      </w:r>
      <w:r>
        <w:rPr>
          <w:rFonts w:hint="eastAsia" w:ascii="宋体" w:hAnsi="宋体" w:cs="宋体"/>
          <w:b/>
          <w:bCs/>
          <w:i/>
          <w:iCs/>
          <w:color w:val="000000"/>
          <w:sz w:val="24"/>
          <w:highlight w:val="none"/>
          <w:lang w:bidi="ar"/>
        </w:rPr>
        <w:t xml:space="preserve">。</w:t>
      </w:r>
      <w:r>
        <w:rPr>
          <w:rFonts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包02：慢病筛防中心设备一批</w:t>
      </w:r>
      <w:r>
        <w:rPr>
          <w:rFonts w:hint="eastAsia" w:ascii="宋体" w:hAnsi="宋体" w:cs="宋体"/>
          <w:b/>
          <w:color w:val="000000"/>
          <w:sz w:val="24"/>
          <w:highlight w:val="none"/>
          <w:lang w:bidi="ar"/>
        </w:rPr>
      </w:r>
      <w:r/>
    </w:p>
    <w:p>
      <w:pPr>
        <w:pStyle w:val="1071"/>
        <w:ind w:firstLine="482"/>
        <w:jc w:val="left"/>
        <w:spacing w:line="360" w:lineRule="exact"/>
        <w:rPr>
          <w:rFonts w:ascii="宋体" w:hAnsi="宋体" w:cs="宋体"/>
          <w:b/>
          <w:bCs/>
          <w:i/>
          <w:iCs/>
          <w:color w:val="000000"/>
          <w:sz w:val="24"/>
          <w:highlight w:val="none"/>
        </w:rPr>
      </w:pPr>
      <w:r>
        <w:rPr>
          <w:rFonts w:hint="eastAsia" w:ascii="宋体" w:hAnsi="宋体" w:cs="宋体"/>
          <w:b/>
          <w:bCs/>
          <w:i/>
          <w:iCs/>
          <w:color w:val="000000"/>
          <w:sz w:val="24"/>
          <w:highlight w:val="none"/>
          <w:lang w:bidi="ar"/>
        </w:rPr>
        <w:t xml:space="preserve">★</w:t>
      </w:r>
      <w:r>
        <w:rPr>
          <w:rFonts w:hint="eastAsia" w:ascii="宋体" w:hAnsi="宋体" w:cs="宋体"/>
          <w:b/>
          <w:bCs/>
          <w:i/>
          <w:iCs/>
          <w:color w:val="000000"/>
          <w:sz w:val="24"/>
          <w:highlight w:val="none"/>
        </w:rPr>
        <w:t xml:space="preserve">总体要求：</w:t>
      </w:r>
      <w:r>
        <w:rPr>
          <w:rFonts w:hint="eastAsia" w:ascii="宋体" w:hAnsi="宋体" w:cs="宋体"/>
          <w:b/>
          <w:bCs/>
          <w:i/>
          <w:iCs/>
          <w:color w:val="000000"/>
          <w:sz w:val="24"/>
          <w:highlight w:val="none"/>
          <w:lang w:bidi="ar"/>
        </w:rPr>
        <w:t xml:space="preserve">本次采购设备</w:t>
      </w:r>
      <w:r>
        <w:rPr>
          <w:rFonts w:hint="eastAsia" w:ascii="宋体" w:hAnsi="宋体" w:cs="宋体"/>
          <w:b/>
          <w:bCs/>
          <w:i/>
          <w:iCs/>
          <w:color w:val="000000"/>
          <w:sz w:val="24"/>
          <w:highlight w:val="none"/>
        </w:rPr>
        <w:t xml:space="preserve">免费提供接口协议文档，并提供数据对接远程咨询服务，及关于对接文档相关技术解读服务；同时</w:t>
      </w:r>
      <w:r>
        <w:rPr>
          <w:rFonts w:hint="eastAsia" w:ascii="宋体" w:hAnsi="宋体" w:cs="宋体"/>
          <w:b/>
          <w:bCs/>
          <w:i/>
          <w:iCs/>
          <w:color w:val="000000"/>
          <w:sz w:val="24"/>
          <w:highlight w:val="none"/>
          <w:lang w:bidi="ar"/>
        </w:rPr>
        <w:t xml:space="preserve">本次采购设备</w:t>
      </w:r>
      <w:r>
        <w:rPr>
          <w:rFonts w:hint="eastAsia" w:ascii="宋体" w:hAnsi="宋体" w:cs="宋体"/>
          <w:b/>
          <w:bCs/>
          <w:i/>
          <w:iCs/>
          <w:color w:val="000000"/>
          <w:sz w:val="24"/>
          <w:highlight w:val="none"/>
        </w:rPr>
        <w:t xml:space="preserve">根据需求应接入基层慢病两筛三防系统的</w:t>
      </w:r>
      <w:r>
        <w:rPr>
          <w:rFonts w:hint="eastAsia" w:ascii="宋体" w:hAnsi="宋体" w:cs="宋体"/>
          <w:b/>
          <w:bCs/>
          <w:i/>
          <w:iCs/>
          <w:color w:val="000000"/>
          <w:sz w:val="24"/>
          <w:highlight w:val="yellow"/>
          <w:lang w:eastAsia="zh-CN"/>
        </w:rPr>
        <w:t xml:space="preserve">（</w:t>
      </w:r>
      <w:r>
        <w:rPr>
          <w:rFonts w:hint="eastAsia" w:ascii="宋体" w:hAnsi="宋体" w:cs="宋体"/>
          <w:b/>
          <w:bCs/>
          <w:i/>
          <w:iCs/>
          <w:color w:val="000000"/>
          <w:sz w:val="24"/>
          <w:highlight w:val="yellow"/>
          <w:lang w:val="en-US" w:eastAsia="zh-CN"/>
        </w:rPr>
        <w:t xml:space="preserve">即本次采购清单</w:t>
      </w:r>
      <w:r>
        <w:rPr>
          <w:rFonts w:hint="eastAsia" w:ascii="宋体" w:hAnsi="宋体" w:eastAsia="宋体" w:cs="宋体"/>
          <w:b/>
          <w:bCs/>
          <w:i/>
          <w:iCs/>
          <w:color w:val="000000"/>
          <w:sz w:val="24"/>
          <w:highlight w:val="yellow"/>
          <w:lang w:val="en-US" w:eastAsia="zh-CN"/>
        </w:rPr>
        <w:t xml:space="preserve">中的基层慢病两筛三防智能管理系统</w:t>
      </w:r>
      <w:r>
        <w:rPr>
          <w:rFonts w:hint="eastAsia" w:ascii="宋体" w:hAnsi="宋体" w:cs="宋体"/>
          <w:b/>
          <w:bCs/>
          <w:i/>
          <w:iCs/>
          <w:color w:val="000000"/>
          <w:sz w:val="24"/>
          <w:highlight w:val="yellow"/>
          <w:lang w:eastAsia="zh-CN"/>
        </w:rPr>
        <w:t xml:space="preserve">）</w:t>
      </w:r>
      <w:r>
        <w:rPr>
          <w:rFonts w:hint="eastAsia" w:ascii="宋体" w:hAnsi="宋体" w:cs="宋体"/>
          <w:b/>
          <w:bCs/>
          <w:i/>
          <w:iCs/>
          <w:color w:val="000000"/>
          <w:sz w:val="24"/>
          <w:highlight w:val="none"/>
        </w:rPr>
        <w:t xml:space="preserve">，需按照要求接入系统。（提供承诺函）</w:t>
      </w:r>
      <w:r>
        <w:rPr>
          <w:rFonts w:ascii="宋体" w:hAnsi="宋体" w:cs="宋体"/>
          <w:b/>
          <w:bCs/>
          <w:i/>
          <w:iCs/>
          <w:color w:val="000000"/>
          <w:sz w:val="24"/>
          <w:highlight w:val="none"/>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（一）基层慢病两筛三防智能管理系统</w:t>
      </w:r>
      <w:r>
        <w:rPr>
          <w:rFonts w:hint="eastAsia" w:ascii="宋体" w:hAnsi="宋体" w:cs="宋体"/>
          <w:b/>
          <w:bCs/>
          <w:color w:val="000000"/>
          <w:sz w:val="24"/>
          <w:highlight w:val="none"/>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▲1、具备计算机软件著作权登记证书；</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手机端筛查系统：根据医疗单位生成专属二维码，居民通过微信扫码即可进行自我测评糖尿病的患病风险等级，根据自评结果居民可以自主选择对应医疗机构进行进一步检测，同时对应医疗机构也可根据居民测评结果主动联系需要进一步检测的居民。通过用户管理系统，生成卫生服务站专属二维码，具有医疗单位二维码同等功能，可统计卫生服务站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工作站业务系统主要功能：支持手机端测评数据互通；支持居民自测基础体征数据互通；支持亚健康人员分步骤筛查，以确认居民是健康人群、糖尿病前期人群、糖尿病患者人群；支持对糖尿病人的长期管理；支持运动处方、营养处方、药物处方的执行；执行院外血糖、血压监测并数据互通；支持身份证检查；支持各种并发症筛查设备的数据互通；支持不同类型的报告打印等；</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4、软件包含管理模块：“两筛三防”管理、糖尿病并发症筛查工作站管理、高血压靶器官筛查工作站管理、运动干预控糖工作站管理等功能；</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5、接诊中心：具备手机端筛查及患者建档，支持患者分诊、转诊及流转至对应管理平台，支持筛查设备及档案互通；</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6、设备互联互通：具备将体征采集设备数据与系统完全互通，具备将所有检测设备数据与系统完全互通，实现数据完全汇总与统一；</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7、并发检测：支持多人同时在不同的设备上进行测量。数据自动传输到对应的档案中；</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8、指引单与报告单打印：支持指引单、诊前报告、诊后报告打印，方便患者熟悉就诊流程，方便医生了解患者院外管理情况，方便患者诊后执行医嘱；</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9、家庭医生签约：本系统支持家医团队管理，患者建档去各科室做完检查后，可以直接签约家庭医生，并自动在系统中选择对应的家医团队进行后期疾病管理；</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10、公卫系统对接：系统开放端口，可以与公卫系统进行对接，减少基层卫生医疗机构工作量；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数据统计：根据患者检测数据自动进行各类风险分类，分为高危、中危、低危，以及高危触发上级医院转诊功能；可以进行医生工作量数据统计；可以进行大数据的全面分析，包含常规统计和数据分析，方便全面管理慢病患者，同时可根据基层卫生医疗机构需求，设置统计项；</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12、糖尿病并发症筛查配套设备工作站管理功能：眼底照相机、ABI多普勒血流分析仪、感觉神经检查仪、ACR特种蛋白分析仪等设备对接及数据上传；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13、高血压靶器官并发症筛查配套设备工作站管理功能：包含彩色超声多普勒、动脉硬化检测、动态血压检测、动态心电图检测等设备对接及数据上传；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14、运动干预控糖工作站配套设备工作站管理功能：包含人体成分分析仪、功率车、智能推胸划船训练器、智能踢腿勾腿训练器等设备对接及数据上传；</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▲15、统计、存储、汇总各并发症检查设备对同一个病人历次检查结果（含各报告及数值汇总），跟踪了解病情发展，以便主诊医生做出最佳合理的诊疗方案；</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16、可扩展功能：本系统支持可扩展至高血压、高血脂、肥胖、慢阻肺、哮喘等多种慢病管理功能；</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▲17、系统内建立村医工作平台，提升普筛效率，便于统计村医工作量。</w:t>
      </w:r>
      <w:r>
        <w:rPr>
          <w:rFonts w:hint="eastAsia" w:ascii="宋体" w:hAnsi="宋体" w:cs="宋体"/>
          <w:color w:val="000000"/>
          <w:sz w:val="24"/>
          <w:highlight w:val="none"/>
          <w:lang w:bidi="ar"/>
        </w:rPr>
      </w:r>
      <w:r/>
    </w:p>
    <w:p>
      <w:pPr>
        <w:pStyle w:val="1071"/>
        <w:ind w:firstLine="480"/>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18、支持村医系统数据互通。</w:t>
      </w:r>
      <w:r>
        <w:rPr>
          <w:rFonts w:hint="eastAsia" w:ascii="宋体" w:hAnsi="宋体" w:cs="宋体"/>
          <w:color w:val="000000"/>
          <w:sz w:val="24"/>
          <w:highlight w:val="none"/>
          <w:lang w:bidi="ar"/>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（二）体征采集管理系统</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1、身高测量方式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1.1显示方式：≥7.0英寸液晶显示屏；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1.2身高：20－210cm精确度：±0.1cm；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1.3体重：1kg－500kg精确度：±0.1kg；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1.4提供身高体重数据采集软件著作权证书；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2、血压测量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2.1显示方法：TFT显示屏(≥8英寸),分辨率：≥800*600像素；</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2.2测量方法：示波法；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2.3测量范围：压力：0 mmHg~300mmHg(0.0kPa~40.0kPa)；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2.4脉搏：35-200次/分；</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2.5收缩压40mmHg~270mmHg(5.3kPa~36.0kPa)；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舒张压20mmHg~220mmHg(2.6kPa~29.3kPa)；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2.6提供血压采集相关的软件著作权证书；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3、心电测量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3.1检测通道数：1个（心电信号）；</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3.2测量电极：3个一体化金属电极；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3.3测量部位：所测心电信号可为标准I导联（右手与左手之间）；</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4、人体脂肪测量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测量项目：至少包含脂肪率、水分率、肌肉量、骨骼量、基础代谢量、脂肪等级、身体年龄、蛋白质率、细胞外水分率、其它成分等。性能：人体生物电阻法精准测量，可判断消瘦、标准、健壮、肥胖等体型并给出身体年龄评分；</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4.2提供人体成分相关的软件著作权证书；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5、血氧饱和度测量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5.1测量范围：70-100%（±2%正常，±3%运动或弱灌注，70%以下未定义）；</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5.2检测指标：脉率、血氧饱和度、灌注指数（PI）；</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6、体温测量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6.1体温测量：非接触式精密红外线额温测量仪；</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6.2测量范围：34℃-43℃、分度值：0.1℃、测量距离：1-5CM；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7、胆固醇测量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7.1测试时间：≤30秒；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8、血糖测量，测试时间：≤10秒；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9、尿酸测量测试时间：≤15秒；</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10、腰臀围测量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10.1测量范围：1-1500mm；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11、心理健康测评系统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11.1题库类型：至少有12项专业心理测试题库，包含UCLA孤独量表、人际关系综合诊断量表、成人心理压力量表、哈佛性向测试、焦虑自评量表（SAS）、老年人抑郁量表、情商（EQ）测试、日常生活能力量表、社会功能缺陷筛选量表、抑郁自评量表、心理年龄量表、心理衰老测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11.2测评报告：报告单有测评得分和测评结果，测量者可以根据具体情况给予被测者以相应的建议；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11.3访问方式：客户端；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11.4可提供心理测评相关的软件著作权证书；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11.5为防止数据错乱和保证报告的独立性，系统为独立的模块应用（提供软件截图）；</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12、中医体质辨识系统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12.1检测项目：阳虚体质-怕冷派、阴虚体质-缺水派、痰湿体质-痰派、湿热体质-长痘派、气虚体质-气短派、血瘀体质-长斑派、气郁体质-郁闷派、特禀体质-过敏派、平和体质-健康派</w:t>
      </w:r>
      <w:r>
        <w:rPr>
          <w:rFonts w:hint="eastAsia"/>
          <w:color w:val="000000"/>
          <w:highlight w:val="none"/>
        </w:rPr>
        <w:t xml:space="preserve">；</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12.2可提供中医体质辨识相关的软件著作权证书；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13、健康体检一体机体检系统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13.1支持刷二代身份证或手动输入自助建档检测，体检数据上传至健康数据管理平台个人健康档案中，并支持刷身份证与输入身份证号查询个人体检报告；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13.2提供微信端查询功能，体检者可通过扫描二维码远程自助查询个人体检报告；（提供软件截图）</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13.3每检测完一个项目，结果同步显现；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13.4支持设置数据上传服务器地址，通过网络传输将数据实时上传至指定数据服务端；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13.5可查看以往每次体检报告，并可打印A4纸张报告单；报告单对检测项目进行分项分析，并对异常项目汇总，对异常项目提供健康促进方案参考，并生成A4规格报告单；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13.6一体机系统须开放数据接口，支持和第三方数据平台对接，将检测数据上传到指定的数据服务端；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13.7一体机系统后台可自由配置检测项目；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13.8可提供健康一体机体检相关的软件著作权证书；</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14、</w:t>
      </w:r>
      <w:r>
        <w:rPr>
          <w:rFonts w:hint="eastAsia" w:ascii="宋体" w:hAnsi="宋体" w:cs="宋体"/>
          <w:b/>
          <w:bCs/>
          <w:color w:val="000000"/>
          <w:sz w:val="24"/>
          <w:highlight w:val="none"/>
        </w:rPr>
        <w:t xml:space="preserve">组网配件要求</w:t>
      </w:r>
      <w:r>
        <w:rPr>
          <w:rFonts w:hint="eastAsia" w:ascii="宋体" w:hAnsi="宋体" w:cs="宋体"/>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1.内置PC</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1.1内存：≥8G DDR4；</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1.2固态硬盘：≥SSD 128G；</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1.3支持输出：VGA+LVDS+HDMI+eDP；</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1.4支持上电开机，网络唤醒，定时开始，无人值守等模式；</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2.身份证读卡器</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2.1符合居民身份证阅读器通用技术要求，兼容ISO14443（TypeB）标准；采用非接触式IC卡技术，与计算机或其它设备连接可用于读取居民身份证专用芯片内相关信息</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2.2天线能量输出；1）天线表面磁场强度（Hmax）≤7.5A/m rms；2）天线表面法线方向5cm处电磁场强度（Hmin）≥1.5A/m rms</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2.3接口：RS-232C或USB接口；</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2.4阅读距离：0-8cm；</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2.5嵌入终端式设计；</w:t>
            </w:r>
            <w:r>
              <w:rPr>
                <w:rFonts w:hint="eastAsia" w:ascii="宋体" w:hAnsi="宋体" w:cs="宋体"/>
                <w:color w:val="000000"/>
                <w:sz w:val="24"/>
                <w:highlight w:val="none"/>
              </w:rPr>
            </w:r>
            <w:r/>
          </w:p>
        </w:tc>
      </w:tr>
      <w:tr>
        <w:trPr/>
        <w:tc>
          <w:tcPr>
            <w:tcW w:w="8522" w:type="dxa"/>
            <w:vAlign w:val="top"/>
            <w:textDirection w:val="lrTb"/>
            <w:noWrap w:val="false"/>
          </w:tcPr>
          <w:p>
            <w:pPr>
              <w:pStyle w:val="1071"/>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3.提供配套打印设备</w:t>
            </w:r>
            <w:r>
              <w:rPr>
                <w:rFonts w:ascii="宋体" w:hAnsi="宋体" w:cs="宋体"/>
                <w:color w:val="000000"/>
                <w:sz w:val="24"/>
                <w:highlight w:val="none"/>
              </w:rPr>
            </w:r>
            <w:r/>
          </w:p>
        </w:tc>
      </w:tr>
    </w:tbl>
    <w:p>
      <w:pPr>
        <w:pStyle w:val="1071"/>
        <w:ind w:firstLine="482"/>
        <w:jc w:val="left"/>
        <w:spacing w:line="360" w:lineRule="exact"/>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（三）人体成分分析仪</w:t>
      </w:r>
      <w:r>
        <w:rPr>
          <w:rFonts w:hint="eastAsia" w:ascii="宋体" w:hAnsi="宋体" w:cs="宋体"/>
          <w:b/>
          <w:bCs/>
          <w:color w:val="000000"/>
          <w:sz w:val="24"/>
          <w:highlight w:val="none"/>
          <w:lang w:bidi="ar"/>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1、测量原理：多频率生物电阻抗测试法（BIA）；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2、测量方法：测得生物电阻抗、体重，根据输入身高、性别、年龄，导入不同的回归式，推算出人体成分各项数据；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3、设备用途：通过生物电阻抗分析法，测量体内水分、脂肪、肌肉、骨骼等成分在人体中所占的比例，得出的相关参考数据用于辅助诊断与治疗；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▲4、测量时间：≤15秒</w:t>
      </w:r>
      <w:r>
        <w:rPr>
          <w:rFonts w:hint="eastAsia"/>
          <w:color w:val="000000"/>
          <w:highlight w:val="none"/>
        </w:rPr>
        <w:t xml:space="preserve">；</w:t>
      </w:r>
      <w:r>
        <w:rPr>
          <w:rFonts w:hint="eastAsia" w:ascii="宋体" w:hAnsi="宋体" w:cs="宋体"/>
          <w:color w:val="000000"/>
          <w:sz w:val="24"/>
          <w:highlight w:val="none"/>
        </w:rPr>
      </w:r>
      <w:r/>
    </w:p>
    <w:p>
      <w:pPr>
        <w:pStyle w:val="1098"/>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5、测量系统：双频(6.25kHz/50kHz)-4电极；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6、测量模式：普通人（成人、儿童）、孕妇；</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7、测量电流：≤90μA；</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8、电极材料：不锈钢；</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9、测量部位：全身；</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10、电阻抗测量范围：150.0～1000.00Ω（0.1Ω单位）；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11、体重量程：2～270 kg（0.1kg单位）；体重准确度等级：III级；衣物重量：0~10.00 kg(0.1 kg单位)；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12、脂肪率：3.0～75.0%（0.1%单位），脂肪率分析：全身；</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13、基础代谢：1kcal/1kJ/天单位；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t xml:space="preserve">14、基础代谢年龄：可对基础代谢水平进行评价；</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15、身高：90.0～249.9 cm(0.1 cm单位)；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16、测试意见：根据不同年龄、不同体质、不同性别，给出不同测试意见和建议；</w:t>
      </w:r>
      <w:r>
        <w:rPr>
          <w:rFonts w:hint="eastAsia" w:ascii="宋体" w:hAnsi="宋体" w:cs="宋体"/>
          <w:color w:val="000000"/>
          <w:sz w:val="24"/>
          <w:highlight w:val="none"/>
        </w:rPr>
      </w:r>
      <w:r/>
    </w:p>
    <w:p>
      <w:pPr>
        <w:pStyle w:val="1071"/>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17、测量单位</w:t>
      </w:r>
      <w:r>
        <w:rPr>
          <w:rFonts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17.1 骨量：0.1kg单位；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▲17.2 </w:t>
      </w:r>
      <w:r>
        <w:rPr>
          <w:rFonts w:hint="eastAsia" w:ascii="宋体" w:hAnsi="宋体" w:cs="宋体"/>
          <w:color w:val="000000"/>
          <w:sz w:val="24"/>
          <w:highlight w:val="none"/>
        </w:rPr>
        <w:t xml:space="preserve">内脏脂肪等级：1～59；</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17.3 肥胖程度：0.1%单位；</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18、国际通用的WHO的肥胖标准分析表；</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19、输出值（成人报告）：至少包含体重、体脂肪率、体脂肪量、除脂体重、肌肉量、体水分率、体水分量、推定骨量、身体质量指数、基础代谢率、基础代谢年龄、内脏脂肪等级、肥胖程度；</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20、输出值（儿童报告）：至少包含体重、体脂肪率、脂肪量、除脂肪重、肌肉量、体水分率、身体成分构成图显示、儿童肥胖指数、基础代谢率、成长曲线图、BMI、推定骨量；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21、体型判定图表：根据体脂肪率和肌肉量的合理比例，至少分为9种体型，包含：隐型肥胖型、肥胖型、偏胖型、运动不足型、标准型、标准肌肉型、偏瘦型、偏瘦肌肉型、肌肉发达型；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22、年龄范围：5～99岁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23、评估类型：体型判定、健康诊断/成分控制、附带测试意见；</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lang w:bidi="ar"/>
        </w:rPr>
      </w:pPr>
      <w:r>
        <w:rPr>
          <w:rFonts w:hint="eastAsia" w:ascii="宋体" w:hAnsi="宋体" w:cs="宋体"/>
          <w:color w:val="000000"/>
          <w:sz w:val="24"/>
          <w:highlight w:val="none"/>
        </w:rPr>
        <w:t xml:space="preserve">24、资料数据储存：直接通过数据线保存至电脑及Excel输出；</w:t>
      </w:r>
      <w:r>
        <w:rPr>
          <w:rFonts w:hint="eastAsia" w:ascii="宋体" w:hAnsi="宋体" w:cs="宋体"/>
          <w:b/>
          <w:bCs/>
          <w:color w:val="000000"/>
          <w:sz w:val="24"/>
          <w:highlight w:val="none"/>
          <w:lang w:bidi="ar"/>
        </w:rPr>
      </w:r>
      <w:r/>
    </w:p>
    <w:p>
      <w:pPr>
        <w:pStyle w:val="1071"/>
        <w:ind w:firstLine="482"/>
        <w:jc w:val="left"/>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（四）血压脉搏测量装置</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1、四肢同步测量血压，四肢同步检测ABI、baPWV；</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▲2、显示心音图、心电图、四肢脉搏波形图，提供配套台车（含处理端和打印端），支持远程功能（网线，WIFI，4G），诊断结果自动生成，用户可选择诊断词条编辑诊断结果；</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3、开始检查后无需人工干预，自动生成报告；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4、完善的病历管理，可以对同一个病人进行多次检查，并提供预约功能；</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5、病例数据回顾功能，用户便捷浏览病例数据；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6、提供ABI\PWV报告、运动负荷报告，内容图文并茂，结果清晰；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7、提前录入受检者信息，大批量体检时，快速地调入受检者的信息；</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8、提供数据预览功能，检查所见的显示、医生意见的显示、记录原始数据的显示、记录数据报告单的显示；</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生成打印报告:能够显示ABI（踝臂指数）、PWV（脉搏波传导速度）、心电波形、心音波形、四肢脉搏波形、心率、血压（收缩压、舒张压、平均压）、脉压差、脉搏波上行时间、射血前期、射血时间、射血指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测量参数：至少包含baPWV（脉搏波传导速度）、ABI（踝-臂指数）、BAI（臂-踝指数）、UT（脉搏波上行时间）、MAP%（平均动脉压）、AI（反射波增强指数）、HR（心率）、ET（射血时间）、PEP（射血前期）、ET/PEP（射血指数）、SYS（收缩压）、MAP（平均压）、DIA（舒张压）、PP（脉压）、心音波形、心电波形、脉搏波波形；</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11、血压：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11.1、测量原理：示波法（单肢、单侧、四肢同步测量）；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11.2、静态压力测量范围：0~297mmHg；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11.3、静态压力测量精度：±3mmHg；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12、心电：</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▲12.1、心率范围：30bpm～300bpm；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12.2、心率精度：误差±1bpm或±1%取大值；</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13、心音：幅度频率特性：20Hz～250Hz波形幅度的误差≤10%；</w:t>
      </w:r>
      <w:r>
        <w:rPr>
          <w:rFonts w:hint="eastAsia" w:ascii="宋体" w:hAnsi="宋体" w:cs="宋体"/>
          <w:color w:val="000000"/>
          <w:sz w:val="24"/>
          <w:highlight w:val="none"/>
        </w:rPr>
      </w:r>
      <w:r/>
    </w:p>
    <w:p>
      <w:pPr>
        <w:pStyle w:val="1071"/>
        <w:ind w:firstLine="482"/>
        <w:jc w:val="left"/>
        <w:spacing w:line="360" w:lineRule="exact"/>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t xml:space="preserve">（五）动态血压监测仪</w:t>
      </w:r>
      <w:r>
        <w:rPr>
          <w:rFonts w:hint="eastAsia" w:ascii="宋体" w:hAnsi="宋体" w:cs="宋体"/>
          <w:b/>
          <w:bCs/>
          <w:color w:val="000000"/>
          <w:sz w:val="24"/>
          <w:highlight w:val="none"/>
          <w:lang w:bidi="ar"/>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▲1、具有超压保护措施</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2、支持测量过程中自动调整加气压力和排气速度，智能加压；</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3、血压测量范围：收缩压：60～280mmHg，舒张压：30～160mmHg；血压测量精度：±3mmHg；</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4、脉搏数测定范围：30～200bpm；脉搏测量精度：±5%；</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5、可设置测量间隔：5、10、15、20、30、60、120分钟（可随时加入需要的手动测量）；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6、续航：可进行≥200次连续不间断测量；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▲7、存储数据量：可存储≥400套测量数据；</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8、显示屏：可显示测量数据及错误代码；</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▲9、设备结构轻巧：主机重量轻巧，便于携带，≤150克（不包含电池）；</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10、人体工程学设计：采用扇形袖带设计，防止袖带滑落；支持左右臂测量；</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▲11、采用《2020中国动态血压监测指南》中提供的动态血压报告模板；</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▲12、报告包含24小时内五个时段中收缩压、舒张压和脉率的如下统计数字：有效数据个数、有效数据比例、均值、标准差、最大值、中位数、最小值，并支持两种有效率计算逻辑；</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13、报告包含病人信息、医院信息、白昼、夜间及24小时时段血压负荷值、血压晨峰值、24小时血压昼夜节律、血压变异系数；</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14、支持录入患者午睡时间、实际睡眠时间，且患者夜间相关血压值根据此实际睡眠时间计算；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15、软件包含药物导入模块；</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16、支持48小时动态血压报告；</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▲17、准确记录血压，快速确定测量值的准确性；</w:t>
      </w:r>
      <w:r>
        <w:rPr>
          <w:rFonts w:hint="eastAsia" w:ascii="宋体" w:hAnsi="宋体" w:cs="宋体"/>
          <w:color w:val="000000"/>
          <w:sz w:val="24"/>
          <w:highlight w:val="none"/>
        </w:rPr>
      </w:r>
      <w:r/>
    </w:p>
    <w:p>
      <w:pPr>
        <w:pStyle w:val="1071"/>
        <w:ind w:firstLine="480"/>
        <w:spacing w:line="360" w:lineRule="exact"/>
        <w:rPr>
          <w:rFonts w:hint="eastAsia" w:ascii="宋体" w:hAnsi="宋体" w:cs="宋体"/>
          <w:b/>
          <w:bCs/>
          <w:color w:val="000000"/>
          <w:sz w:val="24"/>
          <w:highlight w:val="none"/>
          <w:lang w:bidi="ar"/>
        </w:rPr>
      </w:pPr>
      <w:r>
        <w:rPr>
          <w:rFonts w:hint="eastAsia" w:ascii="宋体" w:hAnsi="宋体" w:cs="宋体"/>
          <w:color w:val="000000"/>
          <w:sz w:val="24"/>
          <w:highlight w:val="none"/>
        </w:rPr>
        <w:t xml:space="preserve">18、支持预约功能。</w:t>
      </w:r>
      <w:r>
        <w:rPr>
          <w:rFonts w:hint="eastAsia" w:ascii="宋体" w:hAnsi="宋体" w:cs="宋体"/>
          <w:b/>
          <w:bCs/>
          <w:color w:val="000000"/>
          <w:sz w:val="24"/>
          <w:highlight w:val="none"/>
          <w:lang w:bidi="ar"/>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上下肢康复运动训练器</w:t>
      </w:r>
      <w:r>
        <w:rPr>
          <w:rFonts w:hint="eastAsia" w:ascii="宋体" w:hAnsi="宋体" w:cs="宋体"/>
          <w:b/>
          <w:bCs/>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1.阻力类型:电脑控制的电磁涡流阻力系统；</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▲2.负荷递增幅度≤每1瓦可调；</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▲3.功率调节范围6-999瓦；</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4.噪音最大负荷工作状态下，噪声≤60dB(A)；</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5.转速数值和速度快慢用不同颜色指示标识，范围30–130转/分；</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▲6.功率范围及允差：6W-999W，允差：在6W-100W内，允差为±1W；100W-999W内，允差为±2%；</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7.车把位置调整：可作≥360°旋转（79-135厘米升降）；</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8.车座高度电动调节，适合患者身高范围120-210cm；</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9.最大承重≥160公斤；</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10.治疗师显示器中图形可显示以下指标:负荷，转速，时间，血压，心率；</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11.患者显示器(LED)显示以下指标：转速数值和速度快慢用不同颜色指示标识；</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12.按键:薄膜按键，≥5寸点阵屏，显示功率，时间，速度图形；</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13.功率车自带不少于5种固定运动负荷测试方案（WHO、BAL、Hollman、STD.France、Standard），10种用户可编辑运动负荷测试方案，用户手动控制负荷模式；</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▲14.接口:USB BM接口，RS232接口，支持对接运动心肺、运动心电等负荷评估设备；</w:t>
      </w:r>
      <w:r>
        <w:rPr>
          <w:rFonts w:hint="eastAsia" w:ascii="宋体" w:hAnsi="宋体" w:cs="宋体"/>
          <w:color w:val="000000"/>
          <w:sz w:val="24"/>
          <w:highlight w:val="none"/>
        </w:rPr>
      </w:r>
      <w:r/>
    </w:p>
    <w:p>
      <w:pPr>
        <w:pStyle w:val="1262"/>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▲15.数据实时传输，可以在控制系统上远程无线下达测试方案和运动方案（包含恒定负荷方案，间歇负荷方案，恒定心率方案等方案）；</w:t>
      </w:r>
      <w:r>
        <w:rPr>
          <w:rFonts w:hint="eastAsia" w:ascii="宋体" w:hAnsi="宋体" w:cs="宋体"/>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康复数据处理软件</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1、同时拥有手机APP端和PC端中央监护显示功能。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2、档案数据管理：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2.1、数据分析：具有自动统计6分钟全过程运动数据心率、血压、血氧、呼吸率、步数及数据趋势分析功能；可支持升级具有心率变异分析功能，并出具HRV分析报告，报告内包含散点图、时域与频域分析指标、RR间期分布直方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2.2、数据回溯：六分钟步行试验过程中软件系统界面显示心率、呼吸率的实时统计曲线，形成趋势图，趋势图上每个点的数据支持鼠标点击查看；</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2.3、数据显示：医生端软件系统和中央监护系统实时显示心电图，系统可实现单个心电导联图增益0.5、1.0、2.0倍，可打印运动前、运动中、运动后的心电图，并可回放查看全程心电图，并自由截取打印任意心电图作为检测心电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▲2.4、数据对比：可升级支持六分钟步行试验前后的患者FVC、FEV1、FEV1/FVC、PEF、FEF25、FEF50、FEF75、FEF2575等参数检测值的对比及数据分析；可升级支持T-V容积图、F-V流量图运动前后对比；</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2.5、异常数据识别：可手动记录心电图异常事件。可支持升级心电图自动识别功能，异常心电识别包括心脏停搏、室颤/室速、连续室早、两个室早、二联律、三联律、RonT、早搏、室速、室缓、漏搏、起搏器未起搏和起搏器未俘获;</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3、康复处方管理：根据患者试验检测结果，医生自编辑自定义个性化运动康复处方，包括靶心率、安全心率范围、运动模式、时间、节律、频率、注意事项等，支持多种靶心率计算方式;</w:t>
      </w:r>
      <w:r>
        <w:rPr>
          <w:rFonts w:hint="eastAsia" w:ascii="宋体" w:hAnsi="宋体" w:cs="宋体"/>
          <w:bCs/>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动态心肺功能数据分析软件</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▲1、显示功能：支持多屏显示，同时拥有手机APP端和PC端中央监护显示功能；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2、数据管理：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2.1、信息输入：系统支持输入患者姓名、住院号；</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2.2、中央监护数据存储：≥10000例以上病人数据存储，且存储空间可扩展；</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2.3、数据和趋势存储与回顾功能：监测数据和趋势可实时存储，实时回顾，多通道可全息回放；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2.4、数据无线传输：数据可无线传输至中央监护系统；</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▲3、提供中央监护系统和六分钟步行实验软件的软件著作权证书；</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4、其他功能：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4.1、患者管理：可升级身份识别读取功能，患者信息自动录入系统，可手动输入：姓名、性别、年龄、身高、体重并自动分析BMI值，预测步行距离，可录入诊断病历、用药情况；</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4.2、自动测距：具有统计步数、计圈及测算距离的功能，支持自动与手动计圈的自由选择，精准测距误差</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3米；</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4.3、语音提示：系统全程智能语音指导提示患者做六分钟步行试验及智能计时；支持6分钟步行试验全程实时指导检测，设备开机自动连接，数据实时传输与实时显示、实时存储，实现精准测量、精准评估。</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4.4、紧急停止：具有紧急停止功能，六分钟步行试验过程中针对紧急情况，终止试验功能并出具试验报告，报告内包含试验终止前患者的各项生理参数、实际步行圈数及距离、生理参数趋势图等信息，分析试验终止原因。</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4.5、打印报告：6分钟步行试验后自动生成报告，报告可以打印，报告内容有：患者基本信息，心率、呼吸率、血氧、步数的静息期、试验中每分钟、恢复期的数据统计，心率、运动速率、血氧、呼吸频次的数据趋势分析，步行圈数、步行距离，实际距离与预测距离占比，心肺功能评级，Mets值，步态情况，运动处方，Borg评级，运动前中后心电图等；支持一键式直接获取患者六分钟步行试验前后肺功能各项指标的测试数据，并于医生端界面实时显示，形成实验前后的对比图，检测结果于六分钟试验报告中显示；</w:t>
      </w:r>
      <w:r>
        <w:rPr>
          <w:rFonts w:hint="eastAsia" w:ascii="宋体" w:hAnsi="宋体" w:cs="宋体"/>
          <w:bCs/>
          <w:color w:val="000000"/>
          <w:sz w:val="24"/>
          <w:highlight w:val="none"/>
        </w:rPr>
      </w:r>
      <w:r/>
    </w:p>
    <w:p>
      <w:pPr>
        <w:pStyle w:val="1071"/>
        <w:numPr>
          <w:ilvl w:val="0"/>
          <w:numId w:val="14"/>
        </w:numPr>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便携式多参数健康检查仪</w:t>
      </w:r>
      <w:r>
        <w:rPr>
          <w:rFonts w:hint="eastAsia" w:ascii="宋体" w:hAnsi="宋体" w:cs="宋体"/>
          <w:b/>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1、组成部件：</w:t>
      </w:r>
      <w:r>
        <w:rPr>
          <w:rFonts w:hint="eastAsia" w:ascii="宋体" w:hAnsi="宋体" w:cs="宋体"/>
          <w:bCs/>
          <w:color w:val="000000"/>
          <w:sz w:val="24"/>
          <w:highlight w:val="none"/>
          <w:lang w:val="zh-CN"/>
        </w:rPr>
        <w:t xml:space="preserve">主要由多参数监护主机、显示终端、温度组件、脉搏血氧组件、无创血压组件和心电组件组成，一体</w:t>
      </w:r>
      <w:r>
        <w:rPr>
          <w:rFonts w:hint="eastAsia" w:ascii="宋体" w:hAnsi="宋体" w:cs="宋体"/>
          <w:bCs/>
          <w:color w:val="000000"/>
          <w:sz w:val="24"/>
          <w:highlight w:val="none"/>
        </w:rPr>
        <w:t xml:space="preserve">式</w:t>
      </w:r>
      <w:r>
        <w:rPr>
          <w:rFonts w:hint="eastAsia" w:ascii="宋体" w:hAnsi="宋体" w:cs="宋体"/>
          <w:bCs/>
          <w:color w:val="000000"/>
          <w:sz w:val="24"/>
          <w:highlight w:val="none"/>
          <w:lang w:val="zh-CN"/>
        </w:rPr>
        <w:t xml:space="preserve">六</w:t>
      </w:r>
      <w:r>
        <w:rPr>
          <w:rFonts w:hint="eastAsia" w:ascii="宋体" w:hAnsi="宋体" w:cs="宋体"/>
          <w:bCs/>
          <w:color w:val="000000"/>
          <w:sz w:val="24"/>
          <w:highlight w:val="none"/>
          <w:lang w:val="zh-TW" w:eastAsia="zh-TW"/>
        </w:rPr>
        <w:t xml:space="preserve">参数监护主机</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rPr>
        <w:t xml:space="preserve">便于设备管理；</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▲2、可移动监测：监护设备可进行穿戴式监测，随时随地监测六项生命体征，支持患者转运过程中监测生命体征；</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3、监测性能：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▲3.1、心电监测功能：具备心电监测功能，</w:t>
      </w:r>
      <w:r>
        <w:rPr>
          <w:rFonts w:hint="eastAsia" w:ascii="宋体" w:hAnsi="宋体" w:cs="宋体"/>
          <w:bCs/>
          <w:color w:val="000000"/>
          <w:sz w:val="24"/>
          <w:highlight w:val="none"/>
          <w:lang w:val="zh-CN"/>
        </w:rPr>
        <w:t xml:space="preserve">导联</w:t>
      </w:r>
      <w:r>
        <w:rPr>
          <w:rFonts w:hint="eastAsia" w:ascii="宋体" w:hAnsi="宋体" w:cs="宋体"/>
          <w:bCs/>
          <w:color w:val="000000"/>
          <w:sz w:val="24"/>
          <w:highlight w:val="none"/>
        </w:rPr>
        <w:t xml:space="preserve">标配</w:t>
      </w:r>
      <w:r>
        <w:rPr>
          <w:rFonts w:hint="eastAsia" w:ascii="宋体" w:hAnsi="宋体" w:cs="宋体"/>
          <w:bCs/>
          <w:color w:val="000000"/>
          <w:sz w:val="24"/>
          <w:highlight w:val="none"/>
          <w:lang w:val="zh-CN"/>
        </w:rPr>
        <w:t xml:space="preserve">三导联、可</w:t>
      </w:r>
      <w:r>
        <w:rPr>
          <w:rFonts w:hint="eastAsia" w:ascii="宋体" w:hAnsi="宋体" w:cs="宋体"/>
          <w:bCs/>
          <w:color w:val="000000"/>
          <w:sz w:val="24"/>
          <w:highlight w:val="none"/>
        </w:rPr>
        <w:t xml:space="preserve">支持升级</w:t>
      </w:r>
      <w:r>
        <w:rPr>
          <w:rFonts w:hint="eastAsia" w:ascii="宋体" w:hAnsi="宋体" w:cs="宋体"/>
          <w:bCs/>
          <w:color w:val="000000"/>
          <w:sz w:val="24"/>
          <w:highlight w:val="none"/>
          <w:lang w:val="zh-CN"/>
        </w:rPr>
        <w:t xml:space="preserve">五导联、十二导联；</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▲3.2、监测参数：具有心电、脉搏血氧、血压、心率、呼吸、温度测量功能；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3.3、静态压力测量范围0kpa(0mmHg)</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40kpa(300mmHg)</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误差应不大于±0.4kpa（3mmHg）；</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3.4、心电测量范围成人30bpm~300bpm；儿童测量范围30bpm~350bpm。误差应不大于±1%或±1bpm；</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3.5、</w:t>
      </w:r>
      <w:r>
        <w:rPr>
          <w:rFonts w:hint="eastAsia" w:ascii="宋体" w:hAnsi="宋体" w:cs="宋体"/>
          <w:bCs/>
          <w:color w:val="000000"/>
          <w:sz w:val="24"/>
          <w:highlight w:val="none"/>
          <w:lang w:val="zh-CN"/>
        </w:rPr>
        <w:t xml:space="preserve">血氧测量范围</w:t>
      </w:r>
      <w:bookmarkStart w:id="816" w:name="OLE_LINK1"/>
      <w:r>
        <w:rPr>
          <w:rFonts w:hint="eastAsia" w:ascii="宋体" w:hAnsi="宋体" w:cs="宋体"/>
          <w:bCs/>
          <w:color w:val="000000"/>
          <w:sz w:val="24"/>
          <w:highlight w:val="none"/>
          <w:lang w:val="zh-CN"/>
        </w:rPr>
        <w:t xml:space="preserve">70%～100%，精度70%～100%、±2%</w:t>
      </w:r>
      <w:bookmarkEnd w:id="816"/>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3.6、</w:t>
      </w:r>
      <w:r>
        <w:rPr>
          <w:rFonts w:hint="eastAsia" w:ascii="宋体" w:hAnsi="宋体" w:cs="宋体"/>
          <w:bCs/>
          <w:color w:val="000000"/>
          <w:sz w:val="24"/>
          <w:highlight w:val="none"/>
          <w:lang w:val="zh-CN"/>
        </w:rPr>
        <w:t xml:space="preserve">脉率测量范围30bpm～200bpm，精度±1bpm或±1%；</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3.7、</w:t>
      </w:r>
      <w:r>
        <w:rPr>
          <w:rFonts w:hint="eastAsia" w:ascii="宋体" w:hAnsi="宋体" w:cs="宋体"/>
          <w:bCs/>
          <w:color w:val="000000"/>
          <w:sz w:val="24"/>
          <w:highlight w:val="none"/>
          <w:lang w:val="zh-CN"/>
        </w:rPr>
        <w:t xml:space="preserve">呼吸率测量范围10rpm～120rpm，精度±2rpm或±2%；</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3.8、</w:t>
      </w:r>
      <w:r>
        <w:rPr>
          <w:rFonts w:hint="eastAsia" w:ascii="宋体" w:hAnsi="宋体" w:cs="宋体"/>
          <w:bCs/>
          <w:color w:val="000000"/>
          <w:sz w:val="24"/>
          <w:highlight w:val="none"/>
          <w:lang w:val="zh-CN"/>
        </w:rPr>
        <w:t xml:space="preserve">温度测量范围15-45℃，精度在37.0-39.0℃范围内最大允许误差±0.1℃，在其他测量范围最大允许误差±0.2℃；</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3.9、可拓展监测：测呼气末二氧化碳、胎心、血糖；</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4、交互功能：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▲4.1、智能功能：</w:t>
      </w:r>
      <w:r>
        <w:rPr>
          <w:rFonts w:hint="eastAsia" w:ascii="宋体" w:hAnsi="宋体" w:cs="宋体"/>
          <w:bCs/>
          <w:color w:val="000000"/>
          <w:sz w:val="24"/>
          <w:highlight w:val="none"/>
          <w:lang w:val="zh-CN"/>
        </w:rPr>
        <w:t xml:space="preserve">拥有人机交互，医患交互功能，可实现病人与监护中央站语音/视频对话；</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4.2、具备语音控制功能；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4.3、具备语音录入医嘱功能，可转化文字并打印结果；</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4.4、设备具有触摸屏功能；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5、提示功能：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5.1、低电量提醒：当电压低于额定压的90%时，会在终端出现电量不足提示；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5.2、断开提醒：当监测终端与显示终端断开连接时，会在终端出现断开连接的提示；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6、数据管理与分析：</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▲6.1、数据和趋势存储与回顾功能：监测数据和趋势可实时存储，全参数可实时回顾，多通道可全息回放；</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6.2、中央监护数据储存：≥10000例且储存空间可拓展；</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6.3、监护分析和报告功能软件：中央监护对各监护患者进行24小时高精度心律异常统计分析与编辑，24小时血压趋势统计分析与编辑，24小时综合参数汇总统计与分析，并可对分析或编辑后的结果进行打印或保存；</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▲7.1、监护仪显示功能：可将多参数监护仪的监测数据无线传输，数据可匹配其它品牌监护仪实时显示；</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7.2、系统及显示：</w:t>
      </w:r>
      <w:r>
        <w:rPr>
          <w:rFonts w:hint="eastAsia" w:ascii="宋体" w:hAnsi="宋体" w:cs="宋体"/>
          <w:bCs/>
          <w:color w:val="000000"/>
          <w:sz w:val="24"/>
          <w:highlight w:val="none"/>
          <w:lang w:val="zh-CN"/>
        </w:rPr>
        <w:t xml:space="preserve">采用≥4寸触摸屏，智能安卓系统，软件可</w:t>
      </w:r>
      <w:r>
        <w:rPr>
          <w:rFonts w:hint="eastAsia" w:ascii="宋体" w:hAnsi="宋体" w:cs="宋体"/>
          <w:bCs/>
          <w:color w:val="000000"/>
          <w:sz w:val="24"/>
          <w:highlight w:val="none"/>
        </w:rPr>
        <w:t xml:space="preserve">扩</w:t>
      </w:r>
      <w:r>
        <w:rPr>
          <w:rFonts w:hint="eastAsia" w:ascii="宋体" w:hAnsi="宋体" w:cs="宋体"/>
          <w:bCs/>
          <w:color w:val="000000"/>
          <w:sz w:val="24"/>
          <w:highlight w:val="none"/>
          <w:lang w:val="zh-CN"/>
        </w:rPr>
        <w:t xml:space="preserve">展性强；</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▲7.3、中央监护支持PC/手机APP端：同时支持手机APP端和PC端中央监护显示功能；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8、报警功能：</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8.1、报警参数下发及远程操控功能：可以在中央监护端远程设置多参数监护终端的全参数报警上下限，并可远程控制多参监护仪进行血压监测；</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8.2、报警功能：</w:t>
      </w:r>
      <w:r>
        <w:rPr>
          <w:rFonts w:hint="eastAsia" w:ascii="宋体" w:hAnsi="宋体" w:cs="宋体"/>
          <w:bCs/>
          <w:color w:val="000000"/>
          <w:sz w:val="24"/>
          <w:highlight w:val="none"/>
          <w:lang w:val="zh-CN"/>
        </w:rPr>
        <w:t xml:space="preserve">具有动态血压、心电、</w:t>
      </w:r>
      <w:r>
        <w:rPr>
          <w:rFonts w:hint="eastAsia" w:ascii="宋体" w:hAnsi="宋体" w:cs="宋体"/>
          <w:bCs/>
          <w:color w:val="000000"/>
          <w:sz w:val="24"/>
          <w:highlight w:val="none"/>
        </w:rPr>
        <w:t xml:space="preserve">血</w:t>
      </w:r>
      <w:r>
        <w:rPr>
          <w:rFonts w:hint="eastAsia" w:ascii="宋体" w:hAnsi="宋体" w:cs="宋体"/>
          <w:bCs/>
          <w:color w:val="000000"/>
          <w:sz w:val="24"/>
          <w:highlight w:val="none"/>
          <w:lang w:val="zh-CN"/>
        </w:rPr>
        <w:t xml:space="preserve">氧饱和度、温度和呼吸率报警功能选择和消警功能，</w:t>
      </w:r>
      <w:r>
        <w:rPr>
          <w:rFonts w:hint="eastAsia" w:ascii="宋体" w:hAnsi="宋体" w:cs="宋体"/>
          <w:bCs/>
          <w:color w:val="000000"/>
          <w:sz w:val="24"/>
          <w:highlight w:val="none"/>
        </w:rPr>
        <w:t xml:space="preserve">生理参数预警支持自定义；</w:t>
      </w:r>
      <w:r>
        <w:rPr>
          <w:rFonts w:hint="eastAsia" w:ascii="宋体" w:hAnsi="宋体" w:cs="宋体"/>
          <w:bCs/>
          <w:color w:val="000000"/>
          <w:sz w:val="24"/>
          <w:highlight w:val="none"/>
        </w:rPr>
      </w:r>
      <w:r/>
    </w:p>
    <w:p>
      <w:pPr>
        <w:pStyle w:val="1071"/>
        <w:ind w:firstLine="482"/>
        <w:spacing w:line="360" w:lineRule="exact"/>
        <w:widowControl/>
        <w:rPr>
          <w:rFonts w:hint="eastAsia" w:ascii="宋体" w:hAnsi="宋体" w:cs="宋体"/>
          <w:bCs/>
          <w:color w:val="000000"/>
          <w:sz w:val="24"/>
          <w:highlight w:val="none"/>
        </w:rPr>
      </w:pPr>
      <w:r>
        <w:rPr>
          <w:rFonts w:hint="eastAsia" w:ascii="宋体" w:hAnsi="宋体" w:cs="宋体"/>
          <w:b/>
          <w:i/>
          <w:iCs/>
          <w:color w:val="000000"/>
          <w:sz w:val="24"/>
          <w:highlight w:val="none"/>
        </w:rPr>
        <w:t xml:space="preserve">★9、多种无线组网方式：可以通过Mesh自组网/4G/WIFI等方式进行无线组网。可接入医院信息系统进行单向或双向信息互通（产生的接口费用由中标人承担）（提供承诺函）</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▲10、电外科干扰抑制：</w:t>
      </w:r>
      <w:r>
        <w:rPr>
          <w:rFonts w:hint="eastAsia" w:ascii="宋体" w:hAnsi="宋体" w:cs="宋体"/>
          <w:bCs/>
          <w:color w:val="000000"/>
          <w:sz w:val="24"/>
          <w:highlight w:val="none"/>
          <w:lang w:val="zh-CN"/>
        </w:rPr>
        <w:t xml:space="preserve">具备电外科干扰抑制功能，符合YY 1079-2008中的电外科干扰抑制的标准；</w:t>
      </w:r>
      <w:r>
        <w:rPr>
          <w:rFonts w:hint="eastAsia" w:ascii="宋体" w:hAnsi="宋体" w:cs="宋体"/>
          <w:bCs/>
          <w:color w:val="000000"/>
          <w:sz w:val="24"/>
          <w:highlight w:val="none"/>
          <w:lang w:val="zh-CN"/>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▲11、输入阻抗：对具有心电图波形显示能力的监护仪，输入阻抗≥10MΩ；</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12、共模抑制：监护仪的共模信号抑制能力分别为诊断＞90dB，监护＞105dB，手术＞105dB；</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13、防水等级：≥IPX2；</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▲14、可扩展性：可扩展性强，可根据业务扩展功能进行呼末二氧化碳、血糖和胎心的监测等；</w:t>
      </w:r>
      <w:r>
        <w:rPr>
          <w:rFonts w:hint="eastAsia" w:ascii="宋体" w:hAnsi="宋体" w:cs="宋体"/>
          <w:bCs/>
          <w:color w:val="000000"/>
          <w:sz w:val="24"/>
          <w:highlight w:val="none"/>
        </w:rPr>
      </w:r>
      <w:r/>
    </w:p>
    <w:p>
      <w:pPr>
        <w:pStyle w:val="1071"/>
        <w:ind w:firstLine="480"/>
        <w:spacing w:line="360" w:lineRule="exact"/>
        <w:widowControl/>
        <w:rPr>
          <w:rFonts w:hint="eastAsia" w:ascii="宋体" w:hAnsi="宋体" w:cs="宋体"/>
          <w:b/>
          <w:bCs/>
          <w:color w:val="000000"/>
          <w:sz w:val="24"/>
          <w:highlight w:val="none"/>
        </w:rPr>
      </w:pPr>
      <w:r>
        <w:rPr>
          <w:rFonts w:hint="eastAsia" w:ascii="宋体" w:hAnsi="宋体" w:cs="宋体"/>
          <w:bCs/>
          <w:color w:val="000000"/>
          <w:sz w:val="24"/>
          <w:highlight w:val="none"/>
        </w:rPr>
        <w:t xml:space="preserve">▲15、数据可传输至康复数据处理软件系统。</w:t>
      </w:r>
      <w:r>
        <w:rPr>
          <w:rFonts w:hint="eastAsia" w:ascii="宋体" w:hAnsi="宋体" w:cs="宋体"/>
          <w:b/>
          <w:bCs/>
          <w:color w:val="000000"/>
          <w:sz w:val="24"/>
          <w:highlight w:val="none"/>
        </w:rPr>
      </w:r>
      <w:r/>
    </w:p>
    <w:p>
      <w:pPr>
        <w:pStyle w:val="1071"/>
        <w:ind w:firstLine="482"/>
        <w:jc w:val="left"/>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（十）</w:t>
      </w:r>
      <w:r>
        <w:rPr>
          <w:rFonts w:hint="eastAsia" w:ascii="宋体" w:hAnsi="宋体" w:cs="宋体"/>
          <w:b/>
          <w:bCs/>
          <w:color w:val="000000"/>
          <w:sz w:val="24"/>
          <w:highlight w:val="none"/>
        </w:rPr>
        <w:t xml:space="preserve">便携式全自动多功能检测仪</w:t>
      </w:r>
      <w:r>
        <w:rPr>
          <w:rFonts w:hint="eastAsia" w:ascii="宋体" w:hAnsi="宋体" w:cs="宋体"/>
          <w:b/>
          <w:bCs/>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▲1、测定原理：透射比浊法和透射比色法；分析方法：速率法、终点法；</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2、数据库容量：≥5000个检测结果；</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3、中文，能开机自检，识别并报告错误；对不同的检测项目有不同的测量单位可供用户选择。</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4、使用波长：340nm，535nm，635nm，940nm；</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▲5、样本量：1～5μL；</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6、测试时间：≤7分钟；</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7、测量范围：微量白蛋白:5-200 mg/L；肌酐:15-500 mg/dL；微量白蛋白肌酐比:1-1050 mg/g；糖化血红蛋白：3.8%-15.0%；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▲8、准确度：微量白蛋白/肌酐≤±10%；糖化血红蛋白≤±7.0%；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9、重复性：微量白蛋白：＜8%CV；肌酐：＜5%CV；糖化血红蛋白CV≤3.0%；</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10、环境温度：-20ºC~55ºC；操作温度：15ºC~30ºC；相对湿度：10%~90％；孵育温度37℃，相对偏移±0.3℃，波动±0.2℃；</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11、无线数据传输：蓝牙和WLAN；有线数据传输：USB、串口(RS-232)、以太网；</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12、内置热敏打印机</w:t>
      </w:r>
      <w:r>
        <w:rPr>
          <w:rFonts w:hint="eastAsia" w:ascii="宋体" w:hAnsi="宋体" w:cs="宋体"/>
          <w:color w:val="000000"/>
          <w:sz w:val="24"/>
          <w:highlight w:val="none"/>
        </w:rPr>
      </w:r>
      <w:r/>
    </w:p>
    <w:p>
      <w:pPr>
        <w:pStyle w:val="1071"/>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▲13、使用期限≥10年</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包03：牙科综合治疗机等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bidi="ar"/>
        </w:rPr>
        <w:t xml:space="preserve">牙科综合治疗机</w:t>
      </w:r>
      <w:r>
        <w:rPr>
          <w:rFonts w:hint="eastAsia" w:ascii="宋体" w:hAnsi="宋体" w:cs="宋体"/>
          <w:b/>
          <w:bCs/>
          <w:color w:val="000000"/>
          <w:sz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8277"/>
      </w:tblGrid>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color w:val="000000"/>
                <w:sz w:val="24"/>
                <w:highlight w:val="none"/>
              </w:rPr>
            </w:r>
            <w:r/>
          </w:p>
        </w:tc>
        <w:tc>
          <w:tcPr>
            <w:tcW w:w="4456" w:type="dxa"/>
            <w:vAlign w:val="center"/>
            <w:textDirection w:val="lrTb"/>
            <w:noWrap w:val="false"/>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技术参数</w:t>
            </w:r>
            <w:r>
              <w:rPr>
                <w:rFonts w:hint="eastAsia" w:ascii="宋体" w:hAnsi="宋体" w:cs="宋体"/>
                <w:b/>
                <w:bCs/>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工作条件：环境温度5℃-40℃；相对湿度80%；供气压力范围0.55-0.80Mpa，流量55-60L/min；水源水压范围0.2—0.4Mpa，流量10-12L/min。</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整机工作功率300-350VA，高效节能。（可提供药品监督管理局出具的相应证明材料）。</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使用期限：牙椅注册使用期限不低于15年。（提供药品监督管理局出具的相应证明材料）</w:t>
            </w:r>
            <w:r>
              <w:rPr>
                <w:rFonts w:hint="eastAsia" w:ascii="宋体" w:hAnsi="宋体" w:cs="宋体"/>
                <w:color w:val="000000"/>
                <w:sz w:val="24"/>
                <w:highlight w:val="none"/>
              </w:rPr>
            </w:r>
            <w:r/>
          </w:p>
        </w:tc>
      </w:tr>
      <w:tr>
        <w:trPr>
          <w:trHeight w:val="135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口腔灯：高性能LED感应冷光节能灯，≥</w:t>
            </w:r>
            <w:r>
              <w:rPr>
                <w:rFonts w:hint="eastAsia" w:ascii="宋体" w:hAnsi="宋体" w:cs="宋体"/>
                <w:color w:val="000000"/>
                <w:sz w:val="24"/>
                <w:highlight w:val="none"/>
                <w:lang w:bidi="zh-CN"/>
              </w:rPr>
              <w:t xml:space="preserve">6</w:t>
            </w:r>
            <w:r>
              <w:rPr>
                <w:rFonts w:hint="eastAsia" w:ascii="宋体" w:hAnsi="宋体" w:cs="宋体"/>
                <w:color w:val="000000"/>
                <w:sz w:val="24"/>
                <w:highlight w:val="none"/>
                <w:lang w:bidi="ar"/>
              </w:rPr>
              <w:t xml:space="preserve">颗投射灯珠，灯头拥有灯光控制开关；照度可无极调节，最高照度≥</w:t>
            </w:r>
            <w:r>
              <w:rPr>
                <w:rFonts w:hint="eastAsia" w:ascii="宋体" w:hAnsi="宋体" w:cs="宋体"/>
                <w:color w:val="000000"/>
                <w:sz w:val="24"/>
                <w:highlight w:val="none"/>
                <w:lang w:bidi="zh-CN"/>
              </w:rPr>
              <w:t xml:space="preserve">35000</w:t>
            </w:r>
            <w:r>
              <w:rPr>
                <w:rFonts w:hint="eastAsia" w:ascii="宋体" w:hAnsi="宋体" w:cs="宋体"/>
                <w:color w:val="000000"/>
                <w:sz w:val="24"/>
                <w:highlight w:val="none"/>
                <w:lang w:bidi="ar"/>
              </w:rPr>
              <w:t xml:space="preserve">Lux，支持无接触式控制；口腔灯色温可进行白光/黄光/混光三种模式切换，混光模式下色温可无极调节，医生可自定义适合治疗的灯光色温。</w:t>
            </w:r>
            <w:r>
              <w:rPr>
                <w:rFonts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治疗椅整体采用金属材质骨架和底座，座椅承重最大≥</w:t>
            </w:r>
            <w:r>
              <w:rPr>
                <w:rFonts w:hint="eastAsia" w:ascii="宋体" w:hAnsi="宋体" w:cs="宋体"/>
                <w:color w:val="000000"/>
                <w:sz w:val="24"/>
                <w:highlight w:val="none"/>
                <w:lang w:bidi="zh-CN"/>
              </w:rPr>
              <w:t xml:space="preserve">160kg</w:t>
            </w:r>
            <w:r>
              <w:rPr>
                <w:rFonts w:hint="eastAsia" w:ascii="宋体" w:hAnsi="宋体" w:cs="宋体"/>
                <w:color w:val="000000"/>
                <w:sz w:val="24"/>
                <w:highlight w:val="none"/>
                <w:lang w:bidi="ar"/>
              </w:rPr>
              <w:t xml:space="preserve">；座椅升降范围，可承受160kg*4的载荷试验：最高800-900mm，最低300-400mm。</w:t>
            </w:r>
            <w:r>
              <w:rPr>
                <w:rFonts w:hint="eastAsia" w:ascii="宋体" w:hAnsi="宋体" w:cs="宋体"/>
                <w:color w:val="000000"/>
                <w:sz w:val="24"/>
                <w:highlight w:val="none"/>
              </w:rPr>
            </w:r>
            <w:r/>
          </w:p>
        </w:tc>
      </w:tr>
      <w:tr>
        <w:trPr>
          <w:trHeight w:val="9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牙科椅具备直流/变频/调速系统，装备低压直流电机，速度可调，使病人感觉不到椅子的瞬间冲力，无顿挫感。</w:t>
            </w:r>
            <w:r>
              <w:rPr>
                <w:rFonts w:hint="eastAsia" w:ascii="宋体" w:hAnsi="宋体" w:cs="宋体"/>
                <w:color w:val="000000"/>
                <w:sz w:val="24"/>
                <w:highlight w:val="none"/>
              </w:rPr>
            </w:r>
            <w:r/>
          </w:p>
        </w:tc>
      </w:tr>
      <w:tr>
        <w:trPr>
          <w:trHeight w:val="26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弯板采用精密铝合金铸造工艺，弯板宽度≥</w:t>
            </w:r>
            <w:r>
              <w:rPr>
                <w:rFonts w:hint="eastAsia" w:ascii="宋体" w:hAnsi="宋体" w:cs="宋体"/>
                <w:color w:val="000000"/>
                <w:sz w:val="24"/>
                <w:highlight w:val="none"/>
                <w:lang w:bidi="zh-CN"/>
              </w:rPr>
              <w:t xml:space="preserve">15</w:t>
            </w:r>
            <w:r>
              <w:rPr>
                <w:rFonts w:hint="eastAsia" w:ascii="宋体" w:hAnsi="宋体" w:cs="宋体"/>
                <w:color w:val="000000"/>
                <w:sz w:val="24"/>
                <w:highlight w:val="none"/>
                <w:lang w:bidi="ar"/>
              </w:rPr>
              <w:t xml:space="preserve">cm，厚度不低于15mm，抗压能力强。</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座椅扶手为前翻式设计，扶手连接处位于椅身中部，不阻碍医生腿部动作；</w:t>
            </w:r>
            <w:r>
              <w:rPr>
                <w:rFonts w:hint="eastAsia" w:ascii="宋体" w:hAnsi="宋体" w:cs="宋体"/>
                <w:color w:val="000000"/>
                <w:sz w:val="24"/>
                <w:highlight w:val="none"/>
              </w:rPr>
            </w:r>
            <w:r/>
          </w:p>
        </w:tc>
      </w:tr>
      <w:tr>
        <w:trPr>
          <w:trHeight w:val="507"/>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人造合成高级皮革，触感柔滑，表面拥有防霉抗菌涂层，具备防霉抗菌效果，参照IS022196:2011测定塑料和其他无孔表面的抗菌活性的标准，金黄色葡萄球菌抗菌活性值≥1、大肠杆菌的抗菌活性值≥2。</w:t>
            </w:r>
            <w:r>
              <w:rPr>
                <w:rFonts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具备椅位补偿功能，靠背仰俯操作同时坐垫进行同方向小幅度抬升或回落，让患者治疗体验更舒适。</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按压式单手操作头枕，可在360度范围内旋转设置任意角度，长度可伸缩调整，多角度形态可满足儿童位、轮椅位、手术位等特殊椅位需求；头枕整体采用曲面设计，便于固定患者头部并为患者颈椎提供舒适支撑。</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消毒系统</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带全自动智能消毒系统，一键即可实现水路管道冲洗、消毒液注入、静置、再冲洗全流程，无需手动逐步操作，全流程时长少于30分钟。</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具有断电续消、紧急退出等智能管控功能；以应对停电或中途中断等突发情况，避免消毒液残留及消毒不彻底情况。消毒液可覆盖进水水过滤器，避免消毒死角。</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医生治疗台单元</w:t>
            </w:r>
            <w:r>
              <w:rPr>
                <w:rFonts w:hint="eastAsia" w:ascii="宋体" w:hAnsi="宋体" w:cs="宋体"/>
                <w:color w:val="000000"/>
                <w:sz w:val="24"/>
                <w:highlight w:val="none"/>
              </w:rPr>
            </w:r>
            <w:r/>
          </w:p>
        </w:tc>
      </w:tr>
      <w:tr>
        <w:trPr>
          <w:trHeight w:val="26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不低于3寸高清触控显示屏和不少于15个功能机械按键；包括不限于设置键、智能复位键、吐痰位键、观灯片开关键、口腔灯开关控制键、漱口水加热键、冲洗痰盂键、水杯供水按键、记忆椅位复合键、椅位设置键、急救位键等。</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牙椅可记录不少于4位医生的椅位习惯和器械使用习惯，每位医生可记录不少于4个记忆椅位，方便不同医生快速适配。</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具有开机自检功能，开机自动检测且提供故障代码和文字组合信息，便于对牙椅进行快速检修。</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具备响铃功能：拥有倒计时和闹铃设置。</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具备一键急救控制：一键即可快速到达特伦伯格急救位，可方便医生快速进行紧急治疗。</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具备一键清洁位：一键即可将牙椅升至最高，便于清洁以及重力排空管路积水。</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具备一键吐痰:一键即可将靠背升至最高，方便患者吐痰。</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7.8</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具备一键复位:治疗结束后，按下按键，牙椅到达退出位，口腔灯同时关闭；进入治疗时，按下按键，恢复原治疗位，口腔灯自动复原至工作状态。医生可省略频繁的调节步骤，实现一个按键贯穿整个治疗过程。</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7.9</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具备灯椅联动：牙椅运行过程中口腔灯处于关闭状态，运行到指定位置，口腔灯打开。</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7.10</w:t>
            </w:r>
            <w:r>
              <w:rPr>
                <w:rFonts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具备冲痰供水联动：漱口后冲痰水自动开启。</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具备机椅互锁功能：手机工作时，除牙椅升降俯仰不能工作，其它功能可正常工作。</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具备紧急制动安全装置：记忆位、复位、吐痰位功能被触发后，按下按键，功能被中断，重按功能键可继续动作。</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水、气调节旋钮可拆卸进行高温高压消毒；水、气调节旋钮位于工具盘侧方，方便医生在可视范围内轻松调节；后置抽拉式集污装置，清洁方便并且还可减小手机工作的风噪声。</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平衡臂最大承重不低于6kg，放置重物时运行移动平稳顺滑，稳定可靠。</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侧箱单元</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可旋转式侧箱，内部为整体铸造铝合金箱架，重量轻，耐腐蚀.。</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侧箱外壳材质为优质高分子材料，耐酒精消毒，耐UV老化，参照IS04892-3:2016，Cycle1耐UV老化测试的标准，灰卡等级≥3。</w:t>
            </w:r>
            <w:r>
              <w:rPr>
                <w:rFonts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8.3</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配置可拆卸玻璃痰盂缸，痰盂下水口配置排污单向阀，可有效隔离下水道气味污染诊室，配套消毒器械挂架。</w:t>
            </w:r>
            <w:r>
              <w:rPr>
                <w:rFonts w:hint="eastAsia" w:ascii="宋体" w:hAnsi="宋体" w:cs="宋体"/>
                <w:color w:val="000000"/>
                <w:sz w:val="24"/>
                <w:highlight w:val="none"/>
              </w:rPr>
            </w:r>
            <w:r/>
          </w:p>
        </w:tc>
      </w:tr>
      <w:tr>
        <w:trPr>
          <w:trHeight w:val="135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8.4</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强弱吸过滤器为旋入式设计，其过滤精度≤1mm²，有效过滤面积</w:t>
            </w:r>
            <w:r>
              <w:rPr>
                <w:rFonts w:hint="eastAsia" w:ascii="宋体" w:hAnsi="宋体" w:cs="宋体"/>
                <w:color w:val="000000"/>
                <w:sz w:val="24"/>
                <w:highlight w:val="none"/>
                <w:lang w:bidi="zh-CN"/>
              </w:rPr>
              <w:t xml:space="preserve">≥</w:t>
            </w:r>
            <w:r>
              <w:rPr>
                <w:rFonts w:hint="eastAsia" w:ascii="宋体" w:hAnsi="宋体" w:cs="宋体"/>
                <w:color w:val="000000"/>
                <w:sz w:val="24"/>
                <w:highlight w:val="none"/>
                <w:lang w:bidi="ar"/>
              </w:rPr>
              <w:t xml:space="preserve">600mm²，过滤体积≥25mm³，能更加精细地过滤，并可容纳更多固体污染物而不堵塞过滤器。</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8.5</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配备纯净水系统和消毒水系统。</w:t>
            </w:r>
            <w:r>
              <w:rPr>
                <w:rFonts w:hint="eastAsia" w:ascii="宋体" w:hAnsi="宋体" w:cs="宋体"/>
                <w:color w:val="000000"/>
                <w:sz w:val="24"/>
                <w:highlight w:val="none"/>
              </w:rPr>
            </w:r>
            <w:r/>
          </w:p>
        </w:tc>
      </w:tr>
      <w:tr>
        <w:trPr>
          <w:trHeight w:val="81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▲8.6</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侧箱双边侧门可完全打开，无需工具就可以快速拆卸和安装。侧箱水气与电路分离设计，采用醚管，耐高压，耐水解，耐酸碱腐蚀，便于检修；</w:t>
            </w:r>
            <w:r>
              <w:rPr>
                <w:rFonts w:hint="eastAsia" w:ascii="宋体" w:hAnsi="宋体" w:cs="宋体"/>
                <w:color w:val="000000"/>
                <w:sz w:val="24"/>
                <w:highlight w:val="none"/>
              </w:rPr>
            </w:r>
            <w:r/>
          </w:p>
        </w:tc>
      </w:tr>
      <w:tr>
        <w:trPr>
          <w:trHeight w:val="27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8.7</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侧箱通过牙椅坐垫中心下方连接，可旋转至牙椅前方。</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助手位单元：配置可旋转助手杆，带功能按键的助手控制面板和助手搁置台；带三用枪、强弱吸手柄各1支。</w:t>
            </w:r>
            <w:r>
              <w:rPr>
                <w:rFonts w:hint="eastAsia" w:ascii="宋体" w:hAnsi="宋体" w:cs="宋体"/>
                <w:color w:val="000000"/>
                <w:sz w:val="24"/>
                <w:highlight w:val="none"/>
              </w:rPr>
            </w:r>
            <w:r/>
          </w:p>
        </w:tc>
      </w:tr>
      <w:tr>
        <w:trPr>
          <w:trHeight w:val="54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内置地箱；内置封闭电源；配置下水口密闭连接组件，可有效隔绝下水管道对诊室造成的病菌、异味和污水回流的污染。</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脚踏开关：多功能脚踏开关，水气分离，低位踏板设计，医生只需轻抬脚尖就能启动器械，减轻脚部负担，踩踏深度可调节器械转速；另有多种实用功能集成，可控制牙椅进行椅位升降俯仰调节、供水、冲盂、口腔灯开关、吹屑气等。</w:t>
            </w:r>
            <w:r>
              <w:rPr>
                <w:rFonts w:hint="eastAsia" w:ascii="宋体" w:hAnsi="宋体" w:cs="宋体"/>
                <w:color w:val="000000"/>
                <w:sz w:val="24"/>
                <w:highlight w:val="none"/>
              </w:rPr>
            </w:r>
            <w:r/>
          </w:p>
        </w:tc>
      </w:tr>
      <w:tr>
        <w:trPr>
          <w:trHeight w:val="1080"/>
        </w:trPr>
        <w:tc>
          <w:tcPr>
            <w:tcW w:w="543"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tcW w:w="4456"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医生椅可进行坐垫升降、靠背升降俯仰、坐垫水平度等不少于8个方向调节；脚轮架采用精密铝合金铸造件，结实耐用不易断裂，静音滑轮，移动安静不伤地板；座椅升降范围：450mm-600mm。</w:t>
            </w:r>
            <w:r>
              <w:rPr>
                <w:rFonts w:hint="eastAsia" w:ascii="宋体" w:hAnsi="宋体" w:cs="宋体"/>
                <w:color w:val="000000"/>
                <w:sz w:val="24"/>
                <w:highlight w:val="none"/>
              </w:rPr>
            </w:r>
            <w:r/>
          </w:p>
        </w:tc>
      </w:tr>
      <w:tr>
        <w:trPr>
          <w:trHeight w:val="505"/>
        </w:trPr>
        <w:tc>
          <w:tcPr>
            <w:tcW w:w="543"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▲13</w:t>
            </w:r>
            <w:r>
              <w:rPr>
                <w:rFonts w:ascii="宋体" w:hAnsi="宋体" w:cs="宋体"/>
                <w:color w:val="000000"/>
                <w:sz w:val="24"/>
                <w:highlight w:val="none"/>
                <w:lang w:bidi="ar"/>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配备带灯高速手机不低于5把。</w:t>
            </w:r>
            <w:r>
              <w:rPr>
                <w:rFonts w:ascii="宋体" w:hAnsi="宋体" w:cs="宋体"/>
                <w:color w:val="000000"/>
                <w:sz w:val="24"/>
                <w:highlight w:val="none"/>
                <w:lang w:bidi="ar"/>
              </w:rPr>
            </w:r>
            <w:r/>
          </w:p>
        </w:tc>
      </w:tr>
      <w:tr>
        <w:trPr>
          <w:trHeight w:val="668"/>
        </w:trPr>
        <w:tc>
          <w:tcPr>
            <w:tcW w:w="543"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▲14</w:t>
            </w:r>
            <w:r>
              <w:rPr>
                <w:rFonts w:ascii="宋体" w:hAnsi="宋体" w:cs="宋体"/>
                <w:color w:val="000000"/>
                <w:sz w:val="24"/>
                <w:highlight w:val="none"/>
                <w:lang w:bidi="ar"/>
              </w:rPr>
            </w:r>
            <w:r/>
          </w:p>
        </w:tc>
        <w:tc>
          <w:tcPr>
            <w:tcW w:w="4456" w:type="dxa"/>
            <w:vAlign w:val="center"/>
            <w:textDirection w:val="lrTb"/>
            <w:noWrap w:val="false"/>
          </w:tcPr>
          <w:p>
            <w:pPr>
              <w:pStyle w:val="1071"/>
              <w:jc w:val="left"/>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配置内置洁牙机。</w:t>
            </w:r>
            <w:r>
              <w:rPr>
                <w:rFonts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（二）牙科综合治疗机（种植款）</w:t>
      </w:r>
      <w:r>
        <w:rPr>
          <w:rFonts w:hint="eastAsia" w:ascii="宋体" w:hAnsi="宋体" w:cs="宋体"/>
          <w:b/>
          <w:bCs/>
          <w:color w:val="000000"/>
          <w:sz w:val="24"/>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816"/>
        <w:gridCol w:w="8470"/>
      </w:tblGrid>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种植技术参数</w:t>
            </w:r>
            <w:r>
              <w:rPr>
                <w:rFonts w:hint="eastAsia" w:ascii="宋体" w:hAnsi="宋体" w:cs="宋体"/>
                <w:b/>
                <w:bCs/>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工作条件：环境温度5℃-40℃；相对湿度80%；供气压力范围0.55-0.80Mpa，流量55-60L/min；水源水压范围0.2-0.4Mpa，流量10-12L/min。</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使用期限：牙椅注册使用期限≥15年。（提供相应证明材料）</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手术灯：可多方位旋转的专业手术灯，配置不低于20颗灯珠，使用寿命不低于50000小时，最大光照强度不低于70000Lux，灯光照明深度不低于1700mm，保持口腔深处术区清晰；配置可拆卸消毒的手柄。</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治疗椅整体采用金属材质一体铸造成型，三点受力，坚固稳定，运行平顺；座椅最大承重不低于180kg；座椅升降范围：最高</w:t>
            </w:r>
            <w:r>
              <w:rPr>
                <w:rFonts w:hint="eastAsia" w:ascii="宋体" w:hAnsi="宋体" w:cs="宋体"/>
                <w:color w:val="000000"/>
                <w:sz w:val="24"/>
                <w:highlight w:val="none"/>
                <w:lang w:bidi="zh-CN"/>
              </w:rPr>
              <w:t xml:space="preserve">不少于</w:t>
            </w:r>
            <w:r>
              <w:rPr>
                <w:rFonts w:hint="eastAsia" w:ascii="宋体" w:hAnsi="宋体" w:cs="宋体"/>
                <w:color w:val="000000"/>
                <w:sz w:val="24"/>
                <w:highlight w:val="none"/>
                <w:lang w:bidi="ar"/>
              </w:rPr>
              <w:t xml:space="preserve">800mm，最低</w:t>
            </w:r>
            <w:r>
              <w:rPr>
                <w:rFonts w:hint="eastAsia" w:ascii="宋体" w:hAnsi="宋体" w:cs="宋体"/>
                <w:color w:val="000000"/>
                <w:sz w:val="24"/>
                <w:highlight w:val="none"/>
                <w:lang w:bidi="zh-CN"/>
              </w:rPr>
              <w:t xml:space="preserve">不少于</w:t>
            </w:r>
            <w:r>
              <w:rPr>
                <w:rFonts w:hint="eastAsia" w:ascii="宋体" w:hAnsi="宋体" w:cs="宋体"/>
                <w:color w:val="000000"/>
                <w:sz w:val="24"/>
                <w:highlight w:val="none"/>
                <w:lang w:bidi="ar"/>
              </w:rPr>
              <w:t xml:space="preserve">400mm；椅架升降支撑结构采用球墨铸铁工艺，提升牙椅的承载能力和平稳度。</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牙科椅具备直流/变频/调速系统，装备低压直流电机，具有升降瞬间延时功能，使病人感觉不到椅子的瞬间冲力，无顿挫感。</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符合人体工程学的靠背设计，为医生治疗预留充足的腿部空间；配置腰枕颈枕，与治疗椅同款皮垫材质，优质记忆棉填充。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配置座椅左右扶手，右扶手可上下翻转约135°，方便病患上下牙科椅；</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按压式单手操作头枕，可在360度范围内旋转设置任意角度，长度可伸缩调整，纵向长度可调，多角度形态可满足儿童位、轮椅位、手术位等特殊椅位需求；头枕整体便于固定患者头部并为患者颈椎提供舒适支撑。</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带一键全自动智能消毒系统，一键即可实现水路管道冲洗、消毒液注入、静置、再冲洗全流程，无需手动逐步操作；具有断电续消、紧急退出、等智能管控功能。</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治疗台单元</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推车式医生治疗台，台面高度可电动无极调节，配置不锈钢台面，封闭方形拉手设计，易清洁消毒；配置不少于10个功能按键面板；配置不少于2个220V电源插口，可连接种植机或心电监护仪；具备不少于3个记忆椅位控制；配置拨杆式一键水气电开关，可一键关闭水、气和电的通断。</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配置面积</w:t>
            </w:r>
            <w:r>
              <w:rPr>
                <w:rFonts w:hint="eastAsia" w:ascii="宋体" w:hAnsi="宋体" w:cs="宋体"/>
                <w:color w:val="000000"/>
                <w:sz w:val="24"/>
                <w:highlight w:val="none"/>
                <w:lang w:bidi="zh-CN"/>
              </w:rPr>
              <w:t xml:space="preserve">不低于1500</w:t>
            </w:r>
            <w:r>
              <w:rPr>
                <w:rFonts w:hint="eastAsia" w:ascii="宋体" w:hAnsi="宋体" w:cs="宋体"/>
                <w:color w:val="000000"/>
                <w:sz w:val="24"/>
                <w:highlight w:val="none"/>
                <w:lang w:bidi="ar"/>
              </w:rPr>
              <w:t xml:space="preserve">cm²第二托盘，可进行大范围旋转，不锈钢材质，防刮耐磨，可高温高压消毒。</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w:t>
            </w:r>
            <w:r>
              <w:rPr>
                <w:rFonts w:hint="eastAsia" w:ascii="宋体" w:hAnsi="宋体" w:cs="宋体"/>
                <w:color w:val="000000"/>
                <w:sz w:val="24"/>
                <w:highlight w:val="none"/>
                <w:lang w:bidi="zh-CN"/>
              </w:rPr>
              <w:t xml:space="preserve">不低于</w:t>
            </w:r>
            <w:r>
              <w:rPr>
                <w:rFonts w:hint="eastAsia" w:ascii="宋体" w:hAnsi="宋体" w:cs="宋体"/>
                <w:color w:val="000000"/>
                <w:sz w:val="24"/>
                <w:highlight w:val="none"/>
                <w:lang w:bidi="ar"/>
              </w:rPr>
              <w:t xml:space="preserve">1.5L大容量纯净水瓶和</w:t>
            </w:r>
            <w:r>
              <w:rPr>
                <w:rFonts w:hint="eastAsia" w:ascii="宋体" w:hAnsi="宋体" w:cs="宋体"/>
                <w:color w:val="000000"/>
                <w:sz w:val="24"/>
                <w:highlight w:val="none"/>
                <w:lang w:bidi="zh-CN"/>
              </w:rPr>
              <w:t xml:space="preserve">不低于</w:t>
            </w:r>
            <w:r>
              <w:rPr>
                <w:rFonts w:hint="eastAsia" w:ascii="宋体" w:hAnsi="宋体" w:cs="宋体"/>
                <w:color w:val="000000"/>
                <w:sz w:val="24"/>
                <w:highlight w:val="none"/>
                <w:lang w:bidi="ar"/>
              </w:rPr>
              <w:t xml:space="preserve">1.5L大容量消毒水瓶，可满足医生多种作业用水需求。</w:t>
            </w:r>
            <w:r>
              <w:rPr>
                <w:rFonts w:hint="eastAsia" w:ascii="宋体" w:hAnsi="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侧箱单元</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侧箱为铝合金材质；配置可旋转一体式痰盂缸；具有漱口水恒温系统，具有超温安全保护；水杯供水系统和冲痰盂系统可根据医生的要求设定时间。</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牙椅内置不少于3套吸唾系统，可同时适用于专业种植治疗和口腔综合治疗；</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集成化抽吸系统：配备可多次消毒玻璃集污瓶；配置可拆卸高温高压消毒的金属手柄，防止交叉感染风险；</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强弱吸过滤器为旋入式设计，其过滤精度≤1mm²，有效过滤面积≥600mm²，过滤体积≥25mm³，能更加精细地过滤，并可容纳更多固体污染物而不堵塞过滤器</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配置可伸缩式铝合金助手杆，带副控面板，助手器械挂架整体可进行水平旋转，每个挂架位的垂直角度可单独进行旋转，便于助手器械的取放；带三用枪、强弱吸手柄、专业抽吸金属手柄各1支。</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内置地箱；内置封闭电源；配置下水口密闭连接组件，可有效隔绝下水管道对诊室造成的病菌、异味和污水回流的污染；带外置气排水装置，可通过地箱开关一键排空空气过滤器内的积水。</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10</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医生脚踏可控制手机工作，助手脚踏控制椅位升降、靠背俯仰、椅位复位、一键漱口冲盂、种植负压吸引器工作以及吸唾（可控制点动抽吸或持续抽吸）。</w:t>
            </w:r>
            <w:r>
              <w:rPr>
                <w:rFonts w:hint="eastAsia" w:ascii="宋体" w:hAnsi="宋体" w:cs="宋体"/>
                <w:color w:val="000000"/>
                <w:sz w:val="24"/>
                <w:highlight w:val="none"/>
              </w:rPr>
            </w:r>
            <w:r/>
          </w:p>
        </w:tc>
      </w:tr>
      <w:tr>
        <w:trPr>
          <w:trHeight w:val="858"/>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医生椅须考虑医生舒适度。可进行坐垫升降、靠背升降俯仰、坐垫倾斜角度不少于8个方向调节；脚轮架采用精密铝合金铸造件，结实耐用不易断裂，静音滑轮，移动安静不伤地板；座椅升降范围：450mm-600mm。</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护士椅带可旋转扶手。</w:t>
            </w:r>
            <w:r>
              <w:rPr>
                <w:rFonts w:hint="eastAsia" w:ascii="宋体" w:hAnsi="宋体" w:cs="宋体"/>
                <w:color w:val="000000"/>
                <w:sz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▲13</w:t>
            </w:r>
            <w:r>
              <w:rPr>
                <w:rFonts w:ascii="宋体" w:hAnsi="宋体" w:cs="宋体"/>
                <w:color w:val="000000"/>
                <w:sz w:val="24"/>
                <w:highlight w:val="none"/>
                <w:lang w:bidi="ar"/>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配备带灯高速手机不低于5把。</w:t>
            </w:r>
            <w:r>
              <w:rPr>
                <w:rFonts w:hint="eastAsia" w:ascii="宋体" w:hAnsi="宋体" w:cs="宋体"/>
                <w:color w:val="000000"/>
                <w:sz w:val="24"/>
                <w:highlight w:val="none"/>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411" w:type="dxa"/>
            <w:vAlign w:val="center"/>
            <w:textDirection w:val="lrTb"/>
            <w:noWrap/>
          </w:tcPr>
          <w:p>
            <w:pPr>
              <w:pStyle w:val="1071"/>
              <w:jc w:val="center"/>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▲14</w:t>
            </w:r>
            <w:r>
              <w:rPr>
                <w:rFonts w:hint="eastAsia" w:ascii="宋体" w:hAnsi="宋体" w:cs="宋体"/>
                <w:color w:val="000000"/>
                <w:sz w:val="24"/>
                <w:highlight w:val="none"/>
                <w:lang w:bidi="ar"/>
              </w:rPr>
            </w:r>
            <w:r/>
          </w:p>
        </w:tc>
        <w:tc>
          <w:tcPr>
            <w:tcBorders>
              <w:top w:val="single" w:color="000000" w:sz="4" w:space="0"/>
              <w:left w:val="none" w:color="000000" w:sz="4" w:space="0"/>
              <w:bottom w:val="single" w:color="000000" w:sz="4" w:space="0"/>
              <w:right w:val="single" w:color="000000" w:sz="4" w:space="0"/>
            </w:tcBorders>
            <w:tcW w:w="4588" w:type="dxa"/>
            <w:vAlign w:val="center"/>
            <w:textDirection w:val="lrTb"/>
            <w:noWrap w:val="false"/>
          </w:tcPr>
          <w:p>
            <w:pPr>
              <w:pStyle w:val="1071"/>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配置内置洁牙机。</w:t>
            </w:r>
            <w:r>
              <w:rPr>
                <w:rFonts w:hint="eastAsia" w:ascii="宋体" w:hAnsi="宋体" w:cs="宋体"/>
                <w:color w:val="000000"/>
                <w:sz w:val="24"/>
                <w:highlight w:val="none"/>
                <w:lang w:bidi="ar"/>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（三）口腔数字印模仪</w:t>
      </w:r>
      <w:r>
        <w:rPr>
          <w:rFonts w:hint="eastAsia" w:ascii="宋体" w:hAnsi="宋体" w:cs="宋体"/>
          <w:b/>
          <w:bCs/>
          <w:color w:val="000000"/>
          <w:sz w:val="24"/>
          <w:highlight w:val="none"/>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77"/>
        <w:gridCol w:w="8005"/>
      </w:tblGrid>
      <w:tr>
        <w:trPr>
          <w:trHeight w:val="415"/>
        </w:trPr>
        <w:tc>
          <w:tcPr>
            <w:gridSpan w:val="2"/>
            <w:tcW w:w="9082" w:type="dxa"/>
            <w:vAlign w:val="top"/>
            <w:textDirection w:val="lrTb"/>
            <w:noWrap w:val="false"/>
          </w:tcPr>
          <w:p>
            <w:pPr>
              <w:pStyle w:val="1317"/>
              <w:ind w:right="252"/>
              <w:jc w:val="both"/>
              <w:spacing w:before="1" w:line="360" w:lineRule="auto"/>
              <w:rPr>
                <w:rFonts w:hint="eastAsia"/>
                <w:b/>
                <w:color w:val="000000"/>
                <w:sz w:val="24"/>
                <w:szCs w:val="24"/>
                <w:highlight w:val="none"/>
              </w:rPr>
            </w:pPr>
            <w:r>
              <w:rPr>
                <w:rFonts w:hint="eastAsia"/>
                <w:b/>
                <w:color w:val="000000"/>
                <w:sz w:val="24"/>
                <w:szCs w:val="24"/>
                <w:highlight w:val="none"/>
              </w:rPr>
              <w:t xml:space="preserve">一、设备功能：</w:t>
            </w:r>
            <w:r>
              <w:rPr>
                <w:rFonts w:hint="eastAsia"/>
                <w:color w:val="000000"/>
                <w:sz w:val="24"/>
                <w:szCs w:val="24"/>
                <w:highlight w:val="none"/>
              </w:rPr>
              <w:t xml:space="preserve">用于正畸、种植、修复模型的印模制取、矫治效果模拟、做医患沟通病例报告、DSD美学设计。</w:t>
            </w:r>
            <w:r>
              <w:rPr>
                <w:rFonts w:hint="eastAsia"/>
                <w:b/>
                <w:color w:val="000000"/>
                <w:sz w:val="24"/>
                <w:szCs w:val="24"/>
                <w:highlight w:val="none"/>
              </w:rPr>
            </w:r>
            <w:r/>
          </w:p>
        </w:tc>
      </w:tr>
      <w:tr>
        <w:trPr>
          <w:trHeight w:val="415"/>
        </w:trPr>
        <w:tc>
          <w:tcPr>
            <w:gridSpan w:val="2"/>
            <w:tcW w:w="9082" w:type="dxa"/>
            <w:vAlign w:val="top"/>
            <w:textDirection w:val="lrTb"/>
            <w:noWrap w:val="false"/>
          </w:tcPr>
          <w:p>
            <w:pPr>
              <w:pStyle w:val="1317"/>
              <w:ind w:right="2003"/>
              <w:jc w:val="both"/>
              <w:spacing w:before="1" w:line="360" w:lineRule="auto"/>
              <w:rPr>
                <w:rFonts w:hint="eastAsia"/>
                <w:b/>
                <w:color w:val="000000"/>
                <w:sz w:val="24"/>
                <w:szCs w:val="24"/>
                <w:highlight w:val="none"/>
              </w:rPr>
            </w:pPr>
            <w:r>
              <w:rPr>
                <w:rFonts w:hint="eastAsia"/>
                <w:b/>
                <w:color w:val="000000"/>
                <w:sz w:val="24"/>
                <w:szCs w:val="24"/>
                <w:highlight w:val="none"/>
              </w:rPr>
              <w:t xml:space="preserve">二、设备参数</w:t>
            </w:r>
            <w:r>
              <w:rPr>
                <w:rFonts w:hint="eastAsia"/>
                <w:b/>
                <w:color w:val="000000"/>
                <w:sz w:val="24"/>
                <w:szCs w:val="24"/>
                <w:highlight w:val="none"/>
              </w:rPr>
            </w:r>
            <w:r/>
          </w:p>
        </w:tc>
      </w:tr>
      <w:tr>
        <w:trPr>
          <w:trHeight w:val="416"/>
        </w:trPr>
        <w:tc>
          <w:tcPr>
            <w:tcW w:w="593" w:type="dxa"/>
            <w:vAlign w:val="top"/>
            <w:textDirection w:val="lrTb"/>
            <w:noWrap w:val="false"/>
          </w:tcPr>
          <w:p>
            <w:pPr>
              <w:pStyle w:val="1317"/>
              <w:ind w:left="7"/>
              <w:jc w:val="center"/>
              <w:spacing w:before="1" w:line="360" w:lineRule="auto"/>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rPr>
            </w:r>
            <w:r/>
          </w:p>
        </w:tc>
        <w:tc>
          <w:tcPr>
            <w:tcW w:w="4406" w:type="dxa"/>
            <w:vAlign w:val="top"/>
            <w:textDirection w:val="lrTb"/>
            <w:noWrap w:val="false"/>
          </w:tcPr>
          <w:p>
            <w:pPr>
              <w:pStyle w:val="1317"/>
              <w:ind w:firstLine="117"/>
              <w:spacing w:before="2" w:line="360" w:lineRule="auto"/>
              <w:rPr>
                <w:rFonts w:hint="eastAsia"/>
                <w:color w:val="000000"/>
                <w:sz w:val="24"/>
                <w:szCs w:val="24"/>
                <w:highlight w:val="none"/>
              </w:rPr>
            </w:pPr>
            <w:r>
              <w:rPr>
                <w:rFonts w:hint="eastAsia"/>
                <w:color w:val="000000"/>
                <w:spacing w:val="-3"/>
                <w:sz w:val="24"/>
                <w:szCs w:val="24"/>
                <w:highlight w:val="none"/>
              </w:rPr>
              <w:t xml:space="preserve">设备描述：通过光学印模扫描方式获取口内数据</w:t>
            </w:r>
            <w:r>
              <w:rPr>
                <w:rFonts w:hint="eastAsia"/>
                <w:color w:val="000000"/>
                <w:sz w:val="24"/>
                <w:szCs w:val="24"/>
                <w:highlight w:val="none"/>
              </w:rPr>
            </w:r>
            <w:r/>
          </w:p>
        </w:tc>
      </w:tr>
      <w:tr>
        <w:trPr>
          <w:trHeight w:val="415"/>
        </w:trPr>
        <w:tc>
          <w:tcPr>
            <w:tcW w:w="593" w:type="dxa"/>
            <w:vAlign w:val="top"/>
            <w:textDirection w:val="lrTb"/>
            <w:noWrap w:val="false"/>
          </w:tcPr>
          <w:p>
            <w:pPr>
              <w:pStyle w:val="1317"/>
              <w:ind w:firstLine="460"/>
              <w:spacing w:before="1" w:line="360" w:lineRule="auto"/>
              <w:rPr>
                <w:rFonts w:hint="eastAsia"/>
                <w:color w:val="000000"/>
                <w:sz w:val="24"/>
                <w:szCs w:val="24"/>
                <w:highlight w:val="none"/>
              </w:rPr>
            </w:pPr>
            <w:r>
              <w:rPr>
                <w:rFonts w:hint="eastAsia"/>
                <w:color w:val="000000"/>
                <w:spacing w:val="-5"/>
                <w:sz w:val="24"/>
                <w:szCs w:val="24"/>
                <w:highlight w:val="none"/>
              </w:rPr>
              <w:t xml:space="preserve">2</w:t>
            </w:r>
            <w:r>
              <w:rPr>
                <w:rFonts w:hint="eastAsia"/>
                <w:color w:val="000000"/>
                <w:sz w:val="24"/>
                <w:szCs w:val="24"/>
                <w:highlight w:val="none"/>
              </w:rPr>
            </w:r>
            <w:r/>
          </w:p>
        </w:tc>
        <w:tc>
          <w:tcPr>
            <w:tcW w:w="4406" w:type="dxa"/>
            <w:vAlign w:val="top"/>
            <w:textDirection w:val="lrTb"/>
            <w:noWrap w:val="false"/>
          </w:tcPr>
          <w:p>
            <w:pPr>
              <w:pStyle w:val="1317"/>
              <w:ind w:firstLine="112"/>
              <w:spacing w:before="1" w:line="360" w:lineRule="auto"/>
              <w:rPr>
                <w:rFonts w:hint="eastAsia"/>
                <w:color w:val="000000"/>
                <w:sz w:val="24"/>
                <w:szCs w:val="24"/>
                <w:highlight w:val="none"/>
              </w:rPr>
            </w:pPr>
            <w:r>
              <w:rPr>
                <w:rFonts w:hint="eastAsia"/>
                <w:color w:val="000000"/>
                <w:spacing w:val="-8"/>
                <w:sz w:val="24"/>
                <w:szCs w:val="24"/>
                <w:highlight w:val="none"/>
              </w:rPr>
              <w:t xml:space="preserve">扫描仪重量：</w:t>
            </w:r>
            <w:r>
              <w:rPr>
                <w:rFonts w:hint="eastAsia"/>
                <w:color w:val="000000"/>
                <w:spacing w:val="-2"/>
                <w:sz w:val="24"/>
                <w:szCs w:val="24"/>
                <w:highlight w:val="none"/>
              </w:rPr>
              <w:t xml:space="preserve">≤</w:t>
            </w:r>
            <w:r>
              <w:rPr>
                <w:rFonts w:hint="eastAsia"/>
                <w:color w:val="000000"/>
                <w:spacing w:val="-4"/>
                <w:sz w:val="24"/>
                <w:szCs w:val="24"/>
                <w:highlight w:val="none"/>
                <w:lang w:eastAsia="zh-CN"/>
              </w:rPr>
              <w:t xml:space="preserve">20</w:t>
            </w:r>
            <w:r>
              <w:rPr>
                <w:rFonts w:hint="eastAsia"/>
                <w:color w:val="000000"/>
                <w:spacing w:val="-4"/>
                <w:sz w:val="24"/>
                <w:szCs w:val="24"/>
                <w:highlight w:val="none"/>
              </w:rPr>
              <w:t xml:space="preserve">0g</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3</w:t>
            </w:r>
            <w:r>
              <w:rPr>
                <w:rFonts w:hint="eastAsia"/>
                <w:color w:val="000000"/>
                <w:sz w:val="24"/>
                <w:szCs w:val="24"/>
                <w:highlight w:val="none"/>
                <w:lang w:eastAsia="zh-CN"/>
              </w:rPr>
            </w:r>
            <w:r/>
          </w:p>
        </w:tc>
        <w:tc>
          <w:tcPr>
            <w:tcW w:w="4406" w:type="dxa"/>
            <w:vAlign w:val="top"/>
            <w:textDirection w:val="lrTb"/>
            <w:noWrap w:val="false"/>
          </w:tcPr>
          <w:p>
            <w:pPr>
              <w:pStyle w:val="1317"/>
              <w:ind w:firstLine="116"/>
              <w:spacing w:line="360" w:lineRule="auto"/>
              <w:rPr>
                <w:rFonts w:hint="eastAsia"/>
                <w:color w:val="000000"/>
                <w:sz w:val="24"/>
                <w:szCs w:val="24"/>
                <w:highlight w:val="none"/>
              </w:rPr>
            </w:pPr>
            <w:r>
              <w:rPr>
                <w:rFonts w:hint="eastAsia"/>
                <w:color w:val="000000"/>
                <w:spacing w:val="-4"/>
                <w:sz w:val="24"/>
                <w:szCs w:val="24"/>
                <w:highlight w:val="none"/>
              </w:rPr>
              <w:t xml:space="preserve">外形设计：笔式</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4</w:t>
            </w:r>
            <w:r>
              <w:rPr>
                <w:rFonts w:hint="eastAsia"/>
                <w:color w:val="000000"/>
                <w:sz w:val="24"/>
                <w:szCs w:val="24"/>
                <w:highlight w:val="none"/>
                <w:lang w:eastAsia="zh-CN"/>
              </w:rPr>
            </w:r>
            <w:r/>
          </w:p>
        </w:tc>
        <w:tc>
          <w:tcPr>
            <w:tcW w:w="4406" w:type="dxa"/>
            <w:vAlign w:val="top"/>
            <w:textDirection w:val="lrTb"/>
            <w:noWrap w:val="false"/>
          </w:tcPr>
          <w:p>
            <w:pPr>
              <w:pStyle w:val="1317"/>
              <w:ind w:firstLine="116"/>
              <w:spacing w:before="1" w:line="360" w:lineRule="auto"/>
              <w:rPr>
                <w:rFonts w:hint="eastAsia"/>
                <w:color w:val="000000"/>
                <w:sz w:val="24"/>
                <w:szCs w:val="24"/>
                <w:highlight w:val="none"/>
              </w:rPr>
            </w:pPr>
            <w:r>
              <w:rPr>
                <w:rFonts w:hint="eastAsia"/>
                <w:color w:val="000000"/>
                <w:spacing w:val="-4"/>
                <w:sz w:val="24"/>
                <w:szCs w:val="24"/>
                <w:highlight w:val="none"/>
              </w:rPr>
              <w:t xml:space="preserve">印模颜色：真彩</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5</w:t>
            </w:r>
            <w:r>
              <w:rPr>
                <w:rFonts w:hint="eastAsia"/>
                <w:color w:val="000000"/>
                <w:sz w:val="24"/>
                <w:szCs w:val="24"/>
                <w:highlight w:val="none"/>
                <w:lang w:eastAsia="zh-CN"/>
              </w:rPr>
            </w:r>
            <w:r/>
          </w:p>
        </w:tc>
        <w:tc>
          <w:tcPr>
            <w:tcW w:w="4406" w:type="dxa"/>
            <w:vAlign w:val="top"/>
            <w:textDirection w:val="lrTb"/>
            <w:noWrap w:val="false"/>
          </w:tcPr>
          <w:p>
            <w:pPr>
              <w:pStyle w:val="1317"/>
              <w:ind w:firstLine="124"/>
              <w:spacing w:line="360" w:lineRule="auto"/>
              <w:rPr>
                <w:rFonts w:hint="eastAsia"/>
                <w:color w:val="000000"/>
                <w:sz w:val="24"/>
                <w:szCs w:val="24"/>
                <w:highlight w:val="none"/>
              </w:rPr>
            </w:pPr>
            <w:r>
              <w:rPr>
                <w:rFonts w:hint="eastAsia"/>
                <w:color w:val="000000"/>
                <w:spacing w:val="4"/>
                <w:sz w:val="24"/>
                <w:szCs w:val="24"/>
                <w:highlight w:val="none"/>
              </w:rPr>
              <w:t xml:space="preserve">处理器：主频≥3.</w:t>
            </w:r>
            <w:r>
              <w:rPr>
                <w:rFonts w:hint="eastAsia"/>
                <w:color w:val="000000"/>
                <w:spacing w:val="4"/>
                <w:sz w:val="24"/>
                <w:szCs w:val="24"/>
                <w:highlight w:val="none"/>
                <w:lang w:eastAsia="zh-CN"/>
              </w:rPr>
              <w:t xml:space="preserve">0</w:t>
            </w:r>
            <w:r>
              <w:rPr>
                <w:rFonts w:hint="eastAsia"/>
                <w:color w:val="000000"/>
                <w:spacing w:val="4"/>
                <w:sz w:val="24"/>
                <w:szCs w:val="24"/>
                <w:highlight w:val="none"/>
              </w:rPr>
              <w:t xml:space="preserve">GHz</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6</w:t>
            </w:r>
            <w:r>
              <w:rPr>
                <w:rFonts w:hint="eastAsia"/>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操作系统：</w:t>
            </w:r>
            <w:r>
              <w:rPr>
                <w:rFonts w:hint="eastAsia"/>
                <w:color w:val="000000"/>
                <w:spacing w:val="-2"/>
                <w:sz w:val="24"/>
                <w:szCs w:val="24"/>
                <w:highlight w:val="none"/>
                <w:lang w:eastAsia="zh-CN"/>
              </w:rPr>
              <w:t xml:space="preserve">不低于</w:t>
            </w:r>
            <w:r>
              <w:rPr>
                <w:rFonts w:hint="eastAsia"/>
                <w:color w:val="000000"/>
                <w:spacing w:val="-2"/>
                <w:sz w:val="24"/>
                <w:szCs w:val="24"/>
                <w:highlight w:val="none"/>
              </w:rPr>
              <w:t xml:space="preserve">Windows7</w:t>
            </w:r>
            <w:r>
              <w:rPr>
                <w:rFonts w:hint="eastAsia"/>
                <w:color w:val="000000"/>
                <w:spacing w:val="10"/>
                <w:sz w:val="24"/>
                <w:szCs w:val="24"/>
                <w:highlight w:val="none"/>
              </w:rPr>
              <w:t xml:space="preserve"> </w:t>
            </w:r>
            <w:r>
              <w:rPr>
                <w:rFonts w:hint="eastAsia"/>
                <w:color w:val="000000"/>
                <w:sz w:val="24"/>
                <w:szCs w:val="24"/>
                <w:highlight w:val="none"/>
              </w:rPr>
            </w:r>
            <w:r/>
          </w:p>
        </w:tc>
      </w:tr>
      <w:tr>
        <w:trPr>
          <w:trHeight w:val="415"/>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7</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line="360" w:lineRule="auto"/>
              <w:rPr>
                <w:rFonts w:hint="eastAsia"/>
                <w:color w:val="000000"/>
                <w:sz w:val="24"/>
                <w:szCs w:val="24"/>
                <w:highlight w:val="none"/>
              </w:rPr>
            </w:pPr>
            <w:r>
              <w:rPr>
                <w:rFonts w:hint="eastAsia"/>
                <w:color w:val="000000"/>
                <w:sz w:val="24"/>
                <w:szCs w:val="24"/>
                <w:highlight w:val="none"/>
              </w:rPr>
              <w:t xml:space="preserve">内存：DDR4</w:t>
            </w:r>
            <w:r>
              <w:rPr>
                <w:rFonts w:hint="eastAsia"/>
                <w:color w:val="000000"/>
                <w:spacing w:val="-9"/>
                <w:sz w:val="24"/>
                <w:szCs w:val="24"/>
                <w:highlight w:val="none"/>
              </w:rPr>
              <w:t xml:space="preserve"> </w:t>
            </w:r>
            <w:r>
              <w:rPr>
                <w:rFonts w:hint="eastAsia"/>
                <w:color w:val="000000"/>
                <w:sz w:val="24"/>
                <w:szCs w:val="24"/>
                <w:highlight w:val="none"/>
              </w:rPr>
              <w:t xml:space="preserve">2400</w:t>
            </w:r>
            <w:r>
              <w:rPr>
                <w:rFonts w:hint="eastAsia"/>
                <w:color w:val="000000"/>
                <w:spacing w:val="-6"/>
                <w:sz w:val="24"/>
                <w:szCs w:val="24"/>
                <w:highlight w:val="none"/>
              </w:rPr>
              <w:t xml:space="preserve"> </w:t>
            </w:r>
            <w:r>
              <w:rPr>
                <w:rFonts w:hint="eastAsia"/>
                <w:color w:val="000000"/>
                <w:sz w:val="24"/>
                <w:szCs w:val="24"/>
                <w:highlight w:val="none"/>
              </w:rPr>
              <w:t xml:space="preserve">16G</w:t>
            </w:r>
            <w:r>
              <w:rPr>
                <w:rFonts w:hint="eastAsia"/>
                <w:color w:val="000000"/>
                <w:spacing w:val="-3"/>
                <w:sz w:val="24"/>
                <w:szCs w:val="24"/>
                <w:highlight w:val="none"/>
              </w:rPr>
              <w:t xml:space="preserve">及其以上</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8</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before="1" w:line="360" w:lineRule="auto"/>
              <w:rPr>
                <w:rFonts w:hint="eastAsia"/>
                <w:color w:val="000000"/>
                <w:sz w:val="24"/>
                <w:szCs w:val="24"/>
                <w:highlight w:val="none"/>
              </w:rPr>
            </w:pPr>
            <w:r>
              <w:rPr>
                <w:rFonts w:hint="eastAsia"/>
                <w:color w:val="000000"/>
                <w:sz w:val="24"/>
                <w:szCs w:val="24"/>
                <w:highlight w:val="none"/>
              </w:rPr>
              <w:t xml:space="preserve">光源：LED白光+</w:t>
            </w:r>
            <w:r>
              <w:rPr>
                <w:rFonts w:hint="eastAsia"/>
                <w:color w:val="000000"/>
                <w:spacing w:val="-5"/>
                <w:sz w:val="24"/>
                <w:szCs w:val="24"/>
                <w:highlight w:val="none"/>
              </w:rPr>
              <w:t xml:space="preserve">激光</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rFonts w:hint="eastAsia"/>
                <w:color w:val="000000"/>
                <w:sz w:val="24"/>
                <w:szCs w:val="24"/>
                <w:highlight w:val="none"/>
                <w:lang w:eastAsia="zh-CN"/>
              </w:rPr>
            </w:pPr>
            <w:r>
              <w:rPr>
                <w:rFonts w:hint="eastAsia"/>
                <w:color w:val="000000"/>
                <w:spacing w:val="-5"/>
                <w:sz w:val="24"/>
                <w:szCs w:val="24"/>
                <w:highlight w:val="none"/>
                <w:lang w:eastAsia="zh-CN"/>
              </w:rPr>
              <w:t xml:space="preserve">9</w:t>
            </w:r>
            <w:r>
              <w:rPr>
                <w:rFonts w:hint="eastAsia"/>
                <w:color w:val="000000"/>
                <w:sz w:val="24"/>
                <w:szCs w:val="24"/>
                <w:highlight w:val="none"/>
                <w:lang w:eastAsia="zh-CN"/>
              </w:rPr>
            </w:r>
            <w:r/>
          </w:p>
        </w:tc>
        <w:tc>
          <w:tcPr>
            <w:tcW w:w="4406" w:type="dxa"/>
            <w:vAlign w:val="top"/>
            <w:textDirection w:val="lrTb"/>
            <w:noWrap w:val="false"/>
          </w:tcPr>
          <w:p>
            <w:pPr>
              <w:pStyle w:val="1317"/>
              <w:ind w:firstLine="117"/>
              <w:spacing w:line="360" w:lineRule="auto"/>
              <w:rPr>
                <w:rFonts w:hint="eastAsia"/>
                <w:color w:val="000000"/>
                <w:sz w:val="24"/>
                <w:szCs w:val="24"/>
                <w:highlight w:val="none"/>
              </w:rPr>
            </w:pPr>
            <w:r>
              <w:rPr>
                <w:rFonts w:hint="eastAsia"/>
                <w:color w:val="000000"/>
                <w:spacing w:val="-3"/>
                <w:sz w:val="24"/>
                <w:szCs w:val="24"/>
                <w:highlight w:val="none"/>
              </w:rPr>
              <w:t xml:space="preserve">扫描要求：无需喷粉</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color w:val="000000"/>
                <w:sz w:val="24"/>
                <w:szCs w:val="24"/>
                <w:highlight w:val="none"/>
                <w:lang w:eastAsia="zh-CN"/>
              </w:rPr>
            </w:pPr>
            <w:r>
              <w:rPr>
                <w:rFonts w:hint="eastAsia"/>
                <w:color w:val="000000"/>
                <w:spacing w:val="-5"/>
                <w:sz w:val="24"/>
                <w:szCs w:val="24"/>
                <w:highlight w:val="none"/>
                <w:lang w:eastAsia="zh-CN"/>
              </w:rPr>
              <w:t xml:space="preserve">10</w:t>
            </w:r>
            <w:r>
              <w:rPr>
                <w:color w:val="000000"/>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z w:val="24"/>
                <w:szCs w:val="24"/>
                <w:highlight w:val="none"/>
              </w:rPr>
            </w:pPr>
            <w:r>
              <w:rPr>
                <w:rFonts w:hint="eastAsia"/>
                <w:color w:val="000000"/>
                <w:spacing w:val="-3"/>
                <w:sz w:val="24"/>
                <w:szCs w:val="24"/>
                <w:highlight w:val="none"/>
              </w:rPr>
              <w:t xml:space="preserve">语言：支持中文界面</w:t>
            </w:r>
            <w:r>
              <w:rPr>
                <w:rFonts w:hint="eastAsia"/>
                <w:color w:val="000000"/>
                <w:sz w:val="24"/>
                <w:szCs w:val="24"/>
                <w:highlight w:val="none"/>
              </w:rPr>
            </w:r>
            <w:r/>
          </w:p>
        </w:tc>
      </w:tr>
      <w:tr>
        <w:trPr>
          <w:trHeight w:val="467"/>
        </w:trPr>
        <w:tc>
          <w:tcPr>
            <w:tcW w:w="593" w:type="dxa"/>
            <w:vAlign w:val="top"/>
            <w:textDirection w:val="lrTb"/>
            <w:noWrap w:val="false"/>
          </w:tcPr>
          <w:p>
            <w:pPr>
              <w:pStyle w:val="1317"/>
              <w:ind w:left="239" w:firstLine="230"/>
              <w:spacing w:line="360" w:lineRule="auto"/>
              <w:rPr>
                <w:color w:val="000000"/>
                <w:sz w:val="24"/>
                <w:szCs w:val="24"/>
                <w:highlight w:val="none"/>
                <w:lang w:eastAsia="zh-CN"/>
              </w:rPr>
            </w:pPr>
            <w:r>
              <w:rPr>
                <w:rFonts w:hint="eastAsia"/>
                <w:color w:val="000000"/>
                <w:spacing w:val="-5"/>
                <w:sz w:val="24"/>
                <w:szCs w:val="24"/>
                <w:highlight w:val="none"/>
                <w:lang w:eastAsia="zh-CN"/>
              </w:rPr>
              <w:t xml:space="preserve">11</w:t>
            </w:r>
            <w:r>
              <w:rPr>
                <w:color w:val="000000"/>
                <w:sz w:val="24"/>
                <w:szCs w:val="24"/>
                <w:highlight w:val="none"/>
                <w:lang w:eastAsia="zh-CN"/>
              </w:rPr>
            </w:r>
            <w:r/>
          </w:p>
        </w:tc>
        <w:tc>
          <w:tcPr>
            <w:tcW w:w="4406" w:type="dxa"/>
            <w:vAlign w:val="top"/>
            <w:textDirection w:val="lrTb"/>
            <w:noWrap w:val="false"/>
          </w:tcPr>
          <w:p>
            <w:pPr>
              <w:pStyle w:val="1317"/>
              <w:ind w:firstLine="118"/>
              <w:spacing w:line="360" w:lineRule="auto"/>
              <w:rPr>
                <w:rFonts w:hint="eastAsia"/>
                <w:color w:val="000000"/>
                <w:sz w:val="24"/>
                <w:szCs w:val="24"/>
                <w:highlight w:val="none"/>
              </w:rPr>
            </w:pPr>
            <w:r>
              <w:rPr>
                <w:rFonts w:hint="eastAsia"/>
                <w:color w:val="000000"/>
                <w:spacing w:val="-2"/>
                <w:sz w:val="24"/>
                <w:szCs w:val="24"/>
                <w:highlight w:val="none"/>
              </w:rPr>
              <w:t xml:space="preserve">输出端文件：STL，PLY，PTY</w:t>
            </w:r>
            <w:r>
              <w:rPr>
                <w:rFonts w:hint="eastAsia"/>
                <w:color w:val="000000"/>
                <w:spacing w:val="-3"/>
                <w:sz w:val="24"/>
                <w:szCs w:val="24"/>
                <w:highlight w:val="none"/>
              </w:rPr>
              <w:t xml:space="preserve">、支持定制加密格式文件</w:t>
            </w:r>
            <w:r>
              <w:rPr>
                <w:rFonts w:hint="eastAsia"/>
                <w:color w:val="000000"/>
                <w:sz w:val="24"/>
                <w:szCs w:val="24"/>
                <w:highlight w:val="none"/>
              </w:rPr>
            </w:r>
            <w:r/>
          </w:p>
        </w:tc>
      </w:tr>
      <w:tr>
        <w:trPr>
          <w:trHeight w:val="416"/>
        </w:trPr>
        <w:tc>
          <w:tcPr>
            <w:tcW w:w="593" w:type="dxa"/>
            <w:vAlign w:val="top"/>
            <w:textDirection w:val="lrTb"/>
            <w:noWrap w:val="false"/>
          </w:tcPr>
          <w:p>
            <w:pPr>
              <w:pStyle w:val="1317"/>
              <w:ind w:firstLine="240"/>
              <w:spacing w:before="1" w:line="360" w:lineRule="auto"/>
              <w:rPr>
                <w:rFonts w:hint="eastAsia"/>
                <w:color w:val="000000"/>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2</w:t>
            </w:r>
            <w:r>
              <w:rPr>
                <w:rFonts w:hint="eastAsia"/>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扫描精度（绝对值）≤</w:t>
            </w:r>
            <w:r>
              <w:rPr>
                <w:rFonts w:hint="eastAsia"/>
                <w:color w:val="000000"/>
                <w:spacing w:val="-2"/>
                <w:sz w:val="24"/>
                <w:szCs w:val="24"/>
                <w:highlight w:val="none"/>
                <w:lang w:eastAsia="zh-CN"/>
              </w:rPr>
              <w:t xml:space="preserve">7</w:t>
            </w:r>
            <w:r>
              <w:rPr>
                <w:rFonts w:hint="eastAsia"/>
                <w:color w:val="000000"/>
                <w:spacing w:val="-2"/>
                <w:sz w:val="24"/>
                <w:szCs w:val="24"/>
                <w:highlight w:val="none"/>
              </w:rPr>
              <w:t xml:space="preserve">um</w:t>
            </w:r>
            <w:r>
              <w:rPr>
                <w:rFonts w:hint="eastAsia"/>
                <w:color w:val="000000"/>
                <w:sz w:val="24"/>
                <w:szCs w:val="24"/>
                <w:highlight w:val="none"/>
              </w:rPr>
            </w:r>
            <w:r/>
          </w:p>
        </w:tc>
      </w:tr>
      <w:tr>
        <w:trPr>
          <w:trHeight w:val="415"/>
        </w:trPr>
        <w:tc>
          <w:tcPr>
            <w:tcW w:w="593" w:type="dxa"/>
            <w:vAlign w:val="top"/>
            <w:textDirection w:val="lrTb"/>
            <w:noWrap w:val="false"/>
          </w:tcPr>
          <w:p>
            <w:pPr>
              <w:pStyle w:val="1317"/>
              <w:ind w:firstLine="240"/>
              <w:spacing w:line="360" w:lineRule="auto"/>
              <w:rPr>
                <w:rFonts w:hint="eastAsia"/>
                <w:color w:val="000000"/>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3</w:t>
            </w:r>
            <w:r>
              <w:rPr>
                <w:rFonts w:hint="eastAsia"/>
                <w:color w:val="000000"/>
                <w:sz w:val="24"/>
                <w:szCs w:val="24"/>
                <w:highlight w:val="none"/>
                <w:lang w:eastAsia="zh-CN"/>
              </w:rPr>
            </w:r>
            <w:r/>
          </w:p>
        </w:tc>
        <w:tc>
          <w:tcPr>
            <w:tcW w:w="4406" w:type="dxa"/>
            <w:vAlign w:val="top"/>
            <w:textDirection w:val="lrTb"/>
            <w:noWrap w:val="false"/>
          </w:tcPr>
          <w:p>
            <w:pPr>
              <w:pStyle w:val="1317"/>
              <w:ind w:firstLine="120"/>
              <w:spacing w:line="360" w:lineRule="auto"/>
              <w:rPr>
                <w:rFonts w:hint="eastAsia"/>
                <w:color w:val="000000"/>
                <w:sz w:val="24"/>
                <w:szCs w:val="24"/>
                <w:highlight w:val="none"/>
              </w:rPr>
            </w:pPr>
            <w:r>
              <w:rPr>
                <w:rFonts w:hint="eastAsia"/>
                <w:color w:val="000000"/>
                <w:sz w:val="24"/>
                <w:szCs w:val="24"/>
                <w:highlight w:val="none"/>
              </w:rPr>
              <w:t xml:space="preserve">扫描速度：</w:t>
            </w:r>
            <w:r>
              <w:rPr>
                <w:rFonts w:hint="eastAsia"/>
                <w:color w:val="000000"/>
                <w:spacing w:val="4"/>
                <w:sz w:val="24"/>
                <w:szCs w:val="24"/>
                <w:highlight w:val="none"/>
              </w:rPr>
              <w:t xml:space="preserve">≥</w:t>
            </w:r>
            <w:r>
              <w:rPr>
                <w:rFonts w:hint="eastAsia"/>
                <w:color w:val="000000"/>
                <w:sz w:val="24"/>
                <w:szCs w:val="24"/>
                <w:highlight w:val="none"/>
                <w:lang w:eastAsia="zh-CN"/>
              </w:rPr>
              <w:t xml:space="preserve">24</w:t>
            </w:r>
            <w:r>
              <w:rPr>
                <w:rFonts w:hint="eastAsia"/>
                <w:color w:val="000000"/>
                <w:sz w:val="24"/>
                <w:szCs w:val="24"/>
                <w:highlight w:val="none"/>
              </w:rPr>
              <w:t xml:space="preserve">帧</w:t>
            </w:r>
            <w:r>
              <w:rPr>
                <w:rFonts w:hint="eastAsia"/>
                <w:color w:val="000000"/>
                <w:spacing w:val="-5"/>
                <w:sz w:val="24"/>
                <w:szCs w:val="24"/>
                <w:highlight w:val="none"/>
              </w:rPr>
              <w:t xml:space="preserve">/s</w:t>
            </w:r>
            <w:r>
              <w:rPr>
                <w:rFonts w:hint="eastAsia"/>
                <w:color w:val="000000"/>
                <w:sz w:val="24"/>
                <w:szCs w:val="24"/>
                <w:highlight w:val="none"/>
              </w:rPr>
            </w:r>
            <w:r/>
          </w:p>
        </w:tc>
      </w:tr>
      <w:tr>
        <w:trPr>
          <w:trHeight w:val="416"/>
        </w:trPr>
        <w:tc>
          <w:tcPr>
            <w:tcW w:w="593" w:type="dxa"/>
            <w:vAlign w:val="top"/>
            <w:textDirection w:val="lrTb"/>
            <w:noWrap w:val="false"/>
          </w:tcPr>
          <w:p>
            <w:pPr>
              <w:pStyle w:val="1317"/>
              <w:ind w:left="239" w:firstLine="230"/>
              <w:spacing w:line="360" w:lineRule="auto"/>
              <w:rPr>
                <w:rFonts w:hint="eastAsia"/>
                <w:b/>
                <w:color w:val="000000"/>
                <w:sz w:val="24"/>
                <w:szCs w:val="24"/>
                <w:highlight w:val="none"/>
                <w:lang w:eastAsia="zh-CN"/>
              </w:rPr>
            </w:pPr>
            <w:r>
              <w:rPr>
                <w:rFonts w:hint="eastAsia"/>
                <w:bCs/>
                <w:color w:val="000000"/>
                <w:spacing w:val="-5"/>
                <w:sz w:val="24"/>
                <w:szCs w:val="24"/>
                <w:highlight w:val="none"/>
              </w:rPr>
              <w:t xml:space="preserve">1</w:t>
            </w:r>
            <w:r>
              <w:rPr>
                <w:rFonts w:hint="eastAsia"/>
                <w:bCs/>
                <w:color w:val="000000"/>
                <w:spacing w:val="-5"/>
                <w:sz w:val="24"/>
                <w:szCs w:val="24"/>
                <w:highlight w:val="none"/>
                <w:lang w:eastAsia="zh-CN"/>
              </w:rPr>
              <w:t xml:space="preserve">4</w:t>
            </w:r>
            <w:r>
              <w:rPr>
                <w:rFonts w:hint="eastAsia"/>
                <w:b/>
                <w:color w:val="000000"/>
                <w:sz w:val="24"/>
                <w:szCs w:val="24"/>
                <w:highlight w:val="none"/>
                <w:lang w:eastAsia="zh-CN"/>
              </w:rPr>
            </w:r>
            <w:r/>
          </w:p>
        </w:tc>
        <w:tc>
          <w:tcPr>
            <w:tcW w:w="4406" w:type="dxa"/>
            <w:vAlign w:val="top"/>
            <w:textDirection w:val="lrTb"/>
            <w:noWrap w:val="false"/>
          </w:tcPr>
          <w:p>
            <w:pPr>
              <w:pStyle w:val="1317"/>
              <w:ind w:firstLine="118"/>
              <w:spacing w:before="1" w:line="360" w:lineRule="auto"/>
              <w:rPr>
                <w:rFonts w:hint="eastAsia"/>
                <w:color w:val="000000"/>
                <w:sz w:val="24"/>
                <w:szCs w:val="24"/>
                <w:highlight w:val="none"/>
              </w:rPr>
            </w:pPr>
            <w:r>
              <w:rPr>
                <w:rFonts w:hint="eastAsia"/>
                <w:color w:val="000000"/>
                <w:spacing w:val="-2"/>
                <w:sz w:val="24"/>
                <w:szCs w:val="24"/>
                <w:highlight w:val="none"/>
              </w:rPr>
              <w:t xml:space="preserve">电脑连接方式：USB3.0</w:t>
            </w:r>
            <w:r>
              <w:rPr>
                <w:rFonts w:hint="eastAsia"/>
                <w:color w:val="000000"/>
                <w:spacing w:val="-4"/>
                <w:sz w:val="24"/>
                <w:szCs w:val="24"/>
                <w:highlight w:val="none"/>
              </w:rPr>
              <w:t xml:space="preserve">单线连接</w:t>
            </w:r>
            <w:r>
              <w:rPr>
                <w:rFonts w:hint="eastAsia"/>
                <w:color w:val="000000"/>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5</w:t>
            </w:r>
            <w:r>
              <w:rPr>
                <w:rFonts w:hint="eastAsia"/>
                <w:color w:val="000000"/>
                <w:sz w:val="24"/>
                <w:szCs w:val="24"/>
                <w:highlight w:val="none"/>
                <w:lang w:eastAsia="zh-CN"/>
              </w:rPr>
            </w:r>
            <w:r/>
          </w:p>
        </w:tc>
        <w:tc>
          <w:tcPr>
            <w:tcW w:w="4406" w:type="dxa"/>
            <w:vAlign w:val="top"/>
            <w:textDirection w:val="lrTb"/>
            <w:noWrap w:val="false"/>
          </w:tcPr>
          <w:p>
            <w:pPr>
              <w:pStyle w:val="1317"/>
              <w:ind w:firstLine="117"/>
              <w:spacing w:line="360" w:lineRule="auto"/>
              <w:rPr>
                <w:rFonts w:hint="eastAsia"/>
                <w:color w:val="000000"/>
                <w:sz w:val="24"/>
                <w:szCs w:val="24"/>
                <w:highlight w:val="none"/>
              </w:rPr>
            </w:pPr>
            <w:r>
              <w:rPr>
                <w:rFonts w:hint="eastAsia"/>
                <w:color w:val="000000"/>
                <w:spacing w:val="-3"/>
                <w:sz w:val="24"/>
                <w:szCs w:val="24"/>
                <w:highlight w:val="none"/>
                <w:lang w:eastAsia="zh-CN"/>
              </w:rPr>
              <w:t xml:space="preserve">配适用笔记本电脑及</w:t>
            </w:r>
            <w:r>
              <w:rPr>
                <w:rFonts w:hint="eastAsia"/>
                <w:color w:val="000000"/>
                <w:spacing w:val="-3"/>
                <w:sz w:val="24"/>
                <w:szCs w:val="24"/>
                <w:highlight w:val="none"/>
              </w:rPr>
              <w:t xml:space="preserve">推车。</w:t>
            </w:r>
            <w:r>
              <w:rPr>
                <w:rFonts w:hint="eastAsia"/>
                <w:color w:val="000000"/>
                <w:sz w:val="24"/>
                <w:szCs w:val="24"/>
                <w:highlight w:val="none"/>
              </w:rPr>
            </w:r>
            <w:r/>
          </w:p>
        </w:tc>
      </w:tr>
      <w:tr>
        <w:trPr>
          <w:trHeight w:val="416"/>
        </w:trPr>
        <w:tc>
          <w:tcPr>
            <w:gridSpan w:val="2"/>
            <w:tcW w:w="9082"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b/>
                <w:bCs/>
                <w:color w:val="000000"/>
                <w:spacing w:val="-3"/>
                <w:sz w:val="24"/>
                <w:szCs w:val="24"/>
                <w:highlight w:val="none"/>
              </w:rPr>
              <w:t xml:space="preserve">三、功能要求</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rPr>
            </w:pPr>
            <w:r>
              <w:rPr>
                <w:rFonts w:hint="eastAsia"/>
                <w:color w:val="000000"/>
                <w:sz w:val="24"/>
                <w:szCs w:val="24"/>
                <w:highlight w:val="none"/>
              </w:rPr>
              <w:t xml:space="preserve">1</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before="1" w:line="360" w:lineRule="auto"/>
              <w:rPr>
                <w:rFonts w:hint="eastAsia"/>
                <w:color w:val="000000"/>
                <w:spacing w:val="-5"/>
                <w:sz w:val="24"/>
                <w:szCs w:val="24"/>
                <w:highlight w:val="none"/>
              </w:rPr>
            </w:pPr>
            <w:r>
              <w:rPr>
                <w:rFonts w:hint="eastAsia"/>
                <w:color w:val="000000"/>
                <w:spacing w:val="-5"/>
                <w:sz w:val="24"/>
                <w:szCs w:val="24"/>
                <w:highlight w:val="none"/>
              </w:rPr>
              <w:t xml:space="preserve">2</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开关按键，扫描一键操作，无需接触鼠标、键盘</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rPr>
            </w:pPr>
            <w:r>
              <w:rPr>
                <w:rFonts w:hint="eastAsia"/>
                <w:color w:val="000000"/>
                <w:spacing w:val="-5"/>
                <w:sz w:val="24"/>
                <w:szCs w:val="24"/>
                <w:highlight w:val="none"/>
              </w:rPr>
              <w:t xml:space="preserve">3</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line="360" w:lineRule="auto"/>
              <w:rPr>
                <w:rFonts w:hint="eastAsia"/>
                <w:color w:val="000000"/>
                <w:spacing w:val="-3"/>
                <w:sz w:val="24"/>
                <w:szCs w:val="24"/>
                <w:highlight w:val="none"/>
              </w:rPr>
            </w:pPr>
            <w:r>
              <w:rPr>
                <w:rFonts w:hint="eastAsia"/>
                <w:color w:val="000000"/>
                <w:spacing w:val="-3"/>
                <w:sz w:val="24"/>
                <w:szCs w:val="24"/>
                <w:highlight w:val="none"/>
              </w:rPr>
              <w:t xml:space="preserve">体感操作，遥控机身查看数据</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rPr>
            </w:pPr>
            <w:r>
              <w:rPr>
                <w:rFonts w:hint="eastAsia"/>
                <w:color w:val="000000"/>
                <w:sz w:val="24"/>
                <w:szCs w:val="24"/>
                <w:highlight w:val="none"/>
              </w:rPr>
              <w:t xml:space="preserve">4</w:t>
            </w:r>
            <w:r>
              <w:rPr>
                <w:rFonts w:hint="eastAsia"/>
                <w:color w:val="000000"/>
                <w:spacing w:val="-5"/>
                <w:sz w:val="24"/>
                <w:szCs w:val="24"/>
                <w:highlight w:val="none"/>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设备一体化连接设计，方便，简单</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7"/>
              <w:jc w:val="center"/>
              <w:spacing w:line="360" w:lineRule="auto"/>
              <w:rPr>
                <w:rFonts w:hint="eastAsia"/>
                <w:color w:val="000000"/>
                <w:spacing w:val="-5"/>
                <w:sz w:val="24"/>
                <w:szCs w:val="24"/>
                <w:highlight w:val="none"/>
                <w:lang w:eastAsia="zh-CN"/>
              </w:rPr>
            </w:pPr>
            <w:r>
              <w:rPr>
                <w:rFonts w:hint="eastAsia"/>
                <w:color w:val="000000"/>
                <w:sz w:val="24"/>
                <w:szCs w:val="24"/>
                <w:highlight w:val="none"/>
                <w:lang w:eastAsia="zh-CN"/>
              </w:rPr>
              <w:t xml:space="preserve">5</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智能追踪，口内任意位置快速恢复扫描</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lang w:eastAsia="zh-CN"/>
              </w:rPr>
            </w:pPr>
            <w:r>
              <w:rPr>
                <w:rFonts w:hint="eastAsia"/>
                <w:bCs/>
                <w:color w:val="000000"/>
                <w:spacing w:val="-5"/>
                <w:sz w:val="24"/>
                <w:szCs w:val="24"/>
                <w:highlight w:val="none"/>
                <w:lang w:eastAsia="zh-CN"/>
              </w:rPr>
              <w:t xml:space="preserve">6</w:t>
            </w:r>
            <w:r>
              <w:rPr>
                <w:rFonts w:hint="eastAsia"/>
                <w:color w:val="000000"/>
                <w:spacing w:val="-5"/>
                <w:sz w:val="24"/>
                <w:szCs w:val="24"/>
                <w:highlight w:val="none"/>
                <w:lang w:eastAsia="zh-CN"/>
              </w:rPr>
            </w:r>
            <w:r/>
          </w:p>
        </w:tc>
        <w:tc>
          <w:tcPr>
            <w:tcW w:w="4406" w:type="dxa"/>
            <w:vAlign w:val="top"/>
            <w:textDirection w:val="lrTb"/>
            <w:noWrap w:val="false"/>
          </w:tcPr>
          <w:p>
            <w:pPr>
              <w:pStyle w:val="1317"/>
              <w:spacing w:line="360" w:lineRule="auto"/>
              <w:rPr>
                <w:color w:val="000000"/>
                <w:spacing w:val="-3"/>
                <w:sz w:val="24"/>
                <w:szCs w:val="24"/>
                <w:highlight w:val="none"/>
                <w:lang w:eastAsia="zh-CN"/>
              </w:rPr>
            </w:pPr>
            <w:r>
              <w:rPr>
                <w:rFonts w:hint="eastAsia"/>
                <w:color w:val="000000"/>
                <w:spacing w:val="-3"/>
                <w:sz w:val="24"/>
                <w:szCs w:val="24"/>
                <w:highlight w:val="none"/>
              </w:rPr>
              <w:t xml:space="preserve">扫描头可拆卸，采用高压蒸汽灭菌，</w:t>
            </w:r>
            <w:r>
              <w:rPr>
                <w:rFonts w:hint="eastAsia"/>
                <w:color w:val="000000"/>
                <w:spacing w:val="-3"/>
                <w:sz w:val="24"/>
                <w:szCs w:val="24"/>
                <w:highlight w:val="none"/>
                <w:lang w:eastAsia="zh-CN"/>
              </w:rPr>
              <w:t xml:space="preserve">可重复灭菌。</w:t>
            </w:r>
            <w:r>
              <w:rPr>
                <w:color w:val="000000"/>
                <w:spacing w:val="-3"/>
                <w:sz w:val="24"/>
                <w:szCs w:val="24"/>
                <w:highlight w:val="none"/>
                <w:lang w:eastAsia="zh-CN"/>
              </w:rPr>
            </w:r>
            <w:r/>
          </w:p>
        </w:tc>
      </w:tr>
      <w:tr>
        <w:trPr>
          <w:trHeight w:val="416"/>
        </w:trPr>
        <w:tc>
          <w:tcPr>
            <w:tcW w:w="593" w:type="dxa"/>
            <w:vAlign w:val="top"/>
            <w:textDirection w:val="lrTb"/>
            <w:noWrap w:val="false"/>
          </w:tcPr>
          <w:p>
            <w:pPr>
              <w:pStyle w:val="1317"/>
              <w:ind w:firstLine="460"/>
              <w:spacing w:line="360" w:lineRule="auto"/>
              <w:rPr>
                <w:rFonts w:hint="eastAsia"/>
                <w:color w:val="000000"/>
                <w:spacing w:val="-5"/>
                <w:sz w:val="24"/>
                <w:szCs w:val="24"/>
                <w:highlight w:val="none"/>
                <w:lang w:eastAsia="zh-CN"/>
              </w:rPr>
            </w:pPr>
            <w:r>
              <w:rPr>
                <w:rFonts w:hint="eastAsia"/>
                <w:color w:val="000000"/>
                <w:spacing w:val="-5"/>
                <w:sz w:val="24"/>
                <w:szCs w:val="24"/>
                <w:highlight w:val="none"/>
                <w:lang w:eastAsia="zh-CN"/>
              </w:rPr>
              <w:t xml:space="preserve">7</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配套修复软件内置智能备牙评估系统，含倒凹观察，颈线刻划，咬合空间检测等功能</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right="107" w:firstLine="240"/>
              <w:jc w:val="both"/>
              <w:spacing w:before="1" w:line="360" w:lineRule="auto"/>
              <w:rPr>
                <w:rFonts w:hint="eastAsia"/>
                <w:color w:val="000000"/>
                <w:spacing w:val="-5"/>
                <w:sz w:val="24"/>
                <w:szCs w:val="24"/>
                <w:highlight w:val="none"/>
                <w:lang w:eastAsia="zh-CN"/>
              </w:rPr>
            </w:pPr>
            <w:r>
              <w:rPr>
                <w:rFonts w:hint="eastAsia"/>
                <w:color w:val="000000"/>
                <w:sz w:val="24"/>
                <w:szCs w:val="24"/>
                <w:highlight w:val="none"/>
                <w:lang w:eastAsia="zh-CN"/>
              </w:rPr>
              <w:t xml:space="preserve">▲</w:t>
            </w:r>
            <w:r>
              <w:rPr>
                <w:rFonts w:hint="eastAsia"/>
                <w:color w:val="000000"/>
                <w:spacing w:val="-5"/>
                <w:sz w:val="24"/>
                <w:szCs w:val="24"/>
                <w:highlight w:val="none"/>
                <w:lang w:eastAsia="zh-CN"/>
              </w:rPr>
              <w:t xml:space="preserve">8</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02"/>
              <w:spacing w:before="1" w:line="360" w:lineRule="auto"/>
              <w:rPr>
                <w:rFonts w:hint="eastAsia"/>
                <w:color w:val="000000"/>
                <w:spacing w:val="-3"/>
                <w:sz w:val="24"/>
                <w:szCs w:val="24"/>
                <w:highlight w:val="none"/>
              </w:rPr>
            </w:pPr>
            <w:r>
              <w:rPr>
                <w:rFonts w:hint="eastAsia"/>
                <w:color w:val="000000"/>
                <w:spacing w:val="-18"/>
                <w:sz w:val="24"/>
                <w:szCs w:val="24"/>
                <w:highlight w:val="none"/>
              </w:rPr>
              <w:t xml:space="preserve">扫描深度</w:t>
            </w:r>
            <w:r>
              <w:rPr>
                <w:rFonts w:hint="eastAsia"/>
                <w:color w:val="000000"/>
                <w:spacing w:val="4"/>
                <w:sz w:val="24"/>
                <w:szCs w:val="24"/>
                <w:highlight w:val="none"/>
              </w:rPr>
              <w:t xml:space="preserve">≥</w:t>
            </w:r>
            <w:r>
              <w:rPr>
                <w:rFonts w:hint="eastAsia"/>
                <w:color w:val="000000"/>
                <w:spacing w:val="4"/>
                <w:sz w:val="24"/>
                <w:szCs w:val="24"/>
                <w:highlight w:val="none"/>
                <w:lang w:eastAsia="zh-CN"/>
              </w:rPr>
              <w:t xml:space="preserve">20</w:t>
            </w:r>
            <w:r>
              <w:rPr>
                <w:rFonts w:hint="eastAsia"/>
                <w:color w:val="000000"/>
                <w:spacing w:val="-2"/>
                <w:sz w:val="24"/>
                <w:szCs w:val="24"/>
                <w:highlight w:val="none"/>
              </w:rPr>
              <w:t xml:space="preserve">mm</w:t>
            </w:r>
            <w:r>
              <w:rPr>
                <w:rFonts w:hint="eastAsia"/>
                <w:color w:val="000000"/>
                <w:spacing w:val="-3"/>
                <w:sz w:val="24"/>
                <w:szCs w:val="24"/>
                <w:highlight w:val="none"/>
              </w:rPr>
              <w:t xml:space="preserve">，支持软件多档可调</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lang w:eastAsia="zh-CN"/>
              </w:rPr>
              <w:t xml:space="preserve">9</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69"/>
              <w:spacing w:before="2" w:line="360" w:lineRule="auto"/>
              <w:rPr>
                <w:rFonts w:hint="eastAsia"/>
                <w:color w:val="000000"/>
                <w:spacing w:val="-3"/>
                <w:sz w:val="24"/>
                <w:szCs w:val="24"/>
                <w:highlight w:val="none"/>
              </w:rPr>
            </w:pPr>
            <w:r>
              <w:rPr>
                <w:rFonts w:hint="eastAsia"/>
                <w:color w:val="000000"/>
                <w:spacing w:val="49"/>
                <w:sz w:val="24"/>
                <w:szCs w:val="24"/>
                <w:highlight w:val="none"/>
              </w:rPr>
              <w:t xml:space="preserve">与</w:t>
            </w:r>
            <w:r>
              <w:rPr>
                <w:rFonts w:hint="eastAsia"/>
                <w:color w:val="000000"/>
                <w:sz w:val="24"/>
                <w:szCs w:val="24"/>
                <w:highlight w:val="none"/>
              </w:rPr>
              <w:t xml:space="preserve">CAD\CAM</w:t>
            </w:r>
            <w:r>
              <w:rPr>
                <w:rFonts w:hint="eastAsia"/>
                <w:color w:val="000000"/>
                <w:spacing w:val="9"/>
                <w:sz w:val="24"/>
                <w:szCs w:val="24"/>
                <w:highlight w:val="none"/>
              </w:rPr>
              <w:t xml:space="preserve">对接，输出</w:t>
            </w:r>
            <w:r>
              <w:rPr>
                <w:rFonts w:hint="eastAsia"/>
                <w:color w:val="000000"/>
                <w:sz w:val="24"/>
                <w:szCs w:val="24"/>
                <w:highlight w:val="none"/>
              </w:rPr>
              <w:t xml:space="preserve">STL、PLY</w:t>
            </w:r>
            <w:r>
              <w:rPr>
                <w:rFonts w:hint="eastAsia"/>
                <w:color w:val="000000"/>
                <w:spacing w:val="-1"/>
                <w:sz w:val="24"/>
                <w:szCs w:val="24"/>
                <w:highlight w:val="none"/>
              </w:rPr>
              <w:t xml:space="preserve">全开放式文件，支持定制加密格式文件</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line="360" w:lineRule="auto"/>
              <w:rPr>
                <w:color w:val="000000"/>
                <w:spacing w:val="-5"/>
                <w:sz w:val="24"/>
                <w:szCs w:val="24"/>
                <w:highlight w:val="none"/>
                <w:lang w:eastAsia="zh-CN"/>
              </w:rPr>
            </w:pPr>
            <w:r>
              <w:rPr>
                <w:rFonts w:hint="eastAsia"/>
                <w:color w:val="000000"/>
                <w:spacing w:val="-5"/>
                <w:sz w:val="24"/>
                <w:szCs w:val="24"/>
                <w:highlight w:val="none"/>
                <w:lang w:eastAsia="zh-CN"/>
              </w:rPr>
              <w:t xml:space="preserve">10</w:t>
            </w:r>
            <w:r>
              <w:rPr>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集成培训中心和远程支持技术，可共享您的屏幕，支持教学</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1</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3" w:line="360" w:lineRule="auto"/>
              <w:rPr>
                <w:rFonts w:hint="eastAsia"/>
                <w:color w:val="000000"/>
                <w:spacing w:val="-3"/>
                <w:sz w:val="24"/>
                <w:szCs w:val="24"/>
                <w:highlight w:val="none"/>
              </w:rPr>
            </w:pPr>
            <w:r>
              <w:rPr>
                <w:rFonts w:hint="eastAsia"/>
                <w:color w:val="000000"/>
                <w:spacing w:val="-3"/>
                <w:sz w:val="24"/>
                <w:szCs w:val="24"/>
                <w:highlight w:val="none"/>
              </w:rPr>
              <w:t xml:space="preserve">可口内扫描多个单位的种植体和杆卡类植体</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2</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1" w:line="360" w:lineRule="auto"/>
              <w:rPr>
                <w:rFonts w:hint="eastAsia"/>
                <w:color w:val="000000"/>
                <w:spacing w:val="-3"/>
                <w:sz w:val="24"/>
                <w:szCs w:val="24"/>
                <w:highlight w:val="none"/>
              </w:rPr>
            </w:pPr>
            <w:r>
              <w:rPr>
                <w:rFonts w:hint="eastAsia"/>
                <w:color w:val="000000"/>
                <w:spacing w:val="-3"/>
                <w:sz w:val="24"/>
                <w:szCs w:val="24"/>
                <w:highlight w:val="none"/>
              </w:rPr>
              <w:t xml:space="preserve">咬合自动对准及手动调整功能，多咬合关系记录</w:t>
            </w:r>
            <w:r>
              <w:rPr>
                <w:rFonts w:hint="eastAsia"/>
                <w:color w:val="000000"/>
                <w:spacing w:val="-3"/>
                <w:sz w:val="24"/>
                <w:szCs w:val="24"/>
                <w:highlight w:val="none"/>
              </w:rPr>
            </w:r>
            <w:r/>
          </w:p>
        </w:tc>
      </w:tr>
      <w:tr>
        <w:trPr>
          <w:trHeight w:val="416"/>
        </w:trPr>
        <w:tc>
          <w:tcPr>
            <w:tcW w:w="593" w:type="dxa"/>
            <w:vAlign w:val="top"/>
            <w:textDirection w:val="lrTb"/>
            <w:noWrap w:val="false"/>
          </w:tcPr>
          <w:p>
            <w:pPr>
              <w:pStyle w:val="1317"/>
              <w:ind w:left="97" w:right="87"/>
              <w:jc w:val="center"/>
              <w:spacing w:before="1" w:line="360" w:lineRule="auto"/>
              <w:rPr>
                <w:rFonts w:hint="eastAsia"/>
                <w:color w:val="000000"/>
                <w:spacing w:val="-5"/>
                <w:sz w:val="24"/>
                <w:szCs w:val="24"/>
                <w:highlight w:val="none"/>
                <w:lang w:eastAsia="zh-CN"/>
              </w:rPr>
            </w:pPr>
            <w:r>
              <w:rPr>
                <w:rFonts w:hint="eastAsia"/>
                <w:color w:val="000000"/>
                <w:spacing w:val="-5"/>
                <w:sz w:val="24"/>
                <w:szCs w:val="24"/>
                <w:highlight w:val="none"/>
              </w:rPr>
              <w:t xml:space="preserve">1</w:t>
            </w:r>
            <w:r>
              <w:rPr>
                <w:rFonts w:hint="eastAsia"/>
                <w:color w:val="000000"/>
                <w:spacing w:val="-5"/>
                <w:sz w:val="24"/>
                <w:szCs w:val="24"/>
                <w:highlight w:val="none"/>
                <w:lang w:eastAsia="zh-CN"/>
              </w:rPr>
              <w:t xml:space="preserve">3</w:t>
            </w:r>
            <w:r>
              <w:rPr>
                <w:rFonts w:hint="eastAsia"/>
                <w:color w:val="000000"/>
                <w:spacing w:val="-5"/>
                <w:sz w:val="24"/>
                <w:szCs w:val="24"/>
                <w:highlight w:val="none"/>
                <w:lang w:eastAsia="zh-CN"/>
              </w:rPr>
            </w:r>
            <w:r/>
          </w:p>
        </w:tc>
        <w:tc>
          <w:tcPr>
            <w:tcW w:w="4406" w:type="dxa"/>
            <w:vAlign w:val="top"/>
            <w:textDirection w:val="lrTb"/>
            <w:noWrap w:val="false"/>
          </w:tcPr>
          <w:p>
            <w:pPr>
              <w:pStyle w:val="1317"/>
              <w:ind w:firstLine="117"/>
              <w:spacing w:before="2" w:line="360" w:lineRule="auto"/>
              <w:rPr>
                <w:color w:val="000000"/>
                <w:spacing w:val="-3"/>
                <w:sz w:val="24"/>
                <w:szCs w:val="24"/>
                <w:highlight w:val="none"/>
                <w:lang w:eastAsia="zh-CN"/>
              </w:rPr>
            </w:pPr>
            <w:r>
              <w:rPr>
                <w:rFonts w:hint="eastAsia"/>
                <w:color w:val="000000"/>
                <w:spacing w:val="-3"/>
                <w:sz w:val="24"/>
                <w:szCs w:val="24"/>
                <w:highlight w:val="none"/>
                <w:lang w:eastAsia="zh-CN"/>
              </w:rPr>
              <w:t xml:space="preserve">可自生成个性化病历报告，支持患者扫码查询</w:t>
            </w:r>
            <w:r>
              <w:rPr>
                <w:color w:val="000000"/>
                <w:spacing w:val="-3"/>
                <w:sz w:val="24"/>
                <w:szCs w:val="24"/>
                <w:highlight w:val="none"/>
                <w:lang w:eastAsia="zh-CN"/>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（四）牙科种植机</w:t>
      </w:r>
      <w:r>
        <w:rPr>
          <w:rFonts w:hint="eastAsia" w:ascii="宋体" w:hAnsi="宋体" w:cs="宋体"/>
          <w:b/>
          <w:bCs/>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1"/>
        <w:gridCol w:w="8147"/>
      </w:tblGrid>
      <w:tr>
        <w:trPr>
          <w:trHeight w:val="414"/>
        </w:trPr>
        <w:tc>
          <w:tcPr>
            <w:gridSpan w:val="2"/>
            <w:tcW w:w="9288" w:type="dxa"/>
            <w:vAlign w:val="top"/>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一、设备参数</w:t>
            </w:r>
            <w:r>
              <w:rPr>
                <w:rFonts w:hint="eastAsia" w:ascii="宋体" w:hAnsi="宋体" w:cs="宋体"/>
                <w:color w:val="000000"/>
                <w:sz w:val="24"/>
                <w:highlight w:val="none"/>
              </w:rPr>
            </w:r>
            <w:r/>
          </w:p>
        </w:tc>
      </w:tr>
      <w:tr>
        <w:trPr>
          <w:trHeight w:val="414"/>
        </w:trPr>
        <w:tc>
          <w:tcPr>
            <w:tcW w:w="614" w:type="dxa"/>
            <w:vAlign w:val="center"/>
            <w:textDirection w:val="lrTb"/>
            <w:noWrap/>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W w:w="4385" w:type="dxa"/>
            <w:vAlign w:val="center"/>
            <w:textDirection w:val="lrTb"/>
            <w:noWrap/>
          </w:tcPr>
          <w:p>
            <w:pPr>
              <w:pStyle w:val="1071"/>
              <w:jc w:val="center"/>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设备技术参数</w:t>
            </w:r>
            <w:r>
              <w:rPr>
                <w:rFonts w:hint="eastAsia" w:ascii="宋体" w:hAnsi="宋体" w:cs="宋体"/>
                <w:b/>
                <w:bCs/>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马达空载转速：300-40000 r/min</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弯手机摆动幅度：0-0.02mm</w:t>
            </w:r>
            <w:r>
              <w:rPr>
                <w:rFonts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扭矩范围：5-80 N•cm</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蠕动泵流量：0-135mL/min</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主机重量：3.5 kg</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使用期限：不低于10年</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设备安全分类：</w:t>
            </w:r>
            <w:r>
              <w:rPr>
                <w:rFonts w:hint="eastAsia" w:ascii="宋体" w:hAnsi="宋体" w:cs="宋体"/>
                <w:color w:val="000000"/>
                <w:sz w:val="24"/>
                <w:highlight w:val="none"/>
                <w:lang w:bidi="ar"/>
              </w:rPr>
              <w:br w:type="textWrapping" w:clear="all"/>
            </w:r>
            <w:r>
              <w:rPr>
                <w:rFonts w:hint="eastAsia" w:ascii="宋体" w:hAnsi="宋体" w:cs="宋体"/>
                <w:color w:val="000000"/>
                <w:sz w:val="24"/>
                <w:highlight w:val="none"/>
                <w:lang w:bidi="ar"/>
              </w:rPr>
              <w:t xml:space="preserve">对进液的防护程度分类：主机（IPX1），脚踏（IPX6）</w:t>
            </w:r>
            <w:r>
              <w:rPr>
                <w:rFonts w:hint="eastAsia" w:ascii="宋体" w:hAnsi="宋体" w:cs="宋体"/>
                <w:color w:val="000000"/>
                <w:sz w:val="24"/>
                <w:highlight w:val="none"/>
              </w:rPr>
            </w:r>
            <w:r/>
          </w:p>
        </w:tc>
      </w:tr>
      <w:tr>
        <w:trPr>
          <w:trHeight w:val="414"/>
        </w:trPr>
        <w:tc>
          <w:tcPr>
            <w:gridSpan w:val="2"/>
            <w:tcW w:w="9288"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二、功能要求</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大尺寸LCD彩色触摸屏，可视化种植图案界面，显示清晰，触摸操作可设定和保存参数。</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Style w:val="1330"/>
                <w:color w:val="000000"/>
                <w:sz w:val="24"/>
                <w:szCs w:val="24"/>
                <w:highlight w:val="none"/>
                <w:lang w:bidi="ar"/>
              </w:rPr>
              <w:t xml:space="preserve">适配多种转速比的机头</w:t>
            </w:r>
            <w:r>
              <w:rPr>
                <w:rStyle w:val="1331"/>
                <w:rFonts w:hint="eastAsia" w:ascii="宋体" w:hAnsi="宋体" w:cs="宋体"/>
                <w:color w:val="000000"/>
                <w:sz w:val="24"/>
                <w:szCs w:val="24"/>
                <w:highlight w:val="none"/>
                <w:lang w:bidi="ar"/>
              </w:rPr>
              <w:t xml:space="preserve">:1:1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1:2</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1:2.7</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1:3</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1:4.2</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1:5</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16:1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20:1</w:t>
            </w:r>
            <w:r>
              <w:rPr>
                <w:rStyle w:val="1332"/>
                <w:color w:val="000000"/>
                <w:sz w:val="24"/>
                <w:szCs w:val="24"/>
                <w:highlight w:val="none"/>
                <w:lang w:bidi="ar"/>
              </w:rPr>
              <w:t xml:space="preserve">、</w:t>
            </w:r>
            <w:r>
              <w:rPr>
                <w:rStyle w:val="1331"/>
                <w:rFonts w:hint="eastAsia" w:ascii="宋体" w:hAnsi="宋体" w:cs="宋体"/>
                <w:color w:val="000000"/>
                <w:sz w:val="24"/>
                <w:szCs w:val="24"/>
                <w:highlight w:val="none"/>
                <w:lang w:bidi="ar"/>
              </w:rPr>
              <w:t xml:space="preserve">27:1</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采用静音微型马达。</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4</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采用轴承，无论高速还是低速，都能保证稳定输出扭矩，使用更平稳，寿命更长久。</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水量控制、程序切换、正反转切换、转速控制均可通过多功能脚踏完成。</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有简易模式（</w:t>
            </w:r>
            <w:r>
              <w:rPr>
                <w:rFonts w:hint="eastAsia" w:ascii="宋体" w:hAnsi="宋体" w:cs="宋体"/>
                <w:color w:val="000000"/>
                <w:sz w:val="24"/>
                <w:highlight w:val="none"/>
                <w:lang w:bidi="zh-CN"/>
              </w:rPr>
              <w:t xml:space="preserve">不低于3</w:t>
            </w:r>
            <w:r>
              <w:rPr>
                <w:rFonts w:hint="eastAsia" w:ascii="宋体" w:hAnsi="宋体" w:cs="宋体"/>
                <w:color w:val="000000"/>
                <w:sz w:val="24"/>
                <w:highlight w:val="none"/>
                <w:lang w:bidi="ar"/>
              </w:rPr>
              <w:t xml:space="preserve">个程序）和标准模式（不低于8个程序）两种选择，方便医生操作使用。</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7</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植入扭矩实时显示，且记录显示植入峰值扭矩</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8</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植入过程维持扭力输出，使植入扭力更精准</w:t>
            </w:r>
            <w:r>
              <w:rPr>
                <w:rFonts w:hint="eastAsia" w:ascii="宋体" w:hAnsi="宋体" w:cs="宋体"/>
                <w:color w:val="000000"/>
                <w:sz w:val="24"/>
                <w:highlight w:val="none"/>
              </w:rPr>
            </w:r>
            <w:r/>
          </w:p>
        </w:tc>
      </w:tr>
      <w:tr>
        <w:trPr>
          <w:trHeight w:val="414"/>
        </w:trPr>
        <w:tc>
          <w:tcPr>
            <w:tcW w:w="614" w:type="dxa"/>
            <w:vAlign w:val="top"/>
            <w:textDirection w:val="lrTb"/>
            <w:noWrap w:val="false"/>
          </w:tcPr>
          <w:p>
            <w:pPr>
              <w:pStyle w:val="1071"/>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9</w:t>
            </w:r>
            <w:r>
              <w:rPr>
                <w:rFonts w:hint="eastAsia" w:ascii="宋体" w:hAnsi="宋体" w:cs="宋体"/>
                <w:color w:val="000000"/>
                <w:sz w:val="24"/>
                <w:highlight w:val="none"/>
              </w:rPr>
            </w:r>
            <w:r/>
          </w:p>
        </w:tc>
        <w:tc>
          <w:tcPr>
            <w:tcW w:w="4385" w:type="dxa"/>
            <w:vAlign w:val="center"/>
            <w:textDirection w:val="lrTb"/>
            <w:noWrap w:val="false"/>
          </w:tcPr>
          <w:p>
            <w:pPr>
              <w:pStyle w:val="107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每次开机自动进行扭力校准，无需额外操作</w:t>
            </w:r>
            <w:r>
              <w:rPr>
                <w:rFonts w:hint="eastAsia" w:ascii="宋体" w:hAnsi="宋体" w:cs="宋体"/>
                <w:color w:val="000000"/>
                <w:sz w:val="24"/>
                <w:highlight w:val="none"/>
              </w:rPr>
            </w:r>
            <w:r/>
          </w:p>
        </w:tc>
      </w:tr>
    </w:tbl>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（五）种植体稳固度检测仪</w:t>
      </w:r>
      <w:r>
        <w:rPr>
          <w:rFonts w:hint="eastAsia" w:ascii="宋体" w:hAnsi="宋体" w:cs="宋体"/>
          <w:b/>
          <w:bCs/>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1.测量精度：±2 ISQ单位</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2.测量范围：1-99 ISQ单位</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3.测量距离：1-4mm</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4.整机功率：≤4W</w:t>
      </w:r>
      <w:r>
        <w:rPr>
          <w:rFonts w:hint="eastAsia" w:ascii="宋体" w:hAnsi="宋体" w:cs="宋体"/>
          <w:color w:val="000000"/>
          <w:sz w:val="24"/>
          <w:highlight w:val="none"/>
        </w:rPr>
      </w:r>
      <w:r/>
    </w:p>
    <w:p>
      <w:pPr>
        <w:pStyle w:val="107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5.工作原理：</w:t>
      </w:r>
      <w:r>
        <w:rPr>
          <w:rFonts w:hint="eastAsia" w:ascii="宋体" w:hAnsi="宋体" w:cs="宋体"/>
          <w:color w:val="000000"/>
          <w:sz w:val="24"/>
          <w:highlight w:val="none"/>
          <w:lang w:bidi="ar"/>
        </w:rPr>
        <w:t xml:space="preserve">采用共振频率分析的方法，对种植体稳固度进行评估。</w:t>
      </w:r>
      <w:r>
        <w:rPr>
          <w:rFonts w:hint="eastAsia" w:ascii="宋体" w:hAnsi="宋体" w:cs="宋体"/>
          <w:color w:val="000000"/>
          <w:sz w:val="24"/>
          <w:highlight w:val="none"/>
        </w:rPr>
      </w:r>
      <w:r/>
    </w:p>
    <w:p>
      <w:pPr>
        <w:pStyle w:val="1071"/>
        <w:ind w:firstLine="480"/>
        <w:jc w:val="left"/>
        <w:spacing w:line="360" w:lineRule="auto"/>
        <w:widowControl/>
        <w:rPr>
          <w:rFonts w:hint="eastAsia"/>
          <w:color w:val="000000"/>
          <w:highlight w:val="none"/>
          <w:lang w:eastAsia="zh"/>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6.底座：标配无线充电底座，可以实现无线充电。</w:t>
      </w:r>
      <w:r>
        <w:rPr>
          <w:rFonts w:hint="eastAsia"/>
          <w:color w:val="000000"/>
          <w:highlight w:val="none"/>
          <w:lang w:eastAsia="zh"/>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包04：牙科影像板扫描仪等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bidi="ar"/>
        </w:rPr>
        <w:t xml:space="preserve">牙科影像板扫描仪</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1、扫描空间分辨率≥17 lp/mm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2、像素尺寸：≤30微米</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3、支持S0，S1，S2，S3四个尺寸的影像板。其中S2为标准常用的影像板，尺寸为≥41 x 31mm,实际成像面积≥39x29mm。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4、医疗数字影像和通信标准符合DICOM3.0标准。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5、扫描完成后，具备自动擦除影像数据的功能。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6、软件端支持导出JPG、BMP、PNG、DCM图片格式。</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7、软件端支持影像打印功能。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8、软件端影像处理软件具备：影像注释、影像反转、影像旋转、影像缩放、影像对比度亮度调整、影像角度、长度测量等功能。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9、软件需包含客户档案登记，复查，信息删除等功能；并对客户信息具备安全性和私密性保护处理。软件可以同时安装在局域网内的多台电脑上，并进行同步共享，没有用户数量限制。</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10、影像板在正确的使用环境下可以使用≥2500次。</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（二）口腔曲面体层X射线机</w:t>
      </w:r>
      <w:r>
        <w:rPr>
          <w:rFonts w:hint="eastAsia" w:ascii="宋体" w:hAnsi="宋体" w:cs="宋体"/>
          <w:b/>
          <w:bCs/>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1.基本要求</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 设备结构：立位自动升降。适合各类人群就诊。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 </w:t>
      </w:r>
      <w:r>
        <w:rPr>
          <w:rFonts w:hint="eastAsia" w:ascii="宋体" w:hAnsi="宋体" w:cs="宋体"/>
          <w:color w:val="000000"/>
          <w:sz w:val="24"/>
          <w:highlight w:val="none"/>
          <w:lang w:bidi="ar"/>
        </w:rPr>
        <w:t xml:space="preserve">探测器为平板探测器。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 头颅定</w:t>
      </w:r>
      <w:r>
        <w:rPr>
          <w:rFonts w:hint="eastAsia" w:ascii="宋体" w:hAnsi="宋体" w:cs="宋体"/>
          <w:color w:val="000000"/>
          <w:sz w:val="24"/>
          <w:highlight w:val="none"/>
          <w:lang w:bidi="ar"/>
        </w:rPr>
        <w:t xml:space="preserve">位可选。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 二合一全景+侧位设备含两块独立拍摄探测器。</w:t>
      </w:r>
      <w:r>
        <w:rPr>
          <w:rFonts w:hint="eastAsia" w:ascii="宋体" w:hAnsi="宋体" w:cs="宋体"/>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2.技术要求</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2.1电源:220V±20%；</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2.2输入功率:≥1000VA；</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2.3焦点大小:≤0.5×0.5mm；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2.4球管过滤系统:≥2.5mm AL；</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2.5管电压管电流:电压、电流: 60-90KV、2-10mA（1mA步阶可调）；</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2.6球管保护装置:具有负荷过载自动保护装置；</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2.7定位方式：全景模式摆位及扫描过程中受检者面向柱设计（非侧对立柱站立），患者可实时通过镜面反射观察自身情况，方便调整患者至正确的位置，并有利于医患之间持续的目光交流；底座要求U型设计，非X型底座，方便轮椅患者拍摄；</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2.8全景成像高度:≥105mm；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2.9全景探测器最小像素:≤100um；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2.10图像放大倍数:全景片≤1.4倍；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2.11焦点到影像接收面距离:≥495mm；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2.12侧位探测器最小像素：≤100um；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2.13侧位成像：高度≥195mm；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2.14侧位放大倍数:1.15-1.40；</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2.15软件系统:软件系统需包含数字化全景系统软件和侧位成像系统软件。提供软件的全部功能，软件界面为中文,可免费升级；</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2.16软件系统胶片排版工具:可提供不同版式的模版，可根据客户需求定制不同模版，并导入至客户软件系统中。可依据模版进行排版，可连接至DICOM3.0的胶片打印机进行胶片打印；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2.17系统应自带病人管理软件:可与其它诊室管理软件一起使用；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2.18图像的传输与打印、存储:能无缝接入DICOM 3.0设备和PACS系统而无需购买第三方软件或功能模块（接入费用由投标人承担），支持Worklist, 具备DICOM 3.0影像传输、储存和打印功能，支持长期存储管理策略；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2.19图像处理功能: 图像可进行缩放，具有反转、动态范围可调节、可旋转、有水平和垂直图像镜像、有图像增强处理功能；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2.20图像输出格式:有DICOM、位图等多种；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▲2.21立柱升降行程:≥720mm；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2.22升降速度:≥5mm/s；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2.23升降装置:电动升降；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2.24负重:</w:t>
      </w:r>
      <w:r>
        <w:rPr>
          <w:rFonts w:hint="eastAsia"/>
          <w:color w:val="000000"/>
          <w:highlight w:val="none"/>
        </w:rPr>
        <w:t xml:space="preserve">≥</w:t>
      </w:r>
      <w:r>
        <w:rPr>
          <w:rFonts w:hint="eastAsia" w:ascii="宋体" w:hAnsi="宋体" w:cs="宋体"/>
          <w:color w:val="000000"/>
          <w:sz w:val="24"/>
          <w:highlight w:val="none"/>
          <w:lang w:bidi="ar"/>
        </w:rPr>
        <w:t xml:space="preserve">235kg；</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▲2.25提供配套处理工作站</w:t>
      </w:r>
      <w:r>
        <w:rPr>
          <w:rFonts w:hint="eastAsia" w:ascii="宋体" w:hAnsi="宋体" w:cs="宋体"/>
          <w:color w:val="000000"/>
          <w:sz w:val="24"/>
          <w:highlight w:val="none"/>
          <w:lang w:bidi="ar"/>
        </w:rPr>
      </w:r>
      <w:r/>
    </w:p>
    <w:p>
      <w:pPr>
        <w:pStyle w:val="1071"/>
        <w:ind w:firstLine="482"/>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★3.配套设施设备（以下均为实质性要求，投标时必须响应并满足，否则投标无效）</w:t>
      </w:r>
      <w:r>
        <w:rPr>
          <w:rFonts w:hint="eastAsia" w:ascii="宋体" w:hAnsi="宋体" w:cs="宋体"/>
          <w:b/>
          <w:bCs/>
          <w:i/>
          <w:iCs/>
          <w:color w:val="000000"/>
          <w:sz w:val="24"/>
          <w:highlight w:val="none"/>
          <w:lang w:bidi="ar"/>
        </w:rPr>
      </w:r>
      <w:r/>
    </w:p>
    <w:p>
      <w:pPr>
        <w:pStyle w:val="1071"/>
        <w:ind w:firstLine="482"/>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3.1 机房防护改造（含预环控评价+两证办理），投标时提供承诺函。</w:t>
      </w:r>
      <w:r>
        <w:rPr>
          <w:rFonts w:ascii="宋体" w:hAnsi="宋体" w:cs="宋体"/>
          <w:b/>
          <w:bCs/>
          <w:i/>
          <w:iCs/>
          <w:color w:val="000000"/>
          <w:sz w:val="24"/>
          <w:highlight w:val="none"/>
          <w:lang w:bidi="ar"/>
        </w:rPr>
      </w:r>
      <w:r/>
    </w:p>
    <w:p>
      <w:pPr>
        <w:pStyle w:val="1071"/>
        <w:ind w:firstLine="482"/>
        <w:spacing w:line="360" w:lineRule="auto"/>
        <w:rPr>
          <w:rFonts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3.2 设备接口免费开放，接入医院现有信息系统，并承担接口费用，投标时提供承诺函。</w:t>
      </w:r>
      <w:r>
        <w:rPr>
          <w:rFonts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包05：数字式心电图机等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（一）数字式心电图机</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 支持标准12导联心电信号同步采集、分析和打印；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 频响：0.01Hz～410Hz；</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共模抑制比：≥144dB；</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 耐极化电压：±1350mV；</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 灵敏度：0.625、1.25、2.5、5、10、20、40、10/5、20/10mm/mV及自动；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6.走纸速度：5mm/s、6.25mm/s、10mm/s、12.5mm/s、25mm/s、50mm/s；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 A/D转换：24位；</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▲8.采样率：≥128000Hz；</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9.支持多档位肌电滤波、低通滤波和基线漂移滤波设置；支持交流滤波功能；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 支持ECG、DICOM、PDF、XML、JPG等多种数据格式，支持外接U盘、SD卡转存；</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▲11.支持300秒钟波形冻结、全信息波形回放、存储，方便异常心电波形捕捉；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 冻结模式下支持单节律模式、三节律模式、全导联波形分析打印；</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13.节律记录时间30~300秒可调节；</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14.特有心率异常监控模式和周期监控模式，可自动捕捉心率不齐波形，并打印心率不齐时刻前后≥5秒的波形；</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15.支持起搏器检测功能，可自动检测、分析起搏信号；</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16.支持阿托品激发试验；</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17.支持心律失常检查，R-R间期分析、Cabrera等多种测量、分析报告；常规检查时，检测到心律失常可自动转为节律模式，便于偶发心率不齐的采集、检查；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18. 支持3、6和12道波形切换显示，满足不同幅度心电波形的显示；</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19.具有在屏诊断功能，可在屏幕上进行冻结分析、查看波形图、修改分析结果功能；</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▲20. ≥9英寸彩色TFT屏，分辨率：≥1280x720，屏幕翻转设计，背景网格显示，便于观察心电波形和病人信息；支持触摸操作和手写输入；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▲21. 具备全键盘和快捷功能键，使操作和资料录入更快捷；</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22.支持12导联衍生心电向量图，可快速精细地记录心动周期中各瞬间综合心电向量的大小、方向及变化过程。</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23. 成人\儿童专用分析算法，分析更准确；支持明尼苏达码编码系统；</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24. 多种数据存储方式，内部存储≥10000份病历，支持外接大容量U盘、SD卡存储；</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25.具有导联连接示意图和导联信号质量检测功能，方便操作者对相关导联连接情况快速进行识别处理；</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26.支持病历数据管理功能，可进行病历查询、预览、上传、删除、拷贝、修改和打印报告；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27. 支持通过有线、Wi-Fi网络与服务器双向通信，上传、下载病人信息、检查单信息、波形数据和分析报告；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28.支持HL7、DICOM等方式与第三方系统进行对接；</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29.具有安全模式，可针对不用用户设置密码；</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30.支持扫描枪输入病人信息；支持外接激光打印机打印报告；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31.交直流两用，可以自动转换使用模式；内置充电锂电池充满后可正常使用≥6小时；</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（二）屈光筛查仪</w:t>
      </w:r>
      <w:r>
        <w:rPr>
          <w:rFonts w:hint="eastAsia" w:ascii="宋体" w:hAnsi="宋体" w:cs="宋体"/>
          <w:b/>
          <w:bCs/>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1.无线手持式双目设计，筛查模式单眼/双眼可选。</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2.彩色触摸显示屏≥5.0英寸。</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90°垂直屏幕，方便使用者以任何姿势操作。</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4.筛查内容：屈光筛查（近视、远视、散光、屈光参差）、眼位照相、瞳孔大小。</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5.测量和分析的检测结果超出设定的正常值时，机器自动给出潜在的视力风险提示，并以红色的显示测量结果，避免漏诊。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6.球面度DS：范围-7.50D～+7.50D，分辨率0.25D/0.01D，精度±0.50D。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7.柱面度DC：范围0.00D～3.00D，分辨率0.25D/0.01D，精度±0.50D。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8.轴位Axis:范围0°～180°，分辨率：1°，精度：±5°（0.1D～3.0D）。</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9.瞳孔直径Pupil Size：范围4.0mm～9.0mm，分辨率：0.1mm，精度：±0.1mm。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10.瞳距Pupil Distance:范围35mm~80mm，分辨率：1mm，精度：±1mm。</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11.工作距离:1m±10cm；测量时间：≤3s。</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▲12.距被测者距离提示：系统主动测距提示过远或过近。并以背景颜色区分是否在正确测量范围内。</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13.数据传输接口：Wi-Fi，USB，蓝牙。</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14.在蓝牙和WIFI模式下可与手机连接并把检测结果传输到手机上。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▲15.电池：2块充电锂电池，电池容量≥3000mAh，续航6小时以上，可随时拆卸。</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▲16.固视目标：蜂鸣器、闪光灯以及固视图标，随机闪烁、声音刺激。提高小孩子的注意力从而提高数据的准确率；</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▲17.主机前端需要设计为圆形，能更好掌握机器，促使操作者更稳定操作设备提高准确率；</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18.报告形式：便签报告或A4彩色图文报告。</w:t>
      </w:r>
      <w:r>
        <w:rPr>
          <w:rFonts w:hint="eastAsia"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19.后期可支持增加数据管理系统和可升降自助筛查工作站，可建立筛查活动，批量导入导出信息，方便大规模筛查统计数据。</w:t>
      </w:r>
      <w:r>
        <w:rPr>
          <w:rFonts w:hint="eastAsia" w:ascii="宋体" w:hAnsi="宋体" w:cs="宋体"/>
          <w:color w:val="000000"/>
          <w:sz w:val="24"/>
          <w:highlight w:val="none"/>
        </w:rPr>
      </w:r>
      <w:r/>
    </w:p>
    <w:p>
      <w:pPr>
        <w:pStyle w:val="1071"/>
        <w:ind w:firstLine="480"/>
        <w:spacing w:line="360" w:lineRule="auto"/>
        <w:rPr>
          <w:rFonts w:hint="eastAsia" w:ascii="宋体" w:hAnsi="宋体" w:cs="宋体"/>
          <w:b/>
          <w:color w:val="000000"/>
          <w:sz w:val="24"/>
          <w:highlight w:val="none"/>
          <w:lang w:bidi="ar"/>
        </w:rPr>
      </w:pPr>
      <w:r>
        <w:rPr>
          <w:rFonts w:hint="eastAsia" w:ascii="宋体" w:hAnsi="宋体" w:cs="宋体"/>
          <w:color w:val="000000"/>
          <w:sz w:val="24"/>
          <w:highlight w:val="none"/>
          <w:lang w:bidi="ar"/>
        </w:rPr>
        <w:t xml:space="preserve">20.配备一台热敏打印机</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包06：牙科X射线机等</w:t>
      </w:r>
      <w:r>
        <w:rPr>
          <w:rFonts w:hint="eastAsia" w:ascii="宋体" w:hAnsi="宋体" w:cs="宋体"/>
          <w:b/>
          <w:color w:val="000000"/>
          <w:sz w:val="24"/>
          <w:highlight w:val="none"/>
          <w:lang w:bidi="ar"/>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（一）牙科X射线机</w:t>
      </w:r>
      <w:r>
        <w:rPr>
          <w:rFonts w:hint="eastAsia" w:ascii="宋体" w:hAnsi="宋体" w:cs="宋体"/>
          <w:b/>
          <w:bCs/>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 电源要求</w:t>
      </w:r>
      <w:r>
        <w:rPr>
          <w:rFonts w:hint="eastAsia"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1.1频    率：40Hz-50Hz</w:t>
      </w:r>
      <w:r>
        <w:rPr>
          <w:rFonts w:ascii="宋体" w:hAnsi="宋体" w:cs="宋体"/>
          <w:color w:val="000000"/>
          <w:sz w:val="24"/>
          <w:highlight w:val="none"/>
        </w:rPr>
      </w:r>
      <w:r/>
    </w:p>
    <w:p>
      <w:pPr>
        <w:pStyle w:val="10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1.2最大功率：≤1100VA</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2、基础参数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▲2.1管 电 压：65KV±10%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▲2.2管 电 流：7mA±20%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2.3剂 量 率：6mGy/s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▲2.4球馆组件重量：≤4Kg</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2.5漏辐射率：1米处≤0.25mGy/h(65KV ,7mA，1S，加载间隔1S/30S)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▲3、技术模式：采用高频直流技术，逆变频率60KHz-150KHz。</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4、曝光时间调节范围：最低单次曝光时间≤0.04S，最大单次曝光时间≥2S。</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5、报警功能：具有故障自动检测，故障代码显示功能。</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拍摄模式：胶片，扫描仪，传感器三种拍摄模式。可以根据人群选择儿童或者成人模式拍摄。至少有6组不同拍摄模式，每种模式均可选择前牙、磨牙、后磨牙。不同的牙位曝光时间可以单独设定并进行记忆存储。</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▲7、曝光方式：每次拍摄，需要在手控板上按一下曝光键，留有≥60秒的准备时间，在该时间之内可以通过无线遥控曝光器，在铅房外曝光。</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8、带可升降患者座椅</w:t>
      </w:r>
      <w:r>
        <w:rPr>
          <w:rFonts w:hint="eastAsia" w:ascii="宋体" w:hAnsi="宋体" w:cs="宋体"/>
          <w:b/>
          <w:bCs/>
          <w:color w:val="000000"/>
          <w:sz w:val="24"/>
          <w:highlight w:val="none"/>
        </w:rPr>
      </w:r>
      <w:r/>
    </w:p>
    <w:p>
      <w:pPr>
        <w:pStyle w:val="1071"/>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（二）呼吸机</w:t>
      </w:r>
      <w:r>
        <w:rPr>
          <w:rFonts w:hint="eastAsia" w:ascii="宋体" w:hAnsi="宋体" w:cs="宋体"/>
          <w:b/>
          <w:bCs/>
          <w:color w:val="000000"/>
          <w:sz w:val="24"/>
          <w:highlight w:val="none"/>
        </w:rPr>
      </w:r>
      <w:r/>
    </w:p>
    <w:p>
      <w:pPr>
        <w:pStyle w:val="1326"/>
        <w:ind w:firstLine="482"/>
        <w:spacing w:line="360" w:lineRule="auto"/>
        <w:widowControl/>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★1、适用于对成人、小儿患者进行通气辅助及呼吸支持的呼吸机，中文操作界面。</w:t>
      </w:r>
      <w:r>
        <w:rPr>
          <w:rFonts w:hint="eastAsia" w:ascii="宋体" w:hAnsi="宋体" w:cs="宋体"/>
          <w:b/>
          <w:bCs/>
          <w:i/>
          <w:iCs/>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2、采用≥12英寸电容触摸屏，分辨率≥1280*800。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3、电动电控。</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▲4、电池充满电后使用时间≥3小时</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5、有创通气模式：V-A/C、P-A/C、V-SIMV、P-SIMV、CPAP/PSV；无创通气模式：P-A/C、P-SIMV、CPAP/PSV、PSV-S/T。</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6、具有动态肺视图界面，以图形形式实时显示肺动力学参数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7、吸气压力设置范围：1-80cmH2O；压力支持设置范围：0-80cmH2O</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8、具有高流量氧疗功能，氧疗流速：2-70L/min，可增氧、雾化、吸气保持、呼气保持、吸痰、手动呼吸</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9、可选比例通气模式，支持百分比：25-100%</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10、可选气道压力释放模式、双水平气道正压通气模式</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11、插管补偿功能，可根据病人的肺特性，调节吸气触发、压力上升时间和呼气触发参数</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12、潮气量范围：20-4000ml，最小潮气量≤20ml</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13、事件日志存储≥8000条，包括报警日志和操作日志；趋势图和趋势表数据存储≥160小时</w:t>
      </w:r>
      <w:r>
        <w:rPr>
          <w:rFonts w:hint="eastAsia" w:ascii="宋体" w:hAnsi="宋体" w:cs="宋体"/>
          <w:color w:val="000000"/>
          <w:sz w:val="24"/>
          <w:highlight w:val="none"/>
        </w:rPr>
      </w:r>
      <w:r/>
    </w:p>
    <w:p>
      <w:pPr>
        <w:pStyle w:val="132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14、自带屏幕录制功能，支持HDMI扩展显示，无需外接转接口</w:t>
      </w:r>
      <w:r>
        <w:rPr>
          <w:rFonts w:hint="eastAsia" w:ascii="宋体" w:hAnsi="宋体" w:cs="宋体"/>
          <w:color w:val="000000"/>
          <w:sz w:val="24"/>
          <w:highlight w:val="none"/>
        </w:rPr>
      </w:r>
      <w:r/>
    </w:p>
    <w:p>
      <w:pPr>
        <w:pStyle w:val="132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15、吸气安全阀和呼气安全阀组件可徒手拆卸，并能高温高压蒸汽消毒</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1、交货日期：合同签订后30天内完成供货、安装、调试、培训，并通过采购人及有关部门（主管部门、财政部门）验收。</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经开区潞城花苑71栋），由投标人负责办理运输和装卸等，费用由投标人负责，由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双方共同验收产品数量、质量等状况，由成交供应商负责并承担相关费用。成交供应商进行安装调试并经过性能测试后，由验收小组验收。验收合格后，开始进入质保期，若</w:t>
      </w:r>
      <w:r>
        <w:rPr>
          <w:rFonts w:hint="eastAsia" w:ascii="宋体" w:hAnsi="宋体" w:cs="宋体"/>
          <w:color w:val="000000"/>
          <w:sz w:val="24"/>
          <w:highlight w:val="none"/>
        </w:rPr>
        <w:t xml:space="preserve">检验不合格或不符合质量要求，成交供应商除无条件退货、返工外，还应承担采购人的一切损失。</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1"/>
        <w:ind w:firstLine="482"/>
        <w:jc w:val="left"/>
        <w:spacing w:line="360" w:lineRule="auto"/>
        <w:rPr>
          <w:rFonts w:hint="eastAsia" w:ascii="宋体" w:hAnsi="宋体" w:cs="宋体"/>
          <w:b/>
          <w:bCs/>
          <w:i/>
          <w:iCs/>
          <w:color w:val="000000"/>
          <w:sz w:val="24"/>
          <w:highlight w:val="none"/>
          <w:lang w:bidi="ar"/>
        </w:rPr>
      </w:pPr>
      <w:r>
        <w:rPr>
          <w:rFonts w:hint="eastAsia" w:ascii="宋体" w:hAnsi="宋体" w:cs="宋体"/>
          <w:b/>
          <w:bCs/>
          <w:i/>
          <w:iCs/>
          <w:color w:val="000000"/>
          <w:sz w:val="24"/>
          <w:highlight w:val="none"/>
          <w:lang w:bidi="ar"/>
        </w:rPr>
        <w:t xml:space="preserve">★（一）免费质保期：投标人报价时须承诺包01所供货物免费质保期不少于5年；包02、包03、包04、包05所供货物免费质保期不少于3年；包06所供货物免费质保期不少于2年。投标人对质保期内所发生的设备维护、维修、更换等一切费用负责。</w:t>
      </w:r>
      <w:r>
        <w:rPr>
          <w:rFonts w:hint="eastAsia" w:ascii="宋体" w:hAnsi="宋体" w:cs="宋体"/>
          <w:b/>
          <w:bCs/>
          <w:i/>
          <w:iCs/>
          <w:color w:val="000000"/>
          <w:sz w:val="24"/>
          <w:highlight w:val="none"/>
          <w:lang w:bidi="ar"/>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供应商接到维修请求，维修应在2小时内响应，24小时内维修人员到达现场，排除故障；48小时内解决故障问题，恢复设备正常使用。必要时应向采购人提供应急备用设备。</w:t>
      </w:r>
      <w:r>
        <w:rPr>
          <w:rFonts w:hint="eastAsia" w:ascii="宋体" w:hAnsi="宋体"/>
          <w:color w:val="000000"/>
          <w:sz w:val="24"/>
          <w:highlight w:val="none"/>
        </w:rPr>
        <w:t xml:space="preserve">质保期后，提供终生售后服务，保证零配件的供给，对于货物维修只收取基本材料备件费，不收取工时费。</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3.供应商应按照国家有关法律法规和“三包”规定以及响应文件中的“售后服务承诺”提供服务。</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1"/>
        <w:ind w:firstLine="480"/>
        <w:jc w:val="left"/>
        <w:spacing w:line="360" w:lineRule="auto"/>
        <w:rPr>
          <w:rFonts w:hint="eastAsia" w:ascii="宋体" w:hAnsi="宋体" w:cs="宋体"/>
          <w:color w:val="000000"/>
          <w:sz w:val="24"/>
          <w:highlight w:val="none"/>
        </w:rPr>
      </w:pPr>
      <w:r>
        <w:rPr>
          <w:rFonts w:hint="eastAsia" w:ascii="宋体" w:hAnsi="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1071"/>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165"/>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验收合格后两个月内一次性付清。</w:t>
      </w:r>
      <w:r>
        <w:rPr>
          <w:rFonts w:ascii="宋体" w:hAnsi="宋体"/>
          <w:color w:val="000000"/>
          <w:sz w:val="24"/>
          <w:szCs w:val="24"/>
          <w:highlight w:val="none"/>
        </w:rPr>
      </w:r>
      <w:r/>
    </w:p>
    <w:p>
      <w:pPr>
        <w:pStyle w:val="1071"/>
        <w:spacing w:line="440" w:lineRule="exact"/>
        <w:rPr>
          <w:rFonts w:ascii="宋体" w:hAnsi="宋体"/>
          <w:b/>
          <w:color w:val="000000"/>
          <w:highlight w:val="none"/>
        </w:rPr>
      </w:pPr>
      <w:r>
        <w:rPr>
          <w:rFonts w:ascii="宋体" w:hAnsi="宋体"/>
          <w:b/>
          <w:color w:val="000000"/>
          <w:highlight w:val="none"/>
        </w:rPr>
      </w:r>
      <w:r/>
    </w:p>
    <w:p>
      <w:pPr>
        <w:pStyle w:val="1071"/>
        <w:rPr>
          <w:rFonts w:ascii="宋体" w:hAnsi="宋体"/>
          <w:bCs/>
          <w:color w:val="000000"/>
          <w:highlight w:val="none"/>
        </w:rPr>
      </w:pPr>
      <w:r>
        <w:rPr>
          <w:rFonts w:ascii="宋体" w:hAnsi="宋体"/>
          <w:bCs/>
          <w:color w:val="000000"/>
          <w:highlight w:val="none"/>
        </w:rPr>
      </w:r>
      <w:r/>
    </w:p>
    <w:p>
      <w:pPr>
        <w:pStyle w:val="1071"/>
        <w:rPr>
          <w:rFonts w:ascii="宋体" w:hAnsi="宋体"/>
          <w:color w:val="000000"/>
          <w:highlight w:val="none"/>
        </w:rPr>
      </w:pPr>
      <w:r>
        <w:rPr>
          <w:rFonts w:ascii="宋体" w:hAnsi="宋体"/>
          <w:color w:val="000000"/>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bookmarkStart w:id="817" w:name="_Toc99301425"/>
      <w:r>
        <w:rPr>
          <w:rFonts w:ascii="宋体" w:hAnsi="宋体"/>
          <w:b/>
          <w:color w:val="000000"/>
          <w:sz w:val="36"/>
          <w:szCs w:val="36"/>
          <w:highlight w:val="none"/>
        </w:rPr>
        <w:t xml:space="preserve">第六章   拟签订的合同文本</w:t>
      </w:r>
      <w:bookmarkEnd w:id="817"/>
      <w:r>
        <w:rPr>
          <w:rFonts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outlineLvl w:val="0"/>
      </w:pPr>
      <w:r/>
      <w:bookmarkStart w:id="818" w:name="_Toc99301426"/>
      <w:r>
        <w:rPr>
          <w:rFonts w:ascii="宋体" w:hAnsi="宋体"/>
          <w:b/>
          <w:color w:val="000000"/>
          <w:sz w:val="36"/>
          <w:szCs w:val="36"/>
          <w:highlight w:val="none"/>
        </w:rPr>
      </w:r>
      <w:r/>
    </w:p>
    <w:p>
      <w:pPr>
        <w:pStyle w:val="1110"/>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0"/>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5"/>
        <w:ind w:firstLine="456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1"/>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1112" w:type="dxa"/>
            <w:vAlign w:val="center"/>
            <w:textDirection w:val="lrTb"/>
            <w:noWrap w:val="false"/>
          </w:tcPr>
          <w:p>
            <w:pPr>
              <w:pStyle w:val="1071"/>
              <w:jc w:val="center"/>
              <w:spacing w:line="360" w:lineRule="exact"/>
              <w:rPr>
                <w:rFonts w:hint="eastAsia"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rPr>
            </w:r>
            <w:r/>
          </w:p>
        </w:tc>
        <w:tc>
          <w:tcPr>
            <w:tcW w:w="595"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1"/>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1"/>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0"/>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1"/>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10"/>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1"/>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0"/>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0"/>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3.结算原则：固定总价</w:t>
      </w:r>
      <w:r>
        <w:rPr>
          <w:rFonts w:hint="eastAsia" w:ascii="宋体" w:hAnsi="宋体" w:cs="宋体"/>
          <w:b/>
          <w:bCs/>
          <w:color w:val="000000"/>
          <w:sz w:val="24"/>
          <w:highlight w:val="none"/>
        </w:rPr>
      </w:r>
      <w:r/>
    </w:p>
    <w:p>
      <w:pPr>
        <w:pStyle w:val="1165"/>
        <w:contextualSpacing/>
        <w:ind w:firstLine="482"/>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4.付款方式：</w:t>
      </w:r>
      <w:r>
        <w:rPr>
          <w:rFonts w:hint="eastAsia" w:ascii="宋体" w:hAnsi="宋体"/>
          <w:b/>
          <w:bCs/>
          <w:color w:val="000000"/>
          <w:sz w:val="24"/>
          <w:szCs w:val="24"/>
          <w:highlight w:val="none"/>
        </w:rPr>
        <w:t xml:space="preserve">验收合格后两个月内一次性付清。</w:t>
      </w:r>
      <w:r>
        <w:rPr>
          <w:rFonts w:hint="eastAsia"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乙方投标属虚假承诺，或经权威部门监测提供的货物不能满足招标文件要求，或是由于乙方的过错造成合同无法继续履行的，乙方应向甲方支付不少于合同总价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2.除发生法律规定的不能预见、不能避免并不能克服的客观情况外，甲乙双方不得放弃或拒绝履行合同。乙方放弃或拒绝履行合同，承担相应的违约责任。</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1"/>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1"/>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1"/>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1"/>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1"/>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1"/>
        <w:spacing w:line="360" w:lineRule="auto"/>
        <w:rPr>
          <w:rFonts w:ascii="宋体" w:hAnsi="宋体" w:cs="宋体"/>
          <w:color w:val="000000"/>
          <w:sz w:val="24"/>
          <w:highlight w:val="none"/>
        </w:rPr>
      </w:pPr>
      <w:r>
        <w:rPr>
          <w:rFonts w:hint="eastAsia" w:ascii="宋体" w:hAnsi="宋体"/>
          <w:b/>
          <w:color w:val="000000"/>
          <w:sz w:val="36"/>
          <w:szCs w:val="36"/>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开户银行：        账号：</w:t>
      </w:r>
      <w:r>
        <w:rPr>
          <w:rFonts w:ascii="宋体" w:hAnsi="宋体" w:cs="宋体"/>
          <w:color w:val="000000"/>
          <w:sz w:val="24"/>
          <w:highlight w:val="none"/>
        </w:rPr>
      </w:r>
      <w:r/>
    </w:p>
    <w:p>
      <w:pPr>
        <w:pStyle w:val="1071"/>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18"/>
      <w:r>
        <w:rPr>
          <w:rFonts w:ascii="宋体" w:hAnsi="宋体"/>
          <w:b/>
          <w:color w:val="000000"/>
          <w:sz w:val="36"/>
          <w:szCs w:val="36"/>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1"/>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1"/>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1"/>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1"/>
        <w:jc w:val="left"/>
        <w:keepLines/>
        <w:keepNext/>
        <w:spacing w:before="120" w:line="300" w:lineRule="auto"/>
        <w:rPr>
          <w:rFonts w:ascii="宋体" w:hAnsi="宋体"/>
          <w:b/>
          <w:color w:val="000000"/>
          <w:sz w:val="30"/>
          <w:szCs w:val="20"/>
          <w:highlight w:val="none"/>
        </w:rPr>
        <w:outlineLvl w:val="1"/>
      </w:pPr>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1"/>
        <w:rPr>
          <w:rFonts w:ascii="宋体" w:hAnsi="宋体"/>
          <w:b/>
          <w:color w:val="000000"/>
          <w:spacing w:val="20"/>
          <w:szCs w:val="21"/>
          <w:highlight w:val="none"/>
        </w:rPr>
      </w:pPr>
      <w:r>
        <w:rPr>
          <w:rFonts w:ascii="宋体" w:hAnsi="宋体"/>
          <w:b/>
          <w:color w:val="000000"/>
          <w:spacing w:val="20"/>
          <w:szCs w:val="21"/>
          <w:highlight w:val="none"/>
        </w:rPr>
      </w:r>
      <w:r/>
    </w:p>
    <w:p>
      <w:pPr>
        <w:pStyle w:val="1071"/>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1"/>
        <w:jc w:val="center"/>
        <w:rPr>
          <w:rFonts w:ascii="宋体" w:hAnsi="宋体"/>
          <w:color w:val="000000"/>
          <w:szCs w:val="21"/>
          <w:highlight w:val="none"/>
        </w:rPr>
      </w:pPr>
      <w:r>
        <w:rPr>
          <w:rFonts w:ascii="宋体" w:hAnsi="宋体"/>
          <w:color w:val="000000"/>
          <w:szCs w:val="21"/>
          <w:highlight w:val="none"/>
        </w:rPr>
      </w:r>
      <w:r/>
    </w:p>
    <w:p>
      <w:pPr>
        <w:pStyle w:val="1071"/>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1"/>
        <w:jc w:val="center"/>
        <w:rPr>
          <w:rFonts w:ascii="宋体" w:hAnsi="宋体"/>
          <w:b/>
          <w:color w:val="000000"/>
          <w:sz w:val="32"/>
          <w:szCs w:val="32"/>
          <w:highlight w:val="none"/>
        </w:rPr>
      </w:pPr>
      <w:r>
        <w:rPr>
          <w:rFonts w:ascii="宋体" w:hAnsi="宋体"/>
          <w:b/>
          <w:color w:val="000000"/>
          <w:sz w:val="32"/>
          <w:szCs w:val="32"/>
          <w:highlight w:val="none"/>
        </w:rPr>
      </w:r>
      <w:r/>
    </w:p>
    <w:p>
      <w:pPr>
        <w:pStyle w:val="1071"/>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1"/>
        <w:rPr>
          <w:rFonts w:ascii="宋体" w:hAnsi="宋体"/>
          <w:b/>
          <w:color w:val="000000"/>
          <w:highlight w:val="none"/>
        </w:rPr>
      </w:pPr>
      <w:r>
        <w:rPr>
          <w:rFonts w:ascii="宋体" w:hAnsi="宋体"/>
          <w:b/>
          <w:color w:val="000000"/>
          <w:highlight w:val="none"/>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4"/>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5"/>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480"/>
        <w:spacing w:line="460" w:lineRule="exact"/>
        <w:rPr>
          <w:rFonts w:hAnsi="宋体"/>
          <w:color w:val="000000"/>
          <w:highlight w:val="none"/>
        </w:rPr>
      </w:pP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5"/>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5"/>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1"/>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1"/>
        <w:jc w:val="left"/>
        <w:widowControl/>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1"/>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1"/>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9" w:name="_Toc226337252"/>
      <w:r/>
      <w:bookmarkStart w:id="820" w:name="_Toc226965829"/>
      <w:r/>
      <w:bookmarkStart w:id="821" w:name="_Toc480942349"/>
      <w:r/>
      <w:bookmarkStart w:id="822" w:name="_Toc142311058"/>
      <w:r/>
      <w:bookmarkStart w:id="823" w:name="_Toc226309800"/>
      <w:r/>
      <w:bookmarkStart w:id="824" w:name="_Toc195842921"/>
      <w:r/>
      <w:bookmarkStart w:id="825" w:name="_Toc520356217"/>
      <w:r/>
      <w:bookmarkStart w:id="826" w:name="_Toc150480794"/>
      <w:r/>
      <w:bookmarkStart w:id="827" w:name="_Toc226965746"/>
      <w:r/>
      <w:bookmarkStart w:id="828" w:name="_Toc150774761"/>
      <w:r/>
      <w:bookmarkStart w:id="829" w:name="_Toc127151556"/>
      <w:r/>
      <w:bookmarkStart w:id="830" w:name="_Ref467988698"/>
      <w:r>
        <w:rPr>
          <w:rFonts w:hint="eastAsia" w:ascii="宋体" w:hAnsi="宋体"/>
          <w:b/>
          <w:color w:val="000000"/>
          <w:sz w:val="32"/>
          <w:szCs w:val="32"/>
          <w:highlight w:val="none"/>
        </w:rPr>
      </w:r>
      <w:r/>
    </w:p>
    <w:p>
      <w:pPr>
        <w:pStyle w:val="1071"/>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1"/>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1"/>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1"/>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1"/>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（4）如我方中标，我方将在法律规定的期限内与你方签订合同，并在合同约定的期限内完成合同规定的全部义务。</w:t>
      </w:r>
      <w:r>
        <w:rPr>
          <w:rFonts w:ascii="宋体" w:hAnsi="宋体"/>
          <w:color w:val="000000"/>
          <w:sz w:val="24"/>
          <w:highlight w:val="none"/>
        </w:rPr>
      </w:r>
      <w:r/>
    </w:p>
    <w:p>
      <w:pPr>
        <w:pStyle w:val="1071"/>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1"/>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1"/>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1"/>
        <w:jc w:val="left"/>
        <w:widowControl/>
        <w:rPr>
          <w:rFonts w:hint="eastAsia" w:ascii="宋体" w:hAnsi="宋体"/>
          <w:b/>
          <w:color w:val="000000"/>
          <w:sz w:val="24"/>
          <w:highlight w:val="none"/>
        </w:rPr>
      </w:pPr>
      <w:r/>
      <w:bookmarkStart w:id="831" w:name="_Hlt520355938"/>
      <w:r/>
      <w:bookmarkEnd w:id="831"/>
      <w:r/>
      <w:bookmarkStart w:id="832" w:name="_Hlt520356243"/>
      <w:r/>
      <w:bookmarkEnd w:id="832"/>
      <w:r>
        <w:rPr>
          <w:rFonts w:ascii="宋体" w:hAnsi="宋体"/>
          <w:color w:val="000000"/>
          <w:sz w:val="24"/>
          <w:highlight w:val="none"/>
        </w:rPr>
        <w:br w:type="page" w:clear="all"/>
      </w:r>
      <w:r>
        <w:rPr>
          <w:rFonts w:hint="eastAsia" w:ascii="宋体" w:hAnsi="宋体"/>
          <w:b/>
          <w:color w:val="000000"/>
          <w:sz w:val="24"/>
          <w:highlight w:val="none"/>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ascii="宋体" w:hAnsi="宋体"/>
          <w:color w:val="000000"/>
          <w:sz w:val="24"/>
          <w:highlight w:val="none"/>
        </w:rPr>
      </w:r>
      <w:r/>
    </w:p>
    <w:p>
      <w:pPr>
        <w:pStyle w:val="1102"/>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1"/>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1"/>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3"/>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1"/>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1"/>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9"/>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1"/>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2"/>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1"/>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2"/>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3"/>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1"/>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1"/>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1"/>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1"/>
        <w:ind w:firstLine="640"/>
        <w:rPr>
          <w:rFonts w:ascii="宋体" w:hAnsi="宋体"/>
          <w:color w:val="000000"/>
          <w:highlight w:val="none"/>
        </w:rPr>
      </w:pPr>
      <w:r>
        <w:rPr>
          <w:rFonts w:ascii="宋体" w:hAnsi="宋体"/>
          <w:color w:val="000000"/>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33" w:name="_Hlt520274393"/>
      <w:r/>
      <w:bookmarkEnd w:id="833"/>
      <w:r/>
      <w:bookmarkStart w:id="834" w:name="_Hlt520350918"/>
      <w:r/>
      <w:bookmarkEnd w:id="834"/>
      <w:r/>
      <w:bookmarkStart w:id="835" w:name="_Hlt520355504"/>
      <w:r/>
      <w:bookmarkEnd w:id="835"/>
      <w:r/>
      <w:bookmarkStart w:id="836" w:name="_Hlt520271212"/>
      <w:r/>
      <w:bookmarkEnd w:id="836"/>
      <w:r/>
      <w:bookmarkStart w:id="837" w:name="_Hlt520273711"/>
      <w:r/>
      <w:bookmarkEnd w:id="837"/>
      <w:r/>
      <w:bookmarkStart w:id="838" w:name="_Hlt520274407"/>
      <w:r/>
      <w:bookmarkEnd w:id="838"/>
      <w:r/>
      <w:bookmarkStart w:id="839" w:name="_Hlt520274065"/>
      <w:r/>
      <w:bookmarkEnd w:id="839"/>
      <w:r/>
      <w:bookmarkStart w:id="840" w:name="_Hlt520343000"/>
      <w:r/>
      <w:bookmarkEnd w:id="840"/>
      <w:r/>
      <w:bookmarkStart w:id="841" w:name="_Hlt520274121"/>
      <w:r/>
      <w:bookmarkEnd w:id="841"/>
      <w:r/>
      <w:bookmarkStart w:id="842" w:name="_Hlt520343392"/>
      <w:r/>
      <w:bookmarkEnd w:id="842"/>
      <w:r/>
      <w:bookmarkStart w:id="843" w:name="_Toc226965830"/>
      <w:r/>
      <w:bookmarkStart w:id="844" w:name="_Toc305158899"/>
      <w:r/>
      <w:bookmarkStart w:id="845" w:name="_Toc142311059"/>
      <w:r/>
      <w:bookmarkStart w:id="846" w:name="_Toc305158825"/>
      <w:r/>
      <w:bookmarkStart w:id="847" w:name="_Toc195842922"/>
      <w:r/>
      <w:bookmarkStart w:id="848" w:name="_Toc480942350"/>
      <w:r/>
      <w:bookmarkStart w:id="849" w:name="_Toc265228395"/>
      <w:r/>
      <w:bookmarkStart w:id="850" w:name="_Toc226337253"/>
      <w:r/>
      <w:bookmarkStart w:id="851" w:name="_Toc226965747"/>
      <w:r/>
      <w:bookmarkStart w:id="852" w:name="_Toc226309801"/>
      <w:r/>
      <w:bookmarkStart w:id="853" w:name="_Toc520356218"/>
      <w:r/>
      <w:bookmarkStart w:id="854" w:name="_Toc127151557"/>
      <w:r/>
      <w:bookmarkStart w:id="855" w:name="_Toc150480795"/>
      <w:r/>
      <w:bookmarkStart w:id="856" w:name="_Ref467988705"/>
      <w:r/>
      <w:bookmarkStart w:id="857" w:name="_Toc264969247"/>
      <w:r/>
      <w:bookmarkStart w:id="858" w:name="_Toc150774762"/>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b/>
          <w:color w:val="000000"/>
          <w:sz w:val="36"/>
          <w:szCs w:val="36"/>
          <w:highlight w:val="none"/>
        </w:rPr>
      </w:pPr>
      <w:r/>
      <w:bookmarkStart w:id="859" w:name="_Toc305158826"/>
      <w:r/>
      <w:bookmarkStart w:id="860" w:name="_Toc305158900"/>
      <w:r/>
      <w:bookmarkStart w:id="861" w:name="_Toc264969248"/>
      <w:r/>
      <w:bookmarkStart w:id="862" w:name="_Toc226965831"/>
      <w:r/>
      <w:bookmarkStart w:id="863" w:name="_Toc226965748"/>
      <w:r/>
      <w:bookmarkStart w:id="864" w:name="_Toc226309802"/>
      <w:r/>
      <w:bookmarkStart w:id="865" w:name="_Toc164608827"/>
      <w:r/>
      <w:bookmarkStart w:id="866" w:name="_Toc226337254"/>
      <w:r/>
      <w:bookmarkStart w:id="867" w:name="_Toc265228396"/>
      <w:r/>
      <w:bookmarkStart w:id="868" w:name="_Toc164608672"/>
      <w:r/>
      <w:bookmarkStart w:id="869" w:name="_Toc195842923"/>
      <w:r>
        <w:rPr>
          <w:rFonts w:hint="eastAsia" w:ascii="宋体" w:hAnsi="宋体"/>
          <w:b/>
          <w:color w:val="000000"/>
          <w:sz w:val="36"/>
          <w:szCs w:val="36"/>
          <w:highlight w:val="none"/>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Pr>
          <w:rFonts w:ascii="宋体" w:hAnsi="宋体"/>
          <w:b/>
          <w:color w:val="000000"/>
          <w:sz w:val="36"/>
          <w:szCs w:val="36"/>
          <w:highlight w:val="none"/>
        </w:rPr>
      </w:r>
      <w:r/>
    </w:p>
    <w:p>
      <w:pPr>
        <w:pStyle w:val="1071"/>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1"/>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1"/>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1"/>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1"/>
        <w:jc w:val="left"/>
        <w:rPr>
          <w:rFonts w:ascii="宋体" w:hAnsi="宋体"/>
          <w:color w:val="000000"/>
          <w:sz w:val="24"/>
          <w:highlight w:val="none"/>
        </w:rPr>
      </w:pPr>
      <w:r>
        <w:rPr>
          <w:rFonts w:ascii="宋体" w:hAnsi="宋体"/>
          <w:color w:val="000000"/>
          <w:sz w:val="24"/>
          <w:highlight w:val="none"/>
        </w:rPr>
      </w:r>
      <w:r/>
    </w:p>
    <w:p>
      <w:pPr>
        <w:pStyle w:val="1071"/>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1"/>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bookmarkStart w:id="870" w:name="_Toc127151558"/>
      <w:r/>
      <w:bookmarkStart w:id="871" w:name="_Toc305158827"/>
      <w:r/>
      <w:bookmarkStart w:id="872" w:name="_Toc150480796"/>
      <w:r/>
      <w:bookmarkStart w:id="873" w:name="_Toc226337255"/>
      <w:r/>
      <w:bookmarkStart w:id="874" w:name="_Toc226309803"/>
      <w:r/>
      <w:bookmarkStart w:id="875" w:name="_Toc195842924"/>
      <w:r/>
      <w:bookmarkStart w:id="876" w:name="_Toc265228397"/>
      <w:r/>
      <w:bookmarkStart w:id="877" w:name="_Toc264969249"/>
      <w:r/>
      <w:bookmarkStart w:id="878" w:name="_Toc142311060"/>
      <w:r/>
      <w:bookmarkStart w:id="879" w:name="_Toc226965832"/>
      <w:r/>
      <w:bookmarkStart w:id="880" w:name="_Toc226965749"/>
      <w:r/>
      <w:bookmarkStart w:id="881" w:name="_Toc150774763"/>
      <w:r/>
      <w:bookmarkStart w:id="882" w:name="_Toc305158901"/>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jc w:val="center"/>
        <w:spacing w:line="360" w:lineRule="exact"/>
        <w:rPr>
          <w:rFonts w:ascii="宋体" w:hAnsi="宋体"/>
          <w:b/>
          <w:color w:val="000000"/>
          <w:sz w:val="36"/>
          <w:szCs w:val="36"/>
        </w:rPr>
      </w:pPr>
      <w:r>
        <w:rPr>
          <w:rFonts w:hint="eastAsia" w:ascii="宋体" w:hAnsi="宋体"/>
          <w:b/>
          <w:color w:val="000000"/>
          <w:sz w:val="36"/>
          <w:szCs w:val="36"/>
        </w:rPr>
        <w:t xml:space="preserve">投标分项报价表</w:t>
      </w:r>
      <w:r>
        <w:rPr>
          <w:rFonts w:ascii="宋体" w:hAnsi="宋体"/>
          <w:b/>
          <w:color w:val="000000"/>
          <w:sz w:val="36"/>
          <w:szCs w:val="36"/>
        </w:rPr>
      </w:r>
      <w:r/>
    </w:p>
    <w:p>
      <w:pPr>
        <w:pStyle w:val="1071"/>
        <w:jc w:val="center"/>
        <w:spacing w:line="260" w:lineRule="exact"/>
        <w:rPr>
          <w:rFonts w:ascii="宋体" w:hAnsi="宋体"/>
          <w:color w:val="000000"/>
          <w:sz w:val="36"/>
          <w:szCs w:val="36"/>
        </w:rPr>
      </w:pPr>
      <w:r>
        <w:rPr>
          <w:rFonts w:ascii="宋体" w:hAnsi="宋体"/>
          <w:color w:val="000000"/>
          <w:sz w:val="36"/>
          <w:szCs w:val="36"/>
        </w:rPr>
      </w:r>
      <w:r/>
    </w:p>
    <w:p>
      <w:pPr>
        <w:pStyle w:val="1071"/>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71"/>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1"/>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1"/>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1071"/>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1"/>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71"/>
              <w:jc w:val="center"/>
              <w:spacing w:line="360" w:lineRule="auto"/>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tcW w:w="919" w:type="dxa"/>
            <w:vAlign w:val="center"/>
            <w:textDirection w:val="lrTb"/>
            <w:noWrap w:val="false"/>
          </w:tcPr>
          <w:p>
            <w:pPr>
              <w:pStyle w:val="1071"/>
              <w:jc w:val="center"/>
              <w:spacing w:line="360" w:lineRule="auto"/>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071"/>
              <w:jc w:val="center"/>
              <w:spacing w:line="360" w:lineRule="auto"/>
              <w:widowControl/>
              <w:rPr>
                <w:rFonts w:ascii="宋体" w:hAnsi="宋体" w:cs="Arial"/>
                <w:color w:val="000000"/>
                <w:sz w:val="24"/>
              </w:rPr>
            </w:pPr>
            <w:r>
              <w:rPr>
                <w:rFonts w:ascii="宋体" w:hAnsi="宋体" w:cs="Arial"/>
                <w:color w:val="000000"/>
                <w:sz w:val="24"/>
              </w:rPr>
            </w:r>
            <w:r/>
          </w:p>
        </w:tc>
      </w:tr>
      <w:tr>
        <w:trPr>
          <w:trHeight w:val="480"/>
        </w:trPr>
        <w:tc>
          <w:tcPr>
            <w:gridSpan w:val="9"/>
            <w:tcW w:w="8688" w:type="dxa"/>
            <w:vAlign w:val="center"/>
            <w:textDirection w:val="lrTb"/>
            <w:noWrap w:val="false"/>
          </w:tcPr>
          <w:p>
            <w:pPr>
              <w:pStyle w:val="1071"/>
              <w:jc w:val="left"/>
              <w:spacing w:line="360" w:lineRule="auto"/>
              <w:widowControl/>
              <w:rPr>
                <w:rFonts w:ascii="宋体" w:hAnsi="宋体" w:cs="Arial"/>
                <w:color w:val="000000"/>
                <w:sz w:val="24"/>
              </w:rPr>
            </w:pPr>
            <w:r>
              <w:rPr>
                <w:rFonts w:hint="eastAsia" w:ascii="宋体" w:hAnsi="宋体" w:cs="Arial"/>
                <w:color w:val="000000"/>
                <w:sz w:val="24"/>
                <w:highlight w:val="yellow"/>
              </w:rPr>
              <w:t xml:space="preserve">本采购包中提供的符合本国产品标准的产品成本之和占该采购包提供的全部产品成本之和的比例为***%。</w:t>
            </w:r>
            <w:r>
              <w:rPr>
                <w:rFonts w:ascii="宋体" w:hAnsi="宋体" w:cs="Arial"/>
                <w:color w:val="000000"/>
                <w:sz w:val="24"/>
              </w:rPr>
            </w:r>
            <w:r/>
          </w:p>
        </w:tc>
      </w:tr>
    </w:tbl>
    <w:p>
      <w:pPr>
        <w:pStyle w:val="1071"/>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1"/>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1"/>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1"/>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1"/>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1"/>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上述各项的详细规格</w:t>
      </w:r>
      <w:r>
        <w:rPr>
          <w:rFonts w:hint="eastAsia" w:ascii="宋体" w:hAnsi="宋体"/>
          <w:color w:val="000000"/>
          <w:sz w:val="24"/>
        </w:rPr>
        <w:t xml:space="preserve">、技术参数如表格中填写不下的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1"/>
        <w:spacing w:before="25" w:after="25"/>
        <w:rPr>
          <w:rFonts w:ascii="宋体" w:hAnsi="宋体"/>
          <w:color w:val="000000"/>
          <w:sz w:val="24"/>
          <w:highlight w:val="yellow"/>
          <w:lang w:val="zh-CN"/>
        </w:rPr>
      </w:pPr>
      <w:r>
        <w:rPr>
          <w:rFonts w:ascii="宋体" w:hAnsi="宋体"/>
          <w:color w:val="000000"/>
          <w:sz w:val="24"/>
          <w:lang w:val="zh-CN"/>
        </w:rPr>
        <w:t xml:space="preserve">  </w:t>
      </w:r>
      <w:r>
        <w:rPr>
          <w:rFonts w:hint="eastAsia" w:ascii="宋体" w:hAnsi="宋体"/>
          <w:color w:val="000000"/>
          <w:sz w:val="24"/>
        </w:rPr>
        <w:t xml:space="preserve"> </w:t>
      </w:r>
      <w:r>
        <w:rPr>
          <w:rFonts w:ascii="宋体" w:hAnsi="宋体"/>
          <w:color w:val="000000"/>
          <w:sz w:val="24"/>
          <w:highlight w:val="yellow"/>
          <w:lang w:val="zh-CN"/>
        </w:rPr>
        <w:t xml:space="preserve"> </w:t>
      </w:r>
      <w:r>
        <w:rPr>
          <w:rFonts w:hint="eastAsia" w:ascii="宋体" w:hAnsi="宋体"/>
          <w:color w:val="000000"/>
          <w:sz w:val="24"/>
          <w:highlight w:val="yellow"/>
        </w:rPr>
        <w:t xml:space="preserve">5.</w:t>
      </w:r>
      <w:r>
        <w:rPr>
          <w:rFonts w:hint="eastAsia" w:ascii="宋体" w:hAnsi="宋体"/>
          <w:color w:val="000000"/>
          <w:sz w:val="24"/>
          <w:highlight w:val="yellow"/>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yellow"/>
          <w:lang w:val="zh-CN"/>
        </w:rPr>
        <w:t xml:space="preserve">             </w:t>
      </w:r>
      <w:r>
        <w:rPr>
          <w:rFonts w:ascii="宋体" w:hAnsi="宋体"/>
          <w:color w:val="000000"/>
          <w:sz w:val="24"/>
          <w:highlight w:val="yellow"/>
          <w:lang w:val="zh-CN"/>
        </w:rPr>
      </w:r>
      <w:r/>
    </w:p>
    <w:p>
      <w:pPr>
        <w:pStyle w:val="1071"/>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rPr>
        <w:t xml:space="preserve">日期：_____年______月______日</w:t>
      </w:r>
      <w:r>
        <w:rPr>
          <w:rFonts w:ascii="宋体" w:hAnsi="宋体"/>
          <w:color w:val="000000"/>
          <w:sz w:val="24"/>
          <w:highlight w:val="none"/>
          <w:lang w:val="zh-CN"/>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1"/>
        <w:spacing w:line="360" w:lineRule="auto"/>
        <w:rPr>
          <w:rFonts w:ascii="宋体" w:hAnsi="宋体"/>
          <w:b/>
          <w:color w:val="000000"/>
          <w:sz w:val="24"/>
          <w:szCs w:val="20"/>
          <w:highlight w:val="none"/>
        </w:rPr>
        <w:outlineLvl w:val="2"/>
      </w:pPr>
      <w:r/>
      <w:bookmarkStart w:id="883" w:name="_Toc226965835"/>
      <w:r/>
      <w:bookmarkStart w:id="884" w:name="_Toc264969252"/>
      <w:r/>
      <w:bookmarkStart w:id="885" w:name="_Toc226337258"/>
      <w:r/>
      <w:bookmarkStart w:id="886" w:name="_Toc127151562"/>
      <w:r/>
      <w:bookmarkStart w:id="887" w:name="_Toc265228400"/>
      <w:r/>
      <w:bookmarkStart w:id="888" w:name="_Toc142311062"/>
      <w:r/>
      <w:bookmarkStart w:id="889" w:name="_Toc305158830"/>
      <w:r/>
      <w:bookmarkStart w:id="890" w:name="_Toc305158904"/>
      <w:r/>
      <w:bookmarkStart w:id="891" w:name="_Toc226965752"/>
      <w:r/>
      <w:bookmarkStart w:id="892" w:name="_Toc195842927"/>
      <w:r/>
      <w:bookmarkStart w:id="893" w:name="_Toc226309806"/>
      <w:r/>
      <w:bookmarkStart w:id="894" w:name="_Toc150480798"/>
      <w:r/>
      <w:bookmarkStart w:id="895" w:name="_Toc150774765"/>
      <w:r/>
      <w:bookmarkStart w:id="896" w:name="_Toc195842926"/>
      <w:r/>
      <w:bookmarkStart w:id="897" w:name="_Toc226965751"/>
      <w:r/>
      <w:bookmarkStart w:id="898" w:name="_Toc305158903"/>
      <w:r/>
      <w:bookmarkStart w:id="899" w:name="_Toc226309805"/>
      <w:r/>
      <w:bookmarkStart w:id="900" w:name="_Toc226337257"/>
      <w:r/>
      <w:bookmarkStart w:id="901" w:name="_Toc127151561"/>
      <w:r/>
      <w:bookmarkStart w:id="902" w:name="_Toc150774764"/>
      <w:r/>
      <w:bookmarkStart w:id="903" w:name="_Toc265228399"/>
      <w:r/>
      <w:bookmarkStart w:id="904" w:name="_Toc226965834"/>
      <w:r/>
      <w:bookmarkStart w:id="905" w:name="_Toc305158829"/>
      <w:r/>
      <w:bookmarkStart w:id="906" w:name="_Toc150480797"/>
      <w:r/>
      <w:bookmarkStart w:id="907" w:name="_Toc142311061"/>
      <w:r/>
      <w:bookmarkStart w:id="908" w:name="_Toc264969251"/>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1"/>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1"/>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1"/>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1"/>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1"/>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1"/>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1"/>
              <w:jc w:val="center"/>
              <w:rPr>
                <w:rFonts w:ascii="宋体" w:hAnsi="宋体"/>
                <w:color w:val="000000"/>
                <w:sz w:val="24"/>
                <w:highlight w:val="none"/>
              </w:rPr>
            </w:pPr>
            <w:r>
              <w:rPr>
                <w:rFonts w:ascii="宋体" w:hAnsi="宋体"/>
                <w:color w:val="000000"/>
                <w:sz w:val="24"/>
                <w:highlight w:val="none"/>
              </w:rPr>
            </w:r>
            <w:r/>
          </w:p>
        </w:tc>
      </w:tr>
    </w:tbl>
    <w:p>
      <w:pPr>
        <w:pStyle w:val="1071"/>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1"/>
        <w:rPr>
          <w:rFonts w:ascii="宋体" w:hAnsi="宋体"/>
          <w:color w:val="000000"/>
          <w:sz w:val="24"/>
          <w:szCs w:val="20"/>
          <w:highlight w:val="none"/>
        </w:rPr>
      </w:pPr>
      <w:r>
        <w:rPr>
          <w:rFonts w:ascii="宋体" w:hAnsi="宋体"/>
          <w:color w:val="000000"/>
          <w:sz w:val="24"/>
          <w:szCs w:val="20"/>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1"/>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1"/>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6"/>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1"/>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1"/>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1"/>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1"/>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1"/>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1"/>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1"/>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lang w:val="en-US" w:eastAsia="zh-CN"/>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hint="eastAsia" w:ascii="宋体" w:hAnsi="宋体"/>
          <w:color w:val="000000"/>
          <w:sz w:val="24"/>
          <w:highlight w:val="none"/>
          <w:u w:val="single"/>
        </w:rPr>
        <w:t xml:space="preserve">:</w:t>
      </w:r>
      <w:r>
        <w:rPr>
          <w:rFonts w:ascii="宋体" w:hAnsi="宋体"/>
          <w:color w:val="000000"/>
          <w:sz w:val="24"/>
          <w:highlight w:val="none"/>
        </w:rPr>
        <w:t xml:space="preserve">人，营业收入为</w:t>
      </w:r>
      <w:r>
        <w:rPr>
          <w:rFonts w:hint="eastAsia" w:ascii="宋体" w:hAnsi="宋体"/>
          <w:color w:val="000000"/>
          <w:sz w:val="24"/>
          <w:highlight w:val="none"/>
          <w:u w:val="single"/>
        </w:rPr>
        <w:t xml:space="preserve">:</w:t>
      </w:r>
      <w:r>
        <w:rPr>
          <w:rFonts w:ascii="宋体" w:hAnsi="宋体"/>
          <w:color w:val="000000"/>
          <w:sz w:val="24"/>
          <w:highlight w:val="none"/>
        </w:rPr>
        <w:t xml:space="preserve">万元，资产总额为</w:t>
      </w:r>
      <w:r>
        <w:rPr>
          <w:rFonts w:hint="eastAsia" w:ascii="宋体" w:hAnsi="宋体"/>
          <w:color w:val="000000"/>
          <w:sz w:val="24"/>
          <w:highlight w:val="none"/>
          <w:u w:val="single"/>
        </w:rPr>
        <w:t xml:space="preserve">:</w:t>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1"/>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1"/>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1"/>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1"/>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1"/>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1"/>
        <w:ind w:firstLine="420"/>
        <w:jc w:val="left"/>
        <w:rPr>
          <w:rFonts w:ascii="宋体" w:hAnsi="宋体"/>
          <w:color w:val="000000"/>
          <w:sz w:val="24"/>
          <w:highlight w:val="none"/>
        </w:rPr>
      </w:pPr>
      <w:r>
        <w:rPr>
          <w:rFonts w:ascii="宋体" w:hAnsi="宋体"/>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ind w:right="360"/>
        <w:jc w:val="center"/>
        <w:spacing w:line="360" w:lineRule="auto"/>
        <w:rPr>
          <w:rFonts w:ascii="宋体" w:hAnsi="宋体"/>
          <w:color w:val="000000"/>
          <w:sz w:val="36"/>
          <w:szCs w:val="36"/>
          <w:highlight w:val="none"/>
        </w:rPr>
      </w:pPr>
      <w:r>
        <w:rPr>
          <w:rFonts w:ascii="宋体" w:hAnsi="宋体"/>
          <w:b/>
          <w:bCs/>
          <w:color w:val="000000"/>
          <w:sz w:val="36"/>
          <w:szCs w:val="36"/>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1"/>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1"/>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1"/>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1"/>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1"/>
        <w:spacing w:line="360" w:lineRule="auto"/>
        <w:rPr>
          <w:rFonts w:ascii="宋体" w:hAnsi="宋体"/>
          <w:color w:val="000000"/>
          <w:sz w:val="24"/>
          <w:szCs w:val="20"/>
          <w:highlight w:val="yellow"/>
        </w:rPr>
        <w:outlineLvl w:val="2"/>
      </w:pPr>
      <w:r>
        <w:rPr>
          <w:color w:val="000000"/>
          <w:szCs w:val="20"/>
          <w:highlight w:val="none"/>
        </w:rPr>
        <w:br w:type="page" w:clear="all"/>
      </w:r>
      <w:r>
        <w:rPr>
          <w:rFonts w:hint="eastAsia" w:ascii="宋体" w:hAnsi="宋体"/>
          <w:b/>
          <w:color w:val="000000"/>
          <w:sz w:val="24"/>
          <w:szCs w:val="20"/>
        </w:rPr>
        <w:t xml:space="preserve">10</w:t>
      </w:r>
      <w:r>
        <w:rPr>
          <w:rFonts w:hint="eastAsia" w:ascii="宋体" w:hAnsi="宋体"/>
          <w:b/>
          <w:color w:val="000000"/>
          <w:sz w:val="24"/>
          <w:szCs w:val="20"/>
          <w:highlight w:val="yellow"/>
        </w:rPr>
        <w:t xml:space="preserve">  关于符合本国产品标准的声明函</w:t>
      </w:r>
      <w:r>
        <w:rPr>
          <w:rFonts w:hint="eastAsia" w:ascii="方正魏碑_GBK" w:hAnsi="方正魏碑_GBK" w:eastAsia="方正魏碑_GBK" w:cs="方正魏碑_GBK"/>
          <w:b/>
          <w:color w:val="000000"/>
          <w:sz w:val="24"/>
          <w:highlight w:val="yellow"/>
        </w:rPr>
        <w:t xml:space="preserve">（采购包号：**）</w:t>
      </w:r>
      <w:r>
        <w:rPr>
          <w:rFonts w:ascii="宋体" w:hAnsi="宋体"/>
          <w:color w:val="000000"/>
          <w:sz w:val="24"/>
          <w:szCs w:val="20"/>
          <w:highlight w:val="yellow"/>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r>
      <w:r/>
    </w:p>
    <w:p>
      <w:pPr>
        <w:pStyle w:val="1132"/>
        <w:ind w:firstLine="420"/>
        <w:spacing w:before="0" w:beforeAutospacing="0" w:after="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shd w:val="clear" w:color="auto" w:fill="ffffff"/>
        </w:rPr>
        <w:t xml:space="preserve">1.</w:t>
      </w:r>
      <w:r>
        <w:rPr>
          <w:rStyle w:val="1145"/>
          <w:rFonts w:hint="eastAsia" w:ascii="方正魏碑_GBK" w:hAnsi="方正魏碑_GBK" w:eastAsia="方正魏碑_GBK" w:cs="方正魏碑_GBK"/>
          <w:color w:val="000000"/>
          <w:highlight w:val="yellow"/>
          <w:u w:val="single"/>
          <w:shd w:val="clear" w:color="auto" w:fill="ffffff"/>
        </w:rPr>
        <w:t xml:space="preserve">（产品名称1）</w:t>
      </w:r>
      <w:r>
        <w:rPr>
          <w:rStyle w:val="1145"/>
          <w:rFonts w:hint="eastAsia" w:ascii="方正魏碑_GBK" w:hAnsi="方正魏碑_GBK" w:eastAsia="方正魏碑_GBK" w:cs="方正魏碑_GBK"/>
          <w:color w:val="000000"/>
          <w:highlight w:val="yellow"/>
          <w:shd w:val="clear" w:color="auto" w:fill="ffffff"/>
          <w:vertAlign w:val="superscript"/>
        </w:rPr>
        <w:t xml:space="preserve">1</w:t>
      </w:r>
      <w:r>
        <w:rPr>
          <w:rFonts w:hint="eastAsia" w:ascii="方正魏碑_GBK" w:hAnsi="方正魏碑_GBK" w:eastAsia="方正魏碑_GBK" w:cs="方正魏碑_GBK"/>
          <w:color w:val="000000"/>
          <w:highlight w:val="yellow"/>
          <w:shd w:val="clear" w:color="auto" w:fill="ffffff"/>
        </w:rPr>
        <w:t xml:space="preserve">，生产厂为</w:t>
      </w:r>
      <w:r>
        <w:rPr>
          <w:rStyle w:val="1145"/>
          <w:rFonts w:hint="eastAsia" w:ascii="方正魏碑_GBK" w:hAnsi="方正魏碑_GBK" w:eastAsia="方正魏碑_GBK" w:cs="方正魏碑_GBK"/>
          <w:color w:val="000000"/>
          <w:highlight w:val="yellow"/>
          <w:u w:val="single"/>
          <w:shd w:val="clear" w:color="auto" w:fill="ffffff"/>
        </w:rPr>
        <w:t xml:space="preserve">（厂名）</w:t>
      </w:r>
      <w:r>
        <w:rPr>
          <w:rStyle w:val="1145"/>
          <w:rFonts w:hint="eastAsia" w:ascii="方正魏碑_GBK" w:hAnsi="方正魏碑_GBK" w:eastAsia="方正魏碑_GBK" w:cs="方正魏碑_GBK"/>
          <w:color w:val="000000"/>
          <w:highlight w:val="yellow"/>
          <w:shd w:val="clear" w:color="auto" w:fill="ffffff"/>
          <w:vertAlign w:val="superscript"/>
        </w:rPr>
        <w:t xml:space="preserve">2</w:t>
      </w:r>
      <w:r>
        <w:rPr>
          <w:rFonts w:hint="eastAsia" w:ascii="方正魏碑_GBK" w:hAnsi="方正魏碑_GBK" w:eastAsia="方正魏碑_GBK" w:cs="方正魏碑_GBK"/>
          <w:color w:val="000000"/>
          <w:highlight w:val="yellow"/>
          <w:shd w:val="clear" w:color="auto" w:fill="ffffff"/>
        </w:rPr>
        <w:t xml:space="preserve">，厂址为</w:t>
      </w:r>
      <w:r>
        <w:rPr>
          <w:rStyle w:val="1145"/>
          <w:rFonts w:hint="eastAsia" w:ascii="方正魏碑_GBK" w:hAnsi="方正魏碑_GBK" w:eastAsia="方正魏碑_GBK" w:cs="方正魏碑_GBK"/>
          <w:color w:val="000000"/>
          <w:highlight w:val="yellow"/>
          <w:u w:val="single"/>
          <w:shd w:val="clear" w:color="auto" w:fill="ffffff"/>
        </w:rPr>
        <w:t xml:space="preserve">（生产厂址）</w:t>
      </w:r>
      <w:r>
        <w:rPr>
          <w:rFonts w:hint="eastAsia" w:ascii="方正魏碑_GBK" w:hAnsi="方正魏碑_GBK" w:eastAsia="方正魏碑_GBK" w:cs="方正魏碑_GBK"/>
          <w:color w:val="000000"/>
          <w:highlight w:val="yellow"/>
          <w:shd w:val="clear" w:color="auto" w:fill="ffffff"/>
        </w:rPr>
        <w:t xml:space="preserve">。</w:t>
      </w:r>
      <w:r>
        <w:rPr>
          <w:rFonts w:hint="eastAsia" w:ascii="方正魏碑_GBK" w:hAnsi="方正魏碑_GBK" w:eastAsia="方正魏碑_GBK" w:cs="方正魏碑_GBK"/>
          <w:color w:val="000000"/>
          <w:highlight w:val="yellow"/>
          <w:u w:val="single"/>
          <w:shd w:val="clear" w:color="auto" w:fill="ffffff"/>
        </w:rPr>
        <w:t xml:space="preserve"> </w:t>
      </w:r>
      <w:r>
        <w:rPr>
          <w:rStyle w:val="1145"/>
          <w:rFonts w:hint="eastAsia" w:ascii="方正魏碑_GBK" w:hAnsi="方正魏碑_GBK" w:eastAsia="方正魏碑_GBK" w:cs="方正魏碑_GBK"/>
          <w:color w:val="000000"/>
          <w:highlight w:val="yellow"/>
          <w:u w:val="single"/>
          <w:shd w:val="clear" w:color="auto" w:fill="ffffff"/>
        </w:rPr>
        <w:t xml:space="preserve">（产品名称1） </w:t>
      </w:r>
      <w:r>
        <w:rPr>
          <w:rFonts w:hint="eastAsia" w:ascii="方正魏碑_GBK" w:hAnsi="方正魏碑_GBK" w:eastAsia="方正魏碑_GBK" w:cs="方正魏碑_GBK"/>
          <w:color w:val="000000"/>
          <w:highlight w:val="yellow"/>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yellow"/>
          <w:u w:val="single"/>
          <w:shd w:val="clear" w:color="auto" w:fill="ffffff"/>
        </w:rPr>
        <w:t xml:space="preserve">（规定</w:t>
      </w:r>
      <w:r>
        <w:rPr>
          <w:rStyle w:val="1145"/>
          <w:rFonts w:ascii="方正魏碑_GBK" w:hAnsi="方正魏碑_GBK" w:eastAsia="方正魏碑_GBK" w:cs="方正魏碑_GBK"/>
          <w:color w:val="000000"/>
          <w:highlight w:val="yellow"/>
          <w:u w:val="single"/>
          <w:shd w:val="clear" w:color="auto" w:fill="ffffff"/>
        </w:rPr>
        <w:t xml:space="preserve">比例</w:t>
      </w:r>
      <w:r>
        <w:rPr>
          <w:rStyle w:val="1145"/>
          <w:rFonts w:hint="eastAsia" w:ascii="方正魏碑_GBK" w:hAnsi="方正魏碑_GBK" w:eastAsia="方正魏碑_GBK" w:cs="方正魏碑_GBK"/>
          <w:color w:val="000000"/>
          <w:highlight w:val="yellow"/>
          <w:u w:val="single"/>
          <w:shd w:val="clear" w:color="auto" w:fill="ffffff"/>
        </w:rPr>
        <w:t xml:space="preserve">）</w:t>
      </w:r>
      <w:r>
        <w:rPr>
          <w:rStyle w:val="1145"/>
          <w:rFonts w:hint="eastAsia" w:ascii="方正魏碑_GBK" w:hAnsi="方正魏碑_GBK" w:eastAsia="方正魏碑_GBK" w:cs="方正魏碑_GBK"/>
          <w:color w:val="000000"/>
          <w:highlight w:val="yellow"/>
          <w:shd w:val="clear" w:color="auto" w:fill="ffffff"/>
          <w:vertAlign w:val="superscript"/>
        </w:rPr>
        <w:t xml:space="preserve">3</w:t>
      </w:r>
      <w:r>
        <w:rPr>
          <w:rFonts w:hint="eastAsia" w:ascii="方正魏碑_GBK" w:hAnsi="方正魏碑_GBK" w:eastAsia="方正魏碑_GBK" w:cs="方正魏碑_GBK"/>
          <w:color w:val="000000"/>
          <w:highlight w:val="yellow"/>
          <w:shd w:val="clear" w:color="auto" w:fill="ffffff"/>
        </w:rPr>
        <w:t xml:space="preserve">。</w:t>
      </w:r>
      <w:r>
        <w:rPr>
          <w:rStyle w:val="1145"/>
          <w:rFonts w:hint="eastAsia" w:ascii="方正魏碑_GBK" w:hAnsi="方正魏碑_GBK" w:eastAsia="方正魏碑_GBK" w:cs="方正魏碑_GBK"/>
          <w:color w:val="000000"/>
          <w:highlight w:val="yellow"/>
          <w:u w:val="single"/>
          <w:shd w:val="clear" w:color="auto" w:fill="ffffff"/>
        </w:rPr>
        <w:t xml:space="preserve">（产品名称1）</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w:t>
      </w:r>
      <w:r>
        <w:rPr>
          <w:rStyle w:val="1145"/>
          <w:rFonts w:ascii="方正魏碑_GBK" w:hAnsi="方正魏碑_GBK" w:eastAsia="方正魏碑_GBK" w:cs="方正魏碑_GBK"/>
          <w:color w:val="000000"/>
          <w:highlight w:val="yellow"/>
          <w:u w:val="single"/>
          <w:shd w:val="clear" w:color="auto" w:fill="ffffff"/>
        </w:rPr>
        <w:t xml:space="preserve">组件</w:t>
      </w:r>
      <w:r>
        <w:rPr>
          <w:rStyle w:val="1145"/>
          <w:rFonts w:hint="eastAsia" w:ascii="方正魏碑_GBK" w:hAnsi="方正魏碑_GBK" w:eastAsia="方正魏碑_GBK" w:cs="方正魏碑_GBK"/>
          <w:color w:val="000000"/>
          <w:highlight w:val="yellow"/>
          <w:u w:val="single"/>
          <w:shd w:val="clear" w:color="auto" w:fill="ffffff"/>
        </w:rPr>
        <w:t xml:space="preserve">）</w:t>
      </w:r>
      <w:r>
        <w:rPr>
          <w:rStyle w:val="1145"/>
          <w:rFonts w:hint="eastAsia" w:ascii="方正魏碑_GBK" w:hAnsi="方正魏碑_GBK" w:eastAsia="方正魏碑_GBK" w:cs="方正魏碑_GBK"/>
          <w:color w:val="000000"/>
          <w:highlight w:val="yellow"/>
          <w:shd w:val="clear" w:color="auto" w:fill="ffffff"/>
          <w:vertAlign w:val="superscript"/>
        </w:rPr>
        <w:t xml:space="preserve">4</w:t>
      </w:r>
      <w:r>
        <w:rPr>
          <w:rFonts w:hint="eastAsia" w:ascii="方正魏碑_GBK" w:hAnsi="方正魏碑_GBK" w:eastAsia="方正魏碑_GBK" w:cs="方正魏碑_GBK"/>
          <w:color w:val="000000"/>
          <w:highlight w:val="yellow"/>
          <w:shd w:val="clear" w:color="auto" w:fill="ffffff"/>
        </w:rPr>
        <w:t xml:space="preserve">在中国境内生产。</w:t>
      </w:r>
      <w:r>
        <w:rPr>
          <w:rStyle w:val="1145"/>
          <w:rFonts w:hint="eastAsia" w:ascii="方正魏碑_GBK" w:hAnsi="方正魏碑_GBK" w:eastAsia="方正魏碑_GBK" w:cs="方正魏碑_GBK"/>
          <w:color w:val="000000"/>
          <w:highlight w:val="yellow"/>
          <w:u w:val="single"/>
          <w:shd w:val="clear" w:color="auto" w:fill="ffffff"/>
        </w:rPr>
        <w:t xml:space="preserve">（产品名称1）</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（关键工序）</w:t>
      </w:r>
      <w:r>
        <w:rPr>
          <w:rStyle w:val="1145"/>
          <w:rFonts w:hint="eastAsia" w:ascii="方正魏碑_GBK" w:hAnsi="方正魏碑_GBK" w:eastAsia="方正魏碑_GBK" w:cs="方正魏碑_GBK"/>
          <w:color w:val="000000"/>
          <w:highlight w:val="yellow"/>
          <w:shd w:val="clear" w:color="auto" w:fill="ffffff"/>
          <w:vertAlign w:val="superscript"/>
        </w:rPr>
        <w:t xml:space="preserve">5</w:t>
      </w:r>
      <w:r>
        <w:rPr>
          <w:rFonts w:hint="eastAsia" w:ascii="方正魏碑_GBK" w:hAnsi="方正魏碑_GBK" w:eastAsia="方正魏碑_GBK" w:cs="方正魏碑_GBK"/>
          <w:color w:val="000000"/>
          <w:highlight w:val="yellow"/>
          <w:shd w:val="clear" w:color="auto" w:fill="ffffff"/>
        </w:rPr>
        <w:t xml:space="preserve">在中国境内完成。</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yellow"/>
          <w:shd w:val="clear" w:color="auto" w:fill="ffffff"/>
        </w:rPr>
        <w:t xml:space="preserve">2.</w:t>
      </w:r>
      <w:r>
        <w:rPr>
          <w:rStyle w:val="1145"/>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，生产厂为</w:t>
      </w:r>
      <w:r>
        <w:rPr>
          <w:rStyle w:val="1145"/>
          <w:rFonts w:hint="eastAsia" w:ascii="方正魏碑_GBK" w:hAnsi="方正魏碑_GBK" w:eastAsia="方正魏碑_GBK" w:cs="方正魏碑_GBK"/>
          <w:color w:val="000000"/>
          <w:highlight w:val="yellow"/>
          <w:u w:val="single"/>
          <w:shd w:val="clear" w:color="auto" w:fill="ffffff"/>
        </w:rPr>
        <w:t xml:space="preserve">（厂名）</w:t>
      </w:r>
      <w:r>
        <w:rPr>
          <w:rFonts w:hint="eastAsia" w:ascii="方正魏碑_GBK" w:hAnsi="方正魏碑_GBK" w:eastAsia="方正魏碑_GBK" w:cs="方正魏碑_GBK"/>
          <w:color w:val="000000"/>
          <w:highlight w:val="yellow"/>
          <w:shd w:val="clear" w:color="auto" w:fill="ffffff"/>
        </w:rPr>
        <w:t xml:space="preserve">，厂址为</w:t>
      </w:r>
      <w:r>
        <w:rPr>
          <w:rStyle w:val="1145"/>
          <w:rFonts w:hint="eastAsia" w:ascii="方正魏碑_GBK" w:hAnsi="方正魏碑_GBK" w:eastAsia="方正魏碑_GBK" w:cs="方正魏碑_GBK"/>
          <w:color w:val="000000"/>
          <w:highlight w:val="yellow"/>
          <w:u w:val="single"/>
          <w:shd w:val="clear" w:color="auto" w:fill="ffffff"/>
        </w:rPr>
        <w:t xml:space="preserve">（生产厂址）</w:t>
      </w:r>
      <w:r>
        <w:rPr>
          <w:rFonts w:hint="eastAsia" w:ascii="方正魏碑_GBK" w:hAnsi="方正魏碑_GBK" w:eastAsia="方正魏碑_GBK" w:cs="方正魏碑_GBK"/>
          <w:color w:val="000000"/>
          <w:highlight w:val="yellow"/>
          <w:shd w:val="clear" w:color="auto" w:fill="ffffff"/>
        </w:rPr>
        <w:t xml:space="preserve">。</w:t>
      </w:r>
      <w:r>
        <w:rPr>
          <w:rStyle w:val="1145"/>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的中国境内生产的组件成本占比≥</w:t>
      </w:r>
      <w:r>
        <w:rPr>
          <w:rStyle w:val="1145"/>
          <w:rFonts w:hint="eastAsia" w:ascii="方正魏碑_GBK" w:hAnsi="方正魏碑_GBK" w:eastAsia="方正魏碑_GBK" w:cs="方正魏碑_GBK"/>
          <w:color w:val="000000"/>
          <w:highlight w:val="yellow"/>
          <w:u w:val="single"/>
          <w:shd w:val="clear" w:color="auto" w:fill="ffffff"/>
        </w:rPr>
        <w:t xml:space="preserve">（规定</w:t>
      </w:r>
      <w:r>
        <w:rPr>
          <w:rStyle w:val="1145"/>
          <w:rFonts w:ascii="方正魏碑_GBK" w:hAnsi="方正魏碑_GBK" w:eastAsia="方正魏碑_GBK" w:cs="方正魏碑_GBK"/>
          <w:color w:val="000000"/>
          <w:highlight w:val="yellow"/>
          <w:u w:val="single"/>
          <w:shd w:val="clear" w:color="auto" w:fill="ffffff"/>
        </w:rPr>
        <w:t xml:space="preserve">比例</w:t>
      </w:r>
      <w:r>
        <w:rPr>
          <w:rStyle w:val="1145"/>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w:t>
      </w:r>
      <w:r>
        <w:rPr>
          <w:rStyle w:val="1145"/>
          <w:rFonts w:hint="eastAsia" w:ascii="方正魏碑_GBK" w:hAnsi="方正魏碑_GBK" w:eastAsia="方正魏碑_GBK" w:cs="方正魏碑_GBK"/>
          <w:color w:val="000000"/>
          <w:highlight w:val="yellow"/>
          <w:u w:val="single"/>
          <w:shd w:val="clear" w:color="auto" w:fill="ffffff"/>
        </w:rPr>
        <w:t xml:space="preserve">（产品名称2）</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w:t>
      </w:r>
      <w:r>
        <w:rPr>
          <w:rStyle w:val="1145"/>
          <w:rFonts w:ascii="方正魏碑_GBK" w:hAnsi="方正魏碑_GBK" w:eastAsia="方正魏碑_GBK" w:cs="方正魏碑_GBK"/>
          <w:color w:val="000000"/>
          <w:highlight w:val="yellow"/>
          <w:u w:val="single"/>
          <w:shd w:val="clear" w:color="auto" w:fill="ffffff"/>
        </w:rPr>
        <w:t xml:space="preserve">组件</w:t>
      </w:r>
      <w:r>
        <w:rPr>
          <w:rStyle w:val="1145"/>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在中国境内生产。</w:t>
      </w:r>
      <w:r>
        <w:rPr>
          <w:rStyle w:val="1145"/>
          <w:rFonts w:hint="eastAsia" w:ascii="方正魏碑_GBK" w:hAnsi="方正魏碑_GBK" w:eastAsia="方正魏碑_GBK" w:cs="方正魏碑_GBK"/>
          <w:color w:val="000000"/>
          <w:highlight w:val="yellow"/>
          <w:u w:val="single"/>
          <w:shd w:val="clear" w:color="auto" w:fill="ffffff"/>
        </w:rPr>
        <w:t xml:space="preserve">（产品名称</w:t>
      </w:r>
      <w:r>
        <w:rPr>
          <w:rStyle w:val="1145"/>
          <w:rFonts w:hint="eastAsia" w:ascii="方正魏碑_GBK" w:hAnsi="方正魏碑_GBK" w:eastAsia="方正魏碑_GBK" w:cs="方正魏碑_GBK"/>
          <w:color w:val="000000"/>
          <w:highlight w:val="yellow"/>
          <w:u w:val="single"/>
          <w:shd w:val="clear" w:color="auto" w:fill="ffffff"/>
          <w:lang w:val="en-US" w:eastAsia="zh-CN"/>
        </w:rPr>
        <w:t xml:space="preserve">2</w:t>
      </w:r>
      <w:r>
        <w:rPr>
          <w:rStyle w:val="1145"/>
          <w:rFonts w:hint="eastAsia" w:ascii="方正魏碑_GBK" w:hAnsi="方正魏碑_GBK" w:eastAsia="方正魏碑_GBK" w:cs="方正魏碑_GBK"/>
          <w:color w:val="000000"/>
          <w:highlight w:val="yellow"/>
          <w:u w:val="single"/>
          <w:shd w:val="clear" w:color="auto" w:fill="ffffff"/>
        </w:rPr>
        <w:t xml:space="preserve">）</w:t>
      </w:r>
      <w:r>
        <w:rPr>
          <w:rFonts w:hint="eastAsia" w:ascii="方正魏碑_GBK" w:hAnsi="方正魏碑_GBK" w:eastAsia="方正魏碑_GBK" w:cs="方正魏碑_GBK"/>
          <w:color w:val="000000"/>
          <w:highlight w:val="yellow"/>
          <w:shd w:val="clear" w:color="auto" w:fill="ffffff"/>
        </w:rPr>
        <w:t xml:space="preserve">的</w:t>
      </w:r>
      <w:r>
        <w:rPr>
          <w:rStyle w:val="1145"/>
          <w:rFonts w:hint="eastAsia" w:ascii="方正魏碑_GBK" w:hAnsi="方正魏碑_GBK" w:eastAsia="方正魏碑_GBK" w:cs="方正魏碑_GBK"/>
          <w:color w:val="000000"/>
          <w:highlight w:val="yellow"/>
          <w:u w:val="single"/>
          <w:shd w:val="clear" w:color="auto" w:fill="ffffff"/>
        </w:rPr>
        <w:t xml:space="preserve">（关键工序）</w:t>
      </w:r>
      <w:r>
        <w:rPr>
          <w:rFonts w:hint="eastAsia" w:ascii="方正魏碑_GBK" w:hAnsi="方正魏碑_GBK" w:eastAsia="方正魏碑_GBK" w:cs="方正魏碑_GBK"/>
          <w:color w:val="000000"/>
          <w:highlight w:val="yellow"/>
          <w:shd w:val="clear" w:color="auto" w:fill="ffffff"/>
        </w:rPr>
        <w:t xml:space="preserve">在中国境内完成。</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w:t>
      </w:r>
      <w:r>
        <w:rPr>
          <w:rFonts w:hint="eastAsia" w:ascii="方正魏碑_GBK" w:hAnsi="方正魏碑_GBK" w:eastAsia="方正魏碑_GBK" w:cs="方正魏碑_GBK"/>
          <w:color w:val="000000"/>
          <w:highlight w:val="yellow"/>
        </w:rPr>
      </w:r>
      <w:r/>
    </w:p>
    <w:p>
      <w:pPr>
        <w:pStyle w:val="1132"/>
        <w:ind w:firstLine="4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rPr>
      </w:r>
      <w:r/>
    </w:p>
    <w:p>
      <w:pPr>
        <w:pStyle w:val="1132"/>
        <w:ind w:right="480" w:firstLine="3720"/>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公司（单位）名称（盖章）：　        </w:t>
      </w:r>
      <w:r>
        <w:rPr>
          <w:rFonts w:hint="eastAsia" w:ascii="方正魏碑_GBK" w:hAnsi="方正魏碑_GBK" w:eastAsia="方正魏碑_GBK" w:cs="方正魏碑_GBK"/>
          <w:color w:val="000000"/>
          <w:highlight w:val="yellow"/>
        </w:rPr>
      </w:r>
      <w:r/>
    </w:p>
    <w:p>
      <w:pPr>
        <w:pStyle w:val="1132"/>
        <w:jc w:val="center"/>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                    </w:t>
      </w:r>
      <w:r>
        <w:rPr>
          <w:rFonts w:ascii="方正魏碑_GBK" w:hAnsi="方正魏碑_GBK" w:eastAsia="方正魏碑_GBK" w:cs="方正魏碑_GBK"/>
          <w:color w:val="000000"/>
          <w:highlight w:val="yellow"/>
          <w:shd w:val="clear" w:color="auto" w:fill="ffffff"/>
        </w:rPr>
        <w:t xml:space="preserve">            </w:t>
      </w:r>
      <w:r>
        <w:rPr>
          <w:rFonts w:hint="eastAsia" w:ascii="方正魏碑_GBK" w:hAnsi="方正魏碑_GBK" w:eastAsia="方正魏碑_GBK" w:cs="方正魏碑_GBK"/>
          <w:color w:val="000000"/>
          <w:highlight w:val="yellow"/>
          <w:shd w:val="clear" w:color="auto" w:fill="ffffff"/>
        </w:rPr>
        <w:t xml:space="preserve">日期：　   年　  月　  日         </w:t>
      </w:r>
      <w:r>
        <w:rPr>
          <w:rFonts w:hint="eastAsia" w:ascii="方正魏碑_GBK" w:hAnsi="方正魏碑_GBK" w:eastAsia="方正魏碑_GBK" w:cs="方正魏碑_GBK"/>
          <w:color w:val="000000"/>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highlight w:val="yellow"/>
        </w:rPr>
      </w:pPr>
      <w:r>
        <w:rPr>
          <w:rFonts w:hint="eastAsia" w:ascii="方正魏碑_GBK" w:hAnsi="方正魏碑_GBK" w:eastAsia="方正魏碑_GBK" w:cs="方正魏碑_GBK"/>
          <w:color w:val="000000"/>
          <w:highlight w:val="yellow"/>
          <w:shd w:val="clear" w:color="auto" w:fill="ffffff"/>
        </w:rPr>
        <w:t xml:space="preserve">__________________</w:t>
      </w:r>
      <w:r>
        <w:rPr>
          <w:rFonts w:hint="eastAsia" w:ascii="方正魏碑_GBK" w:hAnsi="方正魏碑_GBK" w:eastAsia="方正魏碑_GBK" w:cs="方正魏碑_GBK"/>
          <w:color w:val="000000"/>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hint="eastAsia" w:ascii="方正魏碑_GBK" w:hAnsi="方正魏碑_GBK" w:eastAsia="方正魏碑_GBK" w:cs="方正魏碑_GBK"/>
          <w:color w:val="000000"/>
          <w:sz w:val="22"/>
          <w:highlight w:val="yellow"/>
        </w:rPr>
      </w:pPr>
      <w:r>
        <w:rPr>
          <w:rFonts w:hint="eastAsia" w:ascii="方正魏碑_GBK" w:hAnsi="方正魏碑_GBK" w:eastAsia="方正魏碑_GBK" w:cs="方正魏碑_GBK"/>
          <w:color w:val="000000"/>
          <w:sz w:val="22"/>
          <w:highlight w:val="yellow"/>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yellow"/>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yellow"/>
          <w:shd w:val="clear" w:color="auto" w:fill="ffffff"/>
        </w:rPr>
      </w:pPr>
      <w:r>
        <w:rPr>
          <w:rFonts w:hint="eastAsia" w:ascii="方正魏碑_GBK" w:hAnsi="方正魏碑_GBK" w:eastAsia="方正魏碑_GBK" w:cs="方正魏碑_GBK"/>
          <w:color w:val="000000"/>
          <w:sz w:val="22"/>
          <w:highlight w:val="yellow"/>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yellow"/>
          <w:shd w:val="clear" w:color="auto" w:fill="ffffff"/>
        </w:rPr>
      </w:r>
      <w:r/>
    </w:p>
    <w:p>
      <w:pPr>
        <w:pStyle w:val="1132"/>
        <w:spacing w:before="30" w:beforeAutospacing="0" w:after="30" w:afterAutospacing="0" w:line="0" w:lineRule="atLeast"/>
        <w:rPr>
          <w:rFonts w:ascii="方正魏碑_GBK" w:hAnsi="方正魏碑_GBK" w:eastAsia="方正魏碑_GBK" w:cs="方正魏碑_GBK"/>
          <w:color w:val="000000"/>
          <w:sz w:val="22"/>
          <w:highlight w:val="yellow"/>
          <w:shd w:val="clear" w:color="auto" w:fill="ffffff"/>
        </w:rPr>
      </w:pPr>
      <w:r>
        <w:rPr>
          <w:rFonts w:hint="eastAsia" w:ascii="方正魏碑_GBK" w:hAnsi="方正魏碑_GBK" w:eastAsia="方正魏碑_GBK" w:cs="方正魏碑_GBK"/>
          <w:color w:val="000000"/>
          <w:sz w:val="22"/>
          <w:highlight w:val="yellow"/>
          <w:shd w:val="clear" w:color="auto" w:fill="ffffff"/>
        </w:rPr>
        <w:t xml:space="preserve">6.用斜线划除的地方无需填写。</w:t>
      </w:r>
      <w:r>
        <w:rPr>
          <w:rFonts w:ascii="方正魏碑_GBK" w:hAnsi="方正魏碑_GBK" w:eastAsia="方正魏碑_GBK" w:cs="方正魏碑_GBK"/>
          <w:color w:val="000000"/>
          <w:sz w:val="22"/>
          <w:highlight w:val="yellow"/>
          <w:shd w:val="clear" w:color="auto" w:fill="ffffff"/>
        </w:rPr>
      </w:r>
      <w:r/>
    </w:p>
    <w:p>
      <w:pPr>
        <w:pStyle w:val="1132"/>
        <w:spacing w:before="30" w:beforeAutospacing="0" w:after="30" w:afterAutospacing="0" w:line="0" w:lineRule="atLeast"/>
        <w:rPr>
          <w:b/>
          <w:color w:val="000000"/>
          <w:szCs w:val="20"/>
          <w:highlight w:val="none"/>
        </w:rPr>
      </w:pPr>
      <w:r>
        <w:rPr>
          <w:rFonts w:hint="eastAsia"/>
          <w:b/>
          <w:color w:val="000000"/>
          <w:highlight w:val="none"/>
        </w:rPr>
        <w:br w:type="page" w:clear="all"/>
      </w:r>
      <w:r>
        <w:rPr>
          <w:rFonts w:hint="eastAsia"/>
          <w:b/>
          <w:color w:val="000000"/>
          <w:highlight w:val="none"/>
        </w:rPr>
        <w:t xml:space="preserve">1</w:t>
      </w:r>
      <w:r>
        <w:rPr>
          <w:rFonts w:hint="eastAsia"/>
          <w:b/>
          <w:color w:val="000000"/>
          <w:highlight w:val="none"/>
          <w:lang w:val="en-US" w:eastAsia="zh-CN"/>
        </w:rPr>
        <w:t xml:space="preserve">1</w:t>
      </w:r>
      <w:r>
        <w:rPr>
          <w:b/>
          <w:color w:val="000000"/>
          <w:highlight w:val="none"/>
        </w:rPr>
        <w:t xml:space="preserve">  </w:t>
      </w:r>
      <w:r>
        <w:rPr>
          <w:rFonts w:hint="eastAsia"/>
          <w:b/>
          <w:color w:val="000000"/>
          <w:highlight w:val="none"/>
        </w:rPr>
        <w:t xml:space="preserve">项目实施方案等，包括但不限于如下主题：</w:t>
      </w:r>
      <w:r>
        <w:rPr>
          <w:b/>
          <w:color w:val="000000"/>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1"/>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1"/>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1"/>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7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1"/>
        <w:spacing w:line="360" w:lineRule="auto"/>
        <w:rPr>
          <w:rFonts w:ascii="宋体" w:hAnsi="宋体"/>
          <w:color w:val="000000"/>
          <w:sz w:val="22"/>
          <w:highlight w:val="none"/>
        </w:rPr>
      </w:pPr>
      <w:r>
        <w:rPr>
          <w:rFonts w:ascii="宋体" w:hAnsi="宋体"/>
          <w:color w:val="000000"/>
          <w:sz w:val="22"/>
          <w:highlight w:val="none"/>
        </w:rPr>
      </w:r>
      <w:r/>
    </w:p>
    <w:p>
      <w:pPr>
        <w:pStyle w:val="107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1"/>
        <w:spacing w:line="360" w:lineRule="auto"/>
        <w:rPr>
          <w:rFonts w:ascii="宋体" w:hAnsi="宋体"/>
          <w:color w:val="000000"/>
          <w:sz w:val="24"/>
          <w:highlight w:val="none"/>
        </w:rPr>
      </w:pPr>
      <w:r>
        <w:rPr>
          <w:rFonts w:ascii="宋体" w:hAnsi="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9" w:name="_Toc288738397"/>
      <w:r/>
      <w:bookmarkStart w:id="910" w:name="_Toc288738839"/>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71"/>
        <w:rPr>
          <w:rFonts w:ascii="宋体" w:hAnsi="宋体"/>
          <w:color w:val="000000"/>
          <w:sz w:val="24"/>
          <w:szCs w:val="20"/>
          <w:highlight w:val="none"/>
        </w:rPr>
      </w:pPr>
      <w:r>
        <w:rPr>
          <w:rFonts w:ascii="宋体" w:hAnsi="宋体"/>
          <w:color w:val="000000"/>
          <w:sz w:val="24"/>
          <w:szCs w:val="20"/>
          <w:highlight w:val="none"/>
        </w:rPr>
      </w:r>
      <w:r/>
    </w:p>
    <w:p>
      <w:pPr>
        <w:pStyle w:val="1071"/>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9"/>
      <w:r/>
      <w:bookmarkEnd w:id="910"/>
      <w:r>
        <w:rPr>
          <w:rFonts w:ascii="宋体" w:hAnsi="宋体"/>
          <w:b/>
          <w:color w:val="000000"/>
          <w:sz w:val="32"/>
          <w:szCs w:val="32"/>
          <w:highlight w:val="none"/>
        </w:rPr>
      </w:r>
      <w:r/>
    </w:p>
    <w:p>
      <w:pPr>
        <w:pStyle w:val="107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1"/>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1"/>
        <w:spacing w:line="360" w:lineRule="auto"/>
        <w:rPr>
          <w:rFonts w:ascii="宋体" w:hAnsi="宋体" w:cs="宋体"/>
          <w:color w:val="000000"/>
          <w:sz w:val="24"/>
          <w:highlight w:val="none"/>
        </w:rPr>
      </w:pPr>
      <w:r>
        <w:rPr>
          <w:rFonts w:ascii="宋体" w:hAnsi="宋体" w:cs="宋体"/>
          <w:color w:val="000000"/>
          <w:sz w:val="24"/>
          <w:highlight w:val="none"/>
        </w:rPr>
      </w:r>
      <w:r/>
    </w:p>
    <w:p>
      <w:pPr>
        <w:pStyle w:val="1071"/>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1"/>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1"/>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1"/>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1"/>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rPr>
          <w:rFonts w:ascii="宋体" w:hAnsi="宋体"/>
          <w:color w:val="000000"/>
          <w:sz w:val="36"/>
          <w:szCs w:val="36"/>
          <w:highlight w:val="none"/>
        </w:rPr>
      </w:pPr>
      <w:r>
        <w:rPr>
          <w:rFonts w:ascii="宋体" w:hAnsi="宋体"/>
          <w:color w:val="000000"/>
          <w:sz w:val="36"/>
          <w:szCs w:val="36"/>
          <w:highlight w:val="none"/>
        </w:rPr>
      </w:r>
      <w:r/>
    </w:p>
    <w:p>
      <w:pPr>
        <w:pStyle w:val="1071"/>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1"/>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tabs>
        <w:tab w:val="center" w:pos="4153" w:leader="none"/>
        <w:tab w:val="right" w:pos="8306" w:leader="none"/>
      </w:tabs>
      <w:rPr>
        <w:rStyle w:val="1143"/>
      </w:rPr>
      <w:framePr w:wrap="around" w:vAnchor="text" w:hAnchor="margin" w:y="1"/>
    </w:pPr>
    <w:r>
      <w:rPr>
        <w:rStyle w:val="1143"/>
      </w:rPr>
    </w:r>
    <w:r/>
  </w:p>
  <w:p>
    <w:pPr>
      <w:pStyle w:val="1119"/>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r>
    <w:r/>
  </w:p>
  <w:p>
    <w:pPr>
      <w:pStyle w:val="1119"/>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tabs>
        <w:tab w:val="center" w:pos="4153" w:leader="none"/>
        <w:tab w:val="right" w:pos="8306" w:leader="none"/>
      </w:tabs>
    </w:pPr>
    <w:r/>
    <w:r/>
  </w:p>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p>
    <w:pPr>
      <w:pStyle w:val="107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1"/>
        <w:ind w:left="4941" w:hanging="1140"/>
        <w:tabs>
          <w:tab w:val="num" w:pos="4941" w:leader="none"/>
        </w:tabs>
      </w:pPr>
      <w:rPr>
        <w:rFonts w:hint="eastAsia"/>
      </w:rPr>
    </w:lvl>
    <w:lvl w:ilvl="1">
      <w:start w:val="1"/>
      <w:numFmt w:val="lowerLetter"/>
      <w:isLgl w:val="false"/>
      <w:suff w:val="tab"/>
      <w:lvlText w:val="%2)"/>
      <w:lvlJc w:val="left"/>
      <w:pPr>
        <w:pStyle w:val="1071"/>
        <w:ind w:left="4641" w:hanging="420"/>
        <w:tabs>
          <w:tab w:val="num" w:pos="4641" w:leader="none"/>
        </w:tabs>
      </w:pPr>
    </w:lvl>
    <w:lvl w:ilvl="2">
      <w:start w:val="1"/>
      <w:numFmt w:val="lowerRoman"/>
      <w:isLgl w:val="false"/>
      <w:suff w:val="tab"/>
      <w:lvlText w:val="%3."/>
      <w:lvlJc w:val="right"/>
      <w:pPr>
        <w:pStyle w:val="1071"/>
        <w:ind w:left="5061" w:hanging="420"/>
        <w:tabs>
          <w:tab w:val="num" w:pos="5061" w:leader="none"/>
        </w:tabs>
      </w:pPr>
    </w:lvl>
    <w:lvl w:ilvl="3">
      <w:start w:val="1"/>
      <w:numFmt w:val="decimal"/>
      <w:isLgl w:val="false"/>
      <w:suff w:val="tab"/>
      <w:lvlText w:val="%4."/>
      <w:lvlJc w:val="left"/>
      <w:pPr>
        <w:pStyle w:val="1071"/>
        <w:ind w:left="5481" w:hanging="420"/>
        <w:tabs>
          <w:tab w:val="num" w:pos="5481" w:leader="none"/>
        </w:tabs>
      </w:pPr>
    </w:lvl>
    <w:lvl w:ilvl="4">
      <w:start w:val="1"/>
      <w:numFmt w:val="lowerLetter"/>
      <w:isLgl w:val="false"/>
      <w:suff w:val="tab"/>
      <w:lvlText w:val="%5)"/>
      <w:lvlJc w:val="left"/>
      <w:pPr>
        <w:pStyle w:val="1071"/>
        <w:ind w:left="5901" w:hanging="420"/>
        <w:tabs>
          <w:tab w:val="num" w:pos="5901" w:leader="none"/>
        </w:tabs>
      </w:pPr>
    </w:lvl>
    <w:lvl w:ilvl="5">
      <w:start w:val="1"/>
      <w:numFmt w:val="lowerRoman"/>
      <w:isLgl w:val="false"/>
      <w:suff w:val="tab"/>
      <w:lvlText w:val="%6."/>
      <w:lvlJc w:val="right"/>
      <w:pPr>
        <w:pStyle w:val="1071"/>
        <w:ind w:left="6321" w:hanging="420"/>
        <w:tabs>
          <w:tab w:val="num" w:pos="6321" w:leader="none"/>
        </w:tabs>
      </w:pPr>
    </w:lvl>
    <w:lvl w:ilvl="6">
      <w:start w:val="1"/>
      <w:numFmt w:val="decimal"/>
      <w:isLgl w:val="false"/>
      <w:suff w:val="tab"/>
      <w:lvlText w:val="%7."/>
      <w:lvlJc w:val="left"/>
      <w:pPr>
        <w:pStyle w:val="1071"/>
        <w:ind w:left="6741" w:hanging="420"/>
        <w:tabs>
          <w:tab w:val="num" w:pos="6741" w:leader="none"/>
        </w:tabs>
      </w:pPr>
    </w:lvl>
    <w:lvl w:ilvl="7">
      <w:start w:val="1"/>
      <w:numFmt w:val="lowerLetter"/>
      <w:isLgl w:val="false"/>
      <w:suff w:val="tab"/>
      <w:lvlText w:val="%8)"/>
      <w:lvlJc w:val="left"/>
      <w:pPr>
        <w:pStyle w:val="1071"/>
        <w:ind w:left="7161" w:hanging="420"/>
        <w:tabs>
          <w:tab w:val="num" w:pos="7161" w:leader="none"/>
        </w:tabs>
      </w:pPr>
    </w:lvl>
    <w:lvl w:ilvl="8">
      <w:start w:val="1"/>
      <w:numFmt w:val="lowerRoman"/>
      <w:isLgl w:val="false"/>
      <w:suff w:val="tab"/>
      <w:lvlText w:val="%9."/>
      <w:lvlJc w:val="right"/>
      <w:pPr>
        <w:pStyle w:val="1071"/>
        <w:ind w:left="7581" w:hanging="420"/>
        <w:tabs>
          <w:tab w:val="num" w:pos="7581" w:leader="none"/>
        </w:tabs>
      </w:pPr>
    </w:lvl>
  </w:abstractNum>
  <w:abstractNum w:abstractNumId="1">
    <w:multiLevelType w:val="hybridMultilevel"/>
    <w:lvl w:ilvl="0">
      <w:start w:val="1"/>
      <w:numFmt w:val="decimal"/>
      <w:pStyle w:val="1179"/>
      <w:isLgl w:val="false"/>
      <w:suff w:val="tab"/>
      <w:lvlText w:val="%1."/>
      <w:lvlJc w:val="left"/>
      <w:pPr>
        <w:pStyle w:val="1071"/>
        <w:ind w:left="420" w:hanging="420"/>
      </w:pPr>
    </w:lvl>
    <w:lvl w:ilvl="1">
      <w:start w:val="1"/>
      <w:numFmt w:val="decimal"/>
      <w:isLgl w:val="false"/>
      <w:suff w:val="tab"/>
      <w:lvlText w:val="（%2）"/>
      <w:lvlJc w:val="left"/>
      <w:pPr>
        <w:pStyle w:val="1071"/>
        <w:ind w:left="1140" w:hanging="720"/>
        <w:tabs>
          <w:tab w:val="num" w:pos="1140" w:leader="none"/>
        </w:tabs>
      </w:pPr>
      <w:rPr>
        <w:rFonts w:hint="eastAsia"/>
      </w:r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2">
    <w:multiLevelType w:val="hybridMultilevel"/>
    <w:lvl w:ilvl="0">
      <w:start w:val="1"/>
      <w:numFmt w:val="lowerLetter"/>
      <w:pStyle w:val="1254"/>
      <w:isLgl w:val="false"/>
      <w:suff w:val="tab"/>
      <w:lvlText w:val="%1)"/>
      <w:lvlJc w:val="left"/>
      <w:pPr>
        <w:pStyle w:val="1071"/>
        <w:ind w:left="902" w:hanging="420"/>
      </w:pPr>
      <w:rPr>
        <w:color w:val="000000"/>
      </w:rPr>
    </w:lvl>
    <w:lvl w:ilvl="1">
      <w:start w:val="1"/>
      <w:numFmt w:val="lowerLetter"/>
      <w:isLgl w:val="false"/>
      <w:suff w:val="tab"/>
      <w:lvlText w:val="%2)"/>
      <w:lvlJc w:val="left"/>
      <w:pPr>
        <w:pStyle w:val="1071"/>
        <w:ind w:left="1322" w:hanging="420"/>
      </w:pPr>
    </w:lvl>
    <w:lvl w:ilvl="2">
      <w:start w:val="1"/>
      <w:numFmt w:val="lowerRoman"/>
      <w:isLgl w:val="false"/>
      <w:suff w:val="tab"/>
      <w:lvlText w:val="%3."/>
      <w:lvlJc w:val="right"/>
      <w:pPr>
        <w:pStyle w:val="1071"/>
        <w:ind w:left="1742" w:hanging="420"/>
      </w:pPr>
    </w:lvl>
    <w:lvl w:ilvl="3">
      <w:start w:val="1"/>
      <w:numFmt w:val="decimal"/>
      <w:isLgl w:val="false"/>
      <w:suff w:val="tab"/>
      <w:lvlText w:val="%4."/>
      <w:lvlJc w:val="left"/>
      <w:pPr>
        <w:pStyle w:val="1071"/>
        <w:ind w:left="2162" w:hanging="420"/>
      </w:pPr>
    </w:lvl>
    <w:lvl w:ilvl="4">
      <w:start w:val="1"/>
      <w:numFmt w:val="lowerLetter"/>
      <w:isLgl w:val="false"/>
      <w:suff w:val="tab"/>
      <w:lvlText w:val="%5)"/>
      <w:lvlJc w:val="left"/>
      <w:pPr>
        <w:pStyle w:val="1071"/>
        <w:ind w:left="2582" w:hanging="420"/>
      </w:pPr>
    </w:lvl>
    <w:lvl w:ilvl="5">
      <w:start w:val="1"/>
      <w:numFmt w:val="lowerRoman"/>
      <w:isLgl w:val="false"/>
      <w:suff w:val="tab"/>
      <w:lvlText w:val="%6."/>
      <w:lvlJc w:val="right"/>
      <w:pPr>
        <w:pStyle w:val="1071"/>
        <w:ind w:left="3002" w:hanging="420"/>
      </w:pPr>
    </w:lvl>
    <w:lvl w:ilvl="6">
      <w:start w:val="1"/>
      <w:numFmt w:val="decimal"/>
      <w:isLgl w:val="false"/>
      <w:suff w:val="tab"/>
      <w:lvlText w:val="%7."/>
      <w:lvlJc w:val="left"/>
      <w:pPr>
        <w:pStyle w:val="1071"/>
        <w:ind w:left="3422" w:hanging="420"/>
      </w:pPr>
    </w:lvl>
    <w:lvl w:ilvl="7">
      <w:start w:val="1"/>
      <w:numFmt w:val="lowerLetter"/>
      <w:isLgl w:val="false"/>
      <w:suff w:val="tab"/>
      <w:lvlText w:val="%8)"/>
      <w:lvlJc w:val="left"/>
      <w:pPr>
        <w:pStyle w:val="1071"/>
        <w:ind w:left="3842" w:hanging="420"/>
      </w:pPr>
    </w:lvl>
    <w:lvl w:ilvl="8">
      <w:start w:val="1"/>
      <w:numFmt w:val="lowerRoman"/>
      <w:isLgl w:val="false"/>
      <w:suff w:val="tab"/>
      <w:lvlText w:val="%9."/>
      <w:lvlJc w:val="right"/>
      <w:pPr>
        <w:pStyle w:val="1071"/>
        <w:ind w:left="4262" w:hanging="420"/>
      </w:pPr>
    </w:lvl>
  </w:abstractNum>
  <w:abstractNum w:abstractNumId="3">
    <w:multiLevelType w:val="hybridMultilevel"/>
    <w:lvl w:ilvl="0">
      <w:start w:val="1"/>
      <w:numFmt w:val="decimal"/>
      <w:pStyle w:val="1224"/>
      <w:isLgl w:val="false"/>
      <w:suff w:val="tab"/>
      <w:lvlText w:val="%1."/>
      <w:lvlJc w:val="left"/>
      <w:pPr>
        <w:pStyle w:val="107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nothing"/>
      <w:lvlText w:val="%1　"/>
      <w:lvlJc w:val="left"/>
      <w:pPr>
        <w:pStyle w:val="107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1"/>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1"/>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1"/>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1"/>
        <w:ind w:left="768" w:hanging="360"/>
        <w:tabs>
          <w:tab w:val="num" w:pos="768" w:leader="none"/>
        </w:tabs>
      </w:pPr>
      <w:rPr>
        <w:rFonts w:hint="eastAsia"/>
      </w:rPr>
    </w:lvl>
    <w:lvl w:ilvl="1">
      <w:start w:val="1"/>
      <w:numFmt w:val="decimal"/>
      <w:pStyle w:val="1211"/>
      <w:isLgl w:val="false"/>
      <w:suff w:val="tab"/>
      <w:lvlText w:val="%2、"/>
      <w:lvlJc w:val="left"/>
      <w:pPr>
        <w:pStyle w:val="1071"/>
        <w:ind w:left="1188" w:hanging="360"/>
        <w:tabs>
          <w:tab w:val="num" w:pos="1188" w:leader="none"/>
        </w:tabs>
      </w:pPr>
      <w:rPr>
        <w:rFonts w:hint="eastAsia"/>
      </w:rPr>
    </w:lvl>
    <w:lvl w:ilvl="2">
      <w:start w:val="1"/>
      <w:numFmt w:val="decimal"/>
      <w:isLgl w:val="false"/>
      <w:suff w:val="tab"/>
      <w:lvlText w:val="（%3）"/>
      <w:lvlJc w:val="left"/>
      <w:pPr>
        <w:pStyle w:val="1071"/>
        <w:ind w:left="1968" w:hanging="720"/>
        <w:tabs>
          <w:tab w:val="num" w:pos="1968" w:leader="none"/>
        </w:tabs>
      </w:pPr>
      <w:rPr>
        <w:rFonts w:hint="eastAsia"/>
        <w:u w:val="none"/>
      </w:rPr>
    </w:lvl>
    <w:lvl w:ilvl="3">
      <w:start w:val="1"/>
      <w:numFmt w:val="decimal"/>
      <w:isLgl w:val="false"/>
      <w:suff w:val="tab"/>
      <w:lvlText w:val="%4."/>
      <w:lvlJc w:val="left"/>
      <w:pPr>
        <w:pStyle w:val="1071"/>
        <w:ind w:left="2088" w:hanging="420"/>
        <w:tabs>
          <w:tab w:val="num" w:pos="2088" w:leader="none"/>
        </w:tabs>
      </w:pPr>
    </w:lvl>
    <w:lvl w:ilvl="4">
      <w:start w:val="1"/>
      <w:numFmt w:val="lowerLetter"/>
      <w:isLgl w:val="false"/>
      <w:suff w:val="tab"/>
      <w:lvlText w:val="%5)"/>
      <w:lvlJc w:val="left"/>
      <w:pPr>
        <w:pStyle w:val="1071"/>
        <w:ind w:left="2508" w:hanging="420"/>
        <w:tabs>
          <w:tab w:val="num" w:pos="2508" w:leader="none"/>
        </w:tabs>
      </w:pPr>
    </w:lvl>
    <w:lvl w:ilvl="5">
      <w:start w:val="1"/>
      <w:numFmt w:val="lowerRoman"/>
      <w:isLgl w:val="false"/>
      <w:suff w:val="tab"/>
      <w:lvlText w:val="%6."/>
      <w:lvlJc w:val="right"/>
      <w:pPr>
        <w:pStyle w:val="1071"/>
        <w:ind w:left="2928" w:hanging="420"/>
        <w:tabs>
          <w:tab w:val="num" w:pos="2928" w:leader="none"/>
        </w:tabs>
      </w:pPr>
    </w:lvl>
    <w:lvl w:ilvl="6">
      <w:start w:val="1"/>
      <w:numFmt w:val="decimal"/>
      <w:isLgl w:val="false"/>
      <w:suff w:val="tab"/>
      <w:lvlText w:val="%7."/>
      <w:lvlJc w:val="left"/>
      <w:pPr>
        <w:pStyle w:val="1071"/>
        <w:ind w:left="3348" w:hanging="420"/>
        <w:tabs>
          <w:tab w:val="num" w:pos="3348" w:leader="none"/>
        </w:tabs>
      </w:pPr>
    </w:lvl>
    <w:lvl w:ilvl="7">
      <w:start w:val="1"/>
      <w:numFmt w:val="lowerLetter"/>
      <w:isLgl w:val="false"/>
      <w:suff w:val="tab"/>
      <w:lvlText w:val="%8)"/>
      <w:lvlJc w:val="left"/>
      <w:pPr>
        <w:pStyle w:val="1071"/>
        <w:ind w:left="3768" w:hanging="420"/>
        <w:tabs>
          <w:tab w:val="num" w:pos="3768" w:leader="none"/>
        </w:tabs>
      </w:pPr>
    </w:lvl>
    <w:lvl w:ilvl="8">
      <w:start w:val="1"/>
      <w:numFmt w:val="lowerRoman"/>
      <w:isLgl w:val="false"/>
      <w:suff w:val="tab"/>
      <w:lvlText w:val="%9."/>
      <w:lvlJc w:val="right"/>
      <w:pPr>
        <w:pStyle w:val="107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1"/>
        <w:ind w:left="900" w:hanging="900"/>
        <w:tabs>
          <w:tab w:val="num" w:pos="900" w:leader="none"/>
        </w:tabs>
      </w:pPr>
      <w:rPr>
        <w:rFonts w:hint="eastAsia"/>
        <w:b/>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7">
    <w:multiLevelType w:val="hybridMultilevel"/>
    <w:lvl w:ilvl="0">
      <w:start w:val="1"/>
      <w:numFmt w:val="decimal"/>
      <w:pStyle w:val="1178"/>
      <w:isLgl w:val="false"/>
      <w:suff w:val="tab"/>
      <w:lvlText w:val="%1)"/>
      <w:lvlJc w:val="left"/>
      <w:pPr>
        <w:pStyle w:val="1071"/>
        <w:ind w:left="420" w:hanging="420"/>
      </w:p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8">
    <w:multiLevelType w:val="hybridMultilevel"/>
    <w:lvl w:ilvl="0">
      <w:start w:val="1"/>
      <w:numFmt w:val="decimal"/>
      <w:pStyle w:val="1279"/>
      <w:isLgl w:val="false"/>
      <w:suff w:val="tab"/>
      <w:lvlText w:val="%1"/>
      <w:lvlJc w:val="left"/>
      <w:pPr>
        <w:pStyle w:val="1071"/>
        <w:ind w:left="680" w:hanging="680"/>
      </w:pPr>
      <w:rPr>
        <w:rFonts w:hint="eastAsia" w:ascii="宋体" w:hAnsi="宋体" w:eastAsia="宋体"/>
      </w:rPr>
    </w:lvl>
    <w:lvl w:ilvl="1">
      <w:start w:val="1"/>
      <w:numFmt w:val="decimal"/>
      <w:pStyle w:val="1280"/>
      <w:isLgl w:val="false"/>
      <w:suff w:val="tab"/>
      <w:lvlText w:val="%1.%2"/>
      <w:lvlJc w:val="left"/>
      <w:pPr>
        <w:pStyle w:val="1071"/>
        <w:ind w:left="851" w:hanging="851"/>
      </w:pPr>
      <w:rPr>
        <w:rFonts w:hint="eastAsia" w:ascii="宋体" w:hAnsi="宋体" w:eastAsia="宋体"/>
        <w:color w:val="000000"/>
      </w:rPr>
    </w:lvl>
    <w:lvl w:ilvl="2">
      <w:start w:val="1"/>
      <w:numFmt w:val="decimal"/>
      <w:pStyle w:val="1281"/>
      <w:isLgl w:val="false"/>
      <w:suff w:val="tab"/>
      <w:lvlText w:val="%1.%2.%3"/>
      <w:lvlJc w:val="left"/>
      <w:pPr>
        <w:pStyle w:val="1071"/>
        <w:ind w:left="851" w:hanging="851"/>
      </w:pPr>
      <w:rPr>
        <w:rFonts w:hint="eastAsia"/>
      </w:rPr>
    </w:lvl>
    <w:lvl w:ilvl="3">
      <w:start w:val="1"/>
      <w:numFmt w:val="decimal"/>
      <w:isLgl w:val="false"/>
      <w:suff w:val="tab"/>
      <w:lvlText w:val="%1.%2.%3.%4"/>
      <w:lvlJc w:val="left"/>
      <w:pPr>
        <w:pStyle w:val="1071"/>
        <w:ind w:left="680" w:hanging="680"/>
      </w:pPr>
      <w:rPr>
        <w:rFonts w:hint="eastAsia"/>
      </w:rPr>
    </w:lvl>
    <w:lvl w:ilvl="4">
      <w:start w:val="1"/>
      <w:numFmt w:val="decimal"/>
      <w:isLgl w:val="false"/>
      <w:suff w:val="tab"/>
      <w:lvlText w:val="%1.%2.%3.%4.%5"/>
      <w:lvlJc w:val="left"/>
      <w:pPr>
        <w:pStyle w:val="1071"/>
        <w:ind w:left="680" w:hanging="680"/>
      </w:pPr>
      <w:rPr>
        <w:rFonts w:hint="eastAsia"/>
      </w:rPr>
    </w:lvl>
    <w:lvl w:ilvl="5">
      <w:start w:val="1"/>
      <w:numFmt w:val="decimal"/>
      <w:isLgl w:val="false"/>
      <w:suff w:val="tab"/>
      <w:lvlText w:val="%1.%2.%3.%4.%5.%6"/>
      <w:lvlJc w:val="left"/>
      <w:pPr>
        <w:pStyle w:val="1071"/>
        <w:ind w:left="680" w:hanging="680"/>
      </w:pPr>
      <w:rPr>
        <w:rFonts w:hint="eastAsia"/>
      </w:rPr>
    </w:lvl>
    <w:lvl w:ilvl="6">
      <w:start w:val="1"/>
      <w:numFmt w:val="decimal"/>
      <w:isLgl w:val="false"/>
      <w:suff w:val="tab"/>
      <w:lvlText w:val="%1.%2.%3.%4.%5.%6.%7"/>
      <w:lvlJc w:val="left"/>
      <w:pPr>
        <w:pStyle w:val="1071"/>
        <w:ind w:left="680" w:hanging="680"/>
      </w:pPr>
      <w:rPr>
        <w:rFonts w:hint="eastAsia"/>
      </w:rPr>
    </w:lvl>
    <w:lvl w:ilvl="7">
      <w:start w:val="1"/>
      <w:numFmt w:val="decimal"/>
      <w:isLgl w:val="false"/>
      <w:suff w:val="tab"/>
      <w:lvlText w:val="%1.%2.%3.%4.%5.%6.%7.%8"/>
      <w:lvlJc w:val="left"/>
      <w:pPr>
        <w:pStyle w:val="1071"/>
        <w:ind w:left="680" w:hanging="680"/>
      </w:pPr>
      <w:rPr>
        <w:rFonts w:hint="eastAsia"/>
      </w:rPr>
    </w:lvl>
    <w:lvl w:ilvl="8">
      <w:start w:val="1"/>
      <w:numFmt w:val="decimal"/>
      <w:isLgl w:val="false"/>
      <w:suff w:val="tab"/>
      <w:lvlText w:val="%1.%2.%3.%4.%5.%6.%7.%8.%9"/>
      <w:lvlJc w:val="left"/>
      <w:pPr>
        <w:pStyle w:val="1071"/>
        <w:ind w:left="680" w:hanging="680"/>
      </w:pPr>
      <w:rPr>
        <w:rFonts w:hint="eastAsia"/>
      </w:rPr>
    </w:lvl>
  </w:abstractNum>
  <w:abstractNum w:abstractNumId="9">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1">
    <w:multiLevelType w:val="hybridMultilevel"/>
    <w:lvl w:ilvl="0">
      <w:start w:val="6"/>
      <w:numFmt w:val="chineseCounting"/>
      <w:isLgl w:val="false"/>
      <w:suff w:val="nothing"/>
      <w:lvlText w:val="（%1）"/>
      <w:lvlJc w:val="left"/>
      <w:pPr>
        <w:pStyle w:val="10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1"/>
        <w:ind w:left="205" w:hanging="322"/>
      </w:pPr>
      <w:rPr>
        <w:rFonts w:ascii="仿宋" w:hAnsi="仿宋" w:eastAsia="仿宋" w:cs="仿宋"/>
        <w:spacing w:val="-46"/>
        <w:sz w:val="30"/>
        <w:szCs w:val="30"/>
      </w:rPr>
    </w:lvl>
    <w:lvl w:ilvl="1">
      <w:start w:val="1"/>
      <w:numFmt w:val="lowerLetter"/>
      <w:isLgl w:val="false"/>
      <w:suff w:val="tab"/>
      <w:lvlText w:val="%2)"/>
      <w:lvlJc w:val="left"/>
      <w:pPr>
        <w:pStyle w:val="1071"/>
        <w:ind w:left="840" w:hanging="420"/>
      </w:pPr>
    </w:lvl>
    <w:lvl w:ilvl="2">
      <w:start w:val="1"/>
      <w:numFmt w:val="lowerRoman"/>
      <w:isLgl w:val="false"/>
      <w:suff w:val="tab"/>
      <w:lvlText w:val="%3."/>
      <w:lvlJc w:val="right"/>
      <w:pPr>
        <w:pStyle w:val="1071"/>
        <w:ind w:left="1260" w:hanging="420"/>
      </w:pPr>
    </w:lvl>
    <w:lvl w:ilvl="3">
      <w:start w:val="1"/>
      <w:numFmt w:val="decimal"/>
      <w:isLgl w:val="false"/>
      <w:suff w:val="tab"/>
      <w:lvlText w:val="%4."/>
      <w:lvlJc w:val="left"/>
      <w:pPr>
        <w:pStyle w:val="1071"/>
        <w:ind w:left="1680" w:hanging="420"/>
      </w:pPr>
    </w:lvl>
    <w:lvl w:ilvl="4">
      <w:start w:val="1"/>
      <w:numFmt w:val="lowerLetter"/>
      <w:isLgl w:val="false"/>
      <w:suff w:val="tab"/>
      <w:lvlText w:val="%5)"/>
      <w:lvlJc w:val="left"/>
      <w:pPr>
        <w:pStyle w:val="1071"/>
        <w:ind w:left="2100" w:hanging="420"/>
      </w:pPr>
    </w:lvl>
    <w:lvl w:ilvl="5">
      <w:start w:val="1"/>
      <w:numFmt w:val="lowerRoman"/>
      <w:isLgl w:val="false"/>
      <w:suff w:val="tab"/>
      <w:lvlText w:val="%6."/>
      <w:lvlJc w:val="right"/>
      <w:pPr>
        <w:pStyle w:val="1071"/>
        <w:ind w:left="2520" w:hanging="420"/>
      </w:pPr>
    </w:lvl>
    <w:lvl w:ilvl="6">
      <w:start w:val="1"/>
      <w:numFmt w:val="decimal"/>
      <w:isLgl w:val="false"/>
      <w:suff w:val="tab"/>
      <w:lvlText w:val="%7."/>
      <w:lvlJc w:val="left"/>
      <w:pPr>
        <w:pStyle w:val="1071"/>
        <w:ind w:left="2940" w:hanging="420"/>
      </w:pPr>
    </w:lvl>
    <w:lvl w:ilvl="7">
      <w:start w:val="1"/>
      <w:numFmt w:val="lowerLetter"/>
      <w:isLgl w:val="false"/>
      <w:suff w:val="tab"/>
      <w:lvlText w:val="%8)"/>
      <w:lvlJc w:val="left"/>
      <w:pPr>
        <w:pStyle w:val="1071"/>
        <w:ind w:left="3360" w:hanging="420"/>
      </w:pPr>
    </w:lvl>
    <w:lvl w:ilvl="8">
      <w:start w:val="1"/>
      <w:numFmt w:val="lowerRoman"/>
      <w:isLgl w:val="false"/>
      <w:suff w:val="tab"/>
      <w:lvlText w:val="%9."/>
      <w:lvlJc w:val="right"/>
      <w:pPr>
        <w:pStyle w:val="1071"/>
        <w:ind w:left="3780" w:hanging="420"/>
      </w:pPr>
    </w:lvl>
  </w:abstractNum>
  <w:abstractNum w:abstractNumId="14">
    <w:multiLevelType w:val="hybridMultilevel"/>
    <w:lvl w:ilvl="0">
      <w:start w:val="1"/>
      <w:numFmt w:val="decimal"/>
      <w:isLgl w:val="false"/>
      <w:suff w:val="tab"/>
      <w:lvlText w:val="%1"/>
      <w:lvlJc w:val="left"/>
      <w:pPr>
        <w:pStyle w:val="1071"/>
        <w:ind w:left="900" w:hanging="900"/>
        <w:tabs>
          <w:tab w:val="num" w:pos="900" w:leader="none"/>
        </w:tabs>
      </w:pPr>
      <w:rPr>
        <w:rFonts w:hint="eastAsia"/>
      </w:rPr>
    </w:lvl>
    <w:lvl w:ilvl="1">
      <w:start w:val="1"/>
      <w:numFmt w:val="decimal"/>
      <w:isLgl w:val="false"/>
      <w:suff w:val="tab"/>
      <w:lvlText w:val="%1.%2"/>
      <w:lvlJc w:val="left"/>
      <w:pPr>
        <w:pStyle w:val="107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1"/>
        <w:ind w:left="1980" w:hanging="900"/>
        <w:tabs>
          <w:tab w:val="num" w:pos="1980" w:leader="none"/>
        </w:tabs>
      </w:pPr>
      <w:rPr>
        <w:rFonts w:hint="eastAsia"/>
      </w:rPr>
    </w:lvl>
    <w:lvl w:ilvl="3">
      <w:start w:val="1"/>
      <w:numFmt w:val="decimal"/>
      <w:isLgl w:val="false"/>
      <w:suff w:val="tab"/>
      <w:lvlText w:val="%1.%2.%3.%4"/>
      <w:lvlJc w:val="left"/>
      <w:pPr>
        <w:pStyle w:val="1071"/>
        <w:ind w:left="900" w:hanging="900"/>
        <w:tabs>
          <w:tab w:val="num" w:pos="900" w:leader="none"/>
        </w:tabs>
      </w:pPr>
      <w:rPr>
        <w:rFonts w:hint="eastAsia"/>
      </w:rPr>
    </w:lvl>
    <w:lvl w:ilvl="4">
      <w:start w:val="1"/>
      <w:numFmt w:val="decimal"/>
      <w:isLgl w:val="false"/>
      <w:suff w:val="tab"/>
      <w:lvlText w:val="%1.%2.%3.%4.%5"/>
      <w:lvlJc w:val="left"/>
      <w:pPr>
        <w:pStyle w:val="1071"/>
        <w:ind w:left="900" w:hanging="900"/>
        <w:tabs>
          <w:tab w:val="num" w:pos="900" w:leader="none"/>
        </w:tabs>
      </w:pPr>
      <w:rPr>
        <w:rFonts w:hint="eastAsia"/>
      </w:rPr>
    </w:lvl>
    <w:lvl w:ilvl="5">
      <w:start w:val="1"/>
      <w:numFmt w:val="decimal"/>
      <w:isLgl w:val="false"/>
      <w:suff w:val="tab"/>
      <w:lvlText w:val="%1.%2.%3.%4.%5.%6"/>
      <w:lvlJc w:val="left"/>
      <w:pPr>
        <w:pStyle w:val="1071"/>
        <w:ind w:left="900" w:hanging="900"/>
        <w:tabs>
          <w:tab w:val="num" w:pos="900" w:leader="none"/>
        </w:tabs>
      </w:pPr>
      <w:rPr>
        <w:rFonts w:hint="eastAsia"/>
      </w:rPr>
    </w:lvl>
    <w:lvl w:ilvl="6">
      <w:start w:val="1"/>
      <w:numFmt w:val="decimal"/>
      <w:isLgl w:val="false"/>
      <w:suff w:val="tab"/>
      <w:lvlText w:val="%1.%2.%3.%4.%5.%6.%7"/>
      <w:lvlJc w:val="left"/>
      <w:pPr>
        <w:pStyle w:val="1071"/>
        <w:ind w:left="900" w:hanging="900"/>
        <w:tabs>
          <w:tab w:val="num" w:pos="900" w:leader="none"/>
        </w:tabs>
      </w:pPr>
      <w:rPr>
        <w:rFonts w:hint="eastAsia"/>
      </w:rPr>
    </w:lvl>
    <w:lvl w:ilvl="7">
      <w:start w:val="1"/>
      <w:numFmt w:val="decimal"/>
      <w:isLgl w:val="false"/>
      <w:suff w:val="tab"/>
      <w:lvlText w:val="%1.%2.%3.%4.%5.%6.%7.%8"/>
      <w:lvlJc w:val="left"/>
      <w:pPr>
        <w:pStyle w:val="1071"/>
        <w:ind w:left="900" w:hanging="900"/>
        <w:tabs>
          <w:tab w:val="num" w:pos="900" w:leader="none"/>
        </w:tabs>
      </w:pPr>
      <w:rPr>
        <w:rFonts w:hint="eastAsia"/>
      </w:rPr>
    </w:lvl>
    <w:lvl w:ilvl="8">
      <w:start w:val="1"/>
      <w:numFmt w:val="decimal"/>
      <w:isLgl w:val="false"/>
      <w:suff w:val="tab"/>
      <w:lvlText w:val="%1.%2.%3.%4.%5.%6.%7.%8.%9"/>
      <w:lvlJc w:val="left"/>
      <w:pPr>
        <w:pStyle w:val="1071"/>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2"/>
  </w:num>
  <w:num w:numId="12">
    <w:abstractNumId w:val="9"/>
  </w:num>
  <w:num w:numId="13">
    <w:abstractNumId w:val="14"/>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1"/>
    <w:next w:val="1071"/>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1"/>
    <w:next w:val="1071"/>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1"/>
    <w:next w:val="1071"/>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1"/>
    <w:next w:val="1071"/>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1"/>
    <w:next w:val="1071"/>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1"/>
    <w:next w:val="1071"/>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1"/>
    <w:next w:val="1071"/>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1"/>
    <w:next w:val="1071"/>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1"/>
    <w:next w:val="1071"/>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No Spacing"/>
    <w:uiPriority w:val="1"/>
    <w:qFormat/>
    <w:pPr>
      <w:spacing w:before="0" w:after="0" w:line="240" w:lineRule="auto"/>
    </w:pPr>
  </w:style>
  <w:style w:type="paragraph" w:styleId="913">
    <w:name w:val="Title"/>
    <w:basedOn w:val="1071"/>
    <w:next w:val="1071"/>
    <w:link w:val="914"/>
    <w:uiPriority w:val="10"/>
    <w:qFormat/>
    <w:pPr>
      <w:contextualSpacing/>
      <w:spacing w:before="300" w:after="200"/>
    </w:pPr>
    <w:rPr>
      <w:sz w:val="48"/>
      <w:szCs w:val="48"/>
    </w:rPr>
  </w:style>
  <w:style w:type="character" w:styleId="914">
    <w:name w:val="Title Char"/>
    <w:link w:val="913"/>
    <w:uiPriority w:val="10"/>
    <w:rPr>
      <w:sz w:val="48"/>
      <w:szCs w:val="48"/>
    </w:rPr>
  </w:style>
  <w:style w:type="paragraph" w:styleId="915">
    <w:name w:val="Subtitle"/>
    <w:basedOn w:val="1071"/>
    <w:next w:val="1071"/>
    <w:link w:val="916"/>
    <w:uiPriority w:val="11"/>
    <w:qFormat/>
    <w:pPr>
      <w:spacing w:before="200" w:after="200"/>
    </w:pPr>
    <w:rPr>
      <w:sz w:val="24"/>
      <w:szCs w:val="24"/>
    </w:rPr>
  </w:style>
  <w:style w:type="character" w:styleId="916">
    <w:name w:val="Subtitle Char"/>
    <w:link w:val="915"/>
    <w:uiPriority w:val="11"/>
    <w:rPr>
      <w:sz w:val="24"/>
      <w:szCs w:val="24"/>
    </w:rPr>
  </w:style>
  <w:style w:type="paragraph" w:styleId="917">
    <w:name w:val="Quote"/>
    <w:basedOn w:val="1071"/>
    <w:next w:val="1071"/>
    <w:link w:val="918"/>
    <w:uiPriority w:val="29"/>
    <w:qFormat/>
    <w:pPr>
      <w:ind w:left="720" w:right="720"/>
    </w:pPr>
    <w:rPr>
      <w:i/>
    </w:rPr>
  </w:style>
  <w:style w:type="character" w:styleId="918">
    <w:name w:val="Quote Char"/>
    <w:link w:val="917"/>
    <w:uiPriority w:val="29"/>
    <w:rPr>
      <w:i/>
    </w:rPr>
  </w:style>
  <w:style w:type="paragraph" w:styleId="919">
    <w:name w:val="Intense Quote"/>
    <w:basedOn w:val="1071"/>
    <w:next w:val="1071"/>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name w:val="Intense Quote Char"/>
    <w:link w:val="919"/>
    <w:uiPriority w:val="30"/>
    <w:rPr>
      <w:i/>
    </w:rPr>
  </w:style>
  <w:style w:type="paragraph" w:styleId="921">
    <w:name w:val="Header"/>
    <w:basedOn w:val="1071"/>
    <w:link w:val="922"/>
    <w:uiPriority w:val="99"/>
    <w:unhideWhenUsed/>
    <w:pPr>
      <w:spacing w:after="0" w:line="240" w:lineRule="auto"/>
      <w:tabs>
        <w:tab w:val="center" w:pos="7143" w:leader="none"/>
        <w:tab w:val="right" w:pos="14287" w:leader="none"/>
      </w:tabs>
    </w:pPr>
  </w:style>
  <w:style w:type="character" w:styleId="922">
    <w:name w:val="Header Char"/>
    <w:link w:val="921"/>
    <w:uiPriority w:val="99"/>
  </w:style>
  <w:style w:type="paragraph" w:styleId="923">
    <w:name w:val="Footer"/>
    <w:basedOn w:val="1071"/>
    <w:link w:val="926"/>
    <w:uiPriority w:val="99"/>
    <w:unhideWhenUsed/>
    <w:pPr>
      <w:spacing w:after="0" w:line="240" w:lineRule="auto"/>
      <w:tabs>
        <w:tab w:val="center" w:pos="7143" w:leader="none"/>
        <w:tab w:val="right" w:pos="14287" w:leader="none"/>
      </w:tabs>
    </w:pPr>
  </w:style>
  <w:style w:type="character" w:styleId="924">
    <w:name w:val="Footer Char"/>
    <w:link w:val="923"/>
    <w:uiPriority w:val="99"/>
  </w:style>
  <w:style w:type="paragraph" w:styleId="925">
    <w:name w:val="Caption"/>
    <w:basedOn w:val="1071"/>
    <w:next w:val="1071"/>
    <w:uiPriority w:val="35"/>
    <w:semiHidden/>
    <w:unhideWhenUsed/>
    <w:qFormat/>
    <w:pPr>
      <w:spacing w:line="276" w:lineRule="auto"/>
    </w:pPr>
    <w:rPr>
      <w:b/>
      <w:bCs/>
      <w:color w:val="4f81bd" w:themeColor="accent1"/>
      <w:sz w:val="18"/>
      <w:szCs w:val="18"/>
    </w:rPr>
  </w:style>
  <w:style w:type="character" w:styleId="926">
    <w:name w:val="Caption Char"/>
    <w:basedOn w:val="925"/>
    <w:link w:val="923"/>
    <w:uiPriority w:val="99"/>
  </w:style>
  <w:style w:type="table" w:styleId="9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3">
    <w:name w:val="Hyperlink"/>
    <w:uiPriority w:val="99"/>
    <w:unhideWhenUsed/>
    <w:rPr>
      <w:color w:val="0000ff" w:themeColor="hyperlink"/>
      <w:u w:val="single"/>
    </w:rPr>
  </w:style>
  <w:style w:type="paragraph" w:styleId="1054">
    <w:name w:val="footnote text"/>
    <w:basedOn w:val="107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uiPriority w:val="99"/>
    <w:unhideWhenUsed/>
    <w:rPr>
      <w:vertAlign w:val="superscript"/>
    </w:rPr>
  </w:style>
  <w:style w:type="paragraph" w:styleId="1057">
    <w:name w:val="endnote text"/>
    <w:basedOn w:val="107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uiPriority w:val="99"/>
    <w:semiHidden/>
    <w:unhideWhenUsed/>
    <w:rPr>
      <w:vertAlign w:val="superscript"/>
    </w:rPr>
  </w:style>
  <w:style w:type="paragraph" w:styleId="1060">
    <w:name w:val="toc 1"/>
    <w:basedOn w:val="1071"/>
    <w:next w:val="1071"/>
    <w:uiPriority w:val="39"/>
    <w:unhideWhenUsed/>
    <w:pPr>
      <w:ind w:left="0" w:right="0" w:firstLine="0"/>
      <w:spacing w:after="57"/>
    </w:pPr>
  </w:style>
  <w:style w:type="paragraph" w:styleId="1061">
    <w:name w:val="toc 2"/>
    <w:basedOn w:val="1071"/>
    <w:next w:val="1071"/>
    <w:uiPriority w:val="39"/>
    <w:unhideWhenUsed/>
    <w:pPr>
      <w:ind w:left="283" w:right="0" w:firstLine="0"/>
      <w:spacing w:after="57"/>
    </w:pPr>
  </w:style>
  <w:style w:type="paragraph" w:styleId="1062">
    <w:name w:val="toc 3"/>
    <w:basedOn w:val="1071"/>
    <w:next w:val="1071"/>
    <w:uiPriority w:val="39"/>
    <w:unhideWhenUsed/>
    <w:pPr>
      <w:ind w:left="567" w:right="0" w:firstLine="0"/>
      <w:spacing w:after="57"/>
    </w:pPr>
  </w:style>
  <w:style w:type="paragraph" w:styleId="1063">
    <w:name w:val="toc 4"/>
    <w:basedOn w:val="1071"/>
    <w:next w:val="1071"/>
    <w:uiPriority w:val="39"/>
    <w:unhideWhenUsed/>
    <w:pPr>
      <w:ind w:left="850" w:right="0" w:firstLine="0"/>
      <w:spacing w:after="57"/>
    </w:pPr>
  </w:style>
  <w:style w:type="paragraph" w:styleId="1064">
    <w:name w:val="toc 5"/>
    <w:basedOn w:val="1071"/>
    <w:next w:val="1071"/>
    <w:uiPriority w:val="39"/>
    <w:unhideWhenUsed/>
    <w:pPr>
      <w:ind w:left="1134" w:right="0" w:firstLine="0"/>
      <w:spacing w:after="57"/>
    </w:pPr>
  </w:style>
  <w:style w:type="paragraph" w:styleId="1065">
    <w:name w:val="toc 6"/>
    <w:basedOn w:val="1071"/>
    <w:next w:val="1071"/>
    <w:uiPriority w:val="39"/>
    <w:unhideWhenUsed/>
    <w:pPr>
      <w:ind w:left="1417" w:right="0" w:firstLine="0"/>
      <w:spacing w:after="57"/>
    </w:pPr>
  </w:style>
  <w:style w:type="paragraph" w:styleId="1066">
    <w:name w:val="toc 7"/>
    <w:basedOn w:val="1071"/>
    <w:next w:val="1071"/>
    <w:uiPriority w:val="39"/>
    <w:unhideWhenUsed/>
    <w:pPr>
      <w:ind w:left="1701" w:right="0" w:firstLine="0"/>
      <w:spacing w:after="57"/>
    </w:pPr>
  </w:style>
  <w:style w:type="paragraph" w:styleId="1067">
    <w:name w:val="toc 8"/>
    <w:basedOn w:val="1071"/>
    <w:next w:val="1071"/>
    <w:uiPriority w:val="39"/>
    <w:unhideWhenUsed/>
    <w:pPr>
      <w:ind w:left="1984" w:right="0" w:firstLine="0"/>
      <w:spacing w:after="57"/>
    </w:pPr>
  </w:style>
  <w:style w:type="paragraph" w:styleId="1068">
    <w:name w:val="toc 9"/>
    <w:basedOn w:val="1071"/>
    <w:next w:val="1071"/>
    <w:uiPriority w:val="39"/>
    <w:unhideWhenUsed/>
    <w:pPr>
      <w:ind w:left="2268" w:right="0" w:firstLine="0"/>
      <w:spacing w:after="57"/>
    </w:pPr>
  </w:style>
  <w:style w:type="paragraph" w:styleId="1069">
    <w:name w:val="TOC Heading"/>
    <w:uiPriority w:val="39"/>
    <w:unhideWhenUsed/>
  </w:style>
  <w:style w:type="paragraph" w:styleId="1070">
    <w:name w:val="table of figures"/>
    <w:basedOn w:val="1071"/>
    <w:next w:val="1071"/>
    <w:uiPriority w:val="99"/>
    <w:unhideWhenUsed/>
    <w:pPr>
      <w:spacing w:after="0" w:afterAutospacing="0"/>
    </w:pPr>
  </w:style>
  <w:style w:type="paragraph" w:styleId="1071" w:default="1">
    <w:name w:val="Normal"/>
    <w:next w:val="1071"/>
    <w:link w:val="1071"/>
    <w:qFormat/>
    <w:pPr>
      <w:jc w:val="both"/>
      <w:widowControl w:val="off"/>
    </w:pPr>
    <w:rPr>
      <w:sz w:val="21"/>
      <w:szCs w:val="24"/>
      <w:lang w:val="en-US" w:eastAsia="zh-CN" w:bidi="ar-SA"/>
    </w:rPr>
  </w:style>
  <w:style w:type="paragraph" w:styleId="1072">
    <w:name w:val="标题 1"/>
    <w:basedOn w:val="1071"/>
    <w:next w:val="1071"/>
    <w:link w:val="1083"/>
    <w:qFormat/>
    <w:pPr>
      <w:jc w:val="center"/>
      <w:keepLines/>
      <w:keepNext/>
      <w:spacing w:before="240" w:after="120" w:line="300" w:lineRule="auto"/>
      <w:outlineLvl w:val="0"/>
    </w:pPr>
    <w:rPr>
      <w:rFonts w:ascii="宋体"/>
      <w:b/>
      <w:sz w:val="32"/>
      <w:szCs w:val="20"/>
    </w:rPr>
  </w:style>
  <w:style w:type="paragraph" w:styleId="1073">
    <w:name w:val="标题 2"/>
    <w:basedOn w:val="1071"/>
    <w:next w:val="1085"/>
    <w:link w:val="1084"/>
    <w:qFormat/>
    <w:pPr>
      <w:jc w:val="center"/>
      <w:keepLines/>
      <w:keepNext/>
      <w:spacing w:before="120" w:line="300" w:lineRule="auto"/>
      <w:outlineLvl w:val="1"/>
    </w:pPr>
    <w:rPr>
      <w:rFonts w:ascii="Arial" w:hAnsi="Arial" w:eastAsia="黑体"/>
      <w:b/>
      <w:sz w:val="30"/>
      <w:szCs w:val="20"/>
    </w:rPr>
  </w:style>
  <w:style w:type="paragraph" w:styleId="1074">
    <w:name w:val="标题 3"/>
    <w:basedOn w:val="1071"/>
    <w:next w:val="1085"/>
    <w:link w:val="1087"/>
    <w:qFormat/>
    <w:pPr>
      <w:jc w:val="left"/>
      <w:keepLines/>
      <w:keepNext/>
      <w:spacing w:before="360" w:after="120"/>
      <w:outlineLvl w:val="2"/>
    </w:pPr>
    <w:rPr>
      <w:rFonts w:ascii="宋体"/>
      <w:b/>
      <w:sz w:val="24"/>
      <w:szCs w:val="20"/>
      <w:u w:val="single"/>
    </w:rPr>
  </w:style>
  <w:style w:type="paragraph" w:styleId="1075">
    <w:name w:val="标题 4"/>
    <w:basedOn w:val="1071"/>
    <w:next w:val="1071"/>
    <w:link w:val="1088"/>
    <w:qFormat/>
    <w:pPr>
      <w:keepLines/>
      <w:keepNext/>
      <w:spacing w:before="280" w:after="290" w:line="376" w:lineRule="atLeast"/>
      <w:outlineLvl w:val="3"/>
    </w:pPr>
    <w:rPr>
      <w:rFonts w:ascii="Arial" w:hAnsi="Arial" w:eastAsia="黑体"/>
      <w:b/>
      <w:sz w:val="28"/>
      <w:szCs w:val="20"/>
    </w:rPr>
  </w:style>
  <w:style w:type="paragraph" w:styleId="1076">
    <w:name w:val="标题 5"/>
    <w:basedOn w:val="1071"/>
    <w:next w:val="1071"/>
    <w:link w:val="1089"/>
    <w:qFormat/>
    <w:pPr>
      <w:keepLines/>
      <w:keepNext/>
      <w:spacing w:before="280" w:after="290" w:line="376" w:lineRule="atLeast"/>
      <w:outlineLvl w:val="4"/>
    </w:pPr>
    <w:rPr>
      <w:b/>
      <w:sz w:val="28"/>
      <w:szCs w:val="20"/>
    </w:rPr>
  </w:style>
  <w:style w:type="paragraph" w:styleId="1077">
    <w:name w:val="标题 6"/>
    <w:basedOn w:val="1071"/>
    <w:next w:val="1071"/>
    <w:link w:val="1090"/>
    <w:qFormat/>
    <w:pPr>
      <w:keepLines/>
      <w:keepNext/>
      <w:spacing w:before="240" w:after="64" w:line="320" w:lineRule="atLeast"/>
      <w:outlineLvl w:val="5"/>
    </w:pPr>
    <w:rPr>
      <w:rFonts w:ascii="Arial" w:hAnsi="Arial" w:eastAsia="黑体"/>
      <w:b/>
      <w:sz w:val="24"/>
      <w:szCs w:val="20"/>
    </w:rPr>
  </w:style>
  <w:style w:type="paragraph" w:styleId="1078">
    <w:name w:val="标题 7"/>
    <w:basedOn w:val="1071"/>
    <w:next w:val="1071"/>
    <w:link w:val="1091"/>
    <w:qFormat/>
    <w:pPr>
      <w:keepLines/>
      <w:keepNext/>
      <w:spacing w:before="240" w:after="64" w:line="320" w:lineRule="atLeast"/>
      <w:outlineLvl w:val="6"/>
    </w:pPr>
    <w:rPr>
      <w:b/>
      <w:sz w:val="24"/>
      <w:szCs w:val="20"/>
    </w:rPr>
  </w:style>
  <w:style w:type="paragraph" w:styleId="1079">
    <w:name w:val="标题 8"/>
    <w:basedOn w:val="1071"/>
    <w:next w:val="1071"/>
    <w:link w:val="1092"/>
    <w:qFormat/>
    <w:pPr>
      <w:keepLines/>
      <w:keepNext/>
      <w:spacing w:before="240" w:after="64" w:line="320" w:lineRule="atLeast"/>
      <w:outlineLvl w:val="7"/>
    </w:pPr>
    <w:rPr>
      <w:rFonts w:ascii="Arial" w:hAnsi="Arial" w:eastAsia="黑体"/>
      <w:sz w:val="24"/>
      <w:szCs w:val="20"/>
    </w:rPr>
  </w:style>
  <w:style w:type="paragraph" w:styleId="1080">
    <w:name w:val="标题 9"/>
    <w:basedOn w:val="1071"/>
    <w:next w:val="1071"/>
    <w:link w:val="1093"/>
    <w:qFormat/>
    <w:pPr>
      <w:keepLines/>
      <w:keepNext/>
      <w:spacing w:before="240" w:after="64" w:line="320" w:lineRule="atLeast"/>
      <w:outlineLvl w:val="8"/>
    </w:pPr>
    <w:rPr>
      <w:rFonts w:ascii="Arial" w:hAnsi="Arial" w:eastAsia="黑体"/>
      <w:szCs w:val="20"/>
    </w:rPr>
  </w:style>
  <w:style w:type="character" w:styleId="1081">
    <w:name w:val="默认段落字体"/>
    <w:next w:val="1081"/>
    <w:link w:val="1071"/>
    <w:uiPriority w:val="1"/>
    <w:unhideWhenUsed/>
    <w:qFormat/>
  </w:style>
  <w:style w:type="table" w:styleId="1082">
    <w:name w:val="普通表格"/>
    <w:next w:val="1082"/>
    <w:link w:val="1071"/>
    <w:uiPriority w:val="99"/>
    <w:unhideWhenUsed/>
    <w:qFormat/>
    <w:tblPr/>
  </w:style>
  <w:style w:type="character" w:styleId="1083">
    <w:name w:val="标题 1 字符"/>
    <w:next w:val="1083"/>
    <w:link w:val="1072"/>
    <w:qFormat/>
    <w:rPr>
      <w:rFonts w:ascii="宋体"/>
      <w:b/>
      <w:sz w:val="32"/>
    </w:rPr>
  </w:style>
  <w:style w:type="character" w:styleId="1084">
    <w:name w:val="标题 2 字符"/>
    <w:next w:val="1084"/>
    <w:link w:val="1073"/>
    <w:qFormat/>
    <w:rPr>
      <w:rFonts w:ascii="Arial" w:hAnsi="Arial" w:eastAsia="黑体"/>
      <w:b/>
      <w:sz w:val="30"/>
      <w:lang w:val="en-US" w:eastAsia="zh-CN" w:bidi="ar-SA"/>
    </w:rPr>
  </w:style>
  <w:style w:type="paragraph" w:styleId="1085">
    <w:name w:val="正文缩进"/>
    <w:basedOn w:val="1071"/>
    <w:next w:val="1085"/>
    <w:link w:val="1086"/>
    <w:uiPriority w:val="99"/>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4"/>
    <w:qFormat/>
    <w:rPr>
      <w:rFonts w:ascii="宋体" w:eastAsia="宋体"/>
      <w:b/>
      <w:sz w:val="24"/>
      <w:u w:val="single"/>
      <w:lang w:val="en-US" w:eastAsia="zh-CN" w:bidi="ar-SA"/>
    </w:rPr>
  </w:style>
  <w:style w:type="character" w:styleId="1088">
    <w:name w:val="标题 4 字符"/>
    <w:next w:val="1088"/>
    <w:link w:val="1075"/>
    <w:qFormat/>
    <w:rPr>
      <w:rFonts w:ascii="Arial" w:hAnsi="Arial" w:eastAsia="黑体"/>
      <w:b/>
      <w:sz w:val="28"/>
    </w:rPr>
  </w:style>
  <w:style w:type="character" w:styleId="1089">
    <w:name w:val="标题 5 字符"/>
    <w:next w:val="1089"/>
    <w:link w:val="1076"/>
    <w:qFormat/>
    <w:rPr>
      <w:b/>
      <w:sz w:val="28"/>
    </w:rPr>
  </w:style>
  <w:style w:type="character" w:styleId="1090">
    <w:name w:val="标题 6 字符"/>
    <w:next w:val="1090"/>
    <w:link w:val="1077"/>
    <w:qFormat/>
    <w:rPr>
      <w:rFonts w:ascii="Arial" w:hAnsi="Arial" w:eastAsia="黑体"/>
      <w:b/>
      <w:sz w:val="24"/>
    </w:rPr>
  </w:style>
  <w:style w:type="character" w:styleId="1091">
    <w:name w:val="标题 7 字符"/>
    <w:next w:val="1091"/>
    <w:link w:val="1078"/>
    <w:qFormat/>
    <w:rPr>
      <w:b/>
      <w:sz w:val="24"/>
    </w:rPr>
  </w:style>
  <w:style w:type="character" w:styleId="1092">
    <w:name w:val="标题 8 字符"/>
    <w:next w:val="1092"/>
    <w:link w:val="1079"/>
    <w:qFormat/>
    <w:rPr>
      <w:rFonts w:ascii="Arial" w:hAnsi="Arial" w:eastAsia="黑体"/>
      <w:sz w:val="24"/>
    </w:rPr>
  </w:style>
  <w:style w:type="character" w:styleId="1093">
    <w:name w:val="标题 9 字符"/>
    <w:next w:val="1093"/>
    <w:link w:val="1080"/>
    <w:qFormat/>
    <w:rPr>
      <w:rFonts w:ascii="Arial" w:hAnsi="Arial" w:eastAsia="黑体"/>
      <w:sz w:val="21"/>
    </w:rPr>
  </w:style>
  <w:style w:type="paragraph" w:styleId="1094">
    <w:name w:val="目录 7"/>
    <w:basedOn w:val="1071"/>
    <w:next w:val="1071"/>
    <w:link w:val="1071"/>
    <w:qFormat/>
    <w:pPr>
      <w:ind w:left="2520"/>
    </w:pPr>
  </w:style>
  <w:style w:type="paragraph" w:styleId="1095">
    <w:name w:val="题注"/>
    <w:basedOn w:val="1071"/>
    <w:next w:val="1071"/>
    <w:link w:val="1071"/>
    <w:qFormat/>
    <w:pPr>
      <w:spacing w:line="480" w:lineRule="auto"/>
    </w:pPr>
    <w:rPr>
      <w:rFonts w:ascii="华文中宋" w:hAnsi="华文中宋" w:eastAsia="华文中宋"/>
      <w:sz w:val="36"/>
      <w:szCs w:val="20"/>
    </w:rPr>
  </w:style>
  <w:style w:type="paragraph" w:styleId="1096">
    <w:name w:val="文档结构图"/>
    <w:basedOn w:val="1071"/>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1"/>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1"/>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1"/>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1"/>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1"/>
    <w:next w:val="1106"/>
    <w:link w:val="1071"/>
    <w:qFormat/>
    <w:pPr>
      <w:ind w:left="100" w:hanging="200"/>
    </w:pPr>
  </w:style>
  <w:style w:type="paragraph" w:styleId="1107">
    <w:name w:val="文本块"/>
    <w:basedOn w:val="1071"/>
    <w:next w:val="1107"/>
    <w:link w:val="1071"/>
    <w:qFormat/>
    <w:pPr>
      <w:ind w:left="480" w:right="-341" w:firstLine="513"/>
      <w:widowControl/>
    </w:pPr>
    <w:rPr>
      <w:sz w:val="24"/>
      <w:szCs w:val="20"/>
    </w:rPr>
  </w:style>
  <w:style w:type="paragraph" w:styleId="1108">
    <w:name w:val="目录 5"/>
    <w:basedOn w:val="1071"/>
    <w:next w:val="1071"/>
    <w:link w:val="1071"/>
    <w:qFormat/>
    <w:pPr>
      <w:ind w:left="1680"/>
    </w:pPr>
  </w:style>
  <w:style w:type="paragraph" w:styleId="1109">
    <w:name w:val="目录 3"/>
    <w:basedOn w:val="1071"/>
    <w:next w:val="1071"/>
    <w:link w:val="1071"/>
    <w:uiPriority w:val="39"/>
    <w:qFormat/>
    <w:pPr>
      <w:ind w:left="840"/>
    </w:pPr>
  </w:style>
  <w:style w:type="paragraph" w:styleId="1110">
    <w:name w:val="纯文本"/>
    <w:basedOn w:val="1071"/>
    <w:next w:val="1110"/>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1"/>
    <w:next w:val="1071"/>
    <w:link w:val="1071"/>
    <w:qFormat/>
    <w:pPr>
      <w:ind w:left="2940"/>
    </w:pPr>
  </w:style>
  <w:style w:type="paragraph" w:styleId="1113">
    <w:name w:val="日期"/>
    <w:basedOn w:val="1071"/>
    <w:next w:val="1071"/>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1"/>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1"/>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1"/>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页眉"/>
    <w:basedOn w:val="1071"/>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1"/>
    <w:next w:val="1071"/>
    <w:link w:val="1071"/>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1"/>
    <w:next w:val="1071"/>
    <w:link w:val="1071"/>
    <w:qFormat/>
    <w:pPr>
      <w:ind w:left="1260"/>
    </w:pPr>
  </w:style>
  <w:style w:type="paragraph" w:styleId="1125">
    <w:name w:val="目录 6"/>
    <w:basedOn w:val="1071"/>
    <w:next w:val="1071"/>
    <w:link w:val="1071"/>
    <w:qFormat/>
    <w:pPr>
      <w:ind w:left="2100"/>
    </w:pPr>
  </w:style>
  <w:style w:type="paragraph" w:styleId="1126">
    <w:name w:val="正文文本缩进 3"/>
    <w:basedOn w:val="1071"/>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1"/>
    <w:next w:val="1071"/>
    <w:link w:val="1071"/>
    <w:uiPriority w:val="39"/>
    <w:qFormat/>
    <w:pPr>
      <w:ind w:left="420"/>
      <w:spacing w:line="312" w:lineRule="auto"/>
      <w:tabs>
        <w:tab w:val="right" w:pos="8937" w:leader="dot"/>
      </w:tabs>
    </w:pPr>
  </w:style>
  <w:style w:type="paragraph" w:styleId="1129">
    <w:name w:val="目录 9"/>
    <w:basedOn w:val="1071"/>
    <w:next w:val="1071"/>
    <w:link w:val="1071"/>
    <w:qFormat/>
    <w:pPr>
      <w:ind w:left="3360"/>
    </w:pPr>
  </w:style>
  <w:style w:type="paragraph" w:styleId="1130">
    <w:name w:val="HTML 预设格式"/>
    <w:basedOn w:val="1071"/>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1"/>
    <w:next w:val="1132"/>
    <w:link w:val="1071"/>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1"/>
    <w:next w:val="1071"/>
    <w:link w:val="1071"/>
    <w:qFormat/>
    <w:rPr>
      <w:szCs w:val="20"/>
    </w:rPr>
  </w:style>
  <w:style w:type="paragraph" w:styleId="1134">
    <w:name w:val="标题"/>
    <w:basedOn w:val="1071"/>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8"/>
    <w:next w:val="1098"/>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4"/>
    <w:next w:val="1138"/>
    <w:link w:val="1139"/>
    <w:qFormat/>
    <w:pPr>
      <w:ind w:left="420" w:firstLine="420"/>
      <w:spacing w:after="120" w:line="480" w:lineRule="exact"/>
    </w:pPr>
    <w:rPr>
      <w:szCs w:val="20"/>
    </w:rPr>
  </w:style>
  <w:style w:type="character" w:styleId="1139">
    <w:name w:val="正文首行缩进 2 字符"/>
    <w:next w:val="1139"/>
    <w:link w:val="1138"/>
    <w:qFormat/>
    <w:rPr>
      <w:rFonts w:eastAsia="宋体"/>
      <w:sz w:val="24"/>
      <w:szCs w:val="24"/>
      <w:lang w:val="en-US" w:eastAsia="zh-CN" w:bidi="ar-SA"/>
    </w:rPr>
  </w:style>
  <w:style w:type="table" w:styleId="1140">
    <w:name w:val="网格型"/>
    <w:basedOn w:val="1082"/>
    <w:next w:val="1140"/>
    <w:link w:val="1071"/>
    <w:uiPriority w:val="39"/>
    <w:qFormat/>
    <w:tblPr/>
  </w:style>
  <w:style w:type="table" w:styleId="1141">
    <w:name w:val="中等深浅网格 1 - 强调文字颜色 2"/>
    <w:basedOn w:val="1082"/>
    <w:next w:val="1141"/>
    <w:link w:val="1071"/>
    <w:qFormat/>
    <w:rPr>
      <w:sz w:val="21"/>
      <w:szCs w:val="24"/>
    </w:rPr>
    <w:tblPr/>
  </w:style>
  <w:style w:type="character" w:styleId="1142">
    <w:name w:val="要点"/>
    <w:next w:val="1142"/>
    <w:link w:val="1071"/>
    <w:qFormat/>
    <w:rPr>
      <w:b/>
      <w:bCs/>
    </w:rPr>
  </w:style>
  <w:style w:type="character" w:styleId="1143">
    <w:name w:val="页码"/>
    <w:next w:val="1143"/>
    <w:link w:val="1071"/>
    <w:qFormat/>
  </w:style>
  <w:style w:type="character" w:styleId="1144">
    <w:name w:val="已访问的超链接"/>
    <w:next w:val="1144"/>
    <w:link w:val="1071"/>
    <w:qFormat/>
    <w:rPr>
      <w:color w:val="800080"/>
      <w:u w:val="single"/>
    </w:rPr>
  </w:style>
  <w:style w:type="character" w:styleId="1145">
    <w:name w:val="强调"/>
    <w:next w:val="1145"/>
    <w:link w:val="1071"/>
    <w:qFormat/>
    <w:rPr>
      <w:color w:val="cc0033"/>
    </w:rPr>
  </w:style>
  <w:style w:type="character" w:styleId="1146">
    <w:name w:val="超链接"/>
    <w:next w:val="1146"/>
    <w:link w:val="1071"/>
    <w:uiPriority w:val="99"/>
    <w:qFormat/>
    <w:rPr>
      <w:color w:val="0000ff"/>
      <w:u w:val="single"/>
    </w:rPr>
  </w:style>
  <w:style w:type="character" w:styleId="1147">
    <w:name w:val="批注引用"/>
    <w:next w:val="1147"/>
    <w:link w:val="1071"/>
    <w:uiPriority w:val="99"/>
    <w:qFormat/>
    <w:rPr>
      <w:sz w:val="21"/>
      <w:szCs w:val="21"/>
    </w:rPr>
  </w:style>
  <w:style w:type="character" w:styleId="1148">
    <w:name w:val="HTML 引文"/>
    <w:next w:val="1148"/>
    <w:link w:val="1071"/>
    <w:qFormat/>
    <w:rPr>
      <w:i/>
      <w:iCs/>
    </w:rPr>
  </w:style>
  <w:style w:type="character" w:styleId="1149">
    <w:name w:val="批注文字 字符"/>
    <w:next w:val="1149"/>
    <w:link w:val="1071"/>
    <w:uiPriority w:val="99"/>
    <w:qFormat/>
    <w:rPr>
      <w:rFonts w:ascii="Times New Roman" w:hAnsi="Times New Roman" w:eastAsia="宋体" w:cs="Times New Roman"/>
      <w:sz w:val="24"/>
      <w:lang w:val="en-US" w:eastAsia="zh-CN" w:bidi="ar-SA"/>
    </w:rPr>
  </w:style>
  <w:style w:type="character" w:styleId="1150">
    <w:name w:val="c21"/>
    <w:next w:val="1150"/>
    <w:link w:val="1071"/>
    <w:qFormat/>
    <w:rPr>
      <w:rFonts w:ascii="ˎ̥" w:hAnsi="ˎ̥"/>
      <w:color w:val="000000"/>
      <w:sz w:val="20"/>
      <w:szCs w:val="20"/>
      <w:u w:val="none"/>
    </w:rPr>
  </w:style>
  <w:style w:type="character" w:styleId="1151">
    <w:name w:val="title4"/>
    <w:next w:val="1151"/>
    <w:link w:val="1071"/>
    <w:qFormat/>
    <w:rPr>
      <w:b/>
      <w:bCs/>
      <w:color w:val="1d87b3"/>
      <w:sz w:val="15"/>
      <w:szCs w:val="15"/>
    </w:rPr>
  </w:style>
  <w:style w:type="character" w:styleId="1152">
    <w:name w:val="标题 2 Char Char"/>
    <w:next w:val="1152"/>
    <w:link w:val="1071"/>
    <w:qFormat/>
    <w:rPr>
      <w:rFonts w:ascii="Arial" w:hAnsi="Arial" w:eastAsia="黑体"/>
      <w:b/>
      <w:bCs/>
      <w:sz w:val="32"/>
      <w:szCs w:val="32"/>
      <w:lang w:val="en-US" w:eastAsia="zh-CN" w:bidi="ar-SA"/>
    </w:rPr>
  </w:style>
  <w:style w:type="character" w:styleId="1153">
    <w:name w:val="black1"/>
    <w:next w:val="1153"/>
    <w:link w:val="1071"/>
    <w:qFormat/>
    <w:rPr>
      <w:color w:val="000000"/>
    </w:rPr>
  </w:style>
  <w:style w:type="character" w:styleId="1154">
    <w:name w:val="street-address"/>
    <w:next w:val="1154"/>
    <w:link w:val="1071"/>
    <w:qFormat/>
  </w:style>
  <w:style w:type="character" w:styleId="1155">
    <w:name w:val="locality"/>
    <w:next w:val="1155"/>
    <w:link w:val="1071"/>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1"/>
    <w:next w:val="1157"/>
    <w:link w:val="1156"/>
    <w:qFormat/>
    <w:pPr>
      <w:ind w:firstLine="480"/>
      <w:spacing w:line="480" w:lineRule="exact"/>
    </w:pPr>
    <w:rPr>
      <w:rFonts w:ascii="宋体" w:hAnsi="宋体"/>
      <w:sz w:val="24"/>
    </w:rPr>
  </w:style>
  <w:style w:type="character" w:styleId="1158">
    <w:name w:val="Char Char11"/>
    <w:next w:val="1158"/>
    <w:link w:val="1071"/>
    <w:qFormat/>
    <w:rPr>
      <w:rFonts w:ascii="宋体" w:eastAsia="宋体"/>
      <w:b/>
      <w:sz w:val="24"/>
      <w:u w:val="single"/>
      <w:lang w:val="en-US" w:eastAsia="zh-CN" w:bidi="ar-SA"/>
    </w:rPr>
  </w:style>
  <w:style w:type="character" w:styleId="1159">
    <w:name w:val="txt"/>
    <w:next w:val="1159"/>
    <w:link w:val="1071"/>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1"/>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1"/>
    <w:qFormat/>
    <w:rPr>
      <w:rFonts w:ascii="宋体" w:hAnsi="Courier New" w:eastAsia="宋体"/>
      <w:sz w:val="21"/>
      <w:lang w:val="en-US" w:eastAsia="zh-CN" w:bidi="ar-SA"/>
    </w:rPr>
  </w:style>
  <w:style w:type="character" w:styleId="1163">
    <w:name w:val="chanpin1"/>
    <w:next w:val="1163"/>
    <w:link w:val="1071"/>
    <w:qFormat/>
    <w:rPr>
      <w:rFonts w:ascii="ˎ̥" w:hAnsi="ˎ̥"/>
      <w:color w:val="000000"/>
      <w:sz w:val="20"/>
      <w:szCs w:val="20"/>
      <w:u w:val="none"/>
    </w:rPr>
  </w:style>
  <w:style w:type="character" w:styleId="1164">
    <w:name w:val="列出段落 字符"/>
    <w:next w:val="1164"/>
    <w:link w:val="1165"/>
    <w:uiPriority w:val="34"/>
    <w:qFormat/>
    <w:rPr>
      <w:rFonts w:ascii="Calibri" w:hAnsi="Calibri" w:eastAsia="宋体"/>
      <w:sz w:val="21"/>
      <w:szCs w:val="22"/>
      <w:lang w:val="en-US" w:eastAsia="zh-CN" w:bidi="ar-SA"/>
    </w:rPr>
  </w:style>
  <w:style w:type="paragraph" w:styleId="1165">
    <w:name w:val="列出段落"/>
    <w:basedOn w:val="1071"/>
    <w:next w:val="1165"/>
    <w:link w:val="1164"/>
    <w:uiPriority w:val="34"/>
    <w:qFormat/>
    <w:pPr>
      <w:ind w:firstLine="420"/>
    </w:pPr>
    <w:rPr>
      <w:rFonts w:ascii="Calibri" w:hAnsi="Calibri"/>
      <w:szCs w:val="22"/>
    </w:rPr>
  </w:style>
  <w:style w:type="character" w:styleId="1166">
    <w:name w:val="标题 3 Char Char"/>
    <w:next w:val="1166"/>
    <w:link w:val="1071"/>
    <w:qFormat/>
    <w:rPr>
      <w:rFonts w:eastAsia="宋体"/>
      <w:b/>
      <w:bCs/>
      <w:sz w:val="32"/>
      <w:szCs w:val="32"/>
      <w:lang w:val="en-US" w:eastAsia="zh-CN" w:bidi="ar-SA"/>
    </w:rPr>
  </w:style>
  <w:style w:type="character" w:styleId="1167">
    <w:name w:val="段1 Char"/>
    <w:next w:val="1167"/>
    <w:link w:val="1071"/>
    <w:qFormat/>
    <w:rPr>
      <w:rFonts w:ascii="宋体" w:eastAsia="宋体"/>
      <w:sz w:val="24"/>
      <w:lang w:val="en-US" w:eastAsia="zh-CN" w:bidi="ar-SA"/>
    </w:rPr>
  </w:style>
  <w:style w:type="character" w:styleId="1168">
    <w:name w:val="chanpin拷贝"/>
    <w:next w:val="1168"/>
    <w:link w:val="1071"/>
    <w:qFormat/>
  </w:style>
  <w:style w:type="character" w:styleId="1169">
    <w:name w:val="纯文本 Char1"/>
    <w:next w:val="1169"/>
    <w:link w:val="1071"/>
    <w:uiPriority w:val="99"/>
    <w:qFormat/>
    <w:rPr>
      <w:rFonts w:ascii="宋体" w:hAnsi="Courier New" w:eastAsia="宋体"/>
      <w:sz w:val="21"/>
      <w:lang w:val="en-US" w:eastAsia="zh-CN" w:bidi="ar-SA"/>
    </w:rPr>
  </w:style>
  <w:style w:type="character" w:styleId="1170">
    <w:name w:val="apple-style-span"/>
    <w:next w:val="1170"/>
    <w:link w:val="1071"/>
    <w:qFormat/>
    <w:rPr>
      <w:rFonts w:cs="Times New Roman"/>
    </w:rPr>
  </w:style>
  <w:style w:type="paragraph" w:styleId="1171">
    <w:name w:val="二级条标题"/>
    <w:basedOn w:val="1172"/>
    <w:next w:val="1071"/>
    <w:link w:val="1071"/>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1"/>
    <w:link w:val="1071"/>
    <w:qFormat/>
    <w:pPr>
      <w:numPr>
        <w:ilvl w:val="1"/>
      </w:numPr>
      <w:ind w:left="0" w:hanging="840"/>
      <w:tabs>
        <w:tab w:val="left" w:pos="360" w:leader="none"/>
        <w:tab w:val="left" w:pos="840" w:leader="none"/>
      </w:tabs>
      <w:outlineLvl w:val="1"/>
    </w:pPr>
  </w:style>
  <w:style w:type="paragraph" w:styleId="1173">
    <w:name w:val="章标题"/>
    <w:next w:val="1071"/>
    <w:link w:val="107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1"/>
    <w:next w:val="1174"/>
    <w:link w:val="1071"/>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1"/>
    <w:next w:val="1175"/>
    <w:link w:val="1071"/>
    <w:qFormat/>
    <w:rPr>
      <w:rFonts w:ascii="Tahoma" w:hAnsi="Tahoma"/>
      <w:sz w:val="24"/>
      <w:szCs w:val="20"/>
    </w:rPr>
  </w:style>
  <w:style w:type="paragraph" w:styleId="1176">
    <w:name w:val="Char3 Char Char Char"/>
    <w:basedOn w:val="1071"/>
    <w:next w:val="1176"/>
    <w:link w:val="1071"/>
    <w:qFormat/>
    <w:rPr>
      <w:rFonts w:ascii="Tahoma" w:hAnsi="Tahoma"/>
      <w:sz w:val="24"/>
      <w:szCs w:val="20"/>
    </w:rPr>
  </w:style>
  <w:style w:type="paragraph" w:styleId="1177">
    <w:name w:val="font6"/>
    <w:basedOn w:val="1071"/>
    <w:next w:val="1177"/>
    <w:link w:val="1071"/>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1"/>
    <w:qFormat/>
    <w:pPr>
      <w:numPr>
        <w:numId w:val="3"/>
      </w:numPr>
    </w:pPr>
  </w:style>
  <w:style w:type="paragraph" w:styleId="1179">
    <w:name w:val="项目编号1"/>
    <w:basedOn w:val="1071"/>
    <w:next w:val="1179"/>
    <w:link w:val="1071"/>
    <w:qFormat/>
    <w:pPr>
      <w:numPr>
        <w:ilvl w:val="0"/>
        <w:numId w:val="2"/>
      </w:numPr>
      <w:spacing w:before="100" w:beforeAutospacing="1" w:after="100" w:afterAutospacing="1" w:line="360" w:lineRule="auto"/>
    </w:pPr>
    <w:rPr>
      <w:sz w:val="24"/>
    </w:rPr>
  </w:style>
  <w:style w:type="paragraph" w:styleId="1180">
    <w:name w:val="图中文字"/>
    <w:basedOn w:val="1071"/>
    <w:next w:val="1180"/>
    <w:link w:val="1071"/>
    <w:qFormat/>
    <w:pPr>
      <w:jc w:val="center"/>
      <w:spacing w:line="0" w:lineRule="atLeast"/>
    </w:pPr>
    <w:rPr>
      <w:sz w:val="24"/>
      <w:szCs w:val="20"/>
    </w:rPr>
  </w:style>
  <w:style w:type="paragraph" w:styleId="1181">
    <w:name w:val="xl46"/>
    <w:basedOn w:val="1071"/>
    <w:next w:val="1181"/>
    <w:link w:val="107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1"/>
    <w:next w:val="1182"/>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1"/>
    <w:next w:val="1183"/>
    <w:link w:val="1071"/>
    <w:qFormat/>
    <w:rPr>
      <w:rFonts w:ascii="Tahoma" w:hAnsi="Tahoma"/>
      <w:sz w:val="24"/>
      <w:szCs w:val="20"/>
    </w:rPr>
  </w:style>
  <w:style w:type="paragraph" w:styleId="1184">
    <w:name w:val="xl35"/>
    <w:basedOn w:val="1071"/>
    <w:next w:val="1184"/>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1"/>
    <w:next w:val="1185"/>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1"/>
    <w:next w:val="118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1"/>
    <w:next w:val="1187"/>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1"/>
    <w:next w:val="1188"/>
    <w:link w:val="1071"/>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1"/>
    <w:next w:val="1189"/>
    <w:link w:val="1071"/>
    <w:qFormat/>
    <w:pPr>
      <w:ind w:firstLine="200"/>
      <w:spacing w:line="360" w:lineRule="auto"/>
    </w:pPr>
    <w:rPr>
      <w:rFonts w:eastAsia="仿宋_GB2312"/>
      <w:sz w:val="24"/>
    </w:rPr>
  </w:style>
  <w:style w:type="paragraph" w:styleId="1190">
    <w:name w:val="xl38"/>
    <w:basedOn w:val="1071"/>
    <w:next w:val="119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1"/>
    <w:next w:val="1191"/>
    <w:link w:val="107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1"/>
    <w:next w:val="1192"/>
    <w:link w:val="1071"/>
    <w:qFormat/>
    <w:pPr>
      <w:ind w:left="360" w:hanging="360"/>
      <w:jc w:val="left"/>
      <w:widowControl/>
    </w:pPr>
    <w:rPr>
      <w:rFonts w:ascii="宋体" w:hAnsi="宋体" w:cs="宋体"/>
      <w:b/>
      <w:bCs/>
      <w:color w:val="000000"/>
      <w:sz w:val="18"/>
      <w:szCs w:val="18"/>
    </w:rPr>
  </w:style>
  <w:style w:type="paragraph" w:styleId="1193">
    <w:name w:val="正文列项_数字"/>
    <w:basedOn w:val="1071"/>
    <w:next w:val="1193"/>
    <w:link w:val="1071"/>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1"/>
    <w:next w:val="119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1"/>
    <w:next w:val="1195"/>
    <w:link w:val="10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1"/>
    <w:next w:val="1196"/>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1"/>
    <w:next w:val="1197"/>
    <w:link w:val="1071"/>
    <w:qFormat/>
    <w:pPr>
      <w:jc w:val="left"/>
      <w:spacing w:before="100" w:beforeAutospacing="1" w:after="100" w:afterAutospacing="1"/>
      <w:widowControl/>
    </w:pPr>
    <w:rPr>
      <w:sz w:val="36"/>
      <w:szCs w:val="36"/>
    </w:rPr>
  </w:style>
  <w:style w:type="paragraph" w:styleId="1198">
    <w:name w:val="Char"/>
    <w:basedOn w:val="1071"/>
    <w:next w:val="1198"/>
    <w:link w:val="1071"/>
    <w:qFormat/>
    <w:pPr>
      <w:tabs>
        <w:tab w:val="left" w:pos="360" w:leader="none"/>
      </w:tabs>
    </w:pPr>
    <w:rPr>
      <w:sz w:val="24"/>
    </w:rPr>
  </w:style>
  <w:style w:type="paragraph" w:styleId="1199">
    <w:name w:val="Char Char Char Char Char Char Char Char Char Char Char Char Char Char Char Char"/>
    <w:basedOn w:val="1071"/>
    <w:next w:val="1199"/>
    <w:link w:val="1071"/>
    <w:qFormat/>
    <w:pPr>
      <w:jc w:val="center"/>
      <w:spacing w:after="160" w:line="240" w:lineRule="exact"/>
      <w:widowControl/>
    </w:pPr>
    <w:rPr>
      <w:rFonts w:ascii="宋体" w:hAnsi="宋体"/>
      <w:b/>
      <w:sz w:val="30"/>
      <w:szCs w:val="30"/>
      <w:lang w:eastAsia="en-US"/>
    </w:rPr>
  </w:style>
  <w:style w:type="paragraph" w:styleId="1200">
    <w:name w:val="xl45"/>
    <w:basedOn w:val="1071"/>
    <w:next w:val="1200"/>
    <w:link w:val="10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1"/>
    <w:next w:val="1201"/>
    <w:link w:val="1071"/>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096"/>
    <w:next w:val="1202"/>
    <w:link w:val="1071"/>
    <w:qFormat/>
    <w:rPr>
      <w:rFonts w:ascii="Tahoma" w:hAnsi="Tahoma"/>
      <w:sz w:val="24"/>
    </w:rPr>
  </w:style>
  <w:style w:type="paragraph" w:styleId="1203">
    <w:name w:val="xl26"/>
    <w:basedOn w:val="1071"/>
    <w:next w:val="1203"/>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1"/>
    <w:next w:val="120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1"/>
    <w:next w:val="1205"/>
    <w:link w:val="10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1"/>
    <w:next w:val="1206"/>
    <w:link w:val="1071"/>
    <w:qFormat/>
    <w:pPr>
      <w:jc w:val="left"/>
    </w:pPr>
    <w:rPr>
      <w:rFonts w:ascii="宋体" w:hAnsi="宋体"/>
      <w:szCs w:val="20"/>
    </w:rPr>
  </w:style>
  <w:style w:type="paragraph" w:styleId="1207">
    <w:name w:val="Char1 Char Char Char1"/>
    <w:basedOn w:val="1071"/>
    <w:next w:val="1207"/>
    <w:link w:val="1071"/>
    <w:qFormat/>
    <w:rPr>
      <w:rFonts w:ascii="Tahoma" w:hAnsi="Tahoma" w:cs="仿宋_GB2312"/>
      <w:sz w:val="24"/>
      <w:szCs w:val="28"/>
    </w:rPr>
  </w:style>
  <w:style w:type="paragraph" w:styleId="1208">
    <w:name w:val="四级条标题"/>
    <w:basedOn w:val="1209"/>
    <w:next w:val="1071"/>
    <w:link w:val="1071"/>
    <w:qFormat/>
    <w:pPr>
      <w:numPr>
        <w:ilvl w:val="4"/>
      </w:numPr>
      <w:ind w:left="0" w:hanging="840"/>
      <w:tabs>
        <w:tab w:val="left" w:pos="360" w:leader="none"/>
        <w:tab w:val="left" w:pos="840" w:leader="none"/>
      </w:tabs>
      <w:outlineLvl w:val="4"/>
    </w:pPr>
  </w:style>
  <w:style w:type="paragraph" w:styleId="1209">
    <w:name w:val="三级条标题"/>
    <w:basedOn w:val="1171"/>
    <w:next w:val="1071"/>
    <w:link w:val="1071"/>
    <w:qFormat/>
    <w:pPr>
      <w:numPr>
        <w:ilvl w:val="3"/>
        <w:numId w:val="1"/>
      </w:numPr>
      <w:ind w:left="0" w:hanging="840"/>
      <w:tabs>
        <w:tab w:val="left" w:pos="360" w:leader="none"/>
        <w:tab w:val="left" w:pos="840" w:leader="none"/>
      </w:tabs>
      <w:outlineLvl w:val="3"/>
    </w:pPr>
  </w:style>
  <w:style w:type="paragraph" w:styleId="1210">
    <w:name w:val="??"/>
    <w:next w:val="1210"/>
    <w:link w:val="1071"/>
    <w:qFormat/>
    <w:pPr>
      <w:jc w:val="both"/>
      <w:widowControl w:val="off"/>
    </w:pPr>
    <w:rPr>
      <w:sz w:val="21"/>
      <w:lang w:val="en-US" w:eastAsia="en-US" w:bidi="ar-SA"/>
    </w:rPr>
  </w:style>
  <w:style w:type="paragraph" w:styleId="1211">
    <w:name w:val="样式 标题 2 + 宋体 五号 行距: 单倍行距"/>
    <w:basedOn w:val="1073"/>
    <w:next w:val="1211"/>
    <w:link w:val="107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1"/>
    <w:next w:val="1212"/>
    <w:link w:val="1071"/>
    <w:qFormat/>
    <w:pPr>
      <w:ind w:firstLine="420"/>
    </w:pPr>
    <w:rPr>
      <w:rFonts w:ascii="Calibri" w:hAnsi="Calibri"/>
      <w:szCs w:val="22"/>
    </w:rPr>
  </w:style>
  <w:style w:type="paragraph" w:styleId="1213">
    <w:name w:val="项目符号1"/>
    <w:basedOn w:val="1214"/>
    <w:next w:val="1213"/>
    <w:link w:val="1071"/>
    <w:qFormat/>
    <w:pPr>
      <w:ind w:left="-25" w:firstLine="0"/>
    </w:pPr>
  </w:style>
  <w:style w:type="paragraph" w:styleId="1214">
    <w:name w:val="正文文本样式"/>
    <w:basedOn w:val="1071"/>
    <w:next w:val="1214"/>
    <w:link w:val="1071"/>
    <w:qFormat/>
    <w:pPr>
      <w:ind w:firstLine="482"/>
      <w:spacing w:line="360" w:lineRule="auto"/>
    </w:pPr>
    <w:rPr>
      <w:rFonts w:cs="宋体"/>
      <w:sz w:val="24"/>
      <w:szCs w:val="20"/>
    </w:rPr>
  </w:style>
  <w:style w:type="paragraph" w:styleId="1215">
    <w:name w:val="xl27"/>
    <w:basedOn w:val="1071"/>
    <w:next w:val="121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1"/>
    <w:next w:val="1216"/>
    <w:link w:val="1071"/>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1"/>
    <w:link w:val="1071"/>
    <w:qFormat/>
    <w:pPr>
      <w:numPr>
        <w:ilvl w:val="5"/>
      </w:numPr>
      <w:ind w:left="0" w:hanging="840"/>
      <w:tabs>
        <w:tab w:val="left" w:pos="360" w:leader="none"/>
        <w:tab w:val="left" w:pos="840" w:leader="none"/>
      </w:tabs>
      <w:outlineLvl w:val="5"/>
    </w:pPr>
  </w:style>
  <w:style w:type="paragraph" w:styleId="1218">
    <w:name w:val="xl49"/>
    <w:basedOn w:val="1071"/>
    <w:next w:val="1218"/>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1"/>
    <w:next w:val="1219"/>
    <w:link w:val="1071"/>
    <w:qFormat/>
    <w:pPr>
      <w:spacing w:before="120" w:after="120" w:line="180" w:lineRule="auto"/>
    </w:pPr>
    <w:rPr>
      <w:rFonts w:ascii="Arial" w:hAnsi="Arial"/>
      <w:szCs w:val="20"/>
    </w:rPr>
  </w:style>
  <w:style w:type="paragraph" w:styleId="1220">
    <w:name w:val="xl33"/>
    <w:basedOn w:val="1071"/>
    <w:next w:val="1220"/>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1"/>
    <w:next w:val="122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1"/>
    <w:next w:val="1222"/>
    <w:link w:val="1071"/>
    <w:qFormat/>
    <w:rPr>
      <w:rFonts w:ascii="Tahoma" w:hAnsi="Tahoma"/>
      <w:sz w:val="24"/>
      <w:szCs w:val="20"/>
    </w:rPr>
  </w:style>
  <w:style w:type="paragraph" w:styleId="1223">
    <w:name w:val="xl44"/>
    <w:basedOn w:val="1071"/>
    <w:next w:val="1223"/>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1"/>
    <w:next w:val="1224"/>
    <w:link w:val="1071"/>
    <w:qFormat/>
    <w:pPr>
      <w:numPr>
        <w:ilvl w:val="0"/>
        <w:numId w:val="5"/>
      </w:numPr>
      <w:spacing w:before="120"/>
      <w:tabs>
        <w:tab w:val="left" w:pos="360" w:leader="none"/>
      </w:tabs>
    </w:pPr>
    <w:rPr>
      <w:rFonts w:ascii="宋体"/>
      <w:sz w:val="28"/>
      <w:szCs w:val="20"/>
    </w:rPr>
  </w:style>
  <w:style w:type="paragraph" w:styleId="1225">
    <w:name w:val="font9"/>
    <w:basedOn w:val="1071"/>
    <w:next w:val="1225"/>
    <w:link w:val="1071"/>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1"/>
    <w:next w:val="1226"/>
    <w:link w:val="1071"/>
    <w:qFormat/>
    <w:rPr>
      <w:rFonts w:ascii="Tahoma" w:hAnsi="Tahoma"/>
      <w:sz w:val="24"/>
      <w:szCs w:val="20"/>
    </w:rPr>
  </w:style>
  <w:style w:type="paragraph" w:styleId="1227">
    <w:name w:val="Char Char Char Char Char Char Char Char Char Char"/>
    <w:basedOn w:val="1071"/>
    <w:next w:val="1227"/>
    <w:link w:val="1071"/>
    <w:qFormat/>
  </w:style>
  <w:style w:type="paragraph" w:styleId="1228">
    <w:name w:val="Char Char1 Char Char Char Char Char Char Char Char"/>
    <w:basedOn w:val="1071"/>
    <w:next w:val="1228"/>
    <w:link w:val="1071"/>
    <w:qFormat/>
    <w:pPr>
      <w:jc w:val="left"/>
      <w:spacing w:after="160" w:line="240" w:lineRule="exact"/>
      <w:widowControl/>
    </w:pPr>
    <w:rPr>
      <w:rFonts w:ascii="Verdana" w:hAnsi="Verdana"/>
      <w:sz w:val="20"/>
      <w:szCs w:val="20"/>
      <w:lang w:eastAsia="en-US"/>
    </w:rPr>
  </w:style>
  <w:style w:type="paragraph" w:styleId="1229">
    <w:name w:val="Char1"/>
    <w:basedOn w:val="1071"/>
    <w:next w:val="1229"/>
    <w:link w:val="1071"/>
    <w:qFormat/>
    <w:pPr>
      <w:tabs>
        <w:tab w:val="left" w:pos="360" w:leader="none"/>
      </w:tabs>
    </w:pPr>
    <w:rPr>
      <w:sz w:val="24"/>
    </w:rPr>
  </w:style>
  <w:style w:type="paragraph" w:styleId="1230">
    <w:name w:val="正文列项_字母"/>
    <w:basedOn w:val="1071"/>
    <w:next w:val="1230"/>
    <w:link w:val="1071"/>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1"/>
    <w:next w:val="1231"/>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1"/>
    <w:next w:val="1232"/>
    <w:link w:val="10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1"/>
    <w:next w:val="1233"/>
    <w:link w:val="1071"/>
    <w:qFormat/>
    <w:rPr>
      <w:rFonts w:ascii="Arial" w:hAnsi="Arial" w:cs="Arial"/>
      <w:szCs w:val="21"/>
    </w:rPr>
  </w:style>
  <w:style w:type="paragraph" w:styleId="1234">
    <w:name w:val="xl48"/>
    <w:basedOn w:val="1071"/>
    <w:next w:val="1234"/>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1"/>
    <w:next w:val="1235"/>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1"/>
    <w:next w:val="1236"/>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1"/>
    <w:next w:val="1237"/>
    <w:link w:val="1071"/>
    <w:qFormat/>
    <w:rPr>
      <w:rFonts w:ascii="Tahoma" w:hAnsi="Tahoma"/>
      <w:sz w:val="24"/>
      <w:szCs w:val="20"/>
    </w:rPr>
  </w:style>
  <w:style w:type="paragraph" w:styleId="1238">
    <w:name w:val="xl50"/>
    <w:basedOn w:val="1071"/>
    <w:next w:val="1238"/>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1"/>
    <w:next w:val="1239"/>
    <w:link w:val="1071"/>
    <w:qFormat/>
    <w:pPr>
      <w:jc w:val="left"/>
    </w:pPr>
    <w:rPr>
      <w:sz w:val="24"/>
    </w:rPr>
  </w:style>
  <w:style w:type="paragraph" w:styleId="1240">
    <w:name w:val="Char Char Char1"/>
    <w:basedOn w:val="1071"/>
    <w:next w:val="1240"/>
    <w:link w:val="1071"/>
    <w:qFormat/>
    <w:rPr>
      <w:rFonts w:ascii="Tahoma" w:hAnsi="Tahoma"/>
      <w:sz w:val="24"/>
      <w:szCs w:val="20"/>
    </w:rPr>
  </w:style>
  <w:style w:type="paragraph" w:styleId="1241">
    <w:name w:val="Char Char Char Char Char Char Char1"/>
    <w:basedOn w:val="1071"/>
    <w:next w:val="1241"/>
    <w:link w:val="1071"/>
    <w:qFormat/>
    <w:pPr>
      <w:ind w:firstLine="200"/>
      <w:spacing w:line="360" w:lineRule="auto"/>
    </w:pPr>
    <w:rPr>
      <w:rFonts w:eastAsia="仿宋_GB2312"/>
      <w:sz w:val="24"/>
    </w:rPr>
  </w:style>
  <w:style w:type="paragraph" w:styleId="1242">
    <w:name w:val="xl51"/>
    <w:basedOn w:val="1071"/>
    <w:next w:val="1242"/>
    <w:link w:val="10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1"/>
    <w:qFormat/>
    <w:pPr>
      <w:jc w:val="center"/>
      <w:spacing w:line="360" w:lineRule="auto"/>
    </w:pPr>
    <w:rPr>
      <w:sz w:val="24"/>
    </w:rPr>
  </w:style>
  <w:style w:type="paragraph" w:styleId="1244">
    <w:name w:val="xl24"/>
    <w:basedOn w:val="1071"/>
    <w:next w:val="1244"/>
    <w:link w:val="10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1"/>
    <w:next w:val="1245"/>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1"/>
    <w:next w:val="1246"/>
    <w:link w:val="1071"/>
    <w:qFormat/>
    <w:pPr>
      <w:jc w:val="left"/>
      <w:widowControl/>
    </w:pPr>
    <w:rPr>
      <w:rFonts w:ascii="楷体_GB2312" w:eastAsia="楷体_GB2312" w:cs="Arial"/>
      <w:sz w:val="24"/>
    </w:rPr>
  </w:style>
  <w:style w:type="paragraph" w:styleId="1247">
    <w:name w:val="xl34"/>
    <w:basedOn w:val="1071"/>
    <w:next w:val="1247"/>
    <w:link w:val="10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1"/>
    <w:next w:val="1248"/>
    <w:link w:val="1071"/>
    <w:qFormat/>
    <w:rPr>
      <w:rFonts w:ascii="Tahoma" w:hAnsi="Tahoma"/>
      <w:sz w:val="24"/>
      <w:szCs w:val="20"/>
    </w:rPr>
  </w:style>
  <w:style w:type="paragraph" w:styleId="1249">
    <w:name w:val="Default"/>
    <w:next w:val="1249"/>
    <w:link w:val="1071"/>
    <w:qFormat/>
    <w:pPr>
      <w:widowControl w:val="off"/>
    </w:pPr>
    <w:rPr>
      <w:rFonts w:ascii="Symbol" w:hAnsi="Symbol" w:cs="Symbol"/>
      <w:color w:val="000000"/>
      <w:sz w:val="24"/>
      <w:szCs w:val="24"/>
      <w:lang w:val="en-US" w:eastAsia="zh-CN" w:bidi="ar-SA"/>
    </w:rPr>
  </w:style>
  <w:style w:type="paragraph" w:styleId="1250">
    <w:name w:val="列出段落1"/>
    <w:basedOn w:val="1071"/>
    <w:next w:val="1250"/>
    <w:link w:val="1071"/>
    <w:qFormat/>
    <w:pPr>
      <w:ind w:firstLine="420"/>
    </w:pPr>
    <w:rPr>
      <w:rFonts w:ascii="Calibri" w:hAnsi="Calibri"/>
      <w:szCs w:val="22"/>
    </w:rPr>
  </w:style>
  <w:style w:type="paragraph" w:styleId="1251">
    <w:name w:val="default"/>
    <w:basedOn w:val="1071"/>
    <w:next w:val="1251"/>
    <w:link w:val="1071"/>
    <w:qFormat/>
    <w:pPr>
      <w:jc w:val="left"/>
      <w:spacing w:before="100" w:beforeAutospacing="1" w:after="100" w:afterAutospacing="1"/>
      <w:widowControl/>
    </w:pPr>
    <w:rPr>
      <w:rFonts w:ascii="宋体" w:hAnsi="宋体" w:cs="宋体"/>
      <w:sz w:val="24"/>
    </w:rPr>
  </w:style>
  <w:style w:type="paragraph" w:styleId="1252">
    <w:name w:val="字元 字元1"/>
    <w:basedOn w:val="1071"/>
    <w:next w:val="1252"/>
    <w:link w:val="1071"/>
    <w:qFormat/>
    <w:rPr>
      <w:rFonts w:ascii="Tahoma" w:hAnsi="Tahoma"/>
      <w:sz w:val="24"/>
      <w:szCs w:val="20"/>
    </w:rPr>
  </w:style>
  <w:style w:type="paragraph" w:styleId="1253">
    <w:name w:val="_Style 160"/>
    <w:next w:val="1253"/>
    <w:link w:val="1071"/>
    <w:qFormat/>
    <w:rPr>
      <w:sz w:val="21"/>
      <w:szCs w:val="24"/>
      <w:lang w:val="en-US" w:eastAsia="zh-CN" w:bidi="ar-SA"/>
    </w:rPr>
  </w:style>
  <w:style w:type="paragraph" w:styleId="1254">
    <w:name w:val="项目编号3"/>
    <w:basedOn w:val="1214"/>
    <w:next w:val="1254"/>
    <w:link w:val="1071"/>
    <w:qFormat/>
    <w:pPr>
      <w:numPr>
        <w:ilvl w:val="0"/>
        <w:numId w:val="6"/>
      </w:numPr>
    </w:pPr>
  </w:style>
  <w:style w:type="paragraph" w:styleId="1255">
    <w:name w:val="Char21"/>
    <w:basedOn w:val="1071"/>
    <w:next w:val="1255"/>
    <w:link w:val="1071"/>
    <w:qFormat/>
    <w:rPr>
      <w:rFonts w:ascii="Tahoma" w:hAnsi="Tahoma"/>
      <w:sz w:val="24"/>
      <w:szCs w:val="20"/>
    </w:rPr>
  </w:style>
  <w:style w:type="paragraph" w:styleId="1256">
    <w:name w:val="表格文字"/>
    <w:basedOn w:val="1104"/>
    <w:next w:val="1256"/>
    <w:link w:val="1071"/>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1"/>
    <w:next w:val="1257"/>
    <w:link w:val="1071"/>
    <w:qFormat/>
    <w:rPr>
      <w:rFonts w:ascii="宋体" w:hAnsi="宋体" w:cs="Courier New"/>
      <w:sz w:val="32"/>
      <w:szCs w:val="32"/>
    </w:rPr>
  </w:style>
  <w:style w:type="paragraph" w:styleId="1258">
    <w:name w:val="正文文本样式 加粗"/>
    <w:basedOn w:val="1214"/>
    <w:next w:val="1258"/>
    <w:link w:val="1071"/>
    <w:qFormat/>
    <w:rPr>
      <w:b/>
    </w:rPr>
  </w:style>
  <w:style w:type="paragraph" w:styleId="1259">
    <w:name w:val="Char2 Char Char Char Char Char Char"/>
    <w:basedOn w:val="1071"/>
    <w:next w:val="1259"/>
    <w:link w:val="1071"/>
    <w:qFormat/>
    <w:pPr>
      <w:jc w:val="center"/>
      <w:spacing w:line="400" w:lineRule="exact"/>
      <w:widowControl/>
    </w:pPr>
  </w:style>
  <w:style w:type="paragraph" w:styleId="1260">
    <w:name w:val="Char Char4"/>
    <w:basedOn w:val="1071"/>
    <w:next w:val="1260"/>
    <w:link w:val="1071"/>
    <w:qFormat/>
    <w:pPr>
      <w:jc w:val="center"/>
      <w:spacing w:line="400" w:lineRule="exact"/>
      <w:widowControl/>
    </w:pPr>
  </w:style>
  <w:style w:type="paragraph" w:styleId="1261">
    <w:name w:val="Char3 Char Char Char1"/>
    <w:basedOn w:val="1071"/>
    <w:next w:val="1261"/>
    <w:link w:val="1071"/>
    <w:qFormat/>
    <w:rPr>
      <w:rFonts w:ascii="Tahoma" w:hAnsi="Tahoma"/>
      <w:sz w:val="24"/>
      <w:szCs w:val="20"/>
    </w:rPr>
  </w:style>
  <w:style w:type="paragraph" w:styleId="1262">
    <w:name w:val="无间隔"/>
    <w:next w:val="1262"/>
    <w:link w:val="1071"/>
    <w:qFormat/>
    <w:pPr>
      <w:jc w:val="both"/>
      <w:widowControl w:val="off"/>
    </w:pPr>
    <w:rPr>
      <w:sz w:val="21"/>
      <w:szCs w:val="24"/>
      <w:lang w:val="en-US" w:eastAsia="zh-CN" w:bidi="ar-SA"/>
    </w:rPr>
  </w:style>
  <w:style w:type="paragraph" w:styleId="1263">
    <w:name w:val="22222222222222"/>
    <w:basedOn w:val="1071"/>
    <w:next w:val="1263"/>
    <w:link w:val="1071"/>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1"/>
    <w:next w:val="1266"/>
    <w:link w:val="1071"/>
    <w:qFormat/>
    <w:pPr>
      <w:spacing w:after="50" w:line="360" w:lineRule="auto"/>
    </w:pPr>
    <w:rPr>
      <w:sz w:val="24"/>
    </w:rPr>
  </w:style>
  <w:style w:type="paragraph" w:styleId="1267">
    <w:name w:val="xl23"/>
    <w:basedOn w:val="1071"/>
    <w:next w:val="1267"/>
    <w:link w:val="1071"/>
    <w:qFormat/>
    <w:pPr>
      <w:spacing w:before="100" w:beforeAutospacing="1" w:after="100" w:afterAutospacing="1" w:line="360" w:lineRule="auto"/>
      <w:widowControl/>
    </w:pPr>
    <w:rPr>
      <w:sz w:val="24"/>
      <w:szCs w:val="20"/>
    </w:rPr>
  </w:style>
  <w:style w:type="paragraph" w:styleId="1268">
    <w:name w:val="正文表格"/>
    <w:basedOn w:val="1071"/>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1"/>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2"/>
    <w:next w:val="1272"/>
    <w:link w:val="1071"/>
    <w:qFormat/>
    <w:pPr>
      <w:jc w:val="left"/>
    </w:pPr>
    <w:rPr>
      <w:sz w:val="24"/>
      <w:szCs w:val="24"/>
    </w:rPr>
  </w:style>
  <w:style w:type="paragraph" w:styleId="1273">
    <w:name w:val="正文小标题"/>
    <w:basedOn w:val="1071"/>
    <w:next w:val="1085"/>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5"/>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1"/>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1"/>
    <w:next w:val="1071"/>
    <w:link w:val="1071"/>
    <w:qFormat/>
    <w:pPr>
      <w:numPr>
        <w:ilvl w:val="0"/>
        <w:numId w:val="7"/>
      </w:numPr>
      <w:spacing w:line="300" w:lineRule="auto"/>
    </w:pPr>
    <w:rPr>
      <w:rFonts w:ascii="宋体" w:hAnsi="Calibri"/>
      <w:sz w:val="24"/>
      <w:szCs w:val="21"/>
    </w:rPr>
  </w:style>
  <w:style w:type="paragraph" w:styleId="1280">
    <w:name w:val="正文须知-2级"/>
    <w:basedOn w:val="1071"/>
    <w:next w:val="1280"/>
    <w:link w:val="1071"/>
    <w:qFormat/>
    <w:pPr>
      <w:numPr>
        <w:ilvl w:val="1"/>
        <w:numId w:val="7"/>
      </w:numPr>
      <w:spacing w:line="300" w:lineRule="auto"/>
    </w:pPr>
    <w:rPr>
      <w:rFonts w:ascii="宋体" w:hAnsi="Calibri"/>
      <w:sz w:val="24"/>
      <w:szCs w:val="21"/>
    </w:rPr>
  </w:style>
  <w:style w:type="paragraph" w:styleId="1281">
    <w:name w:val="正文须知-3级"/>
    <w:basedOn w:val="1071"/>
    <w:next w:val="1281"/>
    <w:link w:val="1071"/>
    <w:qFormat/>
    <w:pPr>
      <w:numPr>
        <w:ilvl w:val="2"/>
        <w:numId w:val="7"/>
      </w:numPr>
      <w:ind w:hanging="355"/>
      <w:spacing w:line="300" w:lineRule="auto"/>
    </w:pPr>
    <w:rPr>
      <w:rFonts w:ascii="宋体" w:hAnsi="Calibri"/>
      <w:sz w:val="24"/>
      <w:szCs w:val="21"/>
    </w:rPr>
  </w:style>
  <w:style w:type="character" w:styleId="1282">
    <w:name w:val="纯文本 字符"/>
    <w:next w:val="1282"/>
    <w:link w:val="1071"/>
    <w:uiPriority w:val="99"/>
    <w:qFormat/>
    <w:rPr>
      <w:rFonts w:ascii="宋体" w:hAnsi="Courier New" w:eastAsia="宋体" w:cs="Times New Roman"/>
      <w:sz w:val="21"/>
      <w:szCs w:val="21"/>
      <w:lang w:val="en-US" w:eastAsia="zh-CN" w:bidi="ar-SA"/>
    </w:rPr>
  </w:style>
  <w:style w:type="paragraph" w:styleId="1283">
    <w:name w:val="表格1"/>
    <w:basedOn w:val="1071"/>
    <w:next w:val="1283"/>
    <w:link w:val="1071"/>
    <w:qFormat/>
    <w:pPr>
      <w:ind w:firstLine="480"/>
      <w:jc w:val="center"/>
    </w:pPr>
    <w:rPr>
      <w:sz w:val="24"/>
      <w:szCs w:val="20"/>
    </w:rPr>
  </w:style>
  <w:style w:type="character" w:styleId="1284">
    <w:name w:val="纯文本 字符1"/>
    <w:next w:val="1284"/>
    <w:link w:val="1071"/>
    <w:qFormat/>
    <w:rPr>
      <w:rFonts w:ascii="宋体" w:hAnsi="Courier New"/>
    </w:rPr>
  </w:style>
  <w:style w:type="character" w:styleId="1285">
    <w:name w:val="bjh-p"/>
    <w:next w:val="1285"/>
    <w:link w:val="1071"/>
    <w:qFormat/>
  </w:style>
  <w:style w:type="paragraph" w:styleId="1286">
    <w:name w:val="无标题条"/>
    <w:next w:val="1071"/>
    <w:link w:val="1071"/>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1"/>
    <w:next w:val="1288"/>
    <w:link w:val="1287"/>
    <w:qFormat/>
    <w:pPr>
      <w:ind w:firstLine="480"/>
      <w:spacing w:line="360" w:lineRule="auto"/>
    </w:pPr>
    <w:rPr>
      <w:rFonts w:ascii="宋体" w:hAnsi="宋体"/>
      <w:sz w:val="24"/>
      <w:lang w:val="en-GB"/>
    </w:rPr>
  </w:style>
  <w:style w:type="character" w:styleId="1289">
    <w:name w:val="标题 3 Char"/>
    <w:next w:val="1289"/>
    <w:link w:val="1071"/>
    <w:qFormat/>
    <w:rPr>
      <w:rFonts w:ascii="宋体" w:eastAsia="宋体"/>
      <w:b/>
      <w:sz w:val="24"/>
      <w:u w:val="single"/>
      <w:lang w:val="en-US" w:eastAsia="zh-CN" w:bidi="ar-SA"/>
    </w:rPr>
  </w:style>
  <w:style w:type="character" w:styleId="1290">
    <w:name w:val="正文缩进 Char"/>
    <w:next w:val="1290"/>
    <w:link w:val="1071"/>
    <w:qFormat/>
    <w:rPr>
      <w:rFonts w:ascii="宋体" w:eastAsia="宋体"/>
      <w:sz w:val="24"/>
      <w:szCs w:val="24"/>
      <w:lang w:val="en-US" w:eastAsia="zh-CN" w:bidi="ar-SA"/>
    </w:rPr>
  </w:style>
  <w:style w:type="character" w:styleId="1291">
    <w:name w:val="Char Char111"/>
    <w:next w:val="1291"/>
    <w:link w:val="1071"/>
    <w:qFormat/>
    <w:rPr>
      <w:rFonts w:ascii="宋体" w:eastAsia="宋体"/>
      <w:b/>
      <w:sz w:val="24"/>
      <w:u w:val="single"/>
      <w:lang w:val="en-US" w:eastAsia="zh-CN" w:bidi="ar-SA"/>
    </w:rPr>
  </w:style>
  <w:style w:type="character" w:styleId="1292">
    <w:name w:val="正文文本缩进 Char"/>
    <w:next w:val="1292"/>
    <w:link w:val="1071"/>
    <w:qFormat/>
    <w:rPr>
      <w:rFonts w:eastAsia="宋体"/>
      <w:sz w:val="24"/>
      <w:szCs w:val="24"/>
      <w:lang w:val="en-US" w:eastAsia="zh-CN" w:bidi="ar-SA"/>
    </w:rPr>
  </w:style>
  <w:style w:type="character" w:styleId="1293">
    <w:name w:val="列出段落 Char"/>
    <w:next w:val="1293"/>
    <w:link w:val="1071"/>
    <w:qFormat/>
    <w:rPr>
      <w:rFonts w:ascii="Calibri" w:hAnsi="Calibri" w:eastAsia="宋体"/>
      <w:sz w:val="21"/>
      <w:szCs w:val="22"/>
      <w:lang w:val="en-US" w:eastAsia="zh-CN" w:bidi="ar-SA"/>
    </w:rPr>
  </w:style>
  <w:style w:type="character" w:styleId="1294">
    <w:name w:val="页眉 Char"/>
    <w:next w:val="1294"/>
    <w:link w:val="1071"/>
    <w:qFormat/>
    <w:rPr>
      <w:rFonts w:eastAsia="宋体"/>
      <w:sz w:val="18"/>
      <w:szCs w:val="18"/>
      <w:lang w:val="en-US" w:eastAsia="zh-CN" w:bidi="ar-SA"/>
    </w:rPr>
  </w:style>
  <w:style w:type="character" w:styleId="1295">
    <w:name w:val="标题 2 Char"/>
    <w:next w:val="1295"/>
    <w:link w:val="1071"/>
    <w:qFormat/>
    <w:rPr>
      <w:rFonts w:ascii="Arial" w:hAnsi="Arial" w:eastAsia="黑体"/>
      <w:b/>
      <w:sz w:val="30"/>
      <w:lang w:val="en-US" w:eastAsia="zh-CN" w:bidi="ar-SA"/>
    </w:rPr>
  </w:style>
  <w:style w:type="paragraph" w:styleId="1296">
    <w:name w:val="字元 字元2"/>
    <w:basedOn w:val="1071"/>
    <w:next w:val="1296"/>
    <w:link w:val="1071"/>
    <w:qFormat/>
    <w:rPr>
      <w:rFonts w:ascii="Tahoma" w:hAnsi="Tahoma"/>
      <w:sz w:val="24"/>
      <w:szCs w:val="20"/>
    </w:rPr>
  </w:style>
  <w:style w:type="paragraph" w:styleId="1297">
    <w:name w:val="Char3 Char Char Char2"/>
    <w:basedOn w:val="1071"/>
    <w:next w:val="1297"/>
    <w:link w:val="1071"/>
    <w:qFormat/>
    <w:rPr>
      <w:rFonts w:ascii="Tahoma" w:hAnsi="Tahoma"/>
      <w:sz w:val="24"/>
      <w:szCs w:val="20"/>
    </w:rPr>
  </w:style>
  <w:style w:type="paragraph" w:styleId="1298">
    <w:name w:val="正文文本缩进2"/>
    <w:basedOn w:val="1071"/>
    <w:next w:val="1298"/>
    <w:link w:val="1071"/>
    <w:qFormat/>
    <w:pPr>
      <w:ind w:firstLine="480"/>
      <w:spacing w:line="480" w:lineRule="exact"/>
    </w:pPr>
    <w:rPr>
      <w:rFonts w:ascii="宋体" w:hAnsi="宋体"/>
      <w:sz w:val="24"/>
      <w:lang w:val="zh-CN" w:eastAsia="zh-CN"/>
    </w:rPr>
  </w:style>
  <w:style w:type="paragraph" w:styleId="1299">
    <w:name w:val="Char3"/>
    <w:basedOn w:val="1071"/>
    <w:next w:val="1299"/>
    <w:link w:val="1071"/>
    <w:qFormat/>
    <w:pPr>
      <w:tabs>
        <w:tab w:val="left" w:pos="360" w:leader="none"/>
      </w:tabs>
    </w:pPr>
    <w:rPr>
      <w:sz w:val="24"/>
    </w:rPr>
  </w:style>
  <w:style w:type="paragraph" w:styleId="1300">
    <w:name w:val="Char Char Char Char Char Char Char Char Char Char Char Char Char Char Char Char1"/>
    <w:basedOn w:val="1071"/>
    <w:next w:val="1300"/>
    <w:link w:val="1071"/>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1"/>
    <w:next w:val="1301"/>
    <w:link w:val="1071"/>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1"/>
    <w:next w:val="1302"/>
    <w:link w:val="1071"/>
    <w:qFormat/>
    <w:pPr>
      <w:ind w:firstLine="420"/>
    </w:pPr>
    <w:rPr>
      <w:rFonts w:ascii="Calibri" w:hAnsi="Calibri"/>
      <w:szCs w:val="22"/>
    </w:rPr>
  </w:style>
  <w:style w:type="paragraph" w:styleId="1303">
    <w:name w:val="Char Char Char1 Char2"/>
    <w:basedOn w:val="1071"/>
    <w:next w:val="1303"/>
    <w:link w:val="1071"/>
    <w:qFormat/>
    <w:rPr>
      <w:rFonts w:ascii="Tahoma" w:hAnsi="Tahoma"/>
      <w:sz w:val="24"/>
      <w:szCs w:val="20"/>
    </w:rPr>
  </w:style>
  <w:style w:type="paragraph" w:styleId="1304">
    <w:name w:val="Char Char Char2"/>
    <w:basedOn w:val="1071"/>
    <w:next w:val="1304"/>
    <w:link w:val="1071"/>
    <w:qFormat/>
    <w:rPr>
      <w:rFonts w:ascii="Tahoma" w:hAnsi="Tahoma"/>
      <w:sz w:val="24"/>
      <w:szCs w:val="20"/>
    </w:rPr>
  </w:style>
  <w:style w:type="paragraph" w:styleId="1305">
    <w:name w:val="Char Char Char Char Char Char Char2"/>
    <w:basedOn w:val="1071"/>
    <w:next w:val="1305"/>
    <w:link w:val="1071"/>
    <w:qFormat/>
    <w:pPr>
      <w:ind w:firstLine="200"/>
      <w:spacing w:line="360" w:lineRule="auto"/>
    </w:pPr>
    <w:rPr>
      <w:rFonts w:eastAsia="仿宋_GB2312"/>
      <w:sz w:val="24"/>
    </w:rPr>
  </w:style>
  <w:style w:type="paragraph" w:styleId="1306">
    <w:name w:val="正文缩进2"/>
    <w:basedOn w:val="1071"/>
    <w:next w:val="1306"/>
    <w:link w:val="1071"/>
    <w:qFormat/>
    <w:pPr>
      <w:ind w:firstLine="567"/>
      <w:spacing w:line="480" w:lineRule="exact"/>
      <w:widowControl/>
    </w:pPr>
    <w:rPr>
      <w:rFonts w:ascii="宋体"/>
      <w:color w:val="000000"/>
      <w:sz w:val="28"/>
      <w:szCs w:val="20"/>
      <w:lang w:val="zh-CN" w:eastAsia="zh-CN"/>
    </w:rPr>
  </w:style>
  <w:style w:type="paragraph" w:styleId="1307">
    <w:name w:val="Revision"/>
    <w:next w:val="1307"/>
    <w:link w:val="1071"/>
    <w:qFormat/>
    <w:rPr>
      <w:sz w:val="21"/>
      <w:szCs w:val="24"/>
      <w:lang w:val="en-US" w:eastAsia="zh-CN" w:bidi="ar-SA"/>
    </w:rPr>
  </w:style>
  <w:style w:type="paragraph" w:styleId="1308">
    <w:name w:val="Char22"/>
    <w:basedOn w:val="1071"/>
    <w:next w:val="1308"/>
    <w:link w:val="1071"/>
    <w:qFormat/>
    <w:rPr>
      <w:rFonts w:ascii="Tahoma" w:hAnsi="Tahoma"/>
      <w:sz w:val="24"/>
      <w:szCs w:val="20"/>
    </w:rPr>
  </w:style>
  <w:style w:type="paragraph" w:styleId="1309">
    <w:name w:val="Char Char Char Char Char Char Char Char Char Char2"/>
    <w:basedOn w:val="1071"/>
    <w:next w:val="1309"/>
    <w:link w:val="1071"/>
    <w:qFormat/>
    <w:rPr>
      <w:rFonts w:ascii="宋体" w:hAnsi="宋体" w:cs="Courier New"/>
      <w:sz w:val="32"/>
      <w:szCs w:val="32"/>
    </w:rPr>
  </w:style>
  <w:style w:type="paragraph" w:styleId="1310">
    <w:name w:val="Char2 Char Char Char Char Char Char1"/>
    <w:basedOn w:val="1071"/>
    <w:next w:val="1310"/>
    <w:link w:val="1071"/>
    <w:qFormat/>
    <w:pPr>
      <w:jc w:val="center"/>
      <w:spacing w:line="400" w:lineRule="exact"/>
      <w:widowControl/>
    </w:pPr>
  </w:style>
  <w:style w:type="character" w:styleId="1311">
    <w:name w:val="页脚 Char"/>
    <w:next w:val="1311"/>
    <w:link w:val="1071"/>
    <w:qFormat/>
    <w:rPr>
      <w:rFonts w:ascii="宋体" w:eastAsia="宋体"/>
      <w:sz w:val="18"/>
      <w:lang w:val="en-US" w:eastAsia="zh-CN" w:bidi="ar-SA"/>
    </w:rPr>
  </w:style>
  <w:style w:type="paragraph" w:styleId="1312">
    <w:name w:val="Char Char41"/>
    <w:basedOn w:val="1071"/>
    <w:next w:val="1312"/>
    <w:link w:val="1071"/>
    <w:qFormat/>
    <w:pPr>
      <w:jc w:val="center"/>
      <w:spacing w:line="400" w:lineRule="exact"/>
      <w:widowControl/>
    </w:pPr>
  </w:style>
  <w:style w:type="character" w:styleId="1313">
    <w:name w:val="批注文字 Char"/>
    <w:next w:val="1313"/>
    <w:link w:val="1071"/>
    <w:uiPriority w:val="99"/>
    <w:qFormat/>
    <w:rPr>
      <w:sz w:val="21"/>
      <w:szCs w:val="24"/>
    </w:rPr>
  </w:style>
  <w:style w:type="character" w:styleId="1314">
    <w:name w:val="标题 Char"/>
    <w:next w:val="1314"/>
    <w:link w:val="1071"/>
    <w:qFormat/>
    <w:rPr>
      <w:b/>
      <w:sz w:val="32"/>
    </w:rPr>
  </w:style>
  <w:style w:type="paragraph" w:styleId="1315">
    <w:name w:val="图例"/>
    <w:basedOn w:val="1071"/>
    <w:next w:val="1315"/>
    <w:link w:val="1071"/>
    <w:qFormat/>
    <w:pPr>
      <w:jc w:val="center"/>
      <w:spacing w:before="120" w:after="120" w:line="360" w:lineRule="auto"/>
    </w:pPr>
    <w:rPr>
      <w:rFonts w:eastAsia="仿宋_GB2312"/>
      <w:b/>
      <w:sz w:val="24"/>
      <w:szCs w:val="20"/>
    </w:rPr>
  </w:style>
  <w:style w:type="table" w:styleId="1316">
    <w:name w:val="Table Normal"/>
    <w:next w:val="1316"/>
    <w:link w:val="1071"/>
    <w:uiPriority w:val="2"/>
    <w:unhideWhenUsed/>
    <w:qFormat/>
    <w:pPr>
      <w:widowControl w:val="off"/>
    </w:pPr>
    <w:rPr>
      <w:rFonts w:ascii="Calibri" w:hAnsi="Calibri"/>
      <w:sz w:val="22"/>
      <w:szCs w:val="22"/>
      <w:lang w:val="en-US" w:eastAsia="en-US" w:bidi="ar-SA"/>
    </w:rPr>
    <w:tblPr/>
  </w:style>
  <w:style w:type="paragraph" w:styleId="1317">
    <w:name w:val="Table Paragraph"/>
    <w:basedOn w:val="1071"/>
    <w:next w:val="1317"/>
    <w:link w:val="1071"/>
    <w:uiPriority w:val="1"/>
    <w:qFormat/>
    <w:pPr>
      <w:jc w:val="left"/>
    </w:pPr>
    <w:rPr>
      <w:rFonts w:ascii="宋体" w:hAnsi="宋体" w:cs="宋体"/>
      <w:sz w:val="22"/>
      <w:szCs w:val="22"/>
      <w:lang w:eastAsia="en-US"/>
    </w:rPr>
  </w:style>
  <w:style w:type="paragraph" w:styleId="1318">
    <w:name w:val="成文日期"/>
    <w:basedOn w:val="1071"/>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1"/>
    <w:uiPriority w:val="99"/>
    <w:unhideWhenUsed/>
    <w:rPr>
      <w:sz w:val="21"/>
      <w:szCs w:val="24"/>
      <w:lang w:val="en-US" w:eastAsia="zh-CN" w:bidi="ar-SA"/>
    </w:rPr>
  </w:style>
  <w:style w:type="character" w:styleId="1321">
    <w:name w:val="正文缩进 字符"/>
    <w:next w:val="1321"/>
    <w:link w:val="1071"/>
    <w:uiPriority w:val="99"/>
    <w:qFormat/>
    <w:rPr>
      <w:rFonts w:ascii="宋体" w:hAnsi="Times New Roman" w:eastAsia="宋体" w:cs="Times New Roman"/>
      <w:sz w:val="24"/>
    </w:rPr>
  </w:style>
  <w:style w:type="character" w:styleId="1322">
    <w:name w:val="正文文本 字符"/>
    <w:next w:val="1322"/>
    <w:link w:val="1071"/>
    <w:qFormat/>
    <w:rPr>
      <w:rFonts w:ascii="宋体" w:hAnsi="宋体"/>
      <w:sz w:val="24"/>
      <w:szCs w:val="24"/>
    </w:rPr>
  </w:style>
  <w:style w:type="paragraph" w:styleId="1323">
    <w:name w:val="纯文本1"/>
    <w:next w:val="1124"/>
    <w:link w:val="1071"/>
    <w:qFormat/>
    <w:pPr>
      <w:jc w:val="both"/>
      <w:widowControl w:val="off"/>
    </w:pPr>
    <w:rPr>
      <w:rFonts w:ascii="宋体" w:hAnsi="宋体"/>
      <w:sz w:val="26"/>
      <w:szCs w:val="24"/>
      <w:lang w:val="en-US" w:eastAsia="zh-CN" w:bidi="ar-SA"/>
    </w:rPr>
  </w:style>
  <w:style w:type="paragraph" w:styleId="1324">
    <w:name w:val="AONormal"/>
    <w:next w:val="1324"/>
    <w:link w:val="1071"/>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样式"/>
    <w:next w:val="1325"/>
    <w:link w:val="1071"/>
    <w:qFormat/>
    <w:pPr>
      <w:widowControl w:val="off"/>
    </w:pPr>
    <w:rPr>
      <w:rFonts w:ascii="Calibri" w:hAnsi="Calibri"/>
      <w:sz w:val="24"/>
      <w:szCs w:val="24"/>
      <w:lang w:val="en-US" w:eastAsia="zh-CN" w:bidi="ar-SA"/>
    </w:rPr>
  </w:style>
  <w:style w:type="paragraph" w:styleId="1326">
    <w:name w:val="List Paragraph"/>
    <w:basedOn w:val="1071"/>
    <w:next w:val="1326"/>
    <w:link w:val="1071"/>
    <w:uiPriority w:val="34"/>
    <w:qFormat/>
    <w:pPr>
      <w:ind w:firstLine="420"/>
    </w:pPr>
  </w:style>
  <w:style w:type="character" w:styleId="1327">
    <w:name w:val="font41"/>
    <w:next w:val="1327"/>
    <w:link w:val="1071"/>
    <w:rPr>
      <w:rFonts w:hint="eastAsia" w:ascii="宋体" w:hAnsi="宋体" w:eastAsia="宋体" w:cs="宋体"/>
      <w:i w:val="0"/>
      <w:iCs w:val="0"/>
      <w:color w:val="000000"/>
      <w:sz w:val="22"/>
      <w:szCs w:val="22"/>
      <w:u w:val="none"/>
    </w:rPr>
  </w:style>
  <w:style w:type="character" w:styleId="1328">
    <w:name w:val="font01"/>
    <w:next w:val="1328"/>
    <w:link w:val="1071"/>
    <w:rPr>
      <w:rFonts w:ascii="Arial" w:hAnsi="Arial" w:cs="Arial"/>
      <w:i w:val="0"/>
      <w:iCs w:val="0"/>
      <w:color w:val="000000"/>
      <w:sz w:val="22"/>
      <w:szCs w:val="22"/>
      <w:u w:val="none"/>
    </w:rPr>
  </w:style>
  <w:style w:type="character" w:styleId="1329">
    <w:name w:val="font11"/>
    <w:next w:val="1329"/>
    <w:link w:val="1071"/>
    <w:rPr>
      <w:rFonts w:hint="eastAsia" w:ascii="宋体" w:hAnsi="宋体" w:eastAsia="宋体" w:cs="宋体"/>
      <w:i w:val="0"/>
      <w:iCs w:val="0"/>
      <w:color w:val="000000"/>
      <w:sz w:val="22"/>
      <w:szCs w:val="22"/>
      <w:u w:val="none"/>
    </w:rPr>
  </w:style>
  <w:style w:type="character" w:styleId="1330">
    <w:name w:val="16"/>
    <w:next w:val="1330"/>
    <w:link w:val="1071"/>
    <w:rPr>
      <w:rFonts w:hint="eastAsia" w:ascii="宋体" w:hAnsi="宋体" w:eastAsia="宋体" w:cs="宋体"/>
      <w:color w:val="000000"/>
      <w:sz w:val="22"/>
      <w:szCs w:val="22"/>
    </w:rPr>
  </w:style>
  <w:style w:type="character" w:styleId="1331">
    <w:name w:val="15"/>
    <w:next w:val="1331"/>
    <w:link w:val="1071"/>
    <w:qFormat/>
    <w:rPr>
      <w:rFonts w:ascii="Arial" w:hAnsi="Arial" w:cs="Arial"/>
      <w:color w:val="000000"/>
      <w:sz w:val="22"/>
      <w:szCs w:val="22"/>
    </w:rPr>
  </w:style>
  <w:style w:type="character" w:styleId="1332">
    <w:name w:val="17"/>
    <w:next w:val="1332"/>
    <w:link w:val="1071"/>
    <w:qFormat/>
    <w:rPr>
      <w:rFonts w:hint="eastAsia" w:ascii="宋体" w:hAnsi="宋体" w:eastAsia="宋体" w:cs="宋体"/>
      <w:color w:val="000000"/>
      <w:sz w:val="22"/>
      <w:szCs w:val="22"/>
    </w:rPr>
  </w:style>
  <w:style w:type="character" w:styleId="1333" w:default="1">
    <w:name w:val="Default Paragraph Font"/>
    <w:uiPriority w:val="1"/>
    <w:semiHidden/>
    <w:unhideWhenUsed/>
  </w:style>
  <w:style w:type="numbering" w:styleId="1334" w:default="1">
    <w:name w:val="No List"/>
    <w:uiPriority w:val="99"/>
    <w:semiHidden/>
    <w:unhideWhenUsed/>
  </w:style>
  <w:style w:type="table" w:styleId="1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7</cp:revision>
  <dcterms:created xsi:type="dcterms:W3CDTF">2026-01-23T17:32:00Z</dcterms:created>
  <dcterms:modified xsi:type="dcterms:W3CDTF">2026-04-24T06:17:09Z</dcterms:modified>
</cp:coreProperties>
</file>