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AAEA3B">
      <w:pPr>
        <w:spacing w:line="400" w:lineRule="exact"/>
        <w:ind w:firstLine="964" w:firstLineChars="200"/>
        <w:jc w:val="center"/>
        <w:rPr>
          <w:rFonts w:hint="eastAsia" w:ascii="宋体" w:hAnsi="宋体" w:eastAsia="宋体" w:cs="宋体"/>
          <w:b/>
          <w:color w:val="auto"/>
          <w:sz w:val="48"/>
          <w:szCs w:val="48"/>
          <w:highlight w:val="none"/>
        </w:rPr>
      </w:pPr>
    </w:p>
    <w:p w14:paraId="3C1F7F2D">
      <w:pPr>
        <w:adjustRightInd w:val="0"/>
        <w:spacing w:before="120" w:after="120" w:line="360" w:lineRule="auto"/>
        <w:jc w:val="center"/>
        <w:textAlignment w:val="baseline"/>
        <w:rPr>
          <w:rFonts w:hint="eastAsia" w:ascii="宋体" w:hAnsi="宋体" w:eastAsia="宋体" w:cs="宋体"/>
          <w:b/>
          <w:bCs/>
          <w:color w:val="auto"/>
          <w:kern w:val="0"/>
          <w:sz w:val="84"/>
          <w:szCs w:val="24"/>
          <w:highlight w:val="none"/>
        </w:rPr>
      </w:pPr>
    </w:p>
    <w:p w14:paraId="73762EEB">
      <w:pPr>
        <w:adjustRightInd w:val="0"/>
        <w:spacing w:before="120" w:after="120" w:line="360" w:lineRule="auto"/>
        <w:jc w:val="center"/>
        <w:textAlignment w:val="baseline"/>
        <w:rPr>
          <w:rFonts w:hint="eastAsia" w:ascii="宋体" w:hAnsi="宋体" w:eastAsia="宋体" w:cs="宋体"/>
          <w:b/>
          <w:bCs/>
          <w:color w:val="auto"/>
          <w:kern w:val="0"/>
          <w:sz w:val="84"/>
          <w:szCs w:val="24"/>
          <w:highlight w:val="none"/>
        </w:rPr>
      </w:pPr>
      <w:r>
        <w:rPr>
          <w:rFonts w:hint="eastAsia" w:ascii="宋体" w:hAnsi="宋体" w:eastAsia="宋体" w:cs="宋体"/>
          <w:b/>
          <w:bCs/>
          <w:color w:val="auto"/>
          <w:kern w:val="0"/>
          <w:sz w:val="84"/>
          <w:szCs w:val="24"/>
          <w:highlight w:val="none"/>
        </w:rPr>
        <w:t>竞争性磋商文件</w:t>
      </w:r>
    </w:p>
    <w:p w14:paraId="06D6E0E5">
      <w:pPr>
        <w:keepNext w:val="0"/>
        <w:keepLines w:val="0"/>
        <w:pageBreakBefore w:val="0"/>
        <w:widowControl w:val="0"/>
        <w:kinsoku/>
        <w:wordWrap/>
        <w:overflowPunct/>
        <w:topLinePunct w:val="0"/>
        <w:autoSpaceDE/>
        <w:autoSpaceDN/>
        <w:bidi w:val="0"/>
        <w:snapToGrid/>
        <w:spacing w:line="480" w:lineRule="auto"/>
        <w:jc w:val="center"/>
        <w:rPr>
          <w:rFonts w:hint="eastAsia" w:ascii="宋体" w:hAnsi="宋体" w:eastAsia="宋体" w:cs="宋体"/>
          <w:b/>
          <w:bCs/>
          <w:color w:val="auto"/>
          <w:kern w:val="0"/>
          <w:sz w:val="32"/>
          <w:szCs w:val="24"/>
          <w:highlight w:val="none"/>
          <w:lang w:eastAsia="zh-CN"/>
        </w:rPr>
      </w:pPr>
      <w:r>
        <w:rPr>
          <w:rFonts w:hint="eastAsia" w:ascii="宋体" w:hAnsi="宋体" w:eastAsia="宋体" w:cs="宋体"/>
          <w:b/>
          <w:bCs/>
          <w:color w:val="auto"/>
          <w:kern w:val="0"/>
          <w:sz w:val="32"/>
          <w:szCs w:val="24"/>
          <w:highlight w:val="none"/>
        </w:rPr>
        <w:t>项目名称：</w:t>
      </w:r>
      <w:r>
        <w:rPr>
          <w:rFonts w:hint="eastAsia" w:ascii="宋体" w:hAnsi="宋体" w:eastAsia="宋体" w:cs="宋体"/>
          <w:b/>
          <w:bCs/>
          <w:color w:val="auto"/>
          <w:kern w:val="0"/>
          <w:sz w:val="32"/>
          <w:szCs w:val="24"/>
          <w:highlight w:val="none"/>
          <w:lang w:eastAsia="zh-CN"/>
        </w:rPr>
        <w:t>2026年如东小洋口第四届体育嘉年华服务项目</w:t>
      </w:r>
    </w:p>
    <w:p w14:paraId="033B3372">
      <w:pPr>
        <w:keepNext w:val="0"/>
        <w:keepLines w:val="0"/>
        <w:pageBreakBefore w:val="0"/>
        <w:widowControl w:val="0"/>
        <w:kinsoku/>
        <w:wordWrap/>
        <w:overflowPunct/>
        <w:topLinePunct w:val="0"/>
        <w:autoSpaceDE/>
        <w:autoSpaceDN/>
        <w:bidi w:val="0"/>
        <w:adjustRightInd w:val="0"/>
        <w:snapToGrid/>
        <w:spacing w:before="120" w:after="120" w:line="480" w:lineRule="auto"/>
        <w:ind w:firstLine="1928" w:firstLineChars="600"/>
        <w:textAlignment w:val="baseline"/>
        <w:rPr>
          <w:rFonts w:hint="eastAsia" w:ascii="宋体" w:hAnsi="宋体" w:eastAsia="宋体" w:cs="宋体"/>
          <w:b/>
          <w:bCs/>
          <w:color w:val="auto"/>
          <w:kern w:val="0"/>
          <w:sz w:val="32"/>
          <w:szCs w:val="24"/>
          <w:highlight w:val="none"/>
          <w:lang w:eastAsia="zh-CN"/>
        </w:rPr>
      </w:pPr>
      <w:r>
        <w:rPr>
          <w:rFonts w:hint="eastAsia" w:ascii="宋体" w:hAnsi="宋体" w:eastAsia="宋体" w:cs="宋体"/>
          <w:b/>
          <w:bCs/>
          <w:color w:val="auto"/>
          <w:kern w:val="0"/>
          <w:sz w:val="32"/>
          <w:szCs w:val="24"/>
          <w:highlight w:val="none"/>
        </w:rPr>
        <w:t>项目编号：</w:t>
      </w:r>
      <w:r>
        <w:rPr>
          <w:rFonts w:hint="eastAsia" w:ascii="宋体" w:hAnsi="宋体" w:eastAsia="宋体" w:cs="宋体"/>
          <w:b/>
          <w:bCs/>
          <w:color w:val="auto"/>
          <w:kern w:val="0"/>
          <w:sz w:val="32"/>
          <w:szCs w:val="24"/>
          <w:highlight w:val="none"/>
        </w:rPr>
        <w:tab/>
      </w:r>
      <w:r>
        <w:rPr>
          <w:rFonts w:hint="eastAsia" w:ascii="宋体" w:hAnsi="宋体" w:eastAsia="宋体" w:cs="宋体"/>
          <w:b/>
          <w:bCs/>
          <w:color w:val="auto"/>
          <w:kern w:val="0"/>
          <w:sz w:val="32"/>
          <w:szCs w:val="24"/>
          <w:highlight w:val="none"/>
        </w:rPr>
        <w:t>JSZC-320623-JDGS-C2026-0020</w:t>
      </w:r>
      <w:r>
        <w:rPr>
          <w:rFonts w:hint="eastAsia" w:ascii="宋体" w:hAnsi="宋体" w:eastAsia="宋体" w:cs="宋体"/>
          <w:b/>
          <w:bCs/>
          <w:color w:val="auto"/>
          <w:kern w:val="0"/>
          <w:sz w:val="32"/>
          <w:szCs w:val="24"/>
          <w:highlight w:val="none"/>
          <w:lang w:val="en-US" w:eastAsia="zh-CN"/>
        </w:rPr>
        <w:t xml:space="preserve"> </w:t>
      </w:r>
    </w:p>
    <w:p w14:paraId="60790DE9">
      <w:pPr>
        <w:adjustRightInd w:val="0"/>
        <w:spacing w:before="120" w:after="120" w:line="360" w:lineRule="auto"/>
        <w:jc w:val="left"/>
        <w:textAlignment w:val="baseline"/>
        <w:rPr>
          <w:rFonts w:hint="eastAsia" w:ascii="宋体" w:hAnsi="宋体" w:eastAsia="宋体" w:cs="宋体"/>
          <w:b/>
          <w:bCs/>
          <w:color w:val="auto"/>
          <w:kern w:val="0"/>
          <w:sz w:val="32"/>
          <w:szCs w:val="24"/>
          <w:highlight w:val="none"/>
        </w:rPr>
      </w:pPr>
    </w:p>
    <w:p w14:paraId="07704E1D">
      <w:pPr>
        <w:adjustRightInd w:val="0"/>
        <w:spacing w:line="400" w:lineRule="exact"/>
        <w:ind w:firstLine="480" w:firstLineChars="200"/>
        <w:jc w:val="left"/>
        <w:textAlignment w:val="baseline"/>
        <w:rPr>
          <w:rFonts w:hint="eastAsia" w:ascii="宋体" w:hAnsi="宋体" w:eastAsia="宋体" w:cs="宋体"/>
          <w:color w:val="auto"/>
          <w:kern w:val="0"/>
          <w:sz w:val="24"/>
          <w:szCs w:val="24"/>
          <w:highlight w:val="none"/>
        </w:rPr>
      </w:pPr>
    </w:p>
    <w:p w14:paraId="394A37C8">
      <w:pPr>
        <w:adjustRightInd w:val="0"/>
        <w:spacing w:line="400" w:lineRule="exact"/>
        <w:ind w:firstLine="480" w:firstLineChars="200"/>
        <w:jc w:val="left"/>
        <w:textAlignment w:val="baseline"/>
        <w:rPr>
          <w:rFonts w:hint="eastAsia" w:ascii="宋体" w:hAnsi="宋体" w:eastAsia="宋体" w:cs="宋体"/>
          <w:color w:val="auto"/>
          <w:kern w:val="0"/>
          <w:sz w:val="24"/>
          <w:szCs w:val="24"/>
          <w:highlight w:val="none"/>
        </w:rPr>
      </w:pPr>
    </w:p>
    <w:p w14:paraId="0E5E8A25">
      <w:pPr>
        <w:adjustRightInd w:val="0"/>
        <w:spacing w:line="400" w:lineRule="exact"/>
        <w:ind w:firstLine="480" w:firstLineChars="200"/>
        <w:jc w:val="left"/>
        <w:textAlignment w:val="baseline"/>
        <w:rPr>
          <w:rFonts w:hint="eastAsia" w:ascii="宋体" w:hAnsi="宋体" w:eastAsia="宋体" w:cs="宋体"/>
          <w:color w:val="auto"/>
          <w:kern w:val="0"/>
          <w:sz w:val="24"/>
          <w:szCs w:val="24"/>
          <w:highlight w:val="none"/>
        </w:rPr>
      </w:pPr>
    </w:p>
    <w:p w14:paraId="39FBDD75">
      <w:pPr>
        <w:adjustRightInd w:val="0"/>
        <w:spacing w:line="400" w:lineRule="exact"/>
        <w:ind w:firstLine="480" w:firstLineChars="200"/>
        <w:jc w:val="left"/>
        <w:textAlignment w:val="baseline"/>
        <w:rPr>
          <w:rFonts w:hint="eastAsia" w:ascii="宋体" w:hAnsi="宋体" w:eastAsia="宋体" w:cs="宋体"/>
          <w:color w:val="auto"/>
          <w:kern w:val="0"/>
          <w:sz w:val="24"/>
          <w:szCs w:val="24"/>
          <w:highlight w:val="none"/>
        </w:rPr>
      </w:pPr>
    </w:p>
    <w:p w14:paraId="17664F53">
      <w:pPr>
        <w:adjustRightInd w:val="0"/>
        <w:spacing w:line="400" w:lineRule="exact"/>
        <w:ind w:firstLine="480" w:firstLineChars="200"/>
        <w:jc w:val="left"/>
        <w:textAlignment w:val="baseline"/>
        <w:rPr>
          <w:rFonts w:hint="eastAsia" w:ascii="宋体" w:hAnsi="宋体" w:eastAsia="宋体" w:cs="宋体"/>
          <w:color w:val="auto"/>
          <w:kern w:val="0"/>
          <w:sz w:val="24"/>
          <w:szCs w:val="24"/>
          <w:highlight w:val="none"/>
        </w:rPr>
      </w:pPr>
    </w:p>
    <w:p w14:paraId="08F7F725">
      <w:pPr>
        <w:adjustRightInd w:val="0"/>
        <w:spacing w:line="400" w:lineRule="exact"/>
        <w:ind w:firstLine="480" w:firstLineChars="200"/>
        <w:jc w:val="left"/>
        <w:textAlignment w:val="baseline"/>
        <w:rPr>
          <w:rFonts w:hint="eastAsia" w:ascii="宋体" w:hAnsi="宋体" w:eastAsia="宋体" w:cs="宋体"/>
          <w:color w:val="auto"/>
          <w:kern w:val="0"/>
          <w:sz w:val="24"/>
          <w:szCs w:val="24"/>
          <w:highlight w:val="none"/>
        </w:rPr>
      </w:pPr>
    </w:p>
    <w:p w14:paraId="57E87356">
      <w:pPr>
        <w:adjustRightInd w:val="0"/>
        <w:spacing w:line="400" w:lineRule="exact"/>
        <w:ind w:firstLine="480" w:firstLineChars="200"/>
        <w:jc w:val="left"/>
        <w:textAlignment w:val="baseline"/>
        <w:rPr>
          <w:rFonts w:hint="eastAsia" w:ascii="宋体" w:hAnsi="宋体" w:eastAsia="宋体" w:cs="宋体"/>
          <w:color w:val="auto"/>
          <w:kern w:val="0"/>
          <w:sz w:val="24"/>
          <w:szCs w:val="24"/>
          <w:highlight w:val="none"/>
        </w:rPr>
      </w:pPr>
    </w:p>
    <w:p w14:paraId="256AB681">
      <w:pPr>
        <w:adjustRightInd w:val="0"/>
        <w:spacing w:line="400" w:lineRule="exact"/>
        <w:ind w:firstLine="480" w:firstLineChars="200"/>
        <w:jc w:val="left"/>
        <w:textAlignment w:val="baseline"/>
        <w:rPr>
          <w:rFonts w:hint="eastAsia" w:ascii="宋体" w:hAnsi="宋体" w:eastAsia="宋体" w:cs="宋体"/>
          <w:color w:val="auto"/>
          <w:kern w:val="0"/>
          <w:sz w:val="24"/>
          <w:szCs w:val="24"/>
          <w:highlight w:val="none"/>
        </w:rPr>
      </w:pPr>
    </w:p>
    <w:p w14:paraId="382A39BF">
      <w:pPr>
        <w:adjustRightInd w:val="0"/>
        <w:spacing w:line="400" w:lineRule="exact"/>
        <w:ind w:firstLine="480" w:firstLineChars="200"/>
        <w:jc w:val="left"/>
        <w:textAlignment w:val="baseline"/>
        <w:rPr>
          <w:rFonts w:hint="eastAsia" w:ascii="宋体" w:hAnsi="宋体" w:eastAsia="宋体" w:cs="宋体"/>
          <w:color w:val="auto"/>
          <w:kern w:val="0"/>
          <w:sz w:val="24"/>
          <w:szCs w:val="24"/>
          <w:highlight w:val="none"/>
        </w:rPr>
      </w:pPr>
    </w:p>
    <w:p w14:paraId="06F4D87E">
      <w:pPr>
        <w:adjustRightInd w:val="0"/>
        <w:spacing w:line="400" w:lineRule="exact"/>
        <w:ind w:firstLine="480" w:firstLineChars="200"/>
        <w:jc w:val="left"/>
        <w:textAlignment w:val="baseline"/>
        <w:rPr>
          <w:rFonts w:hint="eastAsia" w:ascii="宋体" w:hAnsi="宋体" w:eastAsia="宋体" w:cs="宋体"/>
          <w:color w:val="auto"/>
          <w:kern w:val="0"/>
          <w:sz w:val="24"/>
          <w:szCs w:val="24"/>
          <w:highlight w:val="none"/>
        </w:rPr>
      </w:pPr>
    </w:p>
    <w:p w14:paraId="7ACFA06F">
      <w:pPr>
        <w:adjustRightInd w:val="0"/>
        <w:spacing w:line="400" w:lineRule="exact"/>
        <w:ind w:firstLine="480" w:firstLineChars="200"/>
        <w:jc w:val="left"/>
        <w:textAlignment w:val="baseline"/>
        <w:rPr>
          <w:rFonts w:hint="eastAsia" w:ascii="宋体" w:hAnsi="宋体" w:eastAsia="宋体" w:cs="宋体"/>
          <w:color w:val="auto"/>
          <w:kern w:val="0"/>
          <w:sz w:val="24"/>
          <w:szCs w:val="24"/>
          <w:highlight w:val="none"/>
        </w:rPr>
      </w:pPr>
    </w:p>
    <w:p w14:paraId="00AF911D">
      <w:pPr>
        <w:adjustRightInd w:val="0"/>
        <w:spacing w:line="400" w:lineRule="exact"/>
        <w:ind w:firstLine="480" w:firstLineChars="200"/>
        <w:jc w:val="left"/>
        <w:textAlignment w:val="baseline"/>
        <w:rPr>
          <w:rFonts w:hint="eastAsia" w:ascii="宋体" w:hAnsi="宋体" w:eastAsia="宋体" w:cs="宋体"/>
          <w:color w:val="auto"/>
          <w:kern w:val="0"/>
          <w:sz w:val="24"/>
          <w:szCs w:val="24"/>
          <w:highlight w:val="none"/>
        </w:rPr>
      </w:pPr>
    </w:p>
    <w:p w14:paraId="2C9088A3">
      <w:pPr>
        <w:adjustRightInd w:val="0"/>
        <w:spacing w:line="400" w:lineRule="exact"/>
        <w:ind w:firstLine="480" w:firstLineChars="200"/>
        <w:jc w:val="left"/>
        <w:textAlignment w:val="baseline"/>
        <w:rPr>
          <w:rFonts w:hint="eastAsia" w:ascii="宋体" w:hAnsi="宋体" w:eastAsia="宋体" w:cs="宋体"/>
          <w:color w:val="auto"/>
          <w:kern w:val="0"/>
          <w:sz w:val="24"/>
          <w:szCs w:val="24"/>
          <w:highlight w:val="none"/>
        </w:rPr>
      </w:pPr>
    </w:p>
    <w:p w14:paraId="478801DB">
      <w:pPr>
        <w:adjustRightInd w:val="0"/>
        <w:spacing w:line="400" w:lineRule="exact"/>
        <w:ind w:firstLine="480" w:firstLineChars="200"/>
        <w:jc w:val="left"/>
        <w:textAlignment w:val="baseline"/>
        <w:rPr>
          <w:rFonts w:hint="eastAsia" w:ascii="宋体" w:hAnsi="宋体" w:eastAsia="宋体" w:cs="宋体"/>
          <w:color w:val="auto"/>
          <w:kern w:val="0"/>
          <w:sz w:val="24"/>
          <w:szCs w:val="24"/>
          <w:highlight w:val="none"/>
        </w:rPr>
      </w:pPr>
    </w:p>
    <w:p w14:paraId="4BF5E9E5">
      <w:pPr>
        <w:adjustRightInd w:val="0"/>
        <w:spacing w:before="120" w:after="120" w:line="400" w:lineRule="exact"/>
        <w:ind w:firstLine="643" w:firstLineChars="200"/>
        <w:jc w:val="center"/>
        <w:textAlignment w:val="baseline"/>
        <w:rPr>
          <w:rFonts w:hint="eastAsia" w:ascii="宋体" w:hAnsi="宋体" w:eastAsia="宋体" w:cs="宋体"/>
          <w:b/>
          <w:bCs/>
          <w:color w:val="auto"/>
          <w:sz w:val="32"/>
          <w:szCs w:val="32"/>
          <w:highlight w:val="none"/>
          <w:u w:val="single"/>
          <w:lang w:eastAsia="zh-CN"/>
        </w:rPr>
      </w:pPr>
      <w:r>
        <w:rPr>
          <w:rFonts w:hint="eastAsia" w:ascii="宋体" w:hAnsi="宋体" w:eastAsia="宋体" w:cs="宋体"/>
          <w:b/>
          <w:bCs/>
          <w:color w:val="auto"/>
          <w:sz w:val="32"/>
          <w:szCs w:val="32"/>
          <w:highlight w:val="none"/>
          <w:u w:val="single"/>
          <w:lang w:eastAsia="zh-CN"/>
        </w:rPr>
        <w:t>江苏省如东小洋口旅游度假区管理办公室</w:t>
      </w:r>
    </w:p>
    <w:p w14:paraId="70080244">
      <w:pPr>
        <w:adjustRightInd w:val="0"/>
        <w:spacing w:before="120" w:after="120" w:line="400" w:lineRule="exact"/>
        <w:ind w:firstLine="643" w:firstLineChars="200"/>
        <w:jc w:val="center"/>
        <w:textAlignment w:val="baseline"/>
        <w:rPr>
          <w:rFonts w:hint="eastAsia" w:ascii="宋体" w:hAnsi="宋体" w:eastAsia="宋体" w:cs="宋体"/>
          <w:b/>
          <w:bCs/>
          <w:color w:val="auto"/>
          <w:kern w:val="0"/>
          <w:sz w:val="32"/>
          <w:szCs w:val="32"/>
          <w:highlight w:val="none"/>
        </w:rPr>
      </w:pPr>
      <w:r>
        <w:rPr>
          <w:rFonts w:hint="eastAsia" w:ascii="宋体" w:hAnsi="宋体" w:eastAsia="宋体" w:cs="宋体"/>
          <w:b/>
          <w:bCs/>
          <w:color w:val="auto"/>
          <w:kern w:val="0"/>
          <w:sz w:val="32"/>
          <w:szCs w:val="32"/>
          <w:highlight w:val="none"/>
          <w:u w:val="single"/>
        </w:rPr>
        <w:t>2026</w:t>
      </w:r>
      <w:r>
        <w:rPr>
          <w:rFonts w:hint="eastAsia" w:ascii="宋体" w:hAnsi="宋体" w:eastAsia="宋体" w:cs="宋体"/>
          <w:b/>
          <w:bCs/>
          <w:color w:val="auto"/>
          <w:kern w:val="0"/>
          <w:sz w:val="32"/>
          <w:szCs w:val="32"/>
          <w:highlight w:val="none"/>
        </w:rPr>
        <w:t>年</w:t>
      </w:r>
      <w:r>
        <w:rPr>
          <w:rFonts w:hint="eastAsia" w:ascii="宋体" w:hAnsi="宋体" w:eastAsia="宋体" w:cs="宋体"/>
          <w:b/>
          <w:bCs/>
          <w:color w:val="auto"/>
          <w:kern w:val="0"/>
          <w:sz w:val="32"/>
          <w:szCs w:val="32"/>
          <w:highlight w:val="none"/>
          <w:u w:val="single"/>
        </w:rPr>
        <w:t>4</w:t>
      </w:r>
      <w:r>
        <w:rPr>
          <w:rFonts w:hint="eastAsia" w:ascii="宋体" w:hAnsi="宋体" w:eastAsia="宋体" w:cs="宋体"/>
          <w:b/>
          <w:bCs/>
          <w:color w:val="auto"/>
          <w:kern w:val="0"/>
          <w:sz w:val="32"/>
          <w:szCs w:val="32"/>
          <w:highlight w:val="none"/>
        </w:rPr>
        <w:t>月</w:t>
      </w:r>
    </w:p>
    <w:p w14:paraId="06E01993">
      <w:pPr>
        <w:spacing w:line="400" w:lineRule="exact"/>
        <w:ind w:firstLine="883" w:firstLineChars="200"/>
        <w:jc w:val="center"/>
        <w:outlineLvl w:val="0"/>
        <w:rPr>
          <w:rFonts w:hint="eastAsia" w:ascii="宋体" w:hAnsi="宋体" w:eastAsia="宋体" w:cs="宋体"/>
          <w:b/>
          <w:color w:val="auto"/>
          <w:sz w:val="44"/>
          <w:szCs w:val="21"/>
          <w:highlight w:val="none"/>
        </w:rPr>
        <w:sectPr>
          <w:pgSz w:w="11907" w:h="16839"/>
          <w:pgMar w:top="1440" w:right="1080" w:bottom="1440" w:left="1080" w:header="720" w:footer="720" w:gutter="0"/>
          <w:cols w:space="720" w:num="1"/>
          <w:docGrid w:linePitch="286" w:charSpace="0"/>
        </w:sectPr>
      </w:pPr>
      <w:bookmarkStart w:id="0" w:name="_Toc120614210"/>
      <w:bookmarkStart w:id="1" w:name="_Toc16938516"/>
      <w:bookmarkStart w:id="2" w:name="_Toc479757206"/>
      <w:bookmarkStart w:id="3" w:name="_Toc20823272"/>
      <w:bookmarkStart w:id="4" w:name="_Toc523127445"/>
      <w:bookmarkStart w:id="5" w:name="_Toc513029200"/>
    </w:p>
    <w:p w14:paraId="2CB6706F">
      <w:pPr>
        <w:spacing w:line="400" w:lineRule="exact"/>
        <w:ind w:firstLine="883" w:firstLineChars="200"/>
        <w:jc w:val="center"/>
        <w:outlineLvl w:val="0"/>
        <w:rPr>
          <w:rFonts w:hint="eastAsia" w:ascii="宋体" w:hAnsi="宋体" w:eastAsia="宋体" w:cs="宋体"/>
          <w:b/>
          <w:color w:val="auto"/>
          <w:sz w:val="44"/>
          <w:szCs w:val="21"/>
          <w:highlight w:val="none"/>
        </w:rPr>
      </w:pPr>
      <w:r>
        <w:rPr>
          <w:rFonts w:hint="eastAsia" w:ascii="宋体" w:hAnsi="宋体" w:eastAsia="宋体" w:cs="宋体"/>
          <w:b/>
          <w:color w:val="auto"/>
          <w:sz w:val="44"/>
          <w:szCs w:val="21"/>
          <w:highlight w:val="none"/>
        </w:rPr>
        <w:t>总目录</w:t>
      </w:r>
    </w:p>
    <w:p w14:paraId="3EE6DCD2">
      <w:pPr>
        <w:spacing w:line="400" w:lineRule="exact"/>
        <w:ind w:firstLine="562" w:firstLineChars="200"/>
        <w:rPr>
          <w:rFonts w:hint="eastAsia" w:ascii="宋体" w:hAnsi="宋体" w:eastAsia="宋体" w:cs="宋体"/>
          <w:b/>
          <w:color w:val="auto"/>
          <w:sz w:val="28"/>
          <w:szCs w:val="21"/>
          <w:highlight w:val="none"/>
        </w:rPr>
      </w:pPr>
    </w:p>
    <w:p w14:paraId="47FE2D42">
      <w:pPr>
        <w:numPr>
          <w:ilvl w:val="0"/>
          <w:numId w:val="4"/>
        </w:numPr>
        <w:ind w:left="0" w:firstLine="0"/>
        <w:outlineLvl w:val="0"/>
        <w:rPr>
          <w:rFonts w:hint="eastAsia" w:ascii="宋体" w:hAnsi="宋体" w:eastAsia="宋体" w:cs="宋体"/>
          <w:color w:val="auto"/>
          <w:sz w:val="32"/>
          <w:szCs w:val="21"/>
          <w:highlight w:val="none"/>
        </w:rPr>
      </w:pPr>
      <w:r>
        <w:rPr>
          <w:rFonts w:hint="eastAsia" w:ascii="宋体" w:hAnsi="宋体" w:eastAsia="宋体" w:cs="宋体"/>
          <w:color w:val="auto"/>
          <w:sz w:val="36"/>
          <w:szCs w:val="21"/>
          <w:highlight w:val="none"/>
        </w:rPr>
        <w:t>磋商邀请……………………………………1</w:t>
      </w:r>
    </w:p>
    <w:p w14:paraId="2ADF5459">
      <w:pPr>
        <w:numPr>
          <w:ilvl w:val="0"/>
          <w:numId w:val="4"/>
        </w:numPr>
        <w:ind w:left="0" w:firstLine="0"/>
        <w:outlineLvl w:val="0"/>
        <w:rPr>
          <w:rFonts w:hint="eastAsia" w:ascii="宋体" w:hAnsi="宋体" w:eastAsia="宋体" w:cs="宋体"/>
          <w:color w:val="auto"/>
          <w:sz w:val="36"/>
          <w:szCs w:val="21"/>
          <w:highlight w:val="none"/>
        </w:rPr>
      </w:pPr>
      <w:r>
        <w:rPr>
          <w:rFonts w:hint="eastAsia" w:ascii="宋体" w:hAnsi="宋体" w:eastAsia="宋体" w:cs="宋体"/>
          <w:bCs/>
          <w:color w:val="auto"/>
          <w:sz w:val="36"/>
          <w:szCs w:val="36"/>
          <w:highlight w:val="none"/>
        </w:rPr>
        <w:t>供应商须知</w:t>
      </w:r>
      <w:r>
        <w:rPr>
          <w:rFonts w:hint="eastAsia" w:ascii="宋体" w:hAnsi="宋体" w:eastAsia="宋体" w:cs="宋体"/>
          <w:color w:val="auto"/>
          <w:sz w:val="36"/>
          <w:szCs w:val="36"/>
          <w:highlight w:val="none"/>
        </w:rPr>
        <w:t>…</w:t>
      </w:r>
      <w:r>
        <w:rPr>
          <w:rFonts w:hint="eastAsia" w:ascii="宋体" w:hAnsi="宋体" w:eastAsia="宋体" w:cs="宋体"/>
          <w:color w:val="auto"/>
          <w:sz w:val="36"/>
          <w:szCs w:val="21"/>
          <w:highlight w:val="none"/>
        </w:rPr>
        <w:t>………………………………5</w:t>
      </w:r>
    </w:p>
    <w:p w14:paraId="619108E2">
      <w:pPr>
        <w:numPr>
          <w:ilvl w:val="0"/>
          <w:numId w:val="4"/>
        </w:numPr>
        <w:ind w:left="0" w:firstLine="0"/>
        <w:outlineLvl w:val="0"/>
        <w:rPr>
          <w:rFonts w:hint="eastAsia" w:ascii="宋体" w:hAnsi="宋体" w:eastAsia="宋体" w:cs="宋体"/>
          <w:color w:val="auto"/>
          <w:sz w:val="36"/>
          <w:szCs w:val="21"/>
          <w:highlight w:val="none"/>
        </w:rPr>
      </w:pPr>
      <w:r>
        <w:rPr>
          <w:rFonts w:hint="eastAsia" w:ascii="宋体" w:hAnsi="宋体" w:eastAsia="宋体" w:cs="宋体"/>
          <w:color w:val="auto"/>
          <w:sz w:val="36"/>
          <w:szCs w:val="21"/>
          <w:highlight w:val="none"/>
        </w:rPr>
        <w:t>合同文本……………………………………1</w:t>
      </w:r>
      <w:r>
        <w:rPr>
          <w:rFonts w:hint="eastAsia" w:ascii="宋体" w:hAnsi="宋体" w:cs="宋体"/>
          <w:color w:val="auto"/>
          <w:sz w:val="36"/>
          <w:szCs w:val="21"/>
          <w:highlight w:val="none"/>
          <w:lang w:val="en-US" w:eastAsia="zh-CN"/>
        </w:rPr>
        <w:t>7</w:t>
      </w:r>
    </w:p>
    <w:p w14:paraId="4DC4C7C8">
      <w:pPr>
        <w:numPr>
          <w:ilvl w:val="0"/>
          <w:numId w:val="4"/>
        </w:numPr>
        <w:ind w:left="0" w:firstLine="0"/>
        <w:outlineLvl w:val="0"/>
        <w:rPr>
          <w:rFonts w:hint="eastAsia" w:ascii="宋体" w:hAnsi="宋体" w:eastAsia="宋体" w:cs="宋体"/>
          <w:color w:val="auto"/>
          <w:sz w:val="36"/>
          <w:szCs w:val="21"/>
          <w:highlight w:val="none"/>
        </w:rPr>
      </w:pPr>
      <w:r>
        <w:rPr>
          <w:rFonts w:hint="eastAsia" w:ascii="宋体" w:hAnsi="宋体" w:eastAsia="宋体" w:cs="宋体"/>
          <w:color w:val="auto"/>
          <w:sz w:val="36"/>
          <w:szCs w:val="21"/>
          <w:highlight w:val="none"/>
        </w:rPr>
        <w:t>采购需求……………………………………</w:t>
      </w:r>
      <w:r>
        <w:rPr>
          <w:rFonts w:hint="eastAsia" w:ascii="宋体" w:hAnsi="宋体" w:cs="宋体"/>
          <w:color w:val="auto"/>
          <w:sz w:val="36"/>
          <w:szCs w:val="21"/>
          <w:highlight w:val="none"/>
          <w:lang w:val="en-US" w:eastAsia="zh-CN"/>
        </w:rPr>
        <w:t>29</w:t>
      </w:r>
    </w:p>
    <w:p w14:paraId="69401D17">
      <w:pPr>
        <w:numPr>
          <w:ilvl w:val="0"/>
          <w:numId w:val="4"/>
        </w:numPr>
        <w:ind w:left="0" w:firstLine="0"/>
        <w:outlineLvl w:val="0"/>
        <w:rPr>
          <w:rFonts w:hint="eastAsia" w:ascii="宋体" w:hAnsi="宋体" w:eastAsia="宋体" w:cs="宋体"/>
          <w:color w:val="auto"/>
          <w:sz w:val="36"/>
          <w:szCs w:val="21"/>
          <w:highlight w:val="none"/>
        </w:rPr>
      </w:pPr>
      <w:r>
        <w:rPr>
          <w:rFonts w:hint="eastAsia" w:ascii="宋体" w:hAnsi="宋体" w:eastAsia="宋体" w:cs="宋体"/>
          <w:bCs/>
          <w:color w:val="auto"/>
          <w:sz w:val="36"/>
          <w:szCs w:val="36"/>
          <w:highlight w:val="none"/>
        </w:rPr>
        <w:t>评审方法与评审标准</w:t>
      </w:r>
      <w:r>
        <w:rPr>
          <w:rFonts w:hint="eastAsia" w:ascii="宋体" w:hAnsi="宋体" w:eastAsia="宋体" w:cs="宋体"/>
          <w:color w:val="auto"/>
          <w:sz w:val="36"/>
          <w:szCs w:val="21"/>
          <w:highlight w:val="none"/>
        </w:rPr>
        <w:t>………………………</w:t>
      </w:r>
      <w:r>
        <w:rPr>
          <w:rFonts w:hint="eastAsia" w:ascii="宋体" w:hAnsi="宋体" w:cs="宋体"/>
          <w:color w:val="auto"/>
          <w:sz w:val="36"/>
          <w:szCs w:val="21"/>
          <w:highlight w:val="none"/>
          <w:lang w:val="en-US" w:eastAsia="zh-CN"/>
        </w:rPr>
        <w:t>39</w:t>
      </w:r>
    </w:p>
    <w:p w14:paraId="229EB545">
      <w:pPr>
        <w:numPr>
          <w:ilvl w:val="0"/>
          <w:numId w:val="4"/>
        </w:numPr>
        <w:ind w:left="0" w:firstLine="0"/>
        <w:outlineLvl w:val="0"/>
        <w:rPr>
          <w:rFonts w:hint="default" w:ascii="宋体" w:hAnsi="宋体" w:eastAsia="宋体" w:cs="宋体"/>
          <w:color w:val="auto"/>
          <w:sz w:val="36"/>
          <w:szCs w:val="21"/>
          <w:highlight w:val="none"/>
          <w:lang w:val="en-US"/>
        </w:rPr>
      </w:pPr>
      <w:r>
        <w:rPr>
          <w:rFonts w:hint="eastAsia" w:ascii="宋体" w:hAnsi="宋体" w:eastAsia="宋体" w:cs="宋体"/>
          <w:color w:val="auto"/>
          <w:sz w:val="36"/>
          <w:szCs w:val="21"/>
          <w:highlight w:val="none"/>
        </w:rPr>
        <w:t>响应文件格式………………………………</w:t>
      </w:r>
      <w:r>
        <w:rPr>
          <w:rFonts w:hint="eastAsia" w:ascii="宋体" w:hAnsi="宋体" w:cs="宋体"/>
          <w:color w:val="auto"/>
          <w:sz w:val="36"/>
          <w:szCs w:val="21"/>
          <w:highlight w:val="none"/>
          <w:lang w:val="en-US" w:eastAsia="zh-CN"/>
        </w:rPr>
        <w:t>41</w:t>
      </w:r>
    </w:p>
    <w:p w14:paraId="4A5BC24F">
      <w:pPr>
        <w:spacing w:line="400" w:lineRule="exact"/>
        <w:ind w:firstLine="420" w:firstLineChars="200"/>
        <w:rPr>
          <w:rFonts w:hint="eastAsia" w:ascii="宋体" w:hAnsi="宋体" w:eastAsia="宋体" w:cs="宋体"/>
          <w:color w:val="auto"/>
          <w:szCs w:val="21"/>
          <w:highlight w:val="none"/>
        </w:rPr>
      </w:pPr>
    </w:p>
    <w:p w14:paraId="7CEFC41B">
      <w:pPr>
        <w:spacing w:line="400" w:lineRule="exact"/>
        <w:ind w:firstLine="420" w:firstLineChars="200"/>
        <w:rPr>
          <w:rFonts w:hint="eastAsia" w:ascii="宋体" w:hAnsi="宋体" w:eastAsia="宋体" w:cs="宋体"/>
          <w:color w:val="auto"/>
          <w:szCs w:val="21"/>
          <w:highlight w:val="none"/>
        </w:rPr>
      </w:pPr>
    </w:p>
    <w:p w14:paraId="37682B27">
      <w:pPr>
        <w:spacing w:line="400" w:lineRule="exact"/>
        <w:ind w:firstLine="420" w:firstLineChars="200"/>
        <w:rPr>
          <w:rFonts w:hint="eastAsia" w:ascii="宋体" w:hAnsi="宋体" w:eastAsia="宋体" w:cs="宋体"/>
          <w:color w:val="auto"/>
          <w:szCs w:val="21"/>
          <w:highlight w:val="none"/>
        </w:rPr>
      </w:pPr>
    </w:p>
    <w:p w14:paraId="6DD223AC">
      <w:pPr>
        <w:spacing w:line="400" w:lineRule="exact"/>
        <w:ind w:firstLine="420" w:firstLineChars="200"/>
        <w:rPr>
          <w:rFonts w:hint="eastAsia" w:ascii="宋体" w:hAnsi="宋体" w:eastAsia="宋体" w:cs="宋体"/>
          <w:color w:val="auto"/>
          <w:szCs w:val="21"/>
          <w:highlight w:val="none"/>
        </w:rPr>
      </w:pPr>
    </w:p>
    <w:p w14:paraId="65BCE1C5">
      <w:pPr>
        <w:spacing w:line="400" w:lineRule="exact"/>
        <w:ind w:firstLine="420" w:firstLineChars="200"/>
        <w:rPr>
          <w:rFonts w:hint="eastAsia" w:ascii="宋体" w:hAnsi="宋体" w:eastAsia="宋体" w:cs="宋体"/>
          <w:color w:val="auto"/>
          <w:szCs w:val="21"/>
          <w:highlight w:val="none"/>
        </w:rPr>
      </w:pPr>
    </w:p>
    <w:p w14:paraId="5E7D8015">
      <w:pPr>
        <w:spacing w:line="400" w:lineRule="exact"/>
        <w:ind w:firstLine="420" w:firstLineChars="200"/>
        <w:rPr>
          <w:rFonts w:hint="eastAsia" w:ascii="宋体" w:hAnsi="宋体" w:eastAsia="宋体" w:cs="宋体"/>
          <w:color w:val="auto"/>
          <w:szCs w:val="21"/>
          <w:highlight w:val="none"/>
        </w:rPr>
      </w:pPr>
    </w:p>
    <w:p w14:paraId="08549FCA">
      <w:pPr>
        <w:spacing w:line="400" w:lineRule="exact"/>
        <w:ind w:firstLine="420" w:firstLineChars="200"/>
        <w:rPr>
          <w:rFonts w:hint="eastAsia" w:ascii="宋体" w:hAnsi="宋体" w:eastAsia="宋体" w:cs="宋体"/>
          <w:color w:val="auto"/>
          <w:szCs w:val="21"/>
          <w:highlight w:val="none"/>
        </w:rPr>
      </w:pPr>
    </w:p>
    <w:p w14:paraId="727174F5">
      <w:pPr>
        <w:spacing w:line="400" w:lineRule="exact"/>
        <w:ind w:firstLine="420" w:firstLineChars="200"/>
        <w:rPr>
          <w:rFonts w:hint="eastAsia" w:ascii="宋体" w:hAnsi="宋体" w:eastAsia="宋体" w:cs="宋体"/>
          <w:color w:val="auto"/>
          <w:szCs w:val="21"/>
          <w:highlight w:val="none"/>
        </w:rPr>
      </w:pPr>
    </w:p>
    <w:p w14:paraId="765EC86F">
      <w:pPr>
        <w:spacing w:line="400" w:lineRule="exact"/>
        <w:ind w:firstLine="420" w:firstLineChars="200"/>
        <w:rPr>
          <w:rFonts w:hint="eastAsia" w:ascii="宋体" w:hAnsi="宋体" w:eastAsia="宋体" w:cs="宋体"/>
          <w:color w:val="auto"/>
          <w:szCs w:val="21"/>
          <w:highlight w:val="none"/>
        </w:rPr>
      </w:pPr>
    </w:p>
    <w:p w14:paraId="12D0E268">
      <w:pPr>
        <w:spacing w:line="400" w:lineRule="exact"/>
        <w:ind w:firstLine="420" w:firstLineChars="200"/>
        <w:rPr>
          <w:rFonts w:hint="eastAsia" w:ascii="宋体" w:hAnsi="宋体" w:eastAsia="宋体" w:cs="宋体"/>
          <w:color w:val="auto"/>
          <w:szCs w:val="21"/>
          <w:highlight w:val="none"/>
        </w:rPr>
      </w:pPr>
    </w:p>
    <w:p w14:paraId="1BA912ED">
      <w:pPr>
        <w:spacing w:line="400" w:lineRule="exact"/>
        <w:ind w:firstLine="420" w:firstLineChars="200"/>
        <w:rPr>
          <w:rFonts w:hint="eastAsia" w:ascii="宋体" w:hAnsi="宋体" w:eastAsia="宋体" w:cs="宋体"/>
          <w:color w:val="auto"/>
          <w:szCs w:val="21"/>
          <w:highlight w:val="none"/>
        </w:rPr>
      </w:pPr>
    </w:p>
    <w:p w14:paraId="7C5C7879">
      <w:pPr>
        <w:spacing w:line="400" w:lineRule="exact"/>
        <w:ind w:firstLine="420" w:firstLineChars="200"/>
        <w:rPr>
          <w:rFonts w:hint="eastAsia" w:ascii="宋体" w:hAnsi="宋体" w:eastAsia="宋体" w:cs="宋体"/>
          <w:color w:val="auto"/>
          <w:szCs w:val="21"/>
          <w:highlight w:val="none"/>
        </w:rPr>
      </w:pPr>
    </w:p>
    <w:p w14:paraId="6C321D5E">
      <w:pPr>
        <w:spacing w:line="400" w:lineRule="exact"/>
        <w:ind w:firstLine="420" w:firstLineChars="200"/>
        <w:rPr>
          <w:rFonts w:hint="eastAsia" w:ascii="宋体" w:hAnsi="宋体" w:eastAsia="宋体" w:cs="宋体"/>
          <w:color w:val="auto"/>
          <w:szCs w:val="21"/>
          <w:highlight w:val="none"/>
        </w:rPr>
      </w:pPr>
    </w:p>
    <w:p w14:paraId="79178226">
      <w:pPr>
        <w:spacing w:line="400" w:lineRule="exact"/>
        <w:ind w:firstLine="420" w:firstLineChars="200"/>
        <w:rPr>
          <w:rFonts w:hint="eastAsia" w:ascii="宋体" w:hAnsi="宋体" w:eastAsia="宋体" w:cs="宋体"/>
          <w:color w:val="auto"/>
          <w:szCs w:val="21"/>
          <w:highlight w:val="none"/>
        </w:rPr>
      </w:pPr>
    </w:p>
    <w:p w14:paraId="626C19A5">
      <w:pPr>
        <w:spacing w:line="400" w:lineRule="exact"/>
        <w:ind w:firstLine="420" w:firstLineChars="200"/>
        <w:rPr>
          <w:rFonts w:hint="eastAsia" w:ascii="宋体" w:hAnsi="宋体" w:eastAsia="宋体" w:cs="宋体"/>
          <w:color w:val="auto"/>
          <w:szCs w:val="21"/>
          <w:highlight w:val="none"/>
        </w:rPr>
      </w:pPr>
    </w:p>
    <w:p w14:paraId="3BA7E48D">
      <w:pPr>
        <w:spacing w:line="400" w:lineRule="exact"/>
        <w:ind w:firstLine="420" w:firstLineChars="200"/>
        <w:rPr>
          <w:rFonts w:hint="eastAsia" w:ascii="宋体" w:hAnsi="宋体" w:eastAsia="宋体" w:cs="宋体"/>
          <w:color w:val="auto"/>
          <w:szCs w:val="21"/>
          <w:highlight w:val="none"/>
        </w:rPr>
      </w:pPr>
    </w:p>
    <w:p w14:paraId="3B2C0C14">
      <w:pPr>
        <w:spacing w:line="400" w:lineRule="exact"/>
        <w:ind w:firstLine="420" w:firstLineChars="200"/>
        <w:rPr>
          <w:rFonts w:hint="eastAsia" w:ascii="宋体" w:hAnsi="宋体" w:eastAsia="宋体" w:cs="宋体"/>
          <w:color w:val="auto"/>
          <w:szCs w:val="21"/>
          <w:highlight w:val="none"/>
        </w:rPr>
      </w:pPr>
    </w:p>
    <w:p w14:paraId="076F6961">
      <w:pPr>
        <w:spacing w:line="400" w:lineRule="exact"/>
        <w:ind w:firstLine="420" w:firstLineChars="200"/>
        <w:rPr>
          <w:rFonts w:hint="eastAsia" w:ascii="宋体" w:hAnsi="宋体" w:eastAsia="宋体" w:cs="宋体"/>
          <w:color w:val="auto"/>
          <w:szCs w:val="21"/>
          <w:highlight w:val="none"/>
        </w:rPr>
      </w:pPr>
    </w:p>
    <w:p w14:paraId="42644D62">
      <w:pPr>
        <w:spacing w:line="400" w:lineRule="exact"/>
        <w:ind w:firstLine="420" w:firstLineChars="200"/>
        <w:rPr>
          <w:rFonts w:hint="eastAsia" w:ascii="宋体" w:hAnsi="宋体" w:eastAsia="宋体" w:cs="宋体"/>
          <w:color w:val="auto"/>
          <w:szCs w:val="21"/>
          <w:highlight w:val="none"/>
        </w:rPr>
      </w:pPr>
    </w:p>
    <w:p w14:paraId="18AF9C28">
      <w:pPr>
        <w:spacing w:line="400" w:lineRule="exact"/>
        <w:ind w:firstLine="420" w:firstLineChars="200"/>
        <w:rPr>
          <w:rFonts w:hint="eastAsia" w:ascii="宋体" w:hAnsi="宋体" w:eastAsia="宋体" w:cs="宋体"/>
          <w:color w:val="auto"/>
          <w:szCs w:val="21"/>
          <w:highlight w:val="none"/>
        </w:rPr>
      </w:pPr>
    </w:p>
    <w:p w14:paraId="3BAE52C7">
      <w:pPr>
        <w:spacing w:line="400" w:lineRule="exact"/>
        <w:ind w:firstLine="420" w:firstLineChars="200"/>
        <w:rPr>
          <w:rFonts w:hint="eastAsia" w:ascii="宋体" w:hAnsi="宋体" w:eastAsia="宋体" w:cs="宋体"/>
          <w:color w:val="auto"/>
          <w:szCs w:val="21"/>
          <w:highlight w:val="none"/>
        </w:rPr>
      </w:pPr>
    </w:p>
    <w:p w14:paraId="32E140C3">
      <w:pPr>
        <w:spacing w:line="400" w:lineRule="exact"/>
        <w:ind w:firstLine="420" w:firstLineChars="200"/>
        <w:rPr>
          <w:rFonts w:hint="eastAsia" w:ascii="宋体" w:hAnsi="宋体" w:eastAsia="宋体" w:cs="宋体"/>
          <w:color w:val="auto"/>
          <w:szCs w:val="21"/>
          <w:highlight w:val="none"/>
        </w:rPr>
      </w:pPr>
    </w:p>
    <w:p w14:paraId="289C1F10">
      <w:pPr>
        <w:spacing w:line="400" w:lineRule="exact"/>
        <w:rPr>
          <w:rFonts w:hint="eastAsia" w:ascii="宋体" w:hAnsi="宋体" w:eastAsia="宋体" w:cs="宋体"/>
          <w:color w:val="auto"/>
          <w:szCs w:val="21"/>
          <w:highlight w:val="none"/>
        </w:rPr>
        <w:sectPr>
          <w:footerReference r:id="rId3" w:type="default"/>
          <w:pgSz w:w="11907" w:h="16839"/>
          <w:pgMar w:top="1440" w:right="1800" w:bottom="1440" w:left="1800" w:header="720" w:footer="720" w:gutter="0"/>
          <w:pgNumType w:start="1"/>
          <w:cols w:space="720" w:num="1"/>
          <w:docGrid w:linePitch="286" w:charSpace="0"/>
        </w:sectPr>
      </w:pPr>
    </w:p>
    <w:bookmarkEnd w:id="0"/>
    <w:p w14:paraId="0667942D">
      <w:pPr>
        <w:keepNext/>
        <w:numPr>
          <w:ilvl w:val="0"/>
          <w:numId w:val="5"/>
        </w:numPr>
        <w:spacing w:line="400" w:lineRule="exact"/>
        <w:ind w:firstLine="723" w:firstLineChars="200"/>
        <w:jc w:val="center"/>
        <w:outlineLvl w:val="0"/>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t>磋商邀请</w:t>
      </w:r>
    </w:p>
    <w:p w14:paraId="7BA93138">
      <w:pPr>
        <w:keepNext/>
        <w:keepLines w:val="0"/>
        <w:pageBreakBefore w:val="0"/>
        <w:widowControl w:val="0"/>
        <w:numPr>
          <w:ilvl w:val="0"/>
          <w:numId w:val="0"/>
        </w:numPr>
        <w:kinsoku w:val="0"/>
        <w:wordWrap w:val="0"/>
        <w:overflowPunct/>
        <w:topLinePunct w:val="0"/>
        <w:autoSpaceDE/>
        <w:autoSpaceDN/>
        <w:bidi w:val="0"/>
        <w:adjustRightInd/>
        <w:snapToGrid/>
        <w:spacing w:line="400" w:lineRule="exact"/>
        <w:ind w:firstLine="480" w:firstLineChars="200"/>
        <w:jc w:val="both"/>
        <w:textAlignment w:val="auto"/>
        <w:outlineLvl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受</w:t>
      </w:r>
      <w:r>
        <w:rPr>
          <w:rFonts w:hint="eastAsia" w:ascii="宋体" w:hAnsi="宋体" w:eastAsia="宋体" w:cs="宋体"/>
          <w:color w:val="auto"/>
          <w:sz w:val="24"/>
          <w:szCs w:val="24"/>
          <w:highlight w:val="none"/>
          <w:lang w:eastAsia="zh-CN"/>
        </w:rPr>
        <w:t>江苏省如东小洋口旅游度假区管理办公室</w:t>
      </w:r>
      <w:r>
        <w:rPr>
          <w:rFonts w:hint="eastAsia" w:ascii="宋体" w:hAnsi="宋体" w:eastAsia="宋体" w:cs="宋体"/>
          <w:color w:val="auto"/>
          <w:sz w:val="24"/>
          <w:szCs w:val="24"/>
          <w:highlight w:val="none"/>
        </w:rPr>
        <w:t>的委托，</w:t>
      </w:r>
      <w:r>
        <w:rPr>
          <w:rFonts w:hint="eastAsia" w:ascii="宋体" w:hAnsi="宋体" w:eastAsia="宋体" w:cs="宋体"/>
          <w:color w:val="auto"/>
          <w:sz w:val="24"/>
          <w:szCs w:val="24"/>
          <w:highlight w:val="none"/>
          <w:lang w:eastAsia="zh-CN"/>
        </w:rPr>
        <w:t>江苏建达全过程工程咨询有限公司</w:t>
      </w:r>
      <w:r>
        <w:rPr>
          <w:rFonts w:hint="eastAsia" w:ascii="宋体" w:hAnsi="宋体" w:eastAsia="宋体" w:cs="宋体"/>
          <w:color w:val="auto"/>
          <w:sz w:val="24"/>
          <w:szCs w:val="24"/>
          <w:highlight w:val="none"/>
        </w:rPr>
        <w:t>就</w:t>
      </w:r>
      <w:r>
        <w:rPr>
          <w:rFonts w:hint="eastAsia" w:ascii="宋体" w:hAnsi="宋体" w:eastAsia="宋体" w:cs="宋体"/>
          <w:color w:val="auto"/>
          <w:sz w:val="24"/>
          <w:szCs w:val="24"/>
          <w:highlight w:val="none"/>
          <w:lang w:eastAsia="zh-CN"/>
        </w:rPr>
        <w:t>2026年如东小洋口第四届体育嘉年华服务项目</w:t>
      </w:r>
      <w:r>
        <w:rPr>
          <w:rFonts w:hint="eastAsia" w:ascii="宋体" w:hAnsi="宋体" w:eastAsia="宋体" w:cs="宋体"/>
          <w:color w:val="auto"/>
          <w:sz w:val="24"/>
          <w:szCs w:val="24"/>
          <w:highlight w:val="none"/>
        </w:rPr>
        <w:t>【项目编号</w:t>
      </w:r>
      <w:r>
        <w:rPr>
          <w:rFonts w:hint="eastAsia" w:ascii="宋体" w:hAnsi="宋体" w:cs="宋体"/>
          <w:color w:val="auto"/>
          <w:sz w:val="24"/>
          <w:szCs w:val="24"/>
          <w:highlight w:val="none"/>
          <w:lang w:eastAsia="zh-CN"/>
        </w:rPr>
        <w:t>：JSZC-320623-JDGS-C2026-0020</w:t>
      </w:r>
      <w:r>
        <w:rPr>
          <w:rFonts w:hint="eastAsia" w:ascii="宋体" w:hAnsi="宋体" w:eastAsia="宋体" w:cs="宋体"/>
          <w:color w:val="auto"/>
          <w:sz w:val="24"/>
          <w:szCs w:val="24"/>
          <w:highlight w:val="none"/>
        </w:rPr>
        <w:t>】项目进行竞争性磋商采购，欢迎符合条件的供应商参加磋商。</w:t>
      </w:r>
    </w:p>
    <w:p w14:paraId="223495DC">
      <w:pPr>
        <w:pBdr>
          <w:top w:val="single" w:color="auto" w:sz="4" w:space="1"/>
          <w:left w:val="single" w:color="auto" w:sz="4" w:space="4"/>
          <w:bottom w:val="single" w:color="auto" w:sz="4" w:space="1"/>
          <w:right w:val="single" w:color="auto" w:sz="4" w:space="4"/>
        </w:pBd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项目概况</w:t>
      </w:r>
    </w:p>
    <w:p w14:paraId="48AC61F6">
      <w:pPr>
        <w:pBdr>
          <w:top w:val="single" w:color="auto" w:sz="4" w:space="1"/>
          <w:left w:val="single" w:color="auto" w:sz="4" w:space="4"/>
          <w:bottom w:val="single" w:color="auto" w:sz="4" w:space="1"/>
          <w:right w:val="single" w:color="auto" w:sz="4" w:space="4"/>
        </w:pBdr>
        <w:spacing w:line="400" w:lineRule="exact"/>
        <w:ind w:firstLine="480" w:firstLineChars="200"/>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lang w:eastAsia="zh-CN"/>
        </w:rPr>
        <w:t xml:space="preserve"> 2026年如东小洋口第四届体育嘉年华服务项目</w:t>
      </w:r>
      <w:r>
        <w:rPr>
          <w:rFonts w:hint="eastAsia" w:ascii="宋体" w:hAnsi="宋体" w:eastAsia="宋体" w:cs="宋体"/>
          <w:color w:val="auto"/>
          <w:sz w:val="24"/>
          <w:szCs w:val="24"/>
          <w:highlight w:val="none"/>
        </w:rPr>
        <w:t>竞争性磋商项目的潜在供应商可在</w:t>
      </w:r>
      <w:r>
        <w:rPr>
          <w:rFonts w:hint="eastAsia" w:ascii="宋体" w:hAnsi="宋体" w:eastAsia="宋体" w:cs="宋体"/>
          <w:color w:val="auto"/>
          <w:sz w:val="24"/>
          <w:szCs w:val="24"/>
          <w:highlight w:val="none"/>
          <w:u w:val="single"/>
        </w:rPr>
        <w:t>“江苏政府采购网”自行免费下载</w:t>
      </w:r>
      <w:r>
        <w:rPr>
          <w:rFonts w:hint="eastAsia" w:ascii="宋体" w:hAnsi="宋体" w:eastAsia="宋体" w:cs="宋体"/>
          <w:color w:val="auto"/>
          <w:sz w:val="24"/>
          <w:szCs w:val="24"/>
          <w:highlight w:val="none"/>
        </w:rPr>
        <w:t>磋商文件，</w:t>
      </w:r>
      <w:r>
        <w:rPr>
          <w:rFonts w:hint="eastAsia" w:ascii="宋体" w:hAnsi="宋体" w:eastAsia="宋体" w:cs="宋体"/>
          <w:b/>
          <w:bCs/>
          <w:color w:val="auto"/>
          <w:sz w:val="24"/>
          <w:szCs w:val="24"/>
          <w:highlight w:val="none"/>
        </w:rPr>
        <w:t>并于</w:t>
      </w:r>
      <w:r>
        <w:rPr>
          <w:rFonts w:hint="eastAsia" w:ascii="宋体" w:hAnsi="宋体" w:eastAsia="宋体" w:cs="宋体"/>
          <w:b/>
          <w:bCs/>
          <w:color w:val="auto"/>
          <w:sz w:val="24"/>
          <w:szCs w:val="24"/>
          <w:highlight w:val="none"/>
          <w:u w:val="single"/>
        </w:rPr>
        <w:t>2026年</w:t>
      </w:r>
      <w:r>
        <w:rPr>
          <w:rFonts w:hint="eastAsia" w:ascii="宋体" w:hAnsi="宋体" w:cs="宋体"/>
          <w:b/>
          <w:bCs/>
          <w:color w:val="auto"/>
          <w:sz w:val="24"/>
          <w:szCs w:val="24"/>
          <w:highlight w:val="none"/>
          <w:u w:val="single"/>
          <w:lang w:val="en-US" w:eastAsia="zh-CN"/>
        </w:rPr>
        <w:t>5</w:t>
      </w:r>
      <w:r>
        <w:rPr>
          <w:rFonts w:hint="eastAsia" w:ascii="宋体" w:hAnsi="宋体" w:eastAsia="宋体" w:cs="宋体"/>
          <w:b/>
          <w:bCs/>
          <w:color w:val="auto"/>
          <w:sz w:val="24"/>
          <w:szCs w:val="24"/>
          <w:highlight w:val="none"/>
          <w:u w:val="single"/>
        </w:rPr>
        <w:t>月</w:t>
      </w:r>
      <w:r>
        <w:rPr>
          <w:rFonts w:hint="eastAsia" w:ascii="宋体" w:hAnsi="宋体" w:cs="宋体"/>
          <w:b/>
          <w:bCs/>
          <w:color w:val="auto"/>
          <w:sz w:val="24"/>
          <w:szCs w:val="24"/>
          <w:highlight w:val="none"/>
          <w:u w:val="single"/>
          <w:lang w:val="en-US" w:eastAsia="zh-CN"/>
        </w:rPr>
        <w:t>12</w:t>
      </w:r>
      <w:r>
        <w:rPr>
          <w:rFonts w:hint="eastAsia" w:ascii="宋体" w:hAnsi="宋体" w:eastAsia="宋体" w:cs="宋体"/>
          <w:b/>
          <w:bCs/>
          <w:color w:val="auto"/>
          <w:sz w:val="24"/>
          <w:szCs w:val="24"/>
          <w:highlight w:val="none"/>
          <w:u w:val="single"/>
        </w:rPr>
        <w:t>日</w:t>
      </w:r>
      <w:r>
        <w:rPr>
          <w:rFonts w:hint="eastAsia" w:ascii="宋体" w:hAnsi="宋体" w:cs="宋体"/>
          <w:b/>
          <w:bCs/>
          <w:color w:val="auto"/>
          <w:sz w:val="24"/>
          <w:szCs w:val="24"/>
          <w:highlight w:val="none"/>
          <w:u w:val="single"/>
          <w:lang w:eastAsia="zh-CN"/>
        </w:rPr>
        <w:t>下</w:t>
      </w:r>
      <w:r>
        <w:rPr>
          <w:rFonts w:hint="eastAsia" w:ascii="宋体" w:hAnsi="宋体" w:eastAsia="宋体" w:cs="宋体"/>
          <w:b/>
          <w:bCs/>
          <w:color w:val="auto"/>
          <w:sz w:val="24"/>
          <w:szCs w:val="24"/>
          <w:highlight w:val="none"/>
          <w:u w:val="single"/>
        </w:rPr>
        <w:t>午</w:t>
      </w:r>
      <w:r>
        <w:rPr>
          <w:rFonts w:hint="eastAsia" w:ascii="宋体" w:hAnsi="宋体" w:cs="宋体"/>
          <w:b/>
          <w:bCs/>
          <w:color w:val="auto"/>
          <w:sz w:val="24"/>
          <w:szCs w:val="24"/>
          <w:highlight w:val="none"/>
          <w:u w:val="single"/>
          <w:lang w:val="en-US" w:eastAsia="zh-CN"/>
        </w:rPr>
        <w:t>3</w:t>
      </w:r>
      <w:r>
        <w:rPr>
          <w:rFonts w:hint="eastAsia" w:ascii="宋体" w:hAnsi="宋体" w:eastAsia="宋体" w:cs="宋体"/>
          <w:b/>
          <w:bCs/>
          <w:color w:val="auto"/>
          <w:sz w:val="24"/>
          <w:szCs w:val="24"/>
          <w:highlight w:val="none"/>
          <w:u w:val="single"/>
        </w:rPr>
        <w:t>时</w:t>
      </w:r>
      <w:r>
        <w:rPr>
          <w:rFonts w:hint="eastAsia" w:ascii="宋体" w:hAnsi="宋体" w:cs="宋体"/>
          <w:b/>
          <w:bCs/>
          <w:color w:val="auto"/>
          <w:sz w:val="24"/>
          <w:szCs w:val="24"/>
          <w:highlight w:val="none"/>
          <w:u w:val="single"/>
          <w:lang w:val="en-US" w:eastAsia="zh-CN"/>
        </w:rPr>
        <w:t>00</w:t>
      </w:r>
      <w:r>
        <w:rPr>
          <w:rFonts w:hint="eastAsia" w:ascii="宋体" w:hAnsi="宋体" w:eastAsia="宋体" w:cs="宋体"/>
          <w:b/>
          <w:bCs/>
          <w:color w:val="auto"/>
          <w:sz w:val="24"/>
          <w:szCs w:val="24"/>
          <w:highlight w:val="none"/>
          <w:u w:val="single"/>
        </w:rPr>
        <w:t>分（</w:t>
      </w:r>
      <w:r>
        <w:rPr>
          <w:rFonts w:hint="eastAsia" w:ascii="宋体" w:hAnsi="宋体" w:eastAsia="宋体" w:cs="宋体"/>
          <w:b/>
          <w:bCs/>
          <w:color w:val="auto"/>
          <w:sz w:val="24"/>
          <w:szCs w:val="24"/>
          <w:highlight w:val="none"/>
        </w:rPr>
        <w:t xml:space="preserve">北京时间）前递交响应文件。 </w:t>
      </w:r>
    </w:p>
    <w:p w14:paraId="53ADEC5F">
      <w:pPr>
        <w:keepNext/>
        <w:keepLines/>
        <w:pageBreakBefore w:val="0"/>
        <w:kinsoku/>
        <w:wordWrap/>
        <w:overflowPunct/>
        <w:topLinePunct w:val="0"/>
        <w:autoSpaceDE/>
        <w:autoSpaceDN/>
        <w:bidi w:val="0"/>
        <w:adjustRightInd w:val="0"/>
        <w:snapToGrid w:val="0"/>
        <w:spacing w:line="360" w:lineRule="auto"/>
        <w:ind w:firstLine="643" w:firstLineChars="200"/>
        <w:textAlignment w:val="auto"/>
        <w:outlineLvl w:val="2"/>
        <w:rPr>
          <w:rFonts w:hint="eastAsia" w:ascii="宋体" w:hAnsi="宋体" w:eastAsia="宋体" w:cs="宋体"/>
          <w:b/>
          <w:bCs/>
          <w:color w:val="auto"/>
          <w:sz w:val="32"/>
          <w:szCs w:val="32"/>
          <w:highlight w:val="none"/>
        </w:rPr>
      </w:pPr>
      <w:bookmarkStart w:id="6" w:name="_Toc38985263"/>
      <w:bookmarkStart w:id="7" w:name="_Toc28359002"/>
      <w:bookmarkStart w:id="8" w:name="_Toc35393621"/>
      <w:bookmarkStart w:id="9" w:name="_Toc35393790"/>
      <w:bookmarkStart w:id="10" w:name="_Toc28359079"/>
      <w:bookmarkStart w:id="11" w:name="_Hlk24379207"/>
      <w:r>
        <w:rPr>
          <w:rFonts w:hint="eastAsia" w:ascii="宋体" w:hAnsi="宋体" w:eastAsia="宋体" w:cs="宋体"/>
          <w:b/>
          <w:bCs/>
          <w:color w:val="auto"/>
          <w:sz w:val="32"/>
          <w:szCs w:val="32"/>
          <w:highlight w:val="none"/>
        </w:rPr>
        <w:t>一、项目基本情况</w:t>
      </w:r>
      <w:bookmarkEnd w:id="6"/>
      <w:bookmarkEnd w:id="7"/>
      <w:bookmarkEnd w:id="8"/>
      <w:bookmarkEnd w:id="9"/>
      <w:bookmarkEnd w:id="10"/>
    </w:p>
    <w:p w14:paraId="6CBF0A01">
      <w:pPr>
        <w:pageBreakBefore w:val="0"/>
        <w:kinsoku/>
        <w:wordWrap/>
        <w:overflowPunct/>
        <w:topLinePunct w:val="0"/>
        <w:autoSpaceDE/>
        <w:autoSpaceDN/>
        <w:bidi w:val="0"/>
        <w:adjustRightInd w:val="0"/>
        <w:snapToGrid w:val="0"/>
        <w:spacing w:line="360" w:lineRule="auto"/>
        <w:ind w:firstLine="480" w:firstLineChars="200"/>
        <w:contextualSpacing/>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zh-CN"/>
        </w:rPr>
        <w:t>1.项目编号：JSZC-320623-JDGS-C2026-0020</w:t>
      </w:r>
      <w:r>
        <w:rPr>
          <w:rFonts w:hint="eastAsia" w:ascii="宋体" w:hAnsi="宋体" w:eastAsia="宋体" w:cs="宋体"/>
          <w:color w:val="auto"/>
          <w:sz w:val="24"/>
          <w:szCs w:val="24"/>
          <w:highlight w:val="none"/>
          <w:lang w:val="en-US" w:eastAsia="zh-CN"/>
        </w:rPr>
        <w:t xml:space="preserve">     </w:t>
      </w:r>
    </w:p>
    <w:p w14:paraId="3F987114">
      <w:pPr>
        <w:pageBreakBefore w:val="0"/>
        <w:kinsoku/>
        <w:wordWrap/>
        <w:overflowPunct/>
        <w:topLinePunct w:val="0"/>
        <w:autoSpaceDE/>
        <w:autoSpaceDN/>
        <w:bidi w:val="0"/>
        <w:adjustRightInd w:val="0"/>
        <w:snapToGrid w:val="0"/>
        <w:spacing w:line="360" w:lineRule="auto"/>
        <w:ind w:firstLine="480" w:firstLineChars="200"/>
        <w:contextualSpacing/>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zh-CN"/>
        </w:rPr>
        <w:t>2.项目名称：</w:t>
      </w:r>
      <w:bookmarkEnd w:id="11"/>
      <w:r>
        <w:rPr>
          <w:rFonts w:hint="eastAsia" w:ascii="宋体" w:hAnsi="宋体" w:eastAsia="宋体" w:cs="宋体"/>
          <w:color w:val="auto"/>
          <w:sz w:val="24"/>
          <w:szCs w:val="24"/>
          <w:highlight w:val="none"/>
          <w:lang w:eastAsia="zh-CN"/>
        </w:rPr>
        <w:t>2026年如东小洋口第四届体育嘉年华服务项目</w:t>
      </w:r>
    </w:p>
    <w:p w14:paraId="109A99F5">
      <w:pPr>
        <w:pageBreakBefore w:val="0"/>
        <w:kinsoku/>
        <w:wordWrap/>
        <w:overflowPunct/>
        <w:topLinePunct w:val="0"/>
        <w:autoSpaceDE/>
        <w:autoSpaceDN/>
        <w:bidi w:val="0"/>
        <w:adjustRightInd w:val="0"/>
        <w:snapToGrid w:val="0"/>
        <w:spacing w:line="360" w:lineRule="auto"/>
        <w:ind w:firstLine="480" w:firstLineChars="200"/>
        <w:contextualSpacing/>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3.项目类型：服务</w:t>
      </w:r>
    </w:p>
    <w:p w14:paraId="4655FC95">
      <w:pPr>
        <w:pageBreakBefore w:val="0"/>
        <w:kinsoku/>
        <w:wordWrap/>
        <w:overflowPunct/>
        <w:topLinePunct w:val="0"/>
        <w:autoSpaceDE/>
        <w:autoSpaceDN/>
        <w:bidi w:val="0"/>
        <w:adjustRightInd w:val="0"/>
        <w:snapToGrid w:val="0"/>
        <w:spacing w:line="360" w:lineRule="auto"/>
        <w:ind w:firstLine="480" w:firstLineChars="200"/>
        <w:contextualSpacing/>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zh-CN"/>
        </w:rPr>
        <w:t>4.项目行业：其他未列明行业</w:t>
      </w:r>
    </w:p>
    <w:p w14:paraId="02891FE9">
      <w:pPr>
        <w:pageBreakBefore w:val="0"/>
        <w:kinsoku/>
        <w:wordWrap/>
        <w:overflowPunct/>
        <w:topLinePunct w:val="0"/>
        <w:autoSpaceDE/>
        <w:autoSpaceDN/>
        <w:bidi w:val="0"/>
        <w:adjustRightInd w:val="0"/>
        <w:snapToGrid w:val="0"/>
        <w:spacing w:line="360" w:lineRule="auto"/>
        <w:ind w:firstLine="480" w:firstLineChars="200"/>
        <w:contextualSpacing/>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5</w:t>
      </w:r>
      <w:r>
        <w:rPr>
          <w:rFonts w:hint="eastAsia" w:ascii="宋体" w:hAnsi="宋体" w:eastAsia="宋体" w:cs="宋体"/>
          <w:color w:val="auto"/>
          <w:sz w:val="24"/>
          <w:szCs w:val="24"/>
          <w:highlight w:val="none"/>
          <w:lang w:val="zh-CN"/>
        </w:rPr>
        <w:t>.预算金额：</w:t>
      </w:r>
      <w:r>
        <w:rPr>
          <w:rFonts w:hint="eastAsia" w:ascii="宋体" w:hAnsi="宋体" w:cs="宋体"/>
          <w:color w:val="auto"/>
          <w:sz w:val="24"/>
          <w:szCs w:val="24"/>
          <w:highlight w:val="none"/>
          <w:lang w:val="en-US" w:eastAsia="zh-CN"/>
        </w:rPr>
        <w:t>165</w:t>
      </w:r>
      <w:r>
        <w:rPr>
          <w:rFonts w:hint="eastAsia" w:ascii="宋体" w:hAnsi="宋体" w:eastAsia="宋体" w:cs="宋体"/>
          <w:color w:val="auto"/>
          <w:sz w:val="24"/>
          <w:szCs w:val="24"/>
          <w:highlight w:val="none"/>
          <w:lang w:val="zh-CN"/>
        </w:rPr>
        <w:t>万元</w:t>
      </w:r>
      <w:r>
        <w:rPr>
          <w:rFonts w:hint="eastAsia" w:ascii="宋体" w:hAnsi="宋体" w:eastAsia="宋体" w:cs="宋体"/>
          <w:color w:val="auto"/>
          <w:sz w:val="24"/>
          <w:szCs w:val="24"/>
          <w:highlight w:val="none"/>
          <w:lang w:val="en-US" w:eastAsia="zh-CN"/>
        </w:rPr>
        <w:t xml:space="preserve"> </w:t>
      </w:r>
    </w:p>
    <w:p w14:paraId="3AE21545">
      <w:pPr>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
          <w:bCs/>
          <w:color w:val="auto"/>
          <w:kern w:val="0"/>
          <w:sz w:val="28"/>
          <w:szCs w:val="28"/>
          <w:highlight w:val="none"/>
        </w:rPr>
      </w:pPr>
      <w:r>
        <w:rPr>
          <w:rFonts w:hint="eastAsia" w:ascii="宋体" w:hAnsi="宋体" w:eastAsia="宋体" w:cs="宋体"/>
          <w:color w:val="auto"/>
          <w:sz w:val="24"/>
          <w:szCs w:val="24"/>
          <w:highlight w:val="none"/>
        </w:rPr>
        <w:t>6.最高限价：</w:t>
      </w:r>
      <w:r>
        <w:rPr>
          <w:rFonts w:hint="eastAsia" w:ascii="宋体" w:hAnsi="宋体" w:cs="宋体"/>
          <w:color w:val="auto"/>
          <w:sz w:val="24"/>
          <w:szCs w:val="24"/>
          <w:highlight w:val="none"/>
          <w:lang w:val="en-US" w:eastAsia="zh-CN"/>
        </w:rPr>
        <w:t>164.8</w:t>
      </w:r>
      <w:r>
        <w:rPr>
          <w:rFonts w:hint="eastAsia" w:ascii="宋体" w:hAnsi="宋体" w:eastAsia="宋体" w:cs="宋体"/>
          <w:color w:val="auto"/>
          <w:sz w:val="24"/>
          <w:szCs w:val="24"/>
          <w:highlight w:val="none"/>
        </w:rPr>
        <w:t>万元</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最终报价超过最高限价的为无效投标</w:t>
      </w:r>
      <w:r>
        <w:rPr>
          <w:rFonts w:hint="eastAsia" w:ascii="宋体" w:hAnsi="宋体" w:eastAsia="宋体" w:cs="宋体"/>
          <w:color w:val="auto"/>
          <w:kern w:val="0"/>
          <w:sz w:val="24"/>
          <w:szCs w:val="24"/>
          <w:highlight w:val="none"/>
        </w:rPr>
        <w:t>。</w:t>
      </w:r>
    </w:p>
    <w:p w14:paraId="2B48EF31">
      <w:pPr>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7.采购需求（简介）：</w:t>
      </w:r>
      <w:r>
        <w:rPr>
          <w:rFonts w:hint="eastAsia" w:ascii="宋体" w:hAnsi="宋体" w:eastAsia="宋体" w:cs="宋体"/>
          <w:color w:val="auto"/>
          <w:kern w:val="0"/>
          <w:sz w:val="24"/>
          <w:szCs w:val="24"/>
          <w:highlight w:val="none"/>
        </w:rPr>
        <w:t>详见磋商文件第四章,请仔细研究。</w:t>
      </w:r>
    </w:p>
    <w:p w14:paraId="22E2DD41">
      <w:pPr>
        <w:pageBreakBefore w:val="0"/>
        <w:kinsoku/>
        <w:wordWrap/>
        <w:overflowPunct/>
        <w:topLinePunct w:val="0"/>
        <w:autoSpaceDE/>
        <w:autoSpaceDN/>
        <w:bidi w:val="0"/>
        <w:adjustRightInd w:val="0"/>
        <w:snapToGrid w:val="0"/>
        <w:spacing w:line="360" w:lineRule="auto"/>
        <w:ind w:firstLine="480" w:firstLineChars="200"/>
        <w:contextualSpacing/>
        <w:textAlignment w:val="auto"/>
        <w:rPr>
          <w:rFonts w:hint="eastAsia" w:ascii="宋体" w:hAnsi="宋体" w:eastAsia="宋体" w:cs="宋体"/>
          <w:b/>
          <w:color w:val="auto"/>
          <w:sz w:val="28"/>
          <w:szCs w:val="28"/>
          <w:highlight w:val="none"/>
          <w:lang w:val="zh-CN"/>
        </w:rPr>
      </w:pPr>
      <w:r>
        <w:rPr>
          <w:rFonts w:hint="eastAsia" w:ascii="宋体" w:hAnsi="宋体" w:eastAsia="宋体" w:cs="宋体"/>
          <w:color w:val="auto"/>
          <w:sz w:val="24"/>
          <w:szCs w:val="24"/>
          <w:highlight w:val="none"/>
        </w:rPr>
        <w:t>8.合同履行期限：</w:t>
      </w:r>
      <w:r>
        <w:rPr>
          <w:rFonts w:hint="eastAsia" w:ascii="宋体" w:hAnsi="宋体" w:eastAsia="宋体" w:cs="宋体"/>
          <w:color w:val="auto"/>
          <w:sz w:val="24"/>
          <w:szCs w:val="24"/>
          <w:highlight w:val="none"/>
          <w:lang w:val="zh-CN"/>
        </w:rPr>
        <w:t>详见采购文件。</w:t>
      </w:r>
    </w:p>
    <w:p w14:paraId="6EEA6971">
      <w:pPr>
        <w:pageBreakBefore w:val="0"/>
        <w:kinsoku/>
        <w:wordWrap/>
        <w:overflowPunct/>
        <w:topLinePunct w:val="0"/>
        <w:autoSpaceDE/>
        <w:autoSpaceDN/>
        <w:bidi w:val="0"/>
        <w:adjustRightInd w:val="0"/>
        <w:snapToGrid w:val="0"/>
        <w:spacing w:line="360" w:lineRule="auto"/>
        <w:ind w:firstLine="480" w:firstLineChars="200"/>
        <w:contextualSpacing/>
        <w:textAlignment w:val="auto"/>
        <w:rPr>
          <w:rFonts w:hint="eastAsia" w:ascii="宋体" w:hAnsi="宋体" w:eastAsia="宋体" w:cs="宋体"/>
          <w:b w:val="0"/>
          <w:bCs w:val="0"/>
          <w:color w:val="auto"/>
          <w:sz w:val="24"/>
          <w:szCs w:val="24"/>
          <w:highlight w:val="none"/>
          <w:lang w:val="zh-CN"/>
        </w:rPr>
      </w:pPr>
      <w:r>
        <w:rPr>
          <w:rFonts w:hint="eastAsia" w:ascii="宋体" w:hAnsi="宋体" w:eastAsia="宋体" w:cs="宋体"/>
          <w:b w:val="0"/>
          <w:bCs w:val="0"/>
          <w:color w:val="auto"/>
          <w:sz w:val="24"/>
          <w:szCs w:val="24"/>
          <w:highlight w:val="none"/>
        </w:rPr>
        <w:t>9.</w:t>
      </w:r>
      <w:r>
        <w:rPr>
          <w:rFonts w:hint="eastAsia" w:ascii="宋体" w:hAnsi="宋体" w:eastAsia="宋体" w:cs="宋体"/>
          <w:b w:val="0"/>
          <w:bCs w:val="0"/>
          <w:color w:val="auto"/>
          <w:sz w:val="24"/>
          <w:szCs w:val="24"/>
          <w:highlight w:val="none"/>
          <w:lang w:val="zh-CN"/>
        </w:rPr>
        <w:t>本项目</w:t>
      </w:r>
      <w:r>
        <w:rPr>
          <w:rFonts w:hint="eastAsia" w:ascii="宋体" w:hAnsi="宋体" w:eastAsia="宋体" w:cs="宋体"/>
          <w:b w:val="0"/>
          <w:bCs w:val="0"/>
          <w:color w:val="auto"/>
          <w:sz w:val="24"/>
          <w:szCs w:val="24"/>
          <w:highlight w:val="none"/>
        </w:rPr>
        <w:t>是否</w:t>
      </w:r>
      <w:r>
        <w:rPr>
          <w:rFonts w:hint="eastAsia" w:ascii="宋体" w:hAnsi="宋体" w:eastAsia="宋体" w:cs="宋体"/>
          <w:b w:val="0"/>
          <w:bCs w:val="0"/>
          <w:color w:val="auto"/>
          <w:sz w:val="24"/>
          <w:szCs w:val="24"/>
          <w:highlight w:val="none"/>
          <w:lang w:val="zh-CN"/>
        </w:rPr>
        <w:t>接受联合体投标：</w:t>
      </w:r>
      <w:r>
        <w:rPr>
          <w:rFonts w:hint="eastAsia" w:ascii="宋体" w:hAnsi="宋体" w:eastAsia="宋体" w:cs="宋体"/>
          <w:b w:val="0"/>
          <w:bCs w:val="0"/>
          <w:color w:val="auto"/>
          <w:sz w:val="24"/>
          <w:szCs w:val="24"/>
          <w:highlight w:val="none"/>
        </w:rPr>
        <w:t>否</w:t>
      </w:r>
      <w:r>
        <w:rPr>
          <w:rFonts w:hint="eastAsia" w:ascii="宋体" w:hAnsi="宋体" w:eastAsia="宋体" w:cs="宋体"/>
          <w:b w:val="0"/>
          <w:bCs w:val="0"/>
          <w:color w:val="auto"/>
          <w:sz w:val="24"/>
          <w:szCs w:val="24"/>
          <w:highlight w:val="none"/>
          <w:lang w:val="zh-CN"/>
        </w:rPr>
        <w:t>。</w:t>
      </w:r>
    </w:p>
    <w:p w14:paraId="114FCECE">
      <w:pPr>
        <w:pageBreakBefore w:val="0"/>
        <w:kinsoku/>
        <w:wordWrap/>
        <w:overflowPunct/>
        <w:topLinePunct w:val="0"/>
        <w:autoSpaceDE/>
        <w:autoSpaceDN/>
        <w:bidi w:val="0"/>
        <w:adjustRightInd w:val="0"/>
        <w:snapToGrid w:val="0"/>
        <w:spacing w:line="360" w:lineRule="auto"/>
        <w:ind w:firstLine="480" w:firstLineChars="200"/>
        <w:contextualSpacing/>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10.</w:t>
      </w:r>
      <w:r>
        <w:rPr>
          <w:rFonts w:hint="eastAsia" w:ascii="宋体" w:hAnsi="宋体" w:eastAsia="宋体" w:cs="宋体"/>
          <w:color w:val="auto"/>
          <w:sz w:val="24"/>
          <w:szCs w:val="24"/>
          <w:highlight w:val="none"/>
          <w:lang w:val="zh-CN"/>
        </w:rPr>
        <w:t>本项目是否专门面向中小企业采购：</w:t>
      </w:r>
      <w:r>
        <w:rPr>
          <w:rFonts w:hint="eastAsia" w:ascii="宋体" w:hAnsi="宋体" w:eastAsia="宋体" w:cs="宋体"/>
          <w:color w:val="auto"/>
          <w:sz w:val="24"/>
          <w:szCs w:val="24"/>
          <w:highlight w:val="none"/>
          <w:lang w:val="en-US" w:eastAsia="zh-CN"/>
        </w:rPr>
        <w:t>是</w:t>
      </w:r>
      <w:r>
        <w:rPr>
          <w:rFonts w:hint="eastAsia" w:ascii="宋体" w:hAnsi="宋体" w:eastAsia="宋体" w:cs="宋体"/>
          <w:color w:val="auto"/>
          <w:sz w:val="24"/>
          <w:szCs w:val="24"/>
          <w:highlight w:val="none"/>
          <w:lang w:val="zh-CN"/>
        </w:rPr>
        <w:t>。</w:t>
      </w:r>
    </w:p>
    <w:p w14:paraId="373D3F55">
      <w:pPr>
        <w:keepNext/>
        <w:keepLines/>
        <w:pageBreakBefore w:val="0"/>
        <w:kinsoku/>
        <w:wordWrap/>
        <w:overflowPunct/>
        <w:topLinePunct w:val="0"/>
        <w:autoSpaceDE/>
        <w:autoSpaceDN/>
        <w:bidi w:val="0"/>
        <w:adjustRightInd w:val="0"/>
        <w:snapToGrid w:val="0"/>
        <w:spacing w:line="360" w:lineRule="auto"/>
        <w:ind w:firstLine="643" w:firstLineChars="200"/>
        <w:textAlignment w:val="auto"/>
        <w:outlineLvl w:val="2"/>
        <w:rPr>
          <w:rFonts w:hint="eastAsia" w:ascii="宋体" w:hAnsi="宋体" w:eastAsia="宋体" w:cs="宋体"/>
          <w:b/>
          <w:bCs/>
          <w:color w:val="auto"/>
          <w:sz w:val="32"/>
          <w:szCs w:val="32"/>
          <w:highlight w:val="none"/>
        </w:rPr>
      </w:pPr>
      <w:bookmarkStart w:id="12" w:name="_Toc35393791"/>
      <w:bookmarkStart w:id="13" w:name="_Toc28359080"/>
      <w:bookmarkStart w:id="14" w:name="_Toc28359003"/>
      <w:bookmarkStart w:id="15" w:name="_Toc35393622"/>
      <w:bookmarkStart w:id="16" w:name="_Toc38985264"/>
      <w:r>
        <w:rPr>
          <w:rFonts w:hint="eastAsia" w:ascii="宋体" w:hAnsi="宋体" w:eastAsia="宋体" w:cs="宋体"/>
          <w:b/>
          <w:bCs/>
          <w:color w:val="auto"/>
          <w:sz w:val="32"/>
          <w:szCs w:val="32"/>
          <w:highlight w:val="none"/>
        </w:rPr>
        <w:t>二、申请人的资格要求：</w:t>
      </w:r>
      <w:bookmarkEnd w:id="12"/>
      <w:bookmarkEnd w:id="13"/>
      <w:bookmarkEnd w:id="14"/>
      <w:bookmarkEnd w:id="15"/>
      <w:bookmarkEnd w:id="16"/>
    </w:p>
    <w:p w14:paraId="7BBA19FB">
      <w:pPr>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bookmarkStart w:id="17" w:name="_Toc38985265"/>
      <w:bookmarkStart w:id="18" w:name="_Toc35393792"/>
      <w:bookmarkStart w:id="19" w:name="_Toc28359081"/>
      <w:bookmarkStart w:id="20" w:name="_Toc35393623"/>
      <w:bookmarkStart w:id="21" w:name="_Toc28359004"/>
      <w:r>
        <w:rPr>
          <w:rFonts w:hint="eastAsia" w:ascii="宋体" w:hAnsi="宋体" w:eastAsia="宋体" w:cs="宋体"/>
          <w:color w:val="auto"/>
          <w:sz w:val="24"/>
          <w:szCs w:val="24"/>
          <w:highlight w:val="none"/>
        </w:rPr>
        <w:t>（一）通用资格要求</w:t>
      </w:r>
    </w:p>
    <w:p w14:paraId="7FF92889">
      <w:pPr>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1.满足《中华人民共和国政府采购法》第二十二条规定。</w:t>
      </w:r>
    </w:p>
    <w:p w14:paraId="0A2DB045">
      <w:pPr>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36"/>
          <w:szCs w:val="36"/>
          <w:highlight w:val="none"/>
        </w:rPr>
      </w:pPr>
      <w:r>
        <w:rPr>
          <w:rFonts w:hint="eastAsia" w:ascii="宋体" w:hAnsi="宋体" w:eastAsia="宋体" w:cs="宋体"/>
          <w:color w:val="auto"/>
          <w:sz w:val="24"/>
          <w:szCs w:val="24"/>
          <w:highlight w:val="none"/>
        </w:rPr>
        <w:t>2.在“信用中国”网站（www.creditchina.gov.cn）查询，无被列入失信被执行人、重大税收违法案件当事人名单、政府采购严重失信行为记录名单及其他不符合《中华人民共和国政府采购法》第二十二条规定条件的信用记录。</w:t>
      </w:r>
      <w:r>
        <w:rPr>
          <w:rFonts w:hint="eastAsia" w:ascii="宋体" w:hAnsi="宋体" w:eastAsia="宋体" w:cs="宋体"/>
          <w:b/>
          <w:bCs/>
          <w:color w:val="auto"/>
          <w:sz w:val="24"/>
          <w:szCs w:val="24"/>
          <w:highlight w:val="none"/>
        </w:rPr>
        <w:t>（响应文件中无需提供证明材料）</w:t>
      </w:r>
    </w:p>
    <w:p w14:paraId="559DFC2D">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落实政府采购政策需满足的资格要求：本项目属于专门面向中小微型企业采购。残疾人福利性单位、监狱和戒毒企业（简称监狱企业）视同小型、微型企业。（供应商按要求填写并提供《中小企业声明函》或《残疾人福利性单位声明函》，或提供由省级以上监狱管理局、戒毒管理局(含新疆生产建设兵团)出具的属于监狱企业的证明文件。）</w:t>
      </w:r>
    </w:p>
    <w:p w14:paraId="6A7570AD">
      <w:pPr>
        <w:spacing w:line="360" w:lineRule="auto"/>
        <w:ind w:firstLine="48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（二）本项目的特定资格要求：</w:t>
      </w:r>
      <w:r>
        <w:rPr>
          <w:rFonts w:hint="eastAsia" w:ascii="宋体" w:hAnsi="宋体" w:eastAsia="宋体" w:cs="宋体"/>
          <w:bCs/>
          <w:color w:val="auto"/>
          <w:sz w:val="24"/>
          <w:szCs w:val="24"/>
          <w:highlight w:val="none"/>
          <w:lang w:val="en-US" w:eastAsia="zh-CN"/>
        </w:rPr>
        <w:t>无</w:t>
      </w:r>
      <w:r>
        <w:rPr>
          <w:rFonts w:hint="eastAsia" w:ascii="宋体" w:hAnsi="宋体" w:eastAsia="宋体" w:cs="宋体"/>
          <w:color w:val="auto"/>
          <w:sz w:val="24"/>
          <w:szCs w:val="24"/>
          <w:highlight w:val="none"/>
        </w:rPr>
        <w:t>。</w:t>
      </w:r>
    </w:p>
    <w:p w14:paraId="4A9D9A4C">
      <w:pPr>
        <w:keepNext/>
        <w:keepLines/>
        <w:pageBreakBefore w:val="0"/>
        <w:kinsoku/>
        <w:wordWrap/>
        <w:overflowPunct/>
        <w:topLinePunct w:val="0"/>
        <w:autoSpaceDE/>
        <w:autoSpaceDN/>
        <w:bidi w:val="0"/>
        <w:adjustRightInd w:val="0"/>
        <w:snapToGrid w:val="0"/>
        <w:spacing w:line="360" w:lineRule="auto"/>
        <w:ind w:firstLine="643" w:firstLineChars="200"/>
        <w:textAlignment w:val="auto"/>
        <w:outlineLvl w:val="2"/>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三、获取</w:t>
      </w:r>
      <w:bookmarkEnd w:id="17"/>
      <w:bookmarkEnd w:id="18"/>
      <w:bookmarkEnd w:id="19"/>
      <w:bookmarkEnd w:id="20"/>
      <w:bookmarkEnd w:id="21"/>
      <w:r>
        <w:rPr>
          <w:rFonts w:hint="eastAsia" w:ascii="宋体" w:hAnsi="宋体" w:eastAsia="宋体" w:cs="宋体"/>
          <w:b/>
          <w:bCs/>
          <w:color w:val="auto"/>
          <w:sz w:val="32"/>
          <w:szCs w:val="32"/>
          <w:highlight w:val="none"/>
        </w:rPr>
        <w:t>采购文件</w:t>
      </w:r>
    </w:p>
    <w:p w14:paraId="37BD6EB1">
      <w:pPr>
        <w:pageBreakBefore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bookmarkStart w:id="22" w:name="_Toc28359082"/>
      <w:bookmarkStart w:id="23" w:name="_Toc28359005"/>
      <w:bookmarkStart w:id="24" w:name="_Toc38985266"/>
      <w:bookmarkStart w:id="25" w:name="_Toc35393624"/>
      <w:bookmarkStart w:id="26" w:name="_Toc35393793"/>
      <w:r>
        <w:rPr>
          <w:rFonts w:hint="eastAsia" w:ascii="宋体" w:hAnsi="宋体" w:eastAsia="宋体" w:cs="宋体"/>
          <w:color w:val="auto"/>
          <w:sz w:val="24"/>
          <w:szCs w:val="24"/>
          <w:highlight w:val="none"/>
        </w:rPr>
        <w:t>1.时间</w:t>
      </w:r>
      <w:r>
        <w:rPr>
          <w:rFonts w:hint="eastAsia" w:ascii="宋体" w:hAnsi="宋体" w:eastAsia="宋体" w:cs="宋体"/>
          <w:b/>
          <w:bCs/>
          <w:color w:val="auto"/>
          <w:sz w:val="24"/>
          <w:szCs w:val="24"/>
          <w:highlight w:val="none"/>
        </w:rPr>
        <w:t>：自磋商文件公告发布之日起5个工作日。</w:t>
      </w:r>
    </w:p>
    <w:p w14:paraId="2CBB95FF">
      <w:pPr>
        <w:pageBreakBefore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2.方式：在“江苏政府采购网”自行免费下载磋商文件。</w:t>
      </w:r>
    </w:p>
    <w:p w14:paraId="27D0497A">
      <w:pPr>
        <w:pageBreakBefore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3.获取方式：本项目采用网上注册登记方式。</w:t>
      </w:r>
    </w:p>
    <w:p w14:paraId="6BFE890B">
      <w:pPr>
        <w:pageBreakBefore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4.方式：凡有意参与投标的供应商须登录江苏政府采购网首页点击“苏采云”→通过CA锁进行响应确认，并自行在磋商文件有效获取期内及时下载获取。</w:t>
      </w:r>
    </w:p>
    <w:p w14:paraId="3EE68F1E">
      <w:pPr>
        <w:pageBreakBefore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b/>
          <w:bCs/>
          <w:color w:val="auto"/>
          <w:sz w:val="32"/>
          <w:szCs w:val="32"/>
          <w:highlight w:val="none"/>
        </w:rPr>
      </w:pPr>
      <w:r>
        <w:rPr>
          <w:rFonts w:hint="eastAsia" w:ascii="宋体" w:hAnsi="宋体" w:eastAsia="宋体" w:cs="宋体"/>
          <w:color w:val="auto"/>
          <w:sz w:val="24"/>
          <w:szCs w:val="24"/>
          <w:highlight w:val="none"/>
        </w:rPr>
        <w:t>5.售价：免费</w:t>
      </w:r>
    </w:p>
    <w:bookmarkEnd w:id="22"/>
    <w:bookmarkEnd w:id="23"/>
    <w:bookmarkEnd w:id="24"/>
    <w:bookmarkEnd w:id="25"/>
    <w:bookmarkEnd w:id="26"/>
    <w:p w14:paraId="41A8E532">
      <w:pPr>
        <w:pageBreakBefore w:val="0"/>
        <w:kinsoku/>
        <w:wordWrap/>
        <w:overflowPunct/>
        <w:topLinePunct w:val="0"/>
        <w:autoSpaceDE/>
        <w:autoSpaceDN/>
        <w:bidi w:val="0"/>
        <w:adjustRightInd w:val="0"/>
        <w:snapToGrid w:val="0"/>
        <w:spacing w:line="360" w:lineRule="auto"/>
        <w:ind w:firstLine="643" w:firstLineChars="200"/>
        <w:textAlignment w:val="auto"/>
        <w:rPr>
          <w:rFonts w:hint="eastAsia" w:ascii="宋体" w:hAnsi="宋体" w:eastAsia="宋体" w:cs="宋体"/>
          <w:b/>
          <w:bCs/>
          <w:color w:val="auto"/>
          <w:sz w:val="32"/>
          <w:szCs w:val="32"/>
          <w:highlight w:val="none"/>
        </w:rPr>
      </w:pPr>
      <w:bookmarkStart w:id="27" w:name="_Toc35393794"/>
      <w:bookmarkStart w:id="28" w:name="_Toc38985267"/>
      <w:bookmarkStart w:id="29" w:name="_Toc28359084"/>
      <w:bookmarkStart w:id="30" w:name="_Toc28359007"/>
      <w:bookmarkStart w:id="31" w:name="_Toc35393625"/>
      <w:r>
        <w:rPr>
          <w:rFonts w:hint="eastAsia" w:ascii="宋体" w:hAnsi="宋体" w:eastAsia="宋体" w:cs="宋体"/>
          <w:b/>
          <w:bCs/>
          <w:color w:val="auto"/>
          <w:sz w:val="32"/>
          <w:szCs w:val="32"/>
          <w:highlight w:val="none"/>
        </w:rPr>
        <w:t>四、响应文件提交</w:t>
      </w:r>
    </w:p>
    <w:p w14:paraId="7B5D7BB4">
      <w:pPr>
        <w:pageBreakBefore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b/>
          <w:bCs/>
          <w:color w:val="auto"/>
          <w:sz w:val="24"/>
          <w:szCs w:val="24"/>
          <w:highlight w:val="none"/>
        </w:rPr>
        <w:t>.截止时间2026年5月12日下午3时00分（北京时间）。逾时，系统将拒绝接受上传响应文件电子文档。</w:t>
      </w:r>
      <w:bookmarkStart w:id="187" w:name="_GoBack"/>
      <w:bookmarkEnd w:id="187"/>
    </w:p>
    <w:p w14:paraId="0AB2EED7">
      <w:pPr>
        <w:pageBreakBefore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2.地点：“苏采云”政府采购一体化平台。</w:t>
      </w:r>
    </w:p>
    <w:p w14:paraId="5FD5C6AE">
      <w:pPr>
        <w:keepNext/>
        <w:keepLines/>
        <w:pageBreakBefore w:val="0"/>
        <w:kinsoku/>
        <w:wordWrap/>
        <w:overflowPunct/>
        <w:topLinePunct w:val="0"/>
        <w:autoSpaceDE/>
        <w:autoSpaceDN/>
        <w:bidi w:val="0"/>
        <w:adjustRightInd w:val="0"/>
        <w:snapToGrid w:val="0"/>
        <w:spacing w:line="360" w:lineRule="auto"/>
        <w:ind w:firstLine="643" w:firstLineChars="200"/>
        <w:textAlignment w:val="auto"/>
        <w:outlineLvl w:val="2"/>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五、公告期限</w:t>
      </w:r>
      <w:bookmarkEnd w:id="27"/>
      <w:bookmarkEnd w:id="28"/>
      <w:bookmarkEnd w:id="29"/>
      <w:bookmarkEnd w:id="30"/>
      <w:bookmarkEnd w:id="31"/>
    </w:p>
    <w:p w14:paraId="3E6F3918">
      <w:pPr>
        <w:pageBreakBefore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bookmarkStart w:id="32" w:name="_Toc35393626"/>
      <w:bookmarkStart w:id="33" w:name="_Toc35393795"/>
      <w:bookmarkStart w:id="34" w:name="_Toc38985268"/>
      <w:r>
        <w:rPr>
          <w:rFonts w:hint="eastAsia" w:ascii="宋体" w:hAnsi="宋体" w:eastAsia="宋体" w:cs="宋体"/>
          <w:color w:val="auto"/>
          <w:sz w:val="24"/>
          <w:szCs w:val="24"/>
          <w:highlight w:val="none"/>
        </w:rPr>
        <w:t>自本公告发布之日起3个工作日。</w:t>
      </w:r>
    </w:p>
    <w:p w14:paraId="02A2CE4C">
      <w:pPr>
        <w:keepNext/>
        <w:keepLines/>
        <w:pageBreakBefore w:val="0"/>
        <w:kinsoku/>
        <w:wordWrap/>
        <w:overflowPunct/>
        <w:topLinePunct w:val="0"/>
        <w:autoSpaceDE/>
        <w:autoSpaceDN/>
        <w:bidi w:val="0"/>
        <w:adjustRightInd w:val="0"/>
        <w:snapToGrid w:val="0"/>
        <w:spacing w:line="360" w:lineRule="auto"/>
        <w:ind w:firstLine="643" w:firstLineChars="200"/>
        <w:textAlignment w:val="auto"/>
        <w:outlineLvl w:val="2"/>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六、其他补充事宜</w:t>
      </w:r>
      <w:bookmarkEnd w:id="32"/>
      <w:bookmarkEnd w:id="33"/>
      <w:bookmarkEnd w:id="34"/>
    </w:p>
    <w:p w14:paraId="75BE1F34">
      <w:pPr>
        <w:pageBreakBefore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bookmarkStart w:id="35" w:name="_Toc28359085"/>
      <w:bookmarkStart w:id="36" w:name="_Toc35393796"/>
      <w:bookmarkStart w:id="37" w:name="_Toc35393627"/>
      <w:bookmarkStart w:id="38" w:name="_Toc38985269"/>
      <w:bookmarkStart w:id="39" w:name="_Toc28359008"/>
      <w:r>
        <w:rPr>
          <w:rFonts w:hint="eastAsia" w:ascii="宋体" w:hAnsi="宋体" w:eastAsia="宋体" w:cs="宋体"/>
          <w:color w:val="auto"/>
          <w:sz w:val="24"/>
          <w:szCs w:val="24"/>
          <w:highlight w:val="none"/>
        </w:rPr>
        <w:t>1.项目磋商活动模式：不见面远程磋商模式。</w:t>
      </w:r>
    </w:p>
    <w:p w14:paraId="27DA7D60">
      <w:pPr>
        <w:pageBreakBefore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供应商（含潜在供应商）对采购方式、采购需求、供应商资格条件、评审方法与评审标准、合同文本的询问、质疑请向采购人提出，由采购人负责答复。供应商对其他事项的询问、质疑请向采购代理机构提出，由采购代理机构答复；对在“苏采云”系统操作阶段的询问请向交易系统软件维护人员提出。</w:t>
      </w:r>
    </w:p>
    <w:p w14:paraId="5FB29D4F">
      <w:pPr>
        <w:pageBreakBefore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供应商应依照规定提交各类声明函、承诺函，不再同时提供原件备查或提供有关部门出具的相关证明文件。但成交供应商，应做好提交声明函、承诺函相应原件的核查准备；核查后发现虚假或违背承诺的，依照相关法律法规规定处理。</w:t>
      </w:r>
    </w:p>
    <w:p w14:paraId="3758008D">
      <w:pPr>
        <w:pageBreakBefore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开标当天投标供应商应及时登录“苏采云”政府采购一体化平台，并在规定时间内自行实施远程解密。投标供应商解密时间限定为响应文件解密指令发出后30分钟（供应商应当充分考虑网络延时造成的本地网络计时不一致风险，提前完成解密动作）。投标供应商因网络、电源、浏览器不稳定、未按要求配置软硬件环境，解密锁用错或其他物理故障、操作熟练程度等自身原因，导致响应文件在规定时间内未能解密、解密失败或解密超时，系统内响应文件将被退回，相应责任由供应商自行承担；因采购人原因或网上招投标平台发生故障，导致无法按时完成响应文件解密或开、评标工作无法进行的，可根据实际情况相应延迟解密时间或调整开、评标时间。</w:t>
      </w:r>
    </w:p>
    <w:p w14:paraId="7AC52590">
      <w:pPr>
        <w:pageBreakBefore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节能环保产品：依据财政部、发展改革委发布的《节能产品政府采购品目清单》，本项目如中有政府强制采购节能产品的（属于清单中打★品目的），只能选择具有国家确定的认证机构出具的、处于有效期之内的节能产品认证证书的产品进行报价，认证机构详见市场监管总局发布的《参与实施政府采购节能产品认证机构名录》和《参与实施政府采购环境标志产品认证机构名录》。</w:t>
      </w:r>
    </w:p>
    <w:p w14:paraId="605B9BC4">
      <w:pPr>
        <w:keepNext/>
        <w:keepLines/>
        <w:pageBreakBefore w:val="0"/>
        <w:kinsoku/>
        <w:wordWrap/>
        <w:overflowPunct/>
        <w:topLinePunct w:val="0"/>
        <w:autoSpaceDE/>
        <w:autoSpaceDN/>
        <w:bidi w:val="0"/>
        <w:adjustRightInd w:val="0"/>
        <w:snapToGrid w:val="0"/>
        <w:spacing w:line="360" w:lineRule="auto"/>
        <w:ind w:firstLine="643" w:firstLineChars="200"/>
        <w:textAlignment w:val="auto"/>
        <w:outlineLvl w:val="2"/>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七、本次磋商联系方式</w:t>
      </w:r>
      <w:bookmarkEnd w:id="35"/>
      <w:bookmarkEnd w:id="36"/>
      <w:bookmarkEnd w:id="37"/>
      <w:bookmarkEnd w:id="38"/>
      <w:bookmarkEnd w:id="39"/>
    </w:p>
    <w:p w14:paraId="38C8678B">
      <w:pPr>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1.采购人信息</w:t>
      </w:r>
    </w:p>
    <w:p w14:paraId="3C5FC161">
      <w:pPr>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u w:val="none"/>
          <w:lang w:eastAsia="zh-CN"/>
        </w:rPr>
      </w:pPr>
      <w:r>
        <w:rPr>
          <w:rFonts w:hint="eastAsia" w:ascii="宋体" w:hAnsi="宋体" w:eastAsia="宋体" w:cs="宋体"/>
          <w:color w:val="auto"/>
          <w:sz w:val="24"/>
          <w:szCs w:val="24"/>
          <w:highlight w:val="none"/>
          <w:u w:val="none"/>
        </w:rPr>
        <w:t>名 称：</w:t>
      </w:r>
      <w:r>
        <w:rPr>
          <w:rFonts w:hint="eastAsia" w:ascii="宋体" w:hAnsi="宋体" w:eastAsia="宋体" w:cs="宋体"/>
          <w:color w:val="auto"/>
          <w:sz w:val="24"/>
          <w:szCs w:val="24"/>
          <w:highlight w:val="none"/>
          <w:u w:val="none"/>
          <w:lang w:eastAsia="zh-CN"/>
        </w:rPr>
        <w:t>江苏省如东小洋口旅游度假区管理办公室</w:t>
      </w:r>
    </w:p>
    <w:p w14:paraId="2F8E00D4">
      <w:pPr>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地址：</w:t>
      </w:r>
      <w:r>
        <w:rPr>
          <w:rFonts w:hint="eastAsia" w:ascii="宋体" w:hAnsi="宋体" w:eastAsia="宋体" w:cs="宋体"/>
          <w:color w:val="auto"/>
          <w:sz w:val="24"/>
          <w:szCs w:val="24"/>
          <w:highlight w:val="none"/>
          <w:u w:val="none"/>
          <w:lang w:eastAsia="zh-CN"/>
        </w:rPr>
        <w:t>如东小洋口旅游度假区</w:t>
      </w:r>
    </w:p>
    <w:p w14:paraId="64E2E200">
      <w:pPr>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联系人：</w:t>
      </w:r>
      <w:r>
        <w:rPr>
          <w:rFonts w:hint="eastAsia" w:ascii="宋体" w:hAnsi="宋体" w:eastAsia="宋体" w:cs="宋体"/>
          <w:color w:val="auto"/>
          <w:sz w:val="24"/>
          <w:szCs w:val="24"/>
          <w:highlight w:val="none"/>
          <w:u w:val="none"/>
          <w:lang w:val="en-US" w:eastAsia="zh-CN"/>
        </w:rPr>
        <w:t>钱琪</w:t>
      </w:r>
      <w:r>
        <w:rPr>
          <w:rFonts w:hint="eastAsia" w:ascii="宋体" w:hAnsi="宋体" w:eastAsia="宋体" w:cs="宋体"/>
          <w:color w:val="auto"/>
          <w:sz w:val="24"/>
          <w:szCs w:val="24"/>
          <w:highlight w:val="none"/>
          <w:u w:val="none"/>
        </w:rPr>
        <w:t xml:space="preserve"> </w:t>
      </w:r>
    </w:p>
    <w:p w14:paraId="6AFC5D3B">
      <w:pPr>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 xml:space="preserve">联系方式：15851316645 </w:t>
      </w:r>
    </w:p>
    <w:p w14:paraId="1BAAC89D">
      <w:pPr>
        <w:pageBreakBefore w:val="0"/>
        <w:widowControl/>
        <w:shd w:val="clear" w:color="auto" w:fill="FFFFFF"/>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2.代理机构信息</w:t>
      </w:r>
    </w:p>
    <w:p w14:paraId="4071CCFC">
      <w:pPr>
        <w:pageBreakBefore w:val="0"/>
        <w:widowControl/>
        <w:shd w:val="clear" w:color="auto" w:fill="FFFFFF"/>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u w:val="none"/>
          <w:lang w:eastAsia="zh-CN"/>
        </w:rPr>
      </w:pPr>
      <w:r>
        <w:rPr>
          <w:rFonts w:hint="eastAsia" w:ascii="宋体" w:hAnsi="宋体" w:eastAsia="宋体" w:cs="宋体"/>
          <w:color w:val="auto"/>
          <w:sz w:val="24"/>
          <w:szCs w:val="24"/>
          <w:highlight w:val="none"/>
          <w:u w:val="none"/>
        </w:rPr>
        <w:t>名 称：</w:t>
      </w:r>
      <w:r>
        <w:rPr>
          <w:rFonts w:hint="eastAsia" w:ascii="宋体" w:hAnsi="宋体" w:eastAsia="宋体" w:cs="宋体"/>
          <w:color w:val="auto"/>
          <w:sz w:val="24"/>
          <w:szCs w:val="24"/>
          <w:highlight w:val="none"/>
          <w:u w:val="none"/>
          <w:lang w:eastAsia="zh-CN"/>
        </w:rPr>
        <w:t xml:space="preserve"> 江苏建达全过程工程咨询有限公司</w:t>
      </w:r>
    </w:p>
    <w:p w14:paraId="6D838E85">
      <w:pPr>
        <w:pageBreakBefore w:val="0"/>
        <w:widowControl/>
        <w:shd w:val="clear" w:color="auto" w:fill="FFFFFF"/>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地址：海安市城东镇宁海南路195号</w:t>
      </w:r>
    </w:p>
    <w:p w14:paraId="5B496F53">
      <w:pPr>
        <w:pageBreakBefore w:val="0"/>
        <w:widowControl/>
        <w:shd w:val="clear" w:color="auto" w:fill="FFFFFF"/>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联系人：</w:t>
      </w:r>
      <w:r>
        <w:rPr>
          <w:rFonts w:hint="eastAsia" w:ascii="宋体" w:hAnsi="宋体" w:eastAsia="宋体" w:cs="宋体"/>
          <w:color w:val="auto"/>
          <w:sz w:val="24"/>
          <w:szCs w:val="24"/>
          <w:highlight w:val="none"/>
          <w:u w:val="none"/>
          <w:lang w:val="en-US" w:eastAsia="zh-CN"/>
        </w:rPr>
        <w:t>耿工</w:t>
      </w:r>
    </w:p>
    <w:p w14:paraId="55A897EA">
      <w:pPr>
        <w:pageBreakBefore w:val="0"/>
        <w:widowControl/>
        <w:shd w:val="clear" w:color="auto" w:fill="FFFFFF"/>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 xml:space="preserve">联系方式：19895916002/18761700616   </w:t>
      </w:r>
    </w:p>
    <w:p w14:paraId="5E2A9F04">
      <w:pPr>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3.项目联系方式</w:t>
      </w:r>
    </w:p>
    <w:p w14:paraId="51D01BC4">
      <w:pPr>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项目联系人:</w:t>
      </w:r>
      <w:r>
        <w:rPr>
          <w:rFonts w:hint="eastAsia" w:ascii="宋体" w:hAnsi="宋体" w:eastAsia="宋体" w:cs="宋体"/>
          <w:color w:val="auto"/>
          <w:sz w:val="24"/>
          <w:szCs w:val="24"/>
          <w:highlight w:val="none"/>
          <w:u w:val="none"/>
          <w:lang w:val="en-US" w:eastAsia="zh-CN"/>
        </w:rPr>
        <w:t>钱琪</w:t>
      </w:r>
      <w:r>
        <w:rPr>
          <w:rFonts w:hint="eastAsia" w:ascii="宋体" w:hAnsi="宋体" w:eastAsia="宋体" w:cs="宋体"/>
          <w:color w:val="auto"/>
          <w:sz w:val="24"/>
          <w:szCs w:val="24"/>
          <w:highlight w:val="none"/>
          <w:u w:val="none"/>
        </w:rPr>
        <w:t xml:space="preserve">   </w:t>
      </w:r>
    </w:p>
    <w:p w14:paraId="55BC0313">
      <w:pPr>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 xml:space="preserve">联系电话：15851316645 </w:t>
      </w:r>
    </w:p>
    <w:p w14:paraId="0F02047B">
      <w:pPr>
        <w:pageBreakBefore w:val="0"/>
        <w:widowControl/>
        <w:shd w:val="clear" w:color="auto" w:fill="FFFFFF"/>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4.软件维护人员</w:t>
      </w:r>
    </w:p>
    <w:p w14:paraId="3376F139">
      <w:pPr>
        <w:pageBreakBefore w:val="0"/>
        <w:widowControl/>
        <w:shd w:val="clear" w:color="auto" w:fill="FFFFFF"/>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 xml:space="preserve">联系方式：0519-86722801、0519-86722806  </w:t>
      </w:r>
    </w:p>
    <w:p w14:paraId="4D901867">
      <w:pPr>
        <w:pageBreakBefore w:val="0"/>
        <w:widowControl/>
        <w:shd w:val="clear" w:color="auto" w:fill="FFFFFF"/>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5.CA联系方式</w:t>
      </w:r>
    </w:p>
    <w:p w14:paraId="3A8E9697">
      <w:pPr>
        <w:pageBreakBefore w:val="0"/>
        <w:widowControl/>
        <w:shd w:val="clear" w:color="auto" w:fill="FFFFFF"/>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 xml:space="preserve">联系人：朱工 </w:t>
      </w:r>
    </w:p>
    <w:p w14:paraId="42723028">
      <w:pPr>
        <w:pageBreakBefore w:val="0"/>
        <w:widowControl/>
        <w:shd w:val="clear" w:color="auto" w:fill="FFFFFF"/>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 xml:space="preserve">联系方式：18951314963  </w:t>
      </w:r>
    </w:p>
    <w:p w14:paraId="69060B1B">
      <w:pPr>
        <w:keepNext/>
        <w:keepLines/>
        <w:pageBreakBefore w:val="0"/>
        <w:kinsoku/>
        <w:wordWrap/>
        <w:overflowPunct/>
        <w:topLinePunct w:val="0"/>
        <w:autoSpaceDE/>
        <w:autoSpaceDN/>
        <w:bidi w:val="0"/>
        <w:adjustRightInd w:val="0"/>
        <w:snapToGrid w:val="0"/>
        <w:spacing w:line="360" w:lineRule="auto"/>
        <w:ind w:firstLine="643" w:firstLineChars="200"/>
        <w:textAlignment w:val="auto"/>
        <w:outlineLvl w:val="2"/>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八、其他</w:t>
      </w:r>
    </w:p>
    <w:p w14:paraId="4D6926BE">
      <w:pPr>
        <w:pageBreakBefore w:val="0"/>
        <w:tabs>
          <w:tab w:val="left" w:pos="900"/>
        </w:tabs>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bCs/>
          <w:color w:val="auto"/>
          <w:sz w:val="24"/>
          <w:szCs w:val="24"/>
          <w:highlight w:val="none"/>
        </w:rPr>
      </w:pPr>
      <w:bookmarkStart w:id="40" w:name="_Toc120614211"/>
      <w:r>
        <w:rPr>
          <w:rFonts w:hint="eastAsia" w:ascii="宋体" w:hAnsi="宋体" w:eastAsia="宋体" w:cs="宋体"/>
          <w:color w:val="auto"/>
          <w:sz w:val="24"/>
          <w:szCs w:val="21"/>
          <w:highlight w:val="none"/>
        </w:rPr>
        <w:t>1.</w:t>
      </w:r>
      <w:r>
        <w:rPr>
          <w:rFonts w:hint="eastAsia" w:ascii="宋体" w:hAnsi="宋体" w:eastAsia="宋体" w:cs="宋体"/>
          <w:bCs/>
          <w:color w:val="auto"/>
          <w:sz w:val="24"/>
          <w:szCs w:val="24"/>
          <w:highlight w:val="none"/>
        </w:rPr>
        <w:t>根据省财政厅《关于更换全省政府采购交易系统C A数字证书和电子签章的通知》（苏财购〔2023〕101号），</w:t>
      </w:r>
      <w:r>
        <w:rPr>
          <w:rFonts w:hint="eastAsia" w:ascii="宋体" w:hAnsi="宋体" w:eastAsia="宋体" w:cs="宋体"/>
          <w:color w:val="auto"/>
          <w:sz w:val="24"/>
          <w:szCs w:val="24"/>
          <w:highlight w:val="none"/>
        </w:rPr>
        <w:t>“苏采云”政府采购交易系统（以下简称苏采云系统）</w:t>
      </w:r>
      <w:r>
        <w:rPr>
          <w:rFonts w:hint="eastAsia" w:ascii="宋体" w:hAnsi="宋体" w:eastAsia="宋体" w:cs="宋体"/>
          <w:bCs/>
          <w:color w:val="auto"/>
          <w:sz w:val="24"/>
          <w:szCs w:val="24"/>
          <w:highlight w:val="none"/>
        </w:rPr>
        <w:t>的CA数字证书、电子签章已更换为江苏省电子政务证书认证中心C A和方正国际软件（北京）有限公司电子签章。如果供应商通过</w:t>
      </w:r>
      <w:r>
        <w:rPr>
          <w:rFonts w:hint="eastAsia" w:ascii="宋体" w:hAnsi="宋体" w:eastAsia="宋体" w:cs="宋体"/>
          <w:color w:val="auto"/>
          <w:sz w:val="24"/>
          <w:szCs w:val="24"/>
          <w:highlight w:val="none"/>
        </w:rPr>
        <w:t>苏采云系统</w:t>
      </w:r>
      <w:r>
        <w:rPr>
          <w:rFonts w:hint="eastAsia" w:ascii="宋体" w:hAnsi="宋体" w:eastAsia="宋体" w:cs="宋体"/>
          <w:bCs/>
          <w:color w:val="auto"/>
          <w:sz w:val="24"/>
          <w:szCs w:val="24"/>
          <w:highlight w:val="none"/>
        </w:rPr>
        <w:t>参与政府采购项目，需要更换CA数字证书和电子签章。具体办理指南和操作手册见链接：http://www.ccgp-jiangsu.gov.cn/jiangsu/zlxz/ee/ee3a4bc5a3454aa2b0d9312230633ce9.html。</w:t>
      </w:r>
    </w:p>
    <w:p w14:paraId="2CD2C5CD">
      <w:pPr>
        <w:pageBreakBefore w:val="0"/>
        <w:tabs>
          <w:tab w:val="left" w:pos="900"/>
        </w:tabs>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领取CA和办理电子签章（请至南通市崇川区工农南路150号(南通市政务服务中心裙楼四楼（南通市公共资源交易中心）G004窗口)办理，具体联系方式见《苏采云系统供应商操作手册》（以下简称《操作手册》））、进行注册并按《操作手册》要求制作、上传电子响应文件。</w:t>
      </w:r>
    </w:p>
    <w:p w14:paraId="008B028C">
      <w:pPr>
        <w:pageBreakBefore w:val="0"/>
        <w:tabs>
          <w:tab w:val="left" w:pos="900"/>
        </w:tabs>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 有关本次磋商的事项若存在变动或修改，敬请及时关注在“江苏政府采购网”发布的更正公告。</w:t>
      </w:r>
    </w:p>
    <w:p w14:paraId="0C151C83">
      <w:pPr>
        <w:pageBreakBefore w:val="0"/>
        <w:tabs>
          <w:tab w:val="left" w:pos="900"/>
        </w:tabs>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 本次磋商不收取磋商保证金。</w:t>
      </w:r>
    </w:p>
    <w:p w14:paraId="6BB9A30F">
      <w:pPr>
        <w:ind w:right="840"/>
        <w:rPr>
          <w:rFonts w:hint="eastAsia" w:ascii="宋体" w:hAnsi="宋体" w:eastAsia="宋体" w:cs="宋体"/>
          <w:color w:val="auto"/>
          <w:sz w:val="24"/>
          <w:szCs w:val="24"/>
          <w:highlight w:val="none"/>
        </w:rPr>
      </w:pPr>
    </w:p>
    <w:p w14:paraId="17C3EB93">
      <w:pPr>
        <w:ind w:firstLine="883" w:firstLineChars="200"/>
        <w:jc w:val="center"/>
        <w:rPr>
          <w:rFonts w:hint="eastAsia" w:ascii="宋体" w:hAnsi="宋体" w:eastAsia="宋体" w:cs="宋体"/>
          <w:b/>
          <w:bCs/>
          <w:color w:val="auto"/>
          <w:sz w:val="44"/>
          <w:szCs w:val="44"/>
          <w:highlight w:val="none"/>
        </w:rPr>
      </w:pPr>
    </w:p>
    <w:p w14:paraId="62412B8D">
      <w:pPr>
        <w:ind w:firstLine="883" w:firstLineChars="200"/>
        <w:jc w:val="center"/>
        <w:rPr>
          <w:rFonts w:hint="eastAsia" w:ascii="宋体" w:hAnsi="宋体" w:eastAsia="宋体" w:cs="宋体"/>
          <w:b/>
          <w:bCs/>
          <w:color w:val="auto"/>
          <w:sz w:val="44"/>
          <w:szCs w:val="44"/>
          <w:highlight w:val="none"/>
        </w:rPr>
      </w:pPr>
    </w:p>
    <w:p w14:paraId="256CCD48">
      <w:pPr>
        <w:ind w:firstLine="883" w:firstLineChars="200"/>
        <w:jc w:val="center"/>
        <w:rPr>
          <w:rFonts w:hint="eastAsia" w:ascii="宋体" w:hAnsi="宋体" w:eastAsia="宋体" w:cs="宋体"/>
          <w:b/>
          <w:bCs/>
          <w:color w:val="auto"/>
          <w:sz w:val="44"/>
          <w:szCs w:val="44"/>
          <w:highlight w:val="none"/>
        </w:rPr>
      </w:pPr>
    </w:p>
    <w:p w14:paraId="0A7077EE">
      <w:pPr>
        <w:ind w:firstLine="883" w:firstLineChars="200"/>
        <w:jc w:val="center"/>
        <w:rPr>
          <w:rFonts w:hint="eastAsia" w:ascii="宋体" w:hAnsi="宋体" w:eastAsia="宋体" w:cs="宋体"/>
          <w:b/>
          <w:bCs/>
          <w:color w:val="auto"/>
          <w:sz w:val="44"/>
          <w:szCs w:val="44"/>
          <w:highlight w:val="none"/>
        </w:rPr>
      </w:pPr>
    </w:p>
    <w:p w14:paraId="5E364371">
      <w:pPr>
        <w:pStyle w:val="2"/>
        <w:rPr>
          <w:rFonts w:hint="eastAsia" w:ascii="宋体" w:hAnsi="宋体" w:eastAsia="宋体" w:cs="宋体"/>
          <w:b/>
          <w:bCs/>
          <w:color w:val="auto"/>
          <w:sz w:val="44"/>
          <w:szCs w:val="44"/>
          <w:highlight w:val="none"/>
        </w:rPr>
      </w:pPr>
    </w:p>
    <w:p w14:paraId="084442B2">
      <w:pPr>
        <w:rPr>
          <w:rFonts w:hint="eastAsia" w:ascii="宋体" w:hAnsi="宋体" w:eastAsia="宋体" w:cs="宋体"/>
          <w:b/>
          <w:bCs/>
          <w:color w:val="auto"/>
          <w:sz w:val="44"/>
          <w:szCs w:val="44"/>
          <w:highlight w:val="none"/>
        </w:rPr>
      </w:pPr>
    </w:p>
    <w:p w14:paraId="2019ABDD">
      <w:pPr>
        <w:pStyle w:val="2"/>
        <w:rPr>
          <w:rFonts w:hint="eastAsia" w:ascii="宋体" w:hAnsi="宋体" w:eastAsia="宋体" w:cs="宋体"/>
          <w:b/>
          <w:bCs/>
          <w:color w:val="auto"/>
          <w:sz w:val="44"/>
          <w:szCs w:val="44"/>
          <w:highlight w:val="none"/>
        </w:rPr>
      </w:pPr>
    </w:p>
    <w:p w14:paraId="0E2E29FA">
      <w:pPr>
        <w:rPr>
          <w:rFonts w:hint="eastAsia" w:ascii="宋体" w:hAnsi="宋体" w:eastAsia="宋体" w:cs="宋体"/>
          <w:b/>
          <w:bCs/>
          <w:color w:val="auto"/>
          <w:sz w:val="44"/>
          <w:szCs w:val="44"/>
          <w:highlight w:val="none"/>
        </w:rPr>
      </w:pPr>
    </w:p>
    <w:p w14:paraId="4C65C28D">
      <w:pPr>
        <w:pStyle w:val="2"/>
        <w:rPr>
          <w:rFonts w:hint="eastAsia" w:ascii="宋体" w:hAnsi="宋体" w:eastAsia="宋体" w:cs="宋体"/>
          <w:b/>
          <w:bCs/>
          <w:color w:val="auto"/>
          <w:sz w:val="44"/>
          <w:szCs w:val="44"/>
          <w:highlight w:val="none"/>
        </w:rPr>
      </w:pPr>
    </w:p>
    <w:p w14:paraId="5365CDDB">
      <w:pPr>
        <w:rPr>
          <w:rFonts w:hint="eastAsia" w:ascii="宋体" w:hAnsi="宋体" w:eastAsia="宋体" w:cs="宋体"/>
          <w:b/>
          <w:bCs/>
          <w:color w:val="auto"/>
          <w:sz w:val="44"/>
          <w:szCs w:val="44"/>
          <w:highlight w:val="none"/>
        </w:rPr>
      </w:pPr>
    </w:p>
    <w:p w14:paraId="43D1697D">
      <w:pPr>
        <w:pStyle w:val="2"/>
        <w:rPr>
          <w:rFonts w:hint="eastAsia" w:ascii="宋体" w:hAnsi="宋体" w:eastAsia="宋体" w:cs="宋体"/>
          <w:b/>
          <w:bCs/>
          <w:color w:val="auto"/>
          <w:sz w:val="44"/>
          <w:szCs w:val="44"/>
          <w:highlight w:val="none"/>
        </w:rPr>
      </w:pPr>
    </w:p>
    <w:p w14:paraId="0A883648">
      <w:pPr>
        <w:rPr>
          <w:rFonts w:hint="eastAsia" w:ascii="宋体" w:hAnsi="宋体" w:eastAsia="宋体" w:cs="宋体"/>
          <w:b/>
          <w:bCs/>
          <w:color w:val="auto"/>
          <w:sz w:val="44"/>
          <w:szCs w:val="44"/>
          <w:highlight w:val="none"/>
        </w:rPr>
      </w:pPr>
    </w:p>
    <w:p w14:paraId="5384B12D">
      <w:pPr>
        <w:pStyle w:val="2"/>
        <w:rPr>
          <w:rFonts w:hint="eastAsia" w:ascii="宋体" w:hAnsi="宋体" w:eastAsia="宋体" w:cs="宋体"/>
          <w:color w:val="auto"/>
          <w:highlight w:val="none"/>
        </w:rPr>
      </w:pPr>
    </w:p>
    <w:p w14:paraId="34800307">
      <w:pPr>
        <w:ind w:firstLine="883" w:firstLineChars="200"/>
        <w:jc w:val="center"/>
        <w:rPr>
          <w:rFonts w:hint="eastAsia" w:ascii="宋体" w:hAnsi="宋体" w:eastAsia="宋体" w:cs="宋体"/>
          <w:b/>
          <w:bCs/>
          <w:color w:val="auto"/>
          <w:sz w:val="44"/>
          <w:szCs w:val="44"/>
          <w:highlight w:val="none"/>
        </w:rPr>
      </w:pPr>
    </w:p>
    <w:p w14:paraId="433898E1">
      <w:pPr>
        <w:widowControl/>
        <w:jc w:val="left"/>
        <w:rPr>
          <w:rFonts w:hint="eastAsia" w:ascii="宋体" w:hAnsi="宋体" w:eastAsia="宋体" w:cs="宋体"/>
          <w:b/>
          <w:bCs/>
          <w:color w:val="auto"/>
          <w:sz w:val="44"/>
          <w:szCs w:val="44"/>
          <w:highlight w:val="none"/>
        </w:rPr>
      </w:pPr>
    </w:p>
    <w:p w14:paraId="04E001B0">
      <w:pPr>
        <w:keepNext/>
        <w:spacing w:line="400" w:lineRule="exact"/>
        <w:ind w:firstLine="723" w:firstLineChars="200"/>
        <w:jc w:val="center"/>
        <w:outlineLvl w:val="0"/>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t>第二章</w:t>
      </w:r>
      <w:bookmarkEnd w:id="1"/>
      <w:bookmarkEnd w:id="2"/>
      <w:bookmarkEnd w:id="3"/>
      <w:bookmarkEnd w:id="4"/>
      <w:bookmarkEnd w:id="5"/>
      <w:bookmarkEnd w:id="40"/>
      <w:r>
        <w:rPr>
          <w:rFonts w:hint="eastAsia" w:ascii="宋体" w:hAnsi="宋体" w:eastAsia="宋体" w:cs="宋体"/>
          <w:b/>
          <w:bCs/>
          <w:color w:val="auto"/>
          <w:sz w:val="36"/>
          <w:szCs w:val="36"/>
          <w:highlight w:val="none"/>
        </w:rPr>
        <w:t xml:space="preserve"> 供应商须知</w:t>
      </w:r>
    </w:p>
    <w:p w14:paraId="097D1A27">
      <w:pPr>
        <w:keepNext/>
        <w:keepLines/>
        <w:pageBreakBefore w:val="0"/>
        <w:widowControl w:val="0"/>
        <w:kinsoku/>
        <w:wordWrap/>
        <w:overflowPunct/>
        <w:topLinePunct w:val="0"/>
        <w:bidi w:val="0"/>
        <w:adjustRightInd w:val="0"/>
        <w:snapToGrid w:val="0"/>
        <w:spacing w:line="360" w:lineRule="auto"/>
        <w:ind w:firstLine="643" w:firstLineChars="200"/>
        <w:jc w:val="left"/>
        <w:textAlignment w:val="auto"/>
        <w:outlineLvl w:val="2"/>
        <w:rPr>
          <w:rFonts w:hint="eastAsia" w:ascii="宋体" w:hAnsi="宋体" w:eastAsia="宋体" w:cs="宋体"/>
          <w:b/>
          <w:bCs/>
          <w:color w:val="auto"/>
          <w:sz w:val="32"/>
          <w:szCs w:val="32"/>
          <w:highlight w:val="none"/>
        </w:rPr>
      </w:pPr>
      <w:bookmarkStart w:id="41" w:name="_Toc20823275"/>
      <w:bookmarkStart w:id="42" w:name="_Toc16938519"/>
      <w:bookmarkStart w:id="43" w:name="_Toc120614214"/>
      <w:bookmarkStart w:id="44" w:name="_Toc513029203"/>
      <w:r>
        <w:rPr>
          <w:rFonts w:hint="eastAsia" w:ascii="宋体" w:hAnsi="宋体" w:eastAsia="宋体" w:cs="宋体"/>
          <w:b/>
          <w:bCs/>
          <w:color w:val="auto"/>
          <w:sz w:val="32"/>
          <w:szCs w:val="32"/>
          <w:highlight w:val="none"/>
        </w:rPr>
        <w:t>一、总则</w:t>
      </w:r>
      <w:bookmarkEnd w:id="41"/>
      <w:bookmarkEnd w:id="42"/>
      <w:bookmarkEnd w:id="43"/>
      <w:bookmarkEnd w:id="44"/>
    </w:p>
    <w:p w14:paraId="791E8A22">
      <w:pPr>
        <w:keepNext/>
        <w:keepLines/>
        <w:pageBreakBefore w:val="0"/>
        <w:widowControl w:val="0"/>
        <w:kinsoku/>
        <w:wordWrap/>
        <w:overflowPunct/>
        <w:topLinePunct w:val="0"/>
        <w:bidi w:val="0"/>
        <w:adjustRightInd w:val="0"/>
        <w:snapToGrid w:val="0"/>
        <w:spacing w:line="360" w:lineRule="auto"/>
        <w:ind w:left="0" w:leftChars="0" w:firstLine="560" w:firstLineChars="200"/>
        <w:jc w:val="left"/>
        <w:textAlignment w:val="auto"/>
        <w:outlineLvl w:val="3"/>
        <w:rPr>
          <w:rFonts w:hint="eastAsia" w:ascii="宋体" w:hAnsi="宋体" w:eastAsia="宋体" w:cs="宋体"/>
          <w:color w:val="auto"/>
          <w:sz w:val="28"/>
          <w:szCs w:val="28"/>
          <w:highlight w:val="none"/>
        </w:rPr>
      </w:pPr>
      <w:bookmarkStart w:id="45" w:name="_Hlt16619475"/>
      <w:bookmarkEnd w:id="45"/>
      <w:bookmarkStart w:id="46" w:name="_Toc458694821"/>
      <w:bookmarkStart w:id="47" w:name="_Toc513029204"/>
      <w:bookmarkStart w:id="48" w:name="_Toc20823276"/>
      <w:bookmarkStart w:id="49" w:name="_Toc16938520"/>
      <w:r>
        <w:rPr>
          <w:rFonts w:hint="eastAsia" w:ascii="宋体" w:hAnsi="宋体" w:eastAsia="宋体" w:cs="宋体"/>
          <w:color w:val="auto"/>
          <w:sz w:val="28"/>
          <w:szCs w:val="28"/>
          <w:highlight w:val="none"/>
        </w:rPr>
        <w:t>1</w:t>
      </w:r>
      <w:bookmarkEnd w:id="46"/>
      <w:r>
        <w:rPr>
          <w:rFonts w:hint="eastAsia" w:ascii="宋体" w:hAnsi="宋体" w:eastAsia="宋体" w:cs="宋体"/>
          <w:color w:val="auto"/>
          <w:sz w:val="28"/>
          <w:szCs w:val="28"/>
          <w:highlight w:val="none"/>
        </w:rPr>
        <w:t>、采购方式</w:t>
      </w:r>
      <w:bookmarkEnd w:id="47"/>
      <w:bookmarkEnd w:id="48"/>
      <w:bookmarkEnd w:id="49"/>
    </w:p>
    <w:p w14:paraId="65828719">
      <w:pPr>
        <w:pageBreakBefore w:val="0"/>
        <w:widowControl w:val="0"/>
        <w:kinsoku/>
        <w:wordWrap/>
        <w:overflowPunct/>
        <w:topLinePunct w:val="0"/>
        <w:bidi w:val="0"/>
        <w:adjustRightInd w:val="0"/>
        <w:snapToGrid w:val="0"/>
        <w:spacing w:line="360" w:lineRule="auto"/>
        <w:ind w:firstLine="480" w:firstLineChars="200"/>
        <w:jc w:val="left"/>
        <w:textAlignment w:val="auto"/>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1.1 本次政府采购活动采取竞争性磋商(以下简称磋商)方式，本磋商文件仅适用于磋商公告中所述项目。</w:t>
      </w:r>
    </w:p>
    <w:p w14:paraId="33E692D3">
      <w:pPr>
        <w:keepNext/>
        <w:keepLines/>
        <w:pageBreakBefore w:val="0"/>
        <w:widowControl w:val="0"/>
        <w:kinsoku/>
        <w:wordWrap/>
        <w:overflowPunct/>
        <w:topLinePunct w:val="0"/>
        <w:bidi w:val="0"/>
        <w:adjustRightInd w:val="0"/>
        <w:snapToGrid w:val="0"/>
        <w:spacing w:line="360" w:lineRule="auto"/>
        <w:ind w:firstLine="560" w:firstLineChars="200"/>
        <w:jc w:val="left"/>
        <w:textAlignment w:val="auto"/>
        <w:outlineLvl w:val="3"/>
        <w:rPr>
          <w:rFonts w:hint="eastAsia" w:ascii="宋体" w:hAnsi="宋体" w:eastAsia="宋体" w:cs="宋体"/>
          <w:color w:val="auto"/>
          <w:sz w:val="28"/>
          <w:szCs w:val="28"/>
          <w:highlight w:val="none"/>
        </w:rPr>
      </w:pPr>
      <w:bookmarkStart w:id="50" w:name="_Toc20823277"/>
      <w:bookmarkStart w:id="51" w:name="_Toc513029205"/>
      <w:bookmarkStart w:id="52" w:name="_Toc16938521"/>
      <w:r>
        <w:rPr>
          <w:rFonts w:hint="eastAsia" w:ascii="宋体" w:hAnsi="宋体" w:eastAsia="宋体" w:cs="宋体"/>
          <w:color w:val="auto"/>
          <w:sz w:val="28"/>
          <w:szCs w:val="28"/>
          <w:highlight w:val="none"/>
        </w:rPr>
        <w:t>2、合格的</w:t>
      </w:r>
      <w:bookmarkEnd w:id="50"/>
      <w:bookmarkEnd w:id="51"/>
      <w:bookmarkEnd w:id="52"/>
      <w:r>
        <w:rPr>
          <w:rFonts w:hint="eastAsia" w:ascii="宋体" w:hAnsi="宋体" w:eastAsia="宋体" w:cs="宋体"/>
          <w:color w:val="auto"/>
          <w:sz w:val="28"/>
          <w:szCs w:val="28"/>
          <w:highlight w:val="none"/>
        </w:rPr>
        <w:t>供应商</w:t>
      </w:r>
    </w:p>
    <w:p w14:paraId="381A064A">
      <w:pPr>
        <w:pageBreakBefore w:val="0"/>
        <w:widowControl w:val="0"/>
        <w:kinsoku/>
        <w:wordWrap/>
        <w:overflowPunct/>
        <w:topLinePunct w:val="0"/>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2.1满足磋商公告中供应商资格要求的规定。</w:t>
      </w:r>
    </w:p>
    <w:p w14:paraId="58953475">
      <w:pPr>
        <w:pageBreakBefore w:val="0"/>
        <w:widowControl w:val="0"/>
        <w:kinsoku/>
        <w:wordWrap/>
        <w:overflowPunct/>
        <w:topLinePunct w:val="0"/>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 满足本磋商文件实质性要求和条件的规定。</w:t>
      </w:r>
    </w:p>
    <w:p w14:paraId="0F37C830">
      <w:pPr>
        <w:keepNext/>
        <w:keepLines/>
        <w:pageBreakBefore w:val="0"/>
        <w:widowControl w:val="0"/>
        <w:kinsoku/>
        <w:wordWrap/>
        <w:overflowPunct/>
        <w:topLinePunct w:val="0"/>
        <w:bidi w:val="0"/>
        <w:adjustRightInd w:val="0"/>
        <w:snapToGrid w:val="0"/>
        <w:spacing w:line="360" w:lineRule="auto"/>
        <w:ind w:firstLine="560" w:firstLineChars="200"/>
        <w:jc w:val="left"/>
        <w:textAlignment w:val="auto"/>
        <w:outlineLvl w:val="3"/>
        <w:rPr>
          <w:rFonts w:hint="eastAsia" w:ascii="宋体" w:hAnsi="宋体" w:eastAsia="宋体" w:cs="宋体"/>
          <w:color w:val="auto"/>
          <w:sz w:val="28"/>
          <w:szCs w:val="28"/>
          <w:highlight w:val="none"/>
        </w:rPr>
      </w:pPr>
      <w:bookmarkStart w:id="53" w:name="_Toc513029206"/>
      <w:bookmarkStart w:id="54" w:name="_Toc20823278"/>
      <w:bookmarkStart w:id="55" w:name="_Toc16938522"/>
      <w:r>
        <w:rPr>
          <w:rFonts w:hint="eastAsia" w:ascii="宋体" w:hAnsi="宋体" w:eastAsia="宋体" w:cs="宋体"/>
          <w:color w:val="auto"/>
          <w:sz w:val="28"/>
          <w:szCs w:val="28"/>
          <w:highlight w:val="none"/>
        </w:rPr>
        <w:t>3、适用法律</w:t>
      </w:r>
      <w:bookmarkEnd w:id="53"/>
      <w:bookmarkEnd w:id="54"/>
      <w:bookmarkEnd w:id="55"/>
    </w:p>
    <w:p w14:paraId="4BCF72FA">
      <w:pPr>
        <w:pageBreakBefore w:val="0"/>
        <w:widowControl w:val="0"/>
        <w:kinsoku/>
        <w:wordWrap/>
        <w:overflowPunct/>
        <w:topLinePunct w:val="0"/>
        <w:bidi w:val="0"/>
        <w:adjustRightInd w:val="0"/>
        <w:snapToGrid w:val="0"/>
        <w:spacing w:line="360" w:lineRule="auto"/>
        <w:ind w:firstLine="480" w:firstLineChars="200"/>
        <w:jc w:val="left"/>
        <w:textAlignment w:val="auto"/>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3.1 本次磋商及由此产生的合同受中华人民共和国有关的法律法规制约和保护。</w:t>
      </w:r>
    </w:p>
    <w:p w14:paraId="5CD80501">
      <w:pPr>
        <w:keepNext/>
        <w:keepLines/>
        <w:pageBreakBefore w:val="0"/>
        <w:widowControl w:val="0"/>
        <w:kinsoku/>
        <w:wordWrap/>
        <w:overflowPunct/>
        <w:topLinePunct w:val="0"/>
        <w:bidi w:val="0"/>
        <w:adjustRightInd w:val="0"/>
        <w:snapToGrid w:val="0"/>
        <w:spacing w:line="360" w:lineRule="auto"/>
        <w:ind w:firstLine="560" w:firstLineChars="200"/>
        <w:jc w:val="left"/>
        <w:textAlignment w:val="auto"/>
        <w:outlineLvl w:val="3"/>
        <w:rPr>
          <w:rFonts w:hint="eastAsia" w:ascii="宋体" w:hAnsi="宋体" w:eastAsia="宋体" w:cs="宋体"/>
          <w:color w:val="auto"/>
          <w:sz w:val="28"/>
          <w:szCs w:val="28"/>
          <w:highlight w:val="none"/>
        </w:rPr>
      </w:pPr>
      <w:bookmarkStart w:id="56" w:name="_Toc20823279"/>
      <w:bookmarkStart w:id="57" w:name="_Toc513029207"/>
      <w:bookmarkStart w:id="58" w:name="_Toc16938523"/>
      <w:bookmarkStart w:id="59" w:name="_Toc462564067"/>
      <w:r>
        <w:rPr>
          <w:rFonts w:hint="eastAsia" w:ascii="宋体" w:hAnsi="宋体" w:eastAsia="宋体" w:cs="宋体"/>
          <w:color w:val="auto"/>
          <w:sz w:val="28"/>
          <w:szCs w:val="28"/>
          <w:highlight w:val="none"/>
        </w:rPr>
        <w:t>4、磋商费用</w:t>
      </w:r>
      <w:bookmarkEnd w:id="56"/>
      <w:bookmarkEnd w:id="57"/>
      <w:bookmarkEnd w:id="58"/>
      <w:bookmarkEnd w:id="59"/>
    </w:p>
    <w:p w14:paraId="74D62C70">
      <w:pPr>
        <w:pageBreakBefore w:val="0"/>
        <w:widowControl w:val="0"/>
        <w:kinsoku/>
        <w:wordWrap/>
        <w:overflowPunct/>
        <w:topLinePunct w:val="0"/>
        <w:bidi w:val="0"/>
        <w:adjustRightInd w:val="0"/>
        <w:snapToGrid w:val="0"/>
        <w:spacing w:line="360" w:lineRule="auto"/>
        <w:ind w:firstLine="480" w:firstLineChars="200"/>
        <w:jc w:val="left"/>
        <w:textAlignment w:val="auto"/>
        <w:rPr>
          <w:rFonts w:hint="eastAsia" w:ascii="宋体" w:hAnsi="宋体" w:eastAsia="宋体" w:cs="宋体"/>
          <w:color w:val="auto"/>
          <w:sz w:val="24"/>
          <w:szCs w:val="21"/>
          <w:highlight w:val="none"/>
        </w:rPr>
      </w:pPr>
      <w:r>
        <w:rPr>
          <w:rFonts w:hint="eastAsia" w:ascii="宋体" w:hAnsi="宋体" w:eastAsia="宋体" w:cs="宋体"/>
          <w:bCs/>
          <w:color w:val="auto"/>
          <w:sz w:val="24"/>
          <w:szCs w:val="21"/>
          <w:highlight w:val="none"/>
        </w:rPr>
        <w:t>4.1</w:t>
      </w:r>
      <w:r>
        <w:rPr>
          <w:rFonts w:hint="eastAsia" w:ascii="宋体" w:hAnsi="宋体" w:eastAsia="宋体" w:cs="宋体"/>
          <w:color w:val="auto"/>
          <w:sz w:val="24"/>
          <w:szCs w:val="21"/>
          <w:highlight w:val="none"/>
        </w:rPr>
        <w:t>供应商应自行承担所有与参加本次磋商有关的费用，无论磋商过程中的做法和结果如何，代理机构人员在任何情况下均无义务和责任承担这些费用。</w:t>
      </w:r>
    </w:p>
    <w:p w14:paraId="401B1921">
      <w:pPr>
        <w:pageBreakBefore w:val="0"/>
        <w:widowControl w:val="0"/>
        <w:kinsoku/>
        <w:wordWrap/>
        <w:overflowPunct/>
        <w:topLinePunct w:val="0"/>
        <w:bidi w:val="0"/>
        <w:adjustRightInd w:val="0"/>
        <w:snapToGrid w:val="0"/>
        <w:spacing w:line="360" w:lineRule="auto"/>
        <w:ind w:firstLine="480" w:firstLineChars="200"/>
        <w:jc w:val="left"/>
        <w:textAlignment w:val="auto"/>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4.2本次磋商代理机构人员和采购人不收取标书工本费。</w:t>
      </w:r>
    </w:p>
    <w:p w14:paraId="6F44A931">
      <w:pPr>
        <w:keepNext/>
        <w:keepLines/>
        <w:pageBreakBefore w:val="0"/>
        <w:widowControl w:val="0"/>
        <w:kinsoku/>
        <w:wordWrap/>
        <w:overflowPunct/>
        <w:topLinePunct w:val="0"/>
        <w:bidi w:val="0"/>
        <w:adjustRightInd w:val="0"/>
        <w:snapToGrid w:val="0"/>
        <w:spacing w:line="360" w:lineRule="auto"/>
        <w:ind w:firstLine="602" w:firstLineChars="200"/>
        <w:jc w:val="left"/>
        <w:textAlignment w:val="auto"/>
        <w:outlineLvl w:val="3"/>
        <w:rPr>
          <w:rFonts w:hint="eastAsia" w:ascii="宋体" w:hAnsi="宋体" w:eastAsia="宋体" w:cs="宋体"/>
          <w:color w:val="auto"/>
          <w:sz w:val="28"/>
          <w:szCs w:val="28"/>
          <w:highlight w:val="none"/>
        </w:rPr>
      </w:pPr>
      <w:r>
        <w:rPr>
          <w:rFonts w:hint="eastAsia" w:ascii="宋体" w:hAnsi="宋体" w:eastAsia="宋体" w:cs="宋体"/>
          <w:b/>
          <w:bCs/>
          <w:color w:val="auto"/>
          <w:sz w:val="30"/>
          <w:szCs w:val="28"/>
          <w:highlight w:val="none"/>
        </w:rPr>
        <w:t>5、</w:t>
      </w:r>
      <w:r>
        <w:rPr>
          <w:rFonts w:hint="eastAsia" w:ascii="宋体" w:hAnsi="宋体" w:eastAsia="宋体" w:cs="宋体"/>
          <w:color w:val="auto"/>
          <w:sz w:val="28"/>
          <w:szCs w:val="28"/>
          <w:highlight w:val="none"/>
        </w:rPr>
        <w:t>磋商文件的约束力</w:t>
      </w:r>
    </w:p>
    <w:p w14:paraId="067BFBCF">
      <w:pPr>
        <w:pageBreakBefore w:val="0"/>
        <w:widowControl w:val="0"/>
        <w:kinsoku/>
        <w:wordWrap/>
        <w:overflowPunct/>
        <w:topLinePunct w:val="0"/>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5.1</w:t>
      </w:r>
      <w:r>
        <w:rPr>
          <w:rFonts w:hint="eastAsia" w:ascii="宋体" w:hAnsi="宋体" w:eastAsia="宋体" w:cs="宋体"/>
          <w:color w:val="auto"/>
          <w:sz w:val="24"/>
          <w:szCs w:val="24"/>
          <w:highlight w:val="none"/>
        </w:rPr>
        <w:t>供应商一旦参加本项目采购活动，即被认为接受了本磋商文件的规定和约束。</w:t>
      </w:r>
    </w:p>
    <w:p w14:paraId="52DE8277">
      <w:pPr>
        <w:keepNext/>
        <w:keepLines/>
        <w:pageBreakBefore w:val="0"/>
        <w:widowControl w:val="0"/>
        <w:kinsoku/>
        <w:wordWrap/>
        <w:overflowPunct/>
        <w:topLinePunct w:val="0"/>
        <w:bidi w:val="0"/>
        <w:adjustRightInd w:val="0"/>
        <w:snapToGrid w:val="0"/>
        <w:spacing w:line="360" w:lineRule="auto"/>
        <w:ind w:firstLine="643" w:firstLineChars="200"/>
        <w:jc w:val="left"/>
        <w:textAlignment w:val="auto"/>
        <w:outlineLvl w:val="2"/>
        <w:rPr>
          <w:rFonts w:hint="eastAsia" w:ascii="宋体" w:hAnsi="宋体" w:eastAsia="宋体" w:cs="宋体"/>
          <w:b/>
          <w:bCs/>
          <w:color w:val="auto"/>
          <w:sz w:val="32"/>
          <w:szCs w:val="32"/>
          <w:highlight w:val="none"/>
        </w:rPr>
      </w:pPr>
      <w:bookmarkStart w:id="60" w:name="_Toc513029209"/>
      <w:bookmarkStart w:id="61" w:name="_Toc20823281"/>
      <w:bookmarkStart w:id="62" w:name="_Toc120614215"/>
      <w:bookmarkStart w:id="63" w:name="_Toc16938525"/>
      <w:r>
        <w:rPr>
          <w:rFonts w:hint="eastAsia" w:ascii="宋体" w:hAnsi="宋体" w:eastAsia="宋体" w:cs="宋体"/>
          <w:b/>
          <w:bCs/>
          <w:color w:val="auto"/>
          <w:sz w:val="32"/>
          <w:szCs w:val="32"/>
          <w:highlight w:val="none"/>
        </w:rPr>
        <w:t>二、</w:t>
      </w:r>
      <w:bookmarkEnd w:id="60"/>
      <w:bookmarkEnd w:id="61"/>
      <w:bookmarkEnd w:id="62"/>
      <w:bookmarkEnd w:id="63"/>
      <w:r>
        <w:rPr>
          <w:rFonts w:hint="eastAsia" w:ascii="宋体" w:hAnsi="宋体" w:eastAsia="宋体" w:cs="宋体"/>
          <w:b/>
          <w:bCs/>
          <w:color w:val="auto"/>
          <w:sz w:val="32"/>
          <w:szCs w:val="32"/>
          <w:highlight w:val="none"/>
        </w:rPr>
        <w:t>磋商文件</w:t>
      </w:r>
    </w:p>
    <w:p w14:paraId="1F6C8A50">
      <w:pPr>
        <w:keepNext/>
        <w:keepLines/>
        <w:pageBreakBefore w:val="0"/>
        <w:widowControl w:val="0"/>
        <w:kinsoku/>
        <w:wordWrap/>
        <w:overflowPunct/>
        <w:topLinePunct w:val="0"/>
        <w:bidi w:val="0"/>
        <w:adjustRightInd w:val="0"/>
        <w:snapToGrid w:val="0"/>
        <w:spacing w:line="360" w:lineRule="auto"/>
        <w:ind w:firstLine="560" w:firstLineChars="200"/>
        <w:jc w:val="left"/>
        <w:textAlignment w:val="auto"/>
        <w:outlineLvl w:val="3"/>
        <w:rPr>
          <w:rFonts w:hint="eastAsia" w:ascii="宋体" w:hAnsi="宋体" w:eastAsia="宋体" w:cs="宋体"/>
          <w:color w:val="auto"/>
          <w:sz w:val="28"/>
          <w:szCs w:val="28"/>
          <w:highlight w:val="none"/>
        </w:rPr>
      </w:pPr>
      <w:bookmarkStart w:id="64" w:name="_Toc20823282"/>
      <w:bookmarkStart w:id="65" w:name="_Toc513029210"/>
      <w:bookmarkStart w:id="66" w:name="_Toc16938526"/>
      <w:r>
        <w:rPr>
          <w:rFonts w:hint="eastAsia" w:ascii="宋体" w:hAnsi="宋体" w:eastAsia="宋体" w:cs="宋体"/>
          <w:color w:val="auto"/>
          <w:sz w:val="28"/>
          <w:szCs w:val="28"/>
          <w:highlight w:val="none"/>
        </w:rPr>
        <w:t>6、磋商文件构成</w:t>
      </w:r>
      <w:bookmarkEnd w:id="64"/>
      <w:bookmarkEnd w:id="65"/>
      <w:bookmarkEnd w:id="66"/>
    </w:p>
    <w:p w14:paraId="4243307E">
      <w:pPr>
        <w:pageBreakBefore w:val="0"/>
        <w:widowControl w:val="0"/>
        <w:kinsoku/>
        <w:wordWrap/>
        <w:overflowPunct/>
        <w:topLinePunct w:val="0"/>
        <w:bidi w:val="0"/>
        <w:adjustRightInd w:val="0"/>
        <w:snapToGrid w:val="0"/>
        <w:spacing w:line="360" w:lineRule="auto"/>
        <w:ind w:firstLine="480" w:firstLineChars="200"/>
        <w:jc w:val="left"/>
        <w:textAlignment w:val="auto"/>
        <w:rPr>
          <w:rFonts w:hint="eastAsia" w:ascii="宋体" w:hAnsi="宋体" w:eastAsia="宋体" w:cs="宋体"/>
          <w:color w:val="auto"/>
          <w:sz w:val="24"/>
          <w:szCs w:val="21"/>
          <w:highlight w:val="none"/>
        </w:rPr>
      </w:pPr>
      <w:r>
        <w:rPr>
          <w:rFonts w:hint="eastAsia" w:ascii="宋体" w:hAnsi="宋体" w:eastAsia="宋体" w:cs="宋体"/>
          <w:bCs/>
          <w:color w:val="auto"/>
          <w:sz w:val="24"/>
          <w:szCs w:val="21"/>
          <w:highlight w:val="none"/>
        </w:rPr>
        <w:t>6.1</w:t>
      </w:r>
      <w:r>
        <w:rPr>
          <w:rFonts w:hint="eastAsia" w:ascii="宋体" w:hAnsi="宋体" w:eastAsia="宋体" w:cs="宋体"/>
          <w:color w:val="auto"/>
          <w:sz w:val="24"/>
          <w:szCs w:val="21"/>
          <w:highlight w:val="none"/>
        </w:rPr>
        <w:t>磋商文件由以下部分组成：</w:t>
      </w:r>
    </w:p>
    <w:p w14:paraId="252157D3">
      <w:pPr>
        <w:pageBreakBefore w:val="0"/>
        <w:widowControl w:val="0"/>
        <w:kinsoku/>
        <w:wordWrap/>
        <w:overflowPunct/>
        <w:topLinePunct w:val="0"/>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（1）磋商邀请</w:t>
      </w:r>
    </w:p>
    <w:p w14:paraId="0DEB385E">
      <w:pPr>
        <w:pageBreakBefore w:val="0"/>
        <w:widowControl w:val="0"/>
        <w:kinsoku/>
        <w:wordWrap/>
        <w:overflowPunct/>
        <w:topLinePunct w:val="0"/>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（2）供应商须知</w:t>
      </w:r>
    </w:p>
    <w:p w14:paraId="60B4319B">
      <w:pPr>
        <w:pageBreakBefore w:val="0"/>
        <w:widowControl w:val="0"/>
        <w:kinsoku/>
        <w:wordWrap/>
        <w:overflowPunct/>
        <w:topLinePunct w:val="0"/>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（3）合同文本</w:t>
      </w:r>
    </w:p>
    <w:p w14:paraId="4893CA41">
      <w:pPr>
        <w:pageBreakBefore w:val="0"/>
        <w:widowControl w:val="0"/>
        <w:kinsoku/>
        <w:wordWrap/>
        <w:overflowPunct/>
        <w:topLinePunct w:val="0"/>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（4）采购需求</w:t>
      </w:r>
    </w:p>
    <w:p w14:paraId="115BD925">
      <w:pPr>
        <w:pageBreakBefore w:val="0"/>
        <w:widowControl w:val="0"/>
        <w:kinsoku/>
        <w:wordWrap/>
        <w:overflowPunct/>
        <w:topLinePunct w:val="0"/>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（5）评审方法与评审标准</w:t>
      </w:r>
    </w:p>
    <w:p w14:paraId="5E4CEDDD">
      <w:pPr>
        <w:pageBreakBefore w:val="0"/>
        <w:widowControl w:val="0"/>
        <w:kinsoku/>
        <w:wordWrap/>
        <w:overflowPunct/>
        <w:topLinePunct w:val="0"/>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（6）响应文件格式</w:t>
      </w:r>
    </w:p>
    <w:p w14:paraId="13C67676">
      <w:pPr>
        <w:pageBreakBefore w:val="0"/>
        <w:widowControl w:val="0"/>
        <w:kinsoku/>
        <w:wordWrap/>
        <w:overflowPunct/>
        <w:topLinePunct w:val="0"/>
        <w:bidi w:val="0"/>
        <w:adjustRightInd w:val="0"/>
        <w:snapToGrid w:val="0"/>
        <w:spacing w:line="360" w:lineRule="auto"/>
        <w:ind w:firstLine="480" w:firstLineChars="200"/>
        <w:jc w:val="left"/>
        <w:textAlignment w:val="auto"/>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请仔细检查磋商文件是否齐全，如有缺漏请立即与代理机构人员联系解决。</w:t>
      </w:r>
    </w:p>
    <w:p w14:paraId="0876B80D">
      <w:pPr>
        <w:pageBreakBefore w:val="0"/>
        <w:widowControl w:val="0"/>
        <w:kinsoku/>
        <w:wordWrap/>
        <w:overflowPunct/>
        <w:topLinePunct w:val="0"/>
        <w:bidi w:val="0"/>
        <w:adjustRightInd w:val="0"/>
        <w:snapToGrid w:val="0"/>
        <w:spacing w:line="360" w:lineRule="auto"/>
        <w:ind w:firstLine="480" w:firstLineChars="200"/>
        <w:jc w:val="left"/>
        <w:textAlignment w:val="auto"/>
        <w:rPr>
          <w:rFonts w:hint="eastAsia" w:ascii="宋体" w:hAnsi="宋体" w:eastAsia="宋体" w:cs="宋体"/>
          <w:color w:val="auto"/>
          <w:sz w:val="24"/>
          <w:szCs w:val="21"/>
          <w:highlight w:val="none"/>
        </w:rPr>
      </w:pPr>
      <w:r>
        <w:rPr>
          <w:rFonts w:hint="eastAsia" w:ascii="宋体" w:hAnsi="宋体" w:eastAsia="宋体" w:cs="宋体"/>
          <w:bCs/>
          <w:color w:val="auto"/>
          <w:sz w:val="24"/>
          <w:szCs w:val="21"/>
          <w:highlight w:val="none"/>
        </w:rPr>
        <w:t>6.2</w:t>
      </w:r>
      <w:r>
        <w:rPr>
          <w:rFonts w:hint="eastAsia" w:ascii="宋体" w:hAnsi="宋体" w:eastAsia="宋体" w:cs="宋体"/>
          <w:color w:val="auto"/>
          <w:sz w:val="24"/>
          <w:szCs w:val="21"/>
          <w:highlight w:val="none"/>
        </w:rPr>
        <w:t>供应商应认真阅读磋商文件中所有的事项、格式、条款和规范等要求。按磋商文件要求和规定编制响应文件，并保证所提供的全部资料的真实性，以使其响应文件对磋商文件作出实质性响应，否则其风险由供应商自行承担。</w:t>
      </w:r>
    </w:p>
    <w:p w14:paraId="10E19EB5">
      <w:pPr>
        <w:keepNext/>
        <w:keepLines/>
        <w:pageBreakBefore w:val="0"/>
        <w:widowControl w:val="0"/>
        <w:kinsoku/>
        <w:wordWrap/>
        <w:overflowPunct/>
        <w:topLinePunct w:val="0"/>
        <w:bidi w:val="0"/>
        <w:adjustRightInd w:val="0"/>
        <w:snapToGrid w:val="0"/>
        <w:spacing w:line="360" w:lineRule="auto"/>
        <w:ind w:firstLine="560" w:firstLineChars="200"/>
        <w:jc w:val="left"/>
        <w:textAlignment w:val="auto"/>
        <w:outlineLvl w:val="3"/>
        <w:rPr>
          <w:rFonts w:hint="eastAsia" w:ascii="宋体" w:hAnsi="宋体" w:eastAsia="宋体" w:cs="宋体"/>
          <w:color w:val="auto"/>
          <w:sz w:val="28"/>
          <w:szCs w:val="28"/>
          <w:highlight w:val="none"/>
        </w:rPr>
      </w:pPr>
      <w:bookmarkStart w:id="67" w:name="_Toc16938527"/>
      <w:bookmarkStart w:id="68" w:name="_Toc462564070"/>
      <w:bookmarkStart w:id="69" w:name="_Toc513029211"/>
      <w:bookmarkStart w:id="70" w:name="_Toc20823283"/>
      <w:r>
        <w:rPr>
          <w:rFonts w:hint="eastAsia" w:ascii="宋体" w:hAnsi="宋体" w:eastAsia="宋体" w:cs="宋体"/>
          <w:color w:val="auto"/>
          <w:sz w:val="28"/>
          <w:szCs w:val="28"/>
          <w:highlight w:val="none"/>
        </w:rPr>
        <w:t>7、磋商文件的澄清</w:t>
      </w:r>
      <w:bookmarkEnd w:id="67"/>
      <w:bookmarkEnd w:id="68"/>
      <w:bookmarkEnd w:id="69"/>
      <w:bookmarkEnd w:id="70"/>
    </w:p>
    <w:p w14:paraId="2C56E76B">
      <w:pPr>
        <w:pageBreakBefore w:val="0"/>
        <w:widowControl w:val="0"/>
        <w:kinsoku/>
        <w:wordWrap/>
        <w:overflowPunct/>
        <w:topLinePunct w:val="0"/>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bCs/>
          <w:color w:val="auto"/>
          <w:sz w:val="24"/>
          <w:szCs w:val="21"/>
          <w:highlight w:val="none"/>
        </w:rPr>
        <w:t>7.1</w:t>
      </w:r>
      <w:r>
        <w:rPr>
          <w:rFonts w:hint="eastAsia" w:ascii="宋体" w:hAnsi="宋体" w:eastAsia="宋体" w:cs="宋体"/>
          <w:color w:val="auto"/>
          <w:sz w:val="24"/>
          <w:szCs w:val="21"/>
          <w:highlight w:val="none"/>
        </w:rPr>
        <w:t>任何要求对磋商文件进行澄清的供应商，应在磋商截止期5日</w:t>
      </w:r>
      <w:r>
        <w:rPr>
          <w:rFonts w:hint="eastAsia" w:ascii="宋体" w:hAnsi="宋体" w:eastAsia="宋体" w:cs="宋体"/>
          <w:color w:val="auto"/>
          <w:sz w:val="24"/>
          <w:szCs w:val="24"/>
          <w:highlight w:val="none"/>
        </w:rPr>
        <w:t>前</w:t>
      </w:r>
      <w:r>
        <w:rPr>
          <w:rFonts w:hint="eastAsia" w:ascii="宋体" w:hAnsi="宋体" w:eastAsia="宋体" w:cs="宋体"/>
          <w:color w:val="auto"/>
          <w:sz w:val="24"/>
          <w:szCs w:val="21"/>
          <w:highlight w:val="none"/>
        </w:rPr>
        <w:t>按磋商公告中的通讯地址，以书面形式通知代理机构人员。</w:t>
      </w:r>
    </w:p>
    <w:p w14:paraId="04A1AFD2">
      <w:pPr>
        <w:keepNext/>
        <w:keepLines/>
        <w:pageBreakBefore w:val="0"/>
        <w:widowControl w:val="0"/>
        <w:kinsoku/>
        <w:wordWrap/>
        <w:overflowPunct/>
        <w:topLinePunct w:val="0"/>
        <w:bidi w:val="0"/>
        <w:adjustRightInd w:val="0"/>
        <w:snapToGrid w:val="0"/>
        <w:spacing w:line="360" w:lineRule="auto"/>
        <w:ind w:firstLine="560" w:firstLineChars="200"/>
        <w:jc w:val="left"/>
        <w:textAlignment w:val="auto"/>
        <w:outlineLvl w:val="3"/>
        <w:rPr>
          <w:rFonts w:hint="eastAsia" w:ascii="宋体" w:hAnsi="宋体" w:eastAsia="宋体" w:cs="宋体"/>
          <w:color w:val="auto"/>
          <w:sz w:val="28"/>
          <w:szCs w:val="28"/>
          <w:highlight w:val="none"/>
        </w:rPr>
      </w:pPr>
      <w:bookmarkStart w:id="71" w:name="_Toc20823284"/>
      <w:bookmarkStart w:id="72" w:name="_Toc513029212"/>
      <w:bookmarkStart w:id="73" w:name="_Toc462564071"/>
      <w:bookmarkStart w:id="74" w:name="_Toc16938528"/>
      <w:r>
        <w:rPr>
          <w:rFonts w:hint="eastAsia" w:ascii="宋体" w:hAnsi="宋体" w:eastAsia="宋体" w:cs="宋体"/>
          <w:color w:val="auto"/>
          <w:sz w:val="28"/>
          <w:szCs w:val="28"/>
          <w:highlight w:val="none"/>
        </w:rPr>
        <w:t>8、磋商文件的澄清和修改</w:t>
      </w:r>
      <w:bookmarkEnd w:id="71"/>
      <w:bookmarkEnd w:id="72"/>
      <w:bookmarkEnd w:id="73"/>
      <w:bookmarkEnd w:id="74"/>
    </w:p>
    <w:p w14:paraId="23E2F667">
      <w:pPr>
        <w:pageBreakBefore w:val="0"/>
        <w:widowControl w:val="0"/>
        <w:kinsoku/>
        <w:wordWrap/>
        <w:overflowPunct/>
        <w:topLinePunct w:val="0"/>
        <w:bidi w:val="0"/>
        <w:adjustRightInd w:val="0"/>
        <w:snapToGrid w:val="0"/>
        <w:spacing w:line="360" w:lineRule="auto"/>
        <w:ind w:firstLine="480" w:firstLineChars="200"/>
        <w:jc w:val="left"/>
        <w:textAlignment w:val="auto"/>
        <w:rPr>
          <w:rFonts w:hint="eastAsia" w:ascii="宋体" w:hAnsi="宋体" w:eastAsia="宋体" w:cs="宋体"/>
          <w:color w:val="auto"/>
          <w:sz w:val="24"/>
          <w:szCs w:val="21"/>
          <w:highlight w:val="none"/>
        </w:rPr>
      </w:pPr>
      <w:r>
        <w:rPr>
          <w:rFonts w:hint="eastAsia" w:ascii="宋体" w:hAnsi="宋体" w:eastAsia="宋体" w:cs="宋体"/>
          <w:bCs/>
          <w:color w:val="auto"/>
          <w:sz w:val="24"/>
          <w:szCs w:val="21"/>
          <w:highlight w:val="none"/>
        </w:rPr>
        <w:t>8.1</w:t>
      </w:r>
      <w:r>
        <w:rPr>
          <w:rFonts w:hint="eastAsia" w:ascii="宋体" w:hAnsi="宋体" w:eastAsia="宋体" w:cs="宋体"/>
          <w:color w:val="auto"/>
          <w:sz w:val="24"/>
          <w:szCs w:val="21"/>
          <w:highlight w:val="none"/>
        </w:rPr>
        <w:t>在响应文件提交截止时间前，代理机构人员可以对磋商文件进行澄清和修改,澄清或者修改的内容作为磋商文件的组成部分。澄清或者修改的内容可能影响响应文件编制的，代理机构人员将在提交首次响应文件截止时间至少5日前，在“江苏政府采购网”上发布书面更正公告形式通知所有获取磋商文件的供应商,更正公告内容将作为磋商文件的组成部分，并对供应商具有约束力。不足5日的，代理机构人员将顺延提交首次响应文件截止时间。</w:t>
      </w:r>
    </w:p>
    <w:p w14:paraId="7135C66D">
      <w:pPr>
        <w:pageBreakBefore w:val="0"/>
        <w:widowControl w:val="0"/>
        <w:kinsoku/>
        <w:wordWrap/>
        <w:overflowPunct/>
        <w:topLinePunct w:val="0"/>
        <w:bidi w:val="0"/>
        <w:adjustRightInd w:val="0"/>
        <w:snapToGrid w:val="0"/>
        <w:spacing w:line="360" w:lineRule="auto"/>
        <w:ind w:firstLine="480" w:firstLineChars="200"/>
        <w:jc w:val="left"/>
        <w:textAlignment w:val="auto"/>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8.2代理机构人员可以视采购项目的具体情况，组织供应商进行现场考察或召开磋商前答疑会，但不单独或分别组织只有一个供应商参加的现场考察和答疑会。</w:t>
      </w:r>
    </w:p>
    <w:p w14:paraId="483DCCDF">
      <w:pPr>
        <w:keepNext/>
        <w:keepLines/>
        <w:pageBreakBefore w:val="0"/>
        <w:widowControl w:val="0"/>
        <w:kinsoku/>
        <w:wordWrap/>
        <w:overflowPunct/>
        <w:topLinePunct w:val="0"/>
        <w:bidi w:val="0"/>
        <w:adjustRightInd w:val="0"/>
        <w:snapToGrid w:val="0"/>
        <w:spacing w:line="360" w:lineRule="auto"/>
        <w:ind w:firstLine="643" w:firstLineChars="200"/>
        <w:jc w:val="left"/>
        <w:textAlignment w:val="auto"/>
        <w:outlineLvl w:val="2"/>
        <w:rPr>
          <w:rFonts w:hint="eastAsia" w:ascii="宋体" w:hAnsi="宋体" w:eastAsia="宋体" w:cs="宋体"/>
          <w:b/>
          <w:bCs/>
          <w:color w:val="auto"/>
          <w:sz w:val="32"/>
          <w:szCs w:val="32"/>
          <w:highlight w:val="none"/>
        </w:rPr>
      </w:pPr>
      <w:bookmarkStart w:id="75" w:name="_Toc462564072"/>
      <w:bookmarkStart w:id="76" w:name="_Toc20823285"/>
      <w:bookmarkStart w:id="77" w:name="_Toc513029213"/>
      <w:bookmarkStart w:id="78" w:name="_Toc16938529"/>
      <w:bookmarkStart w:id="79" w:name="_Toc120614216"/>
      <w:r>
        <w:rPr>
          <w:rFonts w:hint="eastAsia" w:ascii="宋体" w:hAnsi="宋体" w:eastAsia="宋体" w:cs="宋体"/>
          <w:b/>
          <w:bCs/>
          <w:color w:val="auto"/>
          <w:sz w:val="32"/>
          <w:szCs w:val="32"/>
          <w:highlight w:val="none"/>
        </w:rPr>
        <w:t>三、响应文件的编制</w:t>
      </w:r>
      <w:bookmarkEnd w:id="75"/>
      <w:bookmarkEnd w:id="76"/>
      <w:bookmarkEnd w:id="77"/>
      <w:bookmarkEnd w:id="78"/>
      <w:bookmarkEnd w:id="79"/>
    </w:p>
    <w:p w14:paraId="3CC40163">
      <w:pPr>
        <w:keepNext/>
        <w:keepLines/>
        <w:pageBreakBefore w:val="0"/>
        <w:widowControl w:val="0"/>
        <w:kinsoku/>
        <w:wordWrap/>
        <w:overflowPunct/>
        <w:topLinePunct w:val="0"/>
        <w:bidi w:val="0"/>
        <w:adjustRightInd w:val="0"/>
        <w:snapToGrid w:val="0"/>
        <w:spacing w:line="360" w:lineRule="auto"/>
        <w:ind w:firstLine="560" w:firstLineChars="200"/>
        <w:jc w:val="left"/>
        <w:textAlignment w:val="auto"/>
        <w:outlineLvl w:val="3"/>
        <w:rPr>
          <w:rFonts w:hint="eastAsia" w:ascii="宋体" w:hAnsi="宋体" w:eastAsia="宋体" w:cs="宋体"/>
          <w:b/>
          <w:color w:val="auto"/>
          <w:sz w:val="28"/>
          <w:szCs w:val="28"/>
          <w:highlight w:val="none"/>
        </w:rPr>
      </w:pPr>
      <w:bookmarkStart w:id="80" w:name="_Toc462564073"/>
      <w:bookmarkStart w:id="81" w:name="_Toc16938530"/>
      <w:bookmarkStart w:id="82" w:name="_Toc513029214"/>
      <w:bookmarkStart w:id="83" w:name="_Toc20823286"/>
      <w:r>
        <w:rPr>
          <w:rFonts w:hint="eastAsia" w:ascii="宋体" w:hAnsi="宋体" w:eastAsia="宋体" w:cs="宋体"/>
          <w:color w:val="auto"/>
          <w:sz w:val="28"/>
          <w:szCs w:val="28"/>
          <w:highlight w:val="none"/>
        </w:rPr>
        <w:t>9、响应文件的语言及度量衡单位</w:t>
      </w:r>
      <w:bookmarkEnd w:id="80"/>
      <w:bookmarkEnd w:id="81"/>
      <w:bookmarkEnd w:id="82"/>
      <w:bookmarkEnd w:id="83"/>
    </w:p>
    <w:p w14:paraId="29CF55CD">
      <w:pPr>
        <w:pageBreakBefore w:val="0"/>
        <w:widowControl w:val="0"/>
        <w:kinsoku/>
        <w:wordWrap/>
        <w:overflowPunct/>
        <w:topLinePunct w:val="0"/>
        <w:bidi w:val="0"/>
        <w:adjustRightInd w:val="0"/>
        <w:snapToGrid w:val="0"/>
        <w:spacing w:line="360" w:lineRule="auto"/>
        <w:ind w:firstLine="480" w:firstLineChars="200"/>
        <w:jc w:val="left"/>
        <w:textAlignment w:val="auto"/>
        <w:rPr>
          <w:rFonts w:hint="eastAsia" w:ascii="宋体" w:hAnsi="宋体" w:eastAsia="宋体" w:cs="宋体"/>
          <w:color w:val="auto"/>
          <w:sz w:val="24"/>
          <w:szCs w:val="21"/>
          <w:highlight w:val="none"/>
        </w:rPr>
      </w:pPr>
      <w:r>
        <w:rPr>
          <w:rFonts w:hint="eastAsia" w:ascii="宋体" w:hAnsi="宋体" w:eastAsia="宋体" w:cs="宋体"/>
          <w:bCs/>
          <w:color w:val="auto"/>
          <w:sz w:val="24"/>
          <w:szCs w:val="21"/>
          <w:highlight w:val="none"/>
        </w:rPr>
        <w:t>9.1</w:t>
      </w:r>
      <w:r>
        <w:rPr>
          <w:rFonts w:hint="eastAsia" w:ascii="宋体" w:hAnsi="宋体" w:eastAsia="宋体" w:cs="宋体"/>
          <w:color w:val="auto"/>
          <w:sz w:val="24"/>
          <w:szCs w:val="21"/>
          <w:highlight w:val="none"/>
        </w:rPr>
        <w:t>供应商提交的响应文件以及供应商与代理机构人员就有关磋商的所有来往通知、函件和文件均应使用</w:t>
      </w:r>
      <w:r>
        <w:rPr>
          <w:rFonts w:hint="eastAsia" w:ascii="宋体" w:hAnsi="宋体" w:eastAsia="宋体" w:cs="宋体"/>
          <w:b/>
          <w:bCs/>
          <w:color w:val="auto"/>
          <w:sz w:val="24"/>
          <w:szCs w:val="21"/>
          <w:highlight w:val="none"/>
        </w:rPr>
        <w:t>简体中文</w:t>
      </w:r>
      <w:r>
        <w:rPr>
          <w:rFonts w:hint="eastAsia" w:ascii="宋体" w:hAnsi="宋体" w:eastAsia="宋体" w:cs="宋体"/>
          <w:color w:val="auto"/>
          <w:sz w:val="24"/>
          <w:szCs w:val="21"/>
          <w:highlight w:val="none"/>
        </w:rPr>
        <w:t>。</w:t>
      </w:r>
    </w:p>
    <w:p w14:paraId="1F27B8B1">
      <w:pPr>
        <w:pageBreakBefore w:val="0"/>
        <w:widowControl w:val="0"/>
        <w:kinsoku/>
        <w:wordWrap/>
        <w:overflowPunct/>
        <w:topLinePunct w:val="0"/>
        <w:bidi w:val="0"/>
        <w:adjustRightInd w:val="0"/>
        <w:snapToGrid w:val="0"/>
        <w:spacing w:line="360" w:lineRule="auto"/>
        <w:ind w:firstLine="480" w:firstLineChars="200"/>
        <w:jc w:val="left"/>
        <w:textAlignment w:val="auto"/>
        <w:rPr>
          <w:rFonts w:hint="eastAsia" w:ascii="宋体" w:hAnsi="宋体" w:eastAsia="宋体" w:cs="宋体"/>
          <w:color w:val="auto"/>
          <w:sz w:val="24"/>
          <w:szCs w:val="21"/>
          <w:highlight w:val="none"/>
        </w:rPr>
      </w:pPr>
      <w:r>
        <w:rPr>
          <w:rFonts w:hint="eastAsia" w:ascii="宋体" w:hAnsi="宋体" w:eastAsia="宋体" w:cs="宋体"/>
          <w:bCs/>
          <w:color w:val="auto"/>
          <w:sz w:val="24"/>
          <w:szCs w:val="21"/>
          <w:highlight w:val="none"/>
        </w:rPr>
        <w:t>9.2</w:t>
      </w:r>
      <w:r>
        <w:rPr>
          <w:rFonts w:hint="eastAsia" w:ascii="宋体" w:hAnsi="宋体" w:eastAsia="宋体" w:cs="宋体"/>
          <w:color w:val="auto"/>
          <w:sz w:val="24"/>
          <w:szCs w:val="21"/>
          <w:highlight w:val="none"/>
        </w:rPr>
        <w:t>除技术性能另有规定外，响应文件所使用的度量衡单位，均须采用国家法定计量单位。</w:t>
      </w:r>
    </w:p>
    <w:p w14:paraId="4E8D27E4">
      <w:pPr>
        <w:keepNext/>
        <w:keepLines/>
        <w:pageBreakBefore w:val="0"/>
        <w:widowControl w:val="0"/>
        <w:kinsoku/>
        <w:wordWrap/>
        <w:overflowPunct/>
        <w:topLinePunct w:val="0"/>
        <w:bidi w:val="0"/>
        <w:adjustRightInd w:val="0"/>
        <w:snapToGrid w:val="0"/>
        <w:spacing w:line="360" w:lineRule="auto"/>
        <w:ind w:firstLine="560" w:firstLineChars="200"/>
        <w:jc w:val="left"/>
        <w:textAlignment w:val="auto"/>
        <w:outlineLvl w:val="3"/>
        <w:rPr>
          <w:rFonts w:hint="eastAsia" w:ascii="宋体" w:hAnsi="宋体" w:eastAsia="宋体" w:cs="宋体"/>
          <w:color w:val="auto"/>
          <w:sz w:val="28"/>
          <w:szCs w:val="28"/>
          <w:highlight w:val="none"/>
        </w:rPr>
      </w:pPr>
      <w:bookmarkStart w:id="84" w:name="_Toc20823287"/>
      <w:bookmarkStart w:id="85" w:name="_Toc16938531"/>
      <w:bookmarkStart w:id="86" w:name="_Toc513029215"/>
      <w:bookmarkStart w:id="87" w:name="_Toc462564074"/>
      <w:r>
        <w:rPr>
          <w:rFonts w:hint="eastAsia" w:ascii="宋体" w:hAnsi="宋体" w:eastAsia="宋体" w:cs="宋体"/>
          <w:color w:val="auto"/>
          <w:sz w:val="28"/>
          <w:szCs w:val="28"/>
          <w:highlight w:val="none"/>
        </w:rPr>
        <w:t>10、响应文件构成</w:t>
      </w:r>
      <w:bookmarkEnd w:id="84"/>
      <w:bookmarkEnd w:id="85"/>
      <w:bookmarkEnd w:id="86"/>
      <w:bookmarkEnd w:id="87"/>
    </w:p>
    <w:p w14:paraId="573B4F5C">
      <w:pPr>
        <w:pageBreakBefore w:val="0"/>
        <w:widowControl w:val="0"/>
        <w:kinsoku/>
        <w:wordWrap/>
        <w:overflowPunct/>
        <w:topLinePunct w:val="0"/>
        <w:bidi w:val="0"/>
        <w:adjustRightInd w:val="0"/>
        <w:snapToGrid w:val="0"/>
        <w:spacing w:line="360" w:lineRule="auto"/>
        <w:ind w:firstLine="480" w:firstLineChars="200"/>
        <w:jc w:val="left"/>
        <w:textAlignment w:val="auto"/>
        <w:rPr>
          <w:rFonts w:hint="eastAsia" w:ascii="宋体" w:hAnsi="宋体" w:eastAsia="宋体" w:cs="宋体"/>
          <w:color w:val="auto"/>
          <w:sz w:val="24"/>
          <w:szCs w:val="21"/>
          <w:highlight w:val="none"/>
        </w:rPr>
      </w:pPr>
      <w:r>
        <w:rPr>
          <w:rFonts w:hint="eastAsia" w:ascii="宋体" w:hAnsi="宋体" w:eastAsia="宋体" w:cs="宋体"/>
          <w:bCs/>
          <w:color w:val="auto"/>
          <w:sz w:val="24"/>
          <w:szCs w:val="21"/>
          <w:highlight w:val="none"/>
        </w:rPr>
        <w:t>10.1</w:t>
      </w:r>
      <w:r>
        <w:rPr>
          <w:rFonts w:hint="eastAsia" w:ascii="宋体" w:hAnsi="宋体" w:eastAsia="宋体" w:cs="宋体"/>
          <w:color w:val="auto"/>
          <w:sz w:val="24"/>
          <w:szCs w:val="21"/>
          <w:highlight w:val="none"/>
        </w:rPr>
        <w:t>供应商编写的响应文件应包括资格证明文件、符合性证明文件、分项报价表、技术要求响应及偏离表、商务要求响应及偏离表、其他证明文件、磋商响应函等部分。</w:t>
      </w:r>
    </w:p>
    <w:p w14:paraId="5B7F912A">
      <w:pPr>
        <w:pageBreakBefore w:val="0"/>
        <w:widowControl w:val="0"/>
        <w:kinsoku/>
        <w:wordWrap/>
        <w:overflowPunct/>
        <w:topLinePunct w:val="0"/>
        <w:bidi w:val="0"/>
        <w:adjustRightInd w:val="0"/>
        <w:snapToGrid w:val="0"/>
        <w:spacing w:line="360" w:lineRule="auto"/>
        <w:ind w:firstLine="480" w:firstLineChars="200"/>
        <w:jc w:val="left"/>
        <w:textAlignment w:val="auto"/>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10.2 如标书制作工具中格式和内容与“江苏政府采购网”发布的磋商文件不一致，请以“江苏政府采购网”发布的磋商文件为准。</w:t>
      </w:r>
    </w:p>
    <w:p w14:paraId="0977ECED">
      <w:pPr>
        <w:keepNext/>
        <w:keepLines/>
        <w:pageBreakBefore w:val="0"/>
        <w:widowControl w:val="0"/>
        <w:kinsoku/>
        <w:wordWrap/>
        <w:overflowPunct/>
        <w:topLinePunct w:val="0"/>
        <w:bidi w:val="0"/>
        <w:adjustRightInd w:val="0"/>
        <w:snapToGrid w:val="0"/>
        <w:spacing w:line="360" w:lineRule="auto"/>
        <w:ind w:firstLine="560" w:firstLineChars="200"/>
        <w:jc w:val="left"/>
        <w:textAlignment w:val="auto"/>
        <w:outlineLvl w:val="3"/>
        <w:rPr>
          <w:rFonts w:hint="eastAsia" w:ascii="宋体" w:hAnsi="宋体" w:eastAsia="宋体" w:cs="宋体"/>
          <w:color w:val="auto"/>
          <w:sz w:val="28"/>
          <w:szCs w:val="28"/>
          <w:highlight w:val="none"/>
        </w:rPr>
      </w:pPr>
      <w:bookmarkStart w:id="88" w:name="_Hlt26668975"/>
      <w:bookmarkEnd w:id="88"/>
      <w:bookmarkStart w:id="89" w:name="_Hlt26670360"/>
      <w:bookmarkEnd w:id="89"/>
      <w:bookmarkStart w:id="90" w:name="_Hlt26954838"/>
      <w:bookmarkEnd w:id="90"/>
      <w:bookmarkStart w:id="91" w:name="_Toc513029219"/>
      <w:bookmarkStart w:id="92" w:name="_Toc49090509"/>
      <w:bookmarkStart w:id="93" w:name="_Toc14577357"/>
      <w:bookmarkStart w:id="94" w:name="_Toc513029216"/>
      <w:bookmarkStart w:id="95" w:name="_Toc14577354"/>
      <w:bookmarkStart w:id="96" w:name="_Toc49090507"/>
      <w:bookmarkStart w:id="97" w:name="_Toc14577355"/>
      <w:bookmarkStart w:id="98" w:name="_Toc49090508"/>
      <w:r>
        <w:rPr>
          <w:rFonts w:hint="eastAsia" w:ascii="宋体" w:hAnsi="宋体" w:eastAsia="宋体" w:cs="宋体"/>
          <w:color w:val="auto"/>
          <w:sz w:val="28"/>
          <w:szCs w:val="28"/>
          <w:highlight w:val="none"/>
        </w:rPr>
        <w:t>11、证明磋商响应标的符合磋商文件规定的文件</w:t>
      </w:r>
      <w:bookmarkEnd w:id="91"/>
      <w:bookmarkEnd w:id="92"/>
      <w:bookmarkEnd w:id="93"/>
    </w:p>
    <w:bookmarkEnd w:id="94"/>
    <w:bookmarkEnd w:id="95"/>
    <w:bookmarkEnd w:id="96"/>
    <w:p w14:paraId="37496EE3">
      <w:pPr>
        <w:pageBreakBefore w:val="0"/>
        <w:widowControl w:val="0"/>
        <w:kinsoku/>
        <w:wordWrap/>
        <w:overflowPunct/>
        <w:topLinePunct w:val="0"/>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11.1供应商应按照磋商文件要求提交证明文件，证明其及磋商响应标的符合磋商文件规定。</w:t>
      </w:r>
    </w:p>
    <w:p w14:paraId="4C4B030B">
      <w:pPr>
        <w:pageBreakBefore w:val="0"/>
        <w:widowControl w:val="0"/>
        <w:kinsoku/>
        <w:wordWrap/>
        <w:overflowPunct/>
        <w:topLinePunct w:val="0"/>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11.2磋商文件对证明文件无明确形式要求的，证明文件可以以文字资料、图纸和数据等形式提交。</w:t>
      </w:r>
    </w:p>
    <w:bookmarkEnd w:id="97"/>
    <w:bookmarkEnd w:id="98"/>
    <w:p w14:paraId="1D9BBF0A">
      <w:pPr>
        <w:keepNext/>
        <w:keepLines/>
        <w:pageBreakBefore w:val="0"/>
        <w:widowControl w:val="0"/>
        <w:kinsoku/>
        <w:wordWrap/>
        <w:overflowPunct/>
        <w:topLinePunct w:val="0"/>
        <w:bidi w:val="0"/>
        <w:adjustRightInd w:val="0"/>
        <w:snapToGrid w:val="0"/>
        <w:spacing w:line="360" w:lineRule="auto"/>
        <w:ind w:firstLine="560" w:firstLineChars="200"/>
        <w:jc w:val="left"/>
        <w:textAlignment w:val="auto"/>
        <w:outlineLvl w:val="3"/>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12、分项报价表</w:t>
      </w:r>
    </w:p>
    <w:p w14:paraId="53656B45">
      <w:pPr>
        <w:pageBreakBefore w:val="0"/>
        <w:widowControl w:val="0"/>
        <w:kinsoku/>
        <w:wordWrap/>
        <w:overflowPunct/>
        <w:topLinePunct w:val="0"/>
        <w:bidi w:val="0"/>
        <w:adjustRightInd w:val="0"/>
        <w:snapToGrid w:val="0"/>
        <w:spacing w:line="360" w:lineRule="auto"/>
        <w:ind w:firstLine="480" w:firstLineChars="200"/>
        <w:jc w:val="left"/>
        <w:textAlignment w:val="auto"/>
        <w:rPr>
          <w:rFonts w:hint="eastAsia" w:ascii="宋体" w:hAnsi="宋体" w:eastAsia="宋体" w:cs="宋体"/>
          <w:bCs/>
          <w:color w:val="auto"/>
          <w:sz w:val="24"/>
          <w:szCs w:val="21"/>
          <w:highlight w:val="none"/>
        </w:rPr>
      </w:pPr>
      <w:r>
        <w:rPr>
          <w:rFonts w:hint="eastAsia" w:ascii="宋体" w:hAnsi="宋体" w:eastAsia="宋体" w:cs="宋体"/>
          <w:bCs/>
          <w:color w:val="auto"/>
          <w:sz w:val="24"/>
          <w:szCs w:val="21"/>
          <w:highlight w:val="none"/>
        </w:rPr>
        <w:t>12.1</w:t>
      </w:r>
      <w:r>
        <w:rPr>
          <w:rFonts w:hint="eastAsia" w:ascii="宋体" w:hAnsi="宋体" w:eastAsia="宋体" w:cs="宋体"/>
          <w:color w:val="auto"/>
          <w:sz w:val="24"/>
          <w:szCs w:val="21"/>
          <w:highlight w:val="none"/>
        </w:rPr>
        <w:t>供应商应按照磋商文件规定格式填报分项报价表。</w:t>
      </w:r>
    </w:p>
    <w:p w14:paraId="7D5B3AD7">
      <w:pPr>
        <w:pageBreakBefore w:val="0"/>
        <w:widowControl w:val="0"/>
        <w:kinsoku/>
        <w:wordWrap/>
        <w:overflowPunct/>
        <w:topLinePunct w:val="0"/>
        <w:bidi w:val="0"/>
        <w:adjustRightInd w:val="0"/>
        <w:snapToGrid w:val="0"/>
        <w:spacing w:line="360" w:lineRule="auto"/>
        <w:ind w:firstLine="480" w:firstLineChars="200"/>
        <w:jc w:val="left"/>
        <w:textAlignment w:val="auto"/>
        <w:rPr>
          <w:rFonts w:hint="eastAsia" w:ascii="宋体" w:hAnsi="宋体" w:eastAsia="宋体" w:cs="宋体"/>
          <w:bCs/>
          <w:color w:val="auto"/>
          <w:sz w:val="24"/>
          <w:szCs w:val="21"/>
          <w:highlight w:val="none"/>
        </w:rPr>
      </w:pPr>
      <w:r>
        <w:rPr>
          <w:rFonts w:hint="eastAsia" w:ascii="宋体" w:hAnsi="宋体" w:eastAsia="宋体" w:cs="宋体"/>
          <w:color w:val="auto"/>
          <w:sz w:val="24"/>
          <w:szCs w:val="21"/>
          <w:highlight w:val="none"/>
        </w:rPr>
        <w:t>12.2</w:t>
      </w:r>
      <w:r>
        <w:rPr>
          <w:rFonts w:hint="eastAsia" w:ascii="宋体" w:hAnsi="宋体" w:eastAsia="宋体" w:cs="宋体"/>
          <w:bCs/>
          <w:color w:val="auto"/>
          <w:sz w:val="24"/>
          <w:szCs w:val="21"/>
          <w:highlight w:val="none"/>
        </w:rPr>
        <w:t>磋商货币。响应文件中的单价和总价无特殊规定的采用人民币报价，以元为单位标注。</w:t>
      </w:r>
      <w:r>
        <w:rPr>
          <w:rFonts w:hint="eastAsia" w:ascii="宋体" w:hAnsi="宋体" w:eastAsia="宋体" w:cs="宋体"/>
          <w:color w:val="auto"/>
          <w:sz w:val="24"/>
          <w:szCs w:val="21"/>
          <w:highlight w:val="none"/>
        </w:rPr>
        <w:t>磋商文件中另有规定的按规定执行。</w:t>
      </w:r>
    </w:p>
    <w:p w14:paraId="3019A29C">
      <w:pPr>
        <w:keepNext/>
        <w:keepLines/>
        <w:pageBreakBefore w:val="0"/>
        <w:widowControl w:val="0"/>
        <w:kinsoku/>
        <w:wordWrap/>
        <w:overflowPunct/>
        <w:topLinePunct w:val="0"/>
        <w:bidi w:val="0"/>
        <w:adjustRightInd w:val="0"/>
        <w:snapToGrid w:val="0"/>
        <w:spacing w:line="360" w:lineRule="auto"/>
        <w:ind w:firstLine="560" w:firstLineChars="200"/>
        <w:jc w:val="left"/>
        <w:textAlignment w:val="auto"/>
        <w:outlineLvl w:val="3"/>
        <w:rPr>
          <w:rFonts w:hint="eastAsia" w:ascii="宋体" w:hAnsi="宋体" w:eastAsia="宋体" w:cs="宋体"/>
          <w:color w:val="auto"/>
          <w:sz w:val="28"/>
          <w:szCs w:val="28"/>
          <w:highlight w:val="none"/>
        </w:rPr>
      </w:pPr>
      <w:bookmarkStart w:id="99" w:name="_Hlt26954731"/>
      <w:bookmarkEnd w:id="99"/>
      <w:bookmarkStart w:id="100" w:name="_Hlt26670482"/>
      <w:bookmarkEnd w:id="100"/>
      <w:bookmarkStart w:id="101" w:name="_Hlt26954846"/>
      <w:bookmarkEnd w:id="101"/>
      <w:bookmarkStart w:id="102" w:name="_Hlt26954848"/>
      <w:bookmarkEnd w:id="102"/>
      <w:bookmarkStart w:id="103" w:name="_Hlt26670486"/>
      <w:bookmarkEnd w:id="103"/>
      <w:r>
        <w:rPr>
          <w:rFonts w:hint="eastAsia" w:ascii="宋体" w:hAnsi="宋体" w:eastAsia="宋体" w:cs="宋体"/>
          <w:color w:val="auto"/>
          <w:sz w:val="28"/>
          <w:szCs w:val="28"/>
          <w:highlight w:val="none"/>
        </w:rPr>
        <w:t>13、技术要求响应及偏离表、商务要求响应及偏离表</w:t>
      </w:r>
    </w:p>
    <w:p w14:paraId="297C9C9E">
      <w:pPr>
        <w:pageBreakBefore w:val="0"/>
        <w:widowControl w:val="0"/>
        <w:kinsoku/>
        <w:wordWrap/>
        <w:overflowPunct/>
        <w:topLinePunct w:val="0"/>
        <w:autoSpaceDE w:val="0"/>
        <w:autoSpaceDN w:val="0"/>
        <w:bidi w:val="0"/>
        <w:adjustRightInd w:val="0"/>
        <w:snapToGrid w:val="0"/>
        <w:spacing w:line="360" w:lineRule="auto"/>
        <w:ind w:firstLine="480" w:firstLineChars="200"/>
        <w:jc w:val="left"/>
        <w:textAlignment w:val="auto"/>
        <w:rPr>
          <w:rFonts w:hint="eastAsia" w:ascii="宋体" w:hAnsi="宋体" w:eastAsia="宋体" w:cs="宋体"/>
          <w:color w:val="auto"/>
          <w:sz w:val="24"/>
          <w:szCs w:val="21"/>
          <w:highlight w:val="none"/>
          <w:lang w:val="zh-CN"/>
        </w:rPr>
      </w:pPr>
      <w:r>
        <w:rPr>
          <w:rFonts w:hint="eastAsia" w:ascii="宋体" w:hAnsi="宋体" w:eastAsia="宋体" w:cs="宋体"/>
          <w:bCs/>
          <w:color w:val="auto"/>
          <w:sz w:val="24"/>
          <w:szCs w:val="21"/>
          <w:highlight w:val="none"/>
          <w:lang w:val="zh-CN"/>
        </w:rPr>
        <w:t>13.1</w:t>
      </w:r>
      <w:r>
        <w:rPr>
          <w:rFonts w:hint="eastAsia" w:ascii="宋体" w:hAnsi="宋体" w:eastAsia="宋体" w:cs="宋体"/>
          <w:color w:val="auto"/>
          <w:sz w:val="24"/>
          <w:szCs w:val="21"/>
          <w:highlight w:val="none"/>
          <w:lang w:val="zh-CN"/>
        </w:rPr>
        <w:t>供应商需对磋商文件中的技术要求与商务要求逐项作出响应或偏离，并说明原因。</w:t>
      </w:r>
    </w:p>
    <w:p w14:paraId="123A3010">
      <w:pPr>
        <w:pageBreakBefore w:val="0"/>
        <w:widowControl w:val="0"/>
        <w:kinsoku/>
        <w:wordWrap/>
        <w:overflowPunct/>
        <w:topLinePunct w:val="0"/>
        <w:autoSpaceDE w:val="0"/>
        <w:autoSpaceDN w:val="0"/>
        <w:bidi w:val="0"/>
        <w:adjustRightInd w:val="0"/>
        <w:snapToGrid w:val="0"/>
        <w:spacing w:line="360" w:lineRule="auto"/>
        <w:ind w:firstLine="480" w:firstLineChars="200"/>
        <w:jc w:val="left"/>
        <w:textAlignment w:val="auto"/>
        <w:rPr>
          <w:rFonts w:hint="eastAsia" w:ascii="宋体" w:hAnsi="宋体" w:eastAsia="宋体" w:cs="宋体"/>
          <w:color w:val="auto"/>
          <w:sz w:val="24"/>
          <w:szCs w:val="21"/>
          <w:highlight w:val="none"/>
          <w:lang w:val="zh-CN"/>
        </w:rPr>
      </w:pPr>
      <w:r>
        <w:rPr>
          <w:rFonts w:hint="eastAsia" w:ascii="宋体" w:hAnsi="宋体" w:eastAsia="宋体" w:cs="宋体"/>
          <w:color w:val="auto"/>
          <w:sz w:val="24"/>
          <w:szCs w:val="21"/>
          <w:highlight w:val="none"/>
          <w:lang w:val="zh-CN"/>
        </w:rPr>
        <w:t>13.2供应商可在响应文件中提供认为需要的其他技术文件或说明。</w:t>
      </w:r>
    </w:p>
    <w:p w14:paraId="5357CE60">
      <w:pPr>
        <w:keepNext/>
        <w:keepLines/>
        <w:pageBreakBefore w:val="0"/>
        <w:widowControl w:val="0"/>
        <w:kinsoku/>
        <w:wordWrap/>
        <w:overflowPunct/>
        <w:topLinePunct w:val="0"/>
        <w:bidi w:val="0"/>
        <w:adjustRightInd w:val="0"/>
        <w:snapToGrid w:val="0"/>
        <w:spacing w:line="360" w:lineRule="auto"/>
        <w:ind w:firstLine="560" w:firstLineChars="200"/>
        <w:jc w:val="left"/>
        <w:textAlignment w:val="auto"/>
        <w:outlineLvl w:val="3"/>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14、服务承诺、培训计划、人员安排及其他</w:t>
      </w:r>
    </w:p>
    <w:p w14:paraId="5B139BA2">
      <w:pPr>
        <w:pageBreakBefore w:val="0"/>
        <w:widowControl w:val="0"/>
        <w:kinsoku/>
        <w:wordWrap/>
        <w:overflowPunct/>
        <w:topLinePunct w:val="0"/>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14.1</w:t>
      </w:r>
      <w:r>
        <w:rPr>
          <w:rFonts w:hint="eastAsia" w:ascii="宋体" w:hAnsi="宋体" w:eastAsia="宋体" w:cs="宋体"/>
          <w:color w:val="auto"/>
          <w:sz w:val="24"/>
          <w:szCs w:val="24"/>
          <w:highlight w:val="none"/>
        </w:rPr>
        <w:t>供应商需根据磋商文件要求提供有关售后服务的管理制度，售后服务机构的分布情况，售后服务人员的数量、素质、技术水平及售后服务的反应能力等。</w:t>
      </w:r>
    </w:p>
    <w:p w14:paraId="3924B930">
      <w:pPr>
        <w:pageBreakBefore w:val="0"/>
        <w:widowControl w:val="0"/>
        <w:kinsoku/>
        <w:wordWrap/>
        <w:overflowPunct/>
        <w:topLinePunct w:val="0"/>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14.2供应商需根据磋商文件要求提供培训计划。</w:t>
      </w:r>
    </w:p>
    <w:p w14:paraId="62F28AD9">
      <w:pPr>
        <w:pageBreakBefore w:val="0"/>
        <w:widowControl w:val="0"/>
        <w:kinsoku/>
        <w:wordWrap/>
        <w:overflowPunct/>
        <w:topLinePunct w:val="0"/>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14.3供应商需根据磋商文件要求提供</w:t>
      </w:r>
      <w:r>
        <w:rPr>
          <w:rFonts w:hint="eastAsia" w:ascii="宋体" w:hAnsi="宋体" w:eastAsia="宋体" w:cs="宋体"/>
          <w:color w:val="auto"/>
          <w:sz w:val="24"/>
          <w:szCs w:val="21"/>
          <w:highlight w:val="none"/>
          <w:lang w:val="zh-CN"/>
        </w:rPr>
        <w:t>磋商响应标的的主要组成部分、功能设计、实现思路及关键技术等。</w:t>
      </w:r>
    </w:p>
    <w:p w14:paraId="459D181E">
      <w:pPr>
        <w:keepNext/>
        <w:keepLines/>
        <w:pageBreakBefore w:val="0"/>
        <w:widowControl w:val="0"/>
        <w:kinsoku/>
        <w:wordWrap/>
        <w:overflowPunct/>
        <w:topLinePunct w:val="0"/>
        <w:bidi w:val="0"/>
        <w:adjustRightInd w:val="0"/>
        <w:snapToGrid w:val="0"/>
        <w:spacing w:line="360" w:lineRule="auto"/>
        <w:ind w:firstLine="560" w:firstLineChars="200"/>
        <w:jc w:val="left"/>
        <w:textAlignment w:val="auto"/>
        <w:outlineLvl w:val="3"/>
        <w:rPr>
          <w:rFonts w:hint="eastAsia" w:ascii="宋体" w:hAnsi="宋体" w:eastAsia="宋体" w:cs="宋体"/>
          <w:color w:val="auto"/>
          <w:sz w:val="28"/>
          <w:szCs w:val="28"/>
          <w:highlight w:val="none"/>
        </w:rPr>
      </w:pPr>
      <w:bookmarkStart w:id="104" w:name="_Toc14577359"/>
      <w:bookmarkStart w:id="105" w:name="_Toc49090510"/>
      <w:r>
        <w:rPr>
          <w:rFonts w:hint="eastAsia" w:ascii="宋体" w:hAnsi="宋体" w:eastAsia="宋体" w:cs="宋体"/>
          <w:color w:val="auto"/>
          <w:sz w:val="28"/>
          <w:szCs w:val="28"/>
          <w:highlight w:val="none"/>
        </w:rPr>
        <w:t>15、磋商响应函</w:t>
      </w:r>
    </w:p>
    <w:p w14:paraId="27726102">
      <w:pPr>
        <w:pageBreakBefore w:val="0"/>
        <w:widowControl w:val="0"/>
        <w:kinsoku/>
        <w:wordWrap/>
        <w:overflowPunct/>
        <w:topLinePunct w:val="0"/>
        <w:bidi w:val="0"/>
        <w:adjustRightInd w:val="0"/>
        <w:snapToGrid w:val="0"/>
        <w:spacing w:line="360" w:lineRule="auto"/>
        <w:ind w:firstLine="480" w:firstLineChars="200"/>
        <w:jc w:val="left"/>
        <w:textAlignment w:val="auto"/>
        <w:rPr>
          <w:rFonts w:hint="eastAsia" w:ascii="宋体" w:hAnsi="宋体" w:eastAsia="宋体" w:cs="宋体"/>
          <w:color w:val="auto"/>
          <w:sz w:val="24"/>
          <w:szCs w:val="21"/>
          <w:highlight w:val="none"/>
        </w:rPr>
      </w:pPr>
      <w:r>
        <w:rPr>
          <w:rFonts w:hint="eastAsia" w:ascii="宋体" w:hAnsi="宋体" w:eastAsia="宋体" w:cs="宋体"/>
          <w:bCs/>
          <w:color w:val="auto"/>
          <w:sz w:val="24"/>
          <w:szCs w:val="21"/>
          <w:highlight w:val="none"/>
        </w:rPr>
        <w:t>15.1</w:t>
      </w:r>
      <w:r>
        <w:rPr>
          <w:rFonts w:hint="eastAsia" w:ascii="宋体" w:hAnsi="宋体" w:eastAsia="宋体" w:cs="宋体"/>
          <w:color w:val="auto"/>
          <w:sz w:val="24"/>
          <w:szCs w:val="21"/>
          <w:highlight w:val="none"/>
        </w:rPr>
        <w:t>供应商应按照磋商文件中提供的格式完整、正确填写磋商响应函。</w:t>
      </w:r>
    </w:p>
    <w:bookmarkEnd w:id="104"/>
    <w:bookmarkEnd w:id="105"/>
    <w:p w14:paraId="3ECF546D">
      <w:pPr>
        <w:keepNext/>
        <w:keepLines/>
        <w:pageBreakBefore w:val="0"/>
        <w:widowControl w:val="0"/>
        <w:kinsoku/>
        <w:wordWrap/>
        <w:overflowPunct/>
        <w:topLinePunct w:val="0"/>
        <w:bidi w:val="0"/>
        <w:adjustRightInd w:val="0"/>
        <w:snapToGrid w:val="0"/>
        <w:spacing w:line="360" w:lineRule="auto"/>
        <w:ind w:firstLine="560" w:firstLineChars="200"/>
        <w:jc w:val="left"/>
        <w:textAlignment w:val="auto"/>
        <w:outlineLvl w:val="3"/>
        <w:rPr>
          <w:rFonts w:hint="eastAsia" w:ascii="宋体" w:hAnsi="宋体" w:eastAsia="宋体" w:cs="宋体"/>
          <w:color w:val="auto"/>
          <w:sz w:val="28"/>
          <w:szCs w:val="28"/>
          <w:highlight w:val="none"/>
        </w:rPr>
      </w:pPr>
      <w:bookmarkStart w:id="106" w:name="_Toc14577360"/>
      <w:bookmarkStart w:id="107" w:name="_Toc49090511"/>
      <w:r>
        <w:rPr>
          <w:rFonts w:hint="eastAsia" w:ascii="宋体" w:hAnsi="宋体" w:eastAsia="宋体" w:cs="宋体"/>
          <w:color w:val="auto"/>
          <w:sz w:val="28"/>
          <w:szCs w:val="28"/>
          <w:highlight w:val="none"/>
        </w:rPr>
        <w:t>16、磋商有效期</w:t>
      </w:r>
      <w:bookmarkEnd w:id="106"/>
      <w:bookmarkEnd w:id="107"/>
    </w:p>
    <w:p w14:paraId="1323CD83">
      <w:pPr>
        <w:pageBreakBefore w:val="0"/>
        <w:widowControl w:val="0"/>
        <w:kinsoku/>
        <w:wordWrap/>
        <w:overflowPunct/>
        <w:topLinePunct w:val="0"/>
        <w:bidi w:val="0"/>
        <w:adjustRightInd w:val="0"/>
        <w:snapToGrid w:val="0"/>
        <w:spacing w:line="360" w:lineRule="auto"/>
        <w:ind w:firstLine="480" w:firstLineChars="200"/>
        <w:jc w:val="left"/>
        <w:textAlignment w:val="auto"/>
        <w:rPr>
          <w:rFonts w:hint="eastAsia" w:ascii="宋体" w:hAnsi="宋体" w:eastAsia="宋体" w:cs="宋体"/>
          <w:bCs/>
          <w:color w:val="auto"/>
          <w:sz w:val="24"/>
          <w:szCs w:val="21"/>
          <w:highlight w:val="none"/>
        </w:rPr>
      </w:pPr>
      <w:r>
        <w:rPr>
          <w:rFonts w:hint="eastAsia" w:ascii="宋体" w:hAnsi="宋体" w:eastAsia="宋体" w:cs="宋体"/>
          <w:bCs/>
          <w:color w:val="auto"/>
          <w:sz w:val="24"/>
          <w:szCs w:val="21"/>
          <w:highlight w:val="none"/>
        </w:rPr>
        <w:t>16.1磋商有效期为代理机构人员规定的提交响应文件截止之日后</w:t>
      </w:r>
      <w:r>
        <w:rPr>
          <w:rFonts w:hint="eastAsia" w:ascii="宋体" w:hAnsi="宋体" w:eastAsia="宋体" w:cs="宋体"/>
          <w:b/>
          <w:color w:val="auto"/>
          <w:sz w:val="24"/>
          <w:szCs w:val="21"/>
          <w:highlight w:val="none"/>
          <w:u w:val="single"/>
        </w:rPr>
        <w:t>六十（60）天</w:t>
      </w:r>
      <w:r>
        <w:rPr>
          <w:rFonts w:hint="eastAsia" w:ascii="宋体" w:hAnsi="宋体" w:eastAsia="宋体" w:cs="宋体"/>
          <w:bCs/>
          <w:color w:val="auto"/>
          <w:sz w:val="24"/>
          <w:szCs w:val="21"/>
          <w:highlight w:val="none"/>
        </w:rPr>
        <w:t>。磋商有效期比规定短的将被视为非实质性响应磋商文件而予以拒绝。</w:t>
      </w:r>
    </w:p>
    <w:p w14:paraId="5B1C7BD3">
      <w:pPr>
        <w:keepNext/>
        <w:keepLines/>
        <w:pageBreakBefore w:val="0"/>
        <w:widowControl w:val="0"/>
        <w:kinsoku/>
        <w:wordWrap/>
        <w:overflowPunct/>
        <w:topLinePunct w:val="0"/>
        <w:bidi w:val="0"/>
        <w:adjustRightInd w:val="0"/>
        <w:snapToGrid w:val="0"/>
        <w:spacing w:line="360" w:lineRule="auto"/>
        <w:ind w:firstLine="560" w:firstLineChars="200"/>
        <w:jc w:val="left"/>
        <w:textAlignment w:val="auto"/>
        <w:outlineLvl w:val="3"/>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17、磋商有效期的延长</w:t>
      </w:r>
    </w:p>
    <w:p w14:paraId="3AA0C9A2">
      <w:pPr>
        <w:pageBreakBefore w:val="0"/>
        <w:widowControl w:val="0"/>
        <w:kinsoku/>
        <w:wordWrap/>
        <w:overflowPunct/>
        <w:topLinePunct w:val="0"/>
        <w:bidi w:val="0"/>
        <w:adjustRightInd w:val="0"/>
        <w:snapToGrid w:val="0"/>
        <w:spacing w:line="360" w:lineRule="auto"/>
        <w:ind w:firstLine="480" w:firstLineChars="200"/>
        <w:jc w:val="left"/>
        <w:textAlignment w:val="auto"/>
        <w:rPr>
          <w:rFonts w:hint="eastAsia" w:ascii="宋体" w:hAnsi="宋体" w:eastAsia="宋体" w:cs="宋体"/>
          <w:bCs/>
          <w:color w:val="auto"/>
          <w:sz w:val="24"/>
          <w:szCs w:val="21"/>
          <w:highlight w:val="none"/>
        </w:rPr>
      </w:pPr>
      <w:r>
        <w:rPr>
          <w:rFonts w:hint="eastAsia" w:ascii="宋体" w:hAnsi="宋体" w:eastAsia="宋体" w:cs="宋体"/>
          <w:bCs/>
          <w:color w:val="auto"/>
          <w:sz w:val="24"/>
          <w:szCs w:val="21"/>
          <w:highlight w:val="none"/>
        </w:rPr>
        <w:t>17.1在特殊情况下，代理机构人员于原磋商有效期满之前，可向供应商提出延长磋商有效期的要求。这种要求与答复均应采用书面形式。供应商可以拒绝代理机构人员的这一要求而放弃磋商，同意延长磋商有效期的供应商既不能要求也不允许修改其响应文件。</w:t>
      </w:r>
      <w:r>
        <w:rPr>
          <w:rFonts w:hint="eastAsia" w:ascii="宋体" w:hAnsi="宋体" w:eastAsia="宋体" w:cs="宋体"/>
          <w:color w:val="auto"/>
          <w:sz w:val="24"/>
          <w:szCs w:val="24"/>
          <w:highlight w:val="none"/>
        </w:rPr>
        <w:t>受磋商有效期约束的所有权利与义务均延长至新的有效期</w:t>
      </w:r>
      <w:r>
        <w:rPr>
          <w:rFonts w:hint="eastAsia" w:ascii="宋体" w:hAnsi="宋体" w:eastAsia="宋体" w:cs="宋体"/>
          <w:bCs/>
          <w:color w:val="auto"/>
          <w:sz w:val="24"/>
          <w:szCs w:val="21"/>
          <w:highlight w:val="none"/>
        </w:rPr>
        <w:t>。</w:t>
      </w:r>
    </w:p>
    <w:p w14:paraId="46C3C93E">
      <w:pPr>
        <w:keepNext/>
        <w:keepLines/>
        <w:pageBreakBefore w:val="0"/>
        <w:widowControl w:val="0"/>
        <w:kinsoku/>
        <w:wordWrap/>
        <w:overflowPunct/>
        <w:topLinePunct w:val="0"/>
        <w:bidi w:val="0"/>
        <w:adjustRightInd w:val="0"/>
        <w:snapToGrid w:val="0"/>
        <w:spacing w:line="360" w:lineRule="auto"/>
        <w:ind w:firstLine="643" w:firstLineChars="200"/>
        <w:jc w:val="left"/>
        <w:textAlignment w:val="auto"/>
        <w:outlineLvl w:val="2"/>
        <w:rPr>
          <w:rFonts w:hint="eastAsia" w:ascii="宋体" w:hAnsi="宋体" w:eastAsia="宋体" w:cs="宋体"/>
          <w:b/>
          <w:bCs/>
          <w:color w:val="auto"/>
          <w:sz w:val="32"/>
          <w:szCs w:val="32"/>
          <w:highlight w:val="none"/>
        </w:rPr>
      </w:pPr>
      <w:bookmarkStart w:id="108" w:name="_Hlt26954852"/>
      <w:bookmarkEnd w:id="108"/>
      <w:bookmarkStart w:id="109" w:name="_Hlt26954739"/>
      <w:bookmarkEnd w:id="109"/>
      <w:bookmarkStart w:id="110" w:name="_Toc16938540"/>
      <w:bookmarkStart w:id="111" w:name="_Toc20823296"/>
      <w:bookmarkStart w:id="112" w:name="_Toc120614217"/>
      <w:bookmarkStart w:id="113" w:name="_Toc513029224"/>
      <w:r>
        <w:rPr>
          <w:rFonts w:hint="eastAsia" w:ascii="宋体" w:hAnsi="宋体" w:eastAsia="宋体" w:cs="宋体"/>
          <w:b/>
          <w:bCs/>
          <w:color w:val="auto"/>
          <w:sz w:val="32"/>
          <w:szCs w:val="32"/>
          <w:highlight w:val="none"/>
        </w:rPr>
        <w:t>四、响应文件的递交</w:t>
      </w:r>
      <w:bookmarkEnd w:id="110"/>
      <w:bookmarkEnd w:id="111"/>
      <w:bookmarkEnd w:id="112"/>
      <w:bookmarkEnd w:id="113"/>
    </w:p>
    <w:p w14:paraId="50AF00E2">
      <w:pPr>
        <w:keepNext/>
        <w:keepLines/>
        <w:pageBreakBefore w:val="0"/>
        <w:widowControl w:val="0"/>
        <w:kinsoku/>
        <w:wordWrap/>
        <w:overflowPunct/>
        <w:topLinePunct w:val="0"/>
        <w:bidi w:val="0"/>
        <w:adjustRightInd w:val="0"/>
        <w:snapToGrid w:val="0"/>
        <w:spacing w:line="360" w:lineRule="auto"/>
        <w:ind w:firstLine="560" w:firstLineChars="200"/>
        <w:jc w:val="left"/>
        <w:textAlignment w:val="auto"/>
        <w:outlineLvl w:val="3"/>
        <w:rPr>
          <w:rFonts w:hint="eastAsia" w:ascii="宋体" w:hAnsi="宋体" w:eastAsia="宋体" w:cs="宋体"/>
          <w:color w:val="auto"/>
          <w:sz w:val="28"/>
          <w:szCs w:val="28"/>
          <w:highlight w:val="none"/>
        </w:rPr>
      </w:pPr>
      <w:bookmarkStart w:id="114" w:name="_Toc462564084"/>
      <w:bookmarkStart w:id="115" w:name="_Toc16938541"/>
      <w:bookmarkStart w:id="116" w:name="_Toc20823297"/>
      <w:bookmarkStart w:id="117" w:name="_Toc513029225"/>
      <w:r>
        <w:rPr>
          <w:rFonts w:hint="eastAsia" w:ascii="宋体" w:hAnsi="宋体" w:eastAsia="宋体" w:cs="宋体"/>
          <w:color w:val="auto"/>
          <w:sz w:val="28"/>
          <w:szCs w:val="28"/>
          <w:highlight w:val="none"/>
        </w:rPr>
        <w:t>18、电子磋商</w:t>
      </w:r>
      <w:bookmarkEnd w:id="114"/>
      <w:bookmarkEnd w:id="115"/>
      <w:bookmarkEnd w:id="116"/>
      <w:bookmarkEnd w:id="117"/>
      <w:r>
        <w:rPr>
          <w:rFonts w:hint="eastAsia" w:ascii="宋体" w:hAnsi="宋体" w:eastAsia="宋体" w:cs="宋体"/>
          <w:color w:val="auto"/>
          <w:sz w:val="28"/>
          <w:szCs w:val="28"/>
          <w:highlight w:val="none"/>
        </w:rPr>
        <w:t>响应文件的递交</w:t>
      </w:r>
    </w:p>
    <w:p w14:paraId="457549F4">
      <w:pPr>
        <w:pageBreakBefore w:val="0"/>
        <w:widowControl w:val="0"/>
        <w:kinsoku/>
        <w:wordWrap/>
        <w:overflowPunct/>
        <w:topLinePunct w:val="0"/>
        <w:bidi w:val="0"/>
        <w:adjustRightInd w:val="0"/>
        <w:snapToGrid w:val="0"/>
        <w:spacing w:line="360" w:lineRule="auto"/>
        <w:ind w:firstLine="480" w:firstLineChars="200"/>
        <w:jc w:val="left"/>
        <w:textAlignment w:val="auto"/>
        <w:rPr>
          <w:rFonts w:hint="eastAsia" w:ascii="宋体" w:hAnsi="宋体" w:eastAsia="宋体" w:cs="宋体"/>
          <w:bCs/>
          <w:color w:val="auto"/>
          <w:sz w:val="24"/>
          <w:szCs w:val="21"/>
          <w:highlight w:val="none"/>
        </w:rPr>
      </w:pPr>
      <w:r>
        <w:rPr>
          <w:rFonts w:hint="eastAsia" w:ascii="宋体" w:hAnsi="宋体" w:eastAsia="宋体" w:cs="宋体"/>
          <w:bCs/>
          <w:color w:val="auto"/>
          <w:sz w:val="24"/>
          <w:szCs w:val="21"/>
          <w:highlight w:val="none"/>
        </w:rPr>
        <w:t>18.1供应商应当按照《操作手册》规定，在提交响应文件截止时间前制作并上传电子响应文件。</w:t>
      </w:r>
      <w:bookmarkStart w:id="118" w:name="_Toc20823298"/>
      <w:bookmarkStart w:id="119" w:name="_Toc513029226"/>
      <w:bookmarkStart w:id="120" w:name="_Toc16938542"/>
    </w:p>
    <w:p w14:paraId="7FC485CD">
      <w:pPr>
        <w:keepNext/>
        <w:keepLines/>
        <w:pageBreakBefore w:val="0"/>
        <w:widowControl w:val="0"/>
        <w:kinsoku/>
        <w:wordWrap/>
        <w:overflowPunct/>
        <w:topLinePunct w:val="0"/>
        <w:autoSpaceDE/>
        <w:autoSpaceDN/>
        <w:bidi w:val="0"/>
        <w:adjustRightInd w:val="0"/>
        <w:snapToGrid w:val="0"/>
        <w:spacing w:line="360" w:lineRule="auto"/>
        <w:ind w:firstLine="560" w:firstLineChars="200"/>
        <w:jc w:val="left"/>
        <w:textAlignment w:val="auto"/>
        <w:outlineLvl w:val="3"/>
        <w:rPr>
          <w:rFonts w:hint="eastAsia" w:ascii="宋体" w:hAnsi="宋体" w:eastAsia="宋体" w:cs="宋体"/>
          <w:bCs/>
          <w:color w:val="auto"/>
          <w:sz w:val="24"/>
          <w:szCs w:val="28"/>
          <w:highlight w:val="none"/>
        </w:rPr>
      </w:pPr>
      <w:r>
        <w:rPr>
          <w:rFonts w:hint="eastAsia" w:ascii="宋体" w:hAnsi="宋体" w:eastAsia="宋体" w:cs="宋体"/>
          <w:bCs/>
          <w:color w:val="auto"/>
          <w:sz w:val="28"/>
          <w:szCs w:val="28"/>
          <w:highlight w:val="none"/>
        </w:rPr>
        <w:t>19、提交响应文件截止时间</w:t>
      </w:r>
      <w:bookmarkEnd w:id="118"/>
      <w:bookmarkEnd w:id="119"/>
      <w:bookmarkEnd w:id="120"/>
    </w:p>
    <w:p w14:paraId="7DBDBF14">
      <w:pPr>
        <w:pageBreakBefore w:val="0"/>
        <w:widowControl w:val="0"/>
        <w:kinsoku/>
        <w:wordWrap/>
        <w:overflowPunct/>
        <w:topLinePunct w:val="0"/>
        <w:bidi w:val="0"/>
        <w:adjustRightInd w:val="0"/>
        <w:snapToGrid w:val="0"/>
        <w:spacing w:line="360" w:lineRule="auto"/>
        <w:ind w:firstLine="482" w:firstLineChars="200"/>
        <w:jc w:val="left"/>
        <w:textAlignment w:val="auto"/>
        <w:rPr>
          <w:rFonts w:hint="eastAsia" w:ascii="宋体" w:hAnsi="宋体" w:eastAsia="宋体" w:cs="宋体"/>
          <w:b/>
          <w:bCs/>
          <w:color w:val="auto"/>
          <w:kern w:val="0"/>
          <w:sz w:val="24"/>
          <w:szCs w:val="21"/>
          <w:highlight w:val="none"/>
          <w:u w:val="single"/>
        </w:rPr>
      </w:pPr>
      <w:r>
        <w:rPr>
          <w:rFonts w:hint="eastAsia" w:ascii="宋体" w:hAnsi="宋体" w:eastAsia="宋体" w:cs="宋体"/>
          <w:b/>
          <w:bCs/>
          <w:color w:val="auto"/>
          <w:kern w:val="0"/>
          <w:sz w:val="24"/>
          <w:szCs w:val="21"/>
          <w:highlight w:val="none"/>
          <w:u w:val="single"/>
        </w:rPr>
        <w:t>19.1供应商上传电子响应文件的时间不得迟于磋商公告中规定的提交响应文件截止时间。</w:t>
      </w:r>
    </w:p>
    <w:p w14:paraId="47E619DA">
      <w:pPr>
        <w:pageBreakBefore w:val="0"/>
        <w:widowControl w:val="0"/>
        <w:kinsoku/>
        <w:wordWrap/>
        <w:overflowPunct/>
        <w:topLinePunct w:val="0"/>
        <w:bidi w:val="0"/>
        <w:adjustRightInd w:val="0"/>
        <w:snapToGrid w:val="0"/>
        <w:spacing w:line="360" w:lineRule="auto"/>
        <w:ind w:firstLine="480" w:firstLineChars="200"/>
        <w:jc w:val="left"/>
        <w:textAlignment w:val="auto"/>
        <w:rPr>
          <w:rFonts w:hint="eastAsia" w:ascii="宋体" w:hAnsi="宋体" w:eastAsia="宋体" w:cs="宋体"/>
          <w:bCs/>
          <w:color w:val="auto"/>
          <w:sz w:val="24"/>
          <w:szCs w:val="21"/>
          <w:highlight w:val="none"/>
        </w:rPr>
      </w:pPr>
      <w:r>
        <w:rPr>
          <w:rFonts w:hint="eastAsia" w:ascii="宋体" w:hAnsi="宋体" w:eastAsia="宋体" w:cs="宋体"/>
          <w:bCs/>
          <w:color w:val="auto"/>
          <w:sz w:val="24"/>
          <w:szCs w:val="21"/>
          <w:highlight w:val="none"/>
        </w:rPr>
        <w:t>供应商应充分考虑到网络环境、网络带宽等风险因素，如因供应商自身原因造成的电子响应文件上传不成功的按照本磋商文件第二章第26.3.2条规定做无效响应处理。</w:t>
      </w:r>
    </w:p>
    <w:p w14:paraId="31A83C9B">
      <w:pPr>
        <w:pageBreakBefore w:val="0"/>
        <w:widowControl w:val="0"/>
        <w:kinsoku/>
        <w:wordWrap/>
        <w:overflowPunct/>
        <w:topLinePunct w:val="0"/>
        <w:bidi w:val="0"/>
        <w:adjustRightInd w:val="0"/>
        <w:snapToGrid w:val="0"/>
        <w:spacing w:line="360" w:lineRule="auto"/>
        <w:ind w:firstLine="480" w:firstLineChars="200"/>
        <w:jc w:val="left"/>
        <w:textAlignment w:val="auto"/>
        <w:rPr>
          <w:rFonts w:hint="eastAsia" w:ascii="宋体" w:hAnsi="宋体" w:eastAsia="宋体" w:cs="宋体"/>
          <w:bCs/>
          <w:color w:val="auto"/>
          <w:sz w:val="24"/>
          <w:szCs w:val="21"/>
          <w:highlight w:val="none"/>
        </w:rPr>
      </w:pPr>
      <w:r>
        <w:rPr>
          <w:rFonts w:hint="eastAsia" w:ascii="宋体" w:hAnsi="宋体" w:eastAsia="宋体" w:cs="宋体"/>
          <w:color w:val="auto"/>
          <w:sz w:val="24"/>
          <w:szCs w:val="21"/>
          <w:highlight w:val="none"/>
        </w:rPr>
        <w:t>19.2</w:t>
      </w:r>
      <w:r>
        <w:rPr>
          <w:rFonts w:hint="eastAsia" w:ascii="宋体" w:hAnsi="宋体" w:eastAsia="宋体" w:cs="宋体"/>
          <w:bCs/>
          <w:color w:val="auto"/>
          <w:sz w:val="24"/>
          <w:szCs w:val="21"/>
          <w:highlight w:val="none"/>
        </w:rPr>
        <w:t>代理机构人员可以按照规定，通过修改磋商文件酌情延长提交响应文件截止日期，在此情况下，供应商的所有权利和义务以及供应商受制的截止日期均应以延长后新的截止日期为准。</w:t>
      </w:r>
    </w:p>
    <w:p w14:paraId="19CF17B8">
      <w:pPr>
        <w:keepNext/>
        <w:keepLines/>
        <w:pageBreakBefore w:val="0"/>
        <w:widowControl w:val="0"/>
        <w:kinsoku/>
        <w:wordWrap/>
        <w:overflowPunct/>
        <w:topLinePunct w:val="0"/>
        <w:bidi w:val="0"/>
        <w:adjustRightInd w:val="0"/>
        <w:snapToGrid w:val="0"/>
        <w:spacing w:line="360" w:lineRule="auto"/>
        <w:ind w:firstLine="560" w:firstLineChars="200"/>
        <w:jc w:val="left"/>
        <w:textAlignment w:val="auto"/>
        <w:outlineLvl w:val="3"/>
        <w:rPr>
          <w:rFonts w:hint="eastAsia" w:ascii="宋体" w:hAnsi="宋体" w:eastAsia="宋体" w:cs="宋体"/>
          <w:color w:val="auto"/>
          <w:sz w:val="28"/>
          <w:szCs w:val="28"/>
          <w:highlight w:val="none"/>
        </w:rPr>
      </w:pPr>
      <w:bookmarkStart w:id="121" w:name="_Toc20823299"/>
      <w:bookmarkStart w:id="122" w:name="_Toc513029227"/>
      <w:bookmarkStart w:id="123" w:name="_Toc16938543"/>
      <w:r>
        <w:rPr>
          <w:rFonts w:hint="eastAsia" w:ascii="宋体" w:hAnsi="宋体" w:eastAsia="宋体" w:cs="宋体"/>
          <w:color w:val="auto"/>
          <w:sz w:val="28"/>
          <w:szCs w:val="28"/>
          <w:highlight w:val="none"/>
        </w:rPr>
        <w:t>20、响应文件</w:t>
      </w:r>
      <w:bookmarkEnd w:id="121"/>
      <w:bookmarkEnd w:id="122"/>
      <w:bookmarkEnd w:id="123"/>
      <w:r>
        <w:rPr>
          <w:rFonts w:hint="eastAsia" w:ascii="宋体" w:hAnsi="宋体" w:eastAsia="宋体" w:cs="宋体"/>
          <w:color w:val="auto"/>
          <w:sz w:val="28"/>
          <w:szCs w:val="28"/>
          <w:highlight w:val="none"/>
        </w:rPr>
        <w:t>的拒收</w:t>
      </w:r>
    </w:p>
    <w:p w14:paraId="011F426B">
      <w:pPr>
        <w:pageBreakBefore w:val="0"/>
        <w:widowControl w:val="0"/>
        <w:kinsoku/>
        <w:wordWrap/>
        <w:overflowPunct/>
        <w:topLinePunct w:val="0"/>
        <w:bidi w:val="0"/>
        <w:adjustRightInd w:val="0"/>
        <w:snapToGrid w:val="0"/>
        <w:spacing w:line="360" w:lineRule="auto"/>
        <w:ind w:firstLine="480" w:firstLineChars="200"/>
        <w:jc w:val="left"/>
        <w:textAlignment w:val="auto"/>
        <w:rPr>
          <w:rFonts w:hint="eastAsia" w:ascii="宋体" w:hAnsi="宋体" w:eastAsia="宋体" w:cs="宋体"/>
          <w:bCs/>
          <w:color w:val="auto"/>
          <w:sz w:val="24"/>
          <w:szCs w:val="21"/>
          <w:highlight w:val="none"/>
        </w:rPr>
      </w:pPr>
      <w:r>
        <w:rPr>
          <w:rFonts w:hint="eastAsia" w:ascii="宋体" w:hAnsi="宋体" w:eastAsia="宋体" w:cs="宋体"/>
          <w:bCs/>
          <w:color w:val="auto"/>
          <w:sz w:val="24"/>
          <w:szCs w:val="21"/>
          <w:highlight w:val="none"/>
        </w:rPr>
        <w:t>20.1代理机构人员拒绝接收在其规定的提交响应文件截止时间后上传的任何电子响应文件。</w:t>
      </w:r>
    </w:p>
    <w:p w14:paraId="1F4FBC1B">
      <w:pPr>
        <w:keepNext/>
        <w:keepLines/>
        <w:pageBreakBefore w:val="0"/>
        <w:widowControl w:val="0"/>
        <w:kinsoku/>
        <w:wordWrap/>
        <w:overflowPunct/>
        <w:topLinePunct w:val="0"/>
        <w:bidi w:val="0"/>
        <w:adjustRightInd w:val="0"/>
        <w:snapToGrid w:val="0"/>
        <w:spacing w:line="360" w:lineRule="auto"/>
        <w:ind w:firstLine="560" w:firstLineChars="200"/>
        <w:jc w:val="left"/>
        <w:textAlignment w:val="auto"/>
        <w:outlineLvl w:val="3"/>
        <w:rPr>
          <w:rFonts w:hint="eastAsia" w:ascii="宋体" w:hAnsi="宋体" w:eastAsia="宋体" w:cs="宋体"/>
          <w:color w:val="auto"/>
          <w:sz w:val="28"/>
          <w:szCs w:val="28"/>
          <w:highlight w:val="none"/>
        </w:rPr>
      </w:pPr>
      <w:bookmarkStart w:id="124" w:name="_Toc513029228"/>
      <w:bookmarkStart w:id="125" w:name="_Toc20823300"/>
      <w:bookmarkStart w:id="126" w:name="_Toc16938544"/>
      <w:r>
        <w:rPr>
          <w:rFonts w:hint="eastAsia" w:ascii="宋体" w:hAnsi="宋体" w:eastAsia="宋体" w:cs="宋体"/>
          <w:color w:val="auto"/>
          <w:sz w:val="28"/>
          <w:szCs w:val="28"/>
          <w:highlight w:val="none"/>
        </w:rPr>
        <w:t>21、响应文件的撤回和修改</w:t>
      </w:r>
      <w:bookmarkEnd w:id="124"/>
      <w:bookmarkEnd w:id="125"/>
      <w:bookmarkEnd w:id="126"/>
    </w:p>
    <w:p w14:paraId="1E24936F">
      <w:pPr>
        <w:pageBreakBefore w:val="0"/>
        <w:widowControl w:val="0"/>
        <w:kinsoku/>
        <w:wordWrap/>
        <w:overflowPunct/>
        <w:topLinePunct w:val="0"/>
        <w:bidi w:val="0"/>
        <w:adjustRightInd w:val="0"/>
        <w:snapToGrid w:val="0"/>
        <w:spacing w:line="360" w:lineRule="auto"/>
        <w:ind w:firstLine="480" w:firstLineChars="200"/>
        <w:jc w:val="left"/>
        <w:textAlignment w:val="auto"/>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21.1响应文件的撤回</w:t>
      </w:r>
    </w:p>
    <w:p w14:paraId="63BAA13C">
      <w:pPr>
        <w:pageBreakBefore w:val="0"/>
        <w:widowControl w:val="0"/>
        <w:kinsoku/>
        <w:wordWrap/>
        <w:overflowPunct/>
        <w:topLinePunct w:val="0"/>
        <w:bidi w:val="0"/>
        <w:adjustRightInd w:val="0"/>
        <w:snapToGrid w:val="0"/>
        <w:spacing w:line="360" w:lineRule="auto"/>
        <w:ind w:firstLine="480" w:firstLineChars="200"/>
        <w:jc w:val="left"/>
        <w:textAlignment w:val="auto"/>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21.1.1 电子响应文件的撤回</w:t>
      </w:r>
    </w:p>
    <w:p w14:paraId="243F78DC">
      <w:pPr>
        <w:pageBreakBefore w:val="0"/>
        <w:widowControl w:val="0"/>
        <w:kinsoku/>
        <w:wordWrap/>
        <w:overflowPunct/>
        <w:topLinePunct w:val="0"/>
        <w:bidi w:val="0"/>
        <w:adjustRightInd w:val="0"/>
        <w:snapToGrid w:val="0"/>
        <w:spacing w:line="360" w:lineRule="auto"/>
        <w:ind w:firstLine="480" w:firstLineChars="200"/>
        <w:jc w:val="left"/>
        <w:textAlignment w:val="auto"/>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供应商可在</w:t>
      </w:r>
      <w:r>
        <w:rPr>
          <w:rFonts w:hint="eastAsia" w:ascii="宋体" w:hAnsi="宋体" w:eastAsia="宋体" w:cs="宋体"/>
          <w:bCs/>
          <w:color w:val="auto"/>
          <w:sz w:val="24"/>
          <w:szCs w:val="21"/>
          <w:highlight w:val="none"/>
        </w:rPr>
        <w:t>提交响应文件</w:t>
      </w:r>
      <w:r>
        <w:rPr>
          <w:rFonts w:hint="eastAsia" w:ascii="宋体" w:hAnsi="宋体" w:eastAsia="宋体" w:cs="宋体"/>
          <w:color w:val="auto"/>
          <w:sz w:val="24"/>
          <w:szCs w:val="21"/>
          <w:highlight w:val="none"/>
        </w:rPr>
        <w:t>截止时间前，撤回其电子响应文件，具体操作方法见《操作手册》。</w:t>
      </w:r>
    </w:p>
    <w:p w14:paraId="3BBD0F77">
      <w:pPr>
        <w:pageBreakBefore w:val="0"/>
        <w:widowControl w:val="0"/>
        <w:kinsoku/>
        <w:wordWrap/>
        <w:overflowPunct/>
        <w:topLinePunct w:val="0"/>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21.1.2供应商撤回电子响应文件，则认为其不再参与本项目磋商活动。</w:t>
      </w:r>
    </w:p>
    <w:p w14:paraId="5890030A">
      <w:pPr>
        <w:pageBreakBefore w:val="0"/>
        <w:widowControl w:val="0"/>
        <w:kinsoku/>
        <w:wordWrap/>
        <w:overflowPunct/>
        <w:topLinePunct w:val="0"/>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21.2响应文件的修改</w:t>
      </w:r>
    </w:p>
    <w:p w14:paraId="016488D5">
      <w:pPr>
        <w:pageBreakBefore w:val="0"/>
        <w:widowControl w:val="0"/>
        <w:kinsoku/>
        <w:wordWrap/>
        <w:overflowPunct/>
        <w:topLinePunct w:val="0"/>
        <w:bidi w:val="0"/>
        <w:adjustRightInd w:val="0"/>
        <w:snapToGrid w:val="0"/>
        <w:spacing w:line="360" w:lineRule="auto"/>
        <w:ind w:firstLine="480" w:firstLineChars="200"/>
        <w:jc w:val="left"/>
        <w:textAlignment w:val="auto"/>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供应商可在</w:t>
      </w:r>
      <w:r>
        <w:rPr>
          <w:rFonts w:hint="eastAsia" w:ascii="宋体" w:hAnsi="宋体" w:eastAsia="宋体" w:cs="宋体"/>
          <w:bCs/>
          <w:color w:val="auto"/>
          <w:sz w:val="24"/>
          <w:szCs w:val="21"/>
          <w:highlight w:val="none"/>
        </w:rPr>
        <w:t>提交响应文件</w:t>
      </w:r>
      <w:r>
        <w:rPr>
          <w:rFonts w:hint="eastAsia" w:ascii="宋体" w:hAnsi="宋体" w:eastAsia="宋体" w:cs="宋体"/>
          <w:color w:val="auto"/>
          <w:sz w:val="24"/>
          <w:szCs w:val="21"/>
          <w:highlight w:val="none"/>
        </w:rPr>
        <w:t>截止时间前，对其电子响应文件进行修改，具体操作方法见《操作手册》。</w:t>
      </w:r>
    </w:p>
    <w:p w14:paraId="674E2967">
      <w:pPr>
        <w:pageBreakBefore w:val="0"/>
        <w:widowControl w:val="0"/>
        <w:kinsoku/>
        <w:wordWrap/>
        <w:overflowPunct/>
        <w:topLinePunct w:val="0"/>
        <w:bidi w:val="0"/>
        <w:adjustRightInd w:val="0"/>
        <w:snapToGrid w:val="0"/>
        <w:spacing w:line="360" w:lineRule="auto"/>
        <w:ind w:firstLine="480" w:firstLineChars="200"/>
        <w:jc w:val="left"/>
        <w:textAlignment w:val="auto"/>
        <w:rPr>
          <w:rFonts w:hint="eastAsia" w:ascii="宋体" w:hAnsi="宋体" w:eastAsia="宋体" w:cs="宋体"/>
          <w:bCs/>
          <w:color w:val="auto"/>
          <w:sz w:val="24"/>
          <w:szCs w:val="21"/>
          <w:highlight w:val="none"/>
        </w:rPr>
      </w:pPr>
      <w:r>
        <w:rPr>
          <w:rFonts w:hint="eastAsia" w:ascii="宋体" w:hAnsi="宋体" w:eastAsia="宋体" w:cs="宋体"/>
          <w:color w:val="auto"/>
          <w:sz w:val="24"/>
          <w:szCs w:val="21"/>
          <w:highlight w:val="none"/>
        </w:rPr>
        <w:t>21.3</w:t>
      </w:r>
      <w:r>
        <w:rPr>
          <w:rFonts w:hint="eastAsia" w:ascii="宋体" w:hAnsi="宋体" w:eastAsia="宋体" w:cs="宋体"/>
          <w:bCs/>
          <w:color w:val="auto"/>
          <w:sz w:val="24"/>
          <w:szCs w:val="21"/>
          <w:highlight w:val="none"/>
        </w:rPr>
        <w:t>在提交响应文件截止时间之后，供应商不得对其电子响应文件作任何修改。</w:t>
      </w:r>
    </w:p>
    <w:p w14:paraId="277187CA">
      <w:pPr>
        <w:pageBreakBefore w:val="0"/>
        <w:widowControl w:val="0"/>
        <w:kinsoku/>
        <w:wordWrap/>
        <w:overflowPunct/>
        <w:topLinePunct w:val="0"/>
        <w:bidi w:val="0"/>
        <w:adjustRightInd w:val="0"/>
        <w:snapToGrid w:val="0"/>
        <w:spacing w:line="360" w:lineRule="auto"/>
        <w:ind w:firstLine="480" w:firstLineChars="200"/>
        <w:jc w:val="left"/>
        <w:textAlignment w:val="auto"/>
        <w:rPr>
          <w:rFonts w:hint="eastAsia" w:ascii="宋体" w:hAnsi="宋体" w:eastAsia="宋体" w:cs="宋体"/>
          <w:bCs/>
          <w:color w:val="auto"/>
          <w:sz w:val="24"/>
          <w:szCs w:val="21"/>
          <w:highlight w:val="none"/>
        </w:rPr>
      </w:pPr>
      <w:r>
        <w:rPr>
          <w:rFonts w:hint="eastAsia" w:ascii="宋体" w:hAnsi="宋体" w:eastAsia="宋体" w:cs="宋体"/>
          <w:color w:val="auto"/>
          <w:sz w:val="24"/>
          <w:szCs w:val="21"/>
          <w:highlight w:val="none"/>
        </w:rPr>
        <w:t>21.4</w:t>
      </w:r>
      <w:r>
        <w:rPr>
          <w:rFonts w:hint="eastAsia" w:ascii="宋体" w:hAnsi="宋体" w:eastAsia="宋体" w:cs="宋体"/>
          <w:bCs/>
          <w:color w:val="auto"/>
          <w:sz w:val="24"/>
          <w:szCs w:val="21"/>
          <w:highlight w:val="none"/>
        </w:rPr>
        <w:t>在提交响应文件截止时间至磋商文件中规定的磋商有效期满之间的这段时间内，供应商不得撤回其响应文件。</w:t>
      </w:r>
    </w:p>
    <w:p w14:paraId="16A23A74">
      <w:pPr>
        <w:keepNext/>
        <w:keepLines/>
        <w:pageBreakBefore w:val="0"/>
        <w:widowControl w:val="0"/>
        <w:kinsoku/>
        <w:wordWrap/>
        <w:overflowPunct/>
        <w:topLinePunct w:val="0"/>
        <w:bidi w:val="0"/>
        <w:adjustRightInd w:val="0"/>
        <w:snapToGrid w:val="0"/>
        <w:spacing w:line="360" w:lineRule="auto"/>
        <w:ind w:firstLine="643" w:firstLineChars="200"/>
        <w:jc w:val="left"/>
        <w:textAlignment w:val="auto"/>
        <w:outlineLvl w:val="2"/>
        <w:rPr>
          <w:rFonts w:hint="eastAsia" w:ascii="宋体" w:hAnsi="宋体" w:eastAsia="宋体" w:cs="宋体"/>
          <w:b/>
          <w:bCs/>
          <w:color w:val="auto"/>
          <w:sz w:val="32"/>
          <w:szCs w:val="32"/>
          <w:highlight w:val="none"/>
        </w:rPr>
      </w:pPr>
      <w:bookmarkStart w:id="127" w:name="_Toc20823301"/>
      <w:bookmarkStart w:id="128" w:name="_Toc120614218"/>
      <w:bookmarkStart w:id="129" w:name="_Toc513029229"/>
      <w:bookmarkStart w:id="130" w:name="_Toc16938545"/>
      <w:r>
        <w:rPr>
          <w:rFonts w:hint="eastAsia" w:ascii="宋体" w:hAnsi="宋体" w:eastAsia="宋体" w:cs="宋体"/>
          <w:b/>
          <w:bCs/>
          <w:color w:val="auto"/>
          <w:sz w:val="32"/>
          <w:szCs w:val="32"/>
          <w:highlight w:val="none"/>
        </w:rPr>
        <w:t>五、响应文件的解密与评审</w:t>
      </w:r>
      <w:bookmarkEnd w:id="127"/>
      <w:bookmarkEnd w:id="128"/>
      <w:bookmarkEnd w:id="129"/>
      <w:bookmarkEnd w:id="130"/>
    </w:p>
    <w:p w14:paraId="42101437">
      <w:pPr>
        <w:keepNext/>
        <w:keepLines/>
        <w:pageBreakBefore w:val="0"/>
        <w:widowControl w:val="0"/>
        <w:kinsoku/>
        <w:wordWrap/>
        <w:overflowPunct/>
        <w:topLinePunct w:val="0"/>
        <w:bidi w:val="0"/>
        <w:adjustRightInd w:val="0"/>
        <w:snapToGrid w:val="0"/>
        <w:spacing w:line="360" w:lineRule="auto"/>
        <w:ind w:firstLine="560" w:firstLineChars="200"/>
        <w:jc w:val="left"/>
        <w:textAlignment w:val="auto"/>
        <w:outlineLvl w:val="3"/>
        <w:rPr>
          <w:rFonts w:hint="eastAsia" w:ascii="宋体" w:hAnsi="宋体" w:eastAsia="宋体" w:cs="宋体"/>
          <w:color w:val="auto"/>
          <w:sz w:val="28"/>
          <w:szCs w:val="28"/>
          <w:highlight w:val="none"/>
        </w:rPr>
      </w:pPr>
      <w:bookmarkStart w:id="131" w:name="_Toc16938546"/>
      <w:bookmarkStart w:id="132" w:name="_Toc513029230"/>
      <w:bookmarkStart w:id="133" w:name="_Toc20823302"/>
      <w:r>
        <w:rPr>
          <w:rFonts w:hint="eastAsia" w:ascii="宋体" w:hAnsi="宋体" w:eastAsia="宋体" w:cs="宋体"/>
          <w:color w:val="auto"/>
          <w:sz w:val="28"/>
          <w:szCs w:val="28"/>
          <w:highlight w:val="none"/>
        </w:rPr>
        <w:t>22、</w:t>
      </w:r>
      <w:bookmarkEnd w:id="131"/>
      <w:bookmarkEnd w:id="132"/>
      <w:bookmarkEnd w:id="133"/>
      <w:r>
        <w:rPr>
          <w:rFonts w:hint="eastAsia" w:ascii="宋体" w:hAnsi="宋体" w:eastAsia="宋体" w:cs="宋体"/>
          <w:color w:val="auto"/>
          <w:sz w:val="28"/>
          <w:szCs w:val="28"/>
          <w:highlight w:val="none"/>
        </w:rPr>
        <w:t>响应文件解密</w:t>
      </w:r>
    </w:p>
    <w:p w14:paraId="2B156658">
      <w:pPr>
        <w:pageBreakBefore w:val="0"/>
        <w:widowControl w:val="0"/>
        <w:kinsoku/>
        <w:wordWrap/>
        <w:overflowPunct/>
        <w:topLinePunct w:val="0"/>
        <w:bidi w:val="0"/>
        <w:adjustRightInd w:val="0"/>
        <w:snapToGrid w:val="0"/>
        <w:spacing w:line="360" w:lineRule="auto"/>
        <w:ind w:firstLine="48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 w:val="24"/>
          <w:szCs w:val="21"/>
          <w:highlight w:val="none"/>
        </w:rPr>
        <w:t>22.1</w:t>
      </w:r>
      <w:r>
        <w:rPr>
          <w:rFonts w:hint="eastAsia" w:ascii="宋体" w:hAnsi="宋体" w:eastAsia="宋体" w:cs="宋体"/>
          <w:color w:val="auto"/>
          <w:sz w:val="24"/>
          <w:szCs w:val="24"/>
          <w:highlight w:val="none"/>
        </w:rPr>
        <w:t>供应商应当按照《操作手册》规定，在苏采云系统规定的时间内对磋商响应文件进行解密。</w:t>
      </w:r>
    </w:p>
    <w:p w14:paraId="777063B7">
      <w:pPr>
        <w:keepNext/>
        <w:keepLines/>
        <w:pageBreakBefore w:val="0"/>
        <w:widowControl w:val="0"/>
        <w:kinsoku/>
        <w:wordWrap/>
        <w:overflowPunct/>
        <w:topLinePunct w:val="0"/>
        <w:bidi w:val="0"/>
        <w:adjustRightInd w:val="0"/>
        <w:snapToGrid w:val="0"/>
        <w:spacing w:line="360" w:lineRule="auto"/>
        <w:ind w:firstLine="560" w:firstLineChars="200"/>
        <w:jc w:val="left"/>
        <w:textAlignment w:val="auto"/>
        <w:outlineLvl w:val="3"/>
        <w:rPr>
          <w:rFonts w:hint="eastAsia" w:ascii="宋体" w:hAnsi="宋体" w:eastAsia="宋体" w:cs="宋体"/>
          <w:color w:val="auto"/>
          <w:sz w:val="28"/>
          <w:szCs w:val="28"/>
          <w:highlight w:val="none"/>
        </w:rPr>
      </w:pPr>
      <w:bookmarkStart w:id="134" w:name="_Toc513029231"/>
      <w:bookmarkStart w:id="135" w:name="_Toc20823303"/>
      <w:bookmarkStart w:id="136" w:name="_Toc16938547"/>
      <w:r>
        <w:rPr>
          <w:rFonts w:hint="eastAsia" w:ascii="宋体" w:hAnsi="宋体" w:eastAsia="宋体" w:cs="宋体"/>
          <w:color w:val="auto"/>
          <w:sz w:val="28"/>
          <w:szCs w:val="28"/>
          <w:highlight w:val="none"/>
        </w:rPr>
        <w:t>23、磋商小组</w:t>
      </w:r>
    </w:p>
    <w:p w14:paraId="3AAC929B">
      <w:pPr>
        <w:pageBreakBefore w:val="0"/>
        <w:widowControl w:val="0"/>
        <w:kinsoku/>
        <w:wordWrap/>
        <w:overflowPunct/>
        <w:topLinePunct w:val="0"/>
        <w:bidi w:val="0"/>
        <w:adjustRightInd w:val="0"/>
        <w:snapToGrid w:val="0"/>
        <w:spacing w:line="360" w:lineRule="auto"/>
        <w:ind w:firstLine="480" w:firstLineChars="200"/>
        <w:jc w:val="left"/>
        <w:textAlignment w:val="auto"/>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23.1</w:t>
      </w:r>
      <w:r>
        <w:rPr>
          <w:rFonts w:hint="eastAsia" w:ascii="宋体" w:hAnsi="宋体" w:eastAsia="宋体" w:cs="宋体"/>
          <w:bCs/>
          <w:color w:val="auto"/>
          <w:sz w:val="24"/>
          <w:szCs w:val="21"/>
          <w:highlight w:val="none"/>
        </w:rPr>
        <w:t>代理机构人员</w:t>
      </w:r>
      <w:r>
        <w:rPr>
          <w:rFonts w:hint="eastAsia" w:ascii="宋体" w:hAnsi="宋体" w:eastAsia="宋体" w:cs="宋体"/>
          <w:color w:val="auto"/>
          <w:sz w:val="24"/>
          <w:szCs w:val="24"/>
          <w:highlight w:val="none"/>
        </w:rPr>
        <w:t>将组织磋商小组对响应文件进行评审。磋商小组由采购人代表和有关技术、经济等方面的专家组成，且人员构成符合政府采购有关规定。</w:t>
      </w:r>
    </w:p>
    <w:p w14:paraId="713F245E">
      <w:pPr>
        <w:pageBreakBefore w:val="0"/>
        <w:widowControl w:val="0"/>
        <w:kinsoku/>
        <w:wordWrap/>
        <w:overflowPunct/>
        <w:topLinePunct w:val="0"/>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23.2磋商小组独立工作，负责评审所有响应文件并确定成交侯选人。</w:t>
      </w:r>
    </w:p>
    <w:p w14:paraId="2D2E87DE">
      <w:pPr>
        <w:keepNext/>
        <w:keepLines/>
        <w:pageBreakBefore w:val="0"/>
        <w:widowControl w:val="0"/>
        <w:kinsoku/>
        <w:wordWrap/>
        <w:overflowPunct/>
        <w:topLinePunct w:val="0"/>
        <w:bidi w:val="0"/>
        <w:adjustRightInd w:val="0"/>
        <w:snapToGrid w:val="0"/>
        <w:spacing w:line="360" w:lineRule="auto"/>
        <w:ind w:firstLine="560" w:firstLineChars="200"/>
        <w:jc w:val="left"/>
        <w:textAlignment w:val="auto"/>
        <w:outlineLvl w:val="3"/>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24、评审过程的保密与公正</w:t>
      </w:r>
    </w:p>
    <w:bookmarkEnd w:id="134"/>
    <w:bookmarkEnd w:id="135"/>
    <w:bookmarkEnd w:id="136"/>
    <w:p w14:paraId="404ABC42">
      <w:pPr>
        <w:pageBreakBefore w:val="0"/>
        <w:widowControl w:val="0"/>
        <w:kinsoku/>
        <w:wordWrap/>
        <w:overflowPunct/>
        <w:topLinePunct w:val="0"/>
        <w:bidi w:val="0"/>
        <w:adjustRightInd w:val="0"/>
        <w:snapToGrid w:val="0"/>
        <w:spacing w:line="360" w:lineRule="auto"/>
        <w:ind w:firstLine="480" w:firstLineChars="200"/>
        <w:jc w:val="left"/>
        <w:textAlignment w:val="auto"/>
        <w:rPr>
          <w:rFonts w:hint="eastAsia" w:ascii="宋体" w:hAnsi="宋体" w:eastAsia="宋体" w:cs="宋体"/>
          <w:bCs/>
          <w:color w:val="auto"/>
          <w:sz w:val="24"/>
          <w:szCs w:val="21"/>
          <w:highlight w:val="none"/>
        </w:rPr>
      </w:pPr>
      <w:r>
        <w:rPr>
          <w:rFonts w:hint="eastAsia" w:ascii="宋体" w:hAnsi="宋体" w:eastAsia="宋体" w:cs="宋体"/>
          <w:color w:val="auto"/>
          <w:sz w:val="24"/>
          <w:szCs w:val="21"/>
          <w:highlight w:val="none"/>
        </w:rPr>
        <w:t>24.1</w:t>
      </w:r>
      <w:r>
        <w:rPr>
          <w:rFonts w:hint="eastAsia" w:ascii="宋体" w:hAnsi="宋体" w:eastAsia="宋体" w:cs="宋体"/>
          <w:bCs/>
          <w:color w:val="auto"/>
          <w:sz w:val="24"/>
          <w:szCs w:val="21"/>
          <w:highlight w:val="none"/>
        </w:rPr>
        <w:t>磋商小组、采购人和代理机构工作人员、相关监督人员等与评审工作有关的人员，对评审情况以及在评审过程中获悉的国家秘密、商业秘密负有保密责任。</w:t>
      </w:r>
    </w:p>
    <w:p w14:paraId="4868DC44">
      <w:pPr>
        <w:pageBreakBefore w:val="0"/>
        <w:widowControl w:val="0"/>
        <w:kinsoku/>
        <w:wordWrap/>
        <w:overflowPunct/>
        <w:topLinePunct w:val="0"/>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1"/>
          <w:highlight w:val="none"/>
        </w:rPr>
        <w:t>24.2</w:t>
      </w:r>
      <w:r>
        <w:rPr>
          <w:rFonts w:hint="eastAsia" w:ascii="宋体" w:hAnsi="宋体" w:eastAsia="宋体" w:cs="宋体"/>
          <w:color w:val="auto"/>
          <w:sz w:val="24"/>
          <w:szCs w:val="24"/>
          <w:highlight w:val="none"/>
        </w:rPr>
        <w:t>在评审过程中，供应商不得以任何行为影响磋商评审过程，否则其响应文件将被作为无效响应文件。</w:t>
      </w:r>
    </w:p>
    <w:p w14:paraId="6EC44375">
      <w:pPr>
        <w:pageBreakBefore w:val="0"/>
        <w:widowControl w:val="0"/>
        <w:kinsoku/>
        <w:wordWrap/>
        <w:overflowPunct/>
        <w:topLinePunct w:val="0"/>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1"/>
          <w:highlight w:val="none"/>
        </w:rPr>
        <w:t>24.3</w:t>
      </w:r>
      <w:r>
        <w:rPr>
          <w:rFonts w:hint="eastAsia" w:ascii="宋体" w:hAnsi="宋体" w:eastAsia="宋体" w:cs="宋体"/>
          <w:color w:val="auto"/>
          <w:sz w:val="24"/>
          <w:szCs w:val="24"/>
          <w:highlight w:val="none"/>
        </w:rPr>
        <w:t>在项目评审期间，</w:t>
      </w:r>
      <w:r>
        <w:rPr>
          <w:rFonts w:hint="eastAsia" w:ascii="宋体" w:hAnsi="宋体" w:eastAsia="宋体" w:cs="宋体"/>
          <w:bCs/>
          <w:color w:val="auto"/>
          <w:sz w:val="24"/>
          <w:szCs w:val="21"/>
          <w:highlight w:val="none"/>
        </w:rPr>
        <w:t>代理机构</w:t>
      </w:r>
      <w:r>
        <w:rPr>
          <w:rFonts w:hint="eastAsia" w:ascii="宋体" w:hAnsi="宋体" w:eastAsia="宋体" w:cs="宋体"/>
          <w:color w:val="auto"/>
          <w:sz w:val="24"/>
          <w:szCs w:val="24"/>
          <w:highlight w:val="none"/>
        </w:rPr>
        <w:t>将设专门人员与供应商联系。</w:t>
      </w:r>
    </w:p>
    <w:p w14:paraId="59390CD3">
      <w:pPr>
        <w:pageBreakBefore w:val="0"/>
        <w:widowControl w:val="0"/>
        <w:kinsoku/>
        <w:wordWrap/>
        <w:overflowPunct/>
        <w:topLinePunct w:val="0"/>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24.4 </w:t>
      </w:r>
      <w:r>
        <w:rPr>
          <w:rFonts w:hint="eastAsia" w:ascii="宋体" w:hAnsi="宋体" w:eastAsia="宋体" w:cs="宋体"/>
          <w:bCs/>
          <w:color w:val="auto"/>
          <w:sz w:val="24"/>
          <w:szCs w:val="21"/>
          <w:highlight w:val="none"/>
        </w:rPr>
        <w:t>代理机构</w:t>
      </w:r>
      <w:r>
        <w:rPr>
          <w:rFonts w:hint="eastAsia" w:ascii="宋体" w:hAnsi="宋体" w:eastAsia="宋体" w:cs="宋体"/>
          <w:color w:val="auto"/>
          <w:sz w:val="24"/>
          <w:szCs w:val="24"/>
          <w:highlight w:val="none"/>
        </w:rPr>
        <w:t>和磋商小组不向未成交的供应商解释未成交原因，也不公布评审过程中的相关细节。</w:t>
      </w:r>
    </w:p>
    <w:p w14:paraId="69CEA059">
      <w:pPr>
        <w:keepNext/>
        <w:keepLines/>
        <w:pageBreakBefore w:val="0"/>
        <w:widowControl w:val="0"/>
        <w:kinsoku/>
        <w:wordWrap/>
        <w:overflowPunct/>
        <w:topLinePunct w:val="0"/>
        <w:bidi w:val="0"/>
        <w:adjustRightInd w:val="0"/>
        <w:snapToGrid w:val="0"/>
        <w:spacing w:line="360" w:lineRule="auto"/>
        <w:ind w:firstLine="560" w:firstLineChars="200"/>
        <w:jc w:val="left"/>
        <w:textAlignment w:val="auto"/>
        <w:outlineLvl w:val="3"/>
        <w:rPr>
          <w:rFonts w:hint="eastAsia" w:ascii="宋体" w:hAnsi="宋体" w:eastAsia="宋体" w:cs="宋体"/>
          <w:color w:val="auto"/>
          <w:sz w:val="28"/>
          <w:szCs w:val="28"/>
          <w:highlight w:val="none"/>
        </w:rPr>
      </w:pPr>
      <w:bookmarkStart w:id="137" w:name="_Toc513029232"/>
      <w:bookmarkStart w:id="138" w:name="_Toc20823304"/>
      <w:bookmarkStart w:id="139" w:name="_Toc16938548"/>
      <w:r>
        <w:rPr>
          <w:rFonts w:hint="eastAsia" w:ascii="宋体" w:hAnsi="宋体" w:eastAsia="宋体" w:cs="宋体"/>
          <w:color w:val="auto"/>
          <w:sz w:val="28"/>
          <w:szCs w:val="28"/>
          <w:highlight w:val="none"/>
        </w:rPr>
        <w:t>25、评审过程中的的澄清</w:t>
      </w:r>
      <w:bookmarkEnd w:id="137"/>
      <w:bookmarkEnd w:id="138"/>
      <w:bookmarkEnd w:id="139"/>
    </w:p>
    <w:p w14:paraId="2AE6B80D">
      <w:pPr>
        <w:pageBreakBefore w:val="0"/>
        <w:widowControl w:val="0"/>
        <w:kinsoku/>
        <w:wordWrap/>
        <w:overflowPunct/>
        <w:topLinePunct w:val="0"/>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25.1项目评审期间，磋商小组有权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33987DD1">
      <w:pPr>
        <w:pageBreakBefore w:val="0"/>
        <w:widowControl w:val="0"/>
        <w:kinsoku/>
        <w:wordWrap/>
        <w:overflowPunct/>
        <w:topLinePunct w:val="0"/>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磋商小组并非对每个供应商都作澄清要求。</w:t>
      </w:r>
    </w:p>
    <w:p w14:paraId="7E41C4CD">
      <w:pPr>
        <w:pageBreakBefore w:val="0"/>
        <w:widowControl w:val="0"/>
        <w:kinsoku/>
        <w:wordWrap/>
        <w:overflowPunct/>
        <w:topLinePunct w:val="0"/>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25.2需要供应商进行澄清、说明和更正的，磋商小组将通过苏采云系统向供应商发布“澄清要求函”，接到“澄清要求函”的供应商应当按照要求在苏采云系统中提交“澄清响应函”并加盖CA电子公章。澄清、说明和更正的内容作为响应文件的补充部分，具体操作方式见《操作手册》。</w:t>
      </w:r>
    </w:p>
    <w:p w14:paraId="0C3DC7A8">
      <w:pPr>
        <w:pageBreakBefore w:val="0"/>
        <w:widowControl w:val="0"/>
        <w:kinsoku/>
        <w:wordWrap/>
        <w:overflowPunct/>
        <w:topLinePunct w:val="0"/>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25.3 接到磋商小组澄清、说明和更正要求的供应商如未按规定做出澄清、说明和更正，其风险由供应商自行承担。</w:t>
      </w:r>
    </w:p>
    <w:p w14:paraId="11A39D77">
      <w:pPr>
        <w:keepNext/>
        <w:keepLines/>
        <w:pageBreakBefore w:val="0"/>
        <w:widowControl w:val="0"/>
        <w:kinsoku/>
        <w:wordWrap/>
        <w:overflowPunct/>
        <w:topLinePunct w:val="0"/>
        <w:bidi w:val="0"/>
        <w:adjustRightInd w:val="0"/>
        <w:snapToGrid w:val="0"/>
        <w:spacing w:line="360" w:lineRule="auto"/>
        <w:ind w:firstLine="560" w:firstLineChars="200"/>
        <w:jc w:val="left"/>
        <w:textAlignment w:val="auto"/>
        <w:outlineLvl w:val="3"/>
        <w:rPr>
          <w:rFonts w:hint="eastAsia" w:ascii="宋体" w:hAnsi="宋体" w:eastAsia="宋体" w:cs="宋体"/>
          <w:color w:val="auto"/>
          <w:sz w:val="28"/>
          <w:szCs w:val="28"/>
          <w:highlight w:val="none"/>
        </w:rPr>
      </w:pPr>
      <w:bookmarkStart w:id="140" w:name="_Toc16938549"/>
      <w:bookmarkStart w:id="141" w:name="_Toc20823305"/>
      <w:bookmarkStart w:id="142" w:name="_Toc513029233"/>
      <w:r>
        <w:rPr>
          <w:rFonts w:hint="eastAsia" w:ascii="宋体" w:hAnsi="宋体" w:eastAsia="宋体" w:cs="宋体"/>
          <w:color w:val="auto"/>
          <w:sz w:val="28"/>
          <w:szCs w:val="28"/>
          <w:highlight w:val="none"/>
        </w:rPr>
        <w:t>26、对响应文件的审</w:t>
      </w:r>
      <w:bookmarkEnd w:id="140"/>
      <w:bookmarkEnd w:id="141"/>
      <w:bookmarkEnd w:id="142"/>
      <w:r>
        <w:rPr>
          <w:rFonts w:hint="eastAsia" w:ascii="宋体" w:hAnsi="宋体" w:eastAsia="宋体" w:cs="宋体"/>
          <w:color w:val="auto"/>
          <w:sz w:val="28"/>
          <w:szCs w:val="28"/>
          <w:highlight w:val="none"/>
        </w:rPr>
        <w:t>查</w:t>
      </w:r>
    </w:p>
    <w:p w14:paraId="35186F5E">
      <w:pPr>
        <w:pageBreakBefore w:val="0"/>
        <w:widowControl w:val="0"/>
        <w:kinsoku/>
        <w:wordWrap/>
        <w:overflowPunct/>
        <w:topLinePunct w:val="0"/>
        <w:bidi w:val="0"/>
        <w:adjustRightInd w:val="0"/>
        <w:snapToGrid w:val="0"/>
        <w:spacing w:line="360" w:lineRule="auto"/>
        <w:ind w:firstLine="480" w:firstLineChars="200"/>
        <w:jc w:val="left"/>
        <w:textAlignment w:val="auto"/>
        <w:rPr>
          <w:rFonts w:hint="eastAsia" w:ascii="宋体" w:hAnsi="宋体" w:eastAsia="宋体" w:cs="宋体"/>
          <w:bCs/>
          <w:color w:val="auto"/>
          <w:sz w:val="24"/>
          <w:szCs w:val="21"/>
          <w:highlight w:val="none"/>
        </w:rPr>
      </w:pPr>
      <w:r>
        <w:rPr>
          <w:rFonts w:hint="eastAsia" w:ascii="宋体" w:hAnsi="宋体" w:eastAsia="宋体" w:cs="宋体"/>
          <w:color w:val="auto"/>
          <w:sz w:val="24"/>
          <w:szCs w:val="21"/>
          <w:highlight w:val="none"/>
        </w:rPr>
        <w:t>26.1</w:t>
      </w:r>
      <w:r>
        <w:rPr>
          <w:rFonts w:hint="eastAsia" w:ascii="宋体" w:hAnsi="宋体" w:eastAsia="宋体" w:cs="宋体"/>
          <w:bCs/>
          <w:color w:val="auto"/>
          <w:sz w:val="24"/>
          <w:szCs w:val="21"/>
          <w:highlight w:val="none"/>
        </w:rPr>
        <w:t>响应文件审查分为资格审查和符合性审查。</w:t>
      </w:r>
    </w:p>
    <w:p w14:paraId="2D21F882">
      <w:pPr>
        <w:pageBreakBefore w:val="0"/>
        <w:widowControl w:val="0"/>
        <w:kinsoku/>
        <w:wordWrap/>
        <w:overflowPunct/>
        <w:topLinePunct w:val="0"/>
        <w:bidi w:val="0"/>
        <w:adjustRightInd w:val="0"/>
        <w:snapToGrid w:val="0"/>
        <w:spacing w:line="360" w:lineRule="auto"/>
        <w:ind w:firstLine="480" w:firstLineChars="200"/>
        <w:jc w:val="left"/>
        <w:textAlignment w:val="auto"/>
        <w:rPr>
          <w:rFonts w:hint="eastAsia" w:ascii="宋体" w:hAnsi="宋体" w:eastAsia="宋体" w:cs="宋体"/>
          <w:bCs/>
          <w:color w:val="auto"/>
          <w:sz w:val="24"/>
          <w:szCs w:val="21"/>
          <w:highlight w:val="none"/>
        </w:rPr>
      </w:pPr>
      <w:r>
        <w:rPr>
          <w:rFonts w:hint="eastAsia" w:ascii="宋体" w:hAnsi="宋体" w:eastAsia="宋体" w:cs="宋体"/>
          <w:bCs/>
          <w:color w:val="auto"/>
          <w:sz w:val="24"/>
          <w:szCs w:val="21"/>
          <w:highlight w:val="none"/>
        </w:rPr>
        <w:t>26.1.1 资格审查：由磋商小组依据法律法规和磋商文件的规定，对响应文件中的资格证明文件进行审查，以确定供应商是否具备参加磋商的资格。</w:t>
      </w:r>
    </w:p>
    <w:p w14:paraId="72F93766">
      <w:pPr>
        <w:pageBreakBefore w:val="0"/>
        <w:widowControl w:val="0"/>
        <w:kinsoku/>
        <w:wordWrap/>
        <w:overflowPunct/>
        <w:topLinePunct w:val="0"/>
        <w:bidi w:val="0"/>
        <w:adjustRightInd w:val="0"/>
        <w:snapToGrid w:val="0"/>
        <w:spacing w:line="360" w:lineRule="auto"/>
        <w:ind w:firstLine="480" w:firstLineChars="200"/>
        <w:jc w:val="left"/>
        <w:textAlignment w:val="auto"/>
        <w:rPr>
          <w:rFonts w:hint="eastAsia" w:ascii="宋体" w:hAnsi="宋体" w:eastAsia="宋体" w:cs="宋体"/>
          <w:bCs/>
          <w:color w:val="auto"/>
          <w:sz w:val="24"/>
          <w:szCs w:val="21"/>
          <w:highlight w:val="none"/>
        </w:rPr>
      </w:pPr>
      <w:r>
        <w:rPr>
          <w:rFonts w:hint="eastAsia" w:ascii="宋体" w:hAnsi="宋体" w:eastAsia="宋体" w:cs="宋体"/>
          <w:bCs/>
          <w:color w:val="auto"/>
          <w:sz w:val="24"/>
          <w:szCs w:val="21"/>
          <w:highlight w:val="none"/>
        </w:rPr>
        <w:t>磋商小组在进行资格审查的同时，将在“信用中国”网站（www.creditchina.gov.cn）查询供应商的信用记录，以确定供应商是否具备磋商资格,查询结果留存并归档。</w:t>
      </w:r>
    </w:p>
    <w:p w14:paraId="79840559">
      <w:pPr>
        <w:pageBreakBefore w:val="0"/>
        <w:widowControl w:val="0"/>
        <w:kinsoku/>
        <w:wordWrap/>
        <w:overflowPunct/>
        <w:topLinePunct w:val="0"/>
        <w:bidi w:val="0"/>
        <w:adjustRightInd w:val="0"/>
        <w:snapToGrid w:val="0"/>
        <w:spacing w:line="360" w:lineRule="auto"/>
        <w:ind w:firstLine="480" w:firstLineChars="200"/>
        <w:jc w:val="left"/>
        <w:textAlignment w:val="auto"/>
        <w:rPr>
          <w:rFonts w:hint="eastAsia" w:ascii="宋体" w:hAnsi="宋体" w:eastAsia="宋体" w:cs="宋体"/>
          <w:bCs/>
          <w:color w:val="auto"/>
          <w:sz w:val="24"/>
          <w:szCs w:val="21"/>
          <w:highlight w:val="none"/>
        </w:rPr>
      </w:pPr>
      <w:r>
        <w:rPr>
          <w:rFonts w:hint="eastAsia" w:ascii="宋体" w:hAnsi="宋体" w:eastAsia="宋体" w:cs="宋体"/>
          <w:bCs/>
          <w:color w:val="auto"/>
          <w:sz w:val="24"/>
          <w:szCs w:val="21"/>
          <w:highlight w:val="none"/>
        </w:rPr>
        <w:t>接受联合体的项目，两个以上的自然人、法人或者其他组织组成一个联合体，以一个供应商的身份共同参加政府采购活动的,联合体成员中任何一方存在不良信用记录的，视同联合体存在不良应用记录。</w:t>
      </w:r>
    </w:p>
    <w:p w14:paraId="52A4A441">
      <w:pPr>
        <w:pageBreakBefore w:val="0"/>
        <w:widowControl w:val="0"/>
        <w:kinsoku/>
        <w:wordWrap/>
        <w:overflowPunct/>
        <w:topLinePunct w:val="0"/>
        <w:bidi w:val="0"/>
        <w:adjustRightInd w:val="0"/>
        <w:snapToGrid w:val="0"/>
        <w:spacing w:line="360" w:lineRule="auto"/>
        <w:ind w:firstLine="480" w:firstLineChars="200"/>
        <w:jc w:val="left"/>
        <w:textAlignment w:val="auto"/>
        <w:rPr>
          <w:rFonts w:hint="eastAsia" w:ascii="宋体" w:hAnsi="宋体" w:eastAsia="宋体" w:cs="宋体"/>
          <w:bCs/>
          <w:color w:val="auto"/>
          <w:sz w:val="24"/>
          <w:szCs w:val="21"/>
          <w:highlight w:val="none"/>
        </w:rPr>
      </w:pPr>
      <w:r>
        <w:rPr>
          <w:rFonts w:hint="eastAsia" w:ascii="宋体" w:hAnsi="宋体" w:eastAsia="宋体" w:cs="宋体"/>
          <w:bCs/>
          <w:color w:val="auto"/>
          <w:sz w:val="24"/>
          <w:szCs w:val="21"/>
          <w:highlight w:val="none"/>
        </w:rPr>
        <w:t>26.1.2 符合性审查：依据磋商文件的规定，由磋商小组从响应文件的有效性、完整性和对磋商文件的响应程度进行审查，以确定是否对磋商文件的实质性要求作出响应。</w:t>
      </w:r>
    </w:p>
    <w:p w14:paraId="0ED88210">
      <w:pPr>
        <w:pageBreakBefore w:val="0"/>
        <w:widowControl w:val="0"/>
        <w:kinsoku/>
        <w:wordWrap/>
        <w:overflowPunct/>
        <w:topLinePunct w:val="0"/>
        <w:bidi w:val="0"/>
        <w:adjustRightInd w:val="0"/>
        <w:snapToGrid w:val="0"/>
        <w:spacing w:line="360" w:lineRule="auto"/>
        <w:ind w:firstLine="480" w:firstLineChars="200"/>
        <w:jc w:val="left"/>
        <w:textAlignment w:val="auto"/>
        <w:rPr>
          <w:rFonts w:hint="eastAsia" w:ascii="宋体" w:hAnsi="宋体" w:eastAsia="宋体" w:cs="宋体"/>
          <w:bCs/>
          <w:color w:val="auto"/>
          <w:sz w:val="24"/>
          <w:szCs w:val="21"/>
          <w:highlight w:val="none"/>
        </w:rPr>
      </w:pPr>
      <w:r>
        <w:rPr>
          <w:rFonts w:hint="eastAsia" w:ascii="宋体" w:hAnsi="宋体" w:eastAsia="宋体" w:cs="宋体"/>
          <w:bCs/>
          <w:color w:val="auto"/>
          <w:sz w:val="24"/>
          <w:szCs w:val="21"/>
          <w:highlight w:val="none"/>
        </w:rPr>
        <w:t>26.1.3 未通过资格审查或符合性审查的供应商，磋商小组将在</w:t>
      </w:r>
      <w:r>
        <w:rPr>
          <w:rFonts w:hint="eastAsia" w:ascii="宋体" w:hAnsi="宋体" w:eastAsia="宋体" w:cs="宋体"/>
          <w:color w:val="auto"/>
          <w:sz w:val="24"/>
          <w:szCs w:val="24"/>
          <w:highlight w:val="none"/>
        </w:rPr>
        <w:t>苏采云系统</w:t>
      </w:r>
      <w:r>
        <w:rPr>
          <w:rFonts w:hint="eastAsia" w:ascii="宋体" w:hAnsi="宋体" w:eastAsia="宋体" w:cs="宋体"/>
          <w:bCs/>
          <w:color w:val="auto"/>
          <w:sz w:val="24"/>
          <w:szCs w:val="21"/>
          <w:highlight w:val="none"/>
        </w:rPr>
        <w:t>中告知未通过资格审查或符合性审查的原因，评审结束后，磋商小组将不再告知未通过资格审查或符合性审查的原因。</w:t>
      </w:r>
    </w:p>
    <w:p w14:paraId="7A2CD9E3">
      <w:pPr>
        <w:pageBreakBefore w:val="0"/>
        <w:widowControl w:val="0"/>
        <w:kinsoku/>
        <w:wordWrap/>
        <w:overflowPunct/>
        <w:topLinePunct w:val="0"/>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1"/>
          <w:highlight w:val="none"/>
        </w:rPr>
        <w:t>26.2</w:t>
      </w:r>
      <w:r>
        <w:rPr>
          <w:rFonts w:hint="eastAsia" w:ascii="宋体" w:hAnsi="宋体" w:eastAsia="宋体" w:cs="宋体"/>
          <w:color w:val="auto"/>
          <w:sz w:val="24"/>
          <w:szCs w:val="24"/>
          <w:highlight w:val="none"/>
        </w:rPr>
        <w:t>在详细评审之前，磋商小组将首先审查每份响应文件是否实质性响应了磋商文件的要求。实质性响应的响应文件应该是与磋商文件要求的条款、条件和规格相符，没有重大偏离或保留。</w:t>
      </w:r>
    </w:p>
    <w:p w14:paraId="6682B02A">
      <w:pPr>
        <w:pageBreakBefore w:val="0"/>
        <w:widowControl w:val="0"/>
        <w:kinsoku/>
        <w:wordWrap/>
        <w:overflowPunct/>
        <w:topLinePunct w:val="0"/>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所谓重大偏离或保留是指与磋商文件规定的实质性要求存在负偏离，或者在实质上与磋商文件不一致，而且限制了合同中买方和</w:t>
      </w:r>
      <w:r>
        <w:rPr>
          <w:rFonts w:hint="eastAsia" w:ascii="宋体" w:hAnsi="宋体" w:eastAsia="宋体" w:cs="宋体"/>
          <w:bCs/>
          <w:color w:val="auto"/>
          <w:sz w:val="24"/>
          <w:szCs w:val="21"/>
          <w:highlight w:val="none"/>
        </w:rPr>
        <w:t>代理机构</w:t>
      </w:r>
      <w:r>
        <w:rPr>
          <w:rFonts w:hint="eastAsia" w:ascii="宋体" w:hAnsi="宋体" w:eastAsia="宋体" w:cs="宋体"/>
          <w:color w:val="auto"/>
          <w:sz w:val="24"/>
          <w:szCs w:val="24"/>
          <w:highlight w:val="none"/>
        </w:rPr>
        <w:t>的权利或供应商的义务，纠正这些偏离或保留将会对其他实质性响应要求的供应商的竞争地位产生不公正的影响。重大偏离由磋商小组按照少数服从多数的原则认定。磋商小组决定响应文件的响应性只根据响应文件本身的内容，而不寻求外部的证据。</w:t>
      </w:r>
    </w:p>
    <w:p w14:paraId="037475CB">
      <w:pPr>
        <w:pageBreakBefore w:val="0"/>
        <w:widowControl w:val="0"/>
        <w:kinsoku/>
        <w:wordWrap/>
        <w:overflowPunct/>
        <w:topLinePunct w:val="0"/>
        <w:bidi w:val="0"/>
        <w:adjustRightInd w:val="0"/>
        <w:snapToGrid w:val="0"/>
        <w:spacing w:line="360" w:lineRule="auto"/>
        <w:ind w:firstLine="480" w:firstLineChars="200"/>
        <w:jc w:val="left"/>
        <w:textAlignment w:val="auto"/>
        <w:rPr>
          <w:rFonts w:hint="eastAsia" w:ascii="宋体" w:hAnsi="宋体" w:eastAsia="宋体" w:cs="宋体"/>
          <w:bCs/>
          <w:color w:val="auto"/>
          <w:sz w:val="24"/>
          <w:szCs w:val="21"/>
          <w:highlight w:val="none"/>
        </w:rPr>
      </w:pPr>
      <w:r>
        <w:rPr>
          <w:rFonts w:hint="eastAsia" w:ascii="宋体" w:hAnsi="宋体" w:eastAsia="宋体" w:cs="宋体"/>
          <w:bCs/>
          <w:color w:val="auto"/>
          <w:sz w:val="24"/>
          <w:szCs w:val="21"/>
          <w:highlight w:val="none"/>
        </w:rPr>
        <w:t>26.3未实质性响应磋商文件的情形</w:t>
      </w:r>
    </w:p>
    <w:p w14:paraId="41C8B16D">
      <w:pPr>
        <w:pageBreakBefore w:val="0"/>
        <w:widowControl w:val="0"/>
        <w:kinsoku/>
        <w:wordWrap/>
        <w:overflowPunct/>
        <w:topLinePunct w:val="0"/>
        <w:bidi w:val="0"/>
        <w:adjustRightInd w:val="0"/>
        <w:snapToGrid w:val="0"/>
        <w:spacing w:line="360" w:lineRule="auto"/>
        <w:ind w:firstLine="480" w:firstLineChars="200"/>
        <w:jc w:val="left"/>
        <w:textAlignment w:val="auto"/>
        <w:rPr>
          <w:rFonts w:hint="eastAsia" w:ascii="宋体" w:hAnsi="宋体" w:eastAsia="宋体" w:cs="宋体"/>
          <w:bCs/>
          <w:color w:val="auto"/>
          <w:sz w:val="24"/>
          <w:szCs w:val="21"/>
          <w:highlight w:val="none"/>
        </w:rPr>
      </w:pPr>
      <w:r>
        <w:rPr>
          <w:rFonts w:hint="eastAsia" w:ascii="宋体" w:hAnsi="宋体" w:eastAsia="宋体" w:cs="宋体"/>
          <w:bCs/>
          <w:color w:val="auto"/>
          <w:sz w:val="24"/>
          <w:szCs w:val="21"/>
          <w:highlight w:val="none"/>
        </w:rPr>
        <w:t>26.3.1供应商在</w:t>
      </w:r>
      <w:r>
        <w:rPr>
          <w:rFonts w:hint="eastAsia" w:ascii="宋体" w:hAnsi="宋体" w:eastAsia="宋体" w:cs="宋体"/>
          <w:color w:val="auto"/>
          <w:sz w:val="24"/>
          <w:szCs w:val="24"/>
          <w:highlight w:val="none"/>
        </w:rPr>
        <w:t>苏采云系统</w:t>
      </w:r>
      <w:r>
        <w:rPr>
          <w:rFonts w:hint="eastAsia" w:ascii="宋体" w:hAnsi="宋体" w:eastAsia="宋体" w:cs="宋体"/>
          <w:bCs/>
          <w:color w:val="auto"/>
          <w:sz w:val="24"/>
          <w:szCs w:val="21"/>
          <w:highlight w:val="none"/>
        </w:rPr>
        <w:t>规定的时间内未成功解密电子响应文件的。</w:t>
      </w:r>
    </w:p>
    <w:p w14:paraId="310BAEA1">
      <w:pPr>
        <w:pageBreakBefore w:val="0"/>
        <w:widowControl w:val="0"/>
        <w:kinsoku/>
        <w:wordWrap/>
        <w:overflowPunct/>
        <w:topLinePunct w:val="0"/>
        <w:bidi w:val="0"/>
        <w:adjustRightInd w:val="0"/>
        <w:snapToGrid w:val="0"/>
        <w:spacing w:line="360" w:lineRule="auto"/>
        <w:ind w:firstLine="480" w:firstLineChars="200"/>
        <w:jc w:val="left"/>
        <w:textAlignment w:val="auto"/>
        <w:rPr>
          <w:rFonts w:hint="eastAsia" w:ascii="宋体" w:hAnsi="宋体" w:eastAsia="宋体" w:cs="宋体"/>
          <w:bCs/>
          <w:color w:val="auto"/>
          <w:sz w:val="24"/>
          <w:szCs w:val="21"/>
          <w:highlight w:val="none"/>
        </w:rPr>
      </w:pPr>
      <w:r>
        <w:rPr>
          <w:rFonts w:hint="eastAsia" w:ascii="宋体" w:hAnsi="宋体" w:eastAsia="宋体" w:cs="宋体"/>
          <w:bCs/>
          <w:color w:val="auto"/>
          <w:sz w:val="24"/>
          <w:szCs w:val="21"/>
          <w:highlight w:val="none"/>
        </w:rPr>
        <w:t>26.3.2供应商未按照磋商文件要求上传电子响应文件的。</w:t>
      </w:r>
    </w:p>
    <w:p w14:paraId="1334F03D">
      <w:pPr>
        <w:pageBreakBefore w:val="0"/>
        <w:widowControl w:val="0"/>
        <w:kinsoku/>
        <w:wordWrap/>
        <w:overflowPunct/>
        <w:topLinePunct w:val="0"/>
        <w:bidi w:val="0"/>
        <w:adjustRightInd w:val="0"/>
        <w:snapToGrid w:val="0"/>
        <w:spacing w:line="360" w:lineRule="auto"/>
        <w:ind w:firstLine="480" w:firstLineChars="200"/>
        <w:jc w:val="left"/>
        <w:textAlignment w:val="auto"/>
        <w:rPr>
          <w:rFonts w:hint="eastAsia" w:ascii="宋体" w:hAnsi="宋体" w:eastAsia="宋体" w:cs="宋体"/>
          <w:bCs/>
          <w:color w:val="auto"/>
          <w:sz w:val="24"/>
          <w:szCs w:val="21"/>
          <w:highlight w:val="none"/>
        </w:rPr>
      </w:pPr>
      <w:r>
        <w:rPr>
          <w:rFonts w:hint="eastAsia" w:ascii="宋体" w:hAnsi="宋体" w:eastAsia="宋体" w:cs="宋体"/>
          <w:bCs/>
          <w:color w:val="auto"/>
          <w:sz w:val="24"/>
          <w:szCs w:val="21"/>
          <w:highlight w:val="none"/>
        </w:rPr>
        <w:t>26.3.3同一供应商提交两个（含两个）以上不同的响应文件或者最后报价的。</w:t>
      </w:r>
    </w:p>
    <w:p w14:paraId="5F8DC090">
      <w:pPr>
        <w:pageBreakBefore w:val="0"/>
        <w:widowControl w:val="0"/>
        <w:kinsoku/>
        <w:wordWrap/>
        <w:overflowPunct/>
        <w:topLinePunct w:val="0"/>
        <w:bidi w:val="0"/>
        <w:adjustRightInd w:val="0"/>
        <w:snapToGrid w:val="0"/>
        <w:spacing w:line="360" w:lineRule="auto"/>
        <w:ind w:firstLine="480" w:firstLineChars="200"/>
        <w:jc w:val="left"/>
        <w:textAlignment w:val="auto"/>
        <w:rPr>
          <w:rFonts w:hint="eastAsia" w:ascii="宋体" w:hAnsi="宋体" w:eastAsia="宋体" w:cs="宋体"/>
          <w:bCs/>
          <w:color w:val="auto"/>
          <w:sz w:val="24"/>
          <w:szCs w:val="21"/>
          <w:highlight w:val="none"/>
        </w:rPr>
      </w:pPr>
      <w:r>
        <w:rPr>
          <w:rFonts w:hint="eastAsia" w:ascii="宋体" w:hAnsi="宋体" w:eastAsia="宋体" w:cs="宋体"/>
          <w:bCs/>
          <w:color w:val="auto"/>
          <w:sz w:val="24"/>
          <w:szCs w:val="21"/>
          <w:highlight w:val="none"/>
        </w:rPr>
        <w:t>26.3.4供应商不具备磋商文件中规定资格要求的。</w:t>
      </w:r>
    </w:p>
    <w:p w14:paraId="1E267BD9">
      <w:pPr>
        <w:pageBreakBefore w:val="0"/>
        <w:widowControl w:val="0"/>
        <w:kinsoku/>
        <w:wordWrap/>
        <w:overflowPunct/>
        <w:topLinePunct w:val="0"/>
        <w:bidi w:val="0"/>
        <w:adjustRightInd w:val="0"/>
        <w:snapToGrid w:val="0"/>
        <w:spacing w:line="360" w:lineRule="auto"/>
        <w:ind w:firstLine="480" w:firstLineChars="200"/>
        <w:jc w:val="left"/>
        <w:textAlignment w:val="auto"/>
        <w:rPr>
          <w:rFonts w:hint="eastAsia" w:ascii="宋体" w:hAnsi="宋体" w:eastAsia="宋体" w:cs="宋体"/>
          <w:b/>
          <w:color w:val="auto"/>
          <w:sz w:val="24"/>
          <w:szCs w:val="21"/>
          <w:highlight w:val="none"/>
        </w:rPr>
      </w:pPr>
      <w:r>
        <w:rPr>
          <w:rFonts w:hint="eastAsia" w:ascii="宋体" w:hAnsi="宋体" w:eastAsia="宋体" w:cs="宋体"/>
          <w:bCs/>
          <w:color w:val="auto"/>
          <w:sz w:val="24"/>
          <w:szCs w:val="21"/>
          <w:highlight w:val="none"/>
        </w:rPr>
        <w:t>26.3.5</w:t>
      </w:r>
      <w:r>
        <w:rPr>
          <w:rFonts w:hint="eastAsia" w:ascii="宋体" w:hAnsi="宋体" w:eastAsia="宋体" w:cs="宋体"/>
          <w:b/>
          <w:color w:val="auto"/>
          <w:sz w:val="24"/>
          <w:szCs w:val="21"/>
          <w:highlight w:val="none"/>
        </w:rPr>
        <w:t>供应商的最后报价超过了最高限价的。</w:t>
      </w:r>
    </w:p>
    <w:p w14:paraId="14C583E5">
      <w:pPr>
        <w:pageBreakBefore w:val="0"/>
        <w:widowControl w:val="0"/>
        <w:kinsoku/>
        <w:wordWrap/>
        <w:overflowPunct/>
        <w:topLinePunct w:val="0"/>
        <w:bidi w:val="0"/>
        <w:adjustRightInd w:val="0"/>
        <w:snapToGrid w:val="0"/>
        <w:spacing w:line="360" w:lineRule="auto"/>
        <w:ind w:firstLine="480" w:firstLineChars="200"/>
        <w:jc w:val="left"/>
        <w:textAlignment w:val="auto"/>
        <w:rPr>
          <w:rFonts w:hint="eastAsia" w:ascii="宋体" w:hAnsi="宋体" w:eastAsia="宋体" w:cs="宋体"/>
          <w:bCs/>
          <w:color w:val="auto"/>
          <w:sz w:val="24"/>
          <w:szCs w:val="21"/>
          <w:highlight w:val="none"/>
        </w:rPr>
      </w:pPr>
      <w:r>
        <w:rPr>
          <w:rFonts w:hint="eastAsia" w:ascii="宋体" w:hAnsi="宋体" w:eastAsia="宋体" w:cs="宋体"/>
          <w:bCs/>
          <w:color w:val="auto"/>
          <w:sz w:val="24"/>
          <w:szCs w:val="21"/>
          <w:highlight w:val="none"/>
        </w:rPr>
        <w:t>26.3.6不符合磋商文件中规定的实质性要求和条件的</w:t>
      </w:r>
      <w:r>
        <w:rPr>
          <w:rFonts w:hint="eastAsia" w:ascii="宋体" w:hAnsi="宋体" w:eastAsia="宋体" w:cs="宋体"/>
          <w:bCs/>
          <w:i/>
          <w:color w:val="auto"/>
          <w:sz w:val="24"/>
          <w:szCs w:val="21"/>
          <w:highlight w:val="none"/>
        </w:rPr>
        <w:t>。</w:t>
      </w:r>
    </w:p>
    <w:p w14:paraId="00C52825">
      <w:pPr>
        <w:pageBreakBefore w:val="0"/>
        <w:widowControl w:val="0"/>
        <w:kinsoku/>
        <w:wordWrap/>
        <w:overflowPunct/>
        <w:topLinePunct w:val="0"/>
        <w:bidi w:val="0"/>
        <w:adjustRightInd w:val="0"/>
        <w:snapToGrid w:val="0"/>
        <w:spacing w:line="360" w:lineRule="auto"/>
        <w:ind w:firstLine="480" w:firstLineChars="200"/>
        <w:jc w:val="left"/>
        <w:textAlignment w:val="auto"/>
        <w:rPr>
          <w:rFonts w:hint="eastAsia" w:ascii="宋体" w:hAnsi="宋体" w:eastAsia="宋体" w:cs="宋体"/>
          <w:bCs/>
          <w:color w:val="auto"/>
          <w:sz w:val="24"/>
          <w:szCs w:val="21"/>
          <w:highlight w:val="none"/>
        </w:rPr>
      </w:pPr>
      <w:r>
        <w:rPr>
          <w:rFonts w:hint="eastAsia" w:ascii="宋体" w:hAnsi="宋体" w:eastAsia="宋体" w:cs="宋体"/>
          <w:bCs/>
          <w:color w:val="auto"/>
          <w:sz w:val="24"/>
          <w:szCs w:val="21"/>
          <w:highlight w:val="none"/>
        </w:rPr>
        <w:t>26.3.7供应商被 “信用中国”网站（www.creditchina.gov.cn）列入失信被执行人或重大税收违法案件当事人名单或政府采购严重失信行为记录名单。或查询“信用中国”网站后发现供应商存在其他不符合《中华人民共和国政府采购法》第二十二条规定条件的信用记录。</w:t>
      </w:r>
    </w:p>
    <w:p w14:paraId="54C41DA5">
      <w:pPr>
        <w:pageBreakBefore w:val="0"/>
        <w:widowControl w:val="0"/>
        <w:kinsoku/>
        <w:wordWrap/>
        <w:overflowPunct/>
        <w:topLinePunct w:val="0"/>
        <w:bidi w:val="0"/>
        <w:adjustRightInd w:val="0"/>
        <w:snapToGrid w:val="0"/>
        <w:spacing w:line="360" w:lineRule="auto"/>
        <w:ind w:firstLine="480" w:firstLineChars="200"/>
        <w:jc w:val="left"/>
        <w:textAlignment w:val="auto"/>
        <w:rPr>
          <w:rFonts w:hint="eastAsia" w:ascii="宋体" w:hAnsi="宋体" w:eastAsia="宋体" w:cs="宋体"/>
          <w:bCs/>
          <w:color w:val="auto"/>
          <w:sz w:val="24"/>
          <w:szCs w:val="21"/>
          <w:highlight w:val="none"/>
        </w:rPr>
      </w:pPr>
      <w:r>
        <w:rPr>
          <w:rFonts w:hint="eastAsia" w:ascii="宋体" w:hAnsi="宋体" w:eastAsia="宋体" w:cs="宋体"/>
          <w:bCs/>
          <w:color w:val="auto"/>
          <w:sz w:val="24"/>
          <w:szCs w:val="21"/>
          <w:highlight w:val="none"/>
        </w:rPr>
        <w:t>26.3.8  响应文件含有采购人不能接受的附加条件的。</w:t>
      </w:r>
    </w:p>
    <w:p w14:paraId="4B9FE9D6">
      <w:pPr>
        <w:pageBreakBefore w:val="0"/>
        <w:widowControl w:val="0"/>
        <w:kinsoku/>
        <w:wordWrap/>
        <w:overflowPunct/>
        <w:topLinePunct w:val="0"/>
        <w:bidi w:val="0"/>
        <w:adjustRightInd w:val="0"/>
        <w:snapToGrid w:val="0"/>
        <w:spacing w:line="360" w:lineRule="auto"/>
        <w:ind w:firstLine="480" w:firstLineChars="200"/>
        <w:jc w:val="left"/>
        <w:textAlignment w:val="auto"/>
        <w:rPr>
          <w:rFonts w:hint="eastAsia" w:ascii="宋体" w:hAnsi="宋体" w:eastAsia="宋体" w:cs="宋体"/>
          <w:bCs/>
          <w:color w:val="auto"/>
          <w:sz w:val="24"/>
          <w:szCs w:val="21"/>
          <w:highlight w:val="none"/>
        </w:rPr>
      </w:pPr>
      <w:r>
        <w:rPr>
          <w:rFonts w:hint="eastAsia" w:ascii="宋体" w:hAnsi="宋体" w:eastAsia="宋体" w:cs="宋体"/>
          <w:bCs/>
          <w:color w:val="auto"/>
          <w:sz w:val="24"/>
          <w:szCs w:val="21"/>
          <w:highlight w:val="none"/>
        </w:rPr>
        <w:t>26.3.9 本项目采购产品被财政部、国家发改委、生态环境部等列入“节能产品品目清单”、“环境标志产品品目清单”强制采购范围，而磋商供应商所磋商产品不在强制采购范围内的。（磋商产品如属于政府强制采购节能产品品目清单范围内，磋商响应文件中必须提供国家确定的认证机构出具的、处于有效期之内的该节能产品认证证书图片）</w:t>
      </w:r>
    </w:p>
    <w:p w14:paraId="74BE3E1B">
      <w:pPr>
        <w:pageBreakBefore w:val="0"/>
        <w:widowControl w:val="0"/>
        <w:kinsoku/>
        <w:wordWrap/>
        <w:overflowPunct/>
        <w:topLinePunct w:val="0"/>
        <w:bidi w:val="0"/>
        <w:adjustRightInd w:val="0"/>
        <w:snapToGrid w:val="0"/>
        <w:spacing w:line="360" w:lineRule="auto"/>
        <w:ind w:firstLine="480" w:firstLineChars="200"/>
        <w:jc w:val="left"/>
        <w:textAlignment w:val="auto"/>
        <w:rPr>
          <w:rFonts w:hint="eastAsia" w:ascii="宋体" w:hAnsi="宋体" w:eastAsia="宋体" w:cs="宋体"/>
          <w:bCs/>
          <w:color w:val="auto"/>
          <w:sz w:val="24"/>
          <w:szCs w:val="21"/>
          <w:highlight w:val="none"/>
        </w:rPr>
      </w:pPr>
      <w:r>
        <w:rPr>
          <w:rFonts w:hint="eastAsia" w:ascii="宋体" w:hAnsi="宋体" w:eastAsia="宋体" w:cs="宋体"/>
          <w:bCs/>
          <w:color w:val="auto"/>
          <w:sz w:val="24"/>
          <w:szCs w:val="21"/>
          <w:highlight w:val="none"/>
        </w:rPr>
        <w:t>26.3.10响应文件未按照磋商文件要求加盖CA电子公章的。</w:t>
      </w:r>
    </w:p>
    <w:p w14:paraId="4E01B32D">
      <w:pPr>
        <w:pageBreakBefore w:val="0"/>
        <w:widowControl w:val="0"/>
        <w:kinsoku/>
        <w:wordWrap/>
        <w:overflowPunct/>
        <w:topLinePunct w:val="0"/>
        <w:bidi w:val="0"/>
        <w:adjustRightInd w:val="0"/>
        <w:snapToGrid w:val="0"/>
        <w:spacing w:line="360" w:lineRule="auto"/>
        <w:ind w:firstLine="480" w:firstLineChars="200"/>
        <w:jc w:val="left"/>
        <w:textAlignment w:val="auto"/>
        <w:rPr>
          <w:rFonts w:hint="eastAsia" w:ascii="宋体" w:hAnsi="宋体" w:eastAsia="宋体" w:cs="宋体"/>
          <w:bCs/>
          <w:color w:val="auto"/>
          <w:sz w:val="24"/>
          <w:szCs w:val="21"/>
          <w:highlight w:val="none"/>
        </w:rPr>
      </w:pPr>
      <w:r>
        <w:rPr>
          <w:rFonts w:hint="eastAsia" w:ascii="宋体" w:hAnsi="宋体" w:eastAsia="宋体" w:cs="宋体"/>
          <w:bCs/>
          <w:color w:val="auto"/>
          <w:sz w:val="24"/>
          <w:szCs w:val="21"/>
          <w:highlight w:val="none"/>
        </w:rPr>
        <w:t>26.3.11异常低价审查</w:t>
      </w:r>
    </w:p>
    <w:p w14:paraId="13E20E63">
      <w:pPr>
        <w:pageBreakBefore w:val="0"/>
        <w:widowControl w:val="0"/>
        <w:kinsoku/>
        <w:wordWrap/>
        <w:overflowPunct/>
        <w:topLinePunct w:val="0"/>
        <w:bidi w:val="0"/>
        <w:adjustRightInd w:val="0"/>
        <w:snapToGrid w:val="0"/>
        <w:spacing w:line="360" w:lineRule="auto"/>
        <w:ind w:firstLine="480" w:firstLineChars="200"/>
        <w:jc w:val="left"/>
        <w:textAlignment w:val="auto"/>
        <w:rPr>
          <w:rFonts w:hint="eastAsia" w:ascii="宋体" w:hAnsi="宋体" w:eastAsia="宋体" w:cs="宋体"/>
          <w:bCs/>
          <w:color w:val="auto"/>
          <w:sz w:val="24"/>
          <w:szCs w:val="21"/>
          <w:highlight w:val="none"/>
        </w:rPr>
      </w:pPr>
      <w:r>
        <w:rPr>
          <w:rFonts w:hint="eastAsia" w:ascii="宋体" w:hAnsi="宋体" w:eastAsia="宋体" w:cs="宋体"/>
          <w:bCs/>
          <w:color w:val="auto"/>
          <w:sz w:val="24"/>
          <w:szCs w:val="21"/>
          <w:highlight w:val="none"/>
        </w:rPr>
        <w:t>（1）投标（响应）报价低于全部通过符合性审查供应商投标（响应）报价平均值50%的，即投标（响应）报价&lt;全部通过符合性审查供应商投标（响应）报价平均值×50%；</w:t>
      </w:r>
    </w:p>
    <w:p w14:paraId="1ACB0283">
      <w:pPr>
        <w:pageBreakBefore w:val="0"/>
        <w:widowControl w:val="0"/>
        <w:kinsoku/>
        <w:wordWrap/>
        <w:overflowPunct/>
        <w:topLinePunct w:val="0"/>
        <w:bidi w:val="0"/>
        <w:adjustRightInd w:val="0"/>
        <w:snapToGrid w:val="0"/>
        <w:spacing w:line="360" w:lineRule="auto"/>
        <w:ind w:firstLine="480" w:firstLineChars="200"/>
        <w:jc w:val="left"/>
        <w:textAlignment w:val="auto"/>
        <w:rPr>
          <w:rFonts w:hint="eastAsia" w:ascii="宋体" w:hAnsi="宋体" w:eastAsia="宋体" w:cs="宋体"/>
          <w:bCs/>
          <w:color w:val="auto"/>
          <w:sz w:val="24"/>
          <w:szCs w:val="21"/>
          <w:highlight w:val="none"/>
        </w:rPr>
      </w:pPr>
      <w:r>
        <w:rPr>
          <w:rFonts w:hint="eastAsia" w:ascii="宋体" w:hAnsi="宋体" w:eastAsia="宋体" w:cs="宋体"/>
          <w:bCs/>
          <w:color w:val="auto"/>
          <w:sz w:val="24"/>
          <w:szCs w:val="21"/>
          <w:highlight w:val="none"/>
        </w:rPr>
        <w:t>（2）投标（响应）报价低于通过符合性审查的次低报价供应商投标（响应）报价50%的，即投标（响应）报价&lt;通过符合性审查的次低报价供应商投标（响应）报价×50%；</w:t>
      </w:r>
    </w:p>
    <w:p w14:paraId="3610306B">
      <w:pPr>
        <w:pageBreakBefore w:val="0"/>
        <w:widowControl w:val="0"/>
        <w:kinsoku/>
        <w:wordWrap/>
        <w:overflowPunct/>
        <w:topLinePunct w:val="0"/>
        <w:bidi w:val="0"/>
        <w:adjustRightInd w:val="0"/>
        <w:snapToGrid w:val="0"/>
        <w:spacing w:line="360" w:lineRule="auto"/>
        <w:ind w:firstLine="480" w:firstLineChars="200"/>
        <w:jc w:val="left"/>
        <w:textAlignment w:val="auto"/>
        <w:rPr>
          <w:rFonts w:hint="eastAsia" w:ascii="宋体" w:hAnsi="宋体" w:eastAsia="宋体" w:cs="宋体"/>
          <w:bCs/>
          <w:color w:val="auto"/>
          <w:sz w:val="24"/>
          <w:szCs w:val="21"/>
          <w:highlight w:val="none"/>
        </w:rPr>
      </w:pPr>
      <w:r>
        <w:rPr>
          <w:rFonts w:hint="eastAsia" w:ascii="宋体" w:hAnsi="宋体" w:eastAsia="宋体" w:cs="宋体"/>
          <w:bCs/>
          <w:color w:val="auto"/>
          <w:sz w:val="24"/>
          <w:szCs w:val="21"/>
          <w:highlight w:val="none"/>
        </w:rPr>
        <w:t>（3）投标（响应）报价低于采购项目最高限价45%的，即投标（响应）报价&lt;采购项目最高限价×45%；</w:t>
      </w:r>
    </w:p>
    <w:p w14:paraId="405DE021">
      <w:pPr>
        <w:pageBreakBefore w:val="0"/>
        <w:widowControl w:val="0"/>
        <w:kinsoku/>
        <w:wordWrap/>
        <w:overflowPunct/>
        <w:topLinePunct w:val="0"/>
        <w:bidi w:val="0"/>
        <w:adjustRightInd w:val="0"/>
        <w:snapToGrid w:val="0"/>
        <w:spacing w:line="360" w:lineRule="auto"/>
        <w:ind w:firstLine="480" w:firstLineChars="200"/>
        <w:jc w:val="left"/>
        <w:textAlignment w:val="auto"/>
        <w:rPr>
          <w:rFonts w:hint="eastAsia" w:ascii="宋体" w:hAnsi="宋体" w:eastAsia="宋体" w:cs="宋体"/>
          <w:bCs/>
          <w:color w:val="auto"/>
          <w:sz w:val="24"/>
          <w:szCs w:val="21"/>
          <w:highlight w:val="none"/>
        </w:rPr>
      </w:pPr>
      <w:r>
        <w:rPr>
          <w:rFonts w:hint="eastAsia" w:ascii="宋体" w:hAnsi="宋体" w:eastAsia="宋体" w:cs="宋体"/>
          <w:bCs/>
          <w:color w:val="auto"/>
          <w:sz w:val="24"/>
          <w:szCs w:val="21"/>
          <w:highlight w:val="none"/>
        </w:rPr>
        <w:t>（4）磋商小组基于专业判断，认为供应商报价过低，有可能影响产品质量或者不能诚信履约的其他情形。</w:t>
      </w:r>
    </w:p>
    <w:p w14:paraId="53053C10">
      <w:pPr>
        <w:pageBreakBefore w:val="0"/>
        <w:widowControl w:val="0"/>
        <w:kinsoku/>
        <w:wordWrap/>
        <w:overflowPunct/>
        <w:topLinePunct w:val="0"/>
        <w:bidi w:val="0"/>
        <w:adjustRightInd w:val="0"/>
        <w:snapToGrid w:val="0"/>
        <w:spacing w:line="360" w:lineRule="auto"/>
        <w:ind w:firstLine="480" w:firstLineChars="200"/>
        <w:jc w:val="left"/>
        <w:textAlignment w:val="auto"/>
        <w:rPr>
          <w:rFonts w:hint="eastAsia" w:ascii="宋体" w:hAnsi="宋体" w:eastAsia="宋体" w:cs="宋体"/>
          <w:bCs/>
          <w:color w:val="auto"/>
          <w:sz w:val="24"/>
          <w:szCs w:val="21"/>
          <w:highlight w:val="none"/>
        </w:rPr>
      </w:pPr>
      <w:r>
        <w:rPr>
          <w:rFonts w:hint="eastAsia" w:ascii="宋体" w:hAnsi="宋体" w:eastAsia="宋体" w:cs="宋体"/>
          <w:bCs/>
          <w:color w:val="auto"/>
          <w:sz w:val="24"/>
          <w:szCs w:val="21"/>
          <w:highlight w:val="none"/>
        </w:rPr>
        <w:t>（5）磋商小组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1FC329EB">
      <w:pPr>
        <w:pageBreakBefore w:val="0"/>
        <w:widowControl w:val="0"/>
        <w:kinsoku/>
        <w:wordWrap/>
        <w:overflowPunct/>
        <w:topLinePunct w:val="0"/>
        <w:bidi w:val="0"/>
        <w:adjustRightInd w:val="0"/>
        <w:snapToGrid w:val="0"/>
        <w:spacing w:line="360" w:lineRule="auto"/>
        <w:ind w:firstLine="480" w:firstLineChars="200"/>
        <w:jc w:val="left"/>
        <w:textAlignment w:val="auto"/>
        <w:rPr>
          <w:rFonts w:hint="eastAsia" w:ascii="宋体" w:hAnsi="宋体" w:eastAsia="宋体" w:cs="宋体"/>
          <w:bCs/>
          <w:color w:val="auto"/>
          <w:sz w:val="24"/>
          <w:szCs w:val="21"/>
          <w:highlight w:val="none"/>
        </w:rPr>
      </w:pPr>
      <w:r>
        <w:rPr>
          <w:rFonts w:hint="eastAsia" w:ascii="宋体" w:hAnsi="宋体" w:eastAsia="宋体" w:cs="宋体"/>
          <w:bCs/>
          <w:color w:val="auto"/>
          <w:sz w:val="24"/>
          <w:szCs w:val="21"/>
          <w:highlight w:val="none"/>
        </w:rPr>
        <w:t>磋商小组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磋商小组应当将其作为无效投标（响应）处理。</w:t>
      </w:r>
    </w:p>
    <w:p w14:paraId="0265C080">
      <w:pPr>
        <w:pageBreakBefore w:val="0"/>
        <w:widowControl w:val="0"/>
        <w:kinsoku/>
        <w:wordWrap/>
        <w:overflowPunct/>
        <w:topLinePunct w:val="0"/>
        <w:bidi w:val="0"/>
        <w:adjustRightInd w:val="0"/>
        <w:snapToGrid w:val="0"/>
        <w:spacing w:line="360" w:lineRule="auto"/>
        <w:ind w:firstLine="480" w:firstLineChars="200"/>
        <w:jc w:val="left"/>
        <w:textAlignment w:val="auto"/>
        <w:rPr>
          <w:rFonts w:hint="eastAsia" w:ascii="宋体" w:hAnsi="宋体" w:eastAsia="宋体" w:cs="宋体"/>
          <w:bCs/>
          <w:color w:val="auto"/>
          <w:sz w:val="24"/>
          <w:szCs w:val="21"/>
          <w:highlight w:val="none"/>
        </w:rPr>
      </w:pPr>
      <w:r>
        <w:rPr>
          <w:rFonts w:hint="eastAsia" w:ascii="宋体" w:hAnsi="宋体" w:eastAsia="宋体" w:cs="宋体"/>
          <w:bCs/>
          <w:color w:val="auto"/>
          <w:sz w:val="24"/>
          <w:szCs w:val="21"/>
          <w:highlight w:val="none"/>
        </w:rPr>
        <w:t>采购人、采购代理机构应当为磋商小组在评审现场及时获取同类项目中标（成交）价格、类似产品市场价格水平、行业人工费用标准、国家有关部门指导行业协会发布的行业平均成本等相关信息资料提供便利。磋商小组借助互联网等渠道查询相关信息的，应当严格遵守评审工作纪律，不得实施影响评审公正的行为。</w:t>
      </w:r>
    </w:p>
    <w:p w14:paraId="18AB30DE">
      <w:pPr>
        <w:pageBreakBefore w:val="0"/>
        <w:widowControl w:val="0"/>
        <w:kinsoku/>
        <w:wordWrap/>
        <w:overflowPunct/>
        <w:topLinePunct w:val="0"/>
        <w:bidi w:val="0"/>
        <w:adjustRightInd w:val="0"/>
        <w:snapToGrid w:val="0"/>
        <w:spacing w:line="360" w:lineRule="auto"/>
        <w:ind w:firstLine="480" w:firstLineChars="200"/>
        <w:jc w:val="left"/>
        <w:textAlignment w:val="auto"/>
        <w:rPr>
          <w:rFonts w:hint="eastAsia" w:ascii="宋体" w:hAnsi="宋体" w:eastAsia="宋体" w:cs="宋体"/>
          <w:bCs/>
          <w:color w:val="auto"/>
          <w:sz w:val="24"/>
          <w:szCs w:val="21"/>
          <w:highlight w:val="none"/>
        </w:rPr>
      </w:pPr>
      <w:r>
        <w:rPr>
          <w:rFonts w:hint="eastAsia" w:ascii="宋体" w:hAnsi="宋体" w:eastAsia="宋体" w:cs="宋体"/>
          <w:bCs/>
          <w:color w:val="auto"/>
          <w:sz w:val="24"/>
          <w:szCs w:val="21"/>
          <w:highlight w:val="none"/>
        </w:rPr>
        <w:t>异常低价投标（响应）审查的启动原因、审查意见和审查结果应当在评审报告中记录，并随供应商提供的相关书面说明及证明材料，以及磋商小组有关互联网浏览、查询历史一并归档。</w:t>
      </w:r>
    </w:p>
    <w:p w14:paraId="6D773208">
      <w:pPr>
        <w:pageBreakBefore w:val="0"/>
        <w:widowControl w:val="0"/>
        <w:kinsoku/>
        <w:wordWrap/>
        <w:overflowPunct/>
        <w:topLinePunct w:val="0"/>
        <w:bidi w:val="0"/>
        <w:adjustRightInd w:val="0"/>
        <w:snapToGrid w:val="0"/>
        <w:spacing w:line="360" w:lineRule="auto"/>
        <w:ind w:firstLine="480" w:firstLineChars="200"/>
        <w:jc w:val="left"/>
        <w:textAlignment w:val="auto"/>
        <w:rPr>
          <w:rFonts w:hint="eastAsia" w:ascii="宋体" w:hAnsi="宋体" w:eastAsia="宋体" w:cs="宋体"/>
          <w:bCs/>
          <w:color w:val="auto"/>
          <w:sz w:val="24"/>
          <w:szCs w:val="21"/>
          <w:highlight w:val="none"/>
        </w:rPr>
      </w:pPr>
      <w:r>
        <w:rPr>
          <w:rFonts w:hint="eastAsia" w:ascii="宋体" w:hAnsi="宋体" w:eastAsia="宋体" w:cs="宋体"/>
          <w:bCs/>
          <w:color w:val="auto"/>
          <w:sz w:val="24"/>
          <w:szCs w:val="21"/>
          <w:highlight w:val="none"/>
        </w:rPr>
        <w:t>26.4未实质性响应磋商文件的响应文件按无效响应处理。</w:t>
      </w:r>
    </w:p>
    <w:p w14:paraId="7CDBB532">
      <w:pPr>
        <w:pageBreakBefore w:val="0"/>
        <w:widowControl w:val="0"/>
        <w:kinsoku/>
        <w:wordWrap/>
        <w:overflowPunct/>
        <w:topLinePunct w:val="0"/>
        <w:bidi w:val="0"/>
        <w:adjustRightInd w:val="0"/>
        <w:snapToGrid w:val="0"/>
        <w:spacing w:line="360" w:lineRule="auto"/>
        <w:ind w:firstLine="480" w:firstLineChars="200"/>
        <w:jc w:val="left"/>
        <w:textAlignment w:val="auto"/>
        <w:rPr>
          <w:rFonts w:hint="eastAsia" w:ascii="宋体" w:hAnsi="宋体" w:eastAsia="宋体" w:cs="宋体"/>
          <w:bCs/>
          <w:color w:val="auto"/>
          <w:sz w:val="24"/>
          <w:szCs w:val="21"/>
          <w:highlight w:val="none"/>
        </w:rPr>
      </w:pPr>
      <w:r>
        <w:rPr>
          <w:rFonts w:hint="eastAsia" w:ascii="宋体" w:hAnsi="宋体" w:eastAsia="宋体" w:cs="宋体"/>
          <w:color w:val="auto"/>
          <w:sz w:val="24"/>
          <w:szCs w:val="21"/>
          <w:highlight w:val="none"/>
        </w:rPr>
        <w:t>26.5</w:t>
      </w:r>
      <w:r>
        <w:rPr>
          <w:rFonts w:hint="eastAsia" w:ascii="宋体" w:hAnsi="宋体" w:eastAsia="宋体" w:cs="宋体"/>
          <w:bCs/>
          <w:color w:val="auto"/>
          <w:sz w:val="24"/>
          <w:szCs w:val="21"/>
          <w:highlight w:val="none"/>
        </w:rPr>
        <w:t>如果响应文件实质上没有响应磋商文件的要求，磋商小组将予以拒绝，供应商不得通过修改或撤销不合要求的偏离或保留而使其成为实质性响应的文件。</w:t>
      </w:r>
    </w:p>
    <w:p w14:paraId="35F93158">
      <w:pPr>
        <w:pageBreakBefore w:val="0"/>
        <w:widowControl w:val="0"/>
        <w:kinsoku/>
        <w:wordWrap/>
        <w:overflowPunct/>
        <w:topLinePunct w:val="0"/>
        <w:bidi w:val="0"/>
        <w:adjustRightInd w:val="0"/>
        <w:snapToGrid w:val="0"/>
        <w:spacing w:line="360" w:lineRule="auto"/>
        <w:ind w:firstLine="480" w:firstLineChars="200"/>
        <w:jc w:val="left"/>
        <w:textAlignment w:val="auto"/>
        <w:rPr>
          <w:rFonts w:hint="eastAsia" w:ascii="宋体" w:hAnsi="宋体" w:eastAsia="宋体" w:cs="宋体"/>
          <w:color w:val="auto"/>
          <w:sz w:val="24"/>
          <w:szCs w:val="21"/>
          <w:highlight w:val="none"/>
        </w:rPr>
      </w:pPr>
      <w:bookmarkStart w:id="143" w:name="_Toc20823306"/>
      <w:bookmarkStart w:id="144" w:name="_Toc513029234"/>
      <w:bookmarkStart w:id="145" w:name="_Toc16938550"/>
      <w:r>
        <w:rPr>
          <w:rFonts w:hint="eastAsia" w:ascii="宋体" w:hAnsi="宋体" w:eastAsia="宋体" w:cs="宋体"/>
          <w:color w:val="auto"/>
          <w:sz w:val="24"/>
          <w:szCs w:val="21"/>
          <w:highlight w:val="none"/>
        </w:rPr>
        <w:t>26.6供应商在项目评审全过程中应保持通讯畅通，并安排专人与</w:t>
      </w:r>
      <w:r>
        <w:rPr>
          <w:rFonts w:hint="eastAsia" w:ascii="宋体" w:hAnsi="宋体" w:eastAsia="宋体" w:cs="宋体"/>
          <w:bCs/>
          <w:color w:val="auto"/>
          <w:sz w:val="24"/>
          <w:szCs w:val="21"/>
          <w:highlight w:val="none"/>
        </w:rPr>
        <w:t>代理机构人员</w:t>
      </w:r>
      <w:r>
        <w:rPr>
          <w:rFonts w:hint="eastAsia" w:ascii="宋体" w:hAnsi="宋体" w:eastAsia="宋体" w:cs="宋体"/>
          <w:color w:val="auto"/>
          <w:sz w:val="24"/>
          <w:szCs w:val="21"/>
          <w:highlight w:val="none"/>
        </w:rPr>
        <w:t>及磋商小组联系。</w:t>
      </w:r>
    </w:p>
    <w:p w14:paraId="38EA11F3">
      <w:pPr>
        <w:keepNext/>
        <w:keepLines/>
        <w:pageBreakBefore w:val="0"/>
        <w:widowControl w:val="0"/>
        <w:kinsoku/>
        <w:wordWrap/>
        <w:overflowPunct/>
        <w:topLinePunct w:val="0"/>
        <w:bidi w:val="0"/>
        <w:adjustRightInd w:val="0"/>
        <w:snapToGrid w:val="0"/>
        <w:spacing w:line="360" w:lineRule="auto"/>
        <w:ind w:firstLine="560" w:firstLineChars="200"/>
        <w:jc w:val="left"/>
        <w:textAlignment w:val="auto"/>
        <w:outlineLvl w:val="3"/>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27、</w:t>
      </w:r>
      <w:bookmarkEnd w:id="143"/>
      <w:bookmarkEnd w:id="144"/>
      <w:bookmarkEnd w:id="145"/>
      <w:r>
        <w:rPr>
          <w:rFonts w:hint="eastAsia" w:ascii="宋体" w:hAnsi="宋体" w:eastAsia="宋体" w:cs="宋体"/>
          <w:color w:val="auto"/>
          <w:sz w:val="28"/>
          <w:szCs w:val="28"/>
          <w:highlight w:val="none"/>
        </w:rPr>
        <w:t>磋商程序及评审方法和评审标准</w:t>
      </w:r>
    </w:p>
    <w:p w14:paraId="499CBD70">
      <w:pPr>
        <w:pageBreakBefore w:val="0"/>
        <w:widowControl w:val="0"/>
        <w:tabs>
          <w:tab w:val="left" w:pos="900"/>
        </w:tabs>
        <w:kinsoku/>
        <w:wordWrap/>
        <w:overflowPunct/>
        <w:topLinePunct w:val="0"/>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27.1磋商程序</w:t>
      </w:r>
    </w:p>
    <w:p w14:paraId="098E892C">
      <w:pPr>
        <w:pageBreakBefore w:val="0"/>
        <w:widowControl w:val="0"/>
        <w:tabs>
          <w:tab w:val="left" w:pos="900"/>
        </w:tabs>
        <w:kinsoku/>
        <w:wordWrap/>
        <w:overflowPunct/>
        <w:topLinePunct w:val="0"/>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27.1.1对于通过资格审查和符合性审查的供应商，磋商小组将集中与单一供应商分别进行磋商。磋商小组通过苏采云系统向供应商发布“磋商函”，供应商应当按照要求在苏采云系统提交“磋商响应函”并加盖CA电子公章。</w:t>
      </w:r>
    </w:p>
    <w:p w14:paraId="57E4F0E2">
      <w:pPr>
        <w:pageBreakBefore w:val="0"/>
        <w:widowControl w:val="0"/>
        <w:tabs>
          <w:tab w:val="left" w:pos="900"/>
        </w:tabs>
        <w:kinsoku/>
        <w:wordWrap/>
        <w:overflowPunct/>
        <w:topLinePunct w:val="0"/>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磋商过程中，磋商小组可能根据磋商文件和磋商情况实质性变动的内容有：采购需求中的技术、服务要求以及合同草案条款。对磋商文件作出的实质性变动是磋商文件的有效组成部分，磋商小组将在苏采云系统中通知所有参加磋商的供应商。供应商应当按照磋商文件的变动情况和磋商小组的要求在苏采云系统中重新提交响应文件，并加盖CA电子公章。</w:t>
      </w:r>
    </w:p>
    <w:p w14:paraId="5C0CDD3F">
      <w:pPr>
        <w:pageBreakBefore w:val="0"/>
        <w:widowControl w:val="0"/>
        <w:tabs>
          <w:tab w:val="left" w:pos="900"/>
        </w:tabs>
        <w:kinsoku/>
        <w:wordWrap/>
        <w:overflowPunct/>
        <w:topLinePunct w:val="0"/>
        <w:bidi w:val="0"/>
        <w:adjustRightInd w:val="0"/>
        <w:snapToGrid w:val="0"/>
        <w:spacing w:line="360" w:lineRule="auto"/>
        <w:ind w:firstLine="480" w:firstLineChars="200"/>
        <w:jc w:val="left"/>
        <w:textAlignment w:val="auto"/>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27.1.2磋商文件能够详细列明采购标的的技术、服务要求的，磋商结束后，</w:t>
      </w:r>
      <w:r>
        <w:rPr>
          <w:rFonts w:hint="eastAsia" w:ascii="宋体" w:hAnsi="宋体" w:eastAsia="宋体" w:cs="宋体"/>
          <w:b/>
          <w:bCs/>
          <w:color w:val="auto"/>
          <w:sz w:val="24"/>
          <w:szCs w:val="24"/>
          <w:highlight w:val="none"/>
        </w:rPr>
        <w:t>磋商小组将在苏采云系统向所有实质性响应的供应商发布“最后报价要求函”，要求所有实质性响应的供应商在规定时间内（10分钟）提交最后报价。</w:t>
      </w:r>
    </w:p>
    <w:p w14:paraId="3A12206B">
      <w:pPr>
        <w:pageBreakBefore w:val="0"/>
        <w:widowControl w:val="0"/>
        <w:tabs>
          <w:tab w:val="left" w:pos="900"/>
        </w:tabs>
        <w:kinsoku/>
        <w:wordWrap/>
        <w:overflowPunct/>
        <w:topLinePunct w:val="0"/>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磋商文件不能详细列明采购标的的技术、服务要求，需经磋商由供应商提供最终设计方案或解决方案的，磋商结束后，磋商小组将按照少数服从多数的原则投票推荐3家以上供应商的设计方案或者解决方案，在苏采云系统中向其发布“最后报价要求函”及最后报价格式表，要求其在规定时间内提交最后报价。</w:t>
      </w:r>
    </w:p>
    <w:p w14:paraId="2B9C0D62">
      <w:pPr>
        <w:pageBreakBefore w:val="0"/>
        <w:widowControl w:val="0"/>
        <w:tabs>
          <w:tab w:val="left" w:pos="900"/>
        </w:tabs>
        <w:kinsoku/>
        <w:wordWrap/>
        <w:overflowPunct/>
        <w:topLinePunct w:val="0"/>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最后报价是供应商响应文件的有效组成部分。符合《政府采购竞争性磋商采购方式理暂行办法》第三条第一款第四项及《财政部关于竞争性磋商采购方式管理暂行办法有关问题的补充通知》（财库[2015]124号）规定情形的，提交最后报价的供应商可以为2家。</w:t>
      </w:r>
    </w:p>
    <w:p w14:paraId="4AE06B46">
      <w:pPr>
        <w:pageBreakBefore w:val="0"/>
        <w:widowControl w:val="0"/>
        <w:tabs>
          <w:tab w:val="left" w:pos="900"/>
        </w:tabs>
        <w:kinsoku/>
        <w:wordWrap/>
        <w:overflowPunct/>
        <w:topLinePunct w:val="0"/>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27.1.3供应商未在磋商小组规定的时间内在苏采云系统中提交最后报价的视为放弃磋商，其响应文件按无效响应处理，最后报价格式表须加盖CA电子公章,否则视为未提交最后报价。已提交响应文件的供应商，在提交最后报价之前，可以根据磋商情况退出磋商，并在苏采云系统中提交“退出磋商函”并加盖CA电子公章。</w:t>
      </w:r>
    </w:p>
    <w:p w14:paraId="17FD52FA">
      <w:pPr>
        <w:pageBreakBefore w:val="0"/>
        <w:widowControl w:val="0"/>
        <w:tabs>
          <w:tab w:val="left" w:pos="900"/>
        </w:tabs>
        <w:kinsoku/>
        <w:wordWrap/>
        <w:overflowPunct/>
        <w:topLinePunct w:val="0"/>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27.2 评审方法和评审标准</w:t>
      </w:r>
    </w:p>
    <w:p w14:paraId="044F8745">
      <w:pPr>
        <w:pageBreakBefore w:val="0"/>
        <w:widowControl w:val="0"/>
        <w:tabs>
          <w:tab w:val="left" w:pos="900"/>
        </w:tabs>
        <w:kinsoku/>
        <w:wordWrap/>
        <w:overflowPunct/>
        <w:topLinePunct w:val="0"/>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27.2.1评审方法。经磋商确定最终采购需求和提交最后报价的供应商后，由磋商小组采用综合评分法对提交最后报价的供应商的响应文件和最后报价进行综合评分。</w:t>
      </w:r>
    </w:p>
    <w:p w14:paraId="0916BF6F">
      <w:pPr>
        <w:pageBreakBefore w:val="0"/>
        <w:widowControl w:val="0"/>
        <w:tabs>
          <w:tab w:val="left" w:pos="900"/>
        </w:tabs>
        <w:kinsoku/>
        <w:wordWrap/>
        <w:overflowPunct/>
        <w:topLinePunct w:val="0"/>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磋商文件所述综合评分法，是指响应文件满足磋商文件全部实质性要求且按评审因素的量化指标评审得分最高的供应商为成交候选供应商的评审方法。评审时，磋商小组各成员独立对每个有效响应的文件进行评价、打分，然后汇总每个供应商每项评分因素的得分。</w:t>
      </w:r>
    </w:p>
    <w:p w14:paraId="380EF6E1">
      <w:pPr>
        <w:pageBreakBefore w:val="0"/>
        <w:widowControl w:val="0"/>
        <w:tabs>
          <w:tab w:val="left" w:pos="900"/>
        </w:tabs>
        <w:kinsoku/>
        <w:wordWrap/>
        <w:overflowPunct/>
        <w:topLinePunct w:val="0"/>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27.2.2评审标准</w:t>
      </w:r>
    </w:p>
    <w:p w14:paraId="621EC286">
      <w:pPr>
        <w:pageBreakBefore w:val="0"/>
        <w:widowControl w:val="0"/>
        <w:tabs>
          <w:tab w:val="left" w:pos="900"/>
        </w:tabs>
        <w:kinsoku/>
        <w:wordWrap/>
        <w:overflowPunct/>
        <w:topLinePunct w:val="0"/>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见本磋商文件第五章规定。</w:t>
      </w:r>
    </w:p>
    <w:p w14:paraId="2DED1F65">
      <w:pPr>
        <w:pageBreakBefore w:val="0"/>
        <w:widowControl w:val="0"/>
        <w:tabs>
          <w:tab w:val="left" w:pos="900"/>
        </w:tabs>
        <w:kinsoku/>
        <w:wordWrap/>
        <w:overflowPunct/>
        <w:topLinePunct w:val="0"/>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27.3采购活动终止的情况</w:t>
      </w:r>
    </w:p>
    <w:p w14:paraId="1F3B0912">
      <w:pPr>
        <w:pageBreakBefore w:val="0"/>
        <w:widowControl w:val="0"/>
        <w:tabs>
          <w:tab w:val="left" w:pos="900"/>
        </w:tabs>
        <w:kinsoku/>
        <w:wordWrap/>
        <w:overflowPunct/>
        <w:topLinePunct w:val="0"/>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出现下列情形之一的，本次竞争性磋商采购活动将被终止：</w:t>
      </w:r>
    </w:p>
    <w:p w14:paraId="06122A68">
      <w:pPr>
        <w:pageBreakBefore w:val="0"/>
        <w:widowControl w:val="0"/>
        <w:tabs>
          <w:tab w:val="left" w:pos="900"/>
        </w:tabs>
        <w:kinsoku/>
        <w:wordWrap/>
        <w:overflowPunct/>
        <w:topLinePunct w:val="0"/>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27.3.1因情况变化，不再符合规定的竞争性磋商采购方式适用情形的。</w:t>
      </w:r>
    </w:p>
    <w:p w14:paraId="2F72DFFA">
      <w:pPr>
        <w:pageBreakBefore w:val="0"/>
        <w:widowControl w:val="0"/>
        <w:tabs>
          <w:tab w:val="left" w:pos="900"/>
        </w:tabs>
        <w:kinsoku/>
        <w:wordWrap/>
        <w:overflowPunct/>
        <w:topLinePunct w:val="0"/>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27.3.2出现影响采购公正的违法、违规行为的。</w:t>
      </w:r>
    </w:p>
    <w:p w14:paraId="451D2098">
      <w:pPr>
        <w:pageBreakBefore w:val="0"/>
        <w:widowControl w:val="0"/>
        <w:tabs>
          <w:tab w:val="left" w:pos="900"/>
        </w:tabs>
        <w:kinsoku/>
        <w:wordWrap/>
        <w:overflowPunct/>
        <w:topLinePunct w:val="0"/>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27.3.3除本磋商文件第二章第27.1.2条第三款规定的情形外，在采购过程中符合要求的供应商或者最后报价未超过采购预算的供应商不足3家的。</w:t>
      </w:r>
    </w:p>
    <w:p w14:paraId="6D77EB57">
      <w:pPr>
        <w:pageBreakBefore w:val="0"/>
        <w:widowControl w:val="0"/>
        <w:tabs>
          <w:tab w:val="left" w:pos="900"/>
        </w:tabs>
        <w:kinsoku/>
        <w:wordWrap/>
        <w:overflowPunct/>
        <w:topLinePunct w:val="0"/>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27.3.4在苏采云系统规定时间内成功解密电子响应文件的供应商不足3家的。</w:t>
      </w:r>
    </w:p>
    <w:p w14:paraId="256039FD">
      <w:pPr>
        <w:pageBreakBefore w:val="0"/>
        <w:widowControl w:val="0"/>
        <w:tabs>
          <w:tab w:val="left" w:pos="900"/>
        </w:tabs>
        <w:kinsoku/>
        <w:wordWrap/>
        <w:overflowPunct/>
        <w:topLinePunct w:val="0"/>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bookmarkStart w:id="146" w:name="_Toc120614219"/>
      <w:bookmarkStart w:id="147" w:name="_Toc513029235"/>
      <w:bookmarkStart w:id="148" w:name="_Toc16938551"/>
      <w:bookmarkStart w:id="149" w:name="_Toc20823307"/>
      <w:r>
        <w:rPr>
          <w:rFonts w:hint="eastAsia" w:ascii="宋体" w:hAnsi="宋体" w:eastAsia="宋体" w:cs="宋体"/>
          <w:color w:val="auto"/>
          <w:sz w:val="24"/>
          <w:szCs w:val="24"/>
          <w:highlight w:val="none"/>
        </w:rPr>
        <w:t>27.3.5因重大变故，采购任务取消的。</w:t>
      </w:r>
    </w:p>
    <w:p w14:paraId="1F089EF9">
      <w:pPr>
        <w:pageBreakBefore w:val="0"/>
        <w:widowControl w:val="0"/>
        <w:tabs>
          <w:tab w:val="left" w:pos="900"/>
        </w:tabs>
        <w:kinsoku/>
        <w:wordWrap/>
        <w:overflowPunct/>
        <w:topLinePunct w:val="0"/>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27.3.6磋商小组认定磋商文件存在歧义、重大缺陷导致评审工作无法进行。</w:t>
      </w:r>
    </w:p>
    <w:p w14:paraId="46E5EAF5">
      <w:pPr>
        <w:pageBreakBefore w:val="0"/>
        <w:widowControl w:val="0"/>
        <w:tabs>
          <w:tab w:val="left" w:pos="900"/>
        </w:tabs>
        <w:kinsoku/>
        <w:wordWrap/>
        <w:overflowPunct/>
        <w:topLinePunct w:val="0"/>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27.3.7因系统故障原因造成磋商无法继续进行的。</w:t>
      </w:r>
    </w:p>
    <w:p w14:paraId="2A417045">
      <w:pPr>
        <w:pageBreakBefore w:val="0"/>
        <w:widowControl w:val="0"/>
        <w:tabs>
          <w:tab w:val="left" w:pos="900"/>
        </w:tabs>
        <w:kinsoku/>
        <w:wordWrap/>
        <w:overflowPunct/>
        <w:topLinePunct w:val="0"/>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27.4响应文件提交截止时间结束后参加磋商的供应商不足三家的处理：</w:t>
      </w:r>
    </w:p>
    <w:p w14:paraId="58CA1C73">
      <w:pPr>
        <w:pageBreakBefore w:val="0"/>
        <w:widowControl w:val="0"/>
        <w:tabs>
          <w:tab w:val="left" w:pos="900"/>
        </w:tabs>
        <w:kinsoku/>
        <w:wordWrap/>
        <w:overflowPunct/>
        <w:topLinePunct w:val="0"/>
        <w:bidi w:val="0"/>
        <w:adjustRightInd w:val="0"/>
        <w:snapToGrid w:val="0"/>
        <w:spacing w:line="360" w:lineRule="auto"/>
        <w:ind w:firstLine="480" w:firstLineChars="200"/>
        <w:jc w:val="left"/>
        <w:textAlignment w:val="auto"/>
        <w:rPr>
          <w:rFonts w:hint="eastAsia" w:ascii="宋体" w:hAnsi="宋体" w:eastAsia="宋体" w:cs="宋体"/>
          <w:b/>
          <w:bCs/>
          <w:color w:val="auto"/>
          <w:sz w:val="32"/>
          <w:szCs w:val="32"/>
          <w:highlight w:val="none"/>
        </w:rPr>
      </w:pPr>
      <w:r>
        <w:rPr>
          <w:rFonts w:hint="eastAsia" w:ascii="宋体" w:hAnsi="宋体" w:eastAsia="宋体" w:cs="宋体"/>
          <w:color w:val="auto"/>
          <w:sz w:val="24"/>
          <w:szCs w:val="24"/>
          <w:highlight w:val="none"/>
        </w:rPr>
        <w:t>27.4.1如出现响应文件提交截止时间结束后参加磋商的供应商或者在评审期间对磋商文件做出实质响应的供应商不足三家情况，按政府采购相关规定执行。</w:t>
      </w:r>
    </w:p>
    <w:p w14:paraId="762B695D">
      <w:pPr>
        <w:keepNext/>
        <w:keepLines/>
        <w:pageBreakBefore w:val="0"/>
        <w:widowControl w:val="0"/>
        <w:kinsoku/>
        <w:wordWrap/>
        <w:overflowPunct/>
        <w:topLinePunct w:val="0"/>
        <w:bidi w:val="0"/>
        <w:adjustRightInd w:val="0"/>
        <w:snapToGrid w:val="0"/>
        <w:spacing w:line="360" w:lineRule="auto"/>
        <w:ind w:firstLine="643" w:firstLineChars="200"/>
        <w:jc w:val="left"/>
        <w:textAlignment w:val="auto"/>
        <w:outlineLvl w:val="2"/>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六、</w:t>
      </w:r>
      <w:bookmarkEnd w:id="146"/>
      <w:bookmarkEnd w:id="147"/>
      <w:bookmarkEnd w:id="148"/>
      <w:bookmarkEnd w:id="149"/>
      <w:r>
        <w:rPr>
          <w:rFonts w:hint="eastAsia" w:ascii="宋体" w:hAnsi="宋体" w:eastAsia="宋体" w:cs="宋体"/>
          <w:b/>
          <w:bCs/>
          <w:color w:val="auto"/>
          <w:sz w:val="32"/>
          <w:szCs w:val="32"/>
          <w:highlight w:val="none"/>
        </w:rPr>
        <w:t>成交</w:t>
      </w:r>
    </w:p>
    <w:p w14:paraId="34AA59DF">
      <w:pPr>
        <w:keepNext/>
        <w:keepLines/>
        <w:pageBreakBefore w:val="0"/>
        <w:widowControl w:val="0"/>
        <w:kinsoku/>
        <w:wordWrap/>
        <w:overflowPunct/>
        <w:topLinePunct w:val="0"/>
        <w:bidi w:val="0"/>
        <w:adjustRightInd w:val="0"/>
        <w:snapToGrid w:val="0"/>
        <w:spacing w:line="360" w:lineRule="auto"/>
        <w:ind w:firstLine="600" w:firstLineChars="200"/>
        <w:jc w:val="left"/>
        <w:textAlignment w:val="auto"/>
        <w:outlineLvl w:val="3"/>
        <w:rPr>
          <w:rFonts w:hint="eastAsia" w:ascii="宋体" w:hAnsi="宋体" w:eastAsia="宋体" w:cs="宋体"/>
          <w:bCs/>
          <w:color w:val="auto"/>
          <w:sz w:val="30"/>
          <w:szCs w:val="30"/>
          <w:highlight w:val="none"/>
        </w:rPr>
      </w:pPr>
      <w:bookmarkStart w:id="150" w:name="_Toc513029238"/>
      <w:bookmarkStart w:id="151" w:name="_Toc16938554"/>
      <w:bookmarkStart w:id="152" w:name="_Toc20823310"/>
      <w:r>
        <w:rPr>
          <w:rFonts w:hint="eastAsia" w:ascii="宋体" w:hAnsi="宋体" w:eastAsia="宋体" w:cs="宋体"/>
          <w:bCs/>
          <w:color w:val="auto"/>
          <w:sz w:val="30"/>
          <w:szCs w:val="30"/>
          <w:highlight w:val="none"/>
        </w:rPr>
        <w:t>28、</w:t>
      </w:r>
      <w:bookmarkEnd w:id="150"/>
      <w:r>
        <w:rPr>
          <w:rFonts w:hint="eastAsia" w:ascii="宋体" w:hAnsi="宋体" w:eastAsia="宋体" w:cs="宋体"/>
          <w:bCs/>
          <w:color w:val="auto"/>
          <w:sz w:val="30"/>
          <w:szCs w:val="30"/>
          <w:highlight w:val="none"/>
        </w:rPr>
        <w:t>确定</w:t>
      </w:r>
      <w:bookmarkEnd w:id="151"/>
      <w:bookmarkEnd w:id="152"/>
      <w:r>
        <w:rPr>
          <w:rFonts w:hint="eastAsia" w:ascii="宋体" w:hAnsi="宋体" w:eastAsia="宋体" w:cs="宋体"/>
          <w:bCs/>
          <w:color w:val="auto"/>
          <w:sz w:val="30"/>
          <w:szCs w:val="30"/>
          <w:highlight w:val="none"/>
        </w:rPr>
        <w:t>成交单位</w:t>
      </w:r>
    </w:p>
    <w:p w14:paraId="72AA0B2D">
      <w:pPr>
        <w:pageBreakBefore w:val="0"/>
        <w:widowControl w:val="0"/>
        <w:tabs>
          <w:tab w:val="left" w:pos="900"/>
        </w:tabs>
        <w:kinsoku/>
        <w:wordWrap/>
        <w:overflowPunct/>
        <w:topLinePunct w:val="0"/>
        <w:bidi w:val="0"/>
        <w:adjustRightInd w:val="0"/>
        <w:snapToGrid w:val="0"/>
        <w:spacing w:line="360" w:lineRule="auto"/>
        <w:ind w:firstLine="480" w:firstLineChars="200"/>
        <w:jc w:val="left"/>
        <w:textAlignment w:val="auto"/>
        <w:rPr>
          <w:rFonts w:hint="eastAsia" w:ascii="宋体" w:hAnsi="宋体" w:eastAsia="宋体" w:cs="宋体"/>
          <w:color w:val="auto"/>
          <w:sz w:val="24"/>
          <w:szCs w:val="21"/>
          <w:highlight w:val="none"/>
        </w:rPr>
      </w:pPr>
      <w:r>
        <w:rPr>
          <w:rFonts w:hint="eastAsia" w:ascii="宋体" w:hAnsi="宋体" w:eastAsia="宋体" w:cs="宋体"/>
          <w:bCs/>
          <w:color w:val="auto"/>
          <w:sz w:val="24"/>
          <w:szCs w:val="21"/>
          <w:highlight w:val="none"/>
        </w:rPr>
        <w:t>28.1</w:t>
      </w:r>
      <w:r>
        <w:rPr>
          <w:rFonts w:hint="eastAsia" w:ascii="宋体" w:hAnsi="宋体" w:eastAsia="宋体" w:cs="宋体"/>
          <w:color w:val="auto"/>
          <w:sz w:val="24"/>
          <w:szCs w:val="21"/>
          <w:highlight w:val="none"/>
        </w:rPr>
        <w:t>磋商小组根据综合评分情况，按照评审得分由高到低顺序推荐3名成交候选供应商，并编写评审报告。符合本磋商文件第二章第27.1.2条情形的，可以推荐2名成交候选供应商。评审得分相同的，按照最后报价由低到高的顺序推荐。评审得分且最后报价相同的，按照技术指标优劣顺序推荐。</w:t>
      </w:r>
    </w:p>
    <w:p w14:paraId="103AC335">
      <w:pPr>
        <w:pageBreakBefore w:val="0"/>
        <w:widowControl w:val="0"/>
        <w:kinsoku/>
        <w:wordWrap/>
        <w:overflowPunct/>
        <w:topLinePunct w:val="0"/>
        <w:bidi w:val="0"/>
        <w:adjustRightInd w:val="0"/>
        <w:snapToGrid w:val="0"/>
        <w:spacing w:line="360" w:lineRule="auto"/>
        <w:ind w:firstLine="480" w:firstLineChars="200"/>
        <w:jc w:val="left"/>
        <w:textAlignment w:val="auto"/>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评审后得分最高的供应商获得成交供应商推荐资格；评审得分相同的，由采购人或者采购人委托磋商小组按照磋商文件规定的方式确定一个供应商获得成交供应商推荐资格，磋商文件未规定的采取随机抽取方式确定，其他供应商不作为成交候选人。</w:t>
      </w:r>
    </w:p>
    <w:p w14:paraId="4BB301CC">
      <w:pPr>
        <w:pageBreakBefore w:val="0"/>
        <w:widowControl w:val="0"/>
        <w:kinsoku/>
        <w:wordWrap/>
        <w:overflowPunct/>
        <w:topLinePunct w:val="0"/>
        <w:bidi w:val="0"/>
        <w:adjustRightInd w:val="0"/>
        <w:snapToGrid w:val="0"/>
        <w:spacing w:line="360" w:lineRule="auto"/>
        <w:ind w:firstLine="480" w:firstLineChars="200"/>
        <w:jc w:val="left"/>
        <w:textAlignment w:val="auto"/>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非单一产品采购项目，磋商文件中将载明其中的核心产品。多家供应商提供的核心产品品牌型号相同的，按前款规定处理。</w:t>
      </w:r>
    </w:p>
    <w:p w14:paraId="57586909">
      <w:pPr>
        <w:pageBreakBefore w:val="0"/>
        <w:widowControl w:val="0"/>
        <w:kinsoku/>
        <w:wordWrap/>
        <w:overflowPunct/>
        <w:topLinePunct w:val="0"/>
        <w:bidi w:val="0"/>
        <w:adjustRightInd w:val="0"/>
        <w:snapToGrid w:val="0"/>
        <w:spacing w:line="360" w:lineRule="auto"/>
        <w:ind w:firstLine="480" w:firstLineChars="200"/>
        <w:jc w:val="left"/>
        <w:textAlignment w:val="auto"/>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28.2采购人授权磋商小组直接确定排名第一的成交候选供应商为成交供应商。确定成交供应商之日起2个工作日内，采购人或代理机构将在“江苏政府采购网”发布成交结果公告，公告期限为1个工作日。</w:t>
      </w:r>
    </w:p>
    <w:p w14:paraId="7281660C">
      <w:pPr>
        <w:pageBreakBefore w:val="0"/>
        <w:widowControl w:val="0"/>
        <w:tabs>
          <w:tab w:val="left" w:pos="4410"/>
        </w:tabs>
        <w:kinsoku/>
        <w:wordWrap/>
        <w:overflowPunct/>
        <w:topLinePunct w:val="0"/>
        <w:bidi w:val="0"/>
        <w:adjustRightInd w:val="0"/>
        <w:snapToGrid w:val="0"/>
        <w:spacing w:line="360" w:lineRule="auto"/>
        <w:ind w:firstLine="480" w:firstLineChars="200"/>
        <w:jc w:val="left"/>
        <w:textAlignment w:val="auto"/>
        <w:rPr>
          <w:rFonts w:hint="eastAsia" w:ascii="宋体" w:hAnsi="宋体" w:eastAsia="宋体" w:cs="宋体"/>
          <w:bCs/>
          <w:color w:val="auto"/>
          <w:sz w:val="24"/>
          <w:szCs w:val="21"/>
          <w:highlight w:val="none"/>
        </w:rPr>
      </w:pPr>
      <w:r>
        <w:rPr>
          <w:rFonts w:hint="eastAsia" w:ascii="宋体" w:hAnsi="宋体" w:eastAsia="宋体" w:cs="宋体"/>
          <w:bCs/>
          <w:color w:val="auto"/>
          <w:sz w:val="24"/>
          <w:szCs w:val="21"/>
          <w:highlight w:val="none"/>
        </w:rPr>
        <w:t>28.3若有充分证据证明，成交供应商出现下列情况之一的，一经查实，将被取消成交资格：</w:t>
      </w:r>
    </w:p>
    <w:p w14:paraId="6865CE25">
      <w:pPr>
        <w:pageBreakBefore w:val="0"/>
        <w:widowControl w:val="0"/>
        <w:kinsoku/>
        <w:wordWrap/>
        <w:overflowPunct/>
        <w:topLinePunct w:val="0"/>
        <w:bidi w:val="0"/>
        <w:adjustRightInd w:val="0"/>
        <w:snapToGrid w:val="0"/>
        <w:spacing w:line="360" w:lineRule="auto"/>
        <w:ind w:firstLine="480" w:firstLineChars="200"/>
        <w:jc w:val="left"/>
        <w:textAlignment w:val="auto"/>
        <w:rPr>
          <w:rFonts w:hint="eastAsia" w:ascii="宋体" w:hAnsi="宋体" w:eastAsia="宋体" w:cs="宋体"/>
          <w:bCs/>
          <w:color w:val="auto"/>
          <w:sz w:val="24"/>
          <w:szCs w:val="21"/>
          <w:highlight w:val="none"/>
        </w:rPr>
      </w:pPr>
      <w:r>
        <w:rPr>
          <w:rFonts w:hint="eastAsia" w:ascii="宋体" w:hAnsi="宋体" w:eastAsia="宋体" w:cs="宋体"/>
          <w:bCs/>
          <w:color w:val="auto"/>
          <w:sz w:val="24"/>
          <w:szCs w:val="21"/>
          <w:highlight w:val="none"/>
        </w:rPr>
        <w:t>28.3.1提供虚假材料谋取成交的。</w:t>
      </w:r>
    </w:p>
    <w:p w14:paraId="249E8A94">
      <w:pPr>
        <w:pageBreakBefore w:val="0"/>
        <w:widowControl w:val="0"/>
        <w:kinsoku/>
        <w:wordWrap/>
        <w:overflowPunct/>
        <w:topLinePunct w:val="0"/>
        <w:bidi w:val="0"/>
        <w:adjustRightInd w:val="0"/>
        <w:snapToGrid w:val="0"/>
        <w:spacing w:line="360" w:lineRule="auto"/>
        <w:ind w:firstLine="480" w:firstLineChars="200"/>
        <w:jc w:val="left"/>
        <w:textAlignment w:val="auto"/>
        <w:rPr>
          <w:rFonts w:hint="eastAsia" w:ascii="宋体" w:hAnsi="宋体" w:eastAsia="宋体" w:cs="宋体"/>
          <w:bCs/>
          <w:color w:val="auto"/>
          <w:sz w:val="24"/>
          <w:szCs w:val="21"/>
          <w:highlight w:val="none"/>
        </w:rPr>
      </w:pPr>
      <w:r>
        <w:rPr>
          <w:rFonts w:hint="eastAsia" w:ascii="宋体" w:hAnsi="宋体" w:eastAsia="宋体" w:cs="宋体"/>
          <w:bCs/>
          <w:color w:val="auto"/>
          <w:sz w:val="24"/>
          <w:szCs w:val="21"/>
          <w:highlight w:val="none"/>
        </w:rPr>
        <w:t>28.3.2与评审专家、采购人、其他供应商或者代理机构工作人员恶意串通的。</w:t>
      </w:r>
    </w:p>
    <w:p w14:paraId="499D3CC4">
      <w:pPr>
        <w:pageBreakBefore w:val="0"/>
        <w:widowControl w:val="0"/>
        <w:kinsoku/>
        <w:wordWrap/>
        <w:overflowPunct/>
        <w:topLinePunct w:val="0"/>
        <w:bidi w:val="0"/>
        <w:adjustRightInd w:val="0"/>
        <w:snapToGrid w:val="0"/>
        <w:spacing w:line="360" w:lineRule="auto"/>
        <w:ind w:firstLine="480" w:firstLineChars="200"/>
        <w:jc w:val="left"/>
        <w:textAlignment w:val="auto"/>
        <w:rPr>
          <w:rFonts w:hint="eastAsia" w:ascii="宋体" w:hAnsi="宋体" w:eastAsia="宋体" w:cs="宋体"/>
          <w:bCs/>
          <w:color w:val="auto"/>
          <w:sz w:val="24"/>
          <w:szCs w:val="21"/>
          <w:highlight w:val="none"/>
        </w:rPr>
      </w:pPr>
      <w:r>
        <w:rPr>
          <w:rFonts w:hint="eastAsia" w:ascii="宋体" w:hAnsi="宋体" w:eastAsia="宋体" w:cs="宋体"/>
          <w:bCs/>
          <w:color w:val="auto"/>
          <w:sz w:val="24"/>
          <w:szCs w:val="21"/>
          <w:highlight w:val="none"/>
        </w:rPr>
        <w:t>28.3.3向评审专家、采购人或代理机构工作人员行贿或者提供其他不正当利益的。</w:t>
      </w:r>
    </w:p>
    <w:p w14:paraId="3C1417A7">
      <w:pPr>
        <w:pageBreakBefore w:val="0"/>
        <w:widowControl w:val="0"/>
        <w:kinsoku/>
        <w:wordWrap/>
        <w:overflowPunct/>
        <w:topLinePunct w:val="0"/>
        <w:bidi w:val="0"/>
        <w:adjustRightInd w:val="0"/>
        <w:snapToGrid w:val="0"/>
        <w:spacing w:line="360" w:lineRule="auto"/>
        <w:ind w:firstLine="480" w:firstLineChars="200"/>
        <w:jc w:val="left"/>
        <w:textAlignment w:val="auto"/>
        <w:rPr>
          <w:rFonts w:hint="eastAsia" w:ascii="宋体" w:hAnsi="宋体" w:eastAsia="宋体" w:cs="宋体"/>
          <w:bCs/>
          <w:color w:val="auto"/>
          <w:sz w:val="24"/>
          <w:szCs w:val="21"/>
          <w:highlight w:val="none"/>
        </w:rPr>
      </w:pPr>
      <w:r>
        <w:rPr>
          <w:rFonts w:hint="eastAsia" w:ascii="宋体" w:hAnsi="宋体" w:eastAsia="宋体" w:cs="宋体"/>
          <w:bCs/>
          <w:color w:val="auto"/>
          <w:sz w:val="24"/>
          <w:szCs w:val="21"/>
          <w:highlight w:val="none"/>
        </w:rPr>
        <w:t>28.3.4恶意竞争，最后报价明显低于其自身合理成本且又无法提供证明的。</w:t>
      </w:r>
    </w:p>
    <w:p w14:paraId="5F4A9511">
      <w:pPr>
        <w:pageBreakBefore w:val="0"/>
        <w:widowControl w:val="0"/>
        <w:kinsoku/>
        <w:wordWrap/>
        <w:overflowPunct/>
        <w:topLinePunct w:val="0"/>
        <w:bidi w:val="0"/>
        <w:adjustRightInd w:val="0"/>
        <w:snapToGrid w:val="0"/>
        <w:spacing w:line="360" w:lineRule="auto"/>
        <w:ind w:firstLine="480" w:firstLineChars="200"/>
        <w:jc w:val="left"/>
        <w:textAlignment w:val="auto"/>
        <w:rPr>
          <w:rFonts w:hint="eastAsia" w:ascii="宋体" w:hAnsi="宋体" w:eastAsia="宋体" w:cs="宋体"/>
          <w:bCs/>
          <w:color w:val="auto"/>
          <w:sz w:val="24"/>
          <w:szCs w:val="21"/>
          <w:highlight w:val="none"/>
        </w:rPr>
      </w:pPr>
      <w:r>
        <w:rPr>
          <w:rFonts w:hint="eastAsia" w:ascii="宋体" w:hAnsi="宋体" w:eastAsia="宋体" w:cs="宋体"/>
          <w:bCs/>
          <w:color w:val="auto"/>
          <w:sz w:val="24"/>
          <w:szCs w:val="21"/>
          <w:highlight w:val="none"/>
        </w:rPr>
        <w:t>28.3.5不满足本磋商文件规定的实质性要求，但在评审过程中又未被磋商小组发现的。</w:t>
      </w:r>
    </w:p>
    <w:p w14:paraId="5E35859C">
      <w:pPr>
        <w:pageBreakBefore w:val="0"/>
        <w:widowControl w:val="0"/>
        <w:kinsoku/>
        <w:wordWrap/>
        <w:overflowPunct/>
        <w:topLinePunct w:val="0"/>
        <w:bidi w:val="0"/>
        <w:adjustRightInd w:val="0"/>
        <w:snapToGrid w:val="0"/>
        <w:spacing w:line="360" w:lineRule="auto"/>
        <w:ind w:firstLine="480" w:firstLineChars="200"/>
        <w:jc w:val="left"/>
        <w:textAlignment w:val="auto"/>
        <w:rPr>
          <w:rFonts w:hint="eastAsia" w:ascii="宋体" w:hAnsi="宋体" w:eastAsia="宋体" w:cs="宋体"/>
          <w:bCs/>
          <w:color w:val="auto"/>
          <w:sz w:val="24"/>
          <w:szCs w:val="21"/>
          <w:highlight w:val="none"/>
        </w:rPr>
      </w:pPr>
      <w:r>
        <w:rPr>
          <w:rFonts w:hint="eastAsia" w:ascii="宋体" w:hAnsi="宋体" w:eastAsia="宋体" w:cs="宋体"/>
          <w:bCs/>
          <w:color w:val="auto"/>
          <w:sz w:val="24"/>
          <w:szCs w:val="21"/>
          <w:highlight w:val="none"/>
        </w:rPr>
        <w:t>28.3.6成交后无正当理由拒不与采购人签订政府采购合同或者未按照磋商文件确定的事项签订政府采购合同的。</w:t>
      </w:r>
    </w:p>
    <w:p w14:paraId="7E293206">
      <w:pPr>
        <w:pageBreakBefore w:val="0"/>
        <w:widowControl w:val="0"/>
        <w:kinsoku/>
        <w:wordWrap/>
        <w:overflowPunct/>
        <w:topLinePunct w:val="0"/>
        <w:bidi w:val="0"/>
        <w:adjustRightInd w:val="0"/>
        <w:snapToGrid w:val="0"/>
        <w:spacing w:line="360" w:lineRule="auto"/>
        <w:ind w:firstLine="480" w:firstLineChars="200"/>
        <w:jc w:val="left"/>
        <w:textAlignment w:val="auto"/>
        <w:rPr>
          <w:rFonts w:hint="eastAsia" w:ascii="宋体" w:hAnsi="宋体" w:eastAsia="宋体" w:cs="宋体"/>
          <w:bCs/>
          <w:color w:val="auto"/>
          <w:sz w:val="24"/>
          <w:szCs w:val="21"/>
          <w:highlight w:val="none"/>
        </w:rPr>
      </w:pPr>
      <w:r>
        <w:rPr>
          <w:rFonts w:hint="eastAsia" w:ascii="宋体" w:hAnsi="宋体" w:eastAsia="宋体" w:cs="宋体"/>
          <w:bCs/>
          <w:color w:val="auto"/>
          <w:sz w:val="24"/>
          <w:szCs w:val="21"/>
          <w:highlight w:val="none"/>
        </w:rPr>
        <w:t>28.3.7将政府采购合同转包的。</w:t>
      </w:r>
    </w:p>
    <w:p w14:paraId="579B99EA">
      <w:pPr>
        <w:keepNext/>
        <w:keepLines/>
        <w:pageBreakBefore w:val="0"/>
        <w:widowControl w:val="0"/>
        <w:kinsoku/>
        <w:wordWrap/>
        <w:overflowPunct/>
        <w:topLinePunct w:val="0"/>
        <w:bidi w:val="0"/>
        <w:adjustRightInd w:val="0"/>
        <w:snapToGrid w:val="0"/>
        <w:spacing w:line="360" w:lineRule="auto"/>
        <w:ind w:firstLine="600" w:firstLineChars="200"/>
        <w:jc w:val="left"/>
        <w:textAlignment w:val="auto"/>
        <w:outlineLvl w:val="3"/>
        <w:rPr>
          <w:rFonts w:hint="eastAsia" w:ascii="宋体" w:hAnsi="宋体" w:eastAsia="宋体" w:cs="宋体"/>
          <w:bCs/>
          <w:color w:val="auto"/>
          <w:sz w:val="30"/>
          <w:szCs w:val="30"/>
          <w:highlight w:val="none"/>
        </w:rPr>
      </w:pPr>
      <w:bookmarkStart w:id="153" w:name="_Toc200451960"/>
      <w:r>
        <w:rPr>
          <w:rFonts w:hint="eastAsia" w:ascii="宋体" w:hAnsi="宋体" w:eastAsia="宋体" w:cs="宋体"/>
          <w:bCs/>
          <w:color w:val="auto"/>
          <w:sz w:val="30"/>
          <w:szCs w:val="30"/>
          <w:highlight w:val="none"/>
        </w:rPr>
        <w:t>29、质疑处理</w:t>
      </w:r>
      <w:bookmarkEnd w:id="153"/>
    </w:p>
    <w:p w14:paraId="55681CA5">
      <w:pPr>
        <w:pageBreakBefore w:val="0"/>
        <w:widowControl w:val="0"/>
        <w:kinsoku/>
        <w:wordWrap/>
        <w:overflowPunct/>
        <w:topLinePunct w:val="0"/>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29.1 提出质疑的供应商应当是参与所质疑项目采购活动的供应商。潜在供应商依法获取其可质疑的采购文件的，可以对采购文件提出质疑。</w:t>
      </w:r>
    </w:p>
    <w:p w14:paraId="45E21B04">
      <w:pPr>
        <w:pageBreakBefore w:val="0"/>
        <w:widowControl w:val="0"/>
        <w:kinsoku/>
        <w:wordWrap/>
        <w:overflowPunct/>
        <w:topLinePunct w:val="0"/>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29.2供应商认为采购文件、采购过程和采购结果使自己的权益受到损害的，可以在知道或应知其权益受到损害之日起七个工作日内，以书面形式根据下述29.4条款的规定向代理机构或采购人提出质疑。上述应知其权益受到损害之日，是指：</w:t>
      </w:r>
    </w:p>
    <w:p w14:paraId="238166E9">
      <w:pPr>
        <w:pageBreakBefore w:val="0"/>
        <w:widowControl w:val="0"/>
        <w:kinsoku/>
        <w:wordWrap/>
        <w:overflowPunct/>
        <w:topLinePunct w:val="0"/>
        <w:bidi w:val="0"/>
        <w:adjustRightInd w:val="0"/>
        <w:snapToGrid w:val="0"/>
        <w:spacing w:line="360" w:lineRule="auto"/>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29.2.1</w:t>
      </w:r>
      <w:r>
        <w:rPr>
          <w:rFonts w:hint="eastAsia" w:ascii="宋体" w:hAnsi="宋体" w:eastAsia="宋体" w:cs="宋体"/>
          <w:color w:val="auto"/>
          <w:kern w:val="0"/>
          <w:sz w:val="24"/>
          <w:szCs w:val="24"/>
          <w:highlight w:val="none"/>
        </w:rPr>
        <w:t>对可以质疑的采购文件提出质疑的，为收到采购文件之日或者采购文件公告期限届满之日。</w:t>
      </w:r>
    </w:p>
    <w:p w14:paraId="2D2C327B">
      <w:pPr>
        <w:pageBreakBefore w:val="0"/>
        <w:widowControl w:val="0"/>
        <w:kinsoku/>
        <w:wordWrap/>
        <w:overflowPunct/>
        <w:topLinePunct w:val="0"/>
        <w:bidi w:val="0"/>
        <w:adjustRightInd w:val="0"/>
        <w:snapToGrid w:val="0"/>
        <w:spacing w:line="360" w:lineRule="auto"/>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29.2.2</w:t>
      </w:r>
      <w:r>
        <w:rPr>
          <w:rFonts w:hint="eastAsia" w:ascii="宋体" w:hAnsi="宋体" w:eastAsia="宋体" w:cs="宋体"/>
          <w:color w:val="auto"/>
          <w:kern w:val="0"/>
          <w:sz w:val="24"/>
          <w:szCs w:val="24"/>
          <w:highlight w:val="none"/>
        </w:rPr>
        <w:t>对采购过程提出质疑的，为各采购程序环节结束之日。</w:t>
      </w:r>
    </w:p>
    <w:p w14:paraId="09F77220">
      <w:pPr>
        <w:pageBreakBefore w:val="0"/>
        <w:widowControl w:val="0"/>
        <w:kinsoku/>
        <w:wordWrap/>
        <w:overflowPunct/>
        <w:topLinePunct w:val="0"/>
        <w:bidi w:val="0"/>
        <w:adjustRightInd w:val="0"/>
        <w:snapToGrid w:val="0"/>
        <w:spacing w:line="360" w:lineRule="auto"/>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29.2.3</w:t>
      </w:r>
      <w:r>
        <w:rPr>
          <w:rFonts w:hint="eastAsia" w:ascii="宋体" w:hAnsi="宋体" w:eastAsia="宋体" w:cs="宋体"/>
          <w:color w:val="auto"/>
          <w:kern w:val="0"/>
          <w:sz w:val="24"/>
          <w:szCs w:val="24"/>
          <w:highlight w:val="none"/>
        </w:rPr>
        <w:t>对成交结果提出质疑的，为成交结果公告期限届满之日。</w:t>
      </w:r>
    </w:p>
    <w:p w14:paraId="3A56672B">
      <w:pPr>
        <w:pageBreakBefore w:val="0"/>
        <w:widowControl w:val="0"/>
        <w:kinsoku/>
        <w:wordWrap/>
        <w:overflowPunct/>
        <w:topLinePunct w:val="0"/>
        <w:bidi w:val="0"/>
        <w:adjustRightInd w:val="0"/>
        <w:snapToGrid w:val="0"/>
        <w:spacing w:line="360" w:lineRule="auto"/>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供应商应当在法定质疑期内一次性提出针对同一采购程序环节的质疑。供应商如在法定期限内对同一采购程序环节提出多次质疑的，</w:t>
      </w:r>
      <w:r>
        <w:rPr>
          <w:rFonts w:hint="eastAsia" w:ascii="宋体" w:hAnsi="宋体" w:eastAsia="宋体" w:cs="宋体"/>
          <w:bCs/>
          <w:color w:val="auto"/>
          <w:sz w:val="24"/>
          <w:szCs w:val="21"/>
          <w:highlight w:val="none"/>
        </w:rPr>
        <w:t>代理机构人员</w:t>
      </w:r>
      <w:r>
        <w:rPr>
          <w:rFonts w:hint="eastAsia" w:ascii="宋体" w:hAnsi="宋体" w:eastAsia="宋体" w:cs="宋体"/>
          <w:color w:val="auto"/>
          <w:kern w:val="0"/>
          <w:sz w:val="24"/>
          <w:szCs w:val="24"/>
          <w:highlight w:val="none"/>
        </w:rPr>
        <w:t>、采购人将只对供应商第一次质疑作出答复。</w:t>
      </w:r>
    </w:p>
    <w:p w14:paraId="354DAC09">
      <w:pPr>
        <w:pageBreakBefore w:val="0"/>
        <w:widowControl w:val="0"/>
        <w:kinsoku/>
        <w:wordWrap/>
        <w:overflowPunct/>
        <w:topLinePunct w:val="0"/>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29.3质疑函必须按照本磋商文件中《质疑函范本》要求的格式和内容进行填写。供应商如组成联合体参加磋商，则《质疑函范本》中要求签字、盖章、加盖公章之处，联合体各方均须按要求签字、盖章、加盖公章。</w:t>
      </w:r>
    </w:p>
    <w:p w14:paraId="2A423093">
      <w:pPr>
        <w:pageBreakBefore w:val="0"/>
        <w:widowControl w:val="0"/>
        <w:kinsoku/>
        <w:wordWrap/>
        <w:overflowPunct/>
        <w:topLinePunct w:val="0"/>
        <w:bidi w:val="0"/>
        <w:adjustRightInd w:val="0"/>
        <w:snapToGrid w:val="0"/>
        <w:spacing w:line="360" w:lineRule="auto"/>
        <w:ind w:firstLine="480" w:firstLineChars="200"/>
        <w:jc w:val="left"/>
        <w:textAlignment w:val="auto"/>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29.4 供应商（含潜在供应商）对采购方式、采购需求、供应商资格条件、评审方法与评审标准、合同文本的询问、质疑请向采购人提出，由采购人负责答复。供应商对其他事项的询问、质疑请向代理机构人员提出，由代理机构人员负责答复。</w:t>
      </w:r>
    </w:p>
    <w:p w14:paraId="3FC16E0E">
      <w:pPr>
        <w:pageBreakBefore w:val="0"/>
        <w:widowControl w:val="0"/>
        <w:kinsoku/>
        <w:wordWrap/>
        <w:overflowPunct/>
        <w:topLinePunct w:val="0"/>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采购人及代理机构人员只接收以纸质原件形式送达的质疑,建议供应商尽量通过邮寄方式提交质疑</w:t>
      </w:r>
      <w:r>
        <w:rPr>
          <w:rFonts w:hint="eastAsia" w:ascii="宋体" w:hAnsi="宋体" w:eastAsia="宋体" w:cs="宋体"/>
          <w:b/>
          <w:bCs/>
          <w:color w:val="auto"/>
          <w:sz w:val="24"/>
          <w:szCs w:val="24"/>
          <w:highlight w:val="none"/>
        </w:rPr>
        <w:t>（采购人和代理机构不接受无快递运单号的快递）。</w:t>
      </w:r>
    </w:p>
    <w:p w14:paraId="3BE0686B">
      <w:pPr>
        <w:pageBreakBefore w:val="0"/>
        <w:widowControl w:val="0"/>
        <w:kinsoku/>
        <w:wordWrap/>
        <w:overflowPunct/>
        <w:topLinePunct w:val="0"/>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采购人或代理机构质疑接收人及联系方式见本磋商文件第一章。</w:t>
      </w:r>
    </w:p>
    <w:p w14:paraId="2BE28D49">
      <w:pPr>
        <w:pageBreakBefore w:val="0"/>
        <w:widowControl w:val="0"/>
        <w:kinsoku/>
        <w:wordWrap/>
        <w:overflowPunct/>
        <w:topLinePunct w:val="0"/>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29.5 以下情形的质疑不予受理</w:t>
      </w:r>
    </w:p>
    <w:p w14:paraId="542FC650">
      <w:pPr>
        <w:pageBreakBefore w:val="0"/>
        <w:widowControl w:val="0"/>
        <w:kinsoku/>
        <w:wordWrap/>
        <w:overflowPunct/>
        <w:topLinePunct w:val="0"/>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29.5.1 内容不符合《政府采购质疑和投诉办法》第十二条规定的质疑。</w:t>
      </w:r>
    </w:p>
    <w:p w14:paraId="594B32BB">
      <w:pPr>
        <w:pageBreakBefore w:val="0"/>
        <w:widowControl w:val="0"/>
        <w:kinsoku/>
        <w:wordWrap/>
        <w:overflowPunct/>
        <w:topLinePunct w:val="0"/>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29.5.2 超出政府采购法定期限的质疑。</w:t>
      </w:r>
    </w:p>
    <w:p w14:paraId="4100057E">
      <w:pPr>
        <w:pageBreakBefore w:val="0"/>
        <w:widowControl w:val="0"/>
        <w:kinsoku/>
        <w:wordWrap/>
        <w:overflowPunct/>
        <w:topLinePunct w:val="0"/>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29.5.3 以传真、电子邮件等方式递交的非原件形式的质疑。</w:t>
      </w:r>
    </w:p>
    <w:p w14:paraId="662BEEDF">
      <w:pPr>
        <w:pageBreakBefore w:val="0"/>
        <w:widowControl w:val="0"/>
        <w:kinsoku/>
        <w:wordWrap/>
        <w:overflowPunct/>
        <w:topLinePunct w:val="0"/>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29.5.4 未参加磋商活动的供应商或在磋商活动中自身权益未受到损害的供应商所提出的质疑。</w:t>
      </w:r>
    </w:p>
    <w:p w14:paraId="7F657AE1">
      <w:pPr>
        <w:pageBreakBefore w:val="0"/>
        <w:widowControl w:val="0"/>
        <w:kinsoku/>
        <w:wordWrap/>
        <w:overflowPunct/>
        <w:topLinePunct w:val="0"/>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29.5.5供应商组成联合体参加磋商，联合体中任何一方或多方未按要求签字、盖章、加盖公章的质疑。</w:t>
      </w:r>
    </w:p>
    <w:p w14:paraId="0538CA14">
      <w:pPr>
        <w:pageBreakBefore w:val="0"/>
        <w:widowControl w:val="0"/>
        <w:kinsoku/>
        <w:wordWrap/>
        <w:overflowPunct/>
        <w:topLinePunct w:val="0"/>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29.6  供应商提出书面质疑必须有理、有据，不得捏造事实、提供虚假材料进行恶意质疑。否则，一经查实，代理机构人员有权依据政府采购的有关规定，报请政府采购监管部门对该供应商进行相应的行政处罚和记录该供应商的失信信息。</w:t>
      </w:r>
    </w:p>
    <w:p w14:paraId="36C2E25E">
      <w:pPr>
        <w:keepNext/>
        <w:keepLines/>
        <w:pageBreakBefore w:val="0"/>
        <w:widowControl w:val="0"/>
        <w:kinsoku/>
        <w:wordWrap/>
        <w:overflowPunct/>
        <w:topLinePunct w:val="0"/>
        <w:bidi w:val="0"/>
        <w:adjustRightInd w:val="0"/>
        <w:snapToGrid w:val="0"/>
        <w:spacing w:line="360" w:lineRule="auto"/>
        <w:ind w:firstLine="600" w:firstLineChars="200"/>
        <w:jc w:val="left"/>
        <w:textAlignment w:val="auto"/>
        <w:outlineLvl w:val="3"/>
        <w:rPr>
          <w:rFonts w:hint="eastAsia" w:ascii="宋体" w:hAnsi="宋体" w:eastAsia="宋体" w:cs="宋体"/>
          <w:bCs/>
          <w:color w:val="auto"/>
          <w:sz w:val="30"/>
          <w:szCs w:val="30"/>
          <w:highlight w:val="none"/>
        </w:rPr>
      </w:pPr>
      <w:r>
        <w:rPr>
          <w:rFonts w:hint="eastAsia" w:ascii="宋体" w:hAnsi="宋体" w:eastAsia="宋体" w:cs="宋体"/>
          <w:bCs/>
          <w:color w:val="auto"/>
          <w:sz w:val="30"/>
          <w:szCs w:val="30"/>
          <w:highlight w:val="none"/>
        </w:rPr>
        <w:t>30、成交通知书</w:t>
      </w:r>
    </w:p>
    <w:p w14:paraId="4E56945D">
      <w:pPr>
        <w:pageBreakBefore w:val="0"/>
        <w:widowControl w:val="0"/>
        <w:kinsoku/>
        <w:wordWrap/>
        <w:overflowPunct/>
        <w:topLinePunct w:val="0"/>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30.1成交结果确定后，代理机构人员将向成交供应商发出成交通知书。请成交供应商在成交结果公告届满之日起30日内,使用CA数字证书登录苏采云系统及时下载成交通知书。因系统存储空间有限，自成交结果公告届满之日起30日后，苏采云系统不再保证提供下载成交通知书服务,因未及时下载而造成的不利后果由成交供应商自行承担。</w:t>
      </w:r>
    </w:p>
    <w:p w14:paraId="43EBEA0F">
      <w:pPr>
        <w:pageBreakBefore w:val="0"/>
        <w:widowControl w:val="0"/>
        <w:kinsoku/>
        <w:wordWrap/>
        <w:overflowPunct/>
        <w:topLinePunct w:val="0"/>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30.2成交通知书将是合同的一个组成部分。对采购人和成交供应商均具有法律效力。成交通知书发出后，采购人改变成交结果的，或者成交供应商放弃成交项目的，应当依法承担法律责任。</w:t>
      </w:r>
    </w:p>
    <w:p w14:paraId="5D2F0FD7">
      <w:pPr>
        <w:keepNext/>
        <w:keepLines/>
        <w:pageBreakBefore w:val="0"/>
        <w:widowControl w:val="0"/>
        <w:kinsoku/>
        <w:wordWrap/>
        <w:overflowPunct/>
        <w:topLinePunct w:val="0"/>
        <w:bidi w:val="0"/>
        <w:adjustRightInd w:val="0"/>
        <w:snapToGrid w:val="0"/>
        <w:spacing w:line="360" w:lineRule="auto"/>
        <w:ind w:firstLine="643" w:firstLineChars="200"/>
        <w:jc w:val="left"/>
        <w:textAlignment w:val="auto"/>
        <w:outlineLvl w:val="2"/>
        <w:rPr>
          <w:rFonts w:hint="eastAsia" w:ascii="宋体" w:hAnsi="宋体" w:eastAsia="宋体" w:cs="宋体"/>
          <w:b/>
          <w:bCs/>
          <w:color w:val="auto"/>
          <w:sz w:val="32"/>
          <w:szCs w:val="32"/>
          <w:highlight w:val="none"/>
        </w:rPr>
      </w:pPr>
      <w:bookmarkStart w:id="154" w:name="_Toc120614220"/>
      <w:bookmarkStart w:id="155" w:name="_Toc16938552"/>
      <w:bookmarkStart w:id="156" w:name="_Toc20823308"/>
      <w:bookmarkStart w:id="157" w:name="_Toc513029236"/>
      <w:r>
        <w:rPr>
          <w:rFonts w:hint="eastAsia" w:ascii="宋体" w:hAnsi="宋体" w:eastAsia="宋体" w:cs="宋体"/>
          <w:b/>
          <w:bCs/>
          <w:color w:val="auto"/>
          <w:sz w:val="32"/>
          <w:szCs w:val="32"/>
          <w:highlight w:val="none"/>
        </w:rPr>
        <w:t>七、授予合同</w:t>
      </w:r>
      <w:bookmarkEnd w:id="154"/>
    </w:p>
    <w:bookmarkEnd w:id="155"/>
    <w:bookmarkEnd w:id="156"/>
    <w:bookmarkEnd w:id="157"/>
    <w:p w14:paraId="0DF3A396">
      <w:pPr>
        <w:keepNext/>
        <w:keepLines/>
        <w:pageBreakBefore w:val="0"/>
        <w:widowControl w:val="0"/>
        <w:kinsoku/>
        <w:wordWrap/>
        <w:overflowPunct/>
        <w:topLinePunct w:val="0"/>
        <w:bidi w:val="0"/>
        <w:adjustRightInd w:val="0"/>
        <w:snapToGrid w:val="0"/>
        <w:spacing w:line="360" w:lineRule="auto"/>
        <w:ind w:firstLine="600" w:firstLineChars="200"/>
        <w:jc w:val="left"/>
        <w:textAlignment w:val="auto"/>
        <w:outlineLvl w:val="3"/>
        <w:rPr>
          <w:rFonts w:hint="eastAsia" w:ascii="宋体" w:hAnsi="宋体" w:eastAsia="宋体" w:cs="宋体"/>
          <w:bCs/>
          <w:color w:val="auto"/>
          <w:sz w:val="30"/>
          <w:szCs w:val="30"/>
          <w:highlight w:val="none"/>
        </w:rPr>
      </w:pPr>
      <w:bookmarkStart w:id="158" w:name="_Toc16938553"/>
      <w:bookmarkStart w:id="159" w:name="_Toc513029237"/>
      <w:bookmarkStart w:id="160" w:name="_Toc20823309"/>
      <w:r>
        <w:rPr>
          <w:rFonts w:hint="eastAsia" w:ascii="宋体" w:hAnsi="宋体" w:eastAsia="宋体" w:cs="宋体"/>
          <w:bCs/>
          <w:color w:val="auto"/>
          <w:sz w:val="30"/>
          <w:szCs w:val="30"/>
          <w:highlight w:val="none"/>
        </w:rPr>
        <w:t>31. 签订合同</w:t>
      </w:r>
    </w:p>
    <w:p w14:paraId="07E2F460">
      <w:pPr>
        <w:pageBreakBefore w:val="0"/>
        <w:widowControl w:val="0"/>
        <w:kinsoku/>
        <w:wordWrap/>
        <w:overflowPunct/>
        <w:topLinePunct w:val="0"/>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31</w:t>
      </w:r>
      <w:r>
        <w:rPr>
          <w:rFonts w:hint="eastAsia" w:ascii="宋体" w:hAnsi="宋体" w:eastAsia="宋体" w:cs="宋体"/>
          <w:color w:val="auto"/>
          <w:sz w:val="24"/>
          <w:szCs w:val="24"/>
          <w:highlight w:val="none"/>
        </w:rPr>
        <w:t>.l成交供应商应当在成交通知书发出之日起三十日内，按照磋商文件确定的事项与采购人签订政府采购合同。</w:t>
      </w:r>
    </w:p>
    <w:p w14:paraId="682CC8DB">
      <w:pPr>
        <w:pageBreakBefore w:val="0"/>
        <w:widowControl w:val="0"/>
        <w:kinsoku/>
        <w:wordWrap/>
        <w:overflowPunct/>
        <w:topLinePunct w:val="0"/>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31.2磋商文件、成交供应商的响应文件及磋商过程中有关澄清、承诺文件均应作为合同附件。</w:t>
      </w:r>
    </w:p>
    <w:p w14:paraId="6D15A201">
      <w:pPr>
        <w:pageBreakBefore w:val="0"/>
        <w:widowControl w:val="0"/>
        <w:kinsoku/>
        <w:wordWrap/>
        <w:overflowPunct/>
        <w:topLinePunct w:val="0"/>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31.3 签订合同后，成交供应商不得将合同标的进行转包。未经采购人同意，成交供应商也不得采用分包形式履行合同,否则采购人有权终止合同。转包或分包造成采购人损失的，成交供应商应承担相应赔偿责任。</w:t>
      </w:r>
    </w:p>
    <w:p w14:paraId="47EC3B8A">
      <w:pPr>
        <w:keepNext/>
        <w:keepLines/>
        <w:pageBreakBefore w:val="0"/>
        <w:widowControl w:val="0"/>
        <w:kinsoku/>
        <w:wordWrap/>
        <w:overflowPunct/>
        <w:topLinePunct w:val="0"/>
        <w:bidi w:val="0"/>
        <w:adjustRightInd w:val="0"/>
        <w:snapToGrid w:val="0"/>
        <w:spacing w:line="360" w:lineRule="auto"/>
        <w:ind w:firstLine="600" w:firstLineChars="200"/>
        <w:jc w:val="left"/>
        <w:textAlignment w:val="auto"/>
        <w:outlineLvl w:val="3"/>
        <w:rPr>
          <w:rFonts w:hint="eastAsia" w:ascii="宋体" w:hAnsi="宋体" w:eastAsia="宋体" w:cs="宋体"/>
          <w:bCs/>
          <w:color w:val="auto"/>
          <w:sz w:val="30"/>
          <w:szCs w:val="30"/>
          <w:highlight w:val="none"/>
        </w:rPr>
      </w:pPr>
      <w:r>
        <w:rPr>
          <w:rFonts w:hint="eastAsia" w:ascii="宋体" w:hAnsi="宋体" w:eastAsia="宋体" w:cs="宋体"/>
          <w:bCs/>
          <w:color w:val="auto"/>
          <w:sz w:val="30"/>
          <w:szCs w:val="30"/>
          <w:highlight w:val="none"/>
        </w:rPr>
        <w:t>32、标的物的追加</w:t>
      </w:r>
    </w:p>
    <w:bookmarkEnd w:id="158"/>
    <w:bookmarkEnd w:id="159"/>
    <w:bookmarkEnd w:id="160"/>
    <w:p w14:paraId="22F5EA06">
      <w:pPr>
        <w:pageBreakBefore w:val="0"/>
        <w:widowControl w:val="0"/>
        <w:kinsoku/>
        <w:wordWrap/>
        <w:overflowPunct/>
        <w:topLinePunct w:val="0"/>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bookmarkStart w:id="161" w:name="_Toc16938558"/>
      <w:bookmarkStart w:id="162" w:name="_Toc20823314"/>
      <w:bookmarkStart w:id="163" w:name="_Toc120614221"/>
      <w:bookmarkStart w:id="164" w:name="_Toc513029242"/>
      <w:bookmarkStart w:id="165" w:name="_Toc479757207"/>
      <w:r>
        <w:rPr>
          <w:rFonts w:hint="eastAsia" w:ascii="宋体" w:hAnsi="宋体" w:eastAsia="宋体" w:cs="宋体"/>
          <w:color w:val="auto"/>
          <w:sz w:val="24"/>
          <w:szCs w:val="24"/>
          <w:highlight w:val="none"/>
        </w:rPr>
        <w:t>32.1政府采购合同履行中，采购人需追加与合同标的相同的货物和服务的，在不改变合同其他条款的前提下，可以与成交供应商协商签订补充合同，但所有补充合同的采购金额不超过原合同金额10%。</w:t>
      </w:r>
    </w:p>
    <w:p w14:paraId="03864589">
      <w:pPr>
        <w:pageBreakBefore w:val="0"/>
        <w:widowControl w:val="0"/>
        <w:kinsoku/>
        <w:wordWrap/>
        <w:overflowPunct/>
        <w:topLinePunct w:val="0"/>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32.2采购结束后，采购人若由于各种客观原因，必须对采购项目所牵涉的货物和服务进行适当的减少时，在双方协商一致的前提下，可以按照采购时的价格水平做相应的调减，并据此签订补充合同。</w:t>
      </w:r>
    </w:p>
    <w:p w14:paraId="1F0E55D3">
      <w:pPr>
        <w:pageBreakBefore w:val="0"/>
        <w:widowControl w:val="0"/>
        <w:kinsoku/>
        <w:wordWrap/>
        <w:overflowPunct/>
        <w:topLinePunct w:val="0"/>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33、政府采购履约资金扶持政策</w:t>
      </w:r>
    </w:p>
    <w:p w14:paraId="31D02228">
      <w:pPr>
        <w:keepNext/>
        <w:pageBreakBefore w:val="0"/>
        <w:widowControl w:val="0"/>
        <w:kinsoku/>
        <w:wordWrap/>
        <w:overflowPunct/>
        <w:topLinePunct w:val="0"/>
        <w:bidi w:val="0"/>
        <w:adjustRightInd w:val="0"/>
        <w:snapToGrid w:val="0"/>
        <w:spacing w:line="360" w:lineRule="auto"/>
        <w:ind w:firstLine="480" w:firstLineChars="200"/>
        <w:jc w:val="left"/>
        <w:textAlignment w:val="auto"/>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成交供应商如需获得履约保证金支持，可凭政府采购合同办理融资贷款，详情请见江苏政府采购网“政采贷”专栏。</w:t>
      </w:r>
    </w:p>
    <w:p w14:paraId="33F82EB0">
      <w:pPr>
        <w:spacing w:line="400" w:lineRule="exact"/>
        <w:ind w:firstLine="480" w:firstLineChars="200"/>
        <w:rPr>
          <w:rFonts w:hint="eastAsia" w:ascii="宋体" w:hAnsi="宋体" w:eastAsia="宋体" w:cs="宋体"/>
          <w:bCs/>
          <w:color w:val="auto"/>
          <w:sz w:val="24"/>
          <w:szCs w:val="24"/>
          <w:highlight w:val="none"/>
        </w:rPr>
      </w:pPr>
    </w:p>
    <w:p w14:paraId="3DFB33E2">
      <w:pPr>
        <w:pStyle w:val="2"/>
        <w:rPr>
          <w:rFonts w:hint="eastAsia" w:ascii="宋体" w:hAnsi="宋体" w:eastAsia="宋体" w:cs="宋体"/>
          <w:bCs/>
          <w:color w:val="auto"/>
          <w:sz w:val="24"/>
          <w:szCs w:val="24"/>
          <w:highlight w:val="none"/>
        </w:rPr>
      </w:pPr>
    </w:p>
    <w:p w14:paraId="324C7DC5">
      <w:pPr>
        <w:rPr>
          <w:rFonts w:hint="eastAsia" w:ascii="宋体" w:hAnsi="宋体" w:eastAsia="宋体" w:cs="宋体"/>
          <w:bCs/>
          <w:color w:val="auto"/>
          <w:sz w:val="24"/>
          <w:szCs w:val="24"/>
          <w:highlight w:val="none"/>
        </w:rPr>
      </w:pPr>
    </w:p>
    <w:p w14:paraId="528E0241">
      <w:pPr>
        <w:pStyle w:val="2"/>
        <w:rPr>
          <w:rFonts w:hint="eastAsia" w:ascii="宋体" w:hAnsi="宋体" w:eastAsia="宋体" w:cs="宋体"/>
          <w:bCs/>
          <w:color w:val="auto"/>
          <w:sz w:val="24"/>
          <w:szCs w:val="24"/>
          <w:highlight w:val="none"/>
        </w:rPr>
      </w:pPr>
    </w:p>
    <w:p w14:paraId="2235A426">
      <w:pPr>
        <w:rPr>
          <w:rFonts w:hint="eastAsia" w:ascii="宋体" w:hAnsi="宋体" w:eastAsia="宋体" w:cs="宋体"/>
          <w:bCs/>
          <w:color w:val="auto"/>
          <w:sz w:val="24"/>
          <w:szCs w:val="24"/>
          <w:highlight w:val="none"/>
        </w:rPr>
      </w:pPr>
    </w:p>
    <w:p w14:paraId="3C6195F1">
      <w:pPr>
        <w:pStyle w:val="2"/>
        <w:rPr>
          <w:rFonts w:hint="eastAsia" w:ascii="宋体" w:hAnsi="宋体" w:eastAsia="宋体" w:cs="宋体"/>
          <w:bCs/>
          <w:color w:val="auto"/>
          <w:sz w:val="24"/>
          <w:szCs w:val="24"/>
          <w:highlight w:val="none"/>
        </w:rPr>
      </w:pPr>
    </w:p>
    <w:p w14:paraId="4E96853E">
      <w:pPr>
        <w:rPr>
          <w:rFonts w:hint="eastAsia" w:ascii="宋体" w:hAnsi="宋体" w:eastAsia="宋体" w:cs="宋体"/>
          <w:bCs/>
          <w:color w:val="auto"/>
          <w:sz w:val="24"/>
          <w:szCs w:val="24"/>
          <w:highlight w:val="none"/>
        </w:rPr>
      </w:pPr>
    </w:p>
    <w:p w14:paraId="4B40E90B">
      <w:pPr>
        <w:pStyle w:val="2"/>
        <w:rPr>
          <w:rFonts w:hint="eastAsia" w:ascii="宋体" w:hAnsi="宋体" w:eastAsia="宋体" w:cs="宋体"/>
          <w:bCs/>
          <w:color w:val="auto"/>
          <w:sz w:val="24"/>
          <w:szCs w:val="24"/>
          <w:highlight w:val="none"/>
        </w:rPr>
      </w:pPr>
    </w:p>
    <w:p w14:paraId="5976601F">
      <w:pPr>
        <w:rPr>
          <w:rFonts w:hint="eastAsia" w:ascii="宋体" w:hAnsi="宋体" w:eastAsia="宋体" w:cs="宋体"/>
          <w:bCs/>
          <w:color w:val="auto"/>
          <w:sz w:val="24"/>
          <w:szCs w:val="24"/>
          <w:highlight w:val="none"/>
        </w:rPr>
      </w:pPr>
    </w:p>
    <w:p w14:paraId="0D78E10D">
      <w:pPr>
        <w:pStyle w:val="2"/>
        <w:rPr>
          <w:rFonts w:hint="eastAsia" w:ascii="宋体" w:hAnsi="宋体" w:eastAsia="宋体" w:cs="宋体"/>
          <w:bCs/>
          <w:color w:val="auto"/>
          <w:sz w:val="24"/>
          <w:szCs w:val="24"/>
          <w:highlight w:val="none"/>
        </w:rPr>
      </w:pPr>
    </w:p>
    <w:p w14:paraId="46130837">
      <w:pPr>
        <w:rPr>
          <w:rFonts w:hint="eastAsia" w:ascii="宋体" w:hAnsi="宋体" w:eastAsia="宋体" w:cs="宋体"/>
          <w:bCs/>
          <w:color w:val="auto"/>
          <w:sz w:val="24"/>
          <w:szCs w:val="24"/>
          <w:highlight w:val="none"/>
        </w:rPr>
      </w:pPr>
    </w:p>
    <w:p w14:paraId="472EE5CD">
      <w:pPr>
        <w:pStyle w:val="2"/>
        <w:rPr>
          <w:rFonts w:hint="eastAsia" w:ascii="宋体" w:hAnsi="宋体" w:eastAsia="宋体" w:cs="宋体"/>
          <w:bCs/>
          <w:color w:val="auto"/>
          <w:sz w:val="24"/>
          <w:szCs w:val="24"/>
          <w:highlight w:val="none"/>
        </w:rPr>
      </w:pPr>
    </w:p>
    <w:p w14:paraId="7C645D36">
      <w:pPr>
        <w:rPr>
          <w:rFonts w:hint="eastAsia" w:ascii="宋体" w:hAnsi="宋体" w:eastAsia="宋体" w:cs="宋体"/>
          <w:bCs/>
          <w:color w:val="auto"/>
          <w:sz w:val="24"/>
          <w:szCs w:val="24"/>
          <w:highlight w:val="none"/>
        </w:rPr>
      </w:pPr>
    </w:p>
    <w:p w14:paraId="74F7EA6F">
      <w:pPr>
        <w:pStyle w:val="2"/>
        <w:rPr>
          <w:rFonts w:hint="eastAsia" w:ascii="宋体" w:hAnsi="宋体" w:eastAsia="宋体" w:cs="宋体"/>
          <w:bCs/>
          <w:color w:val="auto"/>
          <w:sz w:val="24"/>
          <w:szCs w:val="24"/>
          <w:highlight w:val="none"/>
        </w:rPr>
      </w:pPr>
    </w:p>
    <w:p w14:paraId="0430286F">
      <w:pPr>
        <w:rPr>
          <w:rFonts w:hint="eastAsia" w:ascii="宋体" w:hAnsi="宋体" w:eastAsia="宋体" w:cs="宋体"/>
          <w:bCs/>
          <w:color w:val="auto"/>
          <w:sz w:val="24"/>
          <w:szCs w:val="24"/>
          <w:highlight w:val="none"/>
        </w:rPr>
      </w:pPr>
    </w:p>
    <w:p w14:paraId="589A960F">
      <w:pPr>
        <w:pStyle w:val="2"/>
        <w:rPr>
          <w:rFonts w:hint="eastAsia" w:ascii="宋体" w:hAnsi="宋体" w:eastAsia="宋体" w:cs="宋体"/>
          <w:bCs/>
          <w:color w:val="auto"/>
          <w:sz w:val="24"/>
          <w:szCs w:val="24"/>
          <w:highlight w:val="none"/>
        </w:rPr>
      </w:pPr>
    </w:p>
    <w:p w14:paraId="00A596CB">
      <w:pPr>
        <w:rPr>
          <w:rFonts w:hint="eastAsia" w:ascii="宋体" w:hAnsi="宋体" w:eastAsia="宋体" w:cs="宋体"/>
          <w:bCs/>
          <w:color w:val="auto"/>
          <w:sz w:val="24"/>
          <w:szCs w:val="24"/>
          <w:highlight w:val="none"/>
        </w:rPr>
      </w:pPr>
    </w:p>
    <w:p w14:paraId="2F7750B7">
      <w:pPr>
        <w:pStyle w:val="2"/>
        <w:rPr>
          <w:rFonts w:hint="eastAsia" w:ascii="宋体" w:hAnsi="宋体" w:eastAsia="宋体" w:cs="宋体"/>
          <w:bCs/>
          <w:color w:val="auto"/>
          <w:sz w:val="24"/>
          <w:szCs w:val="24"/>
          <w:highlight w:val="none"/>
        </w:rPr>
      </w:pPr>
    </w:p>
    <w:p w14:paraId="2CFE904A">
      <w:pPr>
        <w:rPr>
          <w:rFonts w:hint="eastAsia" w:ascii="宋体" w:hAnsi="宋体" w:eastAsia="宋体" w:cs="宋体"/>
          <w:bCs/>
          <w:color w:val="auto"/>
          <w:sz w:val="24"/>
          <w:szCs w:val="24"/>
          <w:highlight w:val="none"/>
        </w:rPr>
      </w:pPr>
    </w:p>
    <w:p w14:paraId="44EBFAF5">
      <w:pPr>
        <w:pStyle w:val="2"/>
        <w:rPr>
          <w:rFonts w:hint="eastAsia" w:ascii="宋体" w:hAnsi="宋体" w:eastAsia="宋体" w:cs="宋体"/>
          <w:bCs/>
          <w:color w:val="auto"/>
          <w:sz w:val="24"/>
          <w:szCs w:val="24"/>
          <w:highlight w:val="none"/>
        </w:rPr>
      </w:pPr>
    </w:p>
    <w:p w14:paraId="2951F2EE">
      <w:pPr>
        <w:rPr>
          <w:rFonts w:hint="eastAsia" w:ascii="宋体" w:hAnsi="宋体" w:eastAsia="宋体" w:cs="宋体"/>
          <w:bCs/>
          <w:color w:val="auto"/>
          <w:sz w:val="24"/>
          <w:szCs w:val="24"/>
          <w:highlight w:val="none"/>
        </w:rPr>
      </w:pPr>
    </w:p>
    <w:p w14:paraId="675805E0">
      <w:pPr>
        <w:pStyle w:val="2"/>
        <w:rPr>
          <w:rFonts w:hint="eastAsia" w:ascii="宋体" w:hAnsi="宋体" w:eastAsia="宋体" w:cs="宋体"/>
          <w:bCs/>
          <w:color w:val="auto"/>
          <w:sz w:val="24"/>
          <w:szCs w:val="24"/>
          <w:highlight w:val="none"/>
        </w:rPr>
      </w:pPr>
    </w:p>
    <w:p w14:paraId="4DEA6AC1">
      <w:pPr>
        <w:rPr>
          <w:rFonts w:hint="eastAsia" w:ascii="宋体" w:hAnsi="宋体" w:eastAsia="宋体" w:cs="宋体"/>
          <w:bCs/>
          <w:color w:val="auto"/>
          <w:sz w:val="24"/>
          <w:szCs w:val="24"/>
          <w:highlight w:val="none"/>
        </w:rPr>
      </w:pPr>
    </w:p>
    <w:p w14:paraId="281CCDDA">
      <w:pPr>
        <w:pStyle w:val="2"/>
        <w:rPr>
          <w:rFonts w:hint="eastAsia" w:ascii="宋体" w:hAnsi="宋体" w:eastAsia="宋体" w:cs="宋体"/>
          <w:bCs/>
          <w:color w:val="auto"/>
          <w:sz w:val="24"/>
          <w:szCs w:val="24"/>
          <w:highlight w:val="none"/>
        </w:rPr>
      </w:pPr>
    </w:p>
    <w:p w14:paraId="70FDBC64">
      <w:pPr>
        <w:rPr>
          <w:rFonts w:hint="eastAsia" w:ascii="宋体" w:hAnsi="宋体" w:eastAsia="宋体" w:cs="宋体"/>
          <w:bCs/>
          <w:color w:val="auto"/>
          <w:sz w:val="24"/>
          <w:szCs w:val="24"/>
          <w:highlight w:val="none"/>
        </w:rPr>
      </w:pPr>
    </w:p>
    <w:p w14:paraId="3778C0A4">
      <w:pPr>
        <w:pStyle w:val="2"/>
        <w:rPr>
          <w:rFonts w:hint="eastAsia" w:ascii="宋体" w:hAnsi="宋体" w:eastAsia="宋体" w:cs="宋体"/>
          <w:bCs/>
          <w:color w:val="auto"/>
          <w:sz w:val="24"/>
          <w:szCs w:val="24"/>
          <w:highlight w:val="none"/>
        </w:rPr>
      </w:pPr>
    </w:p>
    <w:p w14:paraId="6E3F1268">
      <w:pPr>
        <w:rPr>
          <w:rFonts w:hint="eastAsia" w:ascii="宋体" w:hAnsi="宋体" w:eastAsia="宋体" w:cs="宋体"/>
          <w:bCs/>
          <w:color w:val="auto"/>
          <w:sz w:val="24"/>
          <w:szCs w:val="24"/>
          <w:highlight w:val="none"/>
        </w:rPr>
      </w:pPr>
    </w:p>
    <w:p w14:paraId="0BCBF47B">
      <w:pPr>
        <w:pStyle w:val="2"/>
        <w:rPr>
          <w:rFonts w:hint="eastAsia" w:ascii="宋体" w:hAnsi="宋体" w:eastAsia="宋体" w:cs="宋体"/>
          <w:bCs/>
          <w:color w:val="auto"/>
          <w:sz w:val="24"/>
          <w:szCs w:val="24"/>
          <w:highlight w:val="none"/>
        </w:rPr>
      </w:pPr>
    </w:p>
    <w:p w14:paraId="464A7E8F">
      <w:pPr>
        <w:rPr>
          <w:rFonts w:hint="eastAsia" w:ascii="宋体" w:hAnsi="宋体" w:eastAsia="宋体" w:cs="宋体"/>
          <w:bCs/>
          <w:color w:val="auto"/>
          <w:sz w:val="24"/>
          <w:szCs w:val="24"/>
          <w:highlight w:val="none"/>
        </w:rPr>
      </w:pPr>
    </w:p>
    <w:p w14:paraId="64AAED18">
      <w:pPr>
        <w:pStyle w:val="2"/>
        <w:rPr>
          <w:rFonts w:hint="eastAsia" w:ascii="宋体" w:hAnsi="宋体" w:eastAsia="宋体" w:cs="宋体"/>
          <w:bCs/>
          <w:color w:val="auto"/>
          <w:sz w:val="24"/>
          <w:szCs w:val="24"/>
          <w:highlight w:val="none"/>
        </w:rPr>
      </w:pPr>
    </w:p>
    <w:p w14:paraId="77C6A8AE">
      <w:pPr>
        <w:rPr>
          <w:rFonts w:hint="eastAsia" w:ascii="宋体" w:hAnsi="宋体" w:eastAsia="宋体" w:cs="宋体"/>
          <w:color w:val="auto"/>
          <w:highlight w:val="none"/>
        </w:rPr>
      </w:pPr>
    </w:p>
    <w:p w14:paraId="71CA625E">
      <w:pPr>
        <w:rPr>
          <w:rFonts w:hint="eastAsia" w:ascii="宋体" w:hAnsi="宋体" w:eastAsia="宋体" w:cs="宋体"/>
          <w:color w:val="auto"/>
          <w:highlight w:val="none"/>
        </w:rPr>
      </w:pPr>
    </w:p>
    <w:p w14:paraId="28B24F36">
      <w:pPr>
        <w:keepNext/>
        <w:spacing w:line="400" w:lineRule="exact"/>
        <w:ind w:firstLine="723" w:firstLineChars="200"/>
        <w:jc w:val="center"/>
        <w:outlineLvl w:val="0"/>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t>第三章 合同</w:t>
      </w:r>
      <w:bookmarkEnd w:id="161"/>
      <w:bookmarkEnd w:id="162"/>
      <w:bookmarkEnd w:id="163"/>
      <w:bookmarkEnd w:id="164"/>
      <w:bookmarkEnd w:id="165"/>
      <w:r>
        <w:rPr>
          <w:rFonts w:hint="eastAsia" w:ascii="宋体" w:hAnsi="宋体" w:eastAsia="宋体" w:cs="宋体"/>
          <w:b/>
          <w:bCs/>
          <w:color w:val="auto"/>
          <w:sz w:val="36"/>
          <w:szCs w:val="36"/>
          <w:highlight w:val="none"/>
        </w:rPr>
        <w:t>文本</w:t>
      </w:r>
    </w:p>
    <w:p w14:paraId="7D7B4833">
      <w:pPr>
        <w:spacing w:line="400" w:lineRule="exact"/>
        <w:ind w:firstLine="480" w:firstLineChars="200"/>
        <w:rPr>
          <w:rFonts w:hint="eastAsia" w:ascii="宋体" w:hAnsi="宋体" w:eastAsia="宋体" w:cs="宋体"/>
          <w:bCs/>
          <w:color w:val="auto"/>
          <w:sz w:val="24"/>
          <w:szCs w:val="21"/>
          <w:highlight w:val="none"/>
        </w:rPr>
      </w:pPr>
      <w:bookmarkStart w:id="166" w:name="_Toc513029243"/>
      <w:bookmarkStart w:id="167" w:name="_Toc20823315"/>
      <w:bookmarkStart w:id="168" w:name="_Toc16938559"/>
      <w:r>
        <w:rPr>
          <w:rFonts w:hint="eastAsia" w:ascii="宋体" w:hAnsi="宋体" w:eastAsia="宋体" w:cs="宋体"/>
          <w:bCs/>
          <w:color w:val="auto"/>
          <w:sz w:val="24"/>
          <w:szCs w:val="21"/>
          <w:highlight w:val="none"/>
        </w:rPr>
        <w:t>以下为成交后签定本项目合同的通用条款，成交供应商不得提出实质性的修改。</w:t>
      </w:r>
    </w:p>
    <w:p w14:paraId="1B1CB8CE">
      <w:pPr>
        <w:spacing w:line="400" w:lineRule="exact"/>
        <w:ind w:firstLine="2249" w:firstLineChars="700"/>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江苏省政府采购合同（合同编号）</w:t>
      </w:r>
    </w:p>
    <w:p w14:paraId="707EA572">
      <w:pPr>
        <w:keepNext w:val="0"/>
        <w:keepLines w:val="0"/>
        <w:pageBreakBefore w:val="0"/>
        <w:kinsoku/>
        <w:overflowPunct/>
        <w:topLinePunct w:val="0"/>
        <w:autoSpaceDE/>
        <w:autoSpaceDN/>
        <w:bidi w:val="0"/>
        <w:spacing w:line="360" w:lineRule="auto"/>
        <w:jc w:val="center"/>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lang w:eastAsia="zh-CN"/>
        </w:rPr>
        <w:t>2026年如东小洋口第四届体育嘉年华服务项目</w:t>
      </w:r>
      <w:r>
        <w:rPr>
          <w:rFonts w:hint="eastAsia" w:ascii="宋体" w:hAnsi="宋体" w:eastAsia="宋体" w:cs="宋体"/>
          <w:b/>
          <w:bCs/>
          <w:color w:val="auto"/>
          <w:sz w:val="36"/>
          <w:szCs w:val="36"/>
          <w:highlight w:val="none"/>
        </w:rPr>
        <w:t>合同</w:t>
      </w:r>
    </w:p>
    <w:p w14:paraId="40CFA4BD">
      <w:pPr>
        <w:pStyle w:val="127"/>
        <w:keepNext w:val="0"/>
        <w:keepLines w:val="0"/>
        <w:pageBreakBefore w:val="0"/>
        <w:kinsoku/>
        <w:overflowPunct/>
        <w:topLinePunct w:val="0"/>
        <w:autoSpaceDE/>
        <w:autoSpaceDN/>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采购人</w:t>
      </w:r>
      <w:r>
        <w:rPr>
          <w:rFonts w:hint="eastAsia" w:ascii="宋体" w:hAnsi="宋体" w:eastAsia="宋体" w:cs="宋体"/>
          <w:color w:val="auto"/>
          <w:sz w:val="24"/>
          <w:szCs w:val="24"/>
          <w:highlight w:val="none"/>
        </w:rPr>
        <w:t>（全称）：</w:t>
      </w:r>
      <w:r>
        <w:rPr>
          <w:rFonts w:hint="eastAsia" w:ascii="宋体" w:hAnsi="宋体" w:eastAsia="宋体" w:cs="宋体"/>
          <w:color w:val="auto"/>
          <w:sz w:val="24"/>
          <w:szCs w:val="24"/>
          <w:highlight w:val="none"/>
          <w:u w:val="single"/>
        </w:rPr>
        <w:t xml:space="preserve"> 江苏省如东小洋口旅游度假区管理办公室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（简称甲方）</w:t>
      </w:r>
    </w:p>
    <w:p w14:paraId="13AAA9C6">
      <w:pPr>
        <w:pStyle w:val="128"/>
        <w:keepNext w:val="0"/>
        <w:keepLines w:val="0"/>
        <w:pageBreakBefore w:val="0"/>
        <w:kinsoku/>
        <w:overflowPunct/>
        <w:topLinePunct w:val="0"/>
        <w:autoSpaceDE/>
        <w:autoSpaceDN/>
        <w:bidi w:val="0"/>
        <w:spacing w:line="360" w:lineRule="auto"/>
        <w:rPr>
          <w:rFonts w:hint="eastAsia" w:ascii="宋体" w:hAnsi="宋体" w:eastAsia="宋体" w:cs="宋体"/>
          <w:color w:val="auto"/>
          <w:highlight w:val="none"/>
          <w:u w:val="single"/>
        </w:rPr>
      </w:pPr>
      <w:r>
        <w:rPr>
          <w:rFonts w:hint="eastAsia" w:ascii="宋体" w:hAnsi="宋体" w:eastAsia="宋体" w:cs="宋体"/>
          <w:color w:val="auto"/>
          <w:sz w:val="24"/>
          <w:szCs w:val="24"/>
          <w:highlight w:val="none"/>
        </w:rPr>
        <w:t>住所地：</w:t>
      </w:r>
      <w:r>
        <w:rPr>
          <w:rFonts w:hint="eastAsia" w:ascii="宋体" w:hAnsi="宋体" w:eastAsia="宋体" w:cs="宋体"/>
          <w:color w:val="auto"/>
          <w:sz w:val="24"/>
          <w:szCs w:val="24"/>
          <w:highlight w:val="none"/>
          <w:u w:val="single"/>
        </w:rPr>
        <w:t xml:space="preserve">       江苏省如东县金蛤大道1号                                      </w:t>
      </w:r>
    </w:p>
    <w:p w14:paraId="24C37DEC">
      <w:pPr>
        <w:keepNext w:val="0"/>
        <w:keepLines w:val="0"/>
        <w:pageBreakBefore w:val="0"/>
        <w:widowControl/>
        <w:kinsoku/>
        <w:overflowPunct/>
        <w:topLinePunct w:val="0"/>
        <w:autoSpaceDE/>
        <w:autoSpaceDN/>
        <w:bidi w:val="0"/>
        <w:adjustRightInd w:val="0"/>
        <w:snapToGrid w:val="0"/>
        <w:spacing w:line="360" w:lineRule="auto"/>
        <w:jc w:val="left"/>
        <w:textAlignment w:val="baseline"/>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供应商</w:t>
      </w:r>
      <w:r>
        <w:rPr>
          <w:rFonts w:hint="eastAsia" w:ascii="宋体" w:hAnsi="宋体" w:eastAsia="宋体" w:cs="宋体"/>
          <w:color w:val="auto"/>
          <w:sz w:val="24"/>
          <w:highlight w:val="none"/>
        </w:rPr>
        <w:t>（全称）：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（简称乙方）</w:t>
      </w:r>
    </w:p>
    <w:p w14:paraId="6DD21A7B">
      <w:pPr>
        <w:pStyle w:val="128"/>
        <w:keepNext w:val="0"/>
        <w:keepLines w:val="0"/>
        <w:pageBreakBefore w:val="0"/>
        <w:kinsoku/>
        <w:overflowPunct/>
        <w:topLinePunct w:val="0"/>
        <w:autoSpaceDE/>
        <w:autoSpaceDN/>
        <w:bidi w:val="0"/>
        <w:spacing w:line="360" w:lineRule="auto"/>
        <w:rPr>
          <w:rFonts w:hint="eastAsia" w:ascii="宋体" w:hAnsi="宋体" w:eastAsia="宋体" w:cs="宋体"/>
          <w:color w:val="auto"/>
          <w:highlight w:val="none"/>
          <w:u w:val="single"/>
        </w:rPr>
      </w:pPr>
      <w:r>
        <w:rPr>
          <w:rFonts w:hint="eastAsia" w:ascii="宋体" w:hAnsi="宋体" w:eastAsia="宋体" w:cs="宋体"/>
          <w:color w:val="auto"/>
          <w:sz w:val="24"/>
          <w:szCs w:val="24"/>
          <w:highlight w:val="none"/>
        </w:rPr>
        <w:t>住所地：</w:t>
      </w:r>
      <w:r>
        <w:rPr>
          <w:rFonts w:hint="eastAsia" w:ascii="宋体" w:hAnsi="宋体" w:eastAsia="宋体" w:cs="宋体"/>
          <w:color w:val="auto"/>
          <w:sz w:val="24"/>
          <w:szCs w:val="24"/>
          <w:highlight w:val="none"/>
          <w:u w:val="single"/>
        </w:rPr>
        <w:t xml:space="preserve">                                              </w:t>
      </w:r>
    </w:p>
    <w:p w14:paraId="25ED554C">
      <w:pPr>
        <w:pStyle w:val="127"/>
        <w:keepNext w:val="0"/>
        <w:keepLines w:val="0"/>
        <w:pageBreakBefore w:val="0"/>
        <w:kinsoku/>
        <w:overflowPunct/>
        <w:topLinePunct w:val="0"/>
        <w:autoSpaceDE/>
        <w:autoSpaceDN/>
        <w:bidi w:val="0"/>
        <w:spacing w:line="360" w:lineRule="auto"/>
        <w:ind w:firstLine="241"/>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一、项目内容</w:t>
      </w:r>
    </w:p>
    <w:p w14:paraId="7A05CB4C">
      <w:pPr>
        <w:keepNext w:val="0"/>
        <w:keepLines w:val="0"/>
        <w:pageBreakBefore w:val="0"/>
        <w:kinsoku/>
        <w:overflowPunct/>
        <w:topLinePunct w:val="0"/>
        <w:autoSpaceDE/>
        <w:autoSpaceDN/>
        <w:bidi w:val="0"/>
        <w:spacing w:line="360" w:lineRule="auto"/>
        <w:ind w:firstLine="480" w:firstLineChars="200"/>
        <w:contextualSpacing/>
        <w:outlineLvl w:val="1"/>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1、项目名称</w:t>
      </w:r>
    </w:p>
    <w:p w14:paraId="2D42CE11">
      <w:pPr>
        <w:keepNext w:val="0"/>
        <w:keepLines w:val="0"/>
        <w:pageBreakBefore w:val="0"/>
        <w:kinsoku/>
        <w:overflowPunct/>
        <w:topLinePunct w:val="0"/>
        <w:autoSpaceDE/>
        <w:autoSpaceDN/>
        <w:bidi w:val="0"/>
        <w:spacing w:line="360" w:lineRule="auto"/>
        <w:ind w:firstLine="480" w:firstLineChars="200"/>
        <w:contextualSpacing/>
        <w:outlineLvl w:val="1"/>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2026年如东小洋口第四届体育嘉年华服务项目</w:t>
      </w:r>
    </w:p>
    <w:p w14:paraId="7F6E392D">
      <w:pPr>
        <w:keepNext w:val="0"/>
        <w:keepLines w:val="0"/>
        <w:pageBreakBefore w:val="0"/>
        <w:kinsoku/>
        <w:overflowPunct/>
        <w:topLinePunct w:val="0"/>
        <w:autoSpaceDE/>
        <w:autoSpaceDN/>
        <w:bidi w:val="0"/>
        <w:spacing w:line="360" w:lineRule="auto"/>
        <w:ind w:firstLine="480" w:firstLineChars="200"/>
        <w:contextualSpacing/>
        <w:outlineLvl w:val="1"/>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2、项目内容</w:t>
      </w:r>
    </w:p>
    <w:p w14:paraId="764C59CA">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contextualSpacing/>
        <w:outlineLvl w:val="1"/>
        <w:rPr>
          <w:rFonts w:hint="eastAsia" w:ascii="宋体" w:hAnsi="宋体" w:eastAsia="宋体" w:cs="宋体"/>
          <w:b w:val="0"/>
          <w:bCs w:val="0"/>
          <w:color w:val="auto"/>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bidi="ar-SA"/>
        </w:rPr>
        <w:t>2026年如东小洋口第四届体育嘉年华，包括龙舟赛、骑行赛、特色风筝展演、体旅市集、垂钓赛、跳绳项目比赛、体育嘉年华开幕式</w:t>
      </w:r>
      <w:r>
        <w:rPr>
          <w:rFonts w:hint="eastAsia" w:ascii="宋体" w:hAnsi="宋体" w:cs="宋体"/>
          <w:b w:val="0"/>
          <w:bCs w:val="0"/>
          <w:color w:val="auto"/>
          <w:sz w:val="24"/>
          <w:szCs w:val="24"/>
          <w:highlight w:val="none"/>
          <w:lang w:val="en-US" w:eastAsia="zh-CN" w:bidi="ar-SA"/>
        </w:rPr>
        <w:t>、苏超观赛夜</w:t>
      </w:r>
      <w:r>
        <w:rPr>
          <w:rFonts w:hint="eastAsia" w:ascii="宋体" w:hAnsi="宋体" w:eastAsia="宋体" w:cs="宋体"/>
          <w:b w:val="0"/>
          <w:bCs w:val="0"/>
          <w:color w:val="auto"/>
          <w:sz w:val="24"/>
          <w:szCs w:val="24"/>
          <w:highlight w:val="none"/>
          <w:lang w:val="en-US" w:eastAsia="zh-CN" w:bidi="ar-SA"/>
        </w:rPr>
        <w:t>及节目表演等项目的活动策划、组织、（场地）规划布置、器材物料、人员服务、安保、医疗保障、宣传推广的采购项目。</w:t>
      </w:r>
    </w:p>
    <w:p w14:paraId="6D372AB4">
      <w:pPr>
        <w:keepNext w:val="0"/>
        <w:keepLines w:val="0"/>
        <w:pageBreakBefore w:val="0"/>
        <w:kinsoku/>
        <w:overflowPunct/>
        <w:topLinePunct w:val="0"/>
        <w:autoSpaceDE/>
        <w:autoSpaceDN/>
        <w:bidi w:val="0"/>
        <w:spacing w:line="360" w:lineRule="auto"/>
        <w:ind w:firstLine="480" w:firstLineChars="200"/>
        <w:contextualSpacing/>
        <w:outlineLvl w:val="1"/>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3、服务要求</w:t>
      </w:r>
    </w:p>
    <w:p w14:paraId="00BB94A6">
      <w:pPr>
        <w:keepNext w:val="0"/>
        <w:keepLines w:val="0"/>
        <w:pageBreakBefore w:val="0"/>
        <w:kinsoku/>
        <w:overflowPunct/>
        <w:topLinePunct w:val="0"/>
        <w:autoSpaceDE/>
        <w:autoSpaceDN/>
        <w:bidi w:val="0"/>
        <w:spacing w:line="360" w:lineRule="auto"/>
        <w:ind w:firstLine="480" w:firstLineChars="200"/>
        <w:contextualSpacing/>
        <w:outlineLvl w:val="1"/>
        <w:rPr>
          <w:rFonts w:hint="eastAsia" w:ascii="宋体" w:hAnsi="宋体" w:eastAsia="宋体" w:cs="宋体"/>
          <w:b w:val="0"/>
          <w:bCs w:val="0"/>
          <w:color w:val="auto"/>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按照甲方活动质量与时限要求，乙方负责组织</w:t>
      </w:r>
      <w:r>
        <w:rPr>
          <w:rFonts w:hint="eastAsia" w:ascii="宋体" w:hAnsi="宋体" w:eastAsia="宋体" w:cs="宋体"/>
          <w:b w:val="0"/>
          <w:bCs w:val="0"/>
          <w:color w:val="auto"/>
          <w:sz w:val="24"/>
          <w:szCs w:val="24"/>
          <w:highlight w:val="none"/>
          <w:lang w:val="en-US" w:eastAsia="zh-CN" w:bidi="ar-SA"/>
        </w:rPr>
        <w:t>龙舟赛、骑行赛、特色风筝展演、体旅市集、垂钓赛、跳绳项目比赛、体育嘉年华开幕式及节目表演等项目，包括单不限于参赛人员组织、</w:t>
      </w:r>
      <w:r>
        <w:rPr>
          <w:rFonts w:hint="eastAsia" w:ascii="宋体" w:hAnsi="宋体" w:eastAsia="宋体" w:cs="宋体"/>
          <w:color w:val="auto"/>
          <w:sz w:val="24"/>
          <w:szCs w:val="24"/>
          <w:highlight w:val="none"/>
        </w:rPr>
        <w:t>相关设施和景观设计，活动场地搭建及设施配备</w:t>
      </w:r>
      <w:r>
        <w:rPr>
          <w:rFonts w:hint="eastAsia" w:ascii="宋体" w:hAnsi="宋体" w:eastAsia="宋体" w:cs="宋体"/>
          <w:color w:val="auto"/>
          <w:sz w:val="24"/>
          <w:szCs w:val="24"/>
          <w:highlight w:val="none"/>
          <w:lang w:eastAsia="zh-CN"/>
        </w:rPr>
        <w:t>、</w:t>
      </w:r>
      <w:r>
        <w:rPr>
          <w:rFonts w:hint="eastAsia" w:ascii="宋体" w:hAnsi="宋体" w:eastAsia="宋体" w:cs="宋体"/>
          <w:b w:val="0"/>
          <w:bCs w:val="0"/>
          <w:color w:val="auto"/>
          <w:sz w:val="24"/>
          <w:szCs w:val="24"/>
          <w:highlight w:val="none"/>
          <w:lang w:val="en-US" w:eastAsia="zh-CN" w:bidi="ar-SA"/>
        </w:rPr>
        <w:t>安全与医护保障、宣传推广等。</w:t>
      </w:r>
    </w:p>
    <w:p w14:paraId="769C4C96">
      <w:pPr>
        <w:keepNext w:val="0"/>
        <w:keepLines w:val="0"/>
        <w:pageBreakBefore w:val="0"/>
        <w:widowControl w:val="0"/>
        <w:numPr>
          <w:ilvl w:val="0"/>
          <w:numId w:val="0"/>
        </w:numPr>
        <w:kinsoku/>
        <w:wordWrap w:val="0"/>
        <w:overflowPunct/>
        <w:topLinePunct w:val="0"/>
        <w:autoSpaceDE/>
        <w:autoSpaceDN/>
        <w:bidi w:val="0"/>
        <w:adjustRightInd w:val="0"/>
        <w:snapToGrid w:val="0"/>
        <w:spacing w:line="360" w:lineRule="auto"/>
        <w:ind w:firstLine="482" w:firstLineChars="200"/>
        <w:contextualSpacing/>
        <w:textAlignment w:val="auto"/>
        <w:outlineLvl w:val="1"/>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（一）骑行赛</w:t>
      </w:r>
    </w:p>
    <w:p w14:paraId="0CC9B8D5">
      <w:pPr>
        <w:pStyle w:val="43"/>
        <w:keepNext w:val="0"/>
        <w:keepLines w:val="0"/>
        <w:pageBreakBefore w:val="0"/>
        <w:widowControl w:val="0"/>
        <w:numPr>
          <w:ilvl w:val="0"/>
          <w:numId w:val="0"/>
        </w:numPr>
        <w:kinsoku/>
        <w:wordWrap w:val="0"/>
        <w:overflowPunct/>
        <w:topLinePunct w:val="0"/>
        <w:autoSpaceDE/>
        <w:autoSpaceDN/>
        <w:bidi w:val="0"/>
        <w:adjustRightInd w:val="0"/>
        <w:snapToGrid w:val="0"/>
        <w:spacing w:line="360" w:lineRule="auto"/>
        <w:ind w:firstLine="480" w:firstLineChars="200"/>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负责自行车骑行赛事活动的全部内容，包括但不限于负责自行车赛事支持、赛事策划、赛事赛道设计认证服务、参赛运动员、裁判员的招募、开赛助阵名人邀请、嘉宾接待、场地搭建、竞赛组织和赛事物料保障、志愿者培训管理、医疗救护、赛事安全保卫、赛事后勤接待保障、赛道补给、场地布置、氛围营造、国家级或省级媒体宣传和赞助商招募、应急预案、赛事图片直播、各类赛事资料印制、赛事人员保险、保险理赔、通信保障、赛事暖场节目等赛事执行关的一切服务及物资采购内容，以及负责所有内容产生的全部费用。</w:t>
      </w:r>
    </w:p>
    <w:p w14:paraId="3DFC9800">
      <w:pPr>
        <w:pStyle w:val="43"/>
        <w:keepNext w:val="0"/>
        <w:keepLines w:val="0"/>
        <w:pageBreakBefore w:val="0"/>
        <w:widowControl w:val="0"/>
        <w:kinsoku/>
        <w:wordWrap w:val="0"/>
        <w:overflowPunct/>
        <w:topLinePunct w:val="0"/>
        <w:autoSpaceDE/>
        <w:autoSpaceDN/>
        <w:bidi w:val="0"/>
        <w:adjustRightInd w:val="0"/>
        <w:snapToGrid w:val="0"/>
        <w:spacing w:line="360" w:lineRule="auto"/>
        <w:ind w:firstLine="482" w:firstLineChars="200"/>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1.赛事组织工作</w:t>
      </w:r>
    </w:p>
    <w:p w14:paraId="439B2301">
      <w:pPr>
        <w:pStyle w:val="43"/>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1）负责实施赛事所需的全部竞赛组织工作，包括但不限于：制定、发布竞赛规则、规程、赛事日程等；成绩统计及有关设备的提供和管理；竞赛通讯设备的提供及管理；证件的编制和发放；赛事所需的其他组织管理工作；</w:t>
      </w:r>
    </w:p>
    <w:p w14:paraId="3996983B">
      <w:pPr>
        <w:pStyle w:val="43"/>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（2）负责运动员、裁判员、技术人员、志愿者及相关工作人员等人员的邀请、组织及管理工作</w:t>
      </w:r>
      <w:r>
        <w:rPr>
          <w:rFonts w:hint="eastAsia" w:cs="宋体"/>
          <w:b w:val="0"/>
          <w:bCs w:val="0"/>
          <w:color w:val="auto"/>
          <w:kern w:val="2"/>
          <w:sz w:val="24"/>
          <w:szCs w:val="24"/>
          <w:highlight w:val="none"/>
          <w:lang w:val="en-US" w:eastAsia="zh-CN" w:bidi="ar-SA"/>
        </w:rPr>
        <w:t>；</w:t>
      </w:r>
    </w:p>
    <w:p w14:paraId="01362584">
      <w:pPr>
        <w:pStyle w:val="43"/>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3）负责赛事场地勘察、赛事场地设计、赛事路线设计及赛事场地搭建；舞台16*8米，舞台前档，副屏2*4米，LED屏幕12*4米，颁奖台1*3米/个、需要3个，演讲台，音响系统6加2阵线加4个话筒，注水旗5米高60个，空飘10个，隔离护栏根据赛道设定，规程墙、欢迎墙4*3米，签名墙4*3米，运动员报到处1.5*1米k板，桌椅40套。赛事拱门搭建2天，按照起终点同一套拱门搭建，拱门为钢结构，内径高4米，内宽8米，两侧拉线固定，拱门中间接线，包含拱门搭建，拱门外包喷绘。全面布置主会场、赛道铁马、赛道警戒带，赛道道旗100面，5米高，现场标识标牌（转弯牌、提示牌、区域牌、倒计公里牌）</w:t>
      </w:r>
      <w:r>
        <w:rPr>
          <w:rFonts w:hint="eastAsia" w:cs="宋体"/>
          <w:b w:val="0"/>
          <w:bCs w:val="0"/>
          <w:color w:val="auto"/>
          <w:kern w:val="2"/>
          <w:sz w:val="24"/>
          <w:szCs w:val="24"/>
          <w:highlight w:val="none"/>
          <w:lang w:val="en-US" w:eastAsia="zh-CN" w:bidi="ar-SA"/>
        </w:rPr>
        <w:t>；</w:t>
      </w:r>
    </w:p>
    <w:p w14:paraId="55CC4B6B">
      <w:pPr>
        <w:pStyle w:val="43"/>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（4）负责赛事的奖金设计和支付（奖金报价不低于10万元，最终结算按实结算）；</w:t>
      </w:r>
    </w:p>
    <w:p w14:paraId="69DEE3DB">
      <w:pPr>
        <w:pStyle w:val="43"/>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（5）负责在赛事期间开幕式及颁奖仪式等。</w:t>
      </w:r>
    </w:p>
    <w:p w14:paraId="0BFF1253">
      <w:pPr>
        <w:pStyle w:val="43"/>
        <w:keepNext w:val="0"/>
        <w:keepLines w:val="0"/>
        <w:pageBreakBefore w:val="0"/>
        <w:widowControl w:val="0"/>
        <w:kinsoku/>
        <w:wordWrap w:val="0"/>
        <w:overflowPunct/>
        <w:topLinePunct w:val="0"/>
        <w:autoSpaceDE/>
        <w:autoSpaceDN/>
        <w:bidi w:val="0"/>
        <w:adjustRightInd w:val="0"/>
        <w:snapToGrid w:val="0"/>
        <w:spacing w:line="360" w:lineRule="auto"/>
        <w:ind w:firstLine="482" w:firstLineChars="200"/>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2.赛事及城市宣传</w:t>
      </w:r>
    </w:p>
    <w:p w14:paraId="77B3E03C">
      <w:pPr>
        <w:pStyle w:val="43"/>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（1）负责国内媒体的宣传及策划。赛事以及与赛事相关的媒体宣传，提供央视cctv的1分钟专栏报道，不得少于100家媒体网站宣传。</w:t>
      </w:r>
    </w:p>
    <w:p w14:paraId="7376D15E">
      <w:pPr>
        <w:pStyle w:val="43"/>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（2）负责拍摄制作赛事宣传片；</w:t>
      </w:r>
    </w:p>
    <w:p w14:paraId="47EB9EAC">
      <w:pPr>
        <w:pStyle w:val="43"/>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（3）比赛路线设计团队将进行实地考察并与度假区紧密合作，确定最终的比赛路线；在保证赛事安全并得到江苏省自行车运动协会认可的前提下，该路线设计尽量涵盖小洋口旅游度假区的旅游景点；</w:t>
      </w:r>
    </w:p>
    <w:p w14:paraId="7994571E">
      <w:pPr>
        <w:pStyle w:val="43"/>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（4）就如何充分利用赛事推广小洋口旅游度假区，提供咨询服务；涉及小洋口的宣传方案，应当经度假办事先同意；</w:t>
      </w:r>
    </w:p>
    <w:p w14:paraId="0C6730E0">
      <w:pPr>
        <w:pStyle w:val="43"/>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3.赛事展示工作：负责赛事的展示工作，包括赛场设施、赛场的设计、物料运输、搭建、运营、维保及拆卸等；赛事标识的设计、制作和设置；赛事现场广告发布等。负责赛场主舞台、起终点龙门架搭建，起终点前后广告护栏设置，会场帐篷、道旗布置等；</w:t>
      </w:r>
    </w:p>
    <w:p w14:paraId="4E6EDBBF">
      <w:pPr>
        <w:pStyle w:val="43"/>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4.组织接待工作：负责接待裁判员、参赛选手及赞助商代表等嘉宾；</w:t>
      </w:r>
    </w:p>
    <w:p w14:paraId="0BC70984">
      <w:pPr>
        <w:pStyle w:val="43"/>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5.赛事招商工作：负责赛事统一商务体系的建设及商业开发，包括赛事赞助方案设计、赞助销售和赞助商服务等；</w:t>
      </w:r>
    </w:p>
    <w:p w14:paraId="303ABD02">
      <w:pPr>
        <w:pStyle w:val="43"/>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6.购买赛事保险：供应商应当根据国家法律规定办理相关保险，包括但不限于所要求的在中国举办大型体育需要投保的赛事保险，包括但不限于责任、意外事故和火灾保险；签订安全免责书，并对参赛车辆及装备要严格检查，确保安全；</w:t>
      </w:r>
    </w:p>
    <w:p w14:paraId="0CA8CCE2">
      <w:pPr>
        <w:pStyle w:val="43"/>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7.负责运动员奖金、奖品、保险，裁判员补贴、车贴，领队补贴、甲、乙方工作人员补贴、志愿者补贴、裁判服、本次活动所需的计时器租赁及人员差旅费，负责场地主舞台、起终点拱门搭建及现场布置、制作奖杯、证书、号码布、号码牌、别针、扎带以及裁判器材购买，摄影摄像、专题片制作，汽笛、记圈牌、摇铃、板夹、对讲机等器材购买，工作证、裁判证制作，新闻报道，签到单、检录单、奖金牌制作；</w:t>
      </w:r>
    </w:p>
    <w:p w14:paraId="53733C3F">
      <w:pPr>
        <w:pStyle w:val="43"/>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8.比赛过程中的仲裁由甲方和乙方的技术</w:t>
      </w:r>
      <w:r>
        <w:rPr>
          <w:rFonts w:hint="eastAsia" w:cs="宋体"/>
          <w:b w:val="0"/>
          <w:bCs w:val="0"/>
          <w:color w:val="auto"/>
          <w:kern w:val="2"/>
          <w:sz w:val="24"/>
          <w:szCs w:val="24"/>
          <w:highlight w:val="none"/>
          <w:lang w:val="en-US" w:eastAsia="zh-CN" w:bidi="ar-SA"/>
        </w:rPr>
        <w:t>管理人员</w:t>
      </w:r>
      <w:r>
        <w:rPr>
          <w:rFonts w:hint="eastAsia" w:ascii="宋体" w:hAnsi="宋体" w:eastAsia="宋体" w:cs="宋体"/>
          <w:b w:val="0"/>
          <w:bCs w:val="0"/>
          <w:color w:val="auto"/>
          <w:kern w:val="2"/>
          <w:sz w:val="24"/>
          <w:szCs w:val="24"/>
          <w:highlight w:val="none"/>
          <w:lang w:val="en-US" w:eastAsia="zh-CN" w:bidi="ar-SA"/>
        </w:rPr>
        <w:t>与组委会共同进行；仲裁后结果不可更改；</w:t>
      </w:r>
    </w:p>
    <w:p w14:paraId="2A563E2D">
      <w:pPr>
        <w:pStyle w:val="43"/>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9.按照当地政府要求，负责赛事安保、道路管控等工作；做好赛事各类应急预案的制定与执行；</w:t>
      </w:r>
    </w:p>
    <w:p w14:paraId="138BA726">
      <w:pPr>
        <w:pStyle w:val="43"/>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10.医疗服务：供应商负责为嘉年华活动提供医疗服务，包括但不限于医务人员、救援人员、救护车和药品等，并支付相关费用。</w:t>
      </w:r>
    </w:p>
    <w:p w14:paraId="1F6E41A8">
      <w:pPr>
        <w:pStyle w:val="43"/>
        <w:keepNext w:val="0"/>
        <w:keepLines w:val="0"/>
        <w:pageBreakBefore w:val="0"/>
        <w:widowControl w:val="0"/>
        <w:kinsoku/>
        <w:wordWrap w:val="0"/>
        <w:overflowPunct/>
        <w:topLinePunct w:val="0"/>
        <w:autoSpaceDE/>
        <w:autoSpaceDN/>
        <w:bidi w:val="0"/>
        <w:adjustRightInd w:val="0"/>
        <w:snapToGrid w:val="0"/>
        <w:spacing w:line="360" w:lineRule="auto"/>
        <w:ind w:firstLine="482" w:firstLineChars="200"/>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（二）龙舟赛</w:t>
      </w:r>
    </w:p>
    <w:p w14:paraId="1FB6A033">
      <w:pPr>
        <w:pStyle w:val="43"/>
        <w:keepNext w:val="0"/>
        <w:keepLines w:val="0"/>
        <w:pageBreakBefore w:val="0"/>
        <w:widowControl w:val="0"/>
        <w:kinsoku/>
        <w:wordWrap w:val="0"/>
        <w:overflowPunct/>
        <w:topLinePunct w:val="0"/>
        <w:autoSpaceDE/>
        <w:autoSpaceDN/>
        <w:bidi w:val="0"/>
        <w:adjustRightInd w:val="0"/>
        <w:snapToGrid w:val="0"/>
        <w:spacing w:line="360" w:lineRule="auto"/>
        <w:ind w:left="0" w:leftChars="0" w:firstLine="480" w:firstLineChars="200"/>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 xml:space="preserve"> 按照采购方活动质量与时限要求，供应商负责组织2026江苏省龙舟俱乐部邀请赛（如东小洋口站），包括但不限于活动组织（活动策划、现场组织、指挥协调、物料设计等）、现场搭建（舞台搭建、赛道搭建、水上平台搭建、电力保障、移动厕所保障等）、后勤保障（用车、现场矿泉水保障等）、安保与医护（做好活动应急预案；负责活动现场安保；一医一护一救护车）、竞赛组织（组织选手报名、邀请裁判、竞赛规程制定、赛事组织等）、宣传推广（媒体邀请与全过程宣传、照片视频素材拍摄）等项目。赛前需制定该赛事的活动组织方案、安全预案(含熔断机制)、应急救援方案(突发事件及灾害性天气处置应急救援方案)、舆情应对方案等。</w:t>
      </w:r>
    </w:p>
    <w:p w14:paraId="689F9E06">
      <w:pPr>
        <w:pStyle w:val="43"/>
        <w:keepNext w:val="0"/>
        <w:keepLines w:val="0"/>
        <w:pageBreakBefore w:val="0"/>
        <w:widowControl w:val="0"/>
        <w:kinsoku/>
        <w:wordWrap w:val="0"/>
        <w:overflowPunct/>
        <w:topLinePunct w:val="0"/>
        <w:autoSpaceDE/>
        <w:autoSpaceDN/>
        <w:bidi w:val="0"/>
        <w:adjustRightInd w:val="0"/>
        <w:snapToGrid w:val="0"/>
        <w:spacing w:line="360" w:lineRule="auto"/>
        <w:ind w:left="0" w:leftChars="0" w:firstLine="480" w:firstLineChars="200"/>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（一）场地布置</w:t>
      </w:r>
    </w:p>
    <w:p w14:paraId="3A847DD8">
      <w:pPr>
        <w:pStyle w:val="43"/>
        <w:keepNext w:val="0"/>
        <w:keepLines w:val="0"/>
        <w:pageBreakBefore w:val="0"/>
        <w:widowControl w:val="0"/>
        <w:kinsoku/>
        <w:wordWrap w:val="0"/>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1.主席台：一级搭建，铺设地毯，背面活动主题</w:t>
      </w:r>
      <w:r>
        <w:rPr>
          <w:rFonts w:hint="eastAsia" w:cs="宋体"/>
          <w:b w:val="0"/>
          <w:bCs w:val="0"/>
          <w:color w:val="auto"/>
          <w:kern w:val="2"/>
          <w:sz w:val="24"/>
          <w:szCs w:val="24"/>
          <w:highlight w:val="none"/>
          <w:lang w:val="en-US" w:eastAsia="zh-CN" w:bidi="ar-SA"/>
        </w:rPr>
        <w:t>画面制作</w:t>
      </w:r>
      <w:r>
        <w:rPr>
          <w:rFonts w:hint="eastAsia" w:ascii="宋体" w:hAnsi="宋体" w:eastAsia="宋体" w:cs="宋体"/>
          <w:b w:val="0"/>
          <w:bCs w:val="0"/>
          <w:color w:val="auto"/>
          <w:kern w:val="2"/>
          <w:sz w:val="24"/>
          <w:szCs w:val="24"/>
          <w:highlight w:val="none"/>
          <w:lang w:val="en-US" w:eastAsia="zh-CN" w:bidi="ar-SA"/>
        </w:rPr>
        <w:t>。</w:t>
      </w:r>
    </w:p>
    <w:p w14:paraId="43029E53">
      <w:pPr>
        <w:pStyle w:val="43"/>
        <w:keepNext w:val="0"/>
        <w:keepLines w:val="0"/>
        <w:pageBreakBefore w:val="0"/>
        <w:widowControl w:val="0"/>
        <w:kinsoku/>
        <w:wordWrap w:val="0"/>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2.领导观赛区：一级搭建，铺设地毯，背面活动主题喷绘。根据现场实际情况，确定搭建尺寸和其他要求。</w:t>
      </w:r>
    </w:p>
    <w:p w14:paraId="10BAA0EF">
      <w:pPr>
        <w:pStyle w:val="43"/>
        <w:keepNext w:val="0"/>
        <w:keepLines w:val="0"/>
        <w:pageBreakBefore w:val="0"/>
        <w:widowControl w:val="0"/>
        <w:kinsoku/>
        <w:wordWrap w:val="0"/>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3.广告牌：根据招商需要，搭建A字牌广告，每个标准尺寸为 2×1米正反，喷绘安装，根据大会要求制作。</w:t>
      </w:r>
    </w:p>
    <w:p w14:paraId="360E04E0">
      <w:pPr>
        <w:pStyle w:val="43"/>
        <w:keepNext w:val="0"/>
        <w:keepLines w:val="0"/>
        <w:pageBreakBefore w:val="0"/>
        <w:widowControl w:val="0"/>
        <w:kinsoku/>
        <w:wordWrap w:val="0"/>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4.开幕式及颁奖背景板：根据大会要求制作。</w:t>
      </w:r>
    </w:p>
    <w:p w14:paraId="38C9E86D">
      <w:pPr>
        <w:pStyle w:val="43"/>
        <w:keepNext w:val="0"/>
        <w:keepLines w:val="0"/>
        <w:pageBreakBefore w:val="0"/>
        <w:widowControl w:val="0"/>
        <w:kinsoku/>
        <w:wordWrap w:val="0"/>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5.指示系统：场地周边及主要道路口交通及停车指示。</w:t>
      </w:r>
    </w:p>
    <w:p w14:paraId="74D5A52A">
      <w:pPr>
        <w:pStyle w:val="43"/>
        <w:keepNext w:val="0"/>
        <w:keepLines w:val="0"/>
        <w:pageBreakBefore w:val="0"/>
        <w:widowControl w:val="0"/>
        <w:kinsoku/>
        <w:wordWrap w:val="0"/>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6.现场音响设备，满足大会需求。</w:t>
      </w:r>
    </w:p>
    <w:p w14:paraId="6F3327A4">
      <w:pPr>
        <w:pStyle w:val="43"/>
        <w:keepNext w:val="0"/>
        <w:keepLines w:val="0"/>
        <w:pageBreakBefore w:val="0"/>
        <w:widowControl w:val="0"/>
        <w:kinsoku/>
        <w:wordWrap w:val="0"/>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7.主电缆铺设及广播系统、防雷系统铺设:符合大会要求及相关职能部门标准</w:t>
      </w:r>
    </w:p>
    <w:p w14:paraId="2146774B">
      <w:pPr>
        <w:pStyle w:val="43"/>
        <w:keepNext w:val="0"/>
        <w:keepLines w:val="0"/>
        <w:pageBreakBefore w:val="0"/>
        <w:widowControl w:val="0"/>
        <w:kinsoku/>
        <w:wordWrap w:val="0"/>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（二）后勤服务</w:t>
      </w:r>
    </w:p>
    <w:p w14:paraId="66B0D21B">
      <w:pPr>
        <w:pStyle w:val="43"/>
        <w:keepNext w:val="0"/>
        <w:keepLines w:val="0"/>
        <w:pageBreakBefore w:val="0"/>
        <w:widowControl w:val="0"/>
        <w:kinsoku/>
        <w:wordWrap w:val="0"/>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1.交通：提供裁判员、辅助裁判、志愿者、工作人员</w:t>
      </w:r>
      <w:r>
        <w:rPr>
          <w:rFonts w:hint="eastAsia" w:cs="宋体"/>
          <w:b w:val="0"/>
          <w:bCs w:val="0"/>
          <w:color w:val="auto"/>
          <w:kern w:val="2"/>
          <w:sz w:val="24"/>
          <w:szCs w:val="24"/>
          <w:highlight w:val="none"/>
          <w:lang w:val="en-US" w:eastAsia="zh-CN" w:bidi="ar-SA"/>
        </w:rPr>
        <w:t>等人员</w:t>
      </w:r>
      <w:r>
        <w:rPr>
          <w:rFonts w:hint="eastAsia" w:ascii="宋体" w:hAnsi="宋体" w:eastAsia="宋体" w:cs="宋体"/>
          <w:b w:val="0"/>
          <w:bCs w:val="0"/>
          <w:color w:val="auto"/>
          <w:kern w:val="2"/>
          <w:sz w:val="24"/>
          <w:szCs w:val="24"/>
          <w:highlight w:val="none"/>
          <w:lang w:val="en-US" w:eastAsia="zh-CN" w:bidi="ar-SA"/>
        </w:rPr>
        <w:t>往返交通</w:t>
      </w:r>
      <w:r>
        <w:rPr>
          <w:rFonts w:hint="eastAsia" w:cs="宋体"/>
          <w:b w:val="0"/>
          <w:bCs w:val="0"/>
          <w:color w:val="auto"/>
          <w:kern w:val="2"/>
          <w:sz w:val="24"/>
          <w:szCs w:val="24"/>
          <w:highlight w:val="none"/>
          <w:lang w:val="en-US" w:eastAsia="zh-CN" w:bidi="ar-SA"/>
        </w:rPr>
        <w:t>补助</w:t>
      </w:r>
      <w:r>
        <w:rPr>
          <w:rFonts w:hint="eastAsia" w:ascii="宋体" w:hAnsi="宋体" w:eastAsia="宋体" w:cs="宋体"/>
          <w:b w:val="0"/>
          <w:bCs w:val="0"/>
          <w:color w:val="auto"/>
          <w:kern w:val="2"/>
          <w:sz w:val="24"/>
          <w:szCs w:val="24"/>
          <w:highlight w:val="none"/>
          <w:lang w:val="en-US" w:eastAsia="zh-CN" w:bidi="ar-SA"/>
        </w:rPr>
        <w:t>；</w:t>
      </w:r>
    </w:p>
    <w:p w14:paraId="79E5589F">
      <w:pPr>
        <w:pStyle w:val="43"/>
        <w:keepNext w:val="0"/>
        <w:keepLines w:val="0"/>
        <w:pageBreakBefore w:val="0"/>
        <w:widowControl w:val="0"/>
        <w:kinsoku/>
        <w:wordWrap w:val="0"/>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2.服装：提供嘉宾、裁判员、工作人员服装（短袖POLO衫1件，长袖POLO衫1件，防嗮服1件），预计约500件，服装样式、尺码、数量、品牌需经采购方审核同意。</w:t>
      </w:r>
    </w:p>
    <w:p w14:paraId="032CCC78">
      <w:pPr>
        <w:pStyle w:val="43"/>
        <w:keepNext w:val="0"/>
        <w:keepLines w:val="0"/>
        <w:pageBreakBefore w:val="0"/>
        <w:widowControl w:val="0"/>
        <w:kinsoku/>
        <w:wordWrap w:val="0"/>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b w:val="0"/>
          <w:bCs w:val="0"/>
          <w:color w:val="auto"/>
          <w:kern w:val="2"/>
          <w:sz w:val="24"/>
          <w:szCs w:val="24"/>
          <w:highlight w:val="none"/>
          <w:lang w:val="en-US" w:eastAsia="zh-CN" w:bidi="ar-SA"/>
        </w:rPr>
      </w:pPr>
      <w:r>
        <w:rPr>
          <w:rFonts w:hint="eastAsia" w:cs="宋体"/>
          <w:b w:val="0"/>
          <w:bCs w:val="0"/>
          <w:color w:val="auto"/>
          <w:kern w:val="2"/>
          <w:sz w:val="24"/>
          <w:szCs w:val="24"/>
          <w:highlight w:val="none"/>
          <w:lang w:val="en-US" w:eastAsia="zh-CN" w:bidi="ar-SA"/>
        </w:rPr>
        <w:t>3</w:t>
      </w:r>
      <w:r>
        <w:rPr>
          <w:rFonts w:hint="eastAsia" w:ascii="宋体" w:hAnsi="宋体" w:eastAsia="宋体" w:cs="宋体"/>
          <w:b w:val="0"/>
          <w:bCs w:val="0"/>
          <w:color w:val="auto"/>
          <w:kern w:val="2"/>
          <w:sz w:val="24"/>
          <w:szCs w:val="24"/>
          <w:highlight w:val="none"/>
          <w:lang w:val="en-US" w:eastAsia="zh-CN" w:bidi="ar-SA"/>
        </w:rPr>
        <w:t>.医疗、应急救援、志愿者：提供符合国家级赛事的医疗、应急救援、志愿者保障方案。</w:t>
      </w:r>
    </w:p>
    <w:p w14:paraId="12E0D93F">
      <w:pPr>
        <w:pStyle w:val="43"/>
        <w:keepNext w:val="0"/>
        <w:keepLines w:val="0"/>
        <w:pageBreakBefore w:val="0"/>
        <w:widowControl w:val="0"/>
        <w:kinsoku/>
        <w:wordWrap w:val="0"/>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5.购买志愿者、辅助裁判保险，赛场保险等。</w:t>
      </w:r>
    </w:p>
    <w:p w14:paraId="28F728EE">
      <w:pPr>
        <w:pStyle w:val="43"/>
        <w:keepNext w:val="0"/>
        <w:keepLines w:val="0"/>
        <w:pageBreakBefore w:val="0"/>
        <w:widowControl w:val="0"/>
        <w:kinsoku/>
        <w:wordWrap w:val="0"/>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6.并提供运动员、裁判员、工作人员饮用水，550ml装预计约2000瓶。</w:t>
      </w:r>
    </w:p>
    <w:p w14:paraId="492593FD">
      <w:pPr>
        <w:pStyle w:val="43"/>
        <w:keepNext w:val="0"/>
        <w:keepLines w:val="0"/>
        <w:pageBreakBefore w:val="0"/>
        <w:widowControl w:val="0"/>
        <w:kinsoku/>
        <w:wordWrap w:val="0"/>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7.支付裁判员、工作人员酬金，按实际结算（标准按照赛事劳务费标准执行）。</w:t>
      </w:r>
    </w:p>
    <w:p w14:paraId="189FB653">
      <w:pPr>
        <w:pStyle w:val="43"/>
        <w:keepNext w:val="0"/>
        <w:keepLines w:val="0"/>
        <w:pageBreakBefore w:val="0"/>
        <w:widowControl w:val="0"/>
        <w:kinsoku/>
        <w:wordWrap w:val="0"/>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8.奖金根据竞赛规程的相关标准执行，涵盖在本赛事服务项目报价内，共计6万。</w:t>
      </w:r>
    </w:p>
    <w:p w14:paraId="63FB4048">
      <w:pPr>
        <w:pStyle w:val="43"/>
        <w:keepNext w:val="0"/>
        <w:keepLines w:val="0"/>
        <w:pageBreakBefore w:val="0"/>
        <w:widowControl w:val="0"/>
        <w:kinsoku/>
        <w:wordWrap w:val="0"/>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9.其他：会务接待、车辆调度、跟车及其他附加服务。</w:t>
      </w:r>
    </w:p>
    <w:p w14:paraId="21EFF746">
      <w:pPr>
        <w:pStyle w:val="43"/>
        <w:keepNext w:val="0"/>
        <w:keepLines w:val="0"/>
        <w:pageBreakBefore w:val="0"/>
        <w:widowControl w:val="0"/>
        <w:kinsoku/>
        <w:wordWrap w:val="0"/>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（三）开闭幕式服务</w:t>
      </w:r>
    </w:p>
    <w:p w14:paraId="7221767D">
      <w:pPr>
        <w:pStyle w:val="43"/>
        <w:keepNext w:val="0"/>
        <w:keepLines w:val="0"/>
        <w:pageBreakBefore w:val="0"/>
        <w:widowControl w:val="0"/>
        <w:kinsoku/>
        <w:wordWrap w:val="0"/>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1.开幕式的组织策划，包括领导嘉宾的接待、座席安排，活动现场的标识指引，赛场的气氛营造，中文主持，安排具有当地特色的表演，活动流程，开幕式现场的电力、灯光、音响以及其他必要物料等。</w:t>
      </w:r>
    </w:p>
    <w:p w14:paraId="0FD5818D">
      <w:pPr>
        <w:pStyle w:val="43"/>
        <w:keepNext w:val="0"/>
        <w:keepLines w:val="0"/>
        <w:pageBreakBefore w:val="0"/>
        <w:widowControl w:val="0"/>
        <w:kinsoku/>
        <w:wordWrap w:val="0"/>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2.闭幕式的组织策划；中文主持，颁奖及活动流程，现场的布置、音响、气氛营造以及其他必要物料等。</w:t>
      </w:r>
    </w:p>
    <w:p w14:paraId="5DFA3EB9">
      <w:pPr>
        <w:pStyle w:val="43"/>
        <w:keepNext w:val="0"/>
        <w:keepLines w:val="0"/>
        <w:pageBreakBefore w:val="0"/>
        <w:widowControl w:val="0"/>
        <w:kinsoku/>
        <w:wordWrap w:val="0"/>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3.安保：成交方配合协助采购方报备当地公安，保障活动期间主赛区的安全保卫工作，并按公安部门出具的安保配置表配置。</w:t>
      </w:r>
    </w:p>
    <w:p w14:paraId="057EC619">
      <w:pPr>
        <w:pStyle w:val="43"/>
        <w:keepNext w:val="0"/>
        <w:keepLines w:val="0"/>
        <w:pageBreakBefore w:val="0"/>
        <w:widowControl w:val="0"/>
        <w:kinsoku/>
        <w:wordWrap w:val="0"/>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4.保洁：移动厕所、保洁人员由采购方提供，保障活动期间主赛区有卫生保洁工作，成交方予以配合和区域规划。</w:t>
      </w:r>
    </w:p>
    <w:p w14:paraId="05600709">
      <w:pPr>
        <w:pStyle w:val="43"/>
        <w:keepNext w:val="0"/>
        <w:keepLines w:val="0"/>
        <w:pageBreakBefore w:val="0"/>
        <w:widowControl w:val="0"/>
        <w:kinsoku/>
        <w:wordWrap w:val="0"/>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5.工作证件、奖杯、奖牌、秩序册：工作证根据采购方报名队伍制作，各岗位需以颜色和名称区别；秩序册按照每队2本制作；奖杯、奖牌按照竞赛规则进行制作。</w:t>
      </w:r>
    </w:p>
    <w:p w14:paraId="727D62CC">
      <w:pPr>
        <w:pStyle w:val="43"/>
        <w:keepNext w:val="0"/>
        <w:keepLines w:val="0"/>
        <w:pageBreakBefore w:val="0"/>
        <w:widowControl w:val="0"/>
        <w:kinsoku/>
        <w:wordWrap w:val="0"/>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（四）竞赛场地及器材服务</w:t>
      </w:r>
    </w:p>
    <w:p w14:paraId="09BF4029">
      <w:pPr>
        <w:pStyle w:val="43"/>
        <w:keepNext w:val="0"/>
        <w:keepLines w:val="0"/>
        <w:pageBreakBefore w:val="0"/>
        <w:widowControl w:val="0"/>
        <w:kinsoku/>
        <w:wordWrap w:val="0"/>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1.比赛场地：</w:t>
      </w:r>
    </w:p>
    <w:p w14:paraId="1DA0155F">
      <w:pPr>
        <w:pStyle w:val="43"/>
        <w:keepNext w:val="0"/>
        <w:keepLines w:val="0"/>
        <w:pageBreakBefore w:val="0"/>
        <w:widowControl w:val="0"/>
        <w:kinsoku/>
        <w:wordWrap w:val="0"/>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（1）水面长度不小于700米，宽度不小于100米，赛道内水深不小于2米，水质不低于III水的静水水域；</w:t>
      </w:r>
    </w:p>
    <w:p w14:paraId="32378C4D">
      <w:pPr>
        <w:pStyle w:val="43"/>
        <w:keepNext w:val="0"/>
        <w:keepLines w:val="0"/>
        <w:pageBreakBefore w:val="0"/>
        <w:widowControl w:val="0"/>
        <w:kinsoku/>
        <w:wordWrap w:val="0"/>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（2）设置符合规则要求的长500米，宽≥11米的4条赛道用浮球布置的矩形场地，并设有附赛道、警戒水域、准备区和缓冲区；</w:t>
      </w:r>
    </w:p>
    <w:p w14:paraId="3B519474">
      <w:pPr>
        <w:pStyle w:val="43"/>
        <w:keepNext w:val="0"/>
        <w:keepLines w:val="0"/>
        <w:pageBreakBefore w:val="0"/>
        <w:widowControl w:val="0"/>
        <w:kinsoku/>
        <w:wordWrap w:val="0"/>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（3）比赛设施</w:t>
      </w:r>
    </w:p>
    <w:p w14:paraId="7231D304">
      <w:pPr>
        <w:pStyle w:val="43"/>
        <w:keepNext w:val="0"/>
        <w:keepLines w:val="0"/>
        <w:pageBreakBefore w:val="0"/>
        <w:widowControl w:val="0"/>
        <w:kinsoku/>
        <w:wordWrap w:val="0"/>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①设置高强度铝合金拼装启航平台1组，其中2米×6米为1个模块，共7个模块；</w:t>
      </w:r>
    </w:p>
    <w:p w14:paraId="14960592">
      <w:pPr>
        <w:pStyle w:val="43"/>
        <w:keepNext w:val="0"/>
        <w:keepLines w:val="0"/>
        <w:pageBreakBefore w:val="0"/>
        <w:widowControl w:val="0"/>
        <w:kinsoku/>
        <w:wordWrap w:val="0"/>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②设置高强度铝合金拼装发令平台 2 组，其中2米×6米为1个模块，共3个模块；</w:t>
      </w:r>
    </w:p>
    <w:p w14:paraId="7791C640">
      <w:pPr>
        <w:pStyle w:val="43"/>
        <w:keepNext w:val="0"/>
        <w:keepLines w:val="0"/>
        <w:pageBreakBefore w:val="0"/>
        <w:widowControl w:val="0"/>
        <w:kinsoku/>
        <w:wordWrap w:val="0"/>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③设置高强度铝合金拼装登舟平台标准4组（最少2组），其中2米×6米为1个模块，共计38模块组成：</w:t>
      </w:r>
    </w:p>
    <w:p w14:paraId="00F5F628">
      <w:pPr>
        <w:pStyle w:val="43"/>
        <w:keepNext w:val="0"/>
        <w:keepLines w:val="0"/>
        <w:pageBreakBefore w:val="0"/>
        <w:widowControl w:val="0"/>
        <w:kinsoku/>
        <w:wordWrap w:val="0"/>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标准为：</w:t>
      </w:r>
    </w:p>
    <w:p w14:paraId="24352377">
      <w:pPr>
        <w:pStyle w:val="43"/>
        <w:keepNext w:val="0"/>
        <w:keepLines w:val="0"/>
        <w:pageBreakBefore w:val="0"/>
        <w:widowControl w:val="0"/>
        <w:kinsoku/>
        <w:wordWrap w:val="0"/>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1 个主平台（横向）不少于长46米，宽4米，共14模块组成；</w:t>
      </w:r>
    </w:p>
    <w:p w14:paraId="19E0C899">
      <w:pPr>
        <w:pStyle w:val="43"/>
        <w:keepNext w:val="0"/>
        <w:keepLines w:val="0"/>
        <w:pageBreakBefore w:val="0"/>
        <w:widowControl w:val="0"/>
        <w:kinsoku/>
        <w:wordWrap w:val="0"/>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4 个附平台（纵向），每个不少于长 18 米，宽4米，每个附平台由6个模块组成，共24模块；</w:t>
      </w:r>
    </w:p>
    <w:p w14:paraId="2FF49656">
      <w:pPr>
        <w:pStyle w:val="43"/>
        <w:keepNext w:val="0"/>
        <w:keepLines w:val="0"/>
        <w:pageBreakBefore w:val="0"/>
        <w:widowControl w:val="0"/>
        <w:kinsoku/>
        <w:wordWrap w:val="0"/>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④瞄准牌设置在200米起点、500米起点、终点，3组，每组1个2米×6米模块；</w:t>
      </w:r>
    </w:p>
    <w:p w14:paraId="667260D7">
      <w:pPr>
        <w:pStyle w:val="43"/>
        <w:keepNext w:val="0"/>
        <w:keepLines w:val="0"/>
        <w:pageBreakBefore w:val="0"/>
        <w:widowControl w:val="0"/>
        <w:kinsoku/>
        <w:wordWrap w:val="0"/>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⑤利用原有浮动码头搭建符合比赛要求的登舟平台。</w:t>
      </w:r>
    </w:p>
    <w:p w14:paraId="31F4B5F3">
      <w:pPr>
        <w:pStyle w:val="43"/>
        <w:keepNext w:val="0"/>
        <w:keepLines w:val="0"/>
        <w:pageBreakBefore w:val="0"/>
        <w:widowControl w:val="0"/>
        <w:kinsoku/>
        <w:wordWrap w:val="0"/>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⑥终点计时区域，根据赛事要求进行搭建，必须符合相关技术要求。</w:t>
      </w:r>
    </w:p>
    <w:p w14:paraId="01383551">
      <w:pPr>
        <w:pStyle w:val="43"/>
        <w:keepNext w:val="0"/>
        <w:keepLines w:val="0"/>
        <w:pageBreakBefore w:val="0"/>
        <w:widowControl w:val="0"/>
        <w:kinsoku/>
        <w:wordWrap w:val="0"/>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（4）附属设备物品</w:t>
      </w:r>
    </w:p>
    <w:p w14:paraId="0730803D">
      <w:pPr>
        <w:pStyle w:val="43"/>
        <w:keepNext w:val="0"/>
        <w:keepLines w:val="0"/>
        <w:pageBreakBefore w:val="0"/>
        <w:widowControl w:val="0"/>
        <w:kinsoku/>
        <w:wordWrap w:val="0"/>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①瞄准牌、标志杆和龙门垂线架共2套（起点、终点各1套）；</w:t>
      </w:r>
    </w:p>
    <w:p w14:paraId="091B4038">
      <w:pPr>
        <w:pStyle w:val="43"/>
        <w:keepNext w:val="0"/>
        <w:keepLines w:val="0"/>
        <w:pageBreakBefore w:val="0"/>
        <w:widowControl w:val="0"/>
        <w:kinsoku/>
        <w:wordWrap w:val="0"/>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②赛道（500/400/300/200/100/0 米）高1米，宽0.5米白底黑字分段标志1套；</w:t>
      </w:r>
    </w:p>
    <w:p w14:paraId="1E9E53A9">
      <w:pPr>
        <w:pStyle w:val="43"/>
        <w:keepNext w:val="0"/>
        <w:keepLines w:val="0"/>
        <w:pageBreakBefore w:val="0"/>
        <w:widowControl w:val="0"/>
        <w:kinsoku/>
        <w:wordWrap w:val="0"/>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③起点、登舟平台1-4号编号牌高0.80米，0.50米的白底黑字矩形3套；终点赛道编号牌高1米，底边长0.50米的三角形白底黑字1套；</w:t>
      </w:r>
    </w:p>
    <w:p w14:paraId="3B2AF519">
      <w:pPr>
        <w:pStyle w:val="43"/>
        <w:keepNext w:val="0"/>
        <w:keepLines w:val="0"/>
        <w:pageBreakBefore w:val="0"/>
        <w:widowControl w:val="0"/>
        <w:kinsoku/>
        <w:wordWrap w:val="0"/>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④裁判岗位、休息区运动员队名、各类功能区域和通道的标识；</w:t>
      </w:r>
    </w:p>
    <w:p w14:paraId="4347776B">
      <w:pPr>
        <w:pStyle w:val="43"/>
        <w:keepNext w:val="0"/>
        <w:keepLines w:val="0"/>
        <w:pageBreakBefore w:val="0"/>
        <w:widowControl w:val="0"/>
        <w:kinsoku/>
        <w:wordWrap w:val="0"/>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⑤运动员休息区3X3米帐篷32顶，其他区域（检录、器材、终点等）帐篷18顶，起航平台上遮阳伞4把（含配重）。</w:t>
      </w:r>
    </w:p>
    <w:p w14:paraId="48F41A9A">
      <w:pPr>
        <w:pStyle w:val="43"/>
        <w:keepNext w:val="0"/>
        <w:keepLines w:val="0"/>
        <w:pageBreakBefore w:val="0"/>
        <w:widowControl w:val="0"/>
        <w:kinsoku/>
        <w:wordWrap w:val="0"/>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⑥各裁判岗位条桌20张，椅50张，凳200张。</w:t>
      </w:r>
    </w:p>
    <w:p w14:paraId="13D686F5">
      <w:pPr>
        <w:pStyle w:val="43"/>
        <w:keepNext w:val="0"/>
        <w:keepLines w:val="0"/>
        <w:pageBreakBefore w:val="0"/>
        <w:widowControl w:val="0"/>
        <w:kinsoku/>
        <w:wordWrap w:val="0"/>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⑦成绩公告长2米，宽1米（含支架，总高 1.8 米）1套。</w:t>
      </w:r>
    </w:p>
    <w:p w14:paraId="68A32B99">
      <w:pPr>
        <w:pStyle w:val="43"/>
        <w:keepNext w:val="0"/>
        <w:keepLines w:val="0"/>
        <w:pageBreakBefore w:val="0"/>
        <w:widowControl w:val="0"/>
        <w:kinsoku/>
        <w:wordWrap w:val="0"/>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⑧救生艇4-6座4艘（及配套救生圈、杆和小红十字旗），备用救生衣100 件。</w:t>
      </w:r>
    </w:p>
    <w:p w14:paraId="3B0B0387">
      <w:pPr>
        <w:pStyle w:val="43"/>
        <w:keepNext w:val="0"/>
        <w:keepLines w:val="0"/>
        <w:pageBreakBefore w:val="0"/>
        <w:widowControl w:val="0"/>
        <w:kinsoku/>
        <w:wordWrap w:val="0"/>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⑨运动员休息区、检录区、登舟平台及连接通道隔离铁马视实际场地情况而定。</w:t>
      </w:r>
    </w:p>
    <w:p w14:paraId="0DCE6C52">
      <w:pPr>
        <w:pStyle w:val="43"/>
        <w:keepNext w:val="0"/>
        <w:keepLines w:val="0"/>
        <w:pageBreakBefore w:val="0"/>
        <w:widowControl w:val="0"/>
        <w:kinsoku/>
        <w:wordWrap w:val="0"/>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⑩主席台/起点/终点/检录区域电源按使用电器数量功率需求接驳，电源接线板。</w:t>
      </w:r>
    </w:p>
    <w:p w14:paraId="67F751B7">
      <w:pPr>
        <w:pStyle w:val="43"/>
        <w:keepNext w:val="0"/>
        <w:keepLines w:val="0"/>
        <w:pageBreakBefore w:val="0"/>
        <w:widowControl w:val="0"/>
        <w:kinsoku/>
        <w:wordWrap w:val="0"/>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2.赛场附近需配有适应参赛人数要求的卫生间或临厕、器材管理存放用室、运动员休息区、观龙台和嘉宾休息室、医务点和救护车。</w:t>
      </w:r>
    </w:p>
    <w:p w14:paraId="719CF6E2">
      <w:pPr>
        <w:pStyle w:val="43"/>
        <w:keepNext w:val="0"/>
        <w:keepLines w:val="0"/>
        <w:pageBreakBefore w:val="0"/>
        <w:widowControl w:val="0"/>
        <w:kinsoku/>
        <w:wordWrap w:val="0"/>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3.比赛期间需要准备裁判员学习会议室（50 人），组委会会议室（100 人），配备音响、话筒、投影等设备。</w:t>
      </w:r>
    </w:p>
    <w:p w14:paraId="624047BA">
      <w:pPr>
        <w:pStyle w:val="43"/>
        <w:keepNext w:val="0"/>
        <w:keepLines w:val="0"/>
        <w:pageBreakBefore w:val="0"/>
        <w:widowControl w:val="0"/>
        <w:kinsoku/>
        <w:wordWrap w:val="0"/>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4.竞赛器材：</w:t>
      </w:r>
    </w:p>
    <w:p w14:paraId="53532907">
      <w:pPr>
        <w:pStyle w:val="43"/>
        <w:keepNext w:val="0"/>
        <w:keepLines w:val="0"/>
        <w:pageBreakBefore w:val="0"/>
        <w:widowControl w:val="0"/>
        <w:kinsoku/>
        <w:wordWrap w:val="0"/>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（1）比赛器材</w:t>
      </w:r>
    </w:p>
    <w:p w14:paraId="00B5E5FA">
      <w:pPr>
        <w:pStyle w:val="43"/>
        <w:keepNext w:val="0"/>
        <w:keepLines w:val="0"/>
        <w:pageBreakBefore w:val="0"/>
        <w:widowControl w:val="0"/>
        <w:kinsoku/>
        <w:wordWrap w:val="0"/>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①备用救生衣100件。</w:t>
      </w:r>
    </w:p>
    <w:p w14:paraId="1B9DA726">
      <w:pPr>
        <w:pStyle w:val="43"/>
        <w:keepNext w:val="0"/>
        <w:keepLines w:val="0"/>
        <w:pageBreakBefore w:val="0"/>
        <w:widowControl w:val="0"/>
        <w:kinsoku/>
        <w:wordWrap w:val="0"/>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②配套用品：按龙舟数量配备龙舟尾旗旗杆（1.5米）、鼓槌、水瓢、弹力鼓绳、艏艉系泊缆绳长 20 米。</w:t>
      </w:r>
    </w:p>
    <w:p w14:paraId="1B104727">
      <w:pPr>
        <w:pStyle w:val="43"/>
        <w:keepNext w:val="0"/>
        <w:keepLines w:val="0"/>
        <w:pageBreakBefore w:val="0"/>
        <w:widowControl w:val="0"/>
        <w:kinsoku/>
        <w:wordWrap w:val="0"/>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③赛道裁判消浪艇（带顶棚）1 艘，赛场工作艇1艘。</w:t>
      </w:r>
    </w:p>
    <w:p w14:paraId="7C5607D8">
      <w:pPr>
        <w:pStyle w:val="43"/>
        <w:keepNext w:val="0"/>
        <w:keepLines w:val="0"/>
        <w:pageBreakBefore w:val="0"/>
        <w:widowControl w:val="0"/>
        <w:kinsoku/>
        <w:wordWrap w:val="0"/>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（2）裁判器材</w:t>
      </w:r>
    </w:p>
    <w:p w14:paraId="3B6DC06E">
      <w:pPr>
        <w:pStyle w:val="43"/>
        <w:keepNext w:val="0"/>
        <w:keepLines w:val="0"/>
        <w:pageBreakBefore w:val="0"/>
        <w:widowControl w:val="0"/>
        <w:kinsoku/>
        <w:wordWrap w:val="0"/>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①租借电子计时设备 1 套</w:t>
      </w:r>
    </w:p>
    <w:p w14:paraId="15D2494B">
      <w:pPr>
        <w:pStyle w:val="43"/>
        <w:keepNext w:val="0"/>
        <w:keepLines w:val="0"/>
        <w:pageBreakBefore w:val="0"/>
        <w:widowControl w:val="0"/>
        <w:kinsoku/>
        <w:wordWrap w:val="0"/>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②检录区、起点大功率扩音设备共2套，要求音量覆盖工作区域，含无线话筒及支架。</w:t>
      </w:r>
    </w:p>
    <w:p w14:paraId="3F51D190">
      <w:pPr>
        <w:pStyle w:val="43"/>
        <w:keepNext w:val="0"/>
        <w:keepLines w:val="0"/>
        <w:pageBreakBefore w:val="0"/>
        <w:widowControl w:val="0"/>
        <w:kinsoku/>
        <w:wordWrap w:val="0"/>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③摄像机2台（具备回看帧进功能，起点、终点各1台），32寸彩色平板显示器1台（含3~5米视频线）</w:t>
      </w:r>
    </w:p>
    <w:p w14:paraId="46CD3726">
      <w:pPr>
        <w:pStyle w:val="43"/>
        <w:keepNext w:val="0"/>
        <w:keepLines w:val="0"/>
        <w:pageBreakBefore w:val="0"/>
        <w:widowControl w:val="0"/>
        <w:kinsoku/>
        <w:wordWrap w:val="0"/>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④对讲机，要求无延时，按省派裁判员数量配备</w:t>
      </w:r>
    </w:p>
    <w:p w14:paraId="31124FE8">
      <w:pPr>
        <w:pStyle w:val="43"/>
        <w:keepNext w:val="0"/>
        <w:keepLines w:val="0"/>
        <w:pageBreakBefore w:val="0"/>
        <w:widowControl w:val="0"/>
        <w:kinsoku/>
        <w:wordWrap w:val="0"/>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⑤大功率手提扩音器5只。</w:t>
      </w:r>
    </w:p>
    <w:p w14:paraId="7EB3D34E">
      <w:pPr>
        <w:pStyle w:val="43"/>
        <w:keepNext w:val="0"/>
        <w:keepLines w:val="0"/>
        <w:pageBreakBefore w:val="0"/>
        <w:widowControl w:val="0"/>
        <w:kinsoku/>
        <w:wordWrap w:val="0"/>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⑥验桨卡摸1个,防水合格标贴350张，10米卷尺1只。</w:t>
      </w:r>
    </w:p>
    <w:p w14:paraId="3BE1DB5C">
      <w:pPr>
        <w:pStyle w:val="43"/>
        <w:keepNext w:val="0"/>
        <w:keepLines w:val="0"/>
        <w:pageBreakBefore w:val="0"/>
        <w:widowControl w:val="0"/>
        <w:kinsoku/>
        <w:wordWrap w:val="0"/>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⑦大挂钟2面。</w:t>
      </w:r>
    </w:p>
    <w:p w14:paraId="74A06ABB">
      <w:pPr>
        <w:pStyle w:val="43"/>
        <w:keepNext w:val="0"/>
        <w:keepLines w:val="0"/>
        <w:pageBreakBefore w:val="0"/>
        <w:widowControl w:val="0"/>
        <w:kinsoku/>
        <w:wordWrap w:val="0"/>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⑧裁判员夹板20个，签字笔30支，订书机1各，双面贴3卷，燕尾夹若干。</w:t>
      </w:r>
    </w:p>
    <w:p w14:paraId="51DF9D35">
      <w:pPr>
        <w:pStyle w:val="43"/>
        <w:keepNext w:val="0"/>
        <w:keepLines w:val="0"/>
        <w:pageBreakBefore w:val="0"/>
        <w:widowControl w:val="0"/>
        <w:kinsoku/>
        <w:wordWrap w:val="0"/>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⑨发令用高音汽笛（压力罐装）6个。</w:t>
      </w:r>
    </w:p>
    <w:p w14:paraId="1C8454C9">
      <w:pPr>
        <w:pStyle w:val="43"/>
        <w:keepNext w:val="0"/>
        <w:keepLines w:val="0"/>
        <w:pageBreakBefore w:val="0"/>
        <w:widowControl w:val="0"/>
        <w:kinsoku/>
        <w:wordWrap w:val="0"/>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⑩多功能秒表10块。</w:t>
      </w:r>
    </w:p>
    <w:p w14:paraId="1537F5F7">
      <w:pPr>
        <w:pStyle w:val="43"/>
        <w:keepNext w:val="0"/>
        <w:keepLines w:val="0"/>
        <w:pageBreakBefore w:val="0"/>
        <w:widowControl w:val="0"/>
        <w:kinsoku/>
        <w:wordWrap w:val="0"/>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⑪制作检录卡4套（A4大小，防雨），按参赛队含照片等身份信息。</w:t>
      </w:r>
    </w:p>
    <w:p w14:paraId="6EEC0A26">
      <w:pPr>
        <w:pStyle w:val="43"/>
        <w:keepNext w:val="0"/>
        <w:keepLines w:val="0"/>
        <w:pageBreakBefore w:val="0"/>
        <w:widowControl w:val="0"/>
        <w:kinsoku/>
        <w:wordWrap w:val="0"/>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⑫警告、取消资格红、黄牌各4块（尺寸0.20×0.30米，配有把手）。</w:t>
      </w:r>
    </w:p>
    <w:p w14:paraId="6F14D7B1">
      <w:pPr>
        <w:pStyle w:val="43"/>
        <w:keepNext w:val="0"/>
        <w:keepLines w:val="0"/>
        <w:pageBreakBefore w:val="0"/>
        <w:widowControl w:val="0"/>
        <w:kinsoku/>
        <w:wordWrap w:val="0"/>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⑬红、白手旗5套。</w:t>
      </w:r>
    </w:p>
    <w:p w14:paraId="71942ACF">
      <w:pPr>
        <w:pStyle w:val="43"/>
        <w:keepNext w:val="0"/>
        <w:keepLines w:val="0"/>
        <w:pageBreakBefore w:val="0"/>
        <w:widowControl w:val="0"/>
        <w:kinsoku/>
        <w:wordWrap w:val="0"/>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⑭黑色危险信号旗14套。</w:t>
      </w:r>
    </w:p>
    <w:p w14:paraId="39B150FE">
      <w:pPr>
        <w:pStyle w:val="43"/>
        <w:keepNext w:val="0"/>
        <w:keepLines w:val="0"/>
        <w:pageBreakBefore w:val="0"/>
        <w:widowControl w:val="0"/>
        <w:kinsoku/>
        <w:wordWrap w:val="0"/>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⑮龙舟上的赛道编号牌4套（1~4号，红底黄字、黄底红字、蓝底白字）。</w:t>
      </w:r>
    </w:p>
    <w:p w14:paraId="41A633FB">
      <w:pPr>
        <w:pStyle w:val="43"/>
        <w:keepNext w:val="0"/>
        <w:keepLines w:val="0"/>
        <w:pageBreakBefore w:val="0"/>
        <w:widowControl w:val="0"/>
        <w:kinsoku/>
        <w:wordWrap w:val="0"/>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⑯赛道编号引导牌4套（0.25×0.35米，把手长0.30米，与龙舟上赛道编号牌颜色相同）。</w:t>
      </w:r>
    </w:p>
    <w:p w14:paraId="66847C3E">
      <w:pPr>
        <w:pStyle w:val="43"/>
        <w:keepNext w:val="0"/>
        <w:keepLines w:val="0"/>
        <w:pageBreakBefore w:val="0"/>
        <w:widowControl w:val="0"/>
        <w:kinsoku/>
        <w:wordWrap w:val="0"/>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⑰队名引导牌，根据参赛队数（队名按秩序册上规范简称，配有把手，正反面，把手长 0.50 米）。</w:t>
      </w:r>
    </w:p>
    <w:p w14:paraId="3A3BDFDB">
      <w:pPr>
        <w:pStyle w:val="43"/>
        <w:keepNext w:val="0"/>
        <w:keepLines w:val="0"/>
        <w:pageBreakBefore w:val="0"/>
        <w:widowControl w:val="0"/>
        <w:kinsoku/>
        <w:wordWrap w:val="0"/>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⑱抽签用具一套签箱1个、乒乓球20个、扑克牌2付，黑色、红色油性记号笔各1支。</w:t>
      </w:r>
    </w:p>
    <w:p w14:paraId="50CB5B14">
      <w:pPr>
        <w:pStyle w:val="43"/>
        <w:keepNext w:val="0"/>
        <w:keepLines w:val="0"/>
        <w:pageBreakBefore w:val="0"/>
        <w:widowControl w:val="0"/>
        <w:kinsoku/>
        <w:wordWrap w:val="0"/>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⑲队长标志袖标共16个。</w:t>
      </w:r>
    </w:p>
    <w:p w14:paraId="6B87AF78">
      <w:pPr>
        <w:pStyle w:val="43"/>
        <w:keepNext w:val="0"/>
        <w:keepLines w:val="0"/>
        <w:pageBreakBefore w:val="0"/>
        <w:widowControl w:val="0"/>
        <w:kinsoku/>
        <w:wordWrap w:val="0"/>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⑳龙舟三角型彩色尾旗14面，高0.60 长0.80米直角三角形</w:t>
      </w:r>
    </w:p>
    <w:p w14:paraId="0B9BB52B">
      <w:pPr>
        <w:pStyle w:val="43"/>
        <w:keepNext w:val="0"/>
        <w:keepLines w:val="0"/>
        <w:pageBreakBefore w:val="0"/>
        <w:widowControl w:val="0"/>
        <w:kinsoku/>
        <w:wordWrap w:val="0"/>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㉑加厚长0.68米80升手提收纳编织袋6只，标记裁判岗位并分装裁判器材。</w:t>
      </w:r>
    </w:p>
    <w:p w14:paraId="742B1491">
      <w:pPr>
        <w:pStyle w:val="43"/>
        <w:keepNext w:val="0"/>
        <w:keepLines w:val="0"/>
        <w:pageBreakBefore w:val="0"/>
        <w:widowControl w:val="0"/>
        <w:kinsoku/>
        <w:wordWrap w:val="0"/>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㉒笔记本电脑 1台（预装 WINDOWS系统和办公软件）。</w:t>
      </w:r>
    </w:p>
    <w:p w14:paraId="06FA6704">
      <w:pPr>
        <w:pStyle w:val="43"/>
        <w:keepNext w:val="0"/>
        <w:keepLines w:val="0"/>
        <w:pageBreakBefore w:val="0"/>
        <w:widowControl w:val="0"/>
        <w:kinsoku/>
        <w:wordWrap w:val="0"/>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㉓激光黑白打印机 1台（准备新墨盒）、打印纸（A4）不少于3包。</w:t>
      </w:r>
    </w:p>
    <w:p w14:paraId="1085C009">
      <w:pPr>
        <w:pStyle w:val="43"/>
        <w:keepNext w:val="0"/>
        <w:keepLines w:val="0"/>
        <w:pageBreakBefore w:val="0"/>
        <w:widowControl w:val="0"/>
        <w:kinsoku/>
        <w:wordWrap w:val="0"/>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㉔竞赛材料由裁判长提供样张和数量要求，承办单位负责制作。</w:t>
      </w:r>
    </w:p>
    <w:p w14:paraId="78A9DDAB">
      <w:pPr>
        <w:pStyle w:val="43"/>
        <w:keepNext w:val="0"/>
        <w:keepLines w:val="0"/>
        <w:pageBreakBefore w:val="0"/>
        <w:widowControl w:val="0"/>
        <w:kinsoku/>
        <w:wordWrap w:val="0"/>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（3）其他</w:t>
      </w:r>
    </w:p>
    <w:p w14:paraId="5D66D544">
      <w:pPr>
        <w:pStyle w:val="43"/>
        <w:keepNext w:val="0"/>
        <w:keepLines w:val="0"/>
        <w:pageBreakBefore w:val="0"/>
        <w:widowControl w:val="0"/>
        <w:kinsoku/>
        <w:wordWrap w:val="0"/>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①胸卡种类为：工作人员、仲裁、技术代表、总裁判长、副总裁判长、裁判长、辅助裁判员、竞赛志愿者，领队、教练、运动员，数量根据实际确定。</w:t>
      </w:r>
    </w:p>
    <w:p w14:paraId="63B85202">
      <w:pPr>
        <w:pStyle w:val="43"/>
        <w:keepNext w:val="0"/>
        <w:keepLines w:val="0"/>
        <w:pageBreakBefore w:val="0"/>
        <w:widowControl w:val="0"/>
        <w:kinsoku/>
        <w:wordWrap w:val="0"/>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②</w:t>
      </w:r>
      <w:r>
        <w:rPr>
          <w:rFonts w:hint="eastAsia" w:cs="宋体"/>
          <w:b w:val="0"/>
          <w:bCs w:val="0"/>
          <w:color w:val="auto"/>
          <w:kern w:val="2"/>
          <w:sz w:val="24"/>
          <w:szCs w:val="24"/>
          <w:highlight w:val="none"/>
          <w:lang w:val="en-US" w:eastAsia="zh-CN" w:bidi="ar-SA"/>
        </w:rPr>
        <w:t>工作管理人员</w:t>
      </w:r>
      <w:r>
        <w:rPr>
          <w:rFonts w:hint="eastAsia" w:ascii="宋体" w:hAnsi="宋体" w:eastAsia="宋体" w:cs="宋体"/>
          <w:b w:val="0"/>
          <w:bCs w:val="0"/>
          <w:color w:val="auto"/>
          <w:kern w:val="2"/>
          <w:sz w:val="24"/>
          <w:szCs w:val="24"/>
          <w:highlight w:val="none"/>
          <w:lang w:val="en-US" w:eastAsia="zh-CN" w:bidi="ar-SA"/>
        </w:rPr>
        <w:t>、仲裁、裁判、运动队用水，根据人员数量配置，每人每天2-3瓶（500ml）。</w:t>
      </w:r>
    </w:p>
    <w:p w14:paraId="686E76FA">
      <w:pPr>
        <w:pStyle w:val="43"/>
        <w:keepNext w:val="0"/>
        <w:keepLines w:val="0"/>
        <w:pageBreakBefore w:val="0"/>
        <w:widowControl w:val="0"/>
        <w:kinsoku/>
        <w:wordWrap w:val="0"/>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③秩序册（指南）印制数量：竞委会、大会办事机构每人1份，仲裁、裁判每人1份，参赛队每队2份，协会存档5份，赛区存档数量自定。</w:t>
      </w:r>
    </w:p>
    <w:p w14:paraId="56C177E6">
      <w:pPr>
        <w:pStyle w:val="43"/>
        <w:keepNext w:val="0"/>
        <w:keepLines w:val="0"/>
        <w:pageBreakBefore w:val="0"/>
        <w:widowControl w:val="0"/>
        <w:kinsoku/>
        <w:wordWrap w:val="0"/>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④成绩册印制数量：待定。</w:t>
      </w:r>
    </w:p>
    <w:p w14:paraId="1E3EE4CB">
      <w:pPr>
        <w:pStyle w:val="43"/>
        <w:keepNext w:val="0"/>
        <w:keepLines w:val="0"/>
        <w:pageBreakBefore w:val="0"/>
        <w:widowControl w:val="0"/>
        <w:kinsoku/>
        <w:wordWrap w:val="0"/>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⑤比赛开幕式和颁奖所需器材另行确定。</w:t>
      </w:r>
    </w:p>
    <w:p w14:paraId="065A144F">
      <w:pPr>
        <w:pStyle w:val="43"/>
        <w:keepNext w:val="0"/>
        <w:keepLines w:val="0"/>
        <w:pageBreakBefore w:val="0"/>
        <w:widowControl w:val="0"/>
        <w:kinsoku/>
        <w:wordWrap w:val="0"/>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5.裁判员装备：</w:t>
      </w:r>
    </w:p>
    <w:p w14:paraId="374150EE">
      <w:pPr>
        <w:pStyle w:val="43"/>
        <w:keepNext w:val="0"/>
        <w:keepLines w:val="0"/>
        <w:pageBreakBefore w:val="0"/>
        <w:widowControl w:val="0"/>
        <w:kinsoku/>
        <w:wordWrap w:val="0"/>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（1）防晒服每人1件。</w:t>
      </w:r>
    </w:p>
    <w:p w14:paraId="728D4BEB">
      <w:pPr>
        <w:pStyle w:val="43"/>
        <w:keepNext w:val="0"/>
        <w:keepLines w:val="0"/>
        <w:pageBreakBefore w:val="0"/>
        <w:widowControl w:val="0"/>
        <w:kinsoku/>
        <w:wordWrap w:val="0"/>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（2）裁判员服装，视气温准备短袖、长袖每人各1件。按人员数量要求省派、辅助、志愿者及工作人员服装颜色要有显著区别。</w:t>
      </w:r>
    </w:p>
    <w:p w14:paraId="4F516104">
      <w:pPr>
        <w:pStyle w:val="43"/>
        <w:keepNext w:val="0"/>
        <w:keepLines w:val="0"/>
        <w:pageBreakBefore w:val="0"/>
        <w:widowControl w:val="0"/>
        <w:kinsoku/>
        <w:wordWrap w:val="0"/>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备注：上述赛事执行内容以主办单位最终确认的竞赛规程和所需物料、设备、器材为准,均含搬运、运输、拆移等。</w:t>
      </w:r>
    </w:p>
    <w:p w14:paraId="7D481FFE">
      <w:pPr>
        <w:pStyle w:val="43"/>
        <w:keepNext w:val="0"/>
        <w:keepLines w:val="0"/>
        <w:pageBreakBefore w:val="0"/>
        <w:widowControl w:val="0"/>
        <w:kinsoku/>
        <w:wordWrap w:val="0"/>
        <w:overflowPunct/>
        <w:topLinePunct w:val="0"/>
        <w:autoSpaceDE/>
        <w:autoSpaceDN/>
        <w:bidi w:val="0"/>
        <w:adjustRightInd w:val="0"/>
        <w:snapToGrid w:val="0"/>
        <w:spacing w:line="360" w:lineRule="auto"/>
        <w:ind w:left="0" w:leftChars="0" w:firstLine="482" w:firstLineChars="200"/>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（三）2026年南通市中小学体育俱乐部跳绳比赛暨市民生实事“一校一品”跳绳项目学校比赛</w:t>
      </w:r>
    </w:p>
    <w:p w14:paraId="7415F178">
      <w:pPr>
        <w:pStyle w:val="43"/>
        <w:keepNext w:val="0"/>
        <w:keepLines w:val="0"/>
        <w:pageBreakBefore w:val="0"/>
        <w:widowControl w:val="0"/>
        <w:kinsoku/>
        <w:wordWrap w:val="0"/>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1.负责赛事的推广、运营、组织，按照赛事举办计划按时开展工作，制定并向相关部门报批竞赛规程；</w:t>
      </w:r>
    </w:p>
    <w:p w14:paraId="65573C91">
      <w:pPr>
        <w:pStyle w:val="43"/>
        <w:keepNext w:val="0"/>
        <w:keepLines w:val="0"/>
        <w:pageBreakBefore w:val="0"/>
        <w:widowControl w:val="0"/>
        <w:kinsoku/>
        <w:wordWrap w:val="0"/>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2.负责赛事前期筹备，赛事前期考察、竞赛报名、赛事策划及编排等。负责下发比赛通知，运动员队伍邀约招募，并开通网站报名系统协助完成参赛队伍报名工作；</w:t>
      </w:r>
    </w:p>
    <w:p w14:paraId="2AC06E74">
      <w:pPr>
        <w:pStyle w:val="43"/>
        <w:keepNext w:val="0"/>
        <w:keepLines w:val="0"/>
        <w:pageBreakBefore w:val="0"/>
        <w:widowControl w:val="0"/>
        <w:kinsoku/>
        <w:wordWrap w:val="0"/>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3.负责报名和赛事裁判系统搭建及提供。</w:t>
      </w:r>
    </w:p>
    <w:p w14:paraId="1C7825BE">
      <w:pPr>
        <w:pStyle w:val="43"/>
        <w:keepNext w:val="0"/>
        <w:keepLines w:val="0"/>
        <w:pageBreakBefore w:val="0"/>
        <w:widowControl w:val="0"/>
        <w:kinsoku/>
        <w:wordWrap w:val="0"/>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4.负责技术委员会选派，应根据赛事情况选调相关的裁判人员。</w:t>
      </w:r>
    </w:p>
    <w:p w14:paraId="6DB22285">
      <w:pPr>
        <w:pStyle w:val="43"/>
        <w:keepNext w:val="0"/>
        <w:keepLines w:val="0"/>
        <w:pageBreakBefore w:val="0"/>
        <w:widowControl w:val="0"/>
        <w:kinsoku/>
        <w:wordWrap w:val="0"/>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5.负责竞赛执行，赛事监控及开闭幕式组织和协调、赛程编排、场地区域划分等。</w:t>
      </w:r>
    </w:p>
    <w:p w14:paraId="0AA11577">
      <w:pPr>
        <w:pStyle w:val="43"/>
        <w:keepNext w:val="0"/>
        <w:keepLines w:val="0"/>
        <w:pageBreakBefore w:val="0"/>
        <w:widowControl w:val="0"/>
        <w:kinsoku/>
        <w:wordWrap w:val="0"/>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6.负责竞赛及办公用品，提供符合标准的竞赛用品，包括全赛事电子跳绳计数设备、统一的奖牌、奖杯、证书以及运动员物料包等竞赛物料和办公用品。</w:t>
      </w:r>
    </w:p>
    <w:p w14:paraId="4248A18C">
      <w:pPr>
        <w:pStyle w:val="43"/>
        <w:keepNext w:val="0"/>
        <w:keepLines w:val="0"/>
        <w:pageBreakBefore w:val="0"/>
        <w:widowControl w:val="0"/>
        <w:kinsoku/>
        <w:wordWrap w:val="0"/>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7.负责后勤服务，根据赛事情况和赛事要求，提前勘察确定酒店和餐饮、用车等后勤保障服务，为各运动队提供食宿等后勤服务，相关食宿费用由各运动队自行承担。</w:t>
      </w:r>
    </w:p>
    <w:p w14:paraId="357FE76F">
      <w:pPr>
        <w:pStyle w:val="43"/>
        <w:keepNext w:val="0"/>
        <w:keepLines w:val="0"/>
        <w:pageBreakBefore w:val="0"/>
        <w:widowControl w:val="0"/>
        <w:kinsoku/>
        <w:wordWrap w:val="0"/>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8.负责宣传及广告设计搭建工作，赛事logo、主视觉、秩序册、背景板等设计及广告物料制作及LED、音控系统搭建。</w:t>
      </w:r>
    </w:p>
    <w:p w14:paraId="19349E61">
      <w:pPr>
        <w:pStyle w:val="43"/>
        <w:keepNext w:val="0"/>
        <w:keepLines w:val="0"/>
        <w:pageBreakBefore w:val="0"/>
        <w:widowControl w:val="0"/>
        <w:kinsoku/>
        <w:wordWrap w:val="0"/>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9.负责志愿者分工及培训。</w:t>
      </w:r>
    </w:p>
    <w:p w14:paraId="1421EAAC">
      <w:pPr>
        <w:pStyle w:val="43"/>
        <w:keepNext w:val="0"/>
        <w:keepLines w:val="0"/>
        <w:pageBreakBefore w:val="0"/>
        <w:widowControl w:val="0"/>
        <w:kinsoku/>
        <w:wordWrap w:val="0"/>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10.协同甲方成立赛事组委会。</w:t>
      </w:r>
    </w:p>
    <w:p w14:paraId="1D22FACB">
      <w:pPr>
        <w:pStyle w:val="43"/>
        <w:keepNext w:val="0"/>
        <w:keepLines w:val="0"/>
        <w:pageBreakBefore w:val="0"/>
        <w:widowControl w:val="0"/>
        <w:kinsoku/>
        <w:wordWrap w:val="0"/>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11.乙方应承担所提供服务、设施设备以及自身团队人员的安全责任。</w:t>
      </w:r>
    </w:p>
    <w:p w14:paraId="638856E9">
      <w:pPr>
        <w:pStyle w:val="43"/>
        <w:keepNext w:val="0"/>
        <w:keepLines w:val="0"/>
        <w:pageBreakBefore w:val="0"/>
        <w:widowControl w:val="0"/>
        <w:kinsoku/>
        <w:wordWrap w:val="0"/>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12.乙方需承担项目服务人员的安全责任事故、意外事故等全部责任。项目服务人员在服务期内如出现安全事故，或者其他原因导致伤、残、亡等，由乙方自行承担全部责任及费用。</w:t>
      </w:r>
    </w:p>
    <w:p w14:paraId="1E860664">
      <w:pPr>
        <w:keepNext w:val="0"/>
        <w:keepLines w:val="0"/>
        <w:pageBreakBefore w:val="0"/>
        <w:widowControl w:val="0"/>
        <w:numPr>
          <w:ilvl w:val="0"/>
          <w:numId w:val="0"/>
        </w:numPr>
        <w:kinsoku/>
        <w:wordWrap w:val="0"/>
        <w:overflowPunct/>
        <w:topLinePunct w:val="0"/>
        <w:autoSpaceDE/>
        <w:autoSpaceDN/>
        <w:bidi w:val="0"/>
        <w:adjustRightInd w:val="0"/>
        <w:snapToGrid w:val="0"/>
        <w:spacing w:line="360" w:lineRule="auto"/>
        <w:ind w:firstLine="482" w:firstLineChars="200"/>
        <w:contextualSpacing/>
        <w:textAlignment w:val="auto"/>
        <w:outlineLvl w:val="1"/>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（四）特色风筝展演</w:t>
      </w:r>
    </w:p>
    <w:p w14:paraId="3D12AE2B">
      <w:pPr>
        <w:pStyle w:val="43"/>
        <w:keepNext w:val="0"/>
        <w:keepLines w:val="0"/>
        <w:pageBreakBefore w:val="0"/>
        <w:widowControl w:val="0"/>
        <w:kinsoku/>
        <w:wordWrap w:val="0"/>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供应商须提供国家级非遗“南通板鹞风筝”展演服务，确保板鹞具备传统声学结构，以葫芦、竹制哨口实现高中低音阶组合，升空时可演奏“空中交响乐”；不少于</w:t>
      </w:r>
      <w:r>
        <w:rPr>
          <w:rFonts w:hint="eastAsia" w:cs="宋体"/>
          <w:b w:val="0"/>
          <w:bCs w:val="0"/>
          <w:color w:val="auto"/>
          <w:kern w:val="2"/>
          <w:sz w:val="24"/>
          <w:szCs w:val="24"/>
          <w:highlight w:val="none"/>
          <w:lang w:val="en-US" w:eastAsia="zh-CN" w:bidi="ar-SA"/>
        </w:rPr>
        <w:t>30</w:t>
      </w:r>
      <w:r>
        <w:rPr>
          <w:rFonts w:hint="eastAsia" w:ascii="宋体" w:hAnsi="宋体" w:eastAsia="宋体" w:cs="宋体"/>
          <w:b w:val="0"/>
          <w:bCs w:val="0"/>
          <w:color w:val="auto"/>
          <w:kern w:val="2"/>
          <w:sz w:val="24"/>
          <w:szCs w:val="24"/>
          <w:highlight w:val="none"/>
          <w:lang w:val="en-US" w:eastAsia="zh-CN" w:bidi="ar-SA"/>
        </w:rPr>
        <w:t>只大型风筝，同步提供非遗技艺互动体验区（如手绘风筝、哨口制作教学）及专业放飞团队‌。</w:t>
      </w:r>
    </w:p>
    <w:p w14:paraId="1E3ACBDF">
      <w:pPr>
        <w:pStyle w:val="43"/>
        <w:keepNext w:val="0"/>
        <w:keepLines w:val="0"/>
        <w:pageBreakBefore w:val="0"/>
        <w:widowControl w:val="0"/>
        <w:kinsoku/>
        <w:wordWrap w:val="0"/>
        <w:overflowPunct/>
        <w:topLinePunct w:val="0"/>
        <w:autoSpaceDE/>
        <w:autoSpaceDN/>
        <w:bidi w:val="0"/>
        <w:adjustRightInd w:val="0"/>
        <w:snapToGrid w:val="0"/>
        <w:spacing w:line="360" w:lineRule="auto"/>
        <w:ind w:left="0" w:leftChars="0" w:firstLine="482" w:firstLineChars="200"/>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（五）垂钓比赛</w:t>
      </w:r>
    </w:p>
    <w:p w14:paraId="35D8635F">
      <w:pPr>
        <w:pStyle w:val="43"/>
        <w:keepNext w:val="0"/>
        <w:keepLines w:val="0"/>
        <w:pageBreakBefore w:val="0"/>
        <w:widowControl w:val="0"/>
        <w:kinsoku/>
        <w:wordWrap w:val="0"/>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1.负责场地布置及赛事相关物资，包括舞台搭建、印刷（秩序册和赛事物料）、设计、设备租赁等；</w:t>
      </w:r>
    </w:p>
    <w:p w14:paraId="010FF6E6">
      <w:pPr>
        <w:pStyle w:val="43"/>
        <w:keepNext w:val="0"/>
        <w:keepLines w:val="0"/>
        <w:pageBreakBefore w:val="0"/>
        <w:widowControl w:val="0"/>
        <w:kinsoku/>
        <w:wordWrap w:val="0"/>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2.负责赛事组织的相关工作，包括聘请相关工作人员、选派裁判员、</w:t>
      </w:r>
      <w:r>
        <w:rPr>
          <w:rFonts w:hint="eastAsia" w:cs="宋体"/>
          <w:b w:val="0"/>
          <w:bCs w:val="0"/>
          <w:color w:val="auto"/>
          <w:kern w:val="2"/>
          <w:sz w:val="24"/>
          <w:szCs w:val="24"/>
          <w:highlight w:val="none"/>
          <w:lang w:val="en-US" w:eastAsia="zh-CN" w:bidi="ar-SA"/>
        </w:rPr>
        <w:t>赛事安保与医疗等</w:t>
      </w:r>
      <w:r>
        <w:rPr>
          <w:rFonts w:hint="eastAsia" w:ascii="宋体" w:hAnsi="宋体" w:eastAsia="宋体" w:cs="宋体"/>
          <w:b w:val="0"/>
          <w:bCs w:val="0"/>
          <w:color w:val="auto"/>
          <w:kern w:val="2"/>
          <w:sz w:val="24"/>
          <w:szCs w:val="24"/>
          <w:highlight w:val="none"/>
          <w:lang w:val="en-US" w:eastAsia="zh-CN" w:bidi="ar-SA"/>
        </w:rPr>
        <w:t>；</w:t>
      </w:r>
    </w:p>
    <w:p w14:paraId="441C5C43">
      <w:pPr>
        <w:pStyle w:val="43"/>
        <w:keepNext w:val="0"/>
        <w:keepLines w:val="0"/>
        <w:pageBreakBefore w:val="0"/>
        <w:widowControl w:val="0"/>
        <w:kinsoku/>
        <w:wordWrap w:val="0"/>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3.负责赛事奖金、证书等发放；</w:t>
      </w:r>
    </w:p>
    <w:p w14:paraId="2794F4AA">
      <w:pPr>
        <w:pStyle w:val="43"/>
        <w:keepNext w:val="0"/>
        <w:keepLines w:val="0"/>
        <w:pageBreakBefore w:val="0"/>
        <w:widowControl w:val="0"/>
        <w:kinsoku/>
        <w:wordWrap w:val="0"/>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4.负责组织人员参赛，不低于100人；</w:t>
      </w:r>
    </w:p>
    <w:p w14:paraId="7D045465">
      <w:pPr>
        <w:pStyle w:val="43"/>
        <w:keepNext w:val="0"/>
        <w:keepLines w:val="0"/>
        <w:pageBreakBefore w:val="0"/>
        <w:widowControl w:val="0"/>
        <w:kinsoku/>
        <w:wordWrap w:val="0"/>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5.负责主办方交办的其他事项。</w:t>
      </w:r>
    </w:p>
    <w:p w14:paraId="1FA67881">
      <w:pPr>
        <w:pStyle w:val="43"/>
        <w:keepNext w:val="0"/>
        <w:keepLines w:val="0"/>
        <w:pageBreakBefore w:val="0"/>
        <w:widowControl w:val="0"/>
        <w:kinsoku/>
        <w:wordWrap w:val="0"/>
        <w:overflowPunct/>
        <w:topLinePunct w:val="0"/>
        <w:autoSpaceDE/>
        <w:autoSpaceDN/>
        <w:bidi w:val="0"/>
        <w:adjustRightInd w:val="0"/>
        <w:snapToGrid w:val="0"/>
        <w:spacing w:line="360" w:lineRule="auto"/>
        <w:ind w:left="0" w:leftChars="0" w:firstLine="482" w:firstLineChars="200"/>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（六）如东小洋口第四届体育嘉年华开幕式</w:t>
      </w:r>
    </w:p>
    <w:p w14:paraId="2453FA04">
      <w:pPr>
        <w:pStyle w:val="43"/>
        <w:keepNext w:val="0"/>
        <w:keepLines w:val="0"/>
        <w:pageBreakBefore w:val="0"/>
        <w:widowControl w:val="0"/>
        <w:kinsoku/>
        <w:wordWrap w:val="0"/>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1.负责场地布置及氛围营造，包括主舞台搭建、观众区/演员区/嘉宾区划分、启动仪式装置、</w:t>
      </w:r>
      <w:r>
        <w:rPr>
          <w:rFonts w:hint="eastAsia" w:cs="宋体"/>
          <w:b w:val="0"/>
          <w:bCs w:val="0"/>
          <w:color w:val="auto"/>
          <w:kern w:val="2"/>
          <w:sz w:val="24"/>
          <w:szCs w:val="24"/>
          <w:highlight w:val="none"/>
          <w:lang w:val="en-US" w:eastAsia="zh-CN" w:bidi="ar-SA"/>
        </w:rPr>
        <w:t>桌椅布置、</w:t>
      </w:r>
      <w:r>
        <w:rPr>
          <w:rFonts w:hint="eastAsia" w:ascii="宋体" w:hAnsi="宋体" w:eastAsia="宋体" w:cs="宋体"/>
          <w:b w:val="0"/>
          <w:bCs w:val="0"/>
          <w:color w:val="auto"/>
          <w:kern w:val="2"/>
          <w:sz w:val="24"/>
          <w:szCs w:val="24"/>
          <w:highlight w:val="none"/>
          <w:lang w:val="en-US" w:eastAsia="zh-CN" w:bidi="ar-SA"/>
        </w:rPr>
        <w:t>主题背景板、道旗、地贴、空飘及嘉年华主题装饰等；</w:t>
      </w:r>
    </w:p>
    <w:p w14:paraId="66D3954A">
      <w:pPr>
        <w:pStyle w:val="43"/>
        <w:keepNext w:val="0"/>
        <w:keepLines w:val="0"/>
        <w:pageBreakBefore w:val="0"/>
        <w:widowControl w:val="0"/>
        <w:kinsoku/>
        <w:wordWrap w:val="0"/>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2.负责</w:t>
      </w:r>
      <w:r>
        <w:rPr>
          <w:rFonts w:hint="eastAsia" w:cs="宋体"/>
          <w:b w:val="0"/>
          <w:bCs w:val="0"/>
          <w:color w:val="auto"/>
          <w:kern w:val="2"/>
          <w:sz w:val="24"/>
          <w:szCs w:val="24"/>
          <w:highlight w:val="none"/>
          <w:lang w:val="en-US" w:eastAsia="zh-CN" w:bidi="ar-SA"/>
        </w:rPr>
        <w:t>开幕式</w:t>
      </w:r>
      <w:r>
        <w:rPr>
          <w:rFonts w:hint="eastAsia" w:ascii="宋体" w:hAnsi="宋体" w:eastAsia="宋体" w:cs="宋体"/>
          <w:b w:val="0"/>
          <w:bCs w:val="0"/>
          <w:color w:val="auto"/>
          <w:kern w:val="2"/>
          <w:sz w:val="24"/>
          <w:szCs w:val="24"/>
          <w:highlight w:val="none"/>
          <w:lang w:val="en-US" w:eastAsia="zh-CN" w:bidi="ar-SA"/>
        </w:rPr>
        <w:t>环节执行，包括暖场节目组织、领导及嘉宾邀请与接待、体育嘉年华开幕启动仪式（含配合彩排及仪式道具控制）；</w:t>
      </w:r>
    </w:p>
    <w:p w14:paraId="65E87D66">
      <w:pPr>
        <w:pStyle w:val="43"/>
        <w:keepNext w:val="0"/>
        <w:keepLines w:val="0"/>
        <w:pageBreakBefore w:val="0"/>
        <w:widowControl w:val="0"/>
        <w:kinsoku/>
        <w:wordWrap w:val="0"/>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4.负责相关物料设计及印刷，包括邀请函、工作证件、车证、引导牌、流程手册、地贴、手举牌、致辞夹页、签到册等；</w:t>
      </w:r>
    </w:p>
    <w:p w14:paraId="79686FD0">
      <w:pPr>
        <w:pStyle w:val="43"/>
        <w:keepNext w:val="0"/>
        <w:keepLines w:val="0"/>
        <w:pageBreakBefore w:val="0"/>
        <w:widowControl w:val="0"/>
        <w:kinsoku/>
        <w:wordWrap w:val="0"/>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5.负责设备租赁及现场音视频保障，包括音响系统、无线话筒（含手持/耳麦）、大屏幕、控台、灯光系统、播放电脑、摄影摄像设备及直播推流服务；</w:t>
      </w:r>
    </w:p>
    <w:p w14:paraId="7FD9741A">
      <w:pPr>
        <w:pStyle w:val="43"/>
        <w:keepNext w:val="0"/>
        <w:keepLines w:val="0"/>
        <w:pageBreakBefore w:val="0"/>
        <w:widowControl w:val="0"/>
        <w:kinsoku/>
        <w:wordWrap w:val="0"/>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6.负责专业人员配置，包括总导演、舞台总监、主持人、音响师、灯光师、大屏播放师、摄影师、摄像师、礼仪人员及场控人员；</w:t>
      </w:r>
    </w:p>
    <w:p w14:paraId="048FDBA7">
      <w:pPr>
        <w:pStyle w:val="43"/>
        <w:keepNext w:val="0"/>
        <w:keepLines w:val="0"/>
        <w:pageBreakBefore w:val="0"/>
        <w:widowControl w:val="0"/>
        <w:kinsoku/>
        <w:wordWrap w:val="0"/>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7.负责现场医疗保障，包括配置医疗点、急救人员、急救箱及AED，处理现场突发伤病情况；</w:t>
      </w:r>
    </w:p>
    <w:p w14:paraId="6264E904">
      <w:pPr>
        <w:pStyle w:val="43"/>
        <w:keepNext w:val="0"/>
        <w:keepLines w:val="0"/>
        <w:pageBreakBefore w:val="0"/>
        <w:widowControl w:val="0"/>
        <w:kinsoku/>
        <w:wordWrap w:val="0"/>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b w:val="0"/>
          <w:bCs w:val="0"/>
          <w:color w:val="auto"/>
          <w:kern w:val="2"/>
          <w:sz w:val="24"/>
          <w:szCs w:val="24"/>
          <w:highlight w:val="none"/>
          <w:lang w:val="en-US" w:eastAsia="zh-CN" w:bidi="ar-SA"/>
        </w:rPr>
      </w:pPr>
      <w:r>
        <w:rPr>
          <w:rFonts w:hint="eastAsia" w:cs="宋体"/>
          <w:b w:val="0"/>
          <w:bCs w:val="0"/>
          <w:color w:val="auto"/>
          <w:kern w:val="2"/>
          <w:sz w:val="24"/>
          <w:szCs w:val="24"/>
          <w:highlight w:val="none"/>
          <w:lang w:val="en-US" w:eastAsia="zh-CN" w:bidi="ar-SA"/>
        </w:rPr>
        <w:t>8</w:t>
      </w:r>
      <w:r>
        <w:rPr>
          <w:rFonts w:hint="eastAsia" w:ascii="宋体" w:hAnsi="宋体" w:eastAsia="宋体" w:cs="宋体"/>
          <w:b w:val="0"/>
          <w:bCs w:val="0"/>
          <w:color w:val="auto"/>
          <w:kern w:val="2"/>
          <w:sz w:val="24"/>
          <w:szCs w:val="24"/>
          <w:highlight w:val="none"/>
          <w:lang w:val="en-US" w:eastAsia="zh-CN" w:bidi="ar-SA"/>
        </w:rPr>
        <w:t>.负责安保与人流管控，包括现场安保人员配置、入场核验、舞台周边安全管控、演员通道管理、应急疏散预案及与属地公安报备协调；</w:t>
      </w:r>
    </w:p>
    <w:p w14:paraId="11C9D072">
      <w:pPr>
        <w:pStyle w:val="43"/>
        <w:keepNext w:val="0"/>
        <w:keepLines w:val="0"/>
        <w:pageBreakBefore w:val="0"/>
        <w:widowControl w:val="0"/>
        <w:kinsoku/>
        <w:wordWrap w:val="0"/>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b w:val="0"/>
          <w:bCs w:val="0"/>
          <w:color w:val="auto"/>
          <w:kern w:val="2"/>
          <w:sz w:val="24"/>
          <w:szCs w:val="24"/>
          <w:highlight w:val="none"/>
          <w:lang w:val="en-US" w:eastAsia="zh-CN" w:bidi="ar-SA"/>
        </w:rPr>
      </w:pPr>
      <w:r>
        <w:rPr>
          <w:rFonts w:hint="eastAsia" w:cs="宋体"/>
          <w:b w:val="0"/>
          <w:bCs w:val="0"/>
          <w:color w:val="auto"/>
          <w:kern w:val="2"/>
          <w:sz w:val="24"/>
          <w:szCs w:val="24"/>
          <w:highlight w:val="none"/>
          <w:lang w:val="en-US" w:eastAsia="zh-CN" w:bidi="ar-SA"/>
        </w:rPr>
        <w:t>9</w:t>
      </w:r>
      <w:r>
        <w:rPr>
          <w:rFonts w:hint="eastAsia" w:ascii="宋体" w:hAnsi="宋体" w:eastAsia="宋体" w:cs="宋体"/>
          <w:b w:val="0"/>
          <w:bCs w:val="0"/>
          <w:color w:val="auto"/>
          <w:kern w:val="2"/>
          <w:sz w:val="24"/>
          <w:szCs w:val="24"/>
          <w:highlight w:val="none"/>
          <w:lang w:val="en-US" w:eastAsia="zh-CN" w:bidi="ar-SA"/>
        </w:rPr>
        <w:t>.负责活动传播与影像留存，包括活动预热宣传、现场花絮拍摄、快剪视频、图片拍摄等。</w:t>
      </w:r>
    </w:p>
    <w:p w14:paraId="12379655">
      <w:pPr>
        <w:pStyle w:val="43"/>
        <w:keepNext w:val="0"/>
        <w:keepLines w:val="0"/>
        <w:pageBreakBefore w:val="0"/>
        <w:widowControl w:val="0"/>
        <w:kinsoku/>
        <w:wordWrap w:val="0"/>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（七）体旅市集</w:t>
      </w:r>
    </w:p>
    <w:p w14:paraId="12F74522">
      <w:pPr>
        <w:pStyle w:val="43"/>
        <w:keepNext w:val="0"/>
        <w:keepLines w:val="0"/>
        <w:pageBreakBefore w:val="0"/>
        <w:widowControl w:val="0"/>
        <w:kinsoku/>
        <w:wordWrap w:val="0"/>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1.场地搭建与布置。搭建展位30个，提供展位门楣招牌、插排照明及桌椅，并负责物料运输、水电安装布置、值夜安保、垃圾桶与灭火器摆放等。</w:t>
      </w:r>
    </w:p>
    <w:p w14:paraId="69A0BBC4">
      <w:pPr>
        <w:pStyle w:val="43"/>
        <w:keepNext w:val="0"/>
        <w:keepLines w:val="0"/>
        <w:pageBreakBefore w:val="0"/>
        <w:widowControl w:val="0"/>
        <w:kinsoku/>
        <w:wordWrap w:val="0"/>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2.氛围营造设计。负责展位门楣招牌设计及整体氛围营造设计，需体现“潮头竞秀·海畔集珍”主题，融合海洋、体旅、赶海等元素。</w:t>
      </w:r>
    </w:p>
    <w:p w14:paraId="120C8EF0">
      <w:pPr>
        <w:pStyle w:val="43"/>
        <w:keepNext w:val="0"/>
        <w:keepLines w:val="0"/>
        <w:pageBreakBefore w:val="0"/>
        <w:widowControl w:val="0"/>
        <w:kinsoku/>
        <w:wordWrap w:val="0"/>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3.活动区域与项目组织。</w:t>
      </w:r>
    </w:p>
    <w:p w14:paraId="23D23E03">
      <w:pPr>
        <w:pStyle w:val="43"/>
        <w:keepNext w:val="0"/>
        <w:keepLines w:val="0"/>
        <w:pageBreakBefore w:val="0"/>
        <w:widowControl w:val="0"/>
        <w:kinsoku/>
        <w:wordWrap w:val="0"/>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1）海畔风物展示展销区：包含海边鲜美滋味（如海鲜制品、干货、即食海产等）、乡土特产（如本地农产品、特色产品等）及灵感文创手作（如贝壳工艺品、渔网编织品、海洋主题饰品、手绘海螺、帆布包、伴手礼等）。</w:t>
      </w:r>
    </w:p>
    <w:p w14:paraId="6A579B4A">
      <w:pPr>
        <w:pStyle w:val="43"/>
        <w:keepNext w:val="0"/>
        <w:keepLines w:val="0"/>
        <w:pageBreakBefore w:val="0"/>
        <w:widowControl w:val="0"/>
        <w:kinsoku/>
        <w:wordWrap w:val="0"/>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（2）组织沿海特色小吃（如虾籽烧饼、文蛤饼、春卷等）、老字号及地方风味美食（如醉泥螺、海蜇头、虾酱、海苔制品等）进行展销。</w:t>
      </w:r>
    </w:p>
    <w:p w14:paraId="17132192">
      <w:pPr>
        <w:pStyle w:val="43"/>
        <w:keepNext w:val="0"/>
        <w:keepLines w:val="0"/>
        <w:pageBreakBefore w:val="0"/>
        <w:widowControl w:val="0"/>
        <w:kinsoku/>
        <w:wordWrap w:val="0"/>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（3）</w:t>
      </w:r>
      <w:r>
        <w:rPr>
          <w:rFonts w:hint="eastAsia" w:cs="宋体"/>
          <w:b w:val="0"/>
          <w:bCs w:val="0"/>
          <w:color w:val="auto"/>
          <w:kern w:val="2"/>
          <w:sz w:val="24"/>
          <w:szCs w:val="24"/>
          <w:highlight w:val="none"/>
          <w:lang w:val="en-US" w:eastAsia="zh-CN" w:bidi="ar-SA"/>
        </w:rPr>
        <w:t>休闲运动</w:t>
      </w:r>
      <w:r>
        <w:rPr>
          <w:rFonts w:hint="eastAsia" w:ascii="宋体" w:hAnsi="宋体" w:eastAsia="宋体" w:cs="宋体"/>
          <w:b w:val="0"/>
          <w:bCs w:val="0"/>
          <w:color w:val="auto"/>
          <w:kern w:val="2"/>
          <w:sz w:val="24"/>
          <w:szCs w:val="24"/>
          <w:highlight w:val="none"/>
          <w:lang w:val="en-US" w:eastAsia="zh-CN" w:bidi="ar-SA"/>
        </w:rPr>
        <w:t>互动体验区</w:t>
      </w:r>
      <w:r>
        <w:rPr>
          <w:rFonts w:hint="eastAsia" w:cs="宋体"/>
          <w:b w:val="0"/>
          <w:bCs w:val="0"/>
          <w:color w:val="auto"/>
          <w:kern w:val="2"/>
          <w:sz w:val="24"/>
          <w:szCs w:val="24"/>
          <w:highlight w:val="none"/>
          <w:lang w:val="en-US" w:eastAsia="zh-CN" w:bidi="ar-SA"/>
        </w:rPr>
        <w:t>：飞盘、足球射门等小游戏</w:t>
      </w:r>
      <w:r>
        <w:rPr>
          <w:rFonts w:hint="eastAsia" w:ascii="宋体" w:hAnsi="宋体" w:eastAsia="宋体" w:cs="宋体"/>
          <w:b w:val="0"/>
          <w:bCs w:val="0"/>
          <w:color w:val="auto"/>
          <w:kern w:val="2"/>
          <w:sz w:val="24"/>
          <w:szCs w:val="24"/>
          <w:highlight w:val="none"/>
          <w:lang w:val="en-US" w:eastAsia="zh-CN" w:bidi="ar-SA"/>
        </w:rPr>
        <w:t>。</w:t>
      </w:r>
    </w:p>
    <w:p w14:paraId="0577E1CF">
      <w:pPr>
        <w:keepNext w:val="0"/>
        <w:keepLines w:val="0"/>
        <w:pageBreakBefore w:val="0"/>
        <w:widowControl w:val="0"/>
        <w:numPr>
          <w:ilvl w:val="0"/>
          <w:numId w:val="0"/>
        </w:numPr>
        <w:kinsoku/>
        <w:wordWrap w:val="0"/>
        <w:overflowPunct/>
        <w:topLinePunct w:val="0"/>
        <w:autoSpaceDE/>
        <w:autoSpaceDN/>
        <w:bidi w:val="0"/>
        <w:adjustRightInd w:val="0"/>
        <w:snapToGrid w:val="0"/>
        <w:spacing w:line="360" w:lineRule="auto"/>
        <w:ind w:firstLine="480" w:firstLineChars="200"/>
        <w:contextualSpacing/>
        <w:textAlignment w:val="auto"/>
        <w:outlineLvl w:val="1"/>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（八）苏超第二现场·户外烧烤音乐夜</w:t>
      </w:r>
    </w:p>
    <w:p w14:paraId="46BBE7A4">
      <w:pPr>
        <w:pStyle w:val="43"/>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1.场地搭建</w:t>
      </w:r>
    </w:p>
    <w:p w14:paraId="4F842683">
      <w:pPr>
        <w:pStyle w:val="43"/>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（1）功能区规划：合理划分核心观赛区、烧烤美食区、音乐演出舞台区、互动抽奖区、休息区、医疗点等。</w:t>
      </w:r>
    </w:p>
    <w:p w14:paraId="58050DFE">
      <w:pPr>
        <w:pStyle w:val="43"/>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（2）观赛大屏搭建：搭建专业级户外高清LED大屏，确保画面清晰、视角良好，配套环绕音响系统，实现赛事全程直播。</w:t>
      </w:r>
    </w:p>
    <w:p w14:paraId="75F61043">
      <w:pPr>
        <w:pStyle w:val="43"/>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（3）氛围布置：围绕足球主题和活动主题进行场地美陈设计，设置足球主题打卡点、合影背景墙等。</w:t>
      </w:r>
    </w:p>
    <w:p w14:paraId="1F705DFB">
      <w:pPr>
        <w:pStyle w:val="43"/>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（4）配套设施：核心观赛区</w:t>
      </w:r>
      <w:r>
        <w:rPr>
          <w:rFonts w:hint="eastAsia" w:cs="宋体"/>
          <w:color w:val="auto"/>
          <w:sz w:val="24"/>
          <w:szCs w:val="24"/>
          <w:highlight w:val="none"/>
          <w:lang w:val="en-US" w:eastAsia="zh-CN"/>
        </w:rPr>
        <w:t>配备相关桌</w:t>
      </w:r>
      <w:r>
        <w:rPr>
          <w:rFonts w:hint="eastAsia" w:ascii="宋体" w:hAnsi="宋体" w:eastAsia="宋体" w:cs="宋体"/>
          <w:color w:val="auto"/>
          <w:sz w:val="24"/>
          <w:szCs w:val="24"/>
          <w:highlight w:val="none"/>
          <w:lang w:val="en-US" w:eastAsia="zh-CN"/>
        </w:rPr>
        <w:t>椅、照明设施、临时厕所、垃圾分类回收点等。</w:t>
      </w:r>
    </w:p>
    <w:p w14:paraId="4902525F">
      <w:pPr>
        <w:pStyle w:val="43"/>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2.餐饮服务</w:t>
      </w:r>
    </w:p>
    <w:p w14:paraId="25319D2D">
      <w:pPr>
        <w:pStyle w:val="43"/>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（1）烧烤美食区运营：提供烧烤、小龙虾、精酿啤酒、饮料、如东本土小吃等。</w:t>
      </w:r>
    </w:p>
    <w:p w14:paraId="2CBE900B">
      <w:pPr>
        <w:pStyle w:val="43"/>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（2）食品安全管理：确保食材新鲜卫生，符合食品安全相关法规要求，并及时向相关部门报备。</w:t>
      </w:r>
    </w:p>
    <w:p w14:paraId="470DEFAA">
      <w:pPr>
        <w:pStyle w:val="43"/>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3.信号保障：确保苏超赛事高清直播信号稳定接入，实现大屏实时同步赛场画面。</w:t>
      </w:r>
    </w:p>
    <w:p w14:paraId="4A2D016F">
      <w:pPr>
        <w:keepNext w:val="0"/>
        <w:keepLines w:val="0"/>
        <w:pageBreakBefore w:val="0"/>
        <w:widowControl w:val="0"/>
        <w:suppressLineNumbers w:val="0"/>
        <w:kinsoku/>
        <w:wordWrap w:val="0"/>
        <w:overflowPunct/>
        <w:topLinePunct w:val="0"/>
        <w:autoSpaceDE/>
        <w:autoSpaceDN/>
        <w:bidi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cs="宋体"/>
          <w:color w:val="auto"/>
          <w:kern w:val="0"/>
          <w:sz w:val="24"/>
          <w:szCs w:val="24"/>
          <w:highlight w:val="none"/>
          <w:lang w:val="en-US" w:eastAsia="zh-CN" w:bidi="ar"/>
        </w:rPr>
        <w:t>（九）</w:t>
      </w:r>
      <w:r>
        <w:rPr>
          <w:rFonts w:hint="eastAsia" w:ascii="宋体" w:hAnsi="宋体" w:eastAsia="宋体" w:cs="宋体"/>
          <w:color w:val="auto"/>
          <w:kern w:val="0"/>
          <w:sz w:val="24"/>
          <w:szCs w:val="24"/>
          <w:highlight w:val="none"/>
          <w:lang w:val="en-US" w:eastAsia="zh-CN" w:bidi="ar"/>
        </w:rPr>
        <w:t xml:space="preserve">其他要求 </w:t>
      </w:r>
    </w:p>
    <w:p w14:paraId="252186B8">
      <w:pPr>
        <w:keepNext w:val="0"/>
        <w:keepLines w:val="0"/>
        <w:pageBreakBefore w:val="0"/>
        <w:widowControl w:val="0"/>
        <w:suppressLineNumbers w:val="0"/>
        <w:kinsoku/>
        <w:wordWrap w:val="0"/>
        <w:overflowPunct/>
        <w:topLinePunct w:val="0"/>
        <w:autoSpaceDE/>
        <w:autoSpaceDN/>
        <w:bidi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（1）活动搭建所用材料应符合国家相关规定，不得使用劣质材料。整个活动期间， </w:t>
      </w:r>
    </w:p>
    <w:p w14:paraId="260C8520">
      <w:pPr>
        <w:keepNext w:val="0"/>
        <w:keepLines w:val="0"/>
        <w:pageBreakBefore w:val="0"/>
        <w:widowControl w:val="0"/>
        <w:suppressLineNumbers w:val="0"/>
        <w:kinsoku/>
        <w:wordWrap w:val="0"/>
        <w:overflowPunct/>
        <w:topLinePunct w:val="0"/>
        <w:autoSpaceDE/>
        <w:autoSpaceDN/>
        <w:bidi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引发的安全事故，均由供应商承担，甲方概不负责。 </w:t>
      </w:r>
    </w:p>
    <w:p w14:paraId="172B00B2">
      <w:pPr>
        <w:keepNext w:val="0"/>
        <w:keepLines w:val="0"/>
        <w:pageBreakBefore w:val="0"/>
        <w:widowControl w:val="0"/>
        <w:suppressLineNumbers w:val="0"/>
        <w:kinsoku/>
        <w:wordWrap w:val="0"/>
        <w:overflowPunct/>
        <w:topLinePunct w:val="0"/>
        <w:autoSpaceDE/>
        <w:autoSpaceDN/>
        <w:bidi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（2）活动搭建舞台及展台设计应充分考虑风、雨等自然现象对展台带来的不安全因素。 </w:t>
      </w:r>
    </w:p>
    <w:p w14:paraId="31D424B1">
      <w:pPr>
        <w:keepNext w:val="0"/>
        <w:keepLines w:val="0"/>
        <w:pageBreakBefore w:val="0"/>
        <w:widowControl w:val="0"/>
        <w:suppressLineNumbers w:val="0"/>
        <w:kinsoku/>
        <w:wordWrap w:val="0"/>
        <w:overflowPunct/>
        <w:topLinePunct w:val="0"/>
        <w:autoSpaceDE/>
        <w:autoSpaceDN/>
        <w:bidi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（3）室外安装灯具、插座及配电盘等用电器应选用防雨型。室外用电设备应有可靠防雨措施及漏电保护装置。 </w:t>
      </w:r>
    </w:p>
    <w:p w14:paraId="0E352AF0">
      <w:pPr>
        <w:keepNext w:val="0"/>
        <w:keepLines w:val="0"/>
        <w:pageBreakBefore w:val="0"/>
        <w:widowControl w:val="0"/>
        <w:suppressLineNumbers w:val="0"/>
        <w:kinsoku/>
        <w:wordWrap w:val="0"/>
        <w:overflowPunct/>
        <w:topLinePunct w:val="0"/>
        <w:autoSpaceDE/>
        <w:autoSpaceDN/>
        <w:bidi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（4）室外展台应确保展台整体结构的强度、刚度、稳定性以及局部稳定性。即：不能出现可变体系，在荷载作用下(主要是风荷载)，不能产生过大的变形。所设计的结构强度应当满足各种荷载所需要的强度。 </w:t>
      </w:r>
    </w:p>
    <w:p w14:paraId="4B14C214">
      <w:pPr>
        <w:keepNext w:val="0"/>
        <w:keepLines w:val="0"/>
        <w:pageBreakBefore w:val="0"/>
        <w:widowControl w:val="0"/>
        <w:suppressLineNumbers w:val="0"/>
        <w:kinsoku/>
        <w:wordWrap w:val="0"/>
        <w:overflowPunct/>
        <w:topLinePunct w:val="0"/>
        <w:autoSpaceDE/>
        <w:autoSpaceDN/>
        <w:bidi w:val="0"/>
        <w:adjustRightInd w:val="0"/>
        <w:snapToGrid w:val="0"/>
        <w:spacing w:line="360" w:lineRule="auto"/>
        <w:ind w:left="0" w:leftChars="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（5）供应商有人员负责每场活动现场管理工作；经甲方确认同意后，供应商可适当开展营销、展览等商业性促销活动。 </w:t>
      </w:r>
    </w:p>
    <w:p w14:paraId="2541BA29">
      <w:pPr>
        <w:keepNext w:val="0"/>
        <w:keepLines w:val="0"/>
        <w:pageBreakBefore w:val="0"/>
        <w:widowControl w:val="0"/>
        <w:suppressLineNumbers w:val="0"/>
        <w:kinsoku/>
        <w:wordWrap w:val="0"/>
        <w:overflowPunct/>
        <w:topLinePunct w:val="0"/>
        <w:autoSpaceDE/>
        <w:autoSpaceDN/>
        <w:bidi w:val="0"/>
        <w:adjustRightInd w:val="0"/>
        <w:snapToGrid w:val="0"/>
        <w:spacing w:line="360" w:lineRule="auto"/>
        <w:ind w:left="0" w:leftChars="0" w:firstLine="480" w:firstLineChars="200"/>
        <w:jc w:val="left"/>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（6）供应商须负责活动现场管理并承担演出期间的安全生产责任，同时具有完善的安全保卫工作方案、灭火、应急疏散预案和风险管理方案。</w:t>
      </w:r>
    </w:p>
    <w:p w14:paraId="73367F7A">
      <w:pPr>
        <w:pStyle w:val="125"/>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（7）供应商须负责配合满足甲方合理范围内对项目内容的适当调整。</w:t>
      </w:r>
    </w:p>
    <w:p w14:paraId="10D178B9">
      <w:pPr>
        <w:keepNext w:val="0"/>
        <w:keepLines w:val="0"/>
        <w:pageBreakBefore w:val="0"/>
        <w:kinsoku/>
        <w:overflowPunct/>
        <w:topLinePunct w:val="0"/>
        <w:autoSpaceDE/>
        <w:autoSpaceDN/>
        <w:bidi w:val="0"/>
        <w:spacing w:line="360" w:lineRule="auto"/>
        <w:ind w:firstLine="482" w:firstLineChars="200"/>
        <w:contextualSpacing/>
        <w:outlineLvl w:val="1"/>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rPr>
        <w:t>二、合同金额</w:t>
      </w:r>
      <w:r>
        <w:rPr>
          <w:rFonts w:hint="eastAsia" w:ascii="宋体" w:hAnsi="宋体" w:eastAsia="宋体" w:cs="宋体"/>
          <w:b/>
          <w:color w:val="auto"/>
          <w:sz w:val="24"/>
          <w:szCs w:val="24"/>
          <w:highlight w:val="none"/>
          <w:lang w:val="en-US" w:eastAsia="zh-CN"/>
        </w:rPr>
        <w:t>及付款</w:t>
      </w:r>
    </w:p>
    <w:p w14:paraId="4F26AE7F">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contextualSpacing/>
        <w:textAlignment w:val="auto"/>
        <w:outlineLvl w:val="1"/>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b/>
          <w:color w:val="auto"/>
          <w:sz w:val="24"/>
          <w:highlight w:val="none"/>
        </w:rPr>
        <w:t>本合同总价款为</w:t>
      </w:r>
      <w:r>
        <w:rPr>
          <w:rFonts w:hint="eastAsia" w:ascii="宋体" w:hAnsi="宋体" w:eastAsia="宋体" w:cs="宋体"/>
          <w:b/>
          <w:color w:val="auto"/>
          <w:sz w:val="24"/>
          <w:highlight w:val="none"/>
          <w:lang w:val="en-US" w:eastAsia="zh-CN"/>
        </w:rPr>
        <w:t>人民币</w:t>
      </w:r>
      <w:r>
        <w:rPr>
          <w:rFonts w:hint="eastAsia" w:ascii="宋体" w:hAnsi="宋体" w:eastAsia="宋体" w:cs="宋体"/>
          <w:b/>
          <w:color w:val="auto"/>
          <w:sz w:val="24"/>
          <w:highlight w:val="none"/>
          <w:u w:val="single"/>
          <w:lang w:val="en-US" w:eastAsia="zh-CN"/>
        </w:rPr>
        <w:t xml:space="preserve">           </w:t>
      </w:r>
      <w:r>
        <w:rPr>
          <w:rFonts w:hint="eastAsia" w:ascii="宋体" w:hAnsi="宋体" w:eastAsia="宋体" w:cs="宋体"/>
          <w:b/>
          <w:color w:val="auto"/>
          <w:sz w:val="24"/>
          <w:highlight w:val="none"/>
        </w:rPr>
        <w:t>。</w:t>
      </w:r>
      <w:r>
        <w:rPr>
          <w:rFonts w:hint="eastAsia" w:ascii="宋体" w:hAnsi="宋体" w:eastAsia="宋体" w:cs="宋体"/>
          <w:color w:val="auto"/>
          <w:kern w:val="2"/>
          <w:sz w:val="24"/>
          <w:szCs w:val="24"/>
          <w:highlight w:val="none"/>
          <w:lang w:val="en-US" w:eastAsia="zh-CN" w:bidi="ar-SA"/>
        </w:rPr>
        <w:t>包含优质完成本项目所需全部费用，包括但不限于完成该项工作所需全部的人员费用、用餐费、用水费、交通费、后勤保障、设施工具及其人工、运输、仓储、劳务支出、场地保险、人员保险、配套费用等各种税费及政策性文件规定及合同包含的所有风险、责任等各项应有费用、法定税金、利润等与履行合同有关的一切费用以及合同明示或暗示的所有一般风险责任和义务费用。</w:t>
      </w:r>
    </w:p>
    <w:p w14:paraId="6CE8E990">
      <w:pPr>
        <w:pStyle w:val="43"/>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 w:val="0"/>
          <w:bCs w:val="0"/>
          <w:i w:val="0"/>
          <w:caps w:val="0"/>
          <w:color w:val="auto"/>
          <w:spacing w:val="0"/>
          <w:w w:val="100"/>
          <w:sz w:val="24"/>
          <w:szCs w:val="24"/>
          <w:highlight w:val="none"/>
          <w:lang w:val="en-US" w:eastAsia="zh-CN"/>
        </w:rPr>
      </w:pPr>
      <w:r>
        <w:rPr>
          <w:rFonts w:hint="eastAsia" w:ascii="宋体" w:hAnsi="宋体" w:eastAsia="宋体" w:cs="宋体"/>
          <w:color w:val="auto"/>
          <w:kern w:val="0"/>
          <w:sz w:val="24"/>
          <w:szCs w:val="24"/>
          <w:highlight w:val="none"/>
          <w:lang w:val="en-US" w:eastAsia="zh-CN" w:bidi="ar"/>
        </w:rPr>
        <w:t>合同签订后支付合同金额的15%，活动全部完成结束、乙方提交活动结案报告并经甲方验收合格</w:t>
      </w:r>
      <w:r>
        <w:rPr>
          <w:rFonts w:hint="eastAsia" w:cs="宋体"/>
          <w:color w:val="auto"/>
          <w:kern w:val="0"/>
          <w:sz w:val="24"/>
          <w:szCs w:val="24"/>
          <w:highlight w:val="none"/>
          <w:lang w:val="en-US" w:eastAsia="zh-CN" w:bidi="ar"/>
        </w:rPr>
        <w:t>且审计结束后</w:t>
      </w:r>
      <w:r>
        <w:rPr>
          <w:rFonts w:hint="eastAsia" w:ascii="宋体" w:hAnsi="宋体" w:eastAsia="宋体" w:cs="宋体"/>
          <w:color w:val="auto"/>
          <w:kern w:val="0"/>
          <w:sz w:val="24"/>
          <w:szCs w:val="24"/>
          <w:highlight w:val="none"/>
          <w:lang w:val="en-US" w:eastAsia="zh-CN" w:bidi="ar"/>
        </w:rPr>
        <w:t>后支付剩余应付合同款项（若活动未实施，则扣除对应合同款项）</w:t>
      </w:r>
      <w:r>
        <w:rPr>
          <w:rFonts w:hint="eastAsia" w:ascii="宋体" w:hAnsi="宋体" w:eastAsia="宋体" w:cs="宋体"/>
          <w:b w:val="0"/>
          <w:bCs w:val="0"/>
          <w:i w:val="0"/>
          <w:caps w:val="0"/>
          <w:color w:val="auto"/>
          <w:spacing w:val="0"/>
          <w:w w:val="100"/>
          <w:sz w:val="24"/>
          <w:szCs w:val="24"/>
          <w:highlight w:val="none"/>
          <w:lang w:val="en-US" w:eastAsia="zh-CN"/>
        </w:rPr>
        <w:t>，甲方付款前乙方需按甲方要求提供足额的增值税发票。</w:t>
      </w:r>
    </w:p>
    <w:p w14:paraId="19AB6226">
      <w:pPr>
        <w:pStyle w:val="43"/>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乙方账户名称：</w:t>
      </w:r>
    </w:p>
    <w:p w14:paraId="0A601128">
      <w:pPr>
        <w:pStyle w:val="43"/>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 xml:space="preserve">开户行： </w:t>
      </w:r>
    </w:p>
    <w:p w14:paraId="2E31E47C">
      <w:pPr>
        <w:pStyle w:val="43"/>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账号：</w:t>
      </w:r>
    </w:p>
    <w:p w14:paraId="3B5CF9CA">
      <w:pPr>
        <w:pStyle w:val="127"/>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三、合同期限</w:t>
      </w:r>
    </w:p>
    <w:p w14:paraId="404ABD54">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contextualSpacing/>
        <w:textAlignment w:val="auto"/>
        <w:outlineLvl w:val="1"/>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 服务期限：自合同签署生效之日起至乙方提供所有服务工作结束并通过甲方验收时止.</w:t>
      </w:r>
    </w:p>
    <w:p w14:paraId="4638B276">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contextualSpacing/>
        <w:textAlignment w:val="auto"/>
        <w:outlineLvl w:val="1"/>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2、服务地点：甲方指定地点。</w:t>
      </w:r>
    </w:p>
    <w:p w14:paraId="3739B19F">
      <w:pPr>
        <w:pStyle w:val="23"/>
        <w:adjustRightInd w:val="0"/>
        <w:snapToGrid w:val="0"/>
        <w:spacing w:line="360" w:lineRule="auto"/>
        <w:ind w:firstLine="482" w:firstLineChars="200"/>
        <w:rPr>
          <w:rFonts w:hint="eastAsia" w:hAnsi="宋体"/>
          <w:color w:val="auto"/>
          <w:sz w:val="24"/>
          <w:szCs w:val="24"/>
          <w:highlight w:val="none"/>
        </w:rPr>
      </w:pPr>
      <w:r>
        <w:rPr>
          <w:rFonts w:hint="eastAsia" w:hAnsi="宋体"/>
          <w:b/>
          <w:color w:val="auto"/>
          <w:sz w:val="24"/>
          <w:szCs w:val="24"/>
          <w:highlight w:val="none"/>
          <w:lang w:val="en-US" w:eastAsia="zh-CN"/>
        </w:rPr>
        <w:t>四、</w:t>
      </w:r>
      <w:r>
        <w:rPr>
          <w:rFonts w:hint="eastAsia" w:hAnsi="宋体"/>
          <w:b/>
          <w:color w:val="auto"/>
          <w:sz w:val="24"/>
          <w:szCs w:val="24"/>
          <w:highlight w:val="none"/>
        </w:rPr>
        <w:t>履约担保：</w:t>
      </w:r>
      <w:r>
        <w:rPr>
          <w:rFonts w:hint="eastAsia" w:hAnsi="宋体" w:cs="宋体"/>
          <w:color w:val="auto"/>
          <w:sz w:val="24"/>
          <w:szCs w:val="24"/>
          <w:highlight w:val="none"/>
        </w:rPr>
        <w:t>乙方在签订合同前，需向甲方缴纳合同价的5%（即人民币</w:t>
      </w:r>
      <w:r>
        <w:rPr>
          <w:rFonts w:hint="eastAsia" w:hAnsi="宋体" w:cs="宋体"/>
          <w:color w:val="auto"/>
          <w:sz w:val="24"/>
          <w:szCs w:val="24"/>
          <w:highlight w:val="none"/>
          <w:lang w:val="en-US" w:eastAsia="zh-CN"/>
        </w:rPr>
        <w:t xml:space="preserve">    </w:t>
      </w:r>
      <w:r>
        <w:rPr>
          <w:rFonts w:hint="eastAsia" w:hAnsi="宋体" w:cs="宋体"/>
          <w:color w:val="auto"/>
          <w:sz w:val="24"/>
          <w:szCs w:val="24"/>
          <w:highlight w:val="none"/>
        </w:rPr>
        <w:t>元）作为履约保证金。履约保证金缴纳至甲方指定的收款账户</w:t>
      </w:r>
      <w:r>
        <w:rPr>
          <w:rFonts w:hint="eastAsia" w:ascii="宋体" w:hAnsi="宋体" w:cs="宋体"/>
          <w:b w:val="0"/>
          <w:bCs/>
          <w:color w:val="auto"/>
          <w:kern w:val="0"/>
          <w:sz w:val="24"/>
          <w:highlight w:val="none"/>
          <w:lang w:bidi="ar"/>
        </w:rPr>
        <w:t>【开户名：</w:t>
      </w:r>
      <w:r>
        <w:rPr>
          <w:rFonts w:hint="eastAsia" w:ascii="宋体" w:hAnsi="宋体" w:cs="宋体"/>
          <w:b w:val="0"/>
          <w:bCs/>
          <w:color w:val="auto"/>
          <w:kern w:val="0"/>
          <w:sz w:val="24"/>
          <w:highlight w:val="none"/>
          <w:lang w:val="en-US" w:eastAsia="zh-CN" w:bidi="ar"/>
        </w:rPr>
        <w:t xml:space="preserve"> 江苏省如东小洋口旅游度假区管理办公室财政局</w:t>
      </w:r>
      <w:r>
        <w:rPr>
          <w:rFonts w:hint="eastAsia" w:ascii="宋体" w:hAnsi="宋体" w:cs="宋体"/>
          <w:b w:val="0"/>
          <w:bCs/>
          <w:color w:val="auto"/>
          <w:kern w:val="0"/>
          <w:sz w:val="24"/>
          <w:highlight w:val="none"/>
          <w:lang w:bidi="ar"/>
        </w:rPr>
        <w:t>；开户行：</w:t>
      </w:r>
      <w:r>
        <w:rPr>
          <w:rFonts w:hint="eastAsia" w:ascii="宋体" w:hAnsi="宋体" w:cs="宋体"/>
          <w:b w:val="0"/>
          <w:bCs/>
          <w:color w:val="auto"/>
          <w:kern w:val="0"/>
          <w:sz w:val="24"/>
          <w:highlight w:val="none"/>
          <w:lang w:val="en-US" w:eastAsia="zh-CN" w:bidi="ar"/>
        </w:rPr>
        <w:t xml:space="preserve">江苏如东农村商业银行股份有限公司洋口支行 </w:t>
      </w:r>
      <w:r>
        <w:rPr>
          <w:rFonts w:hint="eastAsia" w:ascii="宋体" w:hAnsi="宋体" w:cs="宋体"/>
          <w:b w:val="0"/>
          <w:bCs/>
          <w:color w:val="auto"/>
          <w:kern w:val="0"/>
          <w:sz w:val="24"/>
          <w:highlight w:val="none"/>
          <w:lang w:bidi="ar"/>
        </w:rPr>
        <w:t>；账号：</w:t>
      </w:r>
      <w:r>
        <w:rPr>
          <w:rFonts w:hint="eastAsia" w:ascii="宋体" w:hAnsi="宋体" w:cs="宋体"/>
          <w:b w:val="0"/>
          <w:bCs/>
          <w:color w:val="auto"/>
          <w:kern w:val="0"/>
          <w:sz w:val="24"/>
          <w:highlight w:val="none"/>
          <w:lang w:val="en-US" w:eastAsia="zh-CN" w:bidi="ar"/>
        </w:rPr>
        <w:t xml:space="preserve">3206233801201000049640 </w:t>
      </w:r>
      <w:r>
        <w:rPr>
          <w:rFonts w:hint="eastAsia" w:ascii="宋体" w:hAnsi="宋体" w:cs="宋体"/>
          <w:b w:val="0"/>
          <w:bCs/>
          <w:color w:val="auto"/>
          <w:kern w:val="0"/>
          <w:sz w:val="24"/>
          <w:highlight w:val="none"/>
          <w:lang w:bidi="ar"/>
        </w:rPr>
        <w:t>】</w:t>
      </w:r>
      <w:r>
        <w:rPr>
          <w:rFonts w:hint="eastAsia" w:hAnsi="宋体" w:cs="宋体"/>
          <w:color w:val="auto"/>
          <w:sz w:val="24"/>
          <w:szCs w:val="24"/>
          <w:highlight w:val="none"/>
        </w:rPr>
        <w:t>。履约保证金在全部服务完成且无质量问题或无违约责任后无息退还。</w:t>
      </w:r>
    </w:p>
    <w:p w14:paraId="68337A6F">
      <w:pPr>
        <w:pStyle w:val="127"/>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b/>
          <w:color w:val="auto"/>
          <w:sz w:val="24"/>
          <w:szCs w:val="24"/>
          <w:highlight w:val="none"/>
        </w:rPr>
      </w:pPr>
      <w:r>
        <w:rPr>
          <w:rFonts w:hint="eastAsia" w:ascii="宋体" w:hAnsi="宋体" w:cs="宋体"/>
          <w:b/>
          <w:color w:val="auto"/>
          <w:sz w:val="24"/>
          <w:szCs w:val="24"/>
          <w:highlight w:val="none"/>
          <w:lang w:val="en-US" w:eastAsia="zh-CN"/>
        </w:rPr>
        <w:t>五</w:t>
      </w:r>
      <w:r>
        <w:rPr>
          <w:rFonts w:hint="eastAsia" w:ascii="宋体" w:hAnsi="宋体" w:eastAsia="宋体" w:cs="宋体"/>
          <w:b/>
          <w:color w:val="auto"/>
          <w:sz w:val="24"/>
          <w:szCs w:val="24"/>
          <w:highlight w:val="none"/>
        </w:rPr>
        <w:t>、违约条款</w:t>
      </w:r>
    </w:p>
    <w:p w14:paraId="0A7D859A">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contextualSpacing/>
        <w:textAlignment w:val="auto"/>
        <w:outlineLvl w:val="1"/>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除不可抗力因素或甲方过错外，如乙方发生违约（包括但不限于乙方不按期完成合同约定的内容），乙方须退还甲方全部已付款项并按合同总金额的15%支付违约金，该违约金无法弥补甲方损失（包括但不限于行政罚款、第三方索赔、另行寻找其他方服务的费用）的，乙方应予补足。</w:t>
      </w:r>
    </w:p>
    <w:p w14:paraId="5095C890">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contextualSpacing/>
        <w:textAlignment w:val="auto"/>
        <w:outlineLvl w:val="1"/>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非因甲方原因，乙方不履行本合同规定的义务，未按计划完成工作的，每逾期一天，乙方应按本合同总金额的0.5%向甲方支付违约金，逾期超过【5】天，甲方有权单方解除合同，乙方须退还甲方全部已付款项并按合同总金额的15%支付违约金，并赔偿甲方因此遭受的一切损失（包括但不限于行政罚款、第三方索赔、另行寻找其他方服务的费用）。</w:t>
      </w:r>
    </w:p>
    <w:p w14:paraId="3D5CD50F">
      <w:pPr>
        <w:pStyle w:val="43"/>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乙方承诺其以及其安排的工作人员具有履行本合同的合法资质，且若有相关规定本合同项下活动需备案的，由乙方负责按规定完成相关活动备案，否则，甲方有权单方解除本合同，乙方应退还甲方全部已付款项并按本合同总金额的10%向甲方支付违约金并赔偿甲方损失。</w:t>
      </w:r>
    </w:p>
    <w:p w14:paraId="63B907C9">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contextualSpacing/>
        <w:textAlignment w:val="auto"/>
        <w:outlineLvl w:val="1"/>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4、本项目不得转让、分包，如有发生，无条件清理乙方退场，所造成的一切损失由乙方负责。</w:t>
      </w:r>
    </w:p>
    <w:p w14:paraId="51360F44">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contextualSpacing/>
        <w:textAlignment w:val="auto"/>
        <w:outlineLvl w:val="1"/>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5、甲方按合同约定的时间和方式向乙方支付合同款。</w:t>
      </w:r>
    </w:p>
    <w:p w14:paraId="328CE703">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contextualSpacing/>
        <w:textAlignment w:val="auto"/>
        <w:outlineLvl w:val="1"/>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6、甲方因自身过错未按合同要求支付合同款的，每逾期一日，应以逾期付款金额为基数按全国银行间同业拆借中心公布的贷款市场报价利率计算并支付违约金。</w:t>
      </w:r>
    </w:p>
    <w:p w14:paraId="2757009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contextualSpacing/>
        <w:textAlignment w:val="auto"/>
        <w:outlineLvl w:val="1"/>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7、任何一方违反合同约定，另一方均有权要求其赔偿因违约造成的损失；双方另有约定的除外。</w:t>
      </w:r>
    </w:p>
    <w:p w14:paraId="226E7191">
      <w:pPr>
        <w:pStyle w:val="127"/>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b/>
          <w:color w:val="auto"/>
          <w:sz w:val="24"/>
          <w:szCs w:val="24"/>
          <w:highlight w:val="none"/>
        </w:rPr>
      </w:pPr>
      <w:r>
        <w:rPr>
          <w:rFonts w:hint="eastAsia" w:ascii="宋体" w:hAnsi="宋体" w:cs="宋体"/>
          <w:b/>
          <w:color w:val="auto"/>
          <w:sz w:val="24"/>
          <w:szCs w:val="24"/>
          <w:highlight w:val="none"/>
          <w:lang w:val="en-US" w:eastAsia="zh-CN"/>
        </w:rPr>
        <w:t>六</w:t>
      </w:r>
      <w:r>
        <w:rPr>
          <w:rFonts w:hint="eastAsia" w:ascii="宋体" w:hAnsi="宋体" w:eastAsia="宋体" w:cs="宋体"/>
          <w:b/>
          <w:color w:val="auto"/>
          <w:sz w:val="24"/>
          <w:szCs w:val="24"/>
          <w:highlight w:val="none"/>
        </w:rPr>
        <w:t xml:space="preserve">、组成本合同的文件包括 </w:t>
      </w:r>
    </w:p>
    <w:p w14:paraId="442D7426">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contextualSpacing/>
        <w:textAlignment w:val="auto"/>
        <w:outlineLvl w:val="1"/>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 xml:space="preserve">1、本合同条款； </w:t>
      </w:r>
    </w:p>
    <w:p w14:paraId="5E1C647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contextualSpacing/>
        <w:textAlignment w:val="auto"/>
        <w:outlineLvl w:val="1"/>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 xml:space="preserve">2、本合同的政府采购文件和乙方应标文件； </w:t>
      </w:r>
    </w:p>
    <w:p w14:paraId="22052E1D">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contextualSpacing/>
        <w:textAlignment w:val="auto"/>
        <w:outlineLvl w:val="1"/>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 xml:space="preserve">3、本合同在采购过程中甲、乙双方签署的全部文字和图片资料； </w:t>
      </w:r>
    </w:p>
    <w:p w14:paraId="1C2BAD95">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contextualSpacing/>
        <w:textAlignment w:val="auto"/>
        <w:outlineLvl w:val="1"/>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4、甲、乙双方其它约定事宜。</w:t>
      </w:r>
    </w:p>
    <w:p w14:paraId="1783C7DC">
      <w:pPr>
        <w:pStyle w:val="127"/>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b/>
          <w:color w:val="auto"/>
          <w:sz w:val="24"/>
          <w:szCs w:val="24"/>
          <w:highlight w:val="none"/>
        </w:rPr>
      </w:pPr>
      <w:r>
        <w:rPr>
          <w:rFonts w:hint="eastAsia" w:ascii="宋体" w:hAnsi="宋体" w:cs="宋体"/>
          <w:b/>
          <w:color w:val="auto"/>
          <w:sz w:val="24"/>
          <w:szCs w:val="24"/>
          <w:highlight w:val="none"/>
          <w:lang w:val="en-US" w:eastAsia="zh-CN"/>
        </w:rPr>
        <w:t>七</w:t>
      </w:r>
      <w:r>
        <w:rPr>
          <w:rFonts w:hint="eastAsia" w:ascii="宋体" w:hAnsi="宋体" w:eastAsia="宋体" w:cs="宋体"/>
          <w:b/>
          <w:color w:val="auto"/>
          <w:sz w:val="24"/>
          <w:szCs w:val="24"/>
          <w:highlight w:val="none"/>
        </w:rPr>
        <w:t>、合同生效及审核</w:t>
      </w:r>
    </w:p>
    <w:p w14:paraId="632B1321">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contextualSpacing/>
        <w:textAlignment w:val="auto"/>
        <w:outlineLvl w:val="1"/>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本合同经甲方、乙方签章后生效。</w:t>
      </w:r>
    </w:p>
    <w:p w14:paraId="04CA70E2">
      <w:pPr>
        <w:pStyle w:val="127"/>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b/>
          <w:color w:val="auto"/>
          <w:sz w:val="24"/>
          <w:szCs w:val="24"/>
          <w:highlight w:val="none"/>
        </w:rPr>
      </w:pPr>
      <w:r>
        <w:rPr>
          <w:rFonts w:hint="eastAsia" w:ascii="宋体" w:hAnsi="宋体" w:cs="宋体"/>
          <w:b/>
          <w:color w:val="auto"/>
          <w:sz w:val="24"/>
          <w:szCs w:val="24"/>
          <w:highlight w:val="none"/>
          <w:lang w:val="en-US" w:eastAsia="zh-CN"/>
        </w:rPr>
        <w:t>八</w:t>
      </w:r>
      <w:r>
        <w:rPr>
          <w:rFonts w:hint="eastAsia" w:ascii="宋体" w:hAnsi="宋体" w:eastAsia="宋体" w:cs="宋体"/>
          <w:b/>
          <w:color w:val="auto"/>
          <w:sz w:val="24"/>
          <w:szCs w:val="24"/>
          <w:highlight w:val="none"/>
        </w:rPr>
        <w:t>、合同争议</w:t>
      </w:r>
    </w:p>
    <w:p w14:paraId="74BC58BB">
      <w:pPr>
        <w:pStyle w:val="129"/>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甲乙双方应通过友好协商，解决在执行本合同中所发生的或与本合同有关的一切争议。如果协商仍得不到解决，任何一方均可向甲方所在地人民法院起诉。因诉讼而产生的费用（包括但不限于诉讼费、保全及其担保费、鉴定/评估费、合理的律师费等）均由违约方承担。</w:t>
      </w:r>
    </w:p>
    <w:p w14:paraId="68430BF6">
      <w:pPr>
        <w:pStyle w:val="127"/>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b/>
          <w:color w:val="auto"/>
          <w:sz w:val="24"/>
          <w:szCs w:val="24"/>
          <w:highlight w:val="none"/>
        </w:rPr>
      </w:pPr>
      <w:r>
        <w:rPr>
          <w:rFonts w:hint="eastAsia" w:ascii="宋体" w:hAnsi="宋体" w:cs="宋体"/>
          <w:b/>
          <w:color w:val="auto"/>
          <w:sz w:val="24"/>
          <w:szCs w:val="24"/>
          <w:highlight w:val="none"/>
          <w:lang w:val="en-US" w:eastAsia="zh-CN"/>
        </w:rPr>
        <w:t>九</w:t>
      </w:r>
      <w:r>
        <w:rPr>
          <w:rFonts w:hint="eastAsia" w:ascii="宋体" w:hAnsi="宋体" w:eastAsia="宋体" w:cs="宋体"/>
          <w:b/>
          <w:color w:val="auto"/>
          <w:sz w:val="24"/>
          <w:szCs w:val="24"/>
          <w:highlight w:val="none"/>
        </w:rPr>
        <w:t>、送达</w:t>
      </w:r>
    </w:p>
    <w:p w14:paraId="79221308">
      <w:pPr>
        <w:pStyle w:val="129"/>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甲乙双方共同确认本合同</w:t>
      </w:r>
      <w:r>
        <w:rPr>
          <w:rFonts w:hint="eastAsia" w:ascii="宋体" w:hAnsi="宋体" w:cs="宋体"/>
          <w:color w:val="auto"/>
          <w:kern w:val="2"/>
          <w:sz w:val="24"/>
          <w:szCs w:val="24"/>
          <w:highlight w:val="none"/>
          <w:lang w:val="en-US" w:eastAsia="zh-CN" w:bidi="ar-SA"/>
        </w:rPr>
        <w:t>首</w:t>
      </w:r>
      <w:r>
        <w:rPr>
          <w:rFonts w:hint="eastAsia" w:ascii="宋体" w:hAnsi="宋体" w:eastAsia="宋体" w:cs="宋体"/>
          <w:color w:val="auto"/>
          <w:kern w:val="2"/>
          <w:sz w:val="24"/>
          <w:szCs w:val="24"/>
          <w:highlight w:val="none"/>
          <w:lang w:val="en-US" w:eastAsia="zh-CN" w:bidi="ar-SA"/>
        </w:rPr>
        <w:t>部所载明的地址，为甲乙双方有效的送达地址。今后凡与本合同项下有关的文书函件以及相关法律文书、诉讼文书送达地址均以此为准。甲乙双方承诺在地址发生变更时，应及时通知对方，否则因地址不准确，或地址变更后未及时书面告知合同相对方，导致合同往来文书函件及法律文书被拒绝签收、无法送达等情形的，应自行承担有效送达的法律后果。</w:t>
      </w:r>
    </w:p>
    <w:p w14:paraId="57E2667C">
      <w:pPr>
        <w:pStyle w:val="127"/>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b/>
          <w:color w:val="auto"/>
          <w:sz w:val="24"/>
          <w:szCs w:val="24"/>
          <w:highlight w:val="none"/>
        </w:rPr>
      </w:pPr>
      <w:r>
        <w:rPr>
          <w:rFonts w:hint="eastAsia" w:ascii="宋体" w:hAnsi="宋体" w:cs="宋体"/>
          <w:b/>
          <w:color w:val="auto"/>
          <w:sz w:val="24"/>
          <w:szCs w:val="24"/>
          <w:highlight w:val="none"/>
          <w:lang w:val="en-US" w:eastAsia="zh-CN"/>
        </w:rPr>
        <w:t>十</w:t>
      </w:r>
      <w:r>
        <w:rPr>
          <w:rFonts w:hint="eastAsia" w:ascii="宋体" w:hAnsi="宋体" w:eastAsia="宋体" w:cs="宋体"/>
          <w:b/>
          <w:color w:val="auto"/>
          <w:sz w:val="24"/>
          <w:szCs w:val="24"/>
          <w:highlight w:val="none"/>
        </w:rPr>
        <w:t>、适用法律</w:t>
      </w:r>
    </w:p>
    <w:p w14:paraId="72487119">
      <w:pPr>
        <w:pStyle w:val="127"/>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本合同应按照中华人民共和国的现行法律进行解释。</w:t>
      </w:r>
    </w:p>
    <w:p w14:paraId="68D7E82C">
      <w:pPr>
        <w:pStyle w:val="127"/>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b/>
          <w:color w:val="auto"/>
          <w:sz w:val="24"/>
          <w:szCs w:val="24"/>
          <w:highlight w:val="none"/>
        </w:rPr>
      </w:pPr>
      <w:r>
        <w:rPr>
          <w:rFonts w:hint="eastAsia" w:ascii="宋体" w:hAnsi="宋体" w:cs="宋体"/>
          <w:b/>
          <w:color w:val="auto"/>
          <w:sz w:val="24"/>
          <w:szCs w:val="24"/>
          <w:highlight w:val="none"/>
          <w:lang w:val="en-US" w:eastAsia="zh-CN"/>
        </w:rPr>
        <w:t>十一</w:t>
      </w:r>
      <w:r>
        <w:rPr>
          <w:rFonts w:hint="eastAsia" w:ascii="宋体" w:hAnsi="宋体" w:eastAsia="宋体" w:cs="宋体"/>
          <w:b/>
          <w:color w:val="auto"/>
          <w:sz w:val="24"/>
          <w:szCs w:val="24"/>
          <w:highlight w:val="none"/>
        </w:rPr>
        <w:t>、合同份数</w:t>
      </w:r>
    </w:p>
    <w:p w14:paraId="0A22A5A7">
      <w:pPr>
        <w:pStyle w:val="127"/>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本合同一式陆份，甲乙双方签章后各执叁份。</w:t>
      </w:r>
    </w:p>
    <w:p w14:paraId="273372E8">
      <w:pPr>
        <w:pStyle w:val="127"/>
        <w:keepNext w:val="0"/>
        <w:keepLines w:val="0"/>
        <w:pageBreakBefore w:val="0"/>
        <w:kinsoku/>
        <w:overflowPunct/>
        <w:topLinePunct w:val="0"/>
        <w:autoSpaceDE/>
        <w:autoSpaceDN/>
        <w:bidi w:val="0"/>
        <w:spacing w:line="360" w:lineRule="auto"/>
        <w:ind w:firstLine="240" w:firstLineChars="100"/>
        <w:rPr>
          <w:rFonts w:hint="eastAsia" w:ascii="宋体" w:hAnsi="宋体" w:eastAsia="宋体" w:cs="宋体"/>
          <w:color w:val="auto"/>
          <w:sz w:val="24"/>
          <w:szCs w:val="24"/>
          <w:highlight w:val="none"/>
        </w:rPr>
      </w:pPr>
    </w:p>
    <w:p w14:paraId="4494F944">
      <w:pPr>
        <w:pStyle w:val="127"/>
        <w:keepNext w:val="0"/>
        <w:keepLines w:val="0"/>
        <w:pageBreakBefore w:val="0"/>
        <w:kinsoku/>
        <w:overflowPunct/>
        <w:topLinePunct w:val="0"/>
        <w:autoSpaceDE/>
        <w:autoSpaceDN/>
        <w:bidi w:val="0"/>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甲方：</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 xml:space="preserve">盖章）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乙方：（盖章）            </w:t>
      </w:r>
    </w:p>
    <w:p w14:paraId="00D55728">
      <w:pPr>
        <w:pStyle w:val="130"/>
        <w:keepNext w:val="0"/>
        <w:keepLines w:val="0"/>
        <w:pageBreakBefore w:val="0"/>
        <w:widowControl/>
        <w:kinsoku/>
        <w:overflowPunct/>
        <w:topLinePunct w:val="0"/>
        <w:autoSpaceDE/>
        <w:autoSpaceDN/>
        <w:bidi w:val="0"/>
        <w:spacing w:before="19" w:line="360" w:lineRule="auto"/>
        <w:ind w:firstLine="2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14:paraId="28F654C4">
      <w:pPr>
        <w:pStyle w:val="130"/>
        <w:keepNext w:val="0"/>
        <w:keepLines w:val="0"/>
        <w:pageBreakBefore w:val="0"/>
        <w:widowControl/>
        <w:kinsoku/>
        <w:overflowPunct/>
        <w:topLinePunct w:val="0"/>
        <w:autoSpaceDE/>
        <w:autoSpaceDN/>
        <w:bidi w:val="0"/>
        <w:spacing w:before="19"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法定（授权）代表人：                        法定（授权）代表人：                                                                                         </w:t>
      </w:r>
    </w:p>
    <w:p w14:paraId="1EFAED9D">
      <w:pPr>
        <w:keepNext w:val="0"/>
        <w:keepLines w:val="0"/>
        <w:pageBreakBefore w:val="0"/>
        <w:kinsoku/>
        <w:overflowPunct/>
        <w:topLinePunct w:val="0"/>
        <w:autoSpaceDE/>
        <w:autoSpaceDN/>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202</w:t>
      </w:r>
      <w:r>
        <w:rPr>
          <w:rFonts w:hint="eastAsia" w:ascii="宋体" w:hAnsi="宋体" w:eastAsia="宋体" w:cs="宋体"/>
          <w:color w:val="auto"/>
          <w:sz w:val="24"/>
          <w:highlight w:val="none"/>
          <w:lang w:val="en-US" w:eastAsia="zh-CN"/>
        </w:rPr>
        <w:t>6</w:t>
      </w:r>
      <w:r>
        <w:rPr>
          <w:rFonts w:hint="eastAsia" w:ascii="宋体" w:hAnsi="宋体" w:eastAsia="宋体" w:cs="宋体"/>
          <w:color w:val="auto"/>
          <w:sz w:val="24"/>
          <w:highlight w:val="none"/>
        </w:rPr>
        <w:t>年    月    日                           202</w:t>
      </w:r>
      <w:r>
        <w:rPr>
          <w:rFonts w:hint="eastAsia" w:ascii="宋体" w:hAnsi="宋体" w:eastAsia="宋体" w:cs="宋体"/>
          <w:color w:val="auto"/>
          <w:sz w:val="24"/>
          <w:highlight w:val="none"/>
          <w:lang w:val="en-US" w:eastAsia="zh-CN"/>
        </w:rPr>
        <w:t>6</w:t>
      </w:r>
      <w:r>
        <w:rPr>
          <w:rFonts w:hint="eastAsia" w:ascii="宋体" w:hAnsi="宋体" w:eastAsia="宋体" w:cs="宋体"/>
          <w:color w:val="auto"/>
          <w:sz w:val="24"/>
          <w:highlight w:val="none"/>
        </w:rPr>
        <w:t xml:space="preserve">年    月    日 </w:t>
      </w:r>
    </w:p>
    <w:p w14:paraId="5C3CD990">
      <w:pPr>
        <w:keepNext w:val="0"/>
        <w:keepLines w:val="0"/>
        <w:pageBreakBefore w:val="0"/>
        <w:kinsoku/>
        <w:overflowPunct/>
        <w:topLinePunct w:val="0"/>
        <w:autoSpaceDE/>
        <w:autoSpaceDN/>
        <w:bidi w:val="0"/>
        <w:spacing w:line="360" w:lineRule="auto"/>
        <w:rPr>
          <w:rFonts w:hint="eastAsia" w:ascii="宋体" w:hAnsi="宋体" w:eastAsia="宋体" w:cs="宋体"/>
          <w:color w:val="auto"/>
          <w:sz w:val="24"/>
          <w:highlight w:val="none"/>
        </w:rPr>
      </w:pPr>
    </w:p>
    <w:p w14:paraId="07263A8E">
      <w:pPr>
        <w:keepNext w:val="0"/>
        <w:keepLines w:val="0"/>
        <w:pageBreakBefore w:val="0"/>
        <w:kinsoku/>
        <w:overflowPunct/>
        <w:topLinePunct w:val="0"/>
        <w:autoSpaceDE/>
        <w:autoSpaceDN/>
        <w:bidi w:val="0"/>
        <w:spacing w:line="360" w:lineRule="auto"/>
        <w:rPr>
          <w:rFonts w:hint="eastAsia" w:ascii="宋体" w:hAnsi="宋体" w:eastAsia="宋体" w:cs="宋体"/>
          <w:color w:val="auto"/>
          <w:sz w:val="24"/>
          <w:highlight w:val="none"/>
        </w:rPr>
      </w:pPr>
    </w:p>
    <w:p w14:paraId="6E0A5E7B">
      <w:pPr>
        <w:keepNext w:val="0"/>
        <w:keepLines w:val="0"/>
        <w:pageBreakBefore w:val="0"/>
        <w:kinsoku/>
        <w:overflowPunct/>
        <w:topLinePunct w:val="0"/>
        <w:autoSpaceDE/>
        <w:autoSpaceDN/>
        <w:bidi w:val="0"/>
        <w:spacing w:line="360" w:lineRule="auto"/>
        <w:rPr>
          <w:rFonts w:hint="eastAsia" w:ascii="宋体" w:hAnsi="宋体" w:eastAsia="宋体" w:cs="宋体"/>
          <w:color w:val="auto"/>
          <w:sz w:val="24"/>
          <w:highlight w:val="none"/>
        </w:rPr>
      </w:pPr>
    </w:p>
    <w:p w14:paraId="18A28BD8">
      <w:pPr>
        <w:keepNext w:val="0"/>
        <w:keepLines w:val="0"/>
        <w:pageBreakBefore w:val="0"/>
        <w:kinsoku/>
        <w:overflowPunct/>
        <w:topLinePunct w:val="0"/>
        <w:autoSpaceDE/>
        <w:autoSpaceDN/>
        <w:bidi w:val="0"/>
        <w:spacing w:line="360" w:lineRule="auto"/>
        <w:rPr>
          <w:rFonts w:hint="eastAsia" w:ascii="宋体" w:hAnsi="宋体" w:eastAsia="宋体" w:cs="宋体"/>
          <w:color w:val="auto"/>
          <w:sz w:val="24"/>
          <w:highlight w:val="none"/>
        </w:rPr>
      </w:pPr>
    </w:p>
    <w:p w14:paraId="24A96280">
      <w:pPr>
        <w:keepNext w:val="0"/>
        <w:keepLines w:val="0"/>
        <w:pageBreakBefore w:val="0"/>
        <w:kinsoku/>
        <w:overflowPunct/>
        <w:topLinePunct w:val="0"/>
        <w:autoSpaceDE/>
        <w:autoSpaceDN/>
        <w:bidi w:val="0"/>
        <w:spacing w:line="360" w:lineRule="auto"/>
        <w:rPr>
          <w:rFonts w:hint="eastAsia" w:ascii="宋体" w:hAnsi="宋体" w:eastAsia="宋体" w:cs="宋体"/>
          <w:color w:val="auto"/>
          <w:sz w:val="24"/>
          <w:highlight w:val="none"/>
        </w:rPr>
      </w:pPr>
    </w:p>
    <w:p w14:paraId="451FAF3A">
      <w:pPr>
        <w:keepNext w:val="0"/>
        <w:keepLines w:val="0"/>
        <w:pageBreakBefore w:val="0"/>
        <w:kinsoku/>
        <w:overflowPunct/>
        <w:topLinePunct w:val="0"/>
        <w:autoSpaceDE/>
        <w:autoSpaceDN/>
        <w:bidi w:val="0"/>
        <w:spacing w:line="360" w:lineRule="auto"/>
        <w:rPr>
          <w:rFonts w:hint="eastAsia" w:ascii="宋体" w:hAnsi="宋体" w:eastAsia="宋体" w:cs="宋体"/>
          <w:color w:val="auto"/>
          <w:sz w:val="24"/>
          <w:highlight w:val="none"/>
        </w:rPr>
      </w:pPr>
    </w:p>
    <w:p w14:paraId="35469879">
      <w:pPr>
        <w:keepNext w:val="0"/>
        <w:keepLines w:val="0"/>
        <w:pageBreakBefore w:val="0"/>
        <w:kinsoku/>
        <w:overflowPunct/>
        <w:topLinePunct w:val="0"/>
        <w:autoSpaceDE/>
        <w:autoSpaceDN/>
        <w:bidi w:val="0"/>
        <w:spacing w:line="360" w:lineRule="auto"/>
        <w:rPr>
          <w:rFonts w:hint="eastAsia" w:ascii="宋体" w:hAnsi="宋体" w:eastAsia="宋体" w:cs="宋体"/>
          <w:color w:val="auto"/>
          <w:sz w:val="24"/>
          <w:highlight w:val="none"/>
        </w:rPr>
      </w:pPr>
    </w:p>
    <w:p w14:paraId="2A85D3B1">
      <w:pPr>
        <w:keepNext w:val="0"/>
        <w:keepLines w:val="0"/>
        <w:pageBreakBefore w:val="0"/>
        <w:kinsoku/>
        <w:overflowPunct/>
        <w:topLinePunct w:val="0"/>
        <w:autoSpaceDE/>
        <w:autoSpaceDN/>
        <w:bidi w:val="0"/>
        <w:spacing w:line="360" w:lineRule="auto"/>
        <w:rPr>
          <w:rFonts w:hint="eastAsia" w:ascii="宋体" w:hAnsi="宋体" w:eastAsia="宋体" w:cs="宋体"/>
          <w:color w:val="auto"/>
          <w:sz w:val="24"/>
          <w:highlight w:val="none"/>
        </w:rPr>
      </w:pPr>
    </w:p>
    <w:p w14:paraId="6B15B286">
      <w:pPr>
        <w:keepNext w:val="0"/>
        <w:keepLines w:val="0"/>
        <w:pageBreakBefore w:val="0"/>
        <w:kinsoku/>
        <w:overflowPunct/>
        <w:topLinePunct w:val="0"/>
        <w:autoSpaceDE/>
        <w:autoSpaceDN/>
        <w:bidi w:val="0"/>
        <w:spacing w:line="360" w:lineRule="auto"/>
        <w:rPr>
          <w:rFonts w:hint="eastAsia" w:ascii="宋体" w:hAnsi="宋体" w:eastAsia="宋体" w:cs="宋体"/>
          <w:color w:val="auto"/>
          <w:sz w:val="24"/>
          <w:highlight w:val="none"/>
        </w:rPr>
      </w:pPr>
    </w:p>
    <w:p w14:paraId="637792F4">
      <w:pPr>
        <w:keepNext w:val="0"/>
        <w:keepLines w:val="0"/>
        <w:pageBreakBefore w:val="0"/>
        <w:kinsoku/>
        <w:overflowPunct/>
        <w:topLinePunct w:val="0"/>
        <w:autoSpaceDE/>
        <w:autoSpaceDN/>
        <w:bidi w:val="0"/>
        <w:spacing w:line="360" w:lineRule="auto"/>
        <w:rPr>
          <w:rFonts w:hint="eastAsia" w:ascii="宋体" w:hAnsi="宋体" w:eastAsia="宋体" w:cs="宋体"/>
          <w:color w:val="auto"/>
          <w:sz w:val="24"/>
          <w:highlight w:val="none"/>
        </w:rPr>
      </w:pPr>
    </w:p>
    <w:bookmarkEnd w:id="166"/>
    <w:bookmarkEnd w:id="167"/>
    <w:bookmarkEnd w:id="168"/>
    <w:p w14:paraId="1EA44EE9">
      <w:pPr>
        <w:keepNext/>
        <w:keepLines w:val="0"/>
        <w:pageBreakBefore w:val="0"/>
        <w:widowControl w:val="0"/>
        <w:kinsoku/>
        <w:topLinePunct w:val="0"/>
        <w:autoSpaceDE/>
        <w:autoSpaceDN/>
        <w:bidi w:val="0"/>
        <w:adjustRightInd w:val="0"/>
        <w:snapToGrid w:val="0"/>
        <w:spacing w:line="360" w:lineRule="auto"/>
        <w:ind w:firstLine="723" w:firstLineChars="200"/>
        <w:jc w:val="center"/>
        <w:textAlignment w:val="auto"/>
        <w:outlineLvl w:val="0"/>
        <w:rPr>
          <w:rFonts w:hint="eastAsia" w:ascii="宋体" w:hAnsi="宋体" w:eastAsia="宋体" w:cs="宋体"/>
          <w:b/>
          <w:bCs/>
          <w:color w:val="auto"/>
          <w:sz w:val="36"/>
          <w:szCs w:val="36"/>
          <w:highlight w:val="none"/>
        </w:rPr>
      </w:pPr>
      <w:bookmarkStart w:id="169" w:name="_Hlt16619350"/>
      <w:bookmarkStart w:id="170" w:name="_Toc20823346"/>
      <w:bookmarkStart w:id="171" w:name="_Toc16938590"/>
      <w:bookmarkStart w:id="172" w:name="_Toc120614244"/>
      <w:bookmarkStart w:id="173" w:name="_Toc462564139"/>
      <w:bookmarkStart w:id="174" w:name="_Toc479757211"/>
      <w:r>
        <w:rPr>
          <w:rFonts w:hint="eastAsia" w:ascii="宋体" w:hAnsi="宋体" w:eastAsia="宋体" w:cs="宋体"/>
          <w:b/>
          <w:bCs/>
          <w:color w:val="auto"/>
          <w:sz w:val="36"/>
          <w:szCs w:val="36"/>
          <w:highlight w:val="none"/>
        </w:rPr>
        <w:t>第</w:t>
      </w:r>
      <w:bookmarkEnd w:id="169"/>
      <w:r>
        <w:rPr>
          <w:rFonts w:hint="eastAsia" w:ascii="宋体" w:hAnsi="宋体" w:eastAsia="宋体" w:cs="宋体"/>
          <w:b/>
          <w:bCs/>
          <w:color w:val="auto"/>
          <w:sz w:val="36"/>
          <w:szCs w:val="36"/>
          <w:highlight w:val="none"/>
        </w:rPr>
        <w:t>四章 采购需求</w:t>
      </w:r>
      <w:bookmarkEnd w:id="170"/>
      <w:bookmarkEnd w:id="171"/>
      <w:bookmarkEnd w:id="172"/>
      <w:bookmarkStart w:id="175" w:name="_Toc26554093"/>
      <w:bookmarkStart w:id="176" w:name="_Toc49090575"/>
    </w:p>
    <w:p w14:paraId="0E7BE567">
      <w:pPr>
        <w:keepNext w:val="0"/>
        <w:keepLines w:val="0"/>
        <w:pageBreakBefore w:val="0"/>
        <w:widowControl w:val="0"/>
        <w:kinsoku/>
        <w:wordWrap w:val="0"/>
        <w:overflowPunct w:val="0"/>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供应商在制作响应文件时仔细研究采购需求说明。采购需求包括技术要求和商务要求:</w:t>
      </w:r>
    </w:p>
    <w:p w14:paraId="56EC268B">
      <w:pPr>
        <w:keepNext w:val="0"/>
        <w:keepLines w:val="0"/>
        <w:pageBreakBefore w:val="0"/>
        <w:widowControl w:val="0"/>
        <w:kinsoku/>
        <w:wordWrap w:val="0"/>
        <w:overflowPunct w:val="0"/>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b/>
          <w:i/>
          <w:iCs/>
          <w:color w:val="auto"/>
          <w:sz w:val="24"/>
          <w:szCs w:val="24"/>
          <w:highlight w:val="none"/>
          <w:u w:val="single"/>
        </w:rPr>
      </w:pPr>
      <w:r>
        <w:rPr>
          <w:rFonts w:hint="eastAsia" w:ascii="宋体" w:hAnsi="宋体" w:eastAsia="宋体" w:cs="宋体"/>
          <w:bCs/>
          <w:color w:val="auto"/>
          <w:sz w:val="24"/>
          <w:szCs w:val="24"/>
          <w:highlight w:val="none"/>
        </w:rPr>
        <w:t>技术要求是指对采购标的功能和质量要求，包括性能、材料、结构、外观、安全，或者服务内容和标准等。</w:t>
      </w:r>
    </w:p>
    <w:p w14:paraId="614458B4">
      <w:pPr>
        <w:keepNext w:val="0"/>
        <w:keepLines w:val="0"/>
        <w:pageBreakBefore w:val="0"/>
        <w:widowControl w:val="0"/>
        <w:kinsoku/>
        <w:wordWrap w:val="0"/>
        <w:overflowPunct w:val="0"/>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商务要求是指取得采购标的的时间、地点、财务和服务要求，包括交付（实施）的时间（期限）和地点（范围），付款条件（进度和方法），包装和运输，售后服务，保险等。</w:t>
      </w:r>
    </w:p>
    <w:p w14:paraId="31829626">
      <w:pPr>
        <w:keepNext w:val="0"/>
        <w:keepLines w:val="0"/>
        <w:pageBreakBefore w:val="0"/>
        <w:widowControl w:val="0"/>
        <w:kinsoku/>
        <w:wordWrap w:val="0"/>
        <w:overflowPunct w:val="0"/>
        <w:topLinePunct w:val="0"/>
        <w:autoSpaceDE/>
        <w:autoSpaceDN/>
        <w:bidi w:val="0"/>
        <w:adjustRightInd w:val="0"/>
        <w:snapToGrid w:val="0"/>
        <w:spacing w:line="360" w:lineRule="auto"/>
        <w:ind w:firstLine="482" w:firstLineChars="200"/>
        <w:jc w:val="left"/>
        <w:textAlignment w:val="auto"/>
        <w:rPr>
          <w:rFonts w:hint="eastAsia" w:ascii="宋体" w:hAnsi="宋体" w:eastAsia="宋体" w:cs="宋体"/>
          <w:b/>
          <w:color w:val="auto"/>
          <w:sz w:val="24"/>
          <w:szCs w:val="24"/>
          <w:highlight w:val="none"/>
          <w:lang w:val="zh-CN"/>
        </w:rPr>
      </w:pPr>
      <w:r>
        <w:rPr>
          <w:rFonts w:hint="eastAsia" w:ascii="宋体" w:hAnsi="宋体" w:eastAsia="宋体" w:cs="宋体"/>
          <w:b/>
          <w:color w:val="auto"/>
          <w:sz w:val="24"/>
          <w:szCs w:val="24"/>
          <w:highlight w:val="none"/>
          <w:lang w:val="en-US" w:eastAsia="zh-CN"/>
        </w:rPr>
        <w:t xml:space="preserve"> </w:t>
      </w:r>
      <w:r>
        <w:rPr>
          <w:rFonts w:hint="eastAsia" w:ascii="宋体" w:hAnsi="宋体" w:eastAsia="宋体" w:cs="宋体"/>
          <w:b/>
          <w:color w:val="auto"/>
          <w:sz w:val="24"/>
          <w:szCs w:val="24"/>
          <w:highlight w:val="none"/>
          <w:lang w:val="zh-CN"/>
        </w:rPr>
        <w:t>有关要求说明</w:t>
      </w:r>
    </w:p>
    <w:p w14:paraId="1925EF5A">
      <w:pPr>
        <w:keepNext w:val="0"/>
        <w:keepLines w:val="0"/>
        <w:pageBreakBefore w:val="0"/>
        <w:widowControl w:val="0"/>
        <w:kinsoku/>
        <w:wordWrap w:val="0"/>
        <w:overflowPunct w:val="0"/>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t>服务要求：供应商提供的服务人员必须是响应文件中所承诺的，杜绝采用分包、转包或挂靠单位人员。采购人发现提供服务的技术人员不能满足项目需求的，有权要求成交供应商按照承诺配备或更换相应资格的技术人员，且未经采购人同意不得随意私自更换技术人员。</w:t>
      </w:r>
    </w:p>
    <w:p w14:paraId="7DF7A908">
      <w:pPr>
        <w:keepNext w:val="0"/>
        <w:keepLines w:val="0"/>
        <w:pageBreakBefore w:val="0"/>
        <w:widowControl w:val="0"/>
        <w:kinsoku/>
        <w:wordWrap w:val="0"/>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b/>
          <w:bCs/>
          <w:color w:val="auto"/>
          <w:sz w:val="24"/>
          <w:szCs w:val="24"/>
          <w:highlight w:val="none"/>
        </w:rPr>
      </w:pPr>
      <w:bookmarkStart w:id="177" w:name="_Toc120614281"/>
      <w:r>
        <w:rPr>
          <w:rFonts w:hint="eastAsia" w:ascii="宋体" w:hAnsi="宋体" w:eastAsia="宋体" w:cs="宋体"/>
          <w:b/>
          <w:bCs/>
          <w:color w:val="auto"/>
          <w:sz w:val="24"/>
          <w:szCs w:val="24"/>
          <w:highlight w:val="none"/>
        </w:rPr>
        <w:t>一、项目名称</w:t>
      </w:r>
    </w:p>
    <w:p w14:paraId="56DA0AEB">
      <w:pPr>
        <w:keepLines w:val="0"/>
        <w:pageBreakBefore w:val="0"/>
        <w:widowControl w:val="0"/>
        <w:kinsoku/>
        <w:wordWrap/>
        <w:overflowPunct/>
        <w:topLinePunct w:val="0"/>
        <w:autoSpaceDE/>
        <w:autoSpaceDN/>
        <w:bidi w:val="0"/>
        <w:adjustRightInd w:val="0"/>
        <w:snapToGrid w:val="0"/>
        <w:spacing w:line="360" w:lineRule="auto"/>
        <w:ind w:firstLine="480" w:firstLineChars="200"/>
        <w:contextualSpacing/>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2026年如东小洋口第四届体育嘉年华服务项目</w:t>
      </w:r>
    </w:p>
    <w:p w14:paraId="1746FD6D">
      <w:pPr>
        <w:keepNext w:val="0"/>
        <w:keepLines w:val="0"/>
        <w:pageBreakBefore w:val="0"/>
        <w:widowControl w:val="0"/>
        <w:kinsoku/>
        <w:wordWrap w:val="0"/>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二、活动目的</w:t>
      </w:r>
    </w:p>
    <w:p w14:paraId="2E1A0401">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202</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年如东小洋口第</w:t>
      </w:r>
      <w:r>
        <w:rPr>
          <w:rFonts w:hint="eastAsia" w:ascii="宋体" w:hAnsi="宋体" w:eastAsia="宋体" w:cs="宋体"/>
          <w:color w:val="auto"/>
          <w:sz w:val="24"/>
          <w:szCs w:val="24"/>
          <w:highlight w:val="none"/>
          <w:lang w:val="en-US" w:eastAsia="zh-CN"/>
        </w:rPr>
        <w:t>四</w:t>
      </w:r>
      <w:r>
        <w:rPr>
          <w:rFonts w:hint="eastAsia" w:ascii="宋体" w:hAnsi="宋体" w:eastAsia="宋体" w:cs="宋体"/>
          <w:color w:val="auto"/>
          <w:sz w:val="24"/>
          <w:szCs w:val="24"/>
          <w:highlight w:val="none"/>
        </w:rPr>
        <w:t>届体育嘉年华坚持体育牵引、文化赋能、旅游带动，围绕“水陆空联动、文体旅共融”核心理念，以自行车、垂钓、风筝、龙舟等多元赛事为载体，构建立体化赛事体系。通过多项目联动引爆热潮、融合创新激发消费动能，打造沉浸式运动体验，推动文体旅商深度融合，全面彰显小洋口全域运动魅力，赋能区域文体旅产业提质升级。</w:t>
      </w:r>
    </w:p>
    <w:p w14:paraId="0859B13F">
      <w:pPr>
        <w:keepNext w:val="0"/>
        <w:keepLines w:val="0"/>
        <w:pageBreakBefore w:val="0"/>
        <w:widowControl w:val="0"/>
        <w:kinsoku/>
        <w:wordWrap w:val="0"/>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三、活动信息</w:t>
      </w:r>
    </w:p>
    <w:p w14:paraId="6AFB80B1">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（一）时间：2026 年 5月16日（周六）- 5月17日（周日）每日8:00-21:00（</w:t>
      </w:r>
      <w:r>
        <w:rPr>
          <w:rFonts w:hint="eastAsia" w:ascii="宋体" w:hAnsi="宋体" w:cs="宋体"/>
          <w:color w:val="auto"/>
          <w:sz w:val="24"/>
          <w:szCs w:val="24"/>
          <w:highlight w:val="none"/>
          <w:lang w:val="en-US" w:eastAsia="zh-CN"/>
        </w:rPr>
        <w:t>具体</w:t>
      </w:r>
      <w:r>
        <w:rPr>
          <w:rFonts w:hint="eastAsia" w:ascii="宋体" w:hAnsi="宋体" w:eastAsia="宋体" w:cs="宋体"/>
          <w:color w:val="auto"/>
          <w:sz w:val="24"/>
          <w:szCs w:val="24"/>
          <w:highlight w:val="none"/>
          <w:lang w:val="en-US" w:eastAsia="zh-CN"/>
        </w:rPr>
        <w:t>根据活动需要实时调整）。</w:t>
      </w:r>
    </w:p>
    <w:p w14:paraId="43D22A0D">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contextualSpacing/>
        <w:textAlignment w:val="auto"/>
        <w:outlineLvl w:val="1"/>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（二）地点：如东小洋口旅游度假区</w:t>
      </w:r>
    </w:p>
    <w:p w14:paraId="1EE99A2E">
      <w:pPr>
        <w:keepNext w:val="0"/>
        <w:keepLines w:val="0"/>
        <w:pageBreakBefore w:val="0"/>
        <w:widowControl w:val="0"/>
        <w:kinsoku/>
        <w:wordWrap w:val="0"/>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b/>
          <w:bCs/>
          <w:color w:val="auto"/>
          <w:sz w:val="24"/>
          <w:szCs w:val="24"/>
          <w:highlight w:val="none"/>
          <w:lang w:val="en-US" w:eastAsia="zh-CN" w:bidi="ar-SA"/>
        </w:rPr>
      </w:pPr>
      <w:r>
        <w:rPr>
          <w:rFonts w:hint="eastAsia" w:ascii="宋体" w:hAnsi="宋体" w:eastAsia="宋体" w:cs="宋体"/>
          <w:b/>
          <w:bCs/>
          <w:color w:val="auto"/>
          <w:sz w:val="24"/>
          <w:szCs w:val="24"/>
          <w:highlight w:val="none"/>
          <w:lang w:val="en-US" w:eastAsia="zh-CN" w:bidi="ar-SA"/>
        </w:rPr>
        <w:t>四、采购</w:t>
      </w:r>
      <w:r>
        <w:rPr>
          <w:rFonts w:hint="eastAsia" w:ascii="宋体" w:hAnsi="宋体" w:eastAsia="宋体" w:cs="宋体"/>
          <w:b/>
          <w:bCs/>
          <w:color w:val="auto"/>
          <w:sz w:val="24"/>
          <w:szCs w:val="24"/>
          <w:highlight w:val="none"/>
          <w:lang w:val="en-US" w:eastAsia="zh-CN"/>
        </w:rPr>
        <w:t>内容</w:t>
      </w:r>
    </w:p>
    <w:p w14:paraId="33A1448B">
      <w:pPr>
        <w:keepNext w:val="0"/>
        <w:keepLines w:val="0"/>
        <w:pageBreakBefore w:val="0"/>
        <w:widowControl w:val="0"/>
        <w:numPr>
          <w:ilvl w:val="0"/>
          <w:numId w:val="0"/>
        </w:numPr>
        <w:kinsoku/>
        <w:wordWrap w:val="0"/>
        <w:overflowPunct/>
        <w:topLinePunct w:val="0"/>
        <w:autoSpaceDE/>
        <w:autoSpaceDN/>
        <w:bidi w:val="0"/>
        <w:adjustRightInd w:val="0"/>
        <w:snapToGrid w:val="0"/>
        <w:spacing w:line="360" w:lineRule="auto"/>
        <w:ind w:firstLine="480" w:firstLineChars="200"/>
        <w:contextualSpacing/>
        <w:textAlignment w:val="auto"/>
        <w:outlineLvl w:val="1"/>
        <w:rPr>
          <w:rFonts w:hint="eastAsia" w:ascii="宋体" w:hAnsi="宋体" w:eastAsia="宋体" w:cs="宋体"/>
          <w:b w:val="0"/>
          <w:bCs w:val="0"/>
          <w:color w:val="auto"/>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bidi="ar-SA"/>
        </w:rPr>
        <w:t>2026年如东小洋口第四届体育嘉年华，包括龙舟赛、骑行赛、特色风筝展演、体旅市集、垂钓赛、跳绳项目比赛、体育嘉年华开幕式、苏超观赛夜及节目表演等项目的活动策划、组织、（场地）规划布置、器材物料、人员服务、安保、医疗保障、宣传推广的采购项目。</w:t>
      </w:r>
    </w:p>
    <w:p w14:paraId="48717190">
      <w:pPr>
        <w:keepNext w:val="0"/>
        <w:keepLines w:val="0"/>
        <w:pageBreakBefore w:val="0"/>
        <w:widowControl w:val="0"/>
        <w:numPr>
          <w:ilvl w:val="0"/>
          <w:numId w:val="0"/>
        </w:numPr>
        <w:kinsoku/>
        <w:wordWrap w:val="0"/>
        <w:overflowPunct/>
        <w:topLinePunct w:val="0"/>
        <w:autoSpaceDE/>
        <w:autoSpaceDN/>
        <w:bidi w:val="0"/>
        <w:adjustRightInd w:val="0"/>
        <w:snapToGrid w:val="0"/>
        <w:spacing w:line="360" w:lineRule="auto"/>
        <w:ind w:firstLine="482" w:firstLineChars="200"/>
        <w:contextualSpacing/>
        <w:textAlignment w:val="auto"/>
        <w:outlineLvl w:val="1"/>
        <w:rPr>
          <w:rFonts w:hint="eastAsia" w:ascii="宋体" w:hAnsi="宋体" w:eastAsia="宋体" w:cs="宋体"/>
          <w:b/>
          <w:bCs/>
          <w:color w:val="auto"/>
          <w:sz w:val="24"/>
          <w:szCs w:val="24"/>
          <w:highlight w:val="none"/>
          <w:lang w:val="en-US" w:eastAsia="zh-CN" w:bidi="ar-SA"/>
        </w:rPr>
      </w:pPr>
      <w:r>
        <w:rPr>
          <w:rFonts w:hint="eastAsia" w:ascii="宋体" w:hAnsi="宋体" w:cs="宋体"/>
          <w:b/>
          <w:bCs/>
          <w:color w:val="auto"/>
          <w:kern w:val="2"/>
          <w:sz w:val="24"/>
          <w:szCs w:val="24"/>
          <w:highlight w:val="none"/>
          <w:lang w:val="en-US" w:eastAsia="zh-CN" w:bidi="ar-SA"/>
        </w:rPr>
        <w:t>五</w:t>
      </w:r>
      <w:r>
        <w:rPr>
          <w:rFonts w:hint="eastAsia" w:ascii="宋体" w:hAnsi="宋体" w:eastAsia="宋体" w:cs="宋体"/>
          <w:b/>
          <w:bCs/>
          <w:color w:val="auto"/>
          <w:kern w:val="2"/>
          <w:sz w:val="24"/>
          <w:szCs w:val="24"/>
          <w:highlight w:val="none"/>
          <w:lang w:val="en-US" w:eastAsia="zh-CN" w:bidi="ar-SA"/>
        </w:rPr>
        <w:t>、</w:t>
      </w:r>
      <w:r>
        <w:rPr>
          <w:rFonts w:hint="eastAsia" w:ascii="宋体" w:hAnsi="宋体" w:eastAsia="宋体" w:cs="宋体"/>
          <w:b/>
          <w:bCs/>
          <w:color w:val="auto"/>
          <w:sz w:val="24"/>
          <w:szCs w:val="24"/>
          <w:highlight w:val="none"/>
          <w:lang w:val="en-US" w:eastAsia="zh-CN" w:bidi="ar-SA"/>
        </w:rPr>
        <w:t>服务要求</w:t>
      </w:r>
    </w:p>
    <w:p w14:paraId="6915525C">
      <w:pPr>
        <w:keepNext w:val="0"/>
        <w:keepLines w:val="0"/>
        <w:pageBreakBefore w:val="0"/>
        <w:widowControl w:val="0"/>
        <w:numPr>
          <w:ilvl w:val="0"/>
          <w:numId w:val="0"/>
        </w:numPr>
        <w:kinsoku/>
        <w:wordWrap w:val="0"/>
        <w:overflowPunct/>
        <w:topLinePunct w:val="0"/>
        <w:autoSpaceDE/>
        <w:autoSpaceDN/>
        <w:bidi w:val="0"/>
        <w:adjustRightInd w:val="0"/>
        <w:snapToGrid w:val="0"/>
        <w:spacing w:line="360" w:lineRule="auto"/>
        <w:ind w:firstLine="480" w:firstLineChars="200"/>
        <w:contextualSpacing/>
        <w:textAlignment w:val="auto"/>
        <w:outlineLvl w:val="1"/>
        <w:rPr>
          <w:rFonts w:hint="eastAsia" w:ascii="宋体" w:hAnsi="宋体" w:eastAsia="宋体" w:cs="宋体"/>
          <w:b w:val="0"/>
          <w:bCs w:val="0"/>
          <w:color w:val="auto"/>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bidi="ar-SA"/>
        </w:rPr>
        <w:t>按照采购方活动质量与时限要求，供应商负责组括龙舟赛、骑行赛、特色风筝展演、体旅市集、垂钓赛、跳绳项目比赛、体育嘉年华开幕式</w:t>
      </w:r>
      <w:r>
        <w:rPr>
          <w:rFonts w:hint="eastAsia" w:ascii="宋体" w:hAnsi="宋体" w:cs="宋体"/>
          <w:b w:val="0"/>
          <w:bCs w:val="0"/>
          <w:color w:val="auto"/>
          <w:sz w:val="24"/>
          <w:szCs w:val="24"/>
          <w:highlight w:val="none"/>
          <w:lang w:val="en-US" w:eastAsia="zh-CN" w:bidi="ar-SA"/>
        </w:rPr>
        <w:t>、苏超观赛夜</w:t>
      </w:r>
      <w:r>
        <w:rPr>
          <w:rFonts w:hint="eastAsia" w:ascii="宋体" w:hAnsi="宋体" w:eastAsia="宋体" w:cs="宋体"/>
          <w:b w:val="0"/>
          <w:bCs w:val="0"/>
          <w:color w:val="auto"/>
          <w:sz w:val="24"/>
          <w:szCs w:val="24"/>
          <w:highlight w:val="none"/>
          <w:lang w:val="en-US" w:eastAsia="zh-CN" w:bidi="ar-SA"/>
        </w:rPr>
        <w:t>及节目表演等项目，包括单不限于参赛人员组织、</w:t>
      </w:r>
      <w:r>
        <w:rPr>
          <w:rFonts w:hint="eastAsia" w:ascii="宋体" w:hAnsi="宋体" w:eastAsia="宋体" w:cs="宋体"/>
          <w:color w:val="auto"/>
          <w:sz w:val="24"/>
          <w:szCs w:val="24"/>
          <w:highlight w:val="none"/>
        </w:rPr>
        <w:t>相关设施和景观设计，活动场地搭建及设施配备</w:t>
      </w:r>
      <w:r>
        <w:rPr>
          <w:rFonts w:hint="eastAsia" w:ascii="宋体" w:hAnsi="宋体" w:eastAsia="宋体" w:cs="宋体"/>
          <w:color w:val="auto"/>
          <w:sz w:val="24"/>
          <w:szCs w:val="24"/>
          <w:highlight w:val="none"/>
          <w:lang w:eastAsia="zh-CN"/>
        </w:rPr>
        <w:t>、</w:t>
      </w:r>
      <w:r>
        <w:rPr>
          <w:rFonts w:hint="eastAsia" w:ascii="宋体" w:hAnsi="宋体" w:eastAsia="宋体" w:cs="宋体"/>
          <w:b w:val="0"/>
          <w:bCs w:val="0"/>
          <w:color w:val="auto"/>
          <w:sz w:val="24"/>
          <w:szCs w:val="24"/>
          <w:highlight w:val="none"/>
          <w:lang w:val="en-US" w:eastAsia="zh-CN" w:bidi="ar-SA"/>
        </w:rPr>
        <w:t>后勤保障、安全与医护保障、宣传推广等。</w:t>
      </w:r>
    </w:p>
    <w:p w14:paraId="4B180107">
      <w:pPr>
        <w:keepNext w:val="0"/>
        <w:keepLines w:val="0"/>
        <w:pageBreakBefore w:val="0"/>
        <w:widowControl w:val="0"/>
        <w:numPr>
          <w:ilvl w:val="0"/>
          <w:numId w:val="0"/>
        </w:numPr>
        <w:kinsoku/>
        <w:wordWrap w:val="0"/>
        <w:overflowPunct/>
        <w:topLinePunct w:val="0"/>
        <w:autoSpaceDE/>
        <w:autoSpaceDN/>
        <w:bidi w:val="0"/>
        <w:adjustRightInd w:val="0"/>
        <w:snapToGrid w:val="0"/>
        <w:spacing w:line="360" w:lineRule="auto"/>
        <w:ind w:firstLine="482" w:firstLineChars="200"/>
        <w:contextualSpacing/>
        <w:textAlignment w:val="auto"/>
        <w:outlineLvl w:val="1"/>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（一）骑行赛</w:t>
      </w:r>
    </w:p>
    <w:p w14:paraId="035E5384">
      <w:pPr>
        <w:pStyle w:val="43"/>
        <w:keepNext w:val="0"/>
        <w:keepLines w:val="0"/>
        <w:pageBreakBefore w:val="0"/>
        <w:widowControl w:val="0"/>
        <w:numPr>
          <w:ilvl w:val="0"/>
          <w:numId w:val="0"/>
        </w:numPr>
        <w:kinsoku/>
        <w:wordWrap w:val="0"/>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负责自行车骑行赛事活动的全部内容，包括但不限于负责自行车赛事支持、赛事策划、赛事赛道设计认证服务、参赛运动员、裁判员的招募、开赛助阵名人邀请、嘉宾接待、场地搭建、竞赛组织和赛事物料保障、志愿者培训管理、医疗救护、赛事安全保卫、赛事后勤接待保障、赛道补给、场地布置、氛围营造、国家级或省级媒体宣传和赞助商招募、应急预案、赛事图片直播、各类赛事资料印制、赛事人员保险、保险理赔、通信保障、赛事暖场节目等赛事执行关的一切服务及物资采购内容，以及负责所有内容产生的全部费用。</w:t>
      </w:r>
    </w:p>
    <w:p w14:paraId="33FFAE33">
      <w:pPr>
        <w:pStyle w:val="43"/>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1.赛事组织工作</w:t>
      </w:r>
    </w:p>
    <w:p w14:paraId="00DC5DB5">
      <w:pPr>
        <w:pStyle w:val="43"/>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1）负责实施赛事所需的全部竞赛组织工作，包括但不限于：制定、发布竞赛规则、规程、赛事日程等；成绩统计及有关设备的提供和管理；竞赛通讯设备的提供及管理；证件的编制和发放；赛事所需的其他组织管理工作；</w:t>
      </w:r>
    </w:p>
    <w:p w14:paraId="1DDB50B7">
      <w:pPr>
        <w:pStyle w:val="43"/>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w:t>
      </w:r>
      <w:r>
        <w:rPr>
          <w:rFonts w:hint="eastAsia" w:cs="宋体"/>
          <w:b w:val="0"/>
          <w:bCs w:val="0"/>
          <w:color w:val="auto"/>
          <w:kern w:val="2"/>
          <w:sz w:val="24"/>
          <w:szCs w:val="24"/>
          <w:highlight w:val="none"/>
          <w:lang w:val="en-US" w:eastAsia="zh-CN" w:bidi="ar-SA"/>
        </w:rPr>
        <w:t>2</w:t>
      </w:r>
      <w:r>
        <w:rPr>
          <w:rFonts w:hint="eastAsia" w:ascii="宋体" w:hAnsi="宋体" w:eastAsia="宋体" w:cs="宋体"/>
          <w:b w:val="0"/>
          <w:bCs w:val="0"/>
          <w:color w:val="auto"/>
          <w:kern w:val="2"/>
          <w:sz w:val="24"/>
          <w:szCs w:val="24"/>
          <w:highlight w:val="none"/>
          <w:lang w:val="en-US" w:eastAsia="zh-CN" w:bidi="ar-SA"/>
        </w:rPr>
        <w:t>）负责运动员、裁判员、技术人员、志愿者及相关工作人员等人员的邀请、组织及管理工作</w:t>
      </w:r>
      <w:r>
        <w:rPr>
          <w:rFonts w:hint="eastAsia" w:cs="宋体"/>
          <w:b w:val="0"/>
          <w:bCs w:val="0"/>
          <w:color w:val="auto"/>
          <w:kern w:val="2"/>
          <w:sz w:val="24"/>
          <w:szCs w:val="24"/>
          <w:highlight w:val="none"/>
          <w:lang w:val="en-US" w:eastAsia="zh-CN" w:bidi="ar-SA"/>
        </w:rPr>
        <w:t>；</w:t>
      </w:r>
    </w:p>
    <w:p w14:paraId="14D337FF">
      <w:pPr>
        <w:pStyle w:val="43"/>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w:t>
      </w:r>
      <w:r>
        <w:rPr>
          <w:rFonts w:hint="eastAsia" w:cs="宋体"/>
          <w:b w:val="0"/>
          <w:bCs w:val="0"/>
          <w:color w:val="auto"/>
          <w:kern w:val="2"/>
          <w:sz w:val="24"/>
          <w:szCs w:val="24"/>
          <w:highlight w:val="none"/>
          <w:lang w:val="en-US" w:eastAsia="zh-CN" w:bidi="ar-SA"/>
        </w:rPr>
        <w:t>3</w:t>
      </w:r>
      <w:r>
        <w:rPr>
          <w:rFonts w:hint="eastAsia" w:ascii="宋体" w:hAnsi="宋体" w:eastAsia="宋体" w:cs="宋体"/>
          <w:b w:val="0"/>
          <w:bCs w:val="0"/>
          <w:color w:val="auto"/>
          <w:kern w:val="2"/>
          <w:sz w:val="24"/>
          <w:szCs w:val="24"/>
          <w:highlight w:val="none"/>
          <w:lang w:val="en-US" w:eastAsia="zh-CN" w:bidi="ar-SA"/>
        </w:rPr>
        <w:t>）负责赛事场地勘察、赛事场地设计、赛事路线设计及赛事场地搭建</w:t>
      </w:r>
      <w:r>
        <w:rPr>
          <w:rFonts w:hint="eastAsia" w:cs="宋体"/>
          <w:b w:val="0"/>
          <w:bCs w:val="0"/>
          <w:color w:val="auto"/>
          <w:kern w:val="2"/>
          <w:sz w:val="24"/>
          <w:szCs w:val="24"/>
          <w:highlight w:val="none"/>
          <w:lang w:val="en-US" w:eastAsia="zh-CN" w:bidi="ar-SA"/>
        </w:rPr>
        <w:t>。舞台16*8米，舞台前档，副屏2*4米，LED屏幕12*4米，颁奖台1*3米/个、需要3个，演讲台，音响系统6加2阵线加4个话筒，注水旗5米高60个，空飘10个，隔离护栏根据赛道设定，规程墙、欢迎墙4*3米，签名墙4*3米，运动员报到处1.5*1米k板，桌椅40套。赛事拱门搭建2天，按照起终点同一套拱门搭建，拱门为钢结构，内径高4米，内宽8米，两侧拉线固定，拱门中间接线，包含拱门搭建，拱门外包喷绘。全面布置主会场、赛道铁马、赛道警戒带，赛道道旗100面，5米高，现场标识标牌（转弯牌、提示牌、区域牌、倒计公里牌）。</w:t>
      </w:r>
    </w:p>
    <w:p w14:paraId="6E2B14F5">
      <w:pPr>
        <w:pStyle w:val="43"/>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w:t>
      </w:r>
      <w:r>
        <w:rPr>
          <w:rFonts w:hint="eastAsia" w:cs="宋体"/>
          <w:b w:val="0"/>
          <w:bCs w:val="0"/>
          <w:color w:val="auto"/>
          <w:kern w:val="2"/>
          <w:sz w:val="24"/>
          <w:szCs w:val="24"/>
          <w:highlight w:val="none"/>
          <w:lang w:val="en-US" w:eastAsia="zh-CN" w:bidi="ar-SA"/>
        </w:rPr>
        <w:t>4</w:t>
      </w:r>
      <w:r>
        <w:rPr>
          <w:rFonts w:hint="eastAsia" w:ascii="宋体" w:hAnsi="宋体" w:eastAsia="宋体" w:cs="宋体"/>
          <w:b w:val="0"/>
          <w:bCs w:val="0"/>
          <w:color w:val="auto"/>
          <w:kern w:val="2"/>
          <w:sz w:val="24"/>
          <w:szCs w:val="24"/>
          <w:highlight w:val="none"/>
          <w:lang w:val="en-US" w:eastAsia="zh-CN" w:bidi="ar-SA"/>
        </w:rPr>
        <w:t>）负责赛事的奖金设计和支付</w:t>
      </w:r>
      <w:r>
        <w:rPr>
          <w:rFonts w:hint="eastAsia" w:cs="宋体"/>
          <w:b w:val="0"/>
          <w:bCs w:val="0"/>
          <w:color w:val="auto"/>
          <w:kern w:val="2"/>
          <w:sz w:val="24"/>
          <w:szCs w:val="24"/>
          <w:highlight w:val="none"/>
          <w:lang w:val="en-US" w:eastAsia="zh-CN" w:bidi="ar-SA"/>
        </w:rPr>
        <w:t>（奖金报价不低于10万元，最终结算按实结算）</w:t>
      </w:r>
      <w:r>
        <w:rPr>
          <w:rFonts w:hint="eastAsia" w:ascii="宋体" w:hAnsi="宋体" w:eastAsia="宋体" w:cs="宋体"/>
          <w:b w:val="0"/>
          <w:bCs w:val="0"/>
          <w:color w:val="auto"/>
          <w:kern w:val="2"/>
          <w:sz w:val="24"/>
          <w:szCs w:val="24"/>
          <w:highlight w:val="none"/>
          <w:lang w:val="en-US" w:eastAsia="zh-CN" w:bidi="ar-SA"/>
        </w:rPr>
        <w:t>；</w:t>
      </w:r>
    </w:p>
    <w:p w14:paraId="554C1708">
      <w:pPr>
        <w:pStyle w:val="43"/>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w:t>
      </w:r>
      <w:r>
        <w:rPr>
          <w:rFonts w:hint="eastAsia" w:cs="宋体"/>
          <w:b w:val="0"/>
          <w:bCs w:val="0"/>
          <w:color w:val="auto"/>
          <w:kern w:val="2"/>
          <w:sz w:val="24"/>
          <w:szCs w:val="24"/>
          <w:highlight w:val="none"/>
          <w:lang w:val="en-US" w:eastAsia="zh-CN" w:bidi="ar-SA"/>
        </w:rPr>
        <w:t>5</w:t>
      </w:r>
      <w:r>
        <w:rPr>
          <w:rFonts w:hint="eastAsia" w:ascii="宋体" w:hAnsi="宋体" w:eastAsia="宋体" w:cs="宋体"/>
          <w:b w:val="0"/>
          <w:bCs w:val="0"/>
          <w:color w:val="auto"/>
          <w:kern w:val="2"/>
          <w:sz w:val="24"/>
          <w:szCs w:val="24"/>
          <w:highlight w:val="none"/>
          <w:lang w:val="en-US" w:eastAsia="zh-CN" w:bidi="ar-SA"/>
        </w:rPr>
        <w:t>）负责在赛事期间开幕式及颁奖仪式等。</w:t>
      </w:r>
    </w:p>
    <w:p w14:paraId="6FEDC0BA">
      <w:pPr>
        <w:pStyle w:val="43"/>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2.赛事及城市宣传</w:t>
      </w:r>
    </w:p>
    <w:p w14:paraId="1C3AABC4">
      <w:pPr>
        <w:pStyle w:val="43"/>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（1）负责国内媒体的宣传及策划。赛事以及与赛事相关的媒体宣传，提供央视cctv的1分钟专栏报道，不得少于100家媒体网站宣传。</w:t>
      </w:r>
    </w:p>
    <w:p w14:paraId="7E3D14F2">
      <w:pPr>
        <w:pStyle w:val="43"/>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hint="default" w:ascii="宋体" w:hAnsi="宋体" w:eastAsia="宋体" w:cs="宋体"/>
          <w:b w:val="0"/>
          <w:bCs w:val="0"/>
          <w:color w:val="auto"/>
          <w:kern w:val="2"/>
          <w:sz w:val="24"/>
          <w:szCs w:val="24"/>
          <w:highlight w:val="none"/>
          <w:lang w:val="en-US" w:eastAsia="zh-CN" w:bidi="ar-SA"/>
        </w:rPr>
      </w:pPr>
      <w:r>
        <w:rPr>
          <w:rFonts w:hint="eastAsia" w:cs="宋体"/>
          <w:b w:val="0"/>
          <w:bCs w:val="0"/>
          <w:color w:val="auto"/>
          <w:kern w:val="2"/>
          <w:sz w:val="24"/>
          <w:szCs w:val="24"/>
          <w:highlight w:val="none"/>
          <w:lang w:val="en-US" w:eastAsia="zh-CN" w:bidi="ar-SA"/>
        </w:rPr>
        <w:t>（2）提供专业赛事直播与赛事解说；</w:t>
      </w:r>
    </w:p>
    <w:p w14:paraId="603B1324">
      <w:pPr>
        <w:pStyle w:val="43"/>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w:t>
      </w:r>
      <w:r>
        <w:rPr>
          <w:rFonts w:hint="eastAsia" w:cs="宋体"/>
          <w:b w:val="0"/>
          <w:bCs w:val="0"/>
          <w:color w:val="auto"/>
          <w:kern w:val="2"/>
          <w:sz w:val="24"/>
          <w:szCs w:val="24"/>
          <w:highlight w:val="none"/>
          <w:lang w:val="en-US" w:eastAsia="zh-CN" w:bidi="ar-SA"/>
        </w:rPr>
        <w:t>3</w:t>
      </w:r>
      <w:r>
        <w:rPr>
          <w:rFonts w:hint="eastAsia" w:ascii="宋体" w:hAnsi="宋体" w:eastAsia="宋体" w:cs="宋体"/>
          <w:b w:val="0"/>
          <w:bCs w:val="0"/>
          <w:color w:val="auto"/>
          <w:kern w:val="2"/>
          <w:sz w:val="24"/>
          <w:szCs w:val="24"/>
          <w:highlight w:val="none"/>
          <w:lang w:val="en-US" w:eastAsia="zh-CN" w:bidi="ar-SA"/>
        </w:rPr>
        <w:t>）负责拍摄制作赛事宣传片；</w:t>
      </w:r>
    </w:p>
    <w:p w14:paraId="2C297694">
      <w:pPr>
        <w:pStyle w:val="43"/>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w:t>
      </w:r>
      <w:r>
        <w:rPr>
          <w:rFonts w:hint="eastAsia" w:cs="宋体"/>
          <w:b w:val="0"/>
          <w:bCs w:val="0"/>
          <w:color w:val="auto"/>
          <w:kern w:val="2"/>
          <w:sz w:val="24"/>
          <w:szCs w:val="24"/>
          <w:highlight w:val="none"/>
          <w:lang w:val="en-US" w:eastAsia="zh-CN" w:bidi="ar-SA"/>
        </w:rPr>
        <w:t>4</w:t>
      </w:r>
      <w:r>
        <w:rPr>
          <w:rFonts w:hint="eastAsia" w:ascii="宋体" w:hAnsi="宋体" w:eastAsia="宋体" w:cs="宋体"/>
          <w:b w:val="0"/>
          <w:bCs w:val="0"/>
          <w:color w:val="auto"/>
          <w:kern w:val="2"/>
          <w:sz w:val="24"/>
          <w:szCs w:val="24"/>
          <w:highlight w:val="none"/>
          <w:lang w:val="en-US" w:eastAsia="zh-CN" w:bidi="ar-SA"/>
        </w:rPr>
        <w:t>）比赛路线设计团队将进行实地考察并与度假区紧密合作，确定最终的比赛路线；在保证赛事安全并得到江苏省自行车运动协会认可的前提下，该路线设计尽量涵盖小洋口旅游度假区的旅游景点；</w:t>
      </w:r>
    </w:p>
    <w:p w14:paraId="170B3159">
      <w:pPr>
        <w:pStyle w:val="43"/>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w:t>
      </w:r>
      <w:r>
        <w:rPr>
          <w:rFonts w:hint="eastAsia" w:cs="宋体"/>
          <w:b w:val="0"/>
          <w:bCs w:val="0"/>
          <w:color w:val="auto"/>
          <w:kern w:val="2"/>
          <w:sz w:val="24"/>
          <w:szCs w:val="24"/>
          <w:highlight w:val="none"/>
          <w:lang w:val="en-US" w:eastAsia="zh-CN" w:bidi="ar-SA"/>
        </w:rPr>
        <w:t>5</w:t>
      </w:r>
      <w:r>
        <w:rPr>
          <w:rFonts w:hint="eastAsia" w:ascii="宋体" w:hAnsi="宋体" w:eastAsia="宋体" w:cs="宋体"/>
          <w:b w:val="0"/>
          <w:bCs w:val="0"/>
          <w:color w:val="auto"/>
          <w:kern w:val="2"/>
          <w:sz w:val="24"/>
          <w:szCs w:val="24"/>
          <w:highlight w:val="none"/>
          <w:lang w:val="en-US" w:eastAsia="zh-CN" w:bidi="ar-SA"/>
        </w:rPr>
        <w:t>）就如何充分利用赛事推广小洋口旅游度假区，提供咨询服务；涉及小洋口的宣传方案，应当经度假办事先同意；</w:t>
      </w:r>
    </w:p>
    <w:p w14:paraId="4B5CDC1A">
      <w:pPr>
        <w:pStyle w:val="43"/>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3.赛事展示工作：负责赛事的展示工作，包括赛场设施、赛场的设计、物料运输、搭建、运营、维保及拆卸等；赛事标识的设计、制作和设置；赛事现场广告发布等。负责赛场主舞台、起终点龙门架搭建，起终点前后广告护栏设置，会场帐篷、道旗布置等；</w:t>
      </w:r>
    </w:p>
    <w:p w14:paraId="53E60A37">
      <w:pPr>
        <w:pStyle w:val="43"/>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4.组织接待工作：负责接待裁判员、参赛选手及赞助商代表等嘉宾；</w:t>
      </w:r>
    </w:p>
    <w:p w14:paraId="44CFC5C8">
      <w:pPr>
        <w:pStyle w:val="43"/>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5.赛事招商工作：负责赛事统一商务体系的建设及商业开发，包括赛事赞助方案设计、赞助销售和赞助商服务等；</w:t>
      </w:r>
    </w:p>
    <w:p w14:paraId="68A3C89E">
      <w:pPr>
        <w:pStyle w:val="43"/>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6.购买赛事保险：供应商应当根据国家法律规定办理相关保险，包括但不限于所要求的在中国举办大型体育需要投保的赛事保险，包括但不限于责任、意外事故和火灾保险；签订安全免责书，并对参赛车辆及装备要严格检查，确保安全；</w:t>
      </w:r>
    </w:p>
    <w:p w14:paraId="1F7A7806">
      <w:pPr>
        <w:pStyle w:val="43"/>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7.负责运动员奖金、奖品、保险，裁判员补贴、车贴，领队补贴、甲、乙方工作人员补贴、志愿者补贴、裁判服、本次活动所需的计时器租赁及人员差旅费，负责场地主舞台、起终点拱门搭建及现场布置、制作奖杯、证书、号码布、号码牌、别针、扎带以及裁判器材购买，摄影摄像、专题片制作，汽笛、记圈牌、摇铃、板夹、对讲机等器材购买，工作证、裁判证制作，新闻报道，签到单、检录单、奖金牌制作；</w:t>
      </w:r>
    </w:p>
    <w:p w14:paraId="2881125E">
      <w:pPr>
        <w:pStyle w:val="43"/>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8.比赛过程中的仲裁由甲方和乙方的技术</w:t>
      </w:r>
      <w:r>
        <w:rPr>
          <w:rFonts w:hint="eastAsia" w:cs="宋体"/>
          <w:b w:val="0"/>
          <w:bCs w:val="0"/>
          <w:color w:val="auto"/>
          <w:kern w:val="2"/>
          <w:sz w:val="24"/>
          <w:szCs w:val="24"/>
          <w:highlight w:val="none"/>
          <w:lang w:val="en-US" w:eastAsia="zh-CN" w:bidi="ar-SA"/>
        </w:rPr>
        <w:t>管理人员</w:t>
      </w:r>
      <w:r>
        <w:rPr>
          <w:rFonts w:hint="eastAsia" w:ascii="宋体" w:hAnsi="宋体" w:eastAsia="宋体" w:cs="宋体"/>
          <w:b w:val="0"/>
          <w:bCs w:val="0"/>
          <w:color w:val="auto"/>
          <w:kern w:val="2"/>
          <w:sz w:val="24"/>
          <w:szCs w:val="24"/>
          <w:highlight w:val="none"/>
          <w:lang w:val="en-US" w:eastAsia="zh-CN" w:bidi="ar-SA"/>
        </w:rPr>
        <w:t>与组委会共同进行；仲裁后结果不可更改；</w:t>
      </w:r>
    </w:p>
    <w:p w14:paraId="73F13E82">
      <w:pPr>
        <w:pStyle w:val="43"/>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9.按照当地政府要求，负责赛事安保、道路管控等工作；做好赛事各类应急预案的制定与执行；</w:t>
      </w:r>
    </w:p>
    <w:p w14:paraId="22024F0A">
      <w:pPr>
        <w:pStyle w:val="43"/>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10.医疗服务：供应商负责为嘉年华活动提供医疗服务，包括但不限于医务人员、救援人员、救护车和药品等，并支付相关费用。</w:t>
      </w:r>
    </w:p>
    <w:p w14:paraId="08E515B5">
      <w:pPr>
        <w:pStyle w:val="43"/>
        <w:keepNext w:val="0"/>
        <w:keepLines w:val="0"/>
        <w:pageBreakBefore w:val="0"/>
        <w:widowControl w:val="0"/>
        <w:kinsoku/>
        <w:wordWrap w:val="0"/>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（二）龙舟赛</w:t>
      </w:r>
    </w:p>
    <w:p w14:paraId="3735E566">
      <w:pPr>
        <w:pStyle w:val="43"/>
        <w:keepNext w:val="0"/>
        <w:keepLines w:val="0"/>
        <w:pageBreakBefore w:val="0"/>
        <w:widowControl w:val="0"/>
        <w:kinsoku/>
        <w:wordWrap w:val="0"/>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 xml:space="preserve"> 按照采购方活动质量与时限要求，供应商负责组织2026江苏省龙舟俱乐部邀请赛（如东小洋口站），包括但不限于活动组织（活动策划、现场组织、指挥协调、物料设计等）、现场搭建（舞台搭建、赛道搭建、水上平台搭建、电力保障、移动厕所保障等）、后勤保障（用车、现场矿泉水保障等）、安保与医护（做好活动应急预案；负责活动现场安保；一医一护一救护车）、竞赛组织（组织选手报名、邀请裁判、竞赛规程制定、赛事组织等）、宣传推广（媒体邀请与全过程宣传、照片视频素材拍摄）等项目。赛前需制定该赛事的活动组织方案、安全预案(含熔断机制)、应急救援方案(突发事件及灾害性天气处置应急救援方案)、舆情应对方案等。</w:t>
      </w:r>
    </w:p>
    <w:p w14:paraId="7929CB1B">
      <w:pPr>
        <w:pStyle w:val="43"/>
        <w:keepNext w:val="0"/>
        <w:keepLines w:val="0"/>
        <w:pageBreakBefore w:val="0"/>
        <w:widowControl w:val="0"/>
        <w:kinsoku/>
        <w:wordWrap w:val="0"/>
        <w:overflowPunct/>
        <w:topLinePunct w:val="0"/>
        <w:autoSpaceDE/>
        <w:autoSpaceDN/>
        <w:bidi w:val="0"/>
        <w:adjustRightInd w:val="0"/>
        <w:snapToGrid w:val="0"/>
        <w:spacing w:line="360" w:lineRule="auto"/>
        <w:ind w:left="0" w:leftChars="0" w:firstLine="482" w:firstLineChars="200"/>
        <w:textAlignment w:val="auto"/>
        <w:rPr>
          <w:rFonts w:hint="eastAsia"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场地布置</w:t>
      </w:r>
      <w:r>
        <w:rPr>
          <w:rFonts w:hint="eastAsia" w:cs="宋体"/>
          <w:b/>
          <w:bCs/>
          <w:color w:val="auto"/>
          <w:kern w:val="2"/>
          <w:sz w:val="24"/>
          <w:szCs w:val="24"/>
          <w:highlight w:val="none"/>
          <w:lang w:val="en-US" w:eastAsia="zh-CN" w:bidi="ar-SA"/>
        </w:rPr>
        <w:t>：</w:t>
      </w:r>
    </w:p>
    <w:p w14:paraId="2AE0FA67">
      <w:pPr>
        <w:pStyle w:val="43"/>
        <w:keepNext w:val="0"/>
        <w:keepLines w:val="0"/>
        <w:pageBreakBefore w:val="0"/>
        <w:widowControl w:val="0"/>
        <w:kinsoku/>
        <w:wordWrap w:val="0"/>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1.主席台：一级搭建，铺设地毯，背面活动主题</w:t>
      </w:r>
      <w:r>
        <w:rPr>
          <w:rFonts w:hint="eastAsia" w:cs="宋体"/>
          <w:b w:val="0"/>
          <w:bCs w:val="0"/>
          <w:color w:val="auto"/>
          <w:kern w:val="2"/>
          <w:sz w:val="24"/>
          <w:szCs w:val="24"/>
          <w:highlight w:val="none"/>
          <w:lang w:val="en-US" w:eastAsia="zh-CN" w:bidi="ar-SA"/>
        </w:rPr>
        <w:t>画面制作</w:t>
      </w:r>
      <w:r>
        <w:rPr>
          <w:rFonts w:hint="eastAsia" w:ascii="宋体" w:hAnsi="宋体" w:eastAsia="宋体" w:cs="宋体"/>
          <w:b w:val="0"/>
          <w:bCs w:val="0"/>
          <w:color w:val="auto"/>
          <w:kern w:val="2"/>
          <w:sz w:val="24"/>
          <w:szCs w:val="24"/>
          <w:highlight w:val="none"/>
          <w:lang w:val="en-US" w:eastAsia="zh-CN" w:bidi="ar-SA"/>
        </w:rPr>
        <w:t>。</w:t>
      </w:r>
    </w:p>
    <w:p w14:paraId="6658F173">
      <w:pPr>
        <w:pStyle w:val="43"/>
        <w:keepNext w:val="0"/>
        <w:keepLines w:val="0"/>
        <w:pageBreakBefore w:val="0"/>
        <w:widowControl w:val="0"/>
        <w:kinsoku/>
        <w:wordWrap w:val="0"/>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2.领导观赛区：一级搭建，铺设地毯，背面活动主题喷绘。根据现场实际情况，确定搭建尺寸和其他要求。</w:t>
      </w:r>
    </w:p>
    <w:p w14:paraId="525BE232">
      <w:pPr>
        <w:pStyle w:val="43"/>
        <w:keepNext w:val="0"/>
        <w:keepLines w:val="0"/>
        <w:pageBreakBefore w:val="0"/>
        <w:widowControl w:val="0"/>
        <w:kinsoku/>
        <w:wordWrap w:val="0"/>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3.广告牌：根据招商需要，搭建A字牌广告，每个标准尺寸为 2×1米正反，喷绘安装，根据大会要求制作。</w:t>
      </w:r>
    </w:p>
    <w:p w14:paraId="31ED6B09">
      <w:pPr>
        <w:pStyle w:val="43"/>
        <w:keepNext w:val="0"/>
        <w:keepLines w:val="0"/>
        <w:pageBreakBefore w:val="0"/>
        <w:widowControl w:val="0"/>
        <w:kinsoku/>
        <w:wordWrap w:val="0"/>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4.开幕式及颁奖背景板：根据大会要求制作。</w:t>
      </w:r>
    </w:p>
    <w:p w14:paraId="04D386E8">
      <w:pPr>
        <w:pStyle w:val="43"/>
        <w:keepNext w:val="0"/>
        <w:keepLines w:val="0"/>
        <w:pageBreakBefore w:val="0"/>
        <w:widowControl w:val="0"/>
        <w:kinsoku/>
        <w:wordWrap w:val="0"/>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5.指示系统：场地周边及主要道路口交通及停车指示。</w:t>
      </w:r>
    </w:p>
    <w:p w14:paraId="3F5A9E4B">
      <w:pPr>
        <w:pStyle w:val="43"/>
        <w:keepNext w:val="0"/>
        <w:keepLines w:val="0"/>
        <w:pageBreakBefore w:val="0"/>
        <w:widowControl w:val="0"/>
        <w:kinsoku/>
        <w:wordWrap w:val="0"/>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6.现场音响设备，满足大会需求。</w:t>
      </w:r>
    </w:p>
    <w:p w14:paraId="7EB97D7C">
      <w:pPr>
        <w:pStyle w:val="43"/>
        <w:keepNext w:val="0"/>
        <w:keepLines w:val="0"/>
        <w:pageBreakBefore w:val="0"/>
        <w:widowControl w:val="0"/>
        <w:kinsoku/>
        <w:wordWrap w:val="0"/>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7.主电缆铺设及广播系统、防雷系统铺设:符合大会要求及相关职能部门标准</w:t>
      </w:r>
    </w:p>
    <w:p w14:paraId="72718A26">
      <w:pPr>
        <w:pStyle w:val="43"/>
        <w:keepNext w:val="0"/>
        <w:keepLines w:val="0"/>
        <w:pageBreakBefore w:val="0"/>
        <w:widowControl w:val="0"/>
        <w:kinsoku/>
        <w:wordWrap w:val="0"/>
        <w:overflowPunct/>
        <w:topLinePunct w:val="0"/>
        <w:autoSpaceDE/>
        <w:autoSpaceDN/>
        <w:bidi w:val="0"/>
        <w:adjustRightInd w:val="0"/>
        <w:snapToGrid w:val="0"/>
        <w:spacing w:line="360" w:lineRule="auto"/>
        <w:ind w:left="0" w:leftChars="0" w:firstLine="482" w:firstLineChars="200"/>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后勤服务</w:t>
      </w:r>
      <w:r>
        <w:rPr>
          <w:rFonts w:hint="eastAsia" w:cs="宋体"/>
          <w:b/>
          <w:bCs/>
          <w:color w:val="auto"/>
          <w:kern w:val="2"/>
          <w:sz w:val="24"/>
          <w:szCs w:val="24"/>
          <w:highlight w:val="none"/>
          <w:lang w:val="en-US" w:eastAsia="zh-CN" w:bidi="ar-SA"/>
        </w:rPr>
        <w:t>：</w:t>
      </w:r>
    </w:p>
    <w:p w14:paraId="08D659AC">
      <w:pPr>
        <w:pStyle w:val="43"/>
        <w:keepNext w:val="0"/>
        <w:keepLines w:val="0"/>
        <w:pageBreakBefore w:val="0"/>
        <w:widowControl w:val="0"/>
        <w:kinsoku/>
        <w:wordWrap w:val="0"/>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1.交通：提供裁判员、辅助裁判、志愿者、工作人员</w:t>
      </w:r>
      <w:r>
        <w:rPr>
          <w:rFonts w:hint="eastAsia" w:cs="宋体"/>
          <w:b w:val="0"/>
          <w:bCs w:val="0"/>
          <w:color w:val="auto"/>
          <w:kern w:val="2"/>
          <w:sz w:val="24"/>
          <w:szCs w:val="24"/>
          <w:highlight w:val="none"/>
          <w:lang w:val="en-US" w:eastAsia="zh-CN" w:bidi="ar-SA"/>
        </w:rPr>
        <w:t>等人员</w:t>
      </w:r>
      <w:r>
        <w:rPr>
          <w:rFonts w:hint="eastAsia" w:ascii="宋体" w:hAnsi="宋体" w:eastAsia="宋体" w:cs="宋体"/>
          <w:b w:val="0"/>
          <w:bCs w:val="0"/>
          <w:color w:val="auto"/>
          <w:kern w:val="2"/>
          <w:sz w:val="24"/>
          <w:szCs w:val="24"/>
          <w:highlight w:val="none"/>
          <w:lang w:val="en-US" w:eastAsia="zh-CN" w:bidi="ar-SA"/>
        </w:rPr>
        <w:t>往返交通</w:t>
      </w:r>
      <w:r>
        <w:rPr>
          <w:rFonts w:hint="eastAsia" w:cs="宋体"/>
          <w:b w:val="0"/>
          <w:bCs w:val="0"/>
          <w:color w:val="auto"/>
          <w:kern w:val="2"/>
          <w:sz w:val="24"/>
          <w:szCs w:val="24"/>
          <w:highlight w:val="none"/>
          <w:lang w:val="en-US" w:eastAsia="zh-CN" w:bidi="ar-SA"/>
        </w:rPr>
        <w:t>补助</w:t>
      </w:r>
      <w:r>
        <w:rPr>
          <w:rFonts w:hint="eastAsia" w:ascii="宋体" w:hAnsi="宋体" w:eastAsia="宋体" w:cs="宋体"/>
          <w:b w:val="0"/>
          <w:bCs w:val="0"/>
          <w:color w:val="auto"/>
          <w:kern w:val="2"/>
          <w:sz w:val="24"/>
          <w:szCs w:val="24"/>
          <w:highlight w:val="none"/>
          <w:lang w:val="en-US" w:eastAsia="zh-CN" w:bidi="ar-SA"/>
        </w:rPr>
        <w:t>；</w:t>
      </w:r>
    </w:p>
    <w:p w14:paraId="2EC25FBE">
      <w:pPr>
        <w:pStyle w:val="43"/>
        <w:keepNext w:val="0"/>
        <w:keepLines w:val="0"/>
        <w:pageBreakBefore w:val="0"/>
        <w:widowControl w:val="0"/>
        <w:kinsoku/>
        <w:wordWrap w:val="0"/>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2.服装：提供嘉宾、裁判员、工作人员服装（短袖POLO衫1件，长袖POLO衫1件，防嗮服1件），预计约500件，服装样式、尺码、数量、品牌需经采购方审核同意。</w:t>
      </w:r>
    </w:p>
    <w:p w14:paraId="2A4609C1">
      <w:pPr>
        <w:pStyle w:val="43"/>
        <w:keepNext w:val="0"/>
        <w:keepLines w:val="0"/>
        <w:pageBreakBefore w:val="0"/>
        <w:widowControl w:val="0"/>
        <w:kinsoku/>
        <w:wordWrap w:val="0"/>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b w:val="0"/>
          <w:bCs w:val="0"/>
          <w:color w:val="auto"/>
          <w:kern w:val="2"/>
          <w:sz w:val="24"/>
          <w:szCs w:val="24"/>
          <w:highlight w:val="none"/>
          <w:lang w:val="en-US" w:eastAsia="zh-CN" w:bidi="ar-SA"/>
        </w:rPr>
      </w:pPr>
      <w:r>
        <w:rPr>
          <w:rFonts w:hint="eastAsia" w:cs="宋体"/>
          <w:b w:val="0"/>
          <w:bCs w:val="0"/>
          <w:color w:val="auto"/>
          <w:kern w:val="2"/>
          <w:sz w:val="24"/>
          <w:szCs w:val="24"/>
          <w:highlight w:val="none"/>
          <w:lang w:val="en-US" w:eastAsia="zh-CN" w:bidi="ar-SA"/>
        </w:rPr>
        <w:t>3</w:t>
      </w:r>
      <w:r>
        <w:rPr>
          <w:rFonts w:hint="eastAsia" w:ascii="宋体" w:hAnsi="宋体" w:eastAsia="宋体" w:cs="宋体"/>
          <w:b w:val="0"/>
          <w:bCs w:val="0"/>
          <w:color w:val="auto"/>
          <w:kern w:val="2"/>
          <w:sz w:val="24"/>
          <w:szCs w:val="24"/>
          <w:highlight w:val="none"/>
          <w:lang w:val="en-US" w:eastAsia="zh-CN" w:bidi="ar-SA"/>
        </w:rPr>
        <w:t>.医疗、应急救援、志愿者：提供符合国家级赛事的医疗、应急救援、志愿者保障方案。</w:t>
      </w:r>
    </w:p>
    <w:p w14:paraId="1290E766">
      <w:pPr>
        <w:pStyle w:val="43"/>
        <w:keepNext w:val="0"/>
        <w:keepLines w:val="0"/>
        <w:pageBreakBefore w:val="0"/>
        <w:widowControl w:val="0"/>
        <w:kinsoku/>
        <w:wordWrap w:val="0"/>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5.购买志愿者、辅助裁判保险，赛场保险等。</w:t>
      </w:r>
    </w:p>
    <w:p w14:paraId="17B9C48A">
      <w:pPr>
        <w:pStyle w:val="43"/>
        <w:keepNext w:val="0"/>
        <w:keepLines w:val="0"/>
        <w:pageBreakBefore w:val="0"/>
        <w:widowControl w:val="0"/>
        <w:kinsoku/>
        <w:wordWrap w:val="0"/>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6.并提供运动员、裁判员、工作人员饮用水，550ml装预计约2000瓶。</w:t>
      </w:r>
    </w:p>
    <w:p w14:paraId="36EF4B9C">
      <w:pPr>
        <w:pStyle w:val="43"/>
        <w:keepNext w:val="0"/>
        <w:keepLines w:val="0"/>
        <w:pageBreakBefore w:val="0"/>
        <w:widowControl w:val="0"/>
        <w:kinsoku/>
        <w:wordWrap w:val="0"/>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7.支付裁判员、工作人员酬金，按实际结算（标准按照赛事劳务费标准执行）。</w:t>
      </w:r>
    </w:p>
    <w:p w14:paraId="1388862E">
      <w:pPr>
        <w:pStyle w:val="43"/>
        <w:keepNext w:val="0"/>
        <w:keepLines w:val="0"/>
        <w:pageBreakBefore w:val="0"/>
        <w:widowControl w:val="0"/>
        <w:kinsoku/>
        <w:wordWrap w:val="0"/>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8.奖金根据竞赛规程的相关标准执行，涵盖在本赛事服务项目报价内，共计6万。</w:t>
      </w:r>
    </w:p>
    <w:p w14:paraId="634992A7">
      <w:pPr>
        <w:pStyle w:val="43"/>
        <w:keepNext w:val="0"/>
        <w:keepLines w:val="0"/>
        <w:pageBreakBefore w:val="0"/>
        <w:widowControl w:val="0"/>
        <w:kinsoku/>
        <w:wordWrap w:val="0"/>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9.其他：会务接待、车辆调度、跟车及其他附加服务。</w:t>
      </w:r>
    </w:p>
    <w:p w14:paraId="10F9F773">
      <w:pPr>
        <w:pStyle w:val="43"/>
        <w:keepNext w:val="0"/>
        <w:keepLines w:val="0"/>
        <w:pageBreakBefore w:val="0"/>
        <w:widowControl w:val="0"/>
        <w:kinsoku/>
        <w:wordWrap w:val="0"/>
        <w:overflowPunct/>
        <w:topLinePunct w:val="0"/>
        <w:autoSpaceDE/>
        <w:autoSpaceDN/>
        <w:bidi w:val="0"/>
        <w:adjustRightInd w:val="0"/>
        <w:snapToGrid w:val="0"/>
        <w:spacing w:line="360" w:lineRule="auto"/>
        <w:ind w:left="0" w:leftChars="0" w:firstLine="482" w:firstLineChars="200"/>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开闭幕式服务</w:t>
      </w:r>
      <w:r>
        <w:rPr>
          <w:rFonts w:hint="eastAsia" w:cs="宋体"/>
          <w:b/>
          <w:bCs/>
          <w:color w:val="auto"/>
          <w:kern w:val="2"/>
          <w:sz w:val="24"/>
          <w:szCs w:val="24"/>
          <w:highlight w:val="none"/>
          <w:lang w:val="en-US" w:eastAsia="zh-CN" w:bidi="ar-SA"/>
        </w:rPr>
        <w:t>：</w:t>
      </w:r>
    </w:p>
    <w:p w14:paraId="2EE79229">
      <w:pPr>
        <w:pStyle w:val="43"/>
        <w:keepNext w:val="0"/>
        <w:keepLines w:val="0"/>
        <w:pageBreakBefore w:val="0"/>
        <w:widowControl w:val="0"/>
        <w:kinsoku/>
        <w:wordWrap w:val="0"/>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1.开幕式的组织策划，包括领导嘉宾的接待、座席安排，活动现场的标识指引，赛场的气氛营造，中文主持，安排具有当地特色的表演，活动流程，开幕式现场的电力、灯光、音响以及其他必要物料等。</w:t>
      </w:r>
    </w:p>
    <w:p w14:paraId="111D71C4">
      <w:pPr>
        <w:pStyle w:val="43"/>
        <w:keepNext w:val="0"/>
        <w:keepLines w:val="0"/>
        <w:pageBreakBefore w:val="0"/>
        <w:widowControl w:val="0"/>
        <w:kinsoku/>
        <w:wordWrap w:val="0"/>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2.闭幕式的组织策划；中文主持，颁奖及活动流程，现场的布置、音响、气氛营造以及其他必要物料等。</w:t>
      </w:r>
    </w:p>
    <w:p w14:paraId="2478482D">
      <w:pPr>
        <w:pStyle w:val="43"/>
        <w:keepNext w:val="0"/>
        <w:keepLines w:val="0"/>
        <w:pageBreakBefore w:val="0"/>
        <w:widowControl w:val="0"/>
        <w:kinsoku/>
        <w:wordWrap w:val="0"/>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3.安保：成交方配合协助采购方报备当地公安，保障活动期间主赛区的安全保卫工作，并按公安部门出具的安保配置表配置。</w:t>
      </w:r>
    </w:p>
    <w:p w14:paraId="31CFACE5">
      <w:pPr>
        <w:pStyle w:val="43"/>
        <w:keepNext w:val="0"/>
        <w:keepLines w:val="0"/>
        <w:pageBreakBefore w:val="0"/>
        <w:widowControl w:val="0"/>
        <w:kinsoku/>
        <w:wordWrap w:val="0"/>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4.保洁：移动厕所、保洁人员由采购方提供，保障活动期间主赛区有卫生保洁工作，成交方予以配合和区域规划。</w:t>
      </w:r>
    </w:p>
    <w:p w14:paraId="6FFA9AA7">
      <w:pPr>
        <w:pStyle w:val="43"/>
        <w:keepNext w:val="0"/>
        <w:keepLines w:val="0"/>
        <w:pageBreakBefore w:val="0"/>
        <w:widowControl w:val="0"/>
        <w:kinsoku/>
        <w:wordWrap w:val="0"/>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5.工作证件、奖杯、奖牌、秩序册：工作证根据采购方报名队伍制作，各岗位需以颜色和名称区别；秩序册按照每队2本制作；奖杯、奖牌按照竞赛规则进行制作。</w:t>
      </w:r>
    </w:p>
    <w:p w14:paraId="7391637C">
      <w:pPr>
        <w:pStyle w:val="43"/>
        <w:keepNext w:val="0"/>
        <w:keepLines w:val="0"/>
        <w:pageBreakBefore w:val="0"/>
        <w:widowControl w:val="0"/>
        <w:kinsoku/>
        <w:wordWrap w:val="0"/>
        <w:overflowPunct/>
        <w:topLinePunct w:val="0"/>
        <w:autoSpaceDE/>
        <w:autoSpaceDN/>
        <w:bidi w:val="0"/>
        <w:adjustRightInd w:val="0"/>
        <w:snapToGrid w:val="0"/>
        <w:spacing w:line="360" w:lineRule="auto"/>
        <w:ind w:left="0" w:leftChars="0" w:firstLine="482" w:firstLineChars="200"/>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竞赛场地及器材服务</w:t>
      </w:r>
      <w:r>
        <w:rPr>
          <w:rFonts w:hint="eastAsia" w:cs="宋体"/>
          <w:b/>
          <w:bCs/>
          <w:color w:val="auto"/>
          <w:kern w:val="2"/>
          <w:sz w:val="24"/>
          <w:szCs w:val="24"/>
          <w:highlight w:val="none"/>
          <w:lang w:val="en-US" w:eastAsia="zh-CN" w:bidi="ar-SA"/>
        </w:rPr>
        <w:t>：</w:t>
      </w:r>
    </w:p>
    <w:p w14:paraId="681523BD">
      <w:pPr>
        <w:pStyle w:val="43"/>
        <w:keepNext w:val="0"/>
        <w:keepLines w:val="0"/>
        <w:pageBreakBefore w:val="0"/>
        <w:widowControl w:val="0"/>
        <w:kinsoku/>
        <w:wordWrap w:val="0"/>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1.比赛场地：</w:t>
      </w:r>
    </w:p>
    <w:p w14:paraId="0523239F">
      <w:pPr>
        <w:pStyle w:val="43"/>
        <w:keepNext w:val="0"/>
        <w:keepLines w:val="0"/>
        <w:pageBreakBefore w:val="0"/>
        <w:widowControl w:val="0"/>
        <w:kinsoku/>
        <w:wordWrap w:val="0"/>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（1）水面长度不小于700米，宽度不小于100米，赛道内水深不小于2米，水质不低于III水的静水水域；</w:t>
      </w:r>
    </w:p>
    <w:p w14:paraId="27CA8FC5">
      <w:pPr>
        <w:pStyle w:val="43"/>
        <w:keepNext w:val="0"/>
        <w:keepLines w:val="0"/>
        <w:pageBreakBefore w:val="0"/>
        <w:widowControl w:val="0"/>
        <w:kinsoku/>
        <w:wordWrap w:val="0"/>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（2）设置符合规则要求的长500米，宽≥11米的4条赛道用浮球布置的矩形场地，并设有附赛道、警戒水域、准备区和缓冲区；</w:t>
      </w:r>
    </w:p>
    <w:p w14:paraId="5E8001C0">
      <w:pPr>
        <w:pStyle w:val="43"/>
        <w:keepNext w:val="0"/>
        <w:keepLines w:val="0"/>
        <w:pageBreakBefore w:val="0"/>
        <w:widowControl w:val="0"/>
        <w:kinsoku/>
        <w:wordWrap w:val="0"/>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（3）比赛设施</w:t>
      </w:r>
    </w:p>
    <w:p w14:paraId="667973C3">
      <w:pPr>
        <w:pStyle w:val="43"/>
        <w:keepNext w:val="0"/>
        <w:keepLines w:val="0"/>
        <w:pageBreakBefore w:val="0"/>
        <w:widowControl w:val="0"/>
        <w:kinsoku/>
        <w:wordWrap w:val="0"/>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①设置高强度铝合金拼装启航平台1组，其中2米×6米为1个模块，共7个模块；</w:t>
      </w:r>
    </w:p>
    <w:p w14:paraId="7D422DCA">
      <w:pPr>
        <w:pStyle w:val="43"/>
        <w:keepNext w:val="0"/>
        <w:keepLines w:val="0"/>
        <w:pageBreakBefore w:val="0"/>
        <w:widowControl w:val="0"/>
        <w:kinsoku/>
        <w:wordWrap w:val="0"/>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②设置高强度铝合金拼装发令平台 2 组，其中2米×6米为1个模块，共3个模块；</w:t>
      </w:r>
    </w:p>
    <w:p w14:paraId="36F9B698">
      <w:pPr>
        <w:pStyle w:val="43"/>
        <w:keepNext w:val="0"/>
        <w:keepLines w:val="0"/>
        <w:pageBreakBefore w:val="0"/>
        <w:widowControl w:val="0"/>
        <w:kinsoku/>
        <w:wordWrap w:val="0"/>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③设置高强度铝合金拼装登舟平台标准4组（最少2组），其中2米×6米为1个模块，共计38模块组成：</w:t>
      </w:r>
    </w:p>
    <w:p w14:paraId="1D1A7159">
      <w:pPr>
        <w:pStyle w:val="43"/>
        <w:keepNext w:val="0"/>
        <w:keepLines w:val="0"/>
        <w:pageBreakBefore w:val="0"/>
        <w:widowControl w:val="0"/>
        <w:kinsoku/>
        <w:wordWrap w:val="0"/>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标准为：</w:t>
      </w:r>
    </w:p>
    <w:p w14:paraId="08B9160E">
      <w:pPr>
        <w:pStyle w:val="43"/>
        <w:keepNext w:val="0"/>
        <w:keepLines w:val="0"/>
        <w:pageBreakBefore w:val="0"/>
        <w:widowControl w:val="0"/>
        <w:kinsoku/>
        <w:wordWrap w:val="0"/>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1 个主平台（横向）不少于长46米，宽4米，共14模块组成；</w:t>
      </w:r>
    </w:p>
    <w:p w14:paraId="4FAC9459">
      <w:pPr>
        <w:pStyle w:val="43"/>
        <w:keepNext w:val="0"/>
        <w:keepLines w:val="0"/>
        <w:pageBreakBefore w:val="0"/>
        <w:widowControl w:val="0"/>
        <w:kinsoku/>
        <w:wordWrap w:val="0"/>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4 个附平台（纵向），每个不少于长 18 米，宽4米，每个附平台由6个模块组成，共24模块；</w:t>
      </w:r>
    </w:p>
    <w:p w14:paraId="1B271CE8">
      <w:pPr>
        <w:pStyle w:val="43"/>
        <w:keepNext w:val="0"/>
        <w:keepLines w:val="0"/>
        <w:pageBreakBefore w:val="0"/>
        <w:widowControl w:val="0"/>
        <w:kinsoku/>
        <w:wordWrap w:val="0"/>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④瞄准牌设置在200米起点、500米起点、终点，3组，每组1个2米×6米模块；</w:t>
      </w:r>
    </w:p>
    <w:p w14:paraId="3187A448">
      <w:pPr>
        <w:pStyle w:val="43"/>
        <w:keepNext w:val="0"/>
        <w:keepLines w:val="0"/>
        <w:pageBreakBefore w:val="0"/>
        <w:widowControl w:val="0"/>
        <w:kinsoku/>
        <w:wordWrap w:val="0"/>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⑤利用原有浮动码头搭建符合比赛要求的登舟平台。</w:t>
      </w:r>
    </w:p>
    <w:p w14:paraId="47BEB231">
      <w:pPr>
        <w:pStyle w:val="43"/>
        <w:keepNext w:val="0"/>
        <w:keepLines w:val="0"/>
        <w:pageBreakBefore w:val="0"/>
        <w:widowControl w:val="0"/>
        <w:kinsoku/>
        <w:wordWrap w:val="0"/>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⑥终点计时区域，根据赛事要求进行搭建，必须符合相关技术要求。</w:t>
      </w:r>
    </w:p>
    <w:p w14:paraId="11346E91">
      <w:pPr>
        <w:pStyle w:val="43"/>
        <w:keepNext w:val="0"/>
        <w:keepLines w:val="0"/>
        <w:pageBreakBefore w:val="0"/>
        <w:widowControl w:val="0"/>
        <w:kinsoku/>
        <w:wordWrap w:val="0"/>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（4）附属设备物品</w:t>
      </w:r>
    </w:p>
    <w:p w14:paraId="6700E89A">
      <w:pPr>
        <w:pStyle w:val="43"/>
        <w:keepNext w:val="0"/>
        <w:keepLines w:val="0"/>
        <w:pageBreakBefore w:val="0"/>
        <w:widowControl w:val="0"/>
        <w:kinsoku/>
        <w:wordWrap w:val="0"/>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①瞄准牌、标志杆和龙门垂线架共2套（起点、终点各1套）；</w:t>
      </w:r>
    </w:p>
    <w:p w14:paraId="4938BEF7">
      <w:pPr>
        <w:pStyle w:val="43"/>
        <w:keepNext w:val="0"/>
        <w:keepLines w:val="0"/>
        <w:pageBreakBefore w:val="0"/>
        <w:widowControl w:val="0"/>
        <w:kinsoku/>
        <w:wordWrap w:val="0"/>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②赛道（500/400/300/200/100/0 米）高1米，宽0.5米白底黑字分段标志1套；</w:t>
      </w:r>
    </w:p>
    <w:p w14:paraId="12B360D5">
      <w:pPr>
        <w:pStyle w:val="43"/>
        <w:keepNext w:val="0"/>
        <w:keepLines w:val="0"/>
        <w:pageBreakBefore w:val="0"/>
        <w:widowControl w:val="0"/>
        <w:kinsoku/>
        <w:wordWrap w:val="0"/>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③起点、登舟平台1-4号编号牌高0.80米，0.50米的白底黑字矩形3套；终点赛道编号牌高1米，底边长0.50米的三角形白底黑字1套；</w:t>
      </w:r>
    </w:p>
    <w:p w14:paraId="1E850D66">
      <w:pPr>
        <w:pStyle w:val="43"/>
        <w:keepNext w:val="0"/>
        <w:keepLines w:val="0"/>
        <w:pageBreakBefore w:val="0"/>
        <w:widowControl w:val="0"/>
        <w:kinsoku/>
        <w:wordWrap w:val="0"/>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④裁判岗位、休息区运动员队名、各类功能区域和通道的标识；</w:t>
      </w:r>
    </w:p>
    <w:p w14:paraId="5000D570">
      <w:pPr>
        <w:pStyle w:val="43"/>
        <w:keepNext w:val="0"/>
        <w:keepLines w:val="0"/>
        <w:pageBreakBefore w:val="0"/>
        <w:widowControl w:val="0"/>
        <w:kinsoku/>
        <w:wordWrap w:val="0"/>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⑤运动员休息区3X3米帐篷32顶，其他区域（检录、器材、终点等）帐篷18顶，起航平台上遮阳伞4把（含配重）。</w:t>
      </w:r>
    </w:p>
    <w:p w14:paraId="2C3AFC27">
      <w:pPr>
        <w:pStyle w:val="43"/>
        <w:keepNext w:val="0"/>
        <w:keepLines w:val="0"/>
        <w:pageBreakBefore w:val="0"/>
        <w:widowControl w:val="0"/>
        <w:kinsoku/>
        <w:wordWrap w:val="0"/>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⑥各裁判岗位条桌20张，椅50张，凳200张。</w:t>
      </w:r>
    </w:p>
    <w:p w14:paraId="7E804E91">
      <w:pPr>
        <w:pStyle w:val="43"/>
        <w:keepNext w:val="0"/>
        <w:keepLines w:val="0"/>
        <w:pageBreakBefore w:val="0"/>
        <w:widowControl w:val="0"/>
        <w:kinsoku/>
        <w:wordWrap w:val="0"/>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⑦成绩公告长2米，宽1米（含支架，总高 1.8 米）1套。</w:t>
      </w:r>
    </w:p>
    <w:p w14:paraId="74D82709">
      <w:pPr>
        <w:pStyle w:val="43"/>
        <w:keepNext w:val="0"/>
        <w:keepLines w:val="0"/>
        <w:pageBreakBefore w:val="0"/>
        <w:widowControl w:val="0"/>
        <w:kinsoku/>
        <w:wordWrap w:val="0"/>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⑧救生艇4-6座4艘（及配套救生圈、杆和小红十字旗），备用救生衣100 件。</w:t>
      </w:r>
    </w:p>
    <w:p w14:paraId="09199D93">
      <w:pPr>
        <w:pStyle w:val="43"/>
        <w:keepNext w:val="0"/>
        <w:keepLines w:val="0"/>
        <w:pageBreakBefore w:val="0"/>
        <w:widowControl w:val="0"/>
        <w:kinsoku/>
        <w:wordWrap w:val="0"/>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⑨运动员休息区、检录区、登舟平台及连接通道隔离铁马视实际场地情况而定。</w:t>
      </w:r>
    </w:p>
    <w:p w14:paraId="4011B656">
      <w:pPr>
        <w:pStyle w:val="43"/>
        <w:keepNext w:val="0"/>
        <w:keepLines w:val="0"/>
        <w:pageBreakBefore w:val="0"/>
        <w:widowControl w:val="0"/>
        <w:kinsoku/>
        <w:wordWrap w:val="0"/>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⑩主席台/起点/终点/检录区域电源按使用电器数量功率需求接驳，电源接线板。</w:t>
      </w:r>
    </w:p>
    <w:p w14:paraId="22CF91F7">
      <w:pPr>
        <w:pStyle w:val="43"/>
        <w:keepNext w:val="0"/>
        <w:keepLines w:val="0"/>
        <w:pageBreakBefore w:val="0"/>
        <w:widowControl w:val="0"/>
        <w:kinsoku/>
        <w:wordWrap w:val="0"/>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2.赛场附近需配有适应参赛人数要求的卫生间或临厕、器材管理存放用室、运动员休息区、观龙台和嘉宾休息室、医务点和救护车。</w:t>
      </w:r>
    </w:p>
    <w:p w14:paraId="086DE369">
      <w:pPr>
        <w:pStyle w:val="43"/>
        <w:keepNext w:val="0"/>
        <w:keepLines w:val="0"/>
        <w:pageBreakBefore w:val="0"/>
        <w:widowControl w:val="0"/>
        <w:kinsoku/>
        <w:wordWrap w:val="0"/>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3.比赛期间需要准备裁判员学习会议室（50 人），组委会会议室（100 人），配备音响、话筒、投影等设备。</w:t>
      </w:r>
    </w:p>
    <w:p w14:paraId="0E9A5B10">
      <w:pPr>
        <w:pStyle w:val="43"/>
        <w:keepNext w:val="0"/>
        <w:keepLines w:val="0"/>
        <w:pageBreakBefore w:val="0"/>
        <w:widowControl w:val="0"/>
        <w:kinsoku/>
        <w:wordWrap w:val="0"/>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4.竞赛器材：</w:t>
      </w:r>
    </w:p>
    <w:p w14:paraId="21F6A3EA">
      <w:pPr>
        <w:pStyle w:val="43"/>
        <w:keepNext w:val="0"/>
        <w:keepLines w:val="0"/>
        <w:pageBreakBefore w:val="0"/>
        <w:widowControl w:val="0"/>
        <w:kinsoku/>
        <w:wordWrap w:val="0"/>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（1）比赛器材</w:t>
      </w:r>
    </w:p>
    <w:p w14:paraId="572D061C">
      <w:pPr>
        <w:pStyle w:val="43"/>
        <w:keepNext w:val="0"/>
        <w:keepLines w:val="0"/>
        <w:pageBreakBefore w:val="0"/>
        <w:widowControl w:val="0"/>
        <w:kinsoku/>
        <w:wordWrap w:val="0"/>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①备用救生衣100件。</w:t>
      </w:r>
    </w:p>
    <w:p w14:paraId="0D14DB70">
      <w:pPr>
        <w:pStyle w:val="43"/>
        <w:keepNext w:val="0"/>
        <w:keepLines w:val="0"/>
        <w:pageBreakBefore w:val="0"/>
        <w:widowControl w:val="0"/>
        <w:kinsoku/>
        <w:wordWrap w:val="0"/>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②配套用品：按龙舟数量配备龙舟尾旗旗杆（1.5米）、鼓槌、水瓢、弹力鼓绳、艏艉系泊缆绳长 20 米。</w:t>
      </w:r>
    </w:p>
    <w:p w14:paraId="139E297E">
      <w:pPr>
        <w:pStyle w:val="43"/>
        <w:keepNext w:val="0"/>
        <w:keepLines w:val="0"/>
        <w:pageBreakBefore w:val="0"/>
        <w:widowControl w:val="0"/>
        <w:kinsoku/>
        <w:wordWrap w:val="0"/>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③赛道裁判消浪艇（带顶棚）1 艘，赛场工作艇1艘。</w:t>
      </w:r>
    </w:p>
    <w:p w14:paraId="4A78A005">
      <w:pPr>
        <w:pStyle w:val="43"/>
        <w:keepNext w:val="0"/>
        <w:keepLines w:val="0"/>
        <w:pageBreakBefore w:val="0"/>
        <w:widowControl w:val="0"/>
        <w:kinsoku/>
        <w:wordWrap w:val="0"/>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（2）裁判器材</w:t>
      </w:r>
    </w:p>
    <w:p w14:paraId="69E24AAC">
      <w:pPr>
        <w:pStyle w:val="43"/>
        <w:keepNext w:val="0"/>
        <w:keepLines w:val="0"/>
        <w:pageBreakBefore w:val="0"/>
        <w:widowControl w:val="0"/>
        <w:kinsoku/>
        <w:wordWrap w:val="0"/>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①租借电子计时设备 1 套</w:t>
      </w:r>
    </w:p>
    <w:p w14:paraId="1FF6FFBB">
      <w:pPr>
        <w:pStyle w:val="43"/>
        <w:keepNext w:val="0"/>
        <w:keepLines w:val="0"/>
        <w:pageBreakBefore w:val="0"/>
        <w:widowControl w:val="0"/>
        <w:kinsoku/>
        <w:wordWrap w:val="0"/>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②检录区、起点大功率扩音设备共2套，要求音量覆盖工作区域，含无线话筒及支架。</w:t>
      </w:r>
    </w:p>
    <w:p w14:paraId="2A44C5AE">
      <w:pPr>
        <w:pStyle w:val="43"/>
        <w:keepNext w:val="0"/>
        <w:keepLines w:val="0"/>
        <w:pageBreakBefore w:val="0"/>
        <w:widowControl w:val="0"/>
        <w:kinsoku/>
        <w:wordWrap w:val="0"/>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③摄像机2台（具备回看帧进功能，起点、终点各1台），32寸彩色平板显示器1台（含3~5米视频线）</w:t>
      </w:r>
    </w:p>
    <w:p w14:paraId="736E0AA5">
      <w:pPr>
        <w:pStyle w:val="43"/>
        <w:keepNext w:val="0"/>
        <w:keepLines w:val="0"/>
        <w:pageBreakBefore w:val="0"/>
        <w:widowControl w:val="0"/>
        <w:kinsoku/>
        <w:wordWrap w:val="0"/>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④对讲机，要求无延时，按省派裁判员数量配备</w:t>
      </w:r>
    </w:p>
    <w:p w14:paraId="07630984">
      <w:pPr>
        <w:pStyle w:val="43"/>
        <w:keepNext w:val="0"/>
        <w:keepLines w:val="0"/>
        <w:pageBreakBefore w:val="0"/>
        <w:widowControl w:val="0"/>
        <w:kinsoku/>
        <w:wordWrap w:val="0"/>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⑤大功率手提扩音器5只。</w:t>
      </w:r>
    </w:p>
    <w:p w14:paraId="6F65E8A7">
      <w:pPr>
        <w:pStyle w:val="43"/>
        <w:keepNext w:val="0"/>
        <w:keepLines w:val="0"/>
        <w:pageBreakBefore w:val="0"/>
        <w:widowControl w:val="0"/>
        <w:kinsoku/>
        <w:wordWrap w:val="0"/>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⑥验桨卡摸1个,防水合格标贴350张，10米卷尺1只。</w:t>
      </w:r>
    </w:p>
    <w:p w14:paraId="3A9ED7D1">
      <w:pPr>
        <w:pStyle w:val="43"/>
        <w:keepNext w:val="0"/>
        <w:keepLines w:val="0"/>
        <w:pageBreakBefore w:val="0"/>
        <w:widowControl w:val="0"/>
        <w:kinsoku/>
        <w:wordWrap w:val="0"/>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⑦大挂钟2面。</w:t>
      </w:r>
    </w:p>
    <w:p w14:paraId="675F921E">
      <w:pPr>
        <w:pStyle w:val="43"/>
        <w:keepNext w:val="0"/>
        <w:keepLines w:val="0"/>
        <w:pageBreakBefore w:val="0"/>
        <w:widowControl w:val="0"/>
        <w:kinsoku/>
        <w:wordWrap w:val="0"/>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⑧裁判员夹板20个，签字笔30支，订书机1各，双面贴3卷，燕尾夹若干。</w:t>
      </w:r>
    </w:p>
    <w:p w14:paraId="7AB4744B">
      <w:pPr>
        <w:pStyle w:val="43"/>
        <w:keepNext w:val="0"/>
        <w:keepLines w:val="0"/>
        <w:pageBreakBefore w:val="0"/>
        <w:widowControl w:val="0"/>
        <w:kinsoku/>
        <w:wordWrap w:val="0"/>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⑨发令用高音汽笛（压力罐装）6个。</w:t>
      </w:r>
    </w:p>
    <w:p w14:paraId="01C02C7C">
      <w:pPr>
        <w:pStyle w:val="43"/>
        <w:keepNext w:val="0"/>
        <w:keepLines w:val="0"/>
        <w:pageBreakBefore w:val="0"/>
        <w:widowControl w:val="0"/>
        <w:kinsoku/>
        <w:wordWrap w:val="0"/>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⑩多功能秒表10块。</w:t>
      </w:r>
    </w:p>
    <w:p w14:paraId="4B7DAE2D">
      <w:pPr>
        <w:pStyle w:val="43"/>
        <w:keepNext w:val="0"/>
        <w:keepLines w:val="0"/>
        <w:pageBreakBefore w:val="0"/>
        <w:widowControl w:val="0"/>
        <w:kinsoku/>
        <w:wordWrap w:val="0"/>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⑪制作检录卡4套（A4大小，防雨），按参赛队含照片等身份信息。</w:t>
      </w:r>
    </w:p>
    <w:p w14:paraId="1A40BEF9">
      <w:pPr>
        <w:pStyle w:val="43"/>
        <w:keepNext w:val="0"/>
        <w:keepLines w:val="0"/>
        <w:pageBreakBefore w:val="0"/>
        <w:widowControl w:val="0"/>
        <w:kinsoku/>
        <w:wordWrap w:val="0"/>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⑫警告、取消资格红、黄牌各4块（尺寸0.20×0.30米，配有把手）。</w:t>
      </w:r>
    </w:p>
    <w:p w14:paraId="011B62D1">
      <w:pPr>
        <w:pStyle w:val="43"/>
        <w:keepNext w:val="0"/>
        <w:keepLines w:val="0"/>
        <w:pageBreakBefore w:val="0"/>
        <w:widowControl w:val="0"/>
        <w:kinsoku/>
        <w:wordWrap w:val="0"/>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⑬红、白手旗5套。</w:t>
      </w:r>
    </w:p>
    <w:p w14:paraId="64120DFD">
      <w:pPr>
        <w:pStyle w:val="43"/>
        <w:keepNext w:val="0"/>
        <w:keepLines w:val="0"/>
        <w:pageBreakBefore w:val="0"/>
        <w:widowControl w:val="0"/>
        <w:kinsoku/>
        <w:wordWrap w:val="0"/>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⑭黑色危险信号旗14套。</w:t>
      </w:r>
    </w:p>
    <w:p w14:paraId="52BE8085">
      <w:pPr>
        <w:pStyle w:val="43"/>
        <w:keepNext w:val="0"/>
        <w:keepLines w:val="0"/>
        <w:pageBreakBefore w:val="0"/>
        <w:widowControl w:val="0"/>
        <w:kinsoku/>
        <w:wordWrap w:val="0"/>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⑮龙舟上的赛道编号牌4套（1~4号，红底黄字、黄底红字、蓝底白字）。</w:t>
      </w:r>
    </w:p>
    <w:p w14:paraId="7D83ACBE">
      <w:pPr>
        <w:pStyle w:val="43"/>
        <w:keepNext w:val="0"/>
        <w:keepLines w:val="0"/>
        <w:pageBreakBefore w:val="0"/>
        <w:widowControl w:val="0"/>
        <w:kinsoku/>
        <w:wordWrap w:val="0"/>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⑯赛道编号引导牌4套（0.25×0.35米，把手长0.30米，与龙舟上赛道编号牌颜色相同）。</w:t>
      </w:r>
    </w:p>
    <w:p w14:paraId="2812E2F6">
      <w:pPr>
        <w:pStyle w:val="43"/>
        <w:keepNext w:val="0"/>
        <w:keepLines w:val="0"/>
        <w:pageBreakBefore w:val="0"/>
        <w:widowControl w:val="0"/>
        <w:kinsoku/>
        <w:wordWrap w:val="0"/>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⑰队名引导牌，根据参赛队数（队名按秩序册上规范简称，配有把手，正反面，把手长 0.50 米）。</w:t>
      </w:r>
    </w:p>
    <w:p w14:paraId="6474E5A1">
      <w:pPr>
        <w:pStyle w:val="43"/>
        <w:keepNext w:val="0"/>
        <w:keepLines w:val="0"/>
        <w:pageBreakBefore w:val="0"/>
        <w:widowControl w:val="0"/>
        <w:kinsoku/>
        <w:wordWrap w:val="0"/>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⑱抽签用具一套签箱1个、乒乓球20个、扑克牌2付，黑色、红色油性记号笔各1支。</w:t>
      </w:r>
    </w:p>
    <w:p w14:paraId="3738A673">
      <w:pPr>
        <w:pStyle w:val="43"/>
        <w:keepNext w:val="0"/>
        <w:keepLines w:val="0"/>
        <w:pageBreakBefore w:val="0"/>
        <w:widowControl w:val="0"/>
        <w:kinsoku/>
        <w:wordWrap w:val="0"/>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⑲队长标志袖标共16个。</w:t>
      </w:r>
    </w:p>
    <w:p w14:paraId="3E9A08AD">
      <w:pPr>
        <w:pStyle w:val="43"/>
        <w:keepNext w:val="0"/>
        <w:keepLines w:val="0"/>
        <w:pageBreakBefore w:val="0"/>
        <w:widowControl w:val="0"/>
        <w:kinsoku/>
        <w:wordWrap w:val="0"/>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⑳龙舟三角型彩色尾旗14面，高0.60 长0.80米直角三角形</w:t>
      </w:r>
    </w:p>
    <w:p w14:paraId="2565F790">
      <w:pPr>
        <w:pStyle w:val="43"/>
        <w:keepNext w:val="0"/>
        <w:keepLines w:val="0"/>
        <w:pageBreakBefore w:val="0"/>
        <w:widowControl w:val="0"/>
        <w:kinsoku/>
        <w:wordWrap w:val="0"/>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㉑加厚长0.68米80升手提收纳编织袋6只，标记裁判岗位并分装裁判器材。</w:t>
      </w:r>
    </w:p>
    <w:p w14:paraId="463B20C3">
      <w:pPr>
        <w:pStyle w:val="43"/>
        <w:keepNext w:val="0"/>
        <w:keepLines w:val="0"/>
        <w:pageBreakBefore w:val="0"/>
        <w:widowControl w:val="0"/>
        <w:kinsoku/>
        <w:wordWrap w:val="0"/>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㉒笔记本电脑 1台（预装 WINDOWS系统和办公软件）。</w:t>
      </w:r>
    </w:p>
    <w:p w14:paraId="250BC52E">
      <w:pPr>
        <w:pStyle w:val="43"/>
        <w:keepNext w:val="0"/>
        <w:keepLines w:val="0"/>
        <w:pageBreakBefore w:val="0"/>
        <w:widowControl w:val="0"/>
        <w:kinsoku/>
        <w:wordWrap w:val="0"/>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㉓激光黑白打印机 1台（准备新墨盒）、打印纸（A4）不少于3包。</w:t>
      </w:r>
    </w:p>
    <w:p w14:paraId="54FF4BBD">
      <w:pPr>
        <w:pStyle w:val="43"/>
        <w:keepNext w:val="0"/>
        <w:keepLines w:val="0"/>
        <w:pageBreakBefore w:val="0"/>
        <w:widowControl w:val="0"/>
        <w:kinsoku/>
        <w:wordWrap w:val="0"/>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㉔竞赛材料由裁判长提供样张和数量要求，承办单位负责制作。</w:t>
      </w:r>
    </w:p>
    <w:p w14:paraId="79197148">
      <w:pPr>
        <w:pStyle w:val="43"/>
        <w:keepNext w:val="0"/>
        <w:keepLines w:val="0"/>
        <w:pageBreakBefore w:val="0"/>
        <w:widowControl w:val="0"/>
        <w:kinsoku/>
        <w:wordWrap w:val="0"/>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（3）其他</w:t>
      </w:r>
    </w:p>
    <w:p w14:paraId="5991609E">
      <w:pPr>
        <w:pStyle w:val="43"/>
        <w:keepNext w:val="0"/>
        <w:keepLines w:val="0"/>
        <w:pageBreakBefore w:val="0"/>
        <w:widowControl w:val="0"/>
        <w:kinsoku/>
        <w:wordWrap w:val="0"/>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①胸卡种类为：工作人员、仲裁、技术代表、总裁判长、副总裁判长、裁判长、辅助裁判员、竞赛志愿者，领队、教练、运动员，数量根据实际确定。</w:t>
      </w:r>
    </w:p>
    <w:p w14:paraId="7962EAEF">
      <w:pPr>
        <w:pStyle w:val="43"/>
        <w:keepNext w:val="0"/>
        <w:keepLines w:val="0"/>
        <w:pageBreakBefore w:val="0"/>
        <w:widowControl w:val="0"/>
        <w:kinsoku/>
        <w:wordWrap w:val="0"/>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②仲裁、裁判、运动队用水，根据人员数量配置，每人每天2-3瓶（500ml）。</w:t>
      </w:r>
    </w:p>
    <w:p w14:paraId="06D0052F">
      <w:pPr>
        <w:pStyle w:val="43"/>
        <w:keepNext w:val="0"/>
        <w:keepLines w:val="0"/>
        <w:pageBreakBefore w:val="0"/>
        <w:widowControl w:val="0"/>
        <w:kinsoku/>
        <w:wordWrap w:val="0"/>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③秩序册（指南）印制数量：竞委会、大会办事机构每人1份，仲裁、裁判每人1份，参赛队每队2份，协会存档5份，赛区存档数量自定。</w:t>
      </w:r>
    </w:p>
    <w:p w14:paraId="7F2963E8">
      <w:pPr>
        <w:pStyle w:val="43"/>
        <w:keepNext w:val="0"/>
        <w:keepLines w:val="0"/>
        <w:pageBreakBefore w:val="0"/>
        <w:widowControl w:val="0"/>
        <w:kinsoku/>
        <w:wordWrap w:val="0"/>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④成绩册印制数量：待定。</w:t>
      </w:r>
    </w:p>
    <w:p w14:paraId="3998C936">
      <w:pPr>
        <w:pStyle w:val="43"/>
        <w:keepNext w:val="0"/>
        <w:keepLines w:val="0"/>
        <w:pageBreakBefore w:val="0"/>
        <w:widowControl w:val="0"/>
        <w:kinsoku/>
        <w:wordWrap w:val="0"/>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⑤比赛开幕式和颁奖所需器材另行确定。</w:t>
      </w:r>
    </w:p>
    <w:p w14:paraId="509B1D25">
      <w:pPr>
        <w:pStyle w:val="43"/>
        <w:keepNext w:val="0"/>
        <w:keepLines w:val="0"/>
        <w:pageBreakBefore w:val="0"/>
        <w:widowControl w:val="0"/>
        <w:kinsoku/>
        <w:wordWrap w:val="0"/>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5.裁判员装备：</w:t>
      </w:r>
    </w:p>
    <w:p w14:paraId="2EBEDC22">
      <w:pPr>
        <w:pStyle w:val="43"/>
        <w:keepNext w:val="0"/>
        <w:keepLines w:val="0"/>
        <w:pageBreakBefore w:val="0"/>
        <w:widowControl w:val="0"/>
        <w:kinsoku/>
        <w:wordWrap w:val="0"/>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（1）防晒服每人1件。</w:t>
      </w:r>
    </w:p>
    <w:p w14:paraId="532160C2">
      <w:pPr>
        <w:pStyle w:val="43"/>
        <w:keepNext w:val="0"/>
        <w:keepLines w:val="0"/>
        <w:pageBreakBefore w:val="0"/>
        <w:widowControl w:val="0"/>
        <w:kinsoku/>
        <w:wordWrap w:val="0"/>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（2）裁判员服装，视气温准备短袖、长袖每人各1件。按人员数量要求省派、辅助、志愿者及工作人员服装颜色要有显著区别。</w:t>
      </w:r>
    </w:p>
    <w:p w14:paraId="6E367888">
      <w:pPr>
        <w:pStyle w:val="43"/>
        <w:keepNext w:val="0"/>
        <w:keepLines w:val="0"/>
        <w:pageBreakBefore w:val="0"/>
        <w:widowControl w:val="0"/>
        <w:kinsoku/>
        <w:wordWrap w:val="0"/>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备注：上述赛事执行内容以主办单位最终确认的竞赛规程和所需物料、设备、器材为准,均含搬运、运输、拆移等。</w:t>
      </w:r>
    </w:p>
    <w:p w14:paraId="18CD2124">
      <w:pPr>
        <w:pStyle w:val="43"/>
        <w:keepNext w:val="0"/>
        <w:keepLines w:val="0"/>
        <w:pageBreakBefore w:val="0"/>
        <w:widowControl w:val="0"/>
        <w:kinsoku/>
        <w:wordWrap w:val="0"/>
        <w:overflowPunct/>
        <w:topLinePunct w:val="0"/>
        <w:autoSpaceDE/>
        <w:autoSpaceDN/>
        <w:bidi w:val="0"/>
        <w:adjustRightInd w:val="0"/>
        <w:snapToGrid w:val="0"/>
        <w:spacing w:line="360" w:lineRule="auto"/>
        <w:ind w:left="0" w:leftChars="0" w:firstLine="482" w:firstLineChars="200"/>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（三）2026年南通市中小学体育俱乐部跳绳比赛暨市民生实事“一校一品”跳绳项目学校比赛</w:t>
      </w:r>
    </w:p>
    <w:p w14:paraId="5CBE9002">
      <w:pPr>
        <w:pStyle w:val="43"/>
        <w:keepNext w:val="0"/>
        <w:keepLines w:val="0"/>
        <w:pageBreakBefore w:val="0"/>
        <w:widowControl w:val="0"/>
        <w:kinsoku/>
        <w:wordWrap w:val="0"/>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1.负责赛事的推广、运营、组织，按照赛事举办计划按时开展工作，制定并向相关部门报批竞赛规程；</w:t>
      </w:r>
    </w:p>
    <w:p w14:paraId="60DD354B">
      <w:pPr>
        <w:pStyle w:val="43"/>
        <w:keepNext w:val="0"/>
        <w:keepLines w:val="0"/>
        <w:pageBreakBefore w:val="0"/>
        <w:widowControl w:val="0"/>
        <w:kinsoku/>
        <w:wordWrap w:val="0"/>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2.负责赛事前期筹备，赛事前期考察、竞赛报名、赛事策划及编排等。负责下发比赛通知，运动员队伍邀约招募，并开通网站报名系统协助完成参赛队伍报名工作；</w:t>
      </w:r>
    </w:p>
    <w:p w14:paraId="1974BA89">
      <w:pPr>
        <w:pStyle w:val="43"/>
        <w:keepNext w:val="0"/>
        <w:keepLines w:val="0"/>
        <w:pageBreakBefore w:val="0"/>
        <w:widowControl w:val="0"/>
        <w:kinsoku/>
        <w:wordWrap w:val="0"/>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3.负责报名和赛事裁判系统搭建及提供。</w:t>
      </w:r>
    </w:p>
    <w:p w14:paraId="2F900012">
      <w:pPr>
        <w:pStyle w:val="43"/>
        <w:keepNext w:val="0"/>
        <w:keepLines w:val="0"/>
        <w:pageBreakBefore w:val="0"/>
        <w:widowControl w:val="0"/>
        <w:kinsoku/>
        <w:wordWrap w:val="0"/>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4.负责技术委员会选派，应根据赛事情况选调相关的裁判人员。</w:t>
      </w:r>
    </w:p>
    <w:p w14:paraId="64ED82F9">
      <w:pPr>
        <w:pStyle w:val="43"/>
        <w:keepNext w:val="0"/>
        <w:keepLines w:val="0"/>
        <w:pageBreakBefore w:val="0"/>
        <w:widowControl w:val="0"/>
        <w:kinsoku/>
        <w:wordWrap w:val="0"/>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5.负责竞赛执行，赛事监控及开闭幕式组织和协调、赛程编排、场地区域划分等。</w:t>
      </w:r>
    </w:p>
    <w:p w14:paraId="75FF1BEE">
      <w:pPr>
        <w:pStyle w:val="43"/>
        <w:keepNext w:val="0"/>
        <w:keepLines w:val="0"/>
        <w:pageBreakBefore w:val="0"/>
        <w:widowControl w:val="0"/>
        <w:kinsoku/>
        <w:wordWrap w:val="0"/>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6.负责竞赛及办公用品，提供符合标准的竞赛用品，包括全赛事电子跳绳计数设备、统一的奖牌、奖杯、证书以及运动员物料包等竞赛物料和办公用品。</w:t>
      </w:r>
    </w:p>
    <w:p w14:paraId="7F729923">
      <w:pPr>
        <w:pStyle w:val="43"/>
        <w:keepNext w:val="0"/>
        <w:keepLines w:val="0"/>
        <w:pageBreakBefore w:val="0"/>
        <w:widowControl w:val="0"/>
        <w:kinsoku/>
        <w:wordWrap w:val="0"/>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7.负责后勤服务，根据赛事情况和赛事要求，提前勘察确定酒店和餐饮、用车等后勤保障服务，为各运动队提供食宿等后勤服务，相关食宿费用由各运动队自行承担。</w:t>
      </w:r>
    </w:p>
    <w:p w14:paraId="305AEE85">
      <w:pPr>
        <w:pStyle w:val="43"/>
        <w:keepNext w:val="0"/>
        <w:keepLines w:val="0"/>
        <w:pageBreakBefore w:val="0"/>
        <w:widowControl w:val="0"/>
        <w:kinsoku/>
        <w:wordWrap w:val="0"/>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8.负责宣传及广告设计搭建工作，赛事logo、主视觉、秩序册、背景板等设计及广告物料制作及LED、音控系统搭建。</w:t>
      </w:r>
    </w:p>
    <w:p w14:paraId="5960B6A9">
      <w:pPr>
        <w:pStyle w:val="43"/>
        <w:keepNext w:val="0"/>
        <w:keepLines w:val="0"/>
        <w:pageBreakBefore w:val="0"/>
        <w:widowControl w:val="0"/>
        <w:kinsoku/>
        <w:wordWrap w:val="0"/>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9.负责志愿者分工及培训。</w:t>
      </w:r>
    </w:p>
    <w:p w14:paraId="2BC53489">
      <w:pPr>
        <w:pStyle w:val="43"/>
        <w:keepNext w:val="0"/>
        <w:keepLines w:val="0"/>
        <w:pageBreakBefore w:val="0"/>
        <w:widowControl w:val="0"/>
        <w:kinsoku/>
        <w:wordWrap w:val="0"/>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10.协同甲方成立赛事组委会。</w:t>
      </w:r>
    </w:p>
    <w:p w14:paraId="06559242">
      <w:pPr>
        <w:pStyle w:val="43"/>
        <w:keepNext w:val="0"/>
        <w:keepLines w:val="0"/>
        <w:pageBreakBefore w:val="0"/>
        <w:widowControl w:val="0"/>
        <w:kinsoku/>
        <w:wordWrap w:val="0"/>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11.乙方应承担所提供服务、设施设备以及自身团队人员的安全责任。</w:t>
      </w:r>
    </w:p>
    <w:p w14:paraId="5FC7E3AF">
      <w:pPr>
        <w:pStyle w:val="43"/>
        <w:keepNext w:val="0"/>
        <w:keepLines w:val="0"/>
        <w:pageBreakBefore w:val="0"/>
        <w:widowControl w:val="0"/>
        <w:kinsoku/>
        <w:wordWrap w:val="0"/>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12.乙方需承担项目服务人员的安全责任事故、意外事故等全部责任。项目服务人员在服务期内如出现安全事故，或者其他原因导致伤、残、亡等，由乙方自行承担全部责任及费用。</w:t>
      </w:r>
    </w:p>
    <w:p w14:paraId="166E0007">
      <w:pPr>
        <w:keepNext w:val="0"/>
        <w:keepLines w:val="0"/>
        <w:pageBreakBefore w:val="0"/>
        <w:widowControl w:val="0"/>
        <w:numPr>
          <w:ilvl w:val="0"/>
          <w:numId w:val="0"/>
        </w:numPr>
        <w:kinsoku/>
        <w:wordWrap w:val="0"/>
        <w:overflowPunct/>
        <w:topLinePunct w:val="0"/>
        <w:autoSpaceDE/>
        <w:autoSpaceDN/>
        <w:bidi w:val="0"/>
        <w:adjustRightInd w:val="0"/>
        <w:snapToGrid w:val="0"/>
        <w:spacing w:line="360" w:lineRule="auto"/>
        <w:ind w:firstLine="482" w:firstLineChars="200"/>
        <w:contextualSpacing/>
        <w:textAlignment w:val="auto"/>
        <w:outlineLvl w:val="1"/>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（四）特色风筝展演</w:t>
      </w:r>
    </w:p>
    <w:p w14:paraId="1BDB5BA8">
      <w:pPr>
        <w:pStyle w:val="43"/>
        <w:keepNext w:val="0"/>
        <w:keepLines w:val="0"/>
        <w:pageBreakBefore w:val="0"/>
        <w:widowControl w:val="0"/>
        <w:kinsoku/>
        <w:wordWrap w:val="0"/>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供应商须提供国家级非遗“南通板鹞风筝”展演服务，确保板鹞具备传统声学结构，以葫芦、竹制哨口实现高中低音阶组合，升空时可演奏“空中交响乐”；不少于</w:t>
      </w:r>
      <w:r>
        <w:rPr>
          <w:rFonts w:hint="eastAsia" w:cs="宋体"/>
          <w:b w:val="0"/>
          <w:bCs w:val="0"/>
          <w:color w:val="auto"/>
          <w:kern w:val="2"/>
          <w:sz w:val="24"/>
          <w:szCs w:val="24"/>
          <w:highlight w:val="none"/>
          <w:lang w:val="en-US" w:eastAsia="zh-CN" w:bidi="ar-SA"/>
        </w:rPr>
        <w:t>30</w:t>
      </w:r>
      <w:r>
        <w:rPr>
          <w:rFonts w:hint="eastAsia" w:ascii="宋体" w:hAnsi="宋体" w:eastAsia="宋体" w:cs="宋体"/>
          <w:b w:val="0"/>
          <w:bCs w:val="0"/>
          <w:color w:val="auto"/>
          <w:kern w:val="2"/>
          <w:sz w:val="24"/>
          <w:szCs w:val="24"/>
          <w:highlight w:val="none"/>
          <w:lang w:val="en-US" w:eastAsia="zh-CN" w:bidi="ar-SA"/>
        </w:rPr>
        <w:t>只大型风筝，同步提供非遗技艺互动体验区（如手绘风筝、哨口制作教学）及专业放飞团队‌。</w:t>
      </w:r>
    </w:p>
    <w:p w14:paraId="1888DEBD">
      <w:pPr>
        <w:pStyle w:val="43"/>
        <w:keepNext w:val="0"/>
        <w:keepLines w:val="0"/>
        <w:pageBreakBefore w:val="0"/>
        <w:widowControl w:val="0"/>
        <w:kinsoku/>
        <w:wordWrap w:val="0"/>
        <w:overflowPunct/>
        <w:topLinePunct w:val="0"/>
        <w:autoSpaceDE/>
        <w:autoSpaceDN/>
        <w:bidi w:val="0"/>
        <w:adjustRightInd w:val="0"/>
        <w:snapToGrid w:val="0"/>
        <w:spacing w:line="360" w:lineRule="auto"/>
        <w:ind w:left="0" w:leftChars="0" w:firstLine="482" w:firstLineChars="200"/>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（五）垂钓比赛</w:t>
      </w:r>
    </w:p>
    <w:p w14:paraId="4DB55B8B">
      <w:pPr>
        <w:pStyle w:val="43"/>
        <w:keepNext w:val="0"/>
        <w:keepLines w:val="0"/>
        <w:pageBreakBefore w:val="0"/>
        <w:widowControl w:val="0"/>
        <w:kinsoku/>
        <w:wordWrap w:val="0"/>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1.负责场地布置及赛事相关物资，包括舞台搭建、印刷（秩序册和赛事物料）、设计、设备租赁等；</w:t>
      </w:r>
    </w:p>
    <w:p w14:paraId="232EE44A">
      <w:pPr>
        <w:pStyle w:val="43"/>
        <w:keepNext w:val="0"/>
        <w:keepLines w:val="0"/>
        <w:pageBreakBefore w:val="0"/>
        <w:widowControl w:val="0"/>
        <w:kinsoku/>
        <w:wordWrap w:val="0"/>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2.负责赛事组织的相关工作，包括聘请相关工作人员、选派裁判员、</w:t>
      </w:r>
      <w:r>
        <w:rPr>
          <w:rFonts w:hint="eastAsia" w:cs="宋体"/>
          <w:b w:val="0"/>
          <w:bCs w:val="0"/>
          <w:color w:val="auto"/>
          <w:kern w:val="2"/>
          <w:sz w:val="24"/>
          <w:szCs w:val="24"/>
          <w:highlight w:val="none"/>
          <w:lang w:val="en-US" w:eastAsia="zh-CN" w:bidi="ar-SA"/>
        </w:rPr>
        <w:t>赛事安保与医疗等</w:t>
      </w:r>
      <w:r>
        <w:rPr>
          <w:rFonts w:hint="eastAsia" w:ascii="宋体" w:hAnsi="宋体" w:eastAsia="宋体" w:cs="宋体"/>
          <w:b w:val="0"/>
          <w:bCs w:val="0"/>
          <w:color w:val="auto"/>
          <w:kern w:val="2"/>
          <w:sz w:val="24"/>
          <w:szCs w:val="24"/>
          <w:highlight w:val="none"/>
          <w:lang w:val="en-US" w:eastAsia="zh-CN" w:bidi="ar-SA"/>
        </w:rPr>
        <w:t>；</w:t>
      </w:r>
    </w:p>
    <w:p w14:paraId="0E60CDBC">
      <w:pPr>
        <w:pStyle w:val="43"/>
        <w:keepNext w:val="0"/>
        <w:keepLines w:val="0"/>
        <w:pageBreakBefore w:val="0"/>
        <w:widowControl w:val="0"/>
        <w:kinsoku/>
        <w:wordWrap w:val="0"/>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3.负责赛事奖金、证书等发放；</w:t>
      </w:r>
    </w:p>
    <w:p w14:paraId="22AEC963">
      <w:pPr>
        <w:pStyle w:val="43"/>
        <w:keepNext w:val="0"/>
        <w:keepLines w:val="0"/>
        <w:pageBreakBefore w:val="0"/>
        <w:widowControl w:val="0"/>
        <w:kinsoku/>
        <w:wordWrap w:val="0"/>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4.负责组织人员参赛，不低于100人；</w:t>
      </w:r>
    </w:p>
    <w:p w14:paraId="2C3CC3FD">
      <w:pPr>
        <w:pStyle w:val="43"/>
        <w:keepNext w:val="0"/>
        <w:keepLines w:val="0"/>
        <w:pageBreakBefore w:val="0"/>
        <w:widowControl w:val="0"/>
        <w:kinsoku/>
        <w:wordWrap w:val="0"/>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5.负责主办方交办的其他事项。</w:t>
      </w:r>
    </w:p>
    <w:p w14:paraId="62B3BCA5">
      <w:pPr>
        <w:pStyle w:val="43"/>
        <w:keepNext w:val="0"/>
        <w:keepLines w:val="0"/>
        <w:pageBreakBefore w:val="0"/>
        <w:widowControl w:val="0"/>
        <w:kinsoku/>
        <w:wordWrap w:val="0"/>
        <w:overflowPunct/>
        <w:topLinePunct w:val="0"/>
        <w:autoSpaceDE/>
        <w:autoSpaceDN/>
        <w:bidi w:val="0"/>
        <w:adjustRightInd w:val="0"/>
        <w:snapToGrid w:val="0"/>
        <w:spacing w:line="360" w:lineRule="auto"/>
        <w:ind w:left="0" w:leftChars="0" w:firstLine="482" w:firstLineChars="200"/>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（六）如东小洋口第四届体育嘉年华开幕式</w:t>
      </w:r>
    </w:p>
    <w:p w14:paraId="35B4C0C7">
      <w:pPr>
        <w:pStyle w:val="43"/>
        <w:keepNext w:val="0"/>
        <w:keepLines w:val="0"/>
        <w:pageBreakBefore w:val="0"/>
        <w:widowControl w:val="0"/>
        <w:kinsoku/>
        <w:wordWrap w:val="0"/>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1.负责场地布置及氛围营造，包括主舞台搭建、观众区/演员区/嘉宾区划分、启动仪式装置、主题背景板、道旗、地贴、空飘及嘉年华主题装饰等；</w:t>
      </w:r>
    </w:p>
    <w:p w14:paraId="633B61C6">
      <w:pPr>
        <w:pStyle w:val="43"/>
        <w:keepNext w:val="0"/>
        <w:keepLines w:val="0"/>
        <w:pageBreakBefore w:val="0"/>
        <w:widowControl w:val="0"/>
        <w:kinsoku/>
        <w:wordWrap w:val="0"/>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2.负责</w:t>
      </w:r>
      <w:r>
        <w:rPr>
          <w:rFonts w:hint="eastAsia" w:cs="宋体"/>
          <w:b w:val="0"/>
          <w:bCs w:val="0"/>
          <w:color w:val="auto"/>
          <w:kern w:val="2"/>
          <w:sz w:val="24"/>
          <w:szCs w:val="24"/>
          <w:highlight w:val="none"/>
          <w:lang w:val="en-US" w:eastAsia="zh-CN" w:bidi="ar-SA"/>
        </w:rPr>
        <w:t>开幕式</w:t>
      </w:r>
      <w:r>
        <w:rPr>
          <w:rFonts w:hint="eastAsia" w:ascii="宋体" w:hAnsi="宋体" w:eastAsia="宋体" w:cs="宋体"/>
          <w:b w:val="0"/>
          <w:bCs w:val="0"/>
          <w:color w:val="auto"/>
          <w:kern w:val="2"/>
          <w:sz w:val="24"/>
          <w:szCs w:val="24"/>
          <w:highlight w:val="none"/>
          <w:lang w:val="en-US" w:eastAsia="zh-CN" w:bidi="ar-SA"/>
        </w:rPr>
        <w:t>环节执行，包括暖场节目组织、领导及嘉宾邀请与接待、体育嘉年华开幕启动仪式（含配合彩排及仪式道具控制）；</w:t>
      </w:r>
    </w:p>
    <w:p w14:paraId="787C494F">
      <w:pPr>
        <w:pStyle w:val="43"/>
        <w:keepNext w:val="0"/>
        <w:keepLines w:val="0"/>
        <w:pageBreakBefore w:val="0"/>
        <w:widowControl w:val="0"/>
        <w:kinsoku/>
        <w:wordWrap w:val="0"/>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4.负责相关物料设计及印刷，包括邀请函、工作证件、车证、引导牌、流程手册、地贴、手举牌、致辞夹页、签到册等；</w:t>
      </w:r>
    </w:p>
    <w:p w14:paraId="35E9AD0C">
      <w:pPr>
        <w:pStyle w:val="43"/>
        <w:keepNext w:val="0"/>
        <w:keepLines w:val="0"/>
        <w:pageBreakBefore w:val="0"/>
        <w:widowControl w:val="0"/>
        <w:kinsoku/>
        <w:wordWrap w:val="0"/>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5.负责设备租赁及现场音视频保障，包括音响系统、无线话筒（含手持/耳麦）、大屏幕、控台、灯光系统、播放电脑、摄影摄像设备及直播推流服务；</w:t>
      </w:r>
    </w:p>
    <w:p w14:paraId="1AAEFCEB">
      <w:pPr>
        <w:pStyle w:val="43"/>
        <w:keepNext w:val="0"/>
        <w:keepLines w:val="0"/>
        <w:pageBreakBefore w:val="0"/>
        <w:widowControl w:val="0"/>
        <w:kinsoku/>
        <w:wordWrap w:val="0"/>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6.负责专业人员配置，包括总导演、舞台总监、主持人、音响师、灯光师、大屏播放师、摄影师、摄像师、礼仪人员及场控人员；</w:t>
      </w:r>
    </w:p>
    <w:p w14:paraId="6ADA17B8">
      <w:pPr>
        <w:pStyle w:val="43"/>
        <w:keepNext w:val="0"/>
        <w:keepLines w:val="0"/>
        <w:pageBreakBefore w:val="0"/>
        <w:widowControl w:val="0"/>
        <w:kinsoku/>
        <w:wordWrap w:val="0"/>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7.负责现场医疗保障，包括配置医疗点、急救人员、急救箱及AED，处理现场突发伤病情况；</w:t>
      </w:r>
    </w:p>
    <w:p w14:paraId="0F82E6BB">
      <w:pPr>
        <w:pStyle w:val="43"/>
        <w:keepNext w:val="0"/>
        <w:keepLines w:val="0"/>
        <w:pageBreakBefore w:val="0"/>
        <w:widowControl w:val="0"/>
        <w:kinsoku/>
        <w:wordWrap w:val="0"/>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b w:val="0"/>
          <w:bCs w:val="0"/>
          <w:color w:val="auto"/>
          <w:kern w:val="2"/>
          <w:sz w:val="24"/>
          <w:szCs w:val="24"/>
          <w:highlight w:val="none"/>
          <w:lang w:val="en-US" w:eastAsia="zh-CN" w:bidi="ar-SA"/>
        </w:rPr>
      </w:pPr>
      <w:r>
        <w:rPr>
          <w:rFonts w:hint="eastAsia" w:cs="宋体"/>
          <w:b w:val="0"/>
          <w:bCs w:val="0"/>
          <w:color w:val="auto"/>
          <w:kern w:val="2"/>
          <w:sz w:val="24"/>
          <w:szCs w:val="24"/>
          <w:highlight w:val="none"/>
          <w:lang w:val="en-US" w:eastAsia="zh-CN" w:bidi="ar-SA"/>
        </w:rPr>
        <w:t>8</w:t>
      </w:r>
      <w:r>
        <w:rPr>
          <w:rFonts w:hint="eastAsia" w:ascii="宋体" w:hAnsi="宋体" w:eastAsia="宋体" w:cs="宋体"/>
          <w:b w:val="0"/>
          <w:bCs w:val="0"/>
          <w:color w:val="auto"/>
          <w:kern w:val="2"/>
          <w:sz w:val="24"/>
          <w:szCs w:val="24"/>
          <w:highlight w:val="none"/>
          <w:lang w:val="en-US" w:eastAsia="zh-CN" w:bidi="ar-SA"/>
        </w:rPr>
        <w:t>.负责安保与人流管控，包括现场安保人员配置、入场核验、舞台周边安全管控、演员通道管理、应急疏散预案及与属地公安报备协调；</w:t>
      </w:r>
    </w:p>
    <w:p w14:paraId="370B061F">
      <w:pPr>
        <w:pStyle w:val="43"/>
        <w:keepNext w:val="0"/>
        <w:keepLines w:val="0"/>
        <w:pageBreakBefore w:val="0"/>
        <w:widowControl w:val="0"/>
        <w:kinsoku/>
        <w:wordWrap w:val="0"/>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b w:val="0"/>
          <w:bCs w:val="0"/>
          <w:color w:val="auto"/>
          <w:kern w:val="2"/>
          <w:sz w:val="24"/>
          <w:szCs w:val="24"/>
          <w:highlight w:val="none"/>
          <w:lang w:val="en-US" w:eastAsia="zh-CN" w:bidi="ar-SA"/>
        </w:rPr>
      </w:pPr>
      <w:r>
        <w:rPr>
          <w:rFonts w:hint="eastAsia" w:cs="宋体"/>
          <w:b w:val="0"/>
          <w:bCs w:val="0"/>
          <w:color w:val="auto"/>
          <w:kern w:val="2"/>
          <w:sz w:val="24"/>
          <w:szCs w:val="24"/>
          <w:highlight w:val="none"/>
          <w:lang w:val="en-US" w:eastAsia="zh-CN" w:bidi="ar-SA"/>
        </w:rPr>
        <w:t>9</w:t>
      </w:r>
      <w:r>
        <w:rPr>
          <w:rFonts w:hint="eastAsia" w:ascii="宋体" w:hAnsi="宋体" w:eastAsia="宋体" w:cs="宋体"/>
          <w:b w:val="0"/>
          <w:bCs w:val="0"/>
          <w:color w:val="auto"/>
          <w:kern w:val="2"/>
          <w:sz w:val="24"/>
          <w:szCs w:val="24"/>
          <w:highlight w:val="none"/>
          <w:lang w:val="en-US" w:eastAsia="zh-CN" w:bidi="ar-SA"/>
        </w:rPr>
        <w:t>.负责活动传播与影像留存，包括活动预热宣传、现场花絮拍摄、快剪视频、图片拍摄等。</w:t>
      </w:r>
    </w:p>
    <w:p w14:paraId="2CB798EF">
      <w:pPr>
        <w:pStyle w:val="43"/>
        <w:keepNext w:val="0"/>
        <w:keepLines w:val="0"/>
        <w:pageBreakBefore w:val="0"/>
        <w:widowControl w:val="0"/>
        <w:kinsoku/>
        <w:wordWrap w:val="0"/>
        <w:overflowPunct/>
        <w:topLinePunct w:val="0"/>
        <w:autoSpaceDE/>
        <w:autoSpaceDN/>
        <w:bidi w:val="0"/>
        <w:adjustRightInd w:val="0"/>
        <w:snapToGrid w:val="0"/>
        <w:spacing w:line="360" w:lineRule="auto"/>
        <w:ind w:left="0" w:leftChars="0" w:firstLine="482" w:firstLineChars="200"/>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（七）体旅市集</w:t>
      </w:r>
    </w:p>
    <w:p w14:paraId="51CE99E3">
      <w:pPr>
        <w:pStyle w:val="43"/>
        <w:keepNext w:val="0"/>
        <w:keepLines w:val="0"/>
        <w:pageBreakBefore w:val="0"/>
        <w:widowControl w:val="0"/>
        <w:kinsoku/>
        <w:wordWrap w:val="0"/>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1.场地搭建与布置。搭建展位30个，提供展位门楣招牌、插排照明及桌椅，并负责物料运输、水电安装布置、值夜安保、垃圾桶与灭火器摆放等。</w:t>
      </w:r>
    </w:p>
    <w:p w14:paraId="00B22565">
      <w:pPr>
        <w:pStyle w:val="43"/>
        <w:keepNext w:val="0"/>
        <w:keepLines w:val="0"/>
        <w:pageBreakBefore w:val="0"/>
        <w:widowControl w:val="0"/>
        <w:kinsoku/>
        <w:wordWrap w:val="0"/>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2.氛围营造设计。负责展位门楣招牌设计及整体氛围营造设计，需体现</w:t>
      </w:r>
      <w:r>
        <w:rPr>
          <w:rFonts w:hint="eastAsia" w:cs="宋体"/>
          <w:b w:val="0"/>
          <w:bCs w:val="0"/>
          <w:color w:val="auto"/>
          <w:kern w:val="2"/>
          <w:sz w:val="24"/>
          <w:szCs w:val="24"/>
          <w:highlight w:val="none"/>
          <w:lang w:val="en-US" w:eastAsia="zh-CN" w:bidi="ar-SA"/>
        </w:rPr>
        <w:t>体旅市集</w:t>
      </w:r>
      <w:r>
        <w:rPr>
          <w:rFonts w:hint="eastAsia" w:ascii="宋体" w:hAnsi="宋体" w:eastAsia="宋体" w:cs="宋体"/>
          <w:b w:val="0"/>
          <w:bCs w:val="0"/>
          <w:color w:val="auto"/>
          <w:kern w:val="2"/>
          <w:sz w:val="24"/>
          <w:szCs w:val="24"/>
          <w:highlight w:val="none"/>
          <w:lang w:val="en-US" w:eastAsia="zh-CN" w:bidi="ar-SA"/>
        </w:rPr>
        <w:t>主题，融合海洋、体旅、赶海等元素。</w:t>
      </w:r>
    </w:p>
    <w:p w14:paraId="25694B8D">
      <w:pPr>
        <w:pStyle w:val="43"/>
        <w:keepNext w:val="0"/>
        <w:keepLines w:val="0"/>
        <w:pageBreakBefore w:val="0"/>
        <w:widowControl w:val="0"/>
        <w:kinsoku/>
        <w:wordWrap w:val="0"/>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3.活动区域与项目组织。</w:t>
      </w:r>
    </w:p>
    <w:p w14:paraId="35C22488">
      <w:pPr>
        <w:pStyle w:val="43"/>
        <w:keepNext w:val="0"/>
        <w:keepLines w:val="0"/>
        <w:pageBreakBefore w:val="0"/>
        <w:widowControl w:val="0"/>
        <w:kinsoku/>
        <w:wordWrap w:val="0"/>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1）海畔风物展示展销区：包含海边鲜美滋味（如海鲜制品、干货、即食海产等）、乡土特产（如本地农产品、特色产品等）及灵感文创手作（如贝壳工艺品、渔网编织品、海洋主题饰品、手绘海螺、帆布包、伴手礼等）。</w:t>
      </w:r>
    </w:p>
    <w:p w14:paraId="6300103F">
      <w:pPr>
        <w:pStyle w:val="43"/>
        <w:keepNext w:val="0"/>
        <w:keepLines w:val="0"/>
        <w:pageBreakBefore w:val="0"/>
        <w:widowControl w:val="0"/>
        <w:kinsoku/>
        <w:wordWrap w:val="0"/>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（2）组织沿海特色小吃（如虾籽烧饼、文蛤饼、春卷等）、老字号及地方风味美食（如醉泥螺、海蜇头、虾酱、海苔制品等）进行展销。</w:t>
      </w:r>
    </w:p>
    <w:p w14:paraId="496F2140">
      <w:pPr>
        <w:pStyle w:val="43"/>
        <w:keepNext w:val="0"/>
        <w:keepLines w:val="0"/>
        <w:pageBreakBefore w:val="0"/>
        <w:widowControl w:val="0"/>
        <w:kinsoku/>
        <w:wordWrap w:val="0"/>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（3）</w:t>
      </w:r>
      <w:r>
        <w:rPr>
          <w:rFonts w:hint="eastAsia" w:cs="宋体"/>
          <w:b w:val="0"/>
          <w:bCs w:val="0"/>
          <w:color w:val="auto"/>
          <w:kern w:val="2"/>
          <w:sz w:val="24"/>
          <w:szCs w:val="24"/>
          <w:highlight w:val="none"/>
          <w:lang w:val="en-US" w:eastAsia="zh-CN" w:bidi="ar-SA"/>
        </w:rPr>
        <w:t>休闲运动</w:t>
      </w:r>
      <w:r>
        <w:rPr>
          <w:rFonts w:hint="eastAsia" w:ascii="宋体" w:hAnsi="宋体" w:eastAsia="宋体" w:cs="宋体"/>
          <w:b w:val="0"/>
          <w:bCs w:val="0"/>
          <w:color w:val="auto"/>
          <w:kern w:val="2"/>
          <w:sz w:val="24"/>
          <w:szCs w:val="24"/>
          <w:highlight w:val="none"/>
          <w:lang w:val="en-US" w:eastAsia="zh-CN" w:bidi="ar-SA"/>
        </w:rPr>
        <w:t>互动体验区</w:t>
      </w:r>
      <w:r>
        <w:rPr>
          <w:rFonts w:hint="eastAsia" w:cs="宋体"/>
          <w:b w:val="0"/>
          <w:bCs w:val="0"/>
          <w:color w:val="auto"/>
          <w:kern w:val="2"/>
          <w:sz w:val="24"/>
          <w:szCs w:val="24"/>
          <w:highlight w:val="none"/>
          <w:lang w:val="en-US" w:eastAsia="zh-CN" w:bidi="ar-SA"/>
        </w:rPr>
        <w:t>：飞盘、足球射门等小游戏组织与搭建</w:t>
      </w:r>
      <w:r>
        <w:rPr>
          <w:rFonts w:hint="eastAsia" w:ascii="宋体" w:hAnsi="宋体" w:eastAsia="宋体" w:cs="宋体"/>
          <w:b w:val="0"/>
          <w:bCs w:val="0"/>
          <w:color w:val="auto"/>
          <w:kern w:val="2"/>
          <w:sz w:val="24"/>
          <w:szCs w:val="24"/>
          <w:highlight w:val="none"/>
          <w:lang w:val="en-US" w:eastAsia="zh-CN" w:bidi="ar-SA"/>
        </w:rPr>
        <w:t>。</w:t>
      </w:r>
    </w:p>
    <w:p w14:paraId="74852ABA">
      <w:pPr>
        <w:keepNext w:val="0"/>
        <w:keepLines w:val="0"/>
        <w:pageBreakBefore w:val="0"/>
        <w:widowControl w:val="0"/>
        <w:numPr>
          <w:ilvl w:val="0"/>
          <w:numId w:val="0"/>
        </w:numPr>
        <w:kinsoku/>
        <w:wordWrap w:val="0"/>
        <w:overflowPunct/>
        <w:topLinePunct w:val="0"/>
        <w:autoSpaceDE/>
        <w:autoSpaceDN/>
        <w:bidi w:val="0"/>
        <w:adjustRightInd w:val="0"/>
        <w:snapToGrid w:val="0"/>
        <w:spacing w:line="360" w:lineRule="auto"/>
        <w:ind w:firstLine="482" w:firstLineChars="200"/>
        <w:contextualSpacing/>
        <w:textAlignment w:val="auto"/>
        <w:outlineLvl w:val="1"/>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（八）苏超第二现场·户外烧烤音乐夜</w:t>
      </w:r>
    </w:p>
    <w:p w14:paraId="6F7E421C">
      <w:pPr>
        <w:pStyle w:val="43"/>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1.场地搭建</w:t>
      </w:r>
    </w:p>
    <w:p w14:paraId="28225276">
      <w:pPr>
        <w:pStyle w:val="43"/>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（1）功能区规划：合理划分核心观赛区、烧烤美食区、音乐演出舞台区、休息区、医疗点等。</w:t>
      </w:r>
    </w:p>
    <w:p w14:paraId="28B30ED8">
      <w:pPr>
        <w:pStyle w:val="43"/>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（2）观赛大屏搭建：搭建专业级户外高清LED大屏，确保画面清晰、视角良好，配套环绕音响系统，实现赛事全程直播。</w:t>
      </w:r>
    </w:p>
    <w:p w14:paraId="75EB7825">
      <w:pPr>
        <w:pStyle w:val="43"/>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（3）氛围布置：围绕足球主题和活动主题进行场地美陈设计，设置足球主题打卡点、合影背景墙等。</w:t>
      </w:r>
    </w:p>
    <w:p w14:paraId="43B0B345">
      <w:pPr>
        <w:pStyle w:val="43"/>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（4）配套设施：核心观赛区</w:t>
      </w:r>
      <w:r>
        <w:rPr>
          <w:rFonts w:hint="eastAsia" w:cs="宋体"/>
          <w:color w:val="auto"/>
          <w:sz w:val="24"/>
          <w:szCs w:val="24"/>
          <w:highlight w:val="none"/>
          <w:lang w:val="en-US" w:eastAsia="zh-CN"/>
        </w:rPr>
        <w:t>配备相关桌</w:t>
      </w:r>
      <w:r>
        <w:rPr>
          <w:rFonts w:hint="eastAsia" w:ascii="宋体" w:hAnsi="宋体" w:eastAsia="宋体" w:cs="宋体"/>
          <w:color w:val="auto"/>
          <w:sz w:val="24"/>
          <w:szCs w:val="24"/>
          <w:highlight w:val="none"/>
          <w:lang w:val="en-US" w:eastAsia="zh-CN"/>
        </w:rPr>
        <w:t>椅、照明设施、临时厕所、垃圾分类回收点等。</w:t>
      </w:r>
    </w:p>
    <w:p w14:paraId="34C08ED3">
      <w:pPr>
        <w:pStyle w:val="43"/>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2.餐饮服务</w:t>
      </w:r>
    </w:p>
    <w:p w14:paraId="783F85E6">
      <w:pPr>
        <w:pStyle w:val="43"/>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（1）烧烤美食区运营：提供烧烤、小龙虾、精酿啤酒、饮料、如东本土小吃等。</w:t>
      </w:r>
    </w:p>
    <w:p w14:paraId="18AB2774">
      <w:pPr>
        <w:pStyle w:val="43"/>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（2）食品安全管理：确保食材新鲜卫生，符合食品安全相关法规要求，并及时向相关部门报备。</w:t>
      </w:r>
    </w:p>
    <w:p w14:paraId="07F1CAE6">
      <w:pPr>
        <w:pStyle w:val="43"/>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3.信号保障：确保苏超赛事高清直播信号稳定接入，实现大屏实时同步赛场画面。</w:t>
      </w:r>
    </w:p>
    <w:p w14:paraId="7751ED99">
      <w:pPr>
        <w:keepNext w:val="0"/>
        <w:keepLines w:val="0"/>
        <w:pageBreakBefore w:val="0"/>
        <w:widowControl w:val="0"/>
        <w:suppressLineNumbers w:val="0"/>
        <w:kinsoku/>
        <w:wordWrap w:val="0"/>
        <w:overflowPunct/>
        <w:topLinePunct w:val="0"/>
        <w:autoSpaceDE/>
        <w:autoSpaceDN/>
        <w:bidi w:val="0"/>
        <w:adjustRightInd w:val="0"/>
        <w:snapToGrid w:val="0"/>
        <w:spacing w:line="360" w:lineRule="auto"/>
        <w:ind w:firstLine="482" w:firstLineChars="200"/>
        <w:jc w:val="left"/>
        <w:textAlignment w:val="auto"/>
        <w:rPr>
          <w:rFonts w:hint="eastAsia" w:ascii="宋体" w:hAnsi="宋体" w:eastAsia="宋体" w:cs="宋体"/>
          <w:b/>
          <w:bCs/>
          <w:color w:val="auto"/>
          <w:sz w:val="24"/>
          <w:szCs w:val="24"/>
          <w:highlight w:val="none"/>
        </w:rPr>
      </w:pPr>
      <w:r>
        <w:rPr>
          <w:rFonts w:hint="eastAsia" w:ascii="宋体" w:hAnsi="宋体" w:cs="宋体"/>
          <w:b/>
          <w:bCs/>
          <w:color w:val="auto"/>
          <w:kern w:val="0"/>
          <w:sz w:val="24"/>
          <w:szCs w:val="24"/>
          <w:highlight w:val="none"/>
          <w:lang w:val="en-US" w:eastAsia="zh-CN" w:bidi="ar"/>
        </w:rPr>
        <w:t>（九）</w:t>
      </w:r>
      <w:r>
        <w:rPr>
          <w:rFonts w:hint="eastAsia" w:ascii="宋体" w:hAnsi="宋体" w:eastAsia="宋体" w:cs="宋体"/>
          <w:b/>
          <w:bCs/>
          <w:color w:val="auto"/>
          <w:kern w:val="0"/>
          <w:sz w:val="24"/>
          <w:szCs w:val="24"/>
          <w:highlight w:val="none"/>
          <w:lang w:val="en-US" w:eastAsia="zh-CN" w:bidi="ar"/>
        </w:rPr>
        <w:t xml:space="preserve">其他要求 </w:t>
      </w:r>
    </w:p>
    <w:p w14:paraId="43F9733F">
      <w:pPr>
        <w:keepNext w:val="0"/>
        <w:keepLines w:val="0"/>
        <w:pageBreakBefore w:val="0"/>
        <w:widowControl w:val="0"/>
        <w:suppressLineNumbers w:val="0"/>
        <w:kinsoku/>
        <w:wordWrap w:val="0"/>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cs="宋体"/>
          <w:color w:val="auto"/>
          <w:kern w:val="0"/>
          <w:sz w:val="24"/>
          <w:szCs w:val="24"/>
          <w:highlight w:val="none"/>
          <w:lang w:val="en-US" w:eastAsia="zh-CN" w:bidi="ar"/>
        </w:rPr>
        <w:t>1.</w:t>
      </w:r>
      <w:r>
        <w:rPr>
          <w:rFonts w:hint="eastAsia" w:ascii="宋体" w:hAnsi="宋体" w:eastAsia="宋体" w:cs="宋体"/>
          <w:color w:val="auto"/>
          <w:kern w:val="0"/>
          <w:sz w:val="24"/>
          <w:szCs w:val="24"/>
          <w:highlight w:val="none"/>
          <w:lang w:val="en-US" w:eastAsia="zh-CN" w:bidi="ar"/>
        </w:rPr>
        <w:t xml:space="preserve">活动搭建所用材料应符合国家相关规定，不得使用劣质材料。整个活动期间， </w:t>
      </w:r>
    </w:p>
    <w:p w14:paraId="010C3219">
      <w:pPr>
        <w:keepNext w:val="0"/>
        <w:keepLines w:val="0"/>
        <w:pageBreakBefore w:val="0"/>
        <w:widowControl w:val="0"/>
        <w:suppressLineNumbers w:val="0"/>
        <w:kinsoku/>
        <w:wordWrap w:val="0"/>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引发的安全事故，均由供应商承担，甲方概不负责。 </w:t>
      </w:r>
    </w:p>
    <w:p w14:paraId="4F2D53AF">
      <w:pPr>
        <w:keepNext w:val="0"/>
        <w:keepLines w:val="0"/>
        <w:pageBreakBefore w:val="0"/>
        <w:widowControl w:val="0"/>
        <w:suppressLineNumbers w:val="0"/>
        <w:kinsoku/>
        <w:wordWrap w:val="0"/>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cs="宋体"/>
          <w:color w:val="auto"/>
          <w:kern w:val="0"/>
          <w:sz w:val="24"/>
          <w:szCs w:val="24"/>
          <w:highlight w:val="none"/>
          <w:lang w:val="en-US" w:eastAsia="zh-CN" w:bidi="ar"/>
        </w:rPr>
        <w:t>2.</w:t>
      </w:r>
      <w:r>
        <w:rPr>
          <w:rFonts w:hint="eastAsia" w:ascii="宋体" w:hAnsi="宋体" w:eastAsia="宋体" w:cs="宋体"/>
          <w:color w:val="auto"/>
          <w:kern w:val="0"/>
          <w:sz w:val="24"/>
          <w:szCs w:val="24"/>
          <w:highlight w:val="none"/>
          <w:lang w:val="en-US" w:eastAsia="zh-CN" w:bidi="ar"/>
        </w:rPr>
        <w:t>活动搭建舞台及展台设计应充分考虑风、雨等自然现象对展台带来的不安全因素。</w:t>
      </w:r>
    </w:p>
    <w:p w14:paraId="0E0D9C06">
      <w:pPr>
        <w:keepNext w:val="0"/>
        <w:keepLines w:val="0"/>
        <w:pageBreakBefore w:val="0"/>
        <w:widowControl w:val="0"/>
        <w:suppressLineNumbers w:val="0"/>
        <w:kinsoku/>
        <w:wordWrap w:val="0"/>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cs="宋体"/>
          <w:color w:val="auto"/>
          <w:kern w:val="0"/>
          <w:sz w:val="24"/>
          <w:szCs w:val="24"/>
          <w:highlight w:val="none"/>
          <w:lang w:val="en-US" w:eastAsia="zh-CN" w:bidi="ar"/>
        </w:rPr>
        <w:t>3.</w:t>
      </w:r>
      <w:r>
        <w:rPr>
          <w:rFonts w:hint="eastAsia" w:ascii="宋体" w:hAnsi="宋体" w:eastAsia="宋体" w:cs="宋体"/>
          <w:color w:val="auto"/>
          <w:kern w:val="0"/>
          <w:sz w:val="24"/>
          <w:szCs w:val="24"/>
          <w:highlight w:val="none"/>
          <w:lang w:val="en-US" w:eastAsia="zh-CN" w:bidi="ar"/>
        </w:rPr>
        <w:t xml:space="preserve">室外安装灯具、插座及配电盘等用电器应选用防雨型。室外用电设备应有可靠防雨措施及漏电保护装置。 </w:t>
      </w:r>
    </w:p>
    <w:p w14:paraId="6659FE1B">
      <w:pPr>
        <w:keepNext w:val="0"/>
        <w:keepLines w:val="0"/>
        <w:pageBreakBefore w:val="0"/>
        <w:widowControl w:val="0"/>
        <w:suppressLineNumbers w:val="0"/>
        <w:kinsoku/>
        <w:wordWrap w:val="0"/>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cs="宋体"/>
          <w:color w:val="auto"/>
          <w:kern w:val="0"/>
          <w:sz w:val="24"/>
          <w:szCs w:val="24"/>
          <w:highlight w:val="none"/>
          <w:lang w:val="en-US" w:eastAsia="zh-CN" w:bidi="ar"/>
        </w:rPr>
        <w:t>4.</w:t>
      </w:r>
      <w:r>
        <w:rPr>
          <w:rFonts w:hint="eastAsia" w:ascii="宋体" w:hAnsi="宋体" w:eastAsia="宋体" w:cs="宋体"/>
          <w:color w:val="auto"/>
          <w:kern w:val="0"/>
          <w:sz w:val="24"/>
          <w:szCs w:val="24"/>
          <w:highlight w:val="none"/>
          <w:lang w:val="en-US" w:eastAsia="zh-CN" w:bidi="ar"/>
        </w:rPr>
        <w:t xml:space="preserve">室外展台应确保展台整体结构的强度、刚度、稳定性以及局部稳定性。即：不能出现可变体系，在荷载作用下(主要是风荷载)，不能产生过大的变形。所设计的结构强度应当满足各种荷载所需要的强度。 </w:t>
      </w:r>
    </w:p>
    <w:p w14:paraId="3528C130">
      <w:pPr>
        <w:keepNext w:val="0"/>
        <w:keepLines w:val="0"/>
        <w:pageBreakBefore w:val="0"/>
        <w:widowControl w:val="0"/>
        <w:suppressLineNumbers w:val="0"/>
        <w:kinsoku/>
        <w:wordWrap w:val="0"/>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cs="宋体"/>
          <w:color w:val="auto"/>
          <w:kern w:val="0"/>
          <w:sz w:val="24"/>
          <w:szCs w:val="24"/>
          <w:highlight w:val="none"/>
          <w:lang w:val="en-US" w:eastAsia="zh-CN" w:bidi="ar"/>
        </w:rPr>
        <w:t>5.</w:t>
      </w:r>
      <w:r>
        <w:rPr>
          <w:rFonts w:hint="eastAsia" w:ascii="宋体" w:hAnsi="宋体" w:eastAsia="宋体" w:cs="宋体"/>
          <w:color w:val="auto"/>
          <w:kern w:val="0"/>
          <w:sz w:val="24"/>
          <w:szCs w:val="24"/>
          <w:highlight w:val="none"/>
          <w:lang w:val="en-US" w:eastAsia="zh-CN" w:bidi="ar"/>
        </w:rPr>
        <w:t xml:space="preserve">供应商有人员负责每场活动现场管理工作；经甲方确认同意后，供应商可适当开展营销、展览等商业性促销活动。 </w:t>
      </w:r>
    </w:p>
    <w:p w14:paraId="19E90A22">
      <w:pPr>
        <w:keepNext w:val="0"/>
        <w:keepLines w:val="0"/>
        <w:pageBreakBefore w:val="0"/>
        <w:widowControl w:val="0"/>
        <w:suppressLineNumbers w:val="0"/>
        <w:kinsoku/>
        <w:wordWrap w:val="0"/>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cs="宋体"/>
          <w:color w:val="auto"/>
          <w:kern w:val="0"/>
          <w:sz w:val="24"/>
          <w:szCs w:val="24"/>
          <w:highlight w:val="none"/>
          <w:lang w:val="en-US" w:eastAsia="zh-CN" w:bidi="ar"/>
        </w:rPr>
        <w:t>6.</w:t>
      </w:r>
      <w:r>
        <w:rPr>
          <w:rFonts w:hint="eastAsia" w:ascii="宋体" w:hAnsi="宋体" w:eastAsia="宋体" w:cs="宋体"/>
          <w:color w:val="auto"/>
          <w:kern w:val="0"/>
          <w:sz w:val="24"/>
          <w:szCs w:val="24"/>
          <w:highlight w:val="none"/>
          <w:lang w:val="en-US" w:eastAsia="zh-CN" w:bidi="ar"/>
        </w:rPr>
        <w:t>供应商须负责活动现场管理并承担</w:t>
      </w:r>
      <w:r>
        <w:rPr>
          <w:rFonts w:hint="eastAsia" w:ascii="宋体" w:hAnsi="宋体" w:cs="宋体"/>
          <w:color w:val="auto"/>
          <w:kern w:val="0"/>
          <w:sz w:val="24"/>
          <w:szCs w:val="24"/>
          <w:highlight w:val="none"/>
          <w:lang w:val="en-US" w:eastAsia="zh-CN" w:bidi="ar"/>
        </w:rPr>
        <w:t>嘉年华活动期间</w:t>
      </w:r>
      <w:r>
        <w:rPr>
          <w:rFonts w:hint="eastAsia" w:ascii="宋体" w:hAnsi="宋体" w:eastAsia="宋体" w:cs="宋体"/>
          <w:color w:val="auto"/>
          <w:kern w:val="0"/>
          <w:sz w:val="24"/>
          <w:szCs w:val="24"/>
          <w:highlight w:val="none"/>
          <w:lang w:val="en-US" w:eastAsia="zh-CN" w:bidi="ar"/>
        </w:rPr>
        <w:t>的安全生产责任，同时具有完善的安全保卫工作方案、灭火、应急疏散预案和风险管理方案。</w:t>
      </w:r>
    </w:p>
    <w:p w14:paraId="27907BC5">
      <w:pPr>
        <w:pStyle w:val="125"/>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cs="宋体"/>
          <w:color w:val="auto"/>
          <w:kern w:val="0"/>
          <w:sz w:val="24"/>
          <w:szCs w:val="24"/>
          <w:highlight w:val="none"/>
          <w:lang w:val="en-US" w:eastAsia="zh-CN" w:bidi="ar"/>
        </w:rPr>
        <w:t>7.</w:t>
      </w:r>
      <w:r>
        <w:rPr>
          <w:rFonts w:hint="eastAsia" w:ascii="宋体" w:hAnsi="宋体" w:eastAsia="宋体" w:cs="宋体"/>
          <w:color w:val="auto"/>
          <w:kern w:val="0"/>
          <w:sz w:val="24"/>
          <w:szCs w:val="24"/>
          <w:highlight w:val="none"/>
          <w:lang w:val="en-US" w:eastAsia="zh-CN" w:bidi="ar"/>
        </w:rPr>
        <w:t>供应商须负责配合满足甲方合理范围内对项目内容的适当调整。</w:t>
      </w:r>
    </w:p>
    <w:p w14:paraId="62856E74">
      <w:pPr>
        <w:pStyle w:val="43"/>
        <w:ind w:left="0" w:leftChars="0" w:firstLine="0" w:firstLineChars="0"/>
        <w:rPr>
          <w:rFonts w:hint="eastAsia" w:ascii="宋体" w:hAnsi="宋体" w:eastAsia="宋体" w:cs="宋体"/>
          <w:b/>
          <w:bCs/>
          <w:color w:val="auto"/>
          <w:sz w:val="36"/>
          <w:szCs w:val="36"/>
          <w:highlight w:val="none"/>
        </w:rPr>
      </w:pPr>
    </w:p>
    <w:p w14:paraId="00BB3C76">
      <w:pPr>
        <w:pStyle w:val="43"/>
        <w:ind w:left="0" w:leftChars="0" w:firstLine="0" w:firstLineChars="0"/>
        <w:rPr>
          <w:rFonts w:hint="eastAsia" w:ascii="宋体" w:hAnsi="宋体" w:eastAsia="宋体" w:cs="宋体"/>
          <w:b/>
          <w:bCs/>
          <w:color w:val="auto"/>
          <w:sz w:val="36"/>
          <w:szCs w:val="36"/>
          <w:highlight w:val="none"/>
        </w:rPr>
      </w:pPr>
    </w:p>
    <w:p w14:paraId="7781C77D">
      <w:pPr>
        <w:pStyle w:val="43"/>
        <w:ind w:left="0" w:leftChars="0" w:firstLine="0" w:firstLineChars="0"/>
        <w:rPr>
          <w:rFonts w:hint="eastAsia" w:ascii="宋体" w:hAnsi="宋体" w:eastAsia="宋体" w:cs="宋体"/>
          <w:b/>
          <w:bCs/>
          <w:color w:val="auto"/>
          <w:sz w:val="36"/>
          <w:szCs w:val="36"/>
          <w:highlight w:val="none"/>
        </w:rPr>
      </w:pPr>
    </w:p>
    <w:p w14:paraId="4AE3396F">
      <w:pPr>
        <w:keepNext w:val="0"/>
        <w:keepLines w:val="0"/>
        <w:pageBreakBefore w:val="0"/>
        <w:widowControl w:val="0"/>
        <w:kinsoku/>
        <w:wordWrap w:val="0"/>
        <w:overflowPunct/>
        <w:topLinePunct w:val="0"/>
        <w:autoSpaceDE/>
        <w:autoSpaceDN/>
        <w:bidi w:val="0"/>
        <w:adjustRightInd w:val="0"/>
        <w:snapToGrid w:val="0"/>
        <w:spacing w:line="360" w:lineRule="auto"/>
        <w:ind w:firstLine="2530" w:firstLineChars="700"/>
        <w:outlineLvl w:val="0"/>
        <w:rPr>
          <w:rFonts w:hint="eastAsia" w:ascii="宋体" w:hAnsi="宋体" w:eastAsia="宋体" w:cs="宋体"/>
          <w:color w:val="auto"/>
          <w:szCs w:val="21"/>
          <w:highlight w:val="none"/>
        </w:rPr>
      </w:pPr>
      <w:r>
        <w:rPr>
          <w:rFonts w:hint="eastAsia" w:ascii="宋体" w:hAnsi="宋体" w:eastAsia="宋体" w:cs="宋体"/>
          <w:b/>
          <w:bCs/>
          <w:color w:val="auto"/>
          <w:sz w:val="36"/>
          <w:szCs w:val="36"/>
          <w:highlight w:val="none"/>
        </w:rPr>
        <w:t>第五章  评审方法与评审标准</w:t>
      </w:r>
    </w:p>
    <w:p w14:paraId="12AB5E4B">
      <w:pPr>
        <w:pStyle w:val="43"/>
        <w:keepNext w:val="0"/>
        <w:keepLines w:val="0"/>
        <w:pageBreakBefore w:val="0"/>
        <w:widowControl w:val="0"/>
        <w:kinsoku/>
        <w:wordWrap/>
        <w:overflowPunct/>
        <w:topLinePunct w:val="0"/>
        <w:autoSpaceDE/>
        <w:autoSpaceDN/>
        <w:bidi w:val="0"/>
        <w:adjustRightInd w:val="0"/>
        <w:snapToGrid w:val="0"/>
        <w:spacing w:after="0"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一、评审方法：</w:t>
      </w:r>
    </w:p>
    <w:p w14:paraId="38E068DF">
      <w:pPr>
        <w:pStyle w:val="43"/>
        <w:keepNext w:val="0"/>
        <w:keepLines w:val="0"/>
        <w:pageBreakBefore w:val="0"/>
        <w:widowControl w:val="0"/>
        <w:kinsoku/>
        <w:wordWrap/>
        <w:overflowPunct/>
        <w:topLinePunct w:val="0"/>
        <w:autoSpaceDE/>
        <w:autoSpaceDN/>
        <w:bidi w:val="0"/>
        <w:adjustRightInd w:val="0"/>
        <w:snapToGrid w:val="0"/>
        <w:spacing w:after="0"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采用综合评分法，经磋商确定最终采购需求和提交最后报价的供应商后，由磋商小组采用综合评分法对提交最后报价的供应商的响应文件和最后报价进行综合评分。</w:t>
      </w:r>
    </w:p>
    <w:p w14:paraId="2BA4F684">
      <w:pPr>
        <w:pStyle w:val="43"/>
        <w:keepNext w:val="0"/>
        <w:keepLines w:val="0"/>
        <w:pageBreakBefore w:val="0"/>
        <w:widowControl w:val="0"/>
        <w:kinsoku/>
        <w:wordWrap/>
        <w:overflowPunct/>
        <w:topLinePunct w:val="0"/>
        <w:autoSpaceDE/>
        <w:autoSpaceDN/>
        <w:bidi w:val="0"/>
        <w:adjustRightInd w:val="0"/>
        <w:snapToGrid w:val="0"/>
        <w:spacing w:after="0"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评标结果按评审后总得分由高到低顺序排列，确定成交候选人名单并按顺序确定成交供应商。评审得分相同的，按照最后报价由低到高的顺序推荐。评审得分且最后报价相同的，按照技术指标优劣顺序推荐。</w:t>
      </w:r>
    </w:p>
    <w:p w14:paraId="3F1862BB">
      <w:pPr>
        <w:keepNext w:val="0"/>
        <w:keepLines w:val="0"/>
        <w:pageBreakBefore w:val="0"/>
        <w:widowControl w:val="0"/>
        <w:kinsoku/>
        <w:wordWrap/>
        <w:overflowPunct/>
        <w:topLinePunct w:val="0"/>
        <w:autoSpaceDE/>
        <w:autoSpaceDN/>
        <w:bidi w:val="0"/>
        <w:adjustRightInd w:val="0"/>
        <w:snapToGrid w:val="0"/>
        <w:spacing w:line="360" w:lineRule="auto"/>
        <w:jc w:val="left"/>
        <w:textAlignment w:val="baseline"/>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二、政府采购政策功能落实</w:t>
      </w:r>
    </w:p>
    <w:p w14:paraId="46E0278F">
      <w:pPr>
        <w:pStyle w:val="43"/>
        <w:keepNext w:val="0"/>
        <w:keepLines w:val="0"/>
        <w:pageBreakBefore w:val="0"/>
        <w:kinsoku/>
        <w:wordWrap/>
        <w:overflowPunct/>
        <w:topLinePunct w:val="0"/>
        <w:autoSpaceDE/>
        <w:autoSpaceDN/>
        <w:bidi w:val="0"/>
        <w:adjustRightInd w:val="0"/>
        <w:snapToGrid w:val="0"/>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1、小微型企业价格扣除</w:t>
      </w:r>
    </w:p>
    <w:p w14:paraId="446D6EC5">
      <w:pPr>
        <w:pStyle w:val="43"/>
        <w:keepNext w:val="0"/>
        <w:keepLines w:val="0"/>
        <w:pageBreakBefore w:val="0"/>
        <w:kinsoku/>
        <w:wordWrap/>
        <w:overflowPunct/>
        <w:topLinePunct w:val="0"/>
        <w:autoSpaceDE/>
        <w:autoSpaceDN/>
        <w:bidi w:val="0"/>
        <w:adjustRightInd w:val="0"/>
        <w:snapToGrid w:val="0"/>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（1）本项目对小型和微型企业产品/本项目对小型和微型企业提供的服务给予10%的扣除价格，用扣除后的价格参与评审。</w:t>
      </w:r>
    </w:p>
    <w:p w14:paraId="3B893E63">
      <w:pPr>
        <w:pStyle w:val="43"/>
        <w:keepNext w:val="0"/>
        <w:keepLines w:val="0"/>
        <w:pageBreakBefore w:val="0"/>
        <w:kinsoku/>
        <w:wordWrap/>
        <w:overflowPunct/>
        <w:topLinePunct w:val="0"/>
        <w:autoSpaceDE/>
        <w:autoSpaceDN/>
        <w:bidi w:val="0"/>
        <w:adjustRightInd w:val="0"/>
        <w:snapToGrid w:val="0"/>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（2）供应商需按照《政府采购促进中小企业发展管理办法》（财库﹝2020﹞46 号）的规定提供相应的《中小企业声明函》。</w:t>
      </w:r>
    </w:p>
    <w:p w14:paraId="56360D1F">
      <w:pPr>
        <w:pStyle w:val="43"/>
        <w:keepNext w:val="0"/>
        <w:keepLines w:val="0"/>
        <w:pageBreakBefore w:val="0"/>
        <w:kinsoku/>
        <w:wordWrap/>
        <w:overflowPunct/>
        <w:topLinePunct w:val="0"/>
        <w:autoSpaceDE/>
        <w:autoSpaceDN/>
        <w:bidi w:val="0"/>
        <w:adjustRightInd w:val="0"/>
        <w:snapToGrid w:val="0"/>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（3）企业标准请参照《关于印发中小企业划型标准规定的通知》（工信部联企业[2011]300号）文件规定自行填写。</w:t>
      </w:r>
    </w:p>
    <w:p w14:paraId="40ED41C0">
      <w:pPr>
        <w:pStyle w:val="43"/>
        <w:keepNext w:val="0"/>
        <w:keepLines w:val="0"/>
        <w:pageBreakBefore w:val="0"/>
        <w:kinsoku/>
        <w:wordWrap/>
        <w:overflowPunct/>
        <w:topLinePunct w:val="0"/>
        <w:autoSpaceDE/>
        <w:autoSpaceDN/>
        <w:bidi w:val="0"/>
        <w:adjustRightInd w:val="0"/>
        <w:snapToGrid w:val="0"/>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2、残疾人福利单位价格扣除</w:t>
      </w:r>
    </w:p>
    <w:p w14:paraId="4055AF0B">
      <w:pPr>
        <w:pStyle w:val="43"/>
        <w:keepNext w:val="0"/>
        <w:keepLines w:val="0"/>
        <w:pageBreakBefore w:val="0"/>
        <w:kinsoku/>
        <w:wordWrap/>
        <w:overflowPunct/>
        <w:topLinePunct w:val="0"/>
        <w:autoSpaceDE/>
        <w:autoSpaceDN/>
        <w:bidi w:val="0"/>
        <w:adjustRightInd w:val="0"/>
        <w:snapToGrid w:val="0"/>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（1）本项目对残疾人福利性单位视同小型、微型企业，给予10%的价格扣除，用扣除后的价格参与评审。</w:t>
      </w:r>
    </w:p>
    <w:p w14:paraId="38CB7A5B">
      <w:pPr>
        <w:pStyle w:val="43"/>
        <w:keepNext w:val="0"/>
        <w:keepLines w:val="0"/>
        <w:pageBreakBefore w:val="0"/>
        <w:kinsoku/>
        <w:wordWrap/>
        <w:overflowPunct/>
        <w:topLinePunct w:val="0"/>
        <w:autoSpaceDE/>
        <w:autoSpaceDN/>
        <w:bidi w:val="0"/>
        <w:adjustRightInd w:val="0"/>
        <w:snapToGrid w:val="0"/>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（2）残疾人福利单位需按照采购文件的要求提供《残疾人福利性单位声明函》。</w:t>
      </w:r>
    </w:p>
    <w:p w14:paraId="4DB8AF30">
      <w:pPr>
        <w:pStyle w:val="43"/>
        <w:keepNext w:val="0"/>
        <w:keepLines w:val="0"/>
        <w:pageBreakBefore w:val="0"/>
        <w:kinsoku/>
        <w:wordWrap/>
        <w:overflowPunct/>
        <w:topLinePunct w:val="0"/>
        <w:autoSpaceDE/>
        <w:autoSpaceDN/>
        <w:bidi w:val="0"/>
        <w:adjustRightInd w:val="0"/>
        <w:snapToGrid w:val="0"/>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（3）残疾人福利单位标准请参照《关于促进残疾人就业政府采购政策的通知》（财库〔2017〕141号）。</w:t>
      </w:r>
    </w:p>
    <w:p w14:paraId="5F2C7332">
      <w:pPr>
        <w:pStyle w:val="43"/>
        <w:keepNext w:val="0"/>
        <w:keepLines w:val="0"/>
        <w:pageBreakBefore w:val="0"/>
        <w:kinsoku/>
        <w:wordWrap/>
        <w:overflowPunct/>
        <w:topLinePunct w:val="0"/>
        <w:autoSpaceDE/>
        <w:autoSpaceDN/>
        <w:bidi w:val="0"/>
        <w:adjustRightInd w:val="0"/>
        <w:snapToGrid w:val="0"/>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3、监狱和戒毒企业价格扣除</w:t>
      </w:r>
    </w:p>
    <w:p w14:paraId="1D12357A">
      <w:pPr>
        <w:pStyle w:val="43"/>
        <w:keepNext w:val="0"/>
        <w:keepLines w:val="0"/>
        <w:pageBreakBefore w:val="0"/>
        <w:kinsoku/>
        <w:wordWrap/>
        <w:overflowPunct/>
        <w:topLinePunct w:val="0"/>
        <w:autoSpaceDE/>
        <w:autoSpaceDN/>
        <w:bidi w:val="0"/>
        <w:adjustRightInd w:val="0"/>
        <w:snapToGrid w:val="0"/>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（1）本项目对监狱和戒毒企业（简称监狱企业）视同小型、微型企业，给予10%的价格扣除，用扣除后的价格参与评审。</w:t>
      </w:r>
    </w:p>
    <w:p w14:paraId="1415E633">
      <w:pPr>
        <w:pStyle w:val="43"/>
        <w:keepNext w:val="0"/>
        <w:keepLines w:val="0"/>
        <w:pageBreakBefore w:val="0"/>
        <w:kinsoku/>
        <w:wordWrap/>
        <w:overflowPunct/>
        <w:topLinePunct w:val="0"/>
        <w:autoSpaceDE/>
        <w:autoSpaceDN/>
        <w:bidi w:val="0"/>
        <w:adjustRightInd w:val="0"/>
        <w:snapToGrid w:val="0"/>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（2）监狱企业参加政府采购活动时，需提供由省级以上监狱管理局、戒毒管理局(含新疆生产建设兵团)出具的属于监狱企业的证明文件。供应商如不提供上述证明文件，价格将不做相应扣除。</w:t>
      </w:r>
    </w:p>
    <w:p w14:paraId="1B010D9F">
      <w:pPr>
        <w:pStyle w:val="43"/>
        <w:keepNext w:val="0"/>
        <w:keepLines w:val="0"/>
        <w:pageBreakBefore w:val="0"/>
        <w:kinsoku/>
        <w:wordWrap/>
        <w:overflowPunct/>
        <w:topLinePunct w:val="0"/>
        <w:autoSpaceDE/>
        <w:autoSpaceDN/>
        <w:bidi w:val="0"/>
        <w:adjustRightInd w:val="0"/>
        <w:snapToGrid w:val="0"/>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（3）监狱企业标准请参照《关于政府采购支持监狱企业发展有关问题的通知》（财库[2014]68号）。</w:t>
      </w:r>
    </w:p>
    <w:p w14:paraId="30A2119F">
      <w:pPr>
        <w:pStyle w:val="43"/>
        <w:keepNext w:val="0"/>
        <w:keepLines w:val="0"/>
        <w:pageBreakBefore w:val="0"/>
        <w:kinsoku/>
        <w:wordWrap/>
        <w:overflowPunct/>
        <w:topLinePunct w:val="0"/>
        <w:autoSpaceDE/>
        <w:autoSpaceDN/>
        <w:bidi w:val="0"/>
        <w:adjustRightInd w:val="0"/>
        <w:snapToGrid w:val="0"/>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4、残疾人福利单位、监狱企业属于小型、微型企业的，不重复享受政策。</w:t>
      </w:r>
    </w:p>
    <w:p w14:paraId="29C3EE53">
      <w:pPr>
        <w:pStyle w:val="43"/>
        <w:keepNext w:val="0"/>
        <w:keepLines w:val="0"/>
        <w:pageBreakBefore w:val="0"/>
        <w:kinsoku/>
        <w:wordWrap/>
        <w:overflowPunct/>
        <w:topLinePunct w:val="0"/>
        <w:autoSpaceDE/>
        <w:autoSpaceDN/>
        <w:bidi w:val="0"/>
        <w:adjustRightInd w:val="0"/>
        <w:snapToGrid w:val="0"/>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大中型企业与小微企业（残疾人福利单位、监狱企业）组成联合体或者大中型企业向小微企业（残疾人福利单位、监狱企业）分包的，对联合协议或者分包意向协议约定小微企业合同份额占到合同总金额30%以上的，对联合体或者大中型企业的报价给予4%的扣除，用扣除后的价格参与评审。</w:t>
      </w:r>
    </w:p>
    <w:p w14:paraId="645C34EE">
      <w:pPr>
        <w:pStyle w:val="43"/>
        <w:keepNext w:val="0"/>
        <w:keepLines w:val="0"/>
        <w:pageBreakBefore w:val="0"/>
        <w:kinsoku/>
        <w:wordWrap/>
        <w:overflowPunct/>
        <w:topLinePunct w:val="0"/>
        <w:autoSpaceDE/>
        <w:autoSpaceDN/>
        <w:bidi w:val="0"/>
        <w:adjustRightInd w:val="0"/>
        <w:snapToGrid w:val="0"/>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6、联合体各方均为小型、微型企业（残疾人福利单位、监狱企业）的，联合体享受上述同类价格扣除，用扣除后的价格参与评审。</w:t>
      </w:r>
    </w:p>
    <w:p w14:paraId="1FFC715C">
      <w:pPr>
        <w:pStyle w:val="43"/>
        <w:keepNext w:val="0"/>
        <w:keepLines w:val="0"/>
        <w:pageBreakBefore w:val="0"/>
        <w:kinsoku/>
        <w:wordWrap/>
        <w:overflowPunct/>
        <w:topLinePunct w:val="0"/>
        <w:autoSpaceDE/>
        <w:autoSpaceDN/>
        <w:bidi w:val="0"/>
        <w:adjustRightInd w:val="0"/>
        <w:snapToGrid w:val="0"/>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7、专门面向中小企业采购的项目或者采购包，不再执行价格评审优惠的扶持政策。</w:t>
      </w:r>
    </w:p>
    <w:p w14:paraId="35E2FC57">
      <w:pPr>
        <w:pStyle w:val="43"/>
        <w:keepNext w:val="0"/>
        <w:keepLines w:val="0"/>
        <w:pageBreakBefore w:val="0"/>
        <w:kinsoku/>
        <w:wordWrap/>
        <w:overflowPunct/>
        <w:topLinePunct w:val="0"/>
        <w:autoSpaceDE/>
        <w:autoSpaceDN/>
        <w:bidi w:val="0"/>
        <w:adjustRightInd w:val="0"/>
        <w:snapToGrid w:val="0"/>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8、采购本国产品的支持政策</w:t>
      </w:r>
    </w:p>
    <w:p w14:paraId="1A988147">
      <w:pPr>
        <w:pStyle w:val="43"/>
        <w:keepNext w:val="0"/>
        <w:keepLines w:val="0"/>
        <w:pageBreakBefore w:val="0"/>
        <w:kinsoku/>
        <w:wordWrap/>
        <w:overflowPunct/>
        <w:topLinePunct w:val="0"/>
        <w:autoSpaceDE/>
        <w:autoSpaceDN/>
        <w:bidi w:val="0"/>
        <w:adjustRightInd w:val="0"/>
        <w:snapToGrid w:val="0"/>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政府采购活动中既有本国产品又有非本国产品参与竞争的，依法对本国产品给予价格评审优惠，对本国产品的报价给予20%的价格扣除，用扣除后的价格参与评审。</w:t>
      </w:r>
    </w:p>
    <w:p w14:paraId="6EFBEDC6">
      <w:pPr>
        <w:pStyle w:val="43"/>
        <w:keepNext w:val="0"/>
        <w:keepLines w:val="0"/>
        <w:pageBreakBefore w:val="0"/>
        <w:kinsoku/>
        <w:wordWrap/>
        <w:overflowPunct/>
        <w:topLinePunct w:val="0"/>
        <w:autoSpaceDE/>
        <w:autoSpaceDN/>
        <w:bidi w:val="0"/>
        <w:adjustRightInd w:val="0"/>
        <w:snapToGrid w:val="0"/>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1617682F">
      <w:pPr>
        <w:pStyle w:val="43"/>
        <w:keepNext w:val="0"/>
        <w:keepLines w:val="0"/>
        <w:pageBreakBefore w:val="0"/>
        <w:kinsoku/>
        <w:wordWrap/>
        <w:overflowPunct/>
        <w:topLinePunct w:val="0"/>
        <w:autoSpaceDE/>
        <w:autoSpaceDN/>
        <w:bidi w:val="0"/>
        <w:adjustRightInd w:val="0"/>
        <w:snapToGrid w:val="0"/>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rPr>
        <w:t>根据《江苏省政府采购信用管理暂行办法》的规定，供应商信用评价结果为三星的扣2分，评价结果为二星的扣3分，评价结果为一星的扣4分。</w:t>
      </w:r>
    </w:p>
    <w:p w14:paraId="5CF92A79">
      <w:pPr>
        <w:pStyle w:val="43"/>
        <w:keepNext w:val="0"/>
        <w:keepLines w:val="0"/>
        <w:pageBreakBefore w:val="0"/>
        <w:kinsoku/>
        <w:wordWrap/>
        <w:overflowPunct/>
        <w:topLinePunct w:val="0"/>
        <w:autoSpaceDE/>
        <w:autoSpaceDN/>
        <w:bidi w:val="0"/>
        <w:adjustRightInd w:val="0"/>
        <w:snapToGrid w:val="0"/>
        <w:spacing w:line="360" w:lineRule="auto"/>
        <w:ind w:firstLine="482"/>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三、评审方法与评审标准</w:t>
      </w:r>
    </w:p>
    <w:p w14:paraId="20F05BD9">
      <w:pPr>
        <w:pStyle w:val="43"/>
        <w:keepNext w:val="0"/>
        <w:keepLines w:val="0"/>
        <w:pageBreakBefore w:val="0"/>
        <w:kinsoku/>
        <w:wordWrap/>
        <w:overflowPunct/>
        <w:topLinePunct w:val="0"/>
        <w:autoSpaceDE/>
        <w:autoSpaceDN/>
        <w:bidi w:val="0"/>
        <w:adjustRightInd w:val="0"/>
        <w:snapToGrid w:val="0"/>
        <w:spacing w:line="360" w:lineRule="auto"/>
        <w:ind w:firstLine="482"/>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本项目采用综合评分法，磋商小组将按下列评审方法与评审标准进行评分，总分值为100分。</w:t>
      </w:r>
    </w:p>
    <w:p w14:paraId="36D7066D">
      <w:pPr>
        <w:keepNext w:val="0"/>
        <w:keepLines w:val="0"/>
        <w:pageBreakBefore w:val="0"/>
        <w:kinsoku/>
        <w:wordWrap/>
        <w:overflowPunct/>
        <w:topLinePunct w:val="0"/>
        <w:autoSpaceDE/>
        <w:autoSpaceDN/>
        <w:bidi w:val="0"/>
        <w:adjustRightInd w:val="0"/>
        <w:snapToGrid w:val="0"/>
        <w:spacing w:line="360" w:lineRule="auto"/>
        <w:ind w:left="241"/>
        <w:textAlignment w:val="auto"/>
        <w:rPr>
          <w:rFonts w:hint="eastAsia" w:ascii="宋体" w:hAnsi="宋体" w:eastAsia="宋体" w:cs="宋体"/>
          <w:b/>
          <w:bCs/>
          <w:color w:val="auto"/>
          <w:sz w:val="24"/>
          <w:szCs w:val="24"/>
          <w:highlight w:val="none"/>
        </w:rPr>
      </w:pPr>
      <w:r>
        <w:rPr>
          <w:rFonts w:hint="eastAsia" w:ascii="宋体" w:hAnsi="宋体" w:eastAsia="宋体" w:cs="宋体"/>
          <w:b/>
          <w:color w:val="auto"/>
          <w:sz w:val="24"/>
          <w:szCs w:val="24"/>
          <w:highlight w:val="none"/>
        </w:rPr>
        <w:t>（一）商务技术</w:t>
      </w:r>
      <w:r>
        <w:rPr>
          <w:rFonts w:hint="eastAsia" w:ascii="宋体" w:hAnsi="宋体" w:eastAsia="宋体" w:cs="宋体"/>
          <w:b/>
          <w:bCs/>
          <w:color w:val="auto"/>
          <w:sz w:val="24"/>
          <w:szCs w:val="24"/>
          <w:highlight w:val="none"/>
        </w:rPr>
        <w:t>分（</w:t>
      </w:r>
      <w:r>
        <w:rPr>
          <w:rFonts w:hint="eastAsia" w:ascii="宋体" w:hAnsi="宋体" w:eastAsia="宋体" w:cs="宋体"/>
          <w:b/>
          <w:bCs/>
          <w:color w:val="auto"/>
          <w:sz w:val="24"/>
          <w:szCs w:val="24"/>
          <w:highlight w:val="none"/>
          <w:lang w:val="en-US" w:eastAsia="zh-CN"/>
        </w:rPr>
        <w:t>70</w:t>
      </w:r>
      <w:r>
        <w:rPr>
          <w:rFonts w:hint="eastAsia" w:ascii="宋体" w:hAnsi="宋体" w:eastAsia="宋体" w:cs="宋体"/>
          <w:b/>
          <w:bCs/>
          <w:color w:val="auto"/>
          <w:sz w:val="24"/>
          <w:szCs w:val="24"/>
          <w:highlight w:val="none"/>
        </w:rPr>
        <w:t>分）</w:t>
      </w:r>
    </w:p>
    <w:p w14:paraId="18CB6148">
      <w:pPr>
        <w:keepNext w:val="0"/>
        <w:keepLines w:val="0"/>
        <w:pageBreakBefore w:val="0"/>
        <w:widowControl/>
        <w:kinsoku/>
        <w:wordWrap/>
        <w:overflowPunct/>
        <w:topLinePunct w:val="0"/>
        <w:autoSpaceDE/>
        <w:autoSpaceDN/>
        <w:bidi w:val="0"/>
        <w:adjustRightInd w:val="0"/>
        <w:snapToGrid w:val="0"/>
        <w:spacing w:line="360" w:lineRule="auto"/>
        <w:ind w:firstLine="241" w:firstLineChars="100"/>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商务技术分是所有评委评分的算术平均值，分值保留小数点后两位。</w:t>
      </w:r>
    </w:p>
    <w:tbl>
      <w:tblPr>
        <w:tblStyle w:val="44"/>
        <w:tblW w:w="10062" w:type="dxa"/>
        <w:jc w:val="center"/>
        <w:tblLayout w:type="fixed"/>
        <w:tblCellMar>
          <w:top w:w="0" w:type="dxa"/>
          <w:left w:w="0" w:type="dxa"/>
          <w:bottom w:w="0" w:type="dxa"/>
          <w:right w:w="0" w:type="dxa"/>
        </w:tblCellMar>
      </w:tblPr>
      <w:tblGrid>
        <w:gridCol w:w="959"/>
        <w:gridCol w:w="991"/>
        <w:gridCol w:w="7322"/>
        <w:gridCol w:w="790"/>
      </w:tblGrid>
      <w:tr w14:paraId="593B55D8">
        <w:tblPrEx>
          <w:tblCellMar>
            <w:top w:w="0" w:type="dxa"/>
            <w:left w:w="0" w:type="dxa"/>
            <w:bottom w:w="0" w:type="dxa"/>
            <w:right w:w="0" w:type="dxa"/>
          </w:tblCellMar>
        </w:tblPrEx>
        <w:trPr>
          <w:trHeight w:val="446" w:hRule="exact"/>
          <w:jc w:val="center"/>
        </w:trPr>
        <w:tc>
          <w:tcPr>
            <w:tcW w:w="1950" w:type="dxa"/>
            <w:gridSpan w:val="2"/>
            <w:tcBorders>
              <w:top w:val="single" w:color="000000" w:sz="4" w:space="0"/>
              <w:left w:val="single" w:color="000000" w:sz="4" w:space="0"/>
              <w:bottom w:val="single" w:color="000000" w:sz="4" w:space="0"/>
              <w:right w:val="single" w:color="000000" w:sz="4" w:space="0"/>
            </w:tcBorders>
            <w:vAlign w:val="center"/>
          </w:tcPr>
          <w:p w14:paraId="6D772B38">
            <w:pPr>
              <w:jc w:val="center"/>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评分内容</w:t>
            </w:r>
          </w:p>
        </w:tc>
        <w:tc>
          <w:tcPr>
            <w:tcW w:w="7322" w:type="dxa"/>
            <w:tcBorders>
              <w:top w:val="single" w:color="000000" w:sz="4" w:space="0"/>
              <w:left w:val="single" w:color="000000" w:sz="4" w:space="0"/>
              <w:bottom w:val="single" w:color="000000" w:sz="4" w:space="0"/>
              <w:right w:val="single" w:color="000000" w:sz="4" w:space="0"/>
            </w:tcBorders>
            <w:vAlign w:val="center"/>
          </w:tcPr>
          <w:p w14:paraId="45D112BF">
            <w:pPr>
              <w:jc w:val="center"/>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评审标准</w:t>
            </w:r>
          </w:p>
        </w:tc>
        <w:tc>
          <w:tcPr>
            <w:tcW w:w="790" w:type="dxa"/>
            <w:tcBorders>
              <w:top w:val="single" w:color="000000" w:sz="4" w:space="0"/>
              <w:left w:val="single" w:color="000000" w:sz="4" w:space="0"/>
              <w:bottom w:val="single" w:color="000000" w:sz="4" w:space="0"/>
              <w:right w:val="single" w:color="000000" w:sz="4" w:space="0"/>
            </w:tcBorders>
            <w:vAlign w:val="center"/>
          </w:tcPr>
          <w:p w14:paraId="6F9FDC0B">
            <w:pPr>
              <w:jc w:val="center"/>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分值</w:t>
            </w:r>
          </w:p>
        </w:tc>
      </w:tr>
      <w:tr w14:paraId="2D1B67B1">
        <w:tblPrEx>
          <w:tblCellMar>
            <w:top w:w="0" w:type="dxa"/>
            <w:left w:w="0" w:type="dxa"/>
            <w:bottom w:w="0" w:type="dxa"/>
            <w:right w:w="0" w:type="dxa"/>
          </w:tblCellMar>
        </w:tblPrEx>
        <w:trPr>
          <w:trHeight w:val="1462" w:hRule="exact"/>
          <w:jc w:val="center"/>
        </w:trPr>
        <w:tc>
          <w:tcPr>
            <w:tcW w:w="1950" w:type="dxa"/>
            <w:gridSpan w:val="2"/>
            <w:tcBorders>
              <w:top w:val="single" w:color="000000" w:sz="4" w:space="0"/>
              <w:left w:val="single" w:color="000000" w:sz="4" w:space="0"/>
              <w:bottom w:val="single" w:color="auto" w:sz="4" w:space="0"/>
              <w:right w:val="single" w:color="000000" w:sz="4" w:space="0"/>
            </w:tcBorders>
            <w:vAlign w:val="center"/>
          </w:tcPr>
          <w:p w14:paraId="2D2A7ED7">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Cs w:val="21"/>
                <w:highlight w:val="none"/>
              </w:rPr>
            </w:pPr>
            <w:r>
              <w:rPr>
                <w:rFonts w:hint="eastAsia" w:ascii="宋体" w:hAnsi="宋体" w:eastAsia="宋体" w:cs="宋体"/>
                <w:color w:val="auto"/>
                <w:kern w:val="0"/>
                <w:sz w:val="21"/>
                <w:szCs w:val="21"/>
                <w:highlight w:val="none"/>
              </w:rPr>
              <w:t>企业业绩</w:t>
            </w:r>
            <w:r>
              <w:rPr>
                <w:rFonts w:hint="eastAsia" w:ascii="宋体" w:hAnsi="宋体" w:eastAsia="宋体" w:cs="宋体"/>
                <w:color w:val="auto"/>
                <w:kern w:val="0"/>
                <w:sz w:val="22"/>
                <w:highlight w:val="none"/>
              </w:rPr>
              <w:t>（</w:t>
            </w:r>
            <w:r>
              <w:rPr>
                <w:rFonts w:hint="eastAsia" w:ascii="宋体" w:hAnsi="宋体" w:cs="宋体"/>
                <w:color w:val="auto"/>
                <w:kern w:val="0"/>
                <w:szCs w:val="21"/>
                <w:highlight w:val="none"/>
                <w:lang w:val="en-US" w:eastAsia="zh-CN"/>
              </w:rPr>
              <w:t>5</w:t>
            </w:r>
            <w:r>
              <w:rPr>
                <w:rFonts w:hint="eastAsia" w:ascii="宋体" w:hAnsi="宋体" w:eastAsia="宋体" w:cs="宋体"/>
                <w:color w:val="auto"/>
                <w:kern w:val="0"/>
                <w:szCs w:val="21"/>
                <w:highlight w:val="none"/>
              </w:rPr>
              <w:t>分）</w:t>
            </w:r>
          </w:p>
        </w:tc>
        <w:tc>
          <w:tcPr>
            <w:tcW w:w="7322" w:type="dxa"/>
            <w:tcBorders>
              <w:top w:val="single" w:color="000000" w:sz="4" w:space="0"/>
              <w:left w:val="single" w:color="000000" w:sz="4" w:space="0"/>
              <w:bottom w:val="single" w:color="auto" w:sz="4" w:space="0"/>
              <w:right w:val="single" w:color="000000" w:sz="4" w:space="0"/>
            </w:tcBorders>
            <w:vAlign w:val="center"/>
          </w:tcPr>
          <w:p w14:paraId="30681CDA">
            <w:pPr>
              <w:keepNext w:val="0"/>
              <w:keepLines w:val="0"/>
              <w:pageBreakBefore w:val="0"/>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投标人自2022年1月1日以来（以合同签订日期为准）承担类似文体旅活动策划执行相关业务的，有一个得</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lang w:val="en-US" w:eastAsia="zh-CN"/>
              </w:rPr>
              <w:t>分，本项最高得</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lang w:val="en-US" w:eastAsia="zh-CN"/>
              </w:rPr>
              <w:t>分。</w:t>
            </w:r>
          </w:p>
          <w:p w14:paraId="1EECAC28">
            <w:pPr>
              <w:keepNext w:val="0"/>
              <w:keepLines w:val="0"/>
              <w:pageBreakBefore w:val="0"/>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auto"/>
                <w:szCs w:val="21"/>
                <w:highlight w:val="none"/>
              </w:rPr>
            </w:pPr>
            <w:r>
              <w:rPr>
                <w:rFonts w:hint="eastAsia" w:ascii="宋体" w:hAnsi="宋体" w:eastAsia="宋体" w:cs="宋体"/>
                <w:color w:val="auto"/>
                <w:sz w:val="21"/>
                <w:szCs w:val="21"/>
                <w:highlight w:val="none"/>
                <w:lang w:val="en-US" w:eastAsia="zh-CN"/>
              </w:rPr>
              <w:t>注：提供合同复印件加盖公章，未提供不得分。</w:t>
            </w:r>
          </w:p>
        </w:tc>
        <w:tc>
          <w:tcPr>
            <w:tcW w:w="790" w:type="dxa"/>
            <w:tcBorders>
              <w:top w:val="single" w:color="000000" w:sz="4" w:space="0"/>
              <w:left w:val="single" w:color="000000" w:sz="4" w:space="0"/>
              <w:bottom w:val="single" w:color="000000" w:sz="4" w:space="0"/>
              <w:right w:val="single" w:color="000000" w:sz="4" w:space="0"/>
            </w:tcBorders>
            <w:vAlign w:val="center"/>
          </w:tcPr>
          <w:p w14:paraId="4310A11D">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5</w:t>
            </w:r>
            <w:r>
              <w:rPr>
                <w:rFonts w:hint="eastAsia" w:ascii="宋体" w:hAnsi="宋体" w:eastAsia="宋体" w:cs="宋体"/>
                <w:color w:val="auto"/>
                <w:szCs w:val="21"/>
                <w:highlight w:val="none"/>
                <w:lang w:val="en-US" w:eastAsia="zh-CN"/>
              </w:rPr>
              <w:t>分</w:t>
            </w:r>
          </w:p>
        </w:tc>
      </w:tr>
      <w:tr w14:paraId="680B224C">
        <w:tblPrEx>
          <w:tblCellMar>
            <w:top w:w="0" w:type="dxa"/>
            <w:left w:w="0" w:type="dxa"/>
            <w:bottom w:w="0" w:type="dxa"/>
            <w:right w:w="0" w:type="dxa"/>
          </w:tblCellMar>
        </w:tblPrEx>
        <w:trPr>
          <w:trHeight w:val="5294" w:hRule="exact"/>
          <w:jc w:val="center"/>
        </w:trPr>
        <w:tc>
          <w:tcPr>
            <w:tcW w:w="959" w:type="dxa"/>
            <w:vMerge w:val="restart"/>
            <w:tcBorders>
              <w:top w:val="single" w:color="auto" w:sz="4" w:space="0"/>
              <w:left w:val="single" w:color="auto" w:sz="4" w:space="0"/>
              <w:bottom w:val="single" w:color="auto" w:sz="4" w:space="0"/>
              <w:right w:val="single" w:color="auto" w:sz="4" w:space="0"/>
            </w:tcBorders>
            <w:vAlign w:val="center"/>
          </w:tcPr>
          <w:p w14:paraId="6A3E187A">
            <w:pPr>
              <w:keepNext w:val="0"/>
              <w:keepLines w:val="0"/>
              <w:pageBreakBefore w:val="0"/>
              <w:widowControl/>
              <w:kinsoku/>
              <w:wordWrap/>
              <w:overflowPunct/>
              <w:topLinePunct w:val="0"/>
              <w:autoSpaceDE/>
              <w:autoSpaceDN/>
              <w:bidi w:val="0"/>
              <w:adjustRightInd w:val="0"/>
              <w:snapToGrid w:val="0"/>
              <w:spacing w:line="360" w:lineRule="auto"/>
              <w:jc w:val="both"/>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项目具体</w:t>
            </w:r>
            <w:r>
              <w:rPr>
                <w:rFonts w:hint="eastAsia" w:ascii="宋体" w:hAnsi="宋体" w:eastAsia="宋体" w:cs="宋体"/>
                <w:color w:val="auto"/>
                <w:kern w:val="0"/>
                <w:szCs w:val="21"/>
                <w:highlight w:val="none"/>
                <w:lang w:val="en-US" w:eastAsia="zh-CN"/>
              </w:rPr>
              <w:t>实施</w:t>
            </w:r>
            <w:r>
              <w:rPr>
                <w:rFonts w:hint="eastAsia" w:ascii="宋体" w:hAnsi="宋体" w:eastAsia="宋体" w:cs="宋体"/>
                <w:color w:val="auto"/>
                <w:kern w:val="0"/>
                <w:szCs w:val="21"/>
                <w:highlight w:val="none"/>
              </w:rPr>
              <w:t>方案</w:t>
            </w:r>
          </w:p>
          <w:p w14:paraId="28C8A7B8">
            <w:pPr>
              <w:keepNext w:val="0"/>
              <w:keepLines w:val="0"/>
              <w:pageBreakBefore w:val="0"/>
              <w:widowControl/>
              <w:kinsoku/>
              <w:wordWrap/>
              <w:overflowPunct/>
              <w:topLinePunct w:val="0"/>
              <w:autoSpaceDE/>
              <w:autoSpaceDN/>
              <w:bidi w:val="0"/>
              <w:adjustRightInd w:val="0"/>
              <w:snapToGrid w:val="0"/>
              <w:spacing w:line="360" w:lineRule="auto"/>
              <w:ind w:left="200" w:hanging="200"/>
              <w:jc w:val="center"/>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w:t>
            </w:r>
            <w:r>
              <w:rPr>
                <w:rFonts w:hint="eastAsia" w:ascii="宋体" w:hAnsi="宋体" w:cs="宋体"/>
                <w:color w:val="auto"/>
                <w:kern w:val="0"/>
                <w:szCs w:val="21"/>
                <w:highlight w:val="none"/>
                <w:lang w:val="en-US" w:eastAsia="zh-CN"/>
              </w:rPr>
              <w:t>65</w:t>
            </w:r>
            <w:r>
              <w:rPr>
                <w:rFonts w:hint="eastAsia" w:ascii="宋体" w:hAnsi="宋体" w:eastAsia="宋体" w:cs="宋体"/>
                <w:color w:val="auto"/>
                <w:kern w:val="0"/>
                <w:szCs w:val="21"/>
                <w:highlight w:val="none"/>
              </w:rPr>
              <w:t>分）</w:t>
            </w:r>
          </w:p>
        </w:tc>
        <w:tc>
          <w:tcPr>
            <w:tcW w:w="991" w:type="dxa"/>
            <w:tcBorders>
              <w:top w:val="single" w:color="auto" w:sz="4" w:space="0"/>
              <w:left w:val="single" w:color="auto" w:sz="4" w:space="0"/>
              <w:bottom w:val="single" w:color="auto" w:sz="4" w:space="0"/>
              <w:right w:val="single" w:color="auto" w:sz="4" w:space="0"/>
            </w:tcBorders>
            <w:vAlign w:val="center"/>
          </w:tcPr>
          <w:p w14:paraId="46D3227C">
            <w:pPr>
              <w:keepNext w:val="0"/>
              <w:keepLines w:val="0"/>
              <w:pageBreakBefore w:val="0"/>
              <w:widowControl/>
              <w:shd w:val="clear" w:color="auto" w:fill="FFFFFF"/>
              <w:kinsoku/>
              <w:wordWrap/>
              <w:overflowPunct/>
              <w:topLinePunct w:val="0"/>
              <w:autoSpaceDE/>
              <w:autoSpaceDN/>
              <w:bidi w:val="0"/>
              <w:adjustRightInd w:val="0"/>
              <w:snapToGrid w:val="0"/>
              <w:spacing w:line="360" w:lineRule="auto"/>
              <w:ind w:left="0" w:leftChars="0" w:firstLine="0" w:firstLineChars="0"/>
              <w:jc w:val="center"/>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整体策划方案</w:t>
            </w:r>
          </w:p>
          <w:p w14:paraId="1F8B413F">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 w:val="21"/>
                <w:szCs w:val="21"/>
                <w:highlight w:val="none"/>
                <w:lang w:val="en-US" w:eastAsia="zh-CN"/>
              </w:rPr>
              <w:t>（20</w:t>
            </w:r>
            <w:r>
              <w:rPr>
                <w:rFonts w:hint="eastAsia" w:ascii="宋体" w:hAnsi="宋体" w:eastAsia="宋体" w:cs="宋体"/>
                <w:color w:val="auto"/>
                <w:kern w:val="0"/>
                <w:sz w:val="21"/>
                <w:szCs w:val="21"/>
                <w:highlight w:val="none"/>
              </w:rPr>
              <w:t>分</w:t>
            </w:r>
            <w:r>
              <w:rPr>
                <w:rFonts w:hint="eastAsia" w:ascii="宋体" w:hAnsi="宋体" w:eastAsia="宋体" w:cs="宋体"/>
                <w:color w:val="auto"/>
                <w:kern w:val="0"/>
                <w:sz w:val="21"/>
                <w:szCs w:val="21"/>
                <w:highlight w:val="none"/>
                <w:lang w:val="en-US" w:eastAsia="zh-CN"/>
              </w:rPr>
              <w:t>）</w:t>
            </w:r>
          </w:p>
        </w:tc>
        <w:tc>
          <w:tcPr>
            <w:tcW w:w="7322" w:type="dxa"/>
            <w:tcBorders>
              <w:top w:val="single" w:color="auto" w:sz="4" w:space="0"/>
              <w:left w:val="single" w:color="auto" w:sz="4" w:space="0"/>
              <w:bottom w:val="single" w:color="auto" w:sz="4" w:space="0"/>
              <w:right w:val="single" w:color="auto" w:sz="4" w:space="0"/>
            </w:tcBorders>
            <w:vAlign w:val="center"/>
          </w:tcPr>
          <w:p w14:paraId="4704C3BA">
            <w:pPr>
              <w:keepNext w:val="0"/>
              <w:keepLines w:val="0"/>
              <w:pageBreakBefore w:val="0"/>
              <w:kinsoku/>
              <w:wordWrap/>
              <w:overflowPunct/>
              <w:topLinePunct w:val="0"/>
              <w:autoSpaceDE/>
              <w:autoSpaceDN/>
              <w:bidi w:val="0"/>
              <w:adjustRightInd w:val="0"/>
              <w:snapToGrid w:val="0"/>
              <w:spacing w:line="36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磋商小组根据供应商针对本项目实际提供整体的策划执行方案，包括整体理念、流程设计、执行计划等进行评分： </w:t>
            </w:r>
          </w:p>
          <w:p w14:paraId="33C840C5">
            <w:pPr>
              <w:keepNext w:val="0"/>
              <w:keepLines w:val="0"/>
              <w:pageBreakBefore w:val="0"/>
              <w:kinsoku/>
              <w:wordWrap/>
              <w:overflowPunct/>
              <w:topLinePunct w:val="0"/>
              <w:autoSpaceDE/>
              <w:autoSpaceDN/>
              <w:bidi w:val="0"/>
              <w:adjustRightInd w:val="0"/>
              <w:snapToGrid w:val="0"/>
              <w:spacing w:line="36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1、方案完整周密，创新性与可操作性强，安全应急明确，充分融合小洋口特色，各项要素齐全得20分。</w:t>
            </w:r>
          </w:p>
          <w:p w14:paraId="74B03489">
            <w:pPr>
              <w:keepNext w:val="0"/>
              <w:keepLines w:val="0"/>
              <w:pageBreakBefore w:val="0"/>
              <w:kinsoku/>
              <w:wordWrap/>
              <w:overflowPunct/>
              <w:topLinePunct w:val="0"/>
              <w:autoSpaceDE/>
              <w:autoSpaceDN/>
              <w:bidi w:val="0"/>
              <w:adjustRightInd w:val="0"/>
              <w:snapToGrid w:val="0"/>
              <w:spacing w:line="36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2、方案较为完整周密，具备较强创新性与可操作性，安全应急基本明确，较好融合小洋口特色，主要要素齐全得18分</w:t>
            </w:r>
          </w:p>
          <w:p w14:paraId="479C48AD">
            <w:pPr>
              <w:keepNext w:val="0"/>
              <w:keepLines w:val="0"/>
              <w:pageBreakBefore w:val="0"/>
              <w:kinsoku/>
              <w:wordWrap/>
              <w:overflowPunct/>
              <w:topLinePunct w:val="0"/>
              <w:autoSpaceDE/>
              <w:autoSpaceDN/>
              <w:bidi w:val="0"/>
              <w:adjustRightInd w:val="0"/>
              <w:snapToGrid w:val="0"/>
              <w:spacing w:line="36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3、方案完整清晰，具备主要要素并较好体现特色，但细节或创新略有不足得15分。</w:t>
            </w:r>
          </w:p>
          <w:p w14:paraId="664D2D51">
            <w:pPr>
              <w:keepNext w:val="0"/>
              <w:keepLines w:val="0"/>
              <w:pageBreakBefore w:val="0"/>
              <w:kinsoku/>
              <w:wordWrap/>
              <w:overflowPunct/>
              <w:topLinePunct w:val="0"/>
              <w:autoSpaceDE/>
              <w:autoSpaceDN/>
              <w:bidi w:val="0"/>
              <w:adjustRightInd w:val="0"/>
              <w:snapToGrid w:val="0"/>
              <w:spacing w:line="36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4、方案基本成型但存在明显缺失，勉强可执行得10分。</w:t>
            </w:r>
          </w:p>
          <w:p w14:paraId="0B2BD819">
            <w:pPr>
              <w:keepNext w:val="0"/>
              <w:keepLines w:val="0"/>
              <w:pageBreakBefore w:val="0"/>
              <w:kinsoku/>
              <w:wordWrap/>
              <w:overflowPunct/>
              <w:topLinePunct w:val="0"/>
              <w:autoSpaceDE/>
              <w:autoSpaceDN/>
              <w:bidi w:val="0"/>
              <w:adjustRightInd w:val="0"/>
              <w:snapToGrid w:val="0"/>
              <w:spacing w:line="36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5、方案框架粗浅、内容空洞，缺乏关键实施要素，需大幅补充完善得5分。</w:t>
            </w:r>
          </w:p>
          <w:p w14:paraId="5A6221EE">
            <w:pPr>
              <w:keepNext w:val="0"/>
              <w:keepLines w:val="0"/>
              <w:pageBreakBefore w:val="0"/>
              <w:kinsoku/>
              <w:wordWrap/>
              <w:overflowPunct/>
              <w:topLinePunct w:val="0"/>
              <w:autoSpaceDE/>
              <w:autoSpaceDN/>
              <w:bidi w:val="0"/>
              <w:adjustRightInd w:val="0"/>
              <w:snapToGrid w:val="0"/>
              <w:spacing w:line="36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6、方案思路零散、仅有活动点子或口号，无实质可操作内容得3分。</w:t>
            </w:r>
          </w:p>
          <w:p w14:paraId="21C34CC1">
            <w:pPr>
              <w:keepNext w:val="0"/>
              <w:keepLines w:val="0"/>
              <w:pageBreakBefore w:val="0"/>
              <w:kinsoku/>
              <w:wordWrap/>
              <w:overflowPunct/>
              <w:topLinePunct w:val="0"/>
              <w:autoSpaceDE/>
              <w:autoSpaceDN/>
              <w:bidi w:val="0"/>
              <w:adjustRightInd w:val="0"/>
              <w:snapToGrid w:val="0"/>
              <w:spacing w:line="36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7、方案与主题无关、严重抄袭或逻辑混乱，无法指导实际活动得1分。</w:t>
            </w:r>
          </w:p>
          <w:p w14:paraId="092C52BE">
            <w:pPr>
              <w:keepNext w:val="0"/>
              <w:keepLines w:val="0"/>
              <w:pageBreakBefore w:val="0"/>
              <w:kinsoku/>
              <w:wordWrap/>
              <w:overflowPunct/>
              <w:topLinePunct w:val="0"/>
              <w:autoSpaceDE/>
              <w:autoSpaceDN/>
              <w:bidi w:val="0"/>
              <w:adjustRightInd w:val="0"/>
              <w:snapToGrid w:val="0"/>
              <w:spacing w:line="360" w:lineRule="exact"/>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sz w:val="21"/>
                <w:szCs w:val="21"/>
                <w:highlight w:val="none"/>
                <w:lang w:val="en-US" w:eastAsia="zh-CN"/>
              </w:rPr>
              <w:t>未提供方案不得分。</w:t>
            </w:r>
          </w:p>
        </w:tc>
        <w:tc>
          <w:tcPr>
            <w:tcW w:w="790" w:type="dxa"/>
            <w:tcBorders>
              <w:top w:val="single" w:color="000000" w:sz="4" w:space="0"/>
              <w:left w:val="single" w:color="auto" w:sz="4" w:space="0"/>
              <w:bottom w:val="single" w:color="000000" w:sz="4" w:space="0"/>
              <w:right w:val="single" w:color="000000" w:sz="4" w:space="0"/>
            </w:tcBorders>
            <w:vAlign w:val="center"/>
          </w:tcPr>
          <w:p w14:paraId="3157DA06">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分</w:t>
            </w:r>
          </w:p>
        </w:tc>
      </w:tr>
      <w:tr w14:paraId="7B3834DE">
        <w:tblPrEx>
          <w:tblCellMar>
            <w:top w:w="0" w:type="dxa"/>
            <w:left w:w="0" w:type="dxa"/>
            <w:bottom w:w="0" w:type="dxa"/>
            <w:right w:w="0" w:type="dxa"/>
          </w:tblCellMar>
        </w:tblPrEx>
        <w:trPr>
          <w:trHeight w:val="2690" w:hRule="exact"/>
          <w:jc w:val="center"/>
        </w:trPr>
        <w:tc>
          <w:tcPr>
            <w:tcW w:w="959" w:type="dxa"/>
            <w:vMerge w:val="continue"/>
            <w:tcBorders>
              <w:top w:val="single" w:color="auto" w:sz="4" w:space="0"/>
              <w:left w:val="single" w:color="auto" w:sz="4" w:space="0"/>
              <w:bottom w:val="single" w:color="auto" w:sz="4" w:space="0"/>
              <w:right w:val="single" w:color="auto" w:sz="4" w:space="0"/>
            </w:tcBorders>
            <w:vAlign w:val="center"/>
          </w:tcPr>
          <w:p w14:paraId="09B82D3A">
            <w:pPr>
              <w:keepNext w:val="0"/>
              <w:keepLines w:val="0"/>
              <w:pageBreakBefore w:val="0"/>
              <w:widowControl/>
              <w:kinsoku/>
              <w:wordWrap/>
              <w:overflowPunct/>
              <w:topLinePunct w:val="0"/>
              <w:autoSpaceDE/>
              <w:autoSpaceDN/>
              <w:bidi w:val="0"/>
              <w:adjustRightInd w:val="0"/>
              <w:snapToGrid w:val="0"/>
              <w:spacing w:line="360" w:lineRule="auto"/>
              <w:ind w:firstLine="400"/>
              <w:jc w:val="center"/>
              <w:textAlignment w:val="auto"/>
              <w:rPr>
                <w:rFonts w:hint="eastAsia" w:ascii="宋体" w:hAnsi="宋体" w:eastAsia="宋体" w:cs="宋体"/>
                <w:color w:val="auto"/>
                <w:kern w:val="0"/>
                <w:szCs w:val="21"/>
                <w:highlight w:val="none"/>
              </w:rPr>
            </w:pPr>
          </w:p>
        </w:tc>
        <w:tc>
          <w:tcPr>
            <w:tcW w:w="991" w:type="dxa"/>
            <w:tcBorders>
              <w:top w:val="single" w:color="auto" w:sz="4" w:space="0"/>
              <w:left w:val="single" w:color="auto" w:sz="4" w:space="0"/>
              <w:bottom w:val="single" w:color="auto" w:sz="4" w:space="0"/>
              <w:right w:val="single" w:color="auto" w:sz="4" w:space="0"/>
            </w:tcBorders>
            <w:vAlign w:val="center"/>
          </w:tcPr>
          <w:p w14:paraId="695791E0">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现场氛围布置方案 </w:t>
            </w:r>
          </w:p>
          <w:p w14:paraId="7D229387">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15</w:t>
            </w:r>
            <w:r>
              <w:rPr>
                <w:rFonts w:hint="eastAsia" w:ascii="宋体" w:hAnsi="宋体" w:eastAsia="宋体" w:cs="宋体"/>
                <w:color w:val="auto"/>
                <w:kern w:val="0"/>
                <w:szCs w:val="21"/>
                <w:highlight w:val="none"/>
              </w:rPr>
              <w:t>分）</w:t>
            </w:r>
          </w:p>
        </w:tc>
        <w:tc>
          <w:tcPr>
            <w:tcW w:w="7322" w:type="dxa"/>
            <w:tcBorders>
              <w:top w:val="single" w:color="auto" w:sz="4" w:space="0"/>
              <w:left w:val="single" w:color="auto" w:sz="4" w:space="0"/>
              <w:bottom w:val="single" w:color="auto" w:sz="4" w:space="0"/>
              <w:right w:val="single" w:color="auto" w:sz="4" w:space="0"/>
            </w:tcBorders>
            <w:vAlign w:val="center"/>
          </w:tcPr>
          <w:p w14:paraId="40BC3038">
            <w:pPr>
              <w:keepNext w:val="0"/>
              <w:keepLines w:val="0"/>
              <w:pageBreakBefore w:val="0"/>
              <w:kinsoku/>
              <w:wordWrap/>
              <w:overflowPunct/>
              <w:topLinePunct w:val="0"/>
              <w:autoSpaceDE/>
              <w:autoSpaceDN/>
              <w:bidi w:val="0"/>
              <w:adjustRightInd w:val="0"/>
              <w:snapToGrid w:val="0"/>
              <w:spacing w:line="36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磋商小组对投标人整体氛围营造，户外及宣传氛围的营造、场地布置、各项物料设计方案进行评分： </w:t>
            </w:r>
          </w:p>
          <w:p w14:paraId="1B4842D9">
            <w:pPr>
              <w:keepNext w:val="0"/>
              <w:keepLines w:val="0"/>
              <w:pageBreakBefore w:val="0"/>
              <w:kinsoku/>
              <w:wordWrap/>
              <w:overflowPunct/>
              <w:topLinePunct w:val="0"/>
              <w:autoSpaceDE/>
              <w:autoSpaceDN/>
              <w:bidi w:val="0"/>
              <w:adjustRightInd w:val="0"/>
              <w:snapToGrid w:val="0"/>
              <w:spacing w:line="36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1、场地设计美观、宣传氛围营造热烈的得15分；</w:t>
            </w:r>
          </w:p>
          <w:p w14:paraId="50FD8855">
            <w:pPr>
              <w:keepNext w:val="0"/>
              <w:keepLines w:val="0"/>
              <w:pageBreakBefore w:val="0"/>
              <w:kinsoku/>
              <w:wordWrap/>
              <w:overflowPunct/>
              <w:topLinePunct w:val="0"/>
              <w:autoSpaceDE/>
              <w:autoSpaceDN/>
              <w:bidi w:val="0"/>
              <w:adjustRightInd w:val="0"/>
              <w:snapToGrid w:val="0"/>
              <w:spacing w:line="36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2、场地设计较为美观、宣传氛围营造较为热烈的得10分；</w:t>
            </w:r>
          </w:p>
          <w:p w14:paraId="55416598">
            <w:pPr>
              <w:keepNext w:val="0"/>
              <w:keepLines w:val="0"/>
              <w:pageBreakBefore w:val="0"/>
              <w:kinsoku/>
              <w:wordWrap/>
              <w:overflowPunct/>
              <w:topLinePunct w:val="0"/>
              <w:autoSpaceDE/>
              <w:autoSpaceDN/>
              <w:bidi w:val="0"/>
              <w:adjustRightInd w:val="0"/>
              <w:snapToGrid w:val="0"/>
              <w:spacing w:line="36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3、场地设计一般、宣传氛围营造一般的得5分；</w:t>
            </w:r>
          </w:p>
          <w:p w14:paraId="346D9988">
            <w:pPr>
              <w:keepNext w:val="0"/>
              <w:keepLines w:val="0"/>
              <w:pageBreakBefore w:val="0"/>
              <w:kinsoku/>
              <w:wordWrap/>
              <w:overflowPunct/>
              <w:topLinePunct w:val="0"/>
              <w:autoSpaceDE/>
              <w:autoSpaceDN/>
              <w:bidi w:val="0"/>
              <w:adjustRightInd w:val="0"/>
              <w:snapToGrid w:val="0"/>
              <w:spacing w:line="36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4、场地设计较差、宣传氛围营造较差的得2分。</w:t>
            </w:r>
          </w:p>
          <w:p w14:paraId="21355762">
            <w:pPr>
              <w:keepNext w:val="0"/>
              <w:keepLines w:val="0"/>
              <w:pageBreakBefore w:val="0"/>
              <w:kinsoku/>
              <w:wordWrap/>
              <w:overflowPunct/>
              <w:topLinePunct w:val="0"/>
              <w:autoSpaceDE/>
              <w:autoSpaceDN/>
              <w:bidi w:val="0"/>
              <w:adjustRightInd w:val="0"/>
              <w:snapToGrid w:val="0"/>
              <w:spacing w:line="360" w:lineRule="exact"/>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sz w:val="21"/>
                <w:szCs w:val="21"/>
                <w:highlight w:val="none"/>
                <w:lang w:val="en-US" w:eastAsia="zh-CN"/>
              </w:rPr>
              <w:t>未提供方案不得分。</w:t>
            </w:r>
          </w:p>
        </w:tc>
        <w:tc>
          <w:tcPr>
            <w:tcW w:w="790" w:type="dxa"/>
            <w:tcBorders>
              <w:top w:val="single" w:color="000000" w:sz="4" w:space="0"/>
              <w:left w:val="single" w:color="auto" w:sz="4" w:space="0"/>
              <w:bottom w:val="single" w:color="000000" w:sz="4" w:space="0"/>
              <w:right w:val="single" w:color="000000" w:sz="4" w:space="0"/>
            </w:tcBorders>
            <w:vAlign w:val="center"/>
          </w:tcPr>
          <w:p w14:paraId="07A559E1">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15</w:t>
            </w:r>
            <w:r>
              <w:rPr>
                <w:rFonts w:hint="eastAsia" w:ascii="宋体" w:hAnsi="宋体" w:eastAsia="宋体" w:cs="宋体"/>
                <w:color w:val="auto"/>
                <w:kern w:val="0"/>
                <w:szCs w:val="21"/>
                <w:highlight w:val="none"/>
              </w:rPr>
              <w:t>分</w:t>
            </w:r>
          </w:p>
        </w:tc>
      </w:tr>
      <w:tr w14:paraId="566A7124">
        <w:tblPrEx>
          <w:tblCellMar>
            <w:top w:w="0" w:type="dxa"/>
            <w:left w:w="0" w:type="dxa"/>
            <w:bottom w:w="0" w:type="dxa"/>
            <w:right w:w="0" w:type="dxa"/>
          </w:tblCellMar>
        </w:tblPrEx>
        <w:trPr>
          <w:trHeight w:val="4362" w:hRule="exact"/>
          <w:jc w:val="center"/>
        </w:trPr>
        <w:tc>
          <w:tcPr>
            <w:tcW w:w="959" w:type="dxa"/>
            <w:vMerge w:val="continue"/>
            <w:tcBorders>
              <w:top w:val="single" w:color="auto" w:sz="4" w:space="0"/>
              <w:left w:val="single" w:color="auto" w:sz="4" w:space="0"/>
              <w:bottom w:val="single" w:color="auto" w:sz="4" w:space="0"/>
              <w:right w:val="single" w:color="auto" w:sz="4" w:space="0"/>
            </w:tcBorders>
            <w:vAlign w:val="center"/>
          </w:tcPr>
          <w:p w14:paraId="5617F387">
            <w:pPr>
              <w:keepNext w:val="0"/>
              <w:keepLines w:val="0"/>
              <w:pageBreakBefore w:val="0"/>
              <w:widowControl/>
              <w:kinsoku/>
              <w:wordWrap/>
              <w:overflowPunct/>
              <w:topLinePunct w:val="0"/>
              <w:autoSpaceDE/>
              <w:autoSpaceDN/>
              <w:bidi w:val="0"/>
              <w:adjustRightInd w:val="0"/>
              <w:snapToGrid w:val="0"/>
              <w:spacing w:line="360" w:lineRule="auto"/>
              <w:ind w:firstLine="400"/>
              <w:jc w:val="center"/>
              <w:textAlignment w:val="auto"/>
              <w:rPr>
                <w:rFonts w:hint="eastAsia" w:ascii="宋体" w:hAnsi="宋体" w:eastAsia="宋体" w:cs="宋体"/>
                <w:color w:val="auto"/>
                <w:kern w:val="0"/>
                <w:szCs w:val="21"/>
                <w:highlight w:val="none"/>
              </w:rPr>
            </w:pPr>
          </w:p>
        </w:tc>
        <w:tc>
          <w:tcPr>
            <w:tcW w:w="991" w:type="dxa"/>
            <w:tcBorders>
              <w:top w:val="single" w:color="auto" w:sz="4" w:space="0"/>
              <w:left w:val="single" w:color="auto" w:sz="4" w:space="0"/>
              <w:bottom w:val="single" w:color="auto" w:sz="4" w:space="0"/>
              <w:right w:val="single" w:color="auto" w:sz="4" w:space="0"/>
            </w:tcBorders>
            <w:vAlign w:val="center"/>
          </w:tcPr>
          <w:p w14:paraId="5B5EB157">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安全保障方案</w:t>
            </w:r>
          </w:p>
          <w:p w14:paraId="3D4413A4">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10</w:t>
            </w:r>
            <w:r>
              <w:rPr>
                <w:rFonts w:hint="eastAsia" w:ascii="宋体" w:hAnsi="宋体" w:eastAsia="宋体" w:cs="宋体"/>
                <w:color w:val="auto"/>
                <w:kern w:val="0"/>
                <w:szCs w:val="21"/>
                <w:highlight w:val="none"/>
              </w:rPr>
              <w:t>分）</w:t>
            </w:r>
          </w:p>
        </w:tc>
        <w:tc>
          <w:tcPr>
            <w:tcW w:w="7322" w:type="dxa"/>
            <w:tcBorders>
              <w:top w:val="single" w:color="auto" w:sz="4" w:space="0"/>
              <w:left w:val="single" w:color="auto" w:sz="4" w:space="0"/>
              <w:bottom w:val="single" w:color="auto" w:sz="4" w:space="0"/>
              <w:right w:val="single" w:color="auto" w:sz="4" w:space="0"/>
            </w:tcBorders>
            <w:vAlign w:val="center"/>
          </w:tcPr>
          <w:p w14:paraId="1D9BD6ED">
            <w:pPr>
              <w:keepNext w:val="0"/>
              <w:keepLines w:val="0"/>
              <w:pageBreakBefore w:val="0"/>
              <w:kinsoku/>
              <w:wordWrap/>
              <w:overflowPunct/>
              <w:topLinePunct w:val="0"/>
              <w:autoSpaceDE/>
              <w:autoSpaceDN/>
              <w:bidi w:val="0"/>
              <w:adjustRightInd w:val="0"/>
              <w:snapToGrid w:val="0"/>
              <w:spacing w:line="36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针对本项目实际提供的安全保障方案，包括但不限于安保、安检以及应急保障等进行评分： </w:t>
            </w:r>
          </w:p>
          <w:p w14:paraId="454D2634">
            <w:pPr>
              <w:keepNext w:val="0"/>
              <w:keepLines w:val="0"/>
              <w:pageBreakBefore w:val="0"/>
              <w:kinsoku/>
              <w:wordWrap/>
              <w:overflowPunct/>
              <w:topLinePunct w:val="0"/>
              <w:autoSpaceDE/>
              <w:autoSpaceDN/>
              <w:bidi w:val="0"/>
              <w:adjustRightInd w:val="0"/>
              <w:snapToGrid w:val="0"/>
              <w:spacing w:line="36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1、方案合理、人员安排到位、服务及时、响应迅速、与项目需求贴合度高的得10分；</w:t>
            </w:r>
          </w:p>
          <w:p w14:paraId="515EE58C">
            <w:pPr>
              <w:keepNext w:val="0"/>
              <w:keepLines w:val="0"/>
              <w:pageBreakBefore w:val="0"/>
              <w:kinsoku/>
              <w:wordWrap/>
              <w:overflowPunct/>
              <w:topLinePunct w:val="0"/>
              <w:autoSpaceDE/>
              <w:autoSpaceDN/>
              <w:bidi w:val="0"/>
              <w:adjustRightInd w:val="0"/>
              <w:snapToGrid w:val="0"/>
              <w:spacing w:line="36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2、方案较合理、人员安排较到位、服务较及时、响应较快、较符合项目需求的得7分；</w:t>
            </w:r>
          </w:p>
          <w:p w14:paraId="1D5CDF6C">
            <w:pPr>
              <w:keepNext w:val="0"/>
              <w:keepLines w:val="0"/>
              <w:pageBreakBefore w:val="0"/>
              <w:kinsoku/>
              <w:wordWrap/>
              <w:overflowPunct/>
              <w:topLinePunct w:val="0"/>
              <w:autoSpaceDE/>
              <w:autoSpaceDN/>
              <w:bidi w:val="0"/>
              <w:adjustRightInd w:val="0"/>
              <w:snapToGrid w:val="0"/>
              <w:spacing w:line="36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3、方案合理性一般、人员安排一般、服务及时性一般、响应速度一般、基本符合项目需求的得5分；</w:t>
            </w:r>
          </w:p>
          <w:p w14:paraId="142BD9A9">
            <w:pPr>
              <w:keepNext w:val="0"/>
              <w:keepLines w:val="0"/>
              <w:pageBreakBefore w:val="0"/>
              <w:kinsoku/>
              <w:wordWrap/>
              <w:overflowPunct/>
              <w:topLinePunct w:val="0"/>
              <w:autoSpaceDE/>
              <w:autoSpaceDN/>
              <w:bidi w:val="0"/>
              <w:adjustRightInd w:val="0"/>
              <w:snapToGrid w:val="0"/>
              <w:spacing w:line="36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4、方案合理性较差、人员安排较差、服务不及时、响应较慢、与项目需求贴合度低的得2分。</w:t>
            </w:r>
          </w:p>
          <w:p w14:paraId="0AB1438F">
            <w:pPr>
              <w:keepNext w:val="0"/>
              <w:keepLines w:val="0"/>
              <w:pageBreakBefore w:val="0"/>
              <w:kinsoku/>
              <w:wordWrap/>
              <w:overflowPunct/>
              <w:topLinePunct w:val="0"/>
              <w:autoSpaceDE/>
              <w:autoSpaceDN/>
              <w:bidi w:val="0"/>
              <w:adjustRightInd w:val="0"/>
              <w:snapToGrid w:val="0"/>
              <w:spacing w:line="360" w:lineRule="exact"/>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sz w:val="21"/>
                <w:szCs w:val="21"/>
                <w:highlight w:val="none"/>
                <w:lang w:val="en-US" w:eastAsia="zh-CN"/>
              </w:rPr>
              <w:t>未提供方案不得分。</w:t>
            </w:r>
          </w:p>
        </w:tc>
        <w:tc>
          <w:tcPr>
            <w:tcW w:w="790" w:type="dxa"/>
            <w:tcBorders>
              <w:top w:val="single" w:color="000000" w:sz="4" w:space="0"/>
              <w:left w:val="single" w:color="auto" w:sz="4" w:space="0"/>
              <w:bottom w:val="single" w:color="000000" w:sz="4" w:space="0"/>
              <w:right w:val="single" w:color="000000" w:sz="4" w:space="0"/>
            </w:tcBorders>
            <w:vAlign w:val="center"/>
          </w:tcPr>
          <w:p w14:paraId="23325A89">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10</w:t>
            </w:r>
            <w:r>
              <w:rPr>
                <w:rFonts w:hint="eastAsia" w:ascii="宋体" w:hAnsi="宋体" w:eastAsia="宋体" w:cs="宋体"/>
                <w:color w:val="auto"/>
                <w:kern w:val="0"/>
                <w:szCs w:val="21"/>
                <w:highlight w:val="none"/>
              </w:rPr>
              <w:t>分</w:t>
            </w:r>
          </w:p>
        </w:tc>
      </w:tr>
      <w:tr w14:paraId="66C8CE1C">
        <w:tblPrEx>
          <w:tblCellMar>
            <w:top w:w="0" w:type="dxa"/>
            <w:left w:w="0" w:type="dxa"/>
            <w:bottom w:w="0" w:type="dxa"/>
            <w:right w:w="0" w:type="dxa"/>
          </w:tblCellMar>
        </w:tblPrEx>
        <w:trPr>
          <w:trHeight w:val="3227" w:hRule="exact"/>
          <w:jc w:val="center"/>
        </w:trPr>
        <w:tc>
          <w:tcPr>
            <w:tcW w:w="959" w:type="dxa"/>
            <w:vMerge w:val="continue"/>
            <w:tcBorders>
              <w:top w:val="single" w:color="auto" w:sz="4" w:space="0"/>
              <w:left w:val="single" w:color="auto" w:sz="4" w:space="0"/>
              <w:bottom w:val="single" w:color="auto" w:sz="4" w:space="0"/>
              <w:right w:val="single" w:color="auto" w:sz="4" w:space="0"/>
            </w:tcBorders>
            <w:vAlign w:val="center"/>
          </w:tcPr>
          <w:p w14:paraId="68E30837">
            <w:pPr>
              <w:keepNext w:val="0"/>
              <w:keepLines w:val="0"/>
              <w:pageBreakBefore w:val="0"/>
              <w:widowControl/>
              <w:kinsoku/>
              <w:wordWrap/>
              <w:overflowPunct/>
              <w:topLinePunct w:val="0"/>
              <w:autoSpaceDE/>
              <w:autoSpaceDN/>
              <w:bidi w:val="0"/>
              <w:adjustRightInd w:val="0"/>
              <w:snapToGrid w:val="0"/>
              <w:spacing w:line="360" w:lineRule="auto"/>
              <w:ind w:firstLine="400"/>
              <w:jc w:val="center"/>
              <w:textAlignment w:val="auto"/>
              <w:rPr>
                <w:rFonts w:hint="eastAsia" w:ascii="宋体" w:hAnsi="宋体" w:eastAsia="宋体" w:cs="宋体"/>
                <w:color w:val="auto"/>
                <w:kern w:val="0"/>
                <w:szCs w:val="21"/>
                <w:highlight w:val="none"/>
              </w:rPr>
            </w:pPr>
          </w:p>
        </w:tc>
        <w:tc>
          <w:tcPr>
            <w:tcW w:w="991" w:type="dxa"/>
            <w:tcBorders>
              <w:top w:val="single" w:color="auto" w:sz="4" w:space="0"/>
              <w:left w:val="single" w:color="auto" w:sz="4" w:space="0"/>
              <w:bottom w:val="single" w:color="auto" w:sz="4" w:space="0"/>
              <w:right w:val="single" w:color="auto" w:sz="4" w:space="0"/>
            </w:tcBorders>
            <w:vAlign w:val="center"/>
          </w:tcPr>
          <w:p w14:paraId="51F6C1DD">
            <w:pPr>
              <w:keepNext w:val="0"/>
              <w:keepLines w:val="0"/>
              <w:pageBreakBefore w:val="0"/>
              <w:widowControl/>
              <w:shd w:val="clear" w:color="auto" w:fill="FFFFFF"/>
              <w:kinsoku/>
              <w:wordWrap/>
              <w:overflowPunct/>
              <w:topLinePunct w:val="0"/>
              <w:autoSpaceDE/>
              <w:autoSpaceDN/>
              <w:bidi w:val="0"/>
              <w:adjustRightInd w:val="0"/>
              <w:snapToGrid w:val="0"/>
              <w:spacing w:line="360" w:lineRule="auto"/>
              <w:ind w:left="0" w:leftChars="0" w:firstLine="0" w:firstLineChars="0"/>
              <w:jc w:val="left"/>
              <w:textAlignment w:val="auto"/>
              <w:rPr>
                <w:rFonts w:hint="eastAsia" w:ascii="宋体" w:hAnsi="宋体" w:eastAsia="宋体" w:cs="宋体"/>
                <w:bCs/>
                <w:color w:val="auto"/>
                <w:sz w:val="21"/>
                <w:szCs w:val="21"/>
                <w:highlight w:val="none"/>
                <w:lang w:val="en-US" w:eastAsia="zh-CN" w:bidi="ar-SA"/>
              </w:rPr>
            </w:pPr>
            <w:r>
              <w:rPr>
                <w:rFonts w:hint="eastAsia" w:ascii="宋体" w:hAnsi="宋体" w:eastAsia="宋体" w:cs="宋体"/>
                <w:bCs/>
                <w:color w:val="auto"/>
                <w:sz w:val="21"/>
                <w:szCs w:val="21"/>
                <w:highlight w:val="none"/>
                <w:lang w:val="en-US" w:eastAsia="zh-CN" w:bidi="ar-SA"/>
              </w:rPr>
              <w:t>人员配备方案</w:t>
            </w:r>
          </w:p>
          <w:p w14:paraId="571E143B">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分）</w:t>
            </w:r>
          </w:p>
        </w:tc>
        <w:tc>
          <w:tcPr>
            <w:tcW w:w="7322" w:type="dxa"/>
            <w:tcBorders>
              <w:top w:val="single" w:color="auto" w:sz="4" w:space="0"/>
              <w:left w:val="single" w:color="auto" w:sz="4" w:space="0"/>
              <w:bottom w:val="single" w:color="auto" w:sz="4" w:space="0"/>
              <w:right w:val="single" w:color="auto" w:sz="4" w:space="0"/>
            </w:tcBorders>
            <w:vAlign w:val="center"/>
          </w:tcPr>
          <w:p w14:paraId="580738C8">
            <w:pPr>
              <w:keepNext w:val="0"/>
              <w:keepLines w:val="0"/>
              <w:pageBreakBefore w:val="0"/>
              <w:widowControl/>
              <w:shd w:val="clear" w:color="auto" w:fill="FFFFFF"/>
              <w:kinsoku/>
              <w:wordWrap/>
              <w:overflowPunct/>
              <w:topLinePunct w:val="0"/>
              <w:autoSpaceDE/>
              <w:autoSpaceDN/>
              <w:bidi w:val="0"/>
              <w:adjustRightInd w:val="0"/>
              <w:snapToGrid w:val="0"/>
              <w:spacing w:line="360" w:lineRule="exact"/>
              <w:ind w:left="0" w:leftChars="0" w:firstLine="0" w:firstLineChars="0"/>
              <w:jc w:val="left"/>
              <w:textAlignment w:val="auto"/>
              <w:rPr>
                <w:rFonts w:hint="eastAsia" w:ascii="宋体" w:hAnsi="宋体" w:eastAsia="宋体" w:cs="宋体"/>
                <w:bCs/>
                <w:color w:val="auto"/>
                <w:sz w:val="21"/>
                <w:szCs w:val="21"/>
                <w:highlight w:val="none"/>
                <w:lang w:val="en-US" w:eastAsia="zh-CN" w:bidi="ar-SA"/>
              </w:rPr>
            </w:pPr>
            <w:r>
              <w:rPr>
                <w:rFonts w:hint="eastAsia" w:ascii="宋体" w:hAnsi="宋体" w:eastAsia="宋体" w:cs="宋体"/>
                <w:bCs/>
                <w:color w:val="auto"/>
                <w:sz w:val="21"/>
                <w:szCs w:val="21"/>
                <w:highlight w:val="none"/>
                <w:lang w:val="en-US" w:eastAsia="zh-CN" w:bidi="ar-SA"/>
              </w:rPr>
              <w:t>磋商小组根据供应商提供的项目团队人员构成及合理性安排进行综合评分：</w:t>
            </w:r>
          </w:p>
          <w:p w14:paraId="4A0D8209">
            <w:pPr>
              <w:keepNext w:val="0"/>
              <w:keepLines w:val="0"/>
              <w:pageBreakBefore w:val="0"/>
              <w:widowControl/>
              <w:shd w:val="clear" w:color="auto" w:fill="FFFFFF"/>
              <w:kinsoku/>
              <w:wordWrap/>
              <w:overflowPunct/>
              <w:topLinePunct w:val="0"/>
              <w:autoSpaceDE/>
              <w:autoSpaceDN/>
              <w:bidi w:val="0"/>
              <w:adjustRightInd w:val="0"/>
              <w:snapToGrid w:val="0"/>
              <w:spacing w:line="360" w:lineRule="exact"/>
              <w:ind w:left="0" w:leftChars="0" w:firstLine="0" w:firstLineChars="0"/>
              <w:jc w:val="left"/>
              <w:textAlignment w:val="auto"/>
              <w:rPr>
                <w:rFonts w:hint="eastAsia" w:ascii="宋体" w:hAnsi="宋体" w:eastAsia="宋体" w:cs="宋体"/>
                <w:bCs/>
                <w:color w:val="auto"/>
                <w:sz w:val="21"/>
                <w:szCs w:val="21"/>
                <w:highlight w:val="none"/>
                <w:lang w:val="en-US" w:eastAsia="zh-CN" w:bidi="ar-SA"/>
              </w:rPr>
            </w:pPr>
            <w:r>
              <w:rPr>
                <w:rFonts w:hint="eastAsia" w:ascii="宋体" w:hAnsi="宋体" w:eastAsia="宋体" w:cs="宋体"/>
                <w:bCs/>
                <w:color w:val="auto"/>
                <w:sz w:val="21"/>
                <w:szCs w:val="21"/>
                <w:highlight w:val="none"/>
                <w:lang w:val="en-US" w:eastAsia="zh-CN" w:bidi="ar-SA"/>
              </w:rPr>
              <w:t>1、项目团队人员经验丰富，架构合理，分工明确，能够完全满足项目需要的得</w:t>
            </w:r>
            <w:r>
              <w:rPr>
                <w:rFonts w:hint="eastAsia" w:ascii="宋体" w:hAnsi="宋体" w:cs="宋体"/>
                <w:bCs/>
                <w:color w:val="auto"/>
                <w:sz w:val="21"/>
                <w:szCs w:val="21"/>
                <w:highlight w:val="none"/>
                <w:lang w:val="en-US" w:eastAsia="zh-CN" w:bidi="ar-SA"/>
              </w:rPr>
              <w:t>5</w:t>
            </w:r>
            <w:r>
              <w:rPr>
                <w:rFonts w:hint="eastAsia" w:ascii="宋体" w:hAnsi="宋体" w:eastAsia="宋体" w:cs="宋体"/>
                <w:bCs/>
                <w:color w:val="auto"/>
                <w:sz w:val="21"/>
                <w:szCs w:val="21"/>
                <w:highlight w:val="none"/>
                <w:lang w:val="en-US" w:eastAsia="zh-CN" w:bidi="ar-SA"/>
              </w:rPr>
              <w:t xml:space="preserve">分； </w:t>
            </w:r>
          </w:p>
          <w:p w14:paraId="3B782D26">
            <w:pPr>
              <w:keepNext w:val="0"/>
              <w:keepLines w:val="0"/>
              <w:pageBreakBefore w:val="0"/>
              <w:widowControl/>
              <w:shd w:val="clear" w:color="auto" w:fill="FFFFFF"/>
              <w:kinsoku/>
              <w:wordWrap/>
              <w:overflowPunct/>
              <w:topLinePunct w:val="0"/>
              <w:autoSpaceDE/>
              <w:autoSpaceDN/>
              <w:bidi w:val="0"/>
              <w:adjustRightInd w:val="0"/>
              <w:snapToGrid w:val="0"/>
              <w:spacing w:line="360" w:lineRule="exact"/>
              <w:ind w:left="0" w:leftChars="0" w:firstLine="0" w:firstLineChars="0"/>
              <w:jc w:val="left"/>
              <w:textAlignment w:val="auto"/>
              <w:rPr>
                <w:rFonts w:hint="eastAsia" w:ascii="宋体" w:hAnsi="宋体" w:eastAsia="宋体" w:cs="宋体"/>
                <w:bCs/>
                <w:color w:val="auto"/>
                <w:sz w:val="21"/>
                <w:szCs w:val="21"/>
                <w:highlight w:val="none"/>
                <w:lang w:val="en-US" w:eastAsia="zh-CN" w:bidi="ar-SA"/>
              </w:rPr>
            </w:pPr>
            <w:r>
              <w:rPr>
                <w:rFonts w:hint="eastAsia" w:ascii="宋体" w:hAnsi="宋体" w:eastAsia="宋体" w:cs="宋体"/>
                <w:bCs/>
                <w:color w:val="auto"/>
                <w:sz w:val="21"/>
                <w:szCs w:val="21"/>
                <w:highlight w:val="none"/>
                <w:lang w:val="en-US" w:eastAsia="zh-CN" w:bidi="ar-SA"/>
              </w:rPr>
              <w:t>2、项目团队人员经验较为丰富，架构较为合理，分工较为明确，基本满足项目需要的得</w:t>
            </w:r>
            <w:r>
              <w:rPr>
                <w:rFonts w:hint="eastAsia" w:ascii="宋体" w:hAnsi="宋体" w:cs="宋体"/>
                <w:bCs/>
                <w:color w:val="auto"/>
                <w:sz w:val="21"/>
                <w:szCs w:val="21"/>
                <w:highlight w:val="none"/>
                <w:lang w:val="en-US" w:eastAsia="zh-CN" w:bidi="ar-SA"/>
              </w:rPr>
              <w:t>4</w:t>
            </w:r>
            <w:r>
              <w:rPr>
                <w:rFonts w:hint="eastAsia" w:ascii="宋体" w:hAnsi="宋体" w:eastAsia="宋体" w:cs="宋体"/>
                <w:bCs/>
                <w:color w:val="auto"/>
                <w:sz w:val="21"/>
                <w:szCs w:val="21"/>
                <w:highlight w:val="none"/>
                <w:lang w:val="en-US" w:eastAsia="zh-CN" w:bidi="ar-SA"/>
              </w:rPr>
              <w:t xml:space="preserve">分； </w:t>
            </w:r>
          </w:p>
          <w:p w14:paraId="289ABB6F">
            <w:pPr>
              <w:keepNext w:val="0"/>
              <w:keepLines w:val="0"/>
              <w:pageBreakBefore w:val="0"/>
              <w:widowControl/>
              <w:shd w:val="clear" w:color="auto" w:fill="FFFFFF"/>
              <w:kinsoku/>
              <w:wordWrap/>
              <w:overflowPunct/>
              <w:topLinePunct w:val="0"/>
              <w:autoSpaceDE/>
              <w:autoSpaceDN/>
              <w:bidi w:val="0"/>
              <w:adjustRightInd w:val="0"/>
              <w:snapToGrid w:val="0"/>
              <w:spacing w:line="360" w:lineRule="exact"/>
              <w:ind w:left="0" w:leftChars="0" w:firstLine="0" w:firstLineChars="0"/>
              <w:jc w:val="left"/>
              <w:textAlignment w:val="auto"/>
              <w:rPr>
                <w:rFonts w:hint="eastAsia" w:ascii="宋体" w:hAnsi="宋体" w:eastAsia="宋体" w:cs="宋体"/>
                <w:bCs/>
                <w:color w:val="auto"/>
                <w:sz w:val="21"/>
                <w:szCs w:val="21"/>
                <w:highlight w:val="none"/>
                <w:lang w:val="en-US" w:eastAsia="zh-CN" w:bidi="ar-SA"/>
              </w:rPr>
            </w:pPr>
            <w:r>
              <w:rPr>
                <w:rFonts w:hint="eastAsia" w:ascii="宋体" w:hAnsi="宋体" w:eastAsia="宋体" w:cs="宋体"/>
                <w:bCs/>
                <w:color w:val="auto"/>
                <w:sz w:val="21"/>
                <w:szCs w:val="21"/>
                <w:highlight w:val="none"/>
                <w:lang w:val="en-US" w:eastAsia="zh-CN" w:bidi="ar-SA"/>
              </w:rPr>
              <w:t xml:space="preserve">3、项目团队人员经验较欠缺，无法较好的保障项目实施需要的得2分； </w:t>
            </w:r>
          </w:p>
          <w:p w14:paraId="1C1FA12B">
            <w:pPr>
              <w:keepNext w:val="0"/>
              <w:keepLines w:val="0"/>
              <w:pageBreakBefore w:val="0"/>
              <w:widowControl/>
              <w:kinsoku/>
              <w:wordWrap/>
              <w:overflowPunct/>
              <w:topLinePunct w:val="0"/>
              <w:autoSpaceDE/>
              <w:autoSpaceDN/>
              <w:bidi w:val="0"/>
              <w:adjustRightInd w:val="0"/>
              <w:snapToGrid w:val="0"/>
              <w:spacing w:line="360" w:lineRule="exact"/>
              <w:jc w:val="left"/>
              <w:textAlignment w:val="auto"/>
              <w:rPr>
                <w:rFonts w:hint="eastAsia" w:ascii="宋体" w:hAnsi="宋体" w:eastAsia="宋体" w:cs="宋体"/>
                <w:color w:val="auto"/>
                <w:kern w:val="0"/>
                <w:szCs w:val="21"/>
                <w:highlight w:val="none"/>
              </w:rPr>
            </w:pPr>
            <w:r>
              <w:rPr>
                <w:rFonts w:hint="eastAsia" w:ascii="宋体" w:hAnsi="宋体" w:eastAsia="宋体" w:cs="宋体"/>
                <w:bCs/>
                <w:color w:val="auto"/>
                <w:sz w:val="21"/>
                <w:szCs w:val="21"/>
                <w:highlight w:val="none"/>
                <w:lang w:val="en-US" w:eastAsia="zh-CN" w:bidi="ar-SA"/>
              </w:rPr>
              <w:t>注：响应文件内提供项目团队人员参与组织过的类似大型活动经验证明材料。未提供不得分。</w:t>
            </w:r>
          </w:p>
        </w:tc>
        <w:tc>
          <w:tcPr>
            <w:tcW w:w="790" w:type="dxa"/>
            <w:tcBorders>
              <w:top w:val="single" w:color="000000" w:sz="4" w:space="0"/>
              <w:left w:val="single" w:color="auto" w:sz="4" w:space="0"/>
              <w:bottom w:val="single" w:color="000000" w:sz="4" w:space="0"/>
              <w:right w:val="single" w:color="000000" w:sz="4" w:space="0"/>
            </w:tcBorders>
            <w:vAlign w:val="center"/>
          </w:tcPr>
          <w:p w14:paraId="1F04CF3C">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分</w:t>
            </w:r>
          </w:p>
        </w:tc>
      </w:tr>
      <w:tr w14:paraId="7FA3D96A">
        <w:tblPrEx>
          <w:tblCellMar>
            <w:top w:w="0" w:type="dxa"/>
            <w:left w:w="0" w:type="dxa"/>
            <w:bottom w:w="0" w:type="dxa"/>
            <w:right w:w="0" w:type="dxa"/>
          </w:tblCellMar>
        </w:tblPrEx>
        <w:trPr>
          <w:trHeight w:val="2349" w:hRule="exact"/>
          <w:jc w:val="center"/>
        </w:trPr>
        <w:tc>
          <w:tcPr>
            <w:tcW w:w="959" w:type="dxa"/>
            <w:vMerge w:val="continue"/>
            <w:tcBorders>
              <w:top w:val="single" w:color="auto" w:sz="4" w:space="0"/>
              <w:left w:val="single" w:color="auto" w:sz="4" w:space="0"/>
              <w:right w:val="single" w:color="000000" w:sz="4" w:space="0"/>
            </w:tcBorders>
            <w:vAlign w:val="center"/>
          </w:tcPr>
          <w:p w14:paraId="1CE6CADA">
            <w:pPr>
              <w:keepNext w:val="0"/>
              <w:keepLines w:val="0"/>
              <w:pageBreakBefore w:val="0"/>
              <w:widowControl/>
              <w:kinsoku/>
              <w:wordWrap/>
              <w:overflowPunct/>
              <w:topLinePunct w:val="0"/>
              <w:autoSpaceDE/>
              <w:autoSpaceDN/>
              <w:bidi w:val="0"/>
              <w:adjustRightInd w:val="0"/>
              <w:snapToGrid w:val="0"/>
              <w:spacing w:line="360" w:lineRule="auto"/>
              <w:ind w:firstLine="400"/>
              <w:jc w:val="center"/>
              <w:textAlignment w:val="auto"/>
              <w:rPr>
                <w:rFonts w:hint="eastAsia" w:ascii="宋体" w:hAnsi="宋体" w:eastAsia="宋体" w:cs="宋体"/>
                <w:color w:val="auto"/>
                <w:kern w:val="0"/>
                <w:szCs w:val="21"/>
                <w:highlight w:val="none"/>
              </w:rPr>
            </w:pPr>
          </w:p>
        </w:tc>
        <w:tc>
          <w:tcPr>
            <w:tcW w:w="991" w:type="dxa"/>
            <w:tcBorders>
              <w:top w:val="single" w:color="auto" w:sz="4" w:space="0"/>
              <w:left w:val="single" w:color="000000" w:sz="4" w:space="0"/>
              <w:bottom w:val="single" w:color="000000" w:sz="4" w:space="0"/>
              <w:right w:val="single" w:color="000000" w:sz="4" w:space="0"/>
            </w:tcBorders>
            <w:vAlign w:val="center"/>
          </w:tcPr>
          <w:p w14:paraId="00E6691A">
            <w:pPr>
              <w:keepNext w:val="0"/>
              <w:keepLines w:val="0"/>
              <w:pageBreakBefore w:val="0"/>
              <w:widowControl/>
              <w:shd w:val="clear" w:color="auto" w:fill="FFFFFF"/>
              <w:kinsoku/>
              <w:wordWrap/>
              <w:overflowPunct/>
              <w:topLinePunct w:val="0"/>
              <w:autoSpaceDE/>
              <w:autoSpaceDN/>
              <w:bidi w:val="0"/>
              <w:adjustRightInd w:val="0"/>
              <w:snapToGrid w:val="0"/>
              <w:spacing w:line="360" w:lineRule="auto"/>
              <w:ind w:left="0" w:leftChars="0" w:firstLine="0" w:firstLineChars="0"/>
              <w:jc w:val="left"/>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突发事件应急处理方案</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分）</w:t>
            </w:r>
          </w:p>
          <w:p w14:paraId="02C8092C">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kern w:val="0"/>
                <w:szCs w:val="21"/>
                <w:highlight w:val="none"/>
              </w:rPr>
            </w:pPr>
          </w:p>
        </w:tc>
        <w:tc>
          <w:tcPr>
            <w:tcW w:w="7322" w:type="dxa"/>
            <w:tcBorders>
              <w:top w:val="single" w:color="auto" w:sz="4" w:space="0"/>
              <w:left w:val="single" w:color="000000" w:sz="4" w:space="0"/>
              <w:bottom w:val="single" w:color="000000" w:sz="4" w:space="0"/>
              <w:right w:val="single" w:color="000000" w:sz="4" w:space="0"/>
            </w:tcBorders>
            <w:vAlign w:val="center"/>
          </w:tcPr>
          <w:p w14:paraId="56E0BE5A">
            <w:pPr>
              <w:keepNext w:val="0"/>
              <w:keepLines w:val="0"/>
              <w:pageBreakBefore w:val="0"/>
              <w:widowControl/>
              <w:shd w:val="clear" w:color="auto" w:fill="FFFFFF"/>
              <w:kinsoku/>
              <w:wordWrap/>
              <w:overflowPunct/>
              <w:topLinePunct w:val="0"/>
              <w:autoSpaceDE/>
              <w:autoSpaceDN/>
              <w:bidi w:val="0"/>
              <w:adjustRightInd w:val="0"/>
              <w:snapToGrid w:val="0"/>
              <w:spacing w:line="360" w:lineRule="exact"/>
              <w:ind w:left="0" w:leftChars="0" w:firstLine="0" w:firstLineChars="0"/>
              <w:jc w:val="left"/>
              <w:textAlignment w:val="auto"/>
              <w:rPr>
                <w:rFonts w:hint="eastAsia" w:ascii="宋体" w:hAnsi="宋体" w:eastAsia="宋体" w:cs="宋体"/>
                <w:bCs/>
                <w:color w:val="auto"/>
                <w:sz w:val="21"/>
                <w:szCs w:val="21"/>
                <w:highlight w:val="none"/>
                <w:lang w:val="en-US" w:eastAsia="zh-CN" w:bidi="ar-SA"/>
              </w:rPr>
            </w:pPr>
            <w:r>
              <w:rPr>
                <w:rFonts w:hint="eastAsia" w:ascii="宋体" w:hAnsi="宋体" w:eastAsia="宋体" w:cs="宋体"/>
                <w:bCs/>
                <w:color w:val="auto"/>
                <w:sz w:val="21"/>
                <w:szCs w:val="21"/>
                <w:highlight w:val="none"/>
                <w:lang w:val="en-US" w:eastAsia="zh-CN" w:bidi="ar-SA"/>
              </w:rPr>
              <w:t xml:space="preserve">磋商小组根据供应商提供的突发事件应急处理预案进行综合评分。 </w:t>
            </w:r>
          </w:p>
          <w:p w14:paraId="56D3CB24">
            <w:pPr>
              <w:keepNext w:val="0"/>
              <w:keepLines w:val="0"/>
              <w:pageBreakBefore w:val="0"/>
              <w:widowControl/>
              <w:shd w:val="clear" w:color="auto" w:fill="FFFFFF"/>
              <w:kinsoku/>
              <w:wordWrap/>
              <w:overflowPunct/>
              <w:topLinePunct w:val="0"/>
              <w:autoSpaceDE/>
              <w:autoSpaceDN/>
              <w:bidi w:val="0"/>
              <w:adjustRightInd w:val="0"/>
              <w:snapToGrid w:val="0"/>
              <w:spacing w:line="360" w:lineRule="exact"/>
              <w:ind w:left="0" w:leftChars="0" w:firstLine="0" w:firstLineChars="0"/>
              <w:jc w:val="left"/>
              <w:textAlignment w:val="auto"/>
              <w:rPr>
                <w:rFonts w:hint="eastAsia" w:ascii="宋体" w:hAnsi="宋体" w:eastAsia="宋体" w:cs="宋体"/>
                <w:bCs/>
                <w:color w:val="auto"/>
                <w:sz w:val="21"/>
                <w:szCs w:val="21"/>
                <w:highlight w:val="none"/>
                <w:lang w:val="en-US" w:eastAsia="zh-CN" w:bidi="ar-SA"/>
              </w:rPr>
            </w:pPr>
            <w:r>
              <w:rPr>
                <w:rFonts w:hint="eastAsia" w:ascii="宋体" w:hAnsi="宋体" w:eastAsia="宋体" w:cs="宋体"/>
                <w:bCs/>
                <w:color w:val="auto"/>
                <w:sz w:val="21"/>
                <w:szCs w:val="21"/>
                <w:highlight w:val="none"/>
                <w:lang w:val="en-US" w:eastAsia="zh-CN" w:bidi="ar-SA"/>
              </w:rPr>
              <w:t xml:space="preserve">1、能够提供完善的协调处理方案及应急保障措施，保证活动顺利开展的得5分； </w:t>
            </w:r>
          </w:p>
          <w:p w14:paraId="698AF8FB">
            <w:pPr>
              <w:keepNext w:val="0"/>
              <w:keepLines w:val="0"/>
              <w:pageBreakBefore w:val="0"/>
              <w:widowControl/>
              <w:shd w:val="clear" w:color="auto" w:fill="FFFFFF"/>
              <w:kinsoku/>
              <w:wordWrap/>
              <w:overflowPunct/>
              <w:topLinePunct w:val="0"/>
              <w:autoSpaceDE/>
              <w:autoSpaceDN/>
              <w:bidi w:val="0"/>
              <w:adjustRightInd w:val="0"/>
              <w:snapToGrid w:val="0"/>
              <w:spacing w:line="360" w:lineRule="exact"/>
              <w:ind w:left="0" w:leftChars="0" w:firstLine="0" w:firstLineChars="0"/>
              <w:jc w:val="left"/>
              <w:textAlignment w:val="auto"/>
              <w:rPr>
                <w:rFonts w:hint="eastAsia" w:ascii="宋体" w:hAnsi="宋体" w:eastAsia="宋体" w:cs="宋体"/>
                <w:bCs/>
                <w:color w:val="auto"/>
                <w:sz w:val="21"/>
                <w:szCs w:val="21"/>
                <w:highlight w:val="none"/>
                <w:lang w:val="en-US" w:eastAsia="zh-CN" w:bidi="ar-SA"/>
              </w:rPr>
            </w:pPr>
            <w:r>
              <w:rPr>
                <w:rFonts w:hint="eastAsia" w:ascii="宋体" w:hAnsi="宋体" w:eastAsia="宋体" w:cs="宋体"/>
                <w:bCs/>
                <w:color w:val="auto"/>
                <w:sz w:val="21"/>
                <w:szCs w:val="21"/>
                <w:highlight w:val="none"/>
                <w:lang w:val="en-US" w:eastAsia="zh-CN" w:bidi="ar-SA"/>
              </w:rPr>
              <w:t xml:space="preserve">2、能够提供较完善的协调处理方案及应急保障措施的得3分； </w:t>
            </w:r>
          </w:p>
          <w:p w14:paraId="03B1E662">
            <w:pPr>
              <w:keepNext w:val="0"/>
              <w:keepLines w:val="0"/>
              <w:pageBreakBefore w:val="0"/>
              <w:widowControl/>
              <w:shd w:val="clear" w:color="auto" w:fill="FFFFFF"/>
              <w:kinsoku/>
              <w:wordWrap/>
              <w:overflowPunct/>
              <w:topLinePunct w:val="0"/>
              <w:autoSpaceDE/>
              <w:autoSpaceDN/>
              <w:bidi w:val="0"/>
              <w:adjustRightInd w:val="0"/>
              <w:snapToGrid w:val="0"/>
              <w:spacing w:line="360" w:lineRule="exact"/>
              <w:ind w:left="0" w:leftChars="0" w:firstLine="0" w:firstLineChars="0"/>
              <w:jc w:val="left"/>
              <w:textAlignment w:val="auto"/>
              <w:rPr>
                <w:rFonts w:hint="eastAsia" w:ascii="宋体" w:hAnsi="宋体" w:eastAsia="宋体" w:cs="宋体"/>
                <w:bCs/>
                <w:color w:val="auto"/>
                <w:sz w:val="21"/>
                <w:szCs w:val="21"/>
                <w:highlight w:val="none"/>
                <w:lang w:val="en-US" w:eastAsia="zh-CN" w:bidi="ar-SA"/>
              </w:rPr>
            </w:pPr>
            <w:r>
              <w:rPr>
                <w:rFonts w:hint="eastAsia" w:ascii="宋体" w:hAnsi="宋体" w:eastAsia="宋体" w:cs="宋体"/>
                <w:bCs/>
                <w:color w:val="auto"/>
                <w:sz w:val="21"/>
                <w:szCs w:val="21"/>
                <w:highlight w:val="none"/>
                <w:lang w:val="en-US" w:eastAsia="zh-CN" w:bidi="ar-SA"/>
              </w:rPr>
              <w:t>3、未能提供完善的协调处理方案及应急保障措施，不能保证活动正常开展的得1分。</w:t>
            </w:r>
          </w:p>
          <w:p w14:paraId="272EFDB1">
            <w:pPr>
              <w:keepNext w:val="0"/>
              <w:keepLines w:val="0"/>
              <w:pageBreakBefore w:val="0"/>
              <w:widowControl/>
              <w:kinsoku/>
              <w:wordWrap/>
              <w:overflowPunct/>
              <w:topLinePunct w:val="0"/>
              <w:autoSpaceDE/>
              <w:autoSpaceDN/>
              <w:bidi w:val="0"/>
              <w:adjustRightInd w:val="0"/>
              <w:snapToGrid w:val="0"/>
              <w:spacing w:line="360" w:lineRule="exact"/>
              <w:jc w:val="left"/>
              <w:textAlignment w:val="auto"/>
              <w:rPr>
                <w:rFonts w:hint="eastAsia" w:ascii="宋体" w:hAnsi="宋体" w:eastAsia="宋体" w:cs="宋体"/>
                <w:bCs/>
                <w:color w:val="auto"/>
                <w:sz w:val="21"/>
                <w:szCs w:val="21"/>
                <w:highlight w:val="none"/>
                <w:lang w:val="en-US" w:eastAsia="zh-CN" w:bidi="ar-SA"/>
              </w:rPr>
            </w:pPr>
            <w:r>
              <w:rPr>
                <w:rFonts w:hint="eastAsia" w:ascii="宋体" w:hAnsi="宋体" w:eastAsia="宋体" w:cs="宋体"/>
                <w:bCs/>
                <w:color w:val="auto"/>
                <w:sz w:val="21"/>
                <w:szCs w:val="21"/>
                <w:highlight w:val="none"/>
                <w:lang w:val="en-US" w:eastAsia="zh-CN" w:bidi="ar-SA"/>
              </w:rPr>
              <w:t>未提供不得分。</w:t>
            </w:r>
          </w:p>
        </w:tc>
        <w:tc>
          <w:tcPr>
            <w:tcW w:w="790" w:type="dxa"/>
            <w:tcBorders>
              <w:top w:val="single" w:color="000000" w:sz="4" w:space="0"/>
              <w:left w:val="single" w:color="000000" w:sz="4" w:space="0"/>
              <w:bottom w:val="single" w:color="000000" w:sz="4" w:space="0"/>
              <w:right w:val="single" w:color="000000" w:sz="4" w:space="0"/>
            </w:tcBorders>
            <w:vAlign w:val="center"/>
          </w:tcPr>
          <w:p w14:paraId="288EC5FA">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分</w:t>
            </w:r>
          </w:p>
        </w:tc>
      </w:tr>
      <w:tr w14:paraId="1FF71F04">
        <w:tblPrEx>
          <w:tblCellMar>
            <w:top w:w="0" w:type="dxa"/>
            <w:left w:w="0" w:type="dxa"/>
            <w:bottom w:w="0" w:type="dxa"/>
            <w:right w:w="0" w:type="dxa"/>
          </w:tblCellMar>
        </w:tblPrEx>
        <w:trPr>
          <w:trHeight w:val="3825" w:hRule="exact"/>
          <w:jc w:val="center"/>
        </w:trPr>
        <w:tc>
          <w:tcPr>
            <w:tcW w:w="959" w:type="dxa"/>
            <w:vMerge w:val="continue"/>
            <w:tcBorders>
              <w:left w:val="single" w:color="auto" w:sz="4" w:space="0"/>
              <w:bottom w:val="single" w:color="000000" w:sz="4" w:space="0"/>
              <w:right w:val="single" w:color="000000" w:sz="4" w:space="0"/>
            </w:tcBorders>
            <w:vAlign w:val="center"/>
          </w:tcPr>
          <w:p w14:paraId="4D5CE0BE">
            <w:pPr>
              <w:keepNext w:val="0"/>
              <w:keepLines w:val="0"/>
              <w:pageBreakBefore w:val="0"/>
              <w:widowControl/>
              <w:kinsoku/>
              <w:wordWrap/>
              <w:overflowPunct/>
              <w:topLinePunct w:val="0"/>
              <w:autoSpaceDE/>
              <w:autoSpaceDN/>
              <w:bidi w:val="0"/>
              <w:adjustRightInd w:val="0"/>
              <w:snapToGrid w:val="0"/>
              <w:spacing w:line="360" w:lineRule="auto"/>
              <w:ind w:firstLine="400"/>
              <w:jc w:val="center"/>
              <w:textAlignment w:val="auto"/>
              <w:rPr>
                <w:rFonts w:hint="eastAsia" w:ascii="宋体" w:hAnsi="宋体" w:eastAsia="宋体" w:cs="宋体"/>
                <w:color w:val="auto"/>
                <w:kern w:val="0"/>
                <w:szCs w:val="21"/>
                <w:highlight w:val="none"/>
              </w:rPr>
            </w:pPr>
          </w:p>
        </w:tc>
        <w:tc>
          <w:tcPr>
            <w:tcW w:w="991" w:type="dxa"/>
            <w:tcBorders>
              <w:top w:val="single" w:color="000000" w:sz="4" w:space="0"/>
              <w:left w:val="single" w:color="000000" w:sz="4" w:space="0"/>
              <w:bottom w:val="single" w:color="000000" w:sz="4" w:space="0"/>
              <w:right w:val="single" w:color="000000" w:sz="4" w:space="0"/>
            </w:tcBorders>
            <w:vAlign w:val="center"/>
          </w:tcPr>
          <w:p w14:paraId="51DB2871">
            <w:pPr>
              <w:keepNext w:val="0"/>
              <w:keepLines w:val="0"/>
              <w:pageBreakBefore w:val="0"/>
              <w:widowControl/>
              <w:shd w:val="clear" w:color="auto" w:fill="FFFFFF"/>
              <w:kinsoku/>
              <w:wordWrap/>
              <w:overflowPunct/>
              <w:topLinePunct w:val="0"/>
              <w:autoSpaceDE/>
              <w:autoSpaceDN/>
              <w:bidi w:val="0"/>
              <w:adjustRightInd w:val="0"/>
              <w:snapToGrid w:val="0"/>
              <w:spacing w:line="360" w:lineRule="auto"/>
              <w:ind w:left="0" w:leftChars="0" w:firstLine="0" w:firstLineChars="0"/>
              <w:jc w:val="left"/>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rPr>
              <w:t xml:space="preserve">宣传推广方案 </w:t>
            </w:r>
            <w:r>
              <w:rPr>
                <w:rFonts w:hint="eastAsia" w:ascii="宋体" w:hAnsi="宋体" w:eastAsia="宋体" w:cs="宋体"/>
                <w:color w:val="auto"/>
                <w:kern w:val="0"/>
                <w:szCs w:val="21"/>
                <w:highlight w:val="none"/>
              </w:rPr>
              <w:t>（</w:t>
            </w:r>
            <w:r>
              <w:rPr>
                <w:rFonts w:hint="eastAsia" w:ascii="宋体" w:hAnsi="宋体" w:cs="宋体"/>
                <w:color w:val="auto"/>
                <w:kern w:val="0"/>
                <w:szCs w:val="21"/>
                <w:highlight w:val="none"/>
                <w:lang w:val="en-US" w:eastAsia="zh-CN"/>
              </w:rPr>
              <w:t>10</w:t>
            </w:r>
            <w:r>
              <w:rPr>
                <w:rFonts w:hint="eastAsia" w:ascii="宋体" w:hAnsi="宋体" w:eastAsia="宋体" w:cs="宋体"/>
                <w:color w:val="auto"/>
                <w:kern w:val="0"/>
                <w:szCs w:val="21"/>
                <w:highlight w:val="none"/>
              </w:rPr>
              <w:t>分）</w:t>
            </w:r>
          </w:p>
          <w:p w14:paraId="1F5A4138">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kern w:val="0"/>
                <w:szCs w:val="21"/>
                <w:highlight w:val="none"/>
              </w:rPr>
            </w:pPr>
          </w:p>
        </w:tc>
        <w:tc>
          <w:tcPr>
            <w:tcW w:w="7322" w:type="dxa"/>
            <w:tcBorders>
              <w:top w:val="single" w:color="000000" w:sz="4" w:space="0"/>
              <w:left w:val="single" w:color="000000" w:sz="4" w:space="0"/>
              <w:bottom w:val="single" w:color="000000" w:sz="4" w:space="0"/>
              <w:right w:val="single" w:color="000000" w:sz="4" w:space="0"/>
            </w:tcBorders>
            <w:vAlign w:val="center"/>
          </w:tcPr>
          <w:p w14:paraId="211A2332">
            <w:pPr>
              <w:keepNext w:val="0"/>
              <w:keepLines w:val="0"/>
              <w:pageBreakBefore w:val="0"/>
              <w:widowControl/>
              <w:shd w:val="clear" w:color="auto" w:fill="FFFFFF"/>
              <w:kinsoku/>
              <w:wordWrap/>
              <w:overflowPunct/>
              <w:topLinePunct w:val="0"/>
              <w:autoSpaceDE/>
              <w:autoSpaceDN/>
              <w:bidi w:val="0"/>
              <w:adjustRightInd w:val="0"/>
              <w:snapToGrid w:val="0"/>
              <w:spacing w:line="360" w:lineRule="exact"/>
              <w:ind w:left="0" w:leftChars="0" w:firstLine="0" w:firstLineChars="0"/>
              <w:jc w:val="left"/>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rPr>
              <w:t xml:space="preserve">针对本项目实际提供的宣传推广方案，包括符合采购文件要求的媒体清单、宣传推广计划等进行评分： </w:t>
            </w:r>
          </w:p>
          <w:p w14:paraId="2AF98FDB">
            <w:pPr>
              <w:keepNext w:val="0"/>
              <w:keepLines w:val="0"/>
              <w:pageBreakBefore w:val="0"/>
              <w:widowControl/>
              <w:shd w:val="clear" w:color="auto" w:fill="FFFFFF"/>
              <w:kinsoku/>
              <w:wordWrap/>
              <w:overflowPunct/>
              <w:topLinePunct w:val="0"/>
              <w:autoSpaceDE/>
              <w:autoSpaceDN/>
              <w:bidi w:val="0"/>
              <w:adjustRightInd w:val="0"/>
              <w:snapToGrid w:val="0"/>
              <w:spacing w:line="360" w:lineRule="exact"/>
              <w:ind w:left="0" w:leftChars="0" w:firstLine="0" w:firstLineChars="0"/>
              <w:jc w:val="left"/>
              <w:textAlignment w:val="auto"/>
              <w:rPr>
                <w:rFonts w:hint="eastAsia" w:ascii="宋体" w:hAnsi="宋体" w:eastAsia="宋体" w:cs="宋体"/>
                <w:bCs/>
                <w:color w:val="auto"/>
                <w:sz w:val="21"/>
                <w:szCs w:val="21"/>
                <w:highlight w:val="none"/>
                <w:lang w:val="en-US" w:eastAsia="zh-CN" w:bidi="ar-SA"/>
              </w:rPr>
            </w:pPr>
            <w:r>
              <w:rPr>
                <w:rFonts w:hint="eastAsia" w:ascii="宋体" w:hAnsi="宋体" w:eastAsia="宋体" w:cs="宋体"/>
                <w:color w:val="auto"/>
                <w:kern w:val="2"/>
                <w:sz w:val="21"/>
                <w:szCs w:val="21"/>
                <w:highlight w:val="none"/>
                <w:lang w:val="en-US" w:eastAsia="zh-CN"/>
              </w:rPr>
              <w:t>1、</w:t>
            </w:r>
            <w:r>
              <w:rPr>
                <w:rFonts w:hint="eastAsia" w:ascii="宋体" w:hAnsi="宋体" w:eastAsia="宋体" w:cs="宋体"/>
                <w:bCs/>
                <w:color w:val="auto"/>
                <w:sz w:val="21"/>
                <w:szCs w:val="21"/>
                <w:highlight w:val="none"/>
                <w:lang w:val="en-US" w:eastAsia="zh-CN" w:bidi="ar-SA"/>
              </w:rPr>
              <w:t>方案内容极其详尽周密，媒体清单形式丰富多样、组合创新性强，显著优于采购要求，得10分；</w:t>
            </w:r>
          </w:p>
          <w:p w14:paraId="5A10A6CE">
            <w:pPr>
              <w:keepNext w:val="0"/>
              <w:keepLines w:val="0"/>
              <w:pageBreakBefore w:val="0"/>
              <w:widowControl/>
              <w:shd w:val="clear" w:color="auto" w:fill="FFFFFF"/>
              <w:kinsoku/>
              <w:wordWrap/>
              <w:overflowPunct/>
              <w:topLinePunct w:val="0"/>
              <w:autoSpaceDE/>
              <w:autoSpaceDN/>
              <w:bidi w:val="0"/>
              <w:adjustRightInd w:val="0"/>
              <w:snapToGrid w:val="0"/>
              <w:spacing w:line="360" w:lineRule="exact"/>
              <w:ind w:left="0" w:leftChars="0" w:firstLine="0" w:firstLineChars="0"/>
              <w:jc w:val="left"/>
              <w:textAlignment w:val="auto"/>
              <w:rPr>
                <w:rFonts w:hint="eastAsia" w:ascii="宋体" w:hAnsi="宋体" w:eastAsia="宋体" w:cs="宋体"/>
                <w:bCs/>
                <w:color w:val="auto"/>
                <w:sz w:val="21"/>
                <w:szCs w:val="21"/>
                <w:highlight w:val="none"/>
                <w:lang w:val="en-US" w:eastAsia="zh-CN" w:bidi="ar-SA"/>
              </w:rPr>
            </w:pPr>
            <w:r>
              <w:rPr>
                <w:rFonts w:hint="eastAsia" w:ascii="宋体" w:hAnsi="宋体" w:eastAsia="宋体" w:cs="宋体"/>
                <w:bCs/>
                <w:color w:val="auto"/>
                <w:sz w:val="21"/>
                <w:szCs w:val="21"/>
                <w:highlight w:val="none"/>
                <w:lang w:val="en-US" w:eastAsia="zh-CN" w:bidi="ar-SA"/>
              </w:rPr>
              <w:t>2、方案内容完整详实，媒体清单形式较为多样，整体优于采购要求，得7分；</w:t>
            </w:r>
          </w:p>
          <w:p w14:paraId="2BE609E7">
            <w:pPr>
              <w:keepNext w:val="0"/>
              <w:keepLines w:val="0"/>
              <w:pageBreakBefore w:val="0"/>
              <w:widowControl/>
              <w:shd w:val="clear" w:color="auto" w:fill="FFFFFF"/>
              <w:kinsoku/>
              <w:wordWrap/>
              <w:overflowPunct/>
              <w:topLinePunct w:val="0"/>
              <w:autoSpaceDE/>
              <w:autoSpaceDN/>
              <w:bidi w:val="0"/>
              <w:adjustRightInd w:val="0"/>
              <w:snapToGrid w:val="0"/>
              <w:spacing w:line="360" w:lineRule="exact"/>
              <w:ind w:left="0" w:leftChars="0" w:firstLine="0" w:firstLineChars="0"/>
              <w:jc w:val="left"/>
              <w:textAlignment w:val="auto"/>
              <w:rPr>
                <w:rFonts w:hint="eastAsia" w:ascii="宋体" w:hAnsi="宋体" w:eastAsia="宋体" w:cs="宋体"/>
                <w:bCs/>
                <w:color w:val="auto"/>
                <w:sz w:val="21"/>
                <w:szCs w:val="21"/>
                <w:highlight w:val="none"/>
                <w:lang w:val="en-US" w:eastAsia="zh-CN" w:bidi="ar-SA"/>
              </w:rPr>
            </w:pPr>
            <w:r>
              <w:rPr>
                <w:rFonts w:hint="eastAsia" w:ascii="宋体" w:hAnsi="宋体" w:eastAsia="宋体" w:cs="宋体"/>
                <w:bCs/>
                <w:color w:val="auto"/>
                <w:sz w:val="21"/>
                <w:szCs w:val="21"/>
                <w:highlight w:val="none"/>
                <w:lang w:val="en-US" w:eastAsia="zh-CN" w:bidi="ar-SA"/>
              </w:rPr>
              <w:t>3、方案内容基本完整，媒体清单符合采购要求，无明显优势或不足，得5分；</w:t>
            </w:r>
          </w:p>
          <w:p w14:paraId="2C2EB444">
            <w:pPr>
              <w:keepNext w:val="0"/>
              <w:keepLines w:val="0"/>
              <w:pageBreakBefore w:val="0"/>
              <w:widowControl/>
              <w:shd w:val="clear" w:color="auto" w:fill="FFFFFF"/>
              <w:kinsoku/>
              <w:wordWrap/>
              <w:overflowPunct/>
              <w:topLinePunct w:val="0"/>
              <w:autoSpaceDE/>
              <w:autoSpaceDN/>
              <w:bidi w:val="0"/>
              <w:adjustRightInd w:val="0"/>
              <w:snapToGrid w:val="0"/>
              <w:spacing w:line="360" w:lineRule="exact"/>
              <w:ind w:left="0" w:leftChars="0" w:firstLine="0" w:firstLineChars="0"/>
              <w:jc w:val="left"/>
              <w:textAlignment w:val="auto"/>
              <w:rPr>
                <w:rFonts w:hint="eastAsia" w:ascii="宋体" w:hAnsi="宋体" w:eastAsia="宋体" w:cs="宋体"/>
                <w:bCs/>
                <w:color w:val="auto"/>
                <w:sz w:val="21"/>
                <w:szCs w:val="21"/>
                <w:highlight w:val="none"/>
                <w:lang w:val="en-US" w:eastAsia="zh-CN" w:bidi="ar-SA"/>
              </w:rPr>
            </w:pPr>
            <w:r>
              <w:rPr>
                <w:rFonts w:hint="eastAsia" w:ascii="宋体" w:hAnsi="宋体" w:eastAsia="宋体" w:cs="宋体"/>
                <w:bCs/>
                <w:color w:val="auto"/>
                <w:sz w:val="21"/>
                <w:szCs w:val="21"/>
                <w:highlight w:val="none"/>
                <w:lang w:val="en-US" w:eastAsia="zh-CN" w:bidi="ar-SA"/>
              </w:rPr>
              <w:t>4、方案描述较为简单，媒体清单安排基本合理但略显单薄，部分满足采购要求，得3分；</w:t>
            </w:r>
          </w:p>
          <w:p w14:paraId="193E316C">
            <w:pPr>
              <w:keepNext w:val="0"/>
              <w:keepLines w:val="0"/>
              <w:pageBreakBefore w:val="0"/>
              <w:widowControl/>
              <w:kinsoku/>
              <w:wordWrap/>
              <w:overflowPunct/>
              <w:topLinePunct w:val="0"/>
              <w:autoSpaceDE/>
              <w:autoSpaceDN/>
              <w:bidi w:val="0"/>
              <w:adjustRightInd w:val="0"/>
              <w:snapToGrid w:val="0"/>
              <w:spacing w:line="360" w:lineRule="exact"/>
              <w:jc w:val="left"/>
              <w:textAlignment w:val="auto"/>
              <w:rPr>
                <w:rFonts w:hint="eastAsia" w:ascii="宋体" w:hAnsi="宋体" w:eastAsia="宋体" w:cs="宋体"/>
                <w:bCs/>
                <w:color w:val="auto"/>
                <w:sz w:val="21"/>
                <w:szCs w:val="21"/>
                <w:highlight w:val="none"/>
                <w:lang w:val="en-US" w:eastAsia="zh-CN" w:bidi="ar-SA"/>
              </w:rPr>
            </w:pPr>
            <w:r>
              <w:rPr>
                <w:rFonts w:hint="eastAsia" w:ascii="宋体" w:hAnsi="宋体" w:eastAsia="宋体" w:cs="宋体"/>
                <w:color w:val="auto"/>
                <w:kern w:val="2"/>
                <w:sz w:val="21"/>
                <w:szCs w:val="21"/>
                <w:highlight w:val="none"/>
                <w:lang w:val="en-US" w:eastAsia="zh-CN"/>
              </w:rPr>
              <w:t>5、方案描述简单笼统，媒体清单安排一般或存在明显不足，得1分未提供方案不得分。</w:t>
            </w:r>
          </w:p>
        </w:tc>
        <w:tc>
          <w:tcPr>
            <w:tcW w:w="790" w:type="dxa"/>
            <w:tcBorders>
              <w:top w:val="single" w:color="000000" w:sz="4" w:space="0"/>
              <w:left w:val="single" w:color="000000" w:sz="4" w:space="0"/>
              <w:bottom w:val="single" w:color="000000" w:sz="4" w:space="0"/>
              <w:right w:val="single" w:color="000000" w:sz="4" w:space="0"/>
            </w:tcBorders>
            <w:vAlign w:val="center"/>
          </w:tcPr>
          <w:p w14:paraId="061234F8">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default"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10分</w:t>
            </w:r>
          </w:p>
        </w:tc>
      </w:tr>
    </w:tbl>
    <w:p w14:paraId="7F695160">
      <w:pPr>
        <w:pStyle w:val="43"/>
        <w:keepNext w:val="0"/>
        <w:keepLines w:val="0"/>
        <w:pageBreakBefore w:val="0"/>
        <w:widowControl w:val="0"/>
        <w:kinsoku/>
        <w:wordWrap/>
        <w:overflowPunct/>
        <w:topLinePunct w:val="0"/>
        <w:autoSpaceDE/>
        <w:autoSpaceDN/>
        <w:bidi w:val="0"/>
        <w:adjustRightInd/>
        <w:snapToGrid w:val="0"/>
        <w:spacing w:line="360" w:lineRule="auto"/>
        <w:ind w:firstLine="482" w:firstLineChars="200"/>
        <w:textAlignment w:val="auto"/>
        <w:rPr>
          <w:rFonts w:hint="eastAsia" w:ascii="宋体" w:hAnsi="宋体" w:eastAsia="宋体" w:cs="宋体"/>
          <w:b/>
          <w:color w:val="auto"/>
          <w:kern w:val="0"/>
          <w:sz w:val="24"/>
          <w:szCs w:val="24"/>
          <w:highlight w:val="none"/>
        </w:rPr>
      </w:pPr>
      <w:r>
        <w:rPr>
          <w:rFonts w:hint="eastAsia" w:ascii="宋体" w:hAnsi="宋体" w:eastAsia="宋体" w:cs="宋体"/>
          <w:b/>
          <w:bCs/>
          <w:color w:val="auto"/>
          <w:sz w:val="24"/>
          <w:szCs w:val="24"/>
          <w:highlight w:val="none"/>
        </w:rPr>
        <w:t>注：1、</w:t>
      </w:r>
      <w:r>
        <w:rPr>
          <w:rFonts w:hint="eastAsia" w:ascii="宋体" w:hAnsi="宋体" w:eastAsia="宋体" w:cs="宋体"/>
          <w:b/>
          <w:color w:val="auto"/>
          <w:kern w:val="0"/>
          <w:sz w:val="24"/>
          <w:szCs w:val="24"/>
          <w:highlight w:val="none"/>
        </w:rPr>
        <w:t>请各供应商根据评分标准制作评分索引并放在评审内容的前面，评分索引中应标明每个评分点的页码范围，如响应文件内容顺序混乱，导致磋商小组无法查看，后果自负。</w:t>
      </w:r>
    </w:p>
    <w:p w14:paraId="1988EC7F">
      <w:pPr>
        <w:keepNext w:val="0"/>
        <w:keepLines w:val="0"/>
        <w:pageBreakBefore w:val="0"/>
        <w:widowControl w:val="0"/>
        <w:kinsoku/>
        <w:wordWrap/>
        <w:overflowPunct/>
        <w:topLinePunct w:val="0"/>
        <w:autoSpaceDE/>
        <w:autoSpaceDN/>
        <w:bidi w:val="0"/>
        <w:adjustRightInd/>
        <w:snapToGrid w:val="0"/>
        <w:spacing w:line="360" w:lineRule="auto"/>
        <w:ind w:firstLine="562" w:firstLineChars="200"/>
        <w:textAlignment w:val="auto"/>
        <w:rPr>
          <w:rFonts w:hint="eastAsia" w:ascii="宋体" w:hAnsi="宋体" w:eastAsia="宋体" w:cs="宋体"/>
          <w:b/>
          <w:color w:val="auto"/>
          <w:kern w:val="0"/>
          <w:sz w:val="28"/>
          <w:szCs w:val="28"/>
          <w:highlight w:val="none"/>
        </w:rPr>
      </w:pPr>
      <w:r>
        <w:rPr>
          <w:rFonts w:hint="eastAsia" w:ascii="宋体" w:hAnsi="宋体" w:eastAsia="宋体" w:cs="宋体"/>
          <w:b/>
          <w:color w:val="auto"/>
          <w:kern w:val="0"/>
          <w:sz w:val="28"/>
          <w:szCs w:val="28"/>
          <w:highlight w:val="none"/>
        </w:rPr>
        <w:t>（二）价格分：</w:t>
      </w:r>
      <w:r>
        <w:rPr>
          <w:rFonts w:hint="eastAsia" w:ascii="宋体" w:hAnsi="宋体" w:eastAsia="宋体" w:cs="宋体"/>
          <w:b/>
          <w:color w:val="auto"/>
          <w:kern w:val="0"/>
          <w:sz w:val="28"/>
          <w:szCs w:val="28"/>
          <w:highlight w:val="none"/>
          <w:lang w:val="en-US" w:eastAsia="zh-CN"/>
        </w:rPr>
        <w:t>30</w:t>
      </w:r>
      <w:r>
        <w:rPr>
          <w:rFonts w:hint="eastAsia" w:ascii="宋体" w:hAnsi="宋体" w:eastAsia="宋体" w:cs="宋体"/>
          <w:b/>
          <w:color w:val="auto"/>
          <w:kern w:val="0"/>
          <w:sz w:val="28"/>
          <w:szCs w:val="28"/>
          <w:highlight w:val="none"/>
        </w:rPr>
        <w:t>分</w:t>
      </w:r>
    </w:p>
    <w:p w14:paraId="471817F0">
      <w:pPr>
        <w:keepNext w:val="0"/>
        <w:keepLines w:val="0"/>
        <w:pageBreakBefore w:val="0"/>
        <w:widowControl w:val="0"/>
        <w:kinsoku/>
        <w:wordWrap/>
        <w:overflowPunct/>
        <w:topLinePunct w:val="0"/>
        <w:autoSpaceDE/>
        <w:autoSpaceDN/>
        <w:bidi w:val="0"/>
        <w:adjustRightInd/>
        <w:snapToGrid w:val="0"/>
        <w:spacing w:line="360" w:lineRule="auto"/>
        <w:ind w:firstLine="482" w:firstLineChars="200"/>
        <w:textAlignment w:val="auto"/>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综合评分法中的价格分统一采用低价优先法计算，即满足磋商文件要求且最后报价最低的供应商的价格为磋商基准价，其价格分为满分。其他供应商的价格分统一按照下列公式计算：</w:t>
      </w:r>
    </w:p>
    <w:p w14:paraId="6EF7F33B">
      <w:pPr>
        <w:keepNext w:val="0"/>
        <w:keepLines w:val="0"/>
        <w:pageBreakBefore w:val="0"/>
        <w:widowControl w:val="0"/>
        <w:kinsoku/>
        <w:wordWrap/>
        <w:overflowPunct/>
        <w:topLinePunct w:val="0"/>
        <w:autoSpaceDE/>
        <w:autoSpaceDN/>
        <w:bidi w:val="0"/>
        <w:adjustRightInd/>
        <w:snapToGrid w:val="0"/>
        <w:spacing w:line="360" w:lineRule="auto"/>
        <w:ind w:firstLine="482"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b/>
          <w:color w:val="auto"/>
          <w:kern w:val="0"/>
          <w:sz w:val="24"/>
          <w:szCs w:val="24"/>
          <w:highlight w:val="none"/>
        </w:rPr>
        <w:t>磋商报价得分=（磋商基准价/最后磋商报价）×</w:t>
      </w:r>
      <w:r>
        <w:rPr>
          <w:rFonts w:hint="eastAsia" w:ascii="宋体" w:hAnsi="宋体" w:eastAsia="宋体" w:cs="宋体"/>
          <w:b/>
          <w:color w:val="auto"/>
          <w:kern w:val="0"/>
          <w:sz w:val="24"/>
          <w:szCs w:val="24"/>
          <w:highlight w:val="none"/>
          <w:lang w:val="en-US" w:eastAsia="zh-CN"/>
        </w:rPr>
        <w:t>30</w:t>
      </w:r>
    </w:p>
    <w:p w14:paraId="0E36DE76">
      <w:pPr>
        <w:keepNext w:val="0"/>
        <w:keepLines w:val="0"/>
        <w:pageBreakBefore w:val="0"/>
        <w:widowControl w:val="0"/>
        <w:kinsoku/>
        <w:wordWrap/>
        <w:overflowPunct/>
        <w:topLinePunct w:val="0"/>
        <w:autoSpaceDE/>
        <w:autoSpaceDN/>
        <w:bidi w:val="0"/>
        <w:adjustRightInd/>
        <w:snapToGrid w:val="0"/>
        <w:spacing w:line="360" w:lineRule="auto"/>
        <w:ind w:firstLine="482" w:firstLineChars="200"/>
        <w:textAlignment w:val="auto"/>
        <w:rPr>
          <w:rFonts w:hint="eastAsia" w:ascii="宋体" w:hAnsi="宋体" w:eastAsia="宋体" w:cs="宋体"/>
          <w:b/>
          <w:color w:val="auto"/>
          <w:kern w:val="0"/>
          <w:sz w:val="24"/>
          <w:szCs w:val="24"/>
          <w:highlight w:val="none"/>
        </w:rPr>
        <w:sectPr>
          <w:footerReference r:id="rId4" w:type="default"/>
          <w:pgSz w:w="11906" w:h="16839"/>
          <w:pgMar w:top="1431" w:right="1404" w:bottom="1061" w:left="1182" w:header="0" w:footer="902" w:gutter="0"/>
          <w:pgNumType w:start="1"/>
          <w:cols w:space="720" w:num="1"/>
        </w:sectPr>
      </w:pPr>
      <w:r>
        <w:rPr>
          <w:rFonts w:hint="eastAsia" w:ascii="宋体" w:hAnsi="宋体" w:eastAsia="宋体" w:cs="宋体"/>
          <w:b/>
          <w:color w:val="auto"/>
          <w:kern w:val="0"/>
          <w:sz w:val="24"/>
          <w:szCs w:val="24"/>
          <w:highlight w:val="none"/>
        </w:rPr>
        <w:t>注：上述“最低的投标报价”必须是合理的。如果最低报价属于恶意竞争或明显低于成本价，评审专家将认定为无效投标。</w:t>
      </w:r>
    </w:p>
    <w:p w14:paraId="2D6E5392">
      <w:pPr>
        <w:keepNext/>
        <w:spacing w:line="400" w:lineRule="exact"/>
        <w:jc w:val="center"/>
        <w:outlineLvl w:val="0"/>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t>第六章</w:t>
      </w:r>
      <w:bookmarkEnd w:id="175"/>
      <w:bookmarkEnd w:id="176"/>
      <w:bookmarkEnd w:id="177"/>
      <w:r>
        <w:rPr>
          <w:rFonts w:hint="eastAsia" w:ascii="宋体" w:hAnsi="宋体" w:eastAsia="宋体" w:cs="宋体"/>
          <w:b/>
          <w:bCs/>
          <w:color w:val="auto"/>
          <w:sz w:val="36"/>
          <w:szCs w:val="36"/>
          <w:highlight w:val="none"/>
        </w:rPr>
        <w:t xml:space="preserve"> 响应文件格式</w:t>
      </w:r>
    </w:p>
    <w:p w14:paraId="3965C07D">
      <w:pPr>
        <w:rPr>
          <w:rFonts w:hint="eastAsia" w:ascii="宋体" w:hAnsi="宋体" w:eastAsia="宋体" w:cs="宋体"/>
          <w:color w:val="auto"/>
          <w:highlight w:val="none"/>
        </w:rPr>
      </w:pPr>
      <w:bookmarkStart w:id="178" w:name="_Hlt26955039"/>
      <w:bookmarkEnd w:id="178"/>
      <w:bookmarkStart w:id="179" w:name="_Hlt26671244"/>
      <w:bookmarkEnd w:id="179"/>
      <w:bookmarkStart w:id="180" w:name="_Toc49090576"/>
      <w:bookmarkStart w:id="181" w:name="_Toc120614282"/>
      <w:bookmarkStart w:id="182" w:name="_Toc26554094"/>
    </w:p>
    <w:p w14:paraId="3495CF3A">
      <w:pPr>
        <w:spacing w:line="400" w:lineRule="exact"/>
        <w:ind w:firstLine="883" w:firstLineChars="200"/>
        <w:jc w:val="center"/>
        <w:rPr>
          <w:rFonts w:hint="eastAsia" w:ascii="宋体" w:hAnsi="宋体" w:eastAsia="宋体" w:cs="宋体"/>
          <w:b/>
          <w:color w:val="auto"/>
          <w:sz w:val="44"/>
          <w:szCs w:val="44"/>
          <w:highlight w:val="none"/>
        </w:rPr>
      </w:pPr>
    </w:p>
    <w:p w14:paraId="7C0F36FF">
      <w:pPr>
        <w:spacing w:line="400" w:lineRule="exact"/>
        <w:ind w:firstLine="883" w:firstLineChars="200"/>
        <w:jc w:val="center"/>
        <w:rPr>
          <w:rFonts w:hint="eastAsia" w:ascii="宋体" w:hAnsi="宋体" w:eastAsia="宋体" w:cs="宋体"/>
          <w:b/>
          <w:color w:val="auto"/>
          <w:sz w:val="44"/>
          <w:szCs w:val="44"/>
          <w:highlight w:val="none"/>
        </w:rPr>
      </w:pPr>
    </w:p>
    <w:p w14:paraId="38D754F0">
      <w:pPr>
        <w:spacing w:line="400" w:lineRule="exact"/>
        <w:ind w:firstLine="723" w:firstLineChars="200"/>
        <w:jc w:val="center"/>
        <w:rPr>
          <w:rFonts w:hint="eastAsia" w:ascii="宋体" w:hAnsi="宋体" w:eastAsia="宋体" w:cs="宋体"/>
          <w:b/>
          <w:color w:val="auto"/>
          <w:sz w:val="36"/>
          <w:szCs w:val="36"/>
          <w:highlight w:val="none"/>
        </w:rPr>
      </w:pPr>
    </w:p>
    <w:p w14:paraId="1D8A08D0">
      <w:pPr>
        <w:spacing w:line="400" w:lineRule="exact"/>
        <w:ind w:firstLine="723" w:firstLineChars="200"/>
        <w:jc w:val="center"/>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rPr>
        <w:t>响应文件</w:t>
      </w:r>
    </w:p>
    <w:p w14:paraId="4DBD8DD0">
      <w:pPr>
        <w:spacing w:line="400" w:lineRule="exact"/>
        <w:ind w:firstLine="1446" w:firstLineChars="200"/>
        <w:jc w:val="center"/>
        <w:rPr>
          <w:rFonts w:hint="eastAsia" w:ascii="宋体" w:hAnsi="宋体" w:eastAsia="宋体" w:cs="宋体"/>
          <w:b/>
          <w:color w:val="auto"/>
          <w:sz w:val="72"/>
          <w:szCs w:val="21"/>
          <w:highlight w:val="none"/>
        </w:rPr>
      </w:pPr>
    </w:p>
    <w:p w14:paraId="6836A384">
      <w:pPr>
        <w:spacing w:line="400" w:lineRule="exact"/>
        <w:ind w:firstLine="1446" w:firstLineChars="200"/>
        <w:jc w:val="center"/>
        <w:rPr>
          <w:rFonts w:hint="eastAsia" w:ascii="宋体" w:hAnsi="宋体" w:eastAsia="宋体" w:cs="宋体"/>
          <w:b/>
          <w:color w:val="auto"/>
          <w:sz w:val="72"/>
          <w:szCs w:val="21"/>
          <w:highlight w:val="none"/>
        </w:rPr>
      </w:pPr>
    </w:p>
    <w:p w14:paraId="25F29769">
      <w:pPr>
        <w:spacing w:line="400" w:lineRule="exact"/>
        <w:ind w:firstLine="723" w:firstLineChars="200"/>
        <w:jc w:val="center"/>
        <w:rPr>
          <w:rFonts w:hint="eastAsia" w:ascii="宋体" w:hAnsi="宋体" w:eastAsia="宋体" w:cs="宋体"/>
          <w:b/>
          <w:color w:val="auto"/>
          <w:sz w:val="36"/>
          <w:szCs w:val="21"/>
          <w:highlight w:val="none"/>
        </w:rPr>
      </w:pPr>
    </w:p>
    <w:p w14:paraId="421083A3">
      <w:pPr>
        <w:spacing w:line="400" w:lineRule="exact"/>
        <w:ind w:firstLine="723" w:firstLineChars="200"/>
        <w:jc w:val="center"/>
        <w:rPr>
          <w:rFonts w:hint="eastAsia" w:ascii="宋体" w:hAnsi="宋体" w:eastAsia="宋体" w:cs="宋体"/>
          <w:b/>
          <w:color w:val="auto"/>
          <w:sz w:val="36"/>
          <w:szCs w:val="21"/>
          <w:highlight w:val="none"/>
        </w:rPr>
      </w:pPr>
    </w:p>
    <w:p w14:paraId="58715655">
      <w:pPr>
        <w:spacing w:line="400" w:lineRule="exact"/>
        <w:ind w:firstLine="723" w:firstLineChars="200"/>
        <w:jc w:val="center"/>
        <w:rPr>
          <w:rFonts w:hint="eastAsia" w:ascii="宋体" w:hAnsi="宋体" w:eastAsia="宋体" w:cs="宋体"/>
          <w:b/>
          <w:color w:val="auto"/>
          <w:sz w:val="36"/>
          <w:szCs w:val="21"/>
          <w:highlight w:val="none"/>
        </w:rPr>
      </w:pPr>
    </w:p>
    <w:p w14:paraId="2975F9AD">
      <w:pPr>
        <w:spacing w:line="400" w:lineRule="exact"/>
        <w:ind w:firstLine="723" w:firstLineChars="200"/>
        <w:jc w:val="center"/>
        <w:rPr>
          <w:rFonts w:hint="eastAsia" w:ascii="宋体" w:hAnsi="宋体" w:eastAsia="宋体" w:cs="宋体"/>
          <w:b/>
          <w:color w:val="auto"/>
          <w:sz w:val="36"/>
          <w:szCs w:val="21"/>
          <w:highlight w:val="none"/>
        </w:rPr>
      </w:pPr>
    </w:p>
    <w:p w14:paraId="7781804E">
      <w:pPr>
        <w:pStyle w:val="43"/>
        <w:ind w:firstLine="723"/>
        <w:rPr>
          <w:rFonts w:hint="eastAsia" w:ascii="宋体" w:hAnsi="宋体" w:eastAsia="宋体" w:cs="宋体"/>
          <w:b/>
          <w:color w:val="auto"/>
          <w:sz w:val="36"/>
          <w:szCs w:val="21"/>
          <w:highlight w:val="none"/>
        </w:rPr>
      </w:pPr>
    </w:p>
    <w:p w14:paraId="6ECF8B6B">
      <w:pPr>
        <w:rPr>
          <w:rFonts w:hint="eastAsia" w:ascii="宋体" w:hAnsi="宋体" w:eastAsia="宋体" w:cs="宋体"/>
          <w:b/>
          <w:color w:val="auto"/>
          <w:sz w:val="36"/>
          <w:szCs w:val="21"/>
          <w:highlight w:val="none"/>
        </w:rPr>
      </w:pPr>
    </w:p>
    <w:p w14:paraId="41C22164">
      <w:pPr>
        <w:pStyle w:val="43"/>
        <w:ind w:firstLine="723"/>
        <w:rPr>
          <w:rFonts w:hint="eastAsia" w:ascii="宋体" w:hAnsi="宋体" w:eastAsia="宋体" w:cs="宋体"/>
          <w:b/>
          <w:color w:val="auto"/>
          <w:sz w:val="36"/>
          <w:szCs w:val="21"/>
          <w:highlight w:val="none"/>
        </w:rPr>
      </w:pPr>
    </w:p>
    <w:p w14:paraId="23809622">
      <w:pPr>
        <w:rPr>
          <w:rFonts w:hint="eastAsia" w:ascii="宋体" w:hAnsi="宋体" w:eastAsia="宋体" w:cs="宋体"/>
          <w:color w:val="auto"/>
          <w:highlight w:val="none"/>
        </w:rPr>
      </w:pPr>
    </w:p>
    <w:p w14:paraId="79A576E2">
      <w:pPr>
        <w:rPr>
          <w:rFonts w:hint="eastAsia" w:ascii="宋体" w:hAnsi="宋体" w:eastAsia="宋体" w:cs="宋体"/>
          <w:color w:val="auto"/>
          <w:highlight w:val="none"/>
        </w:rPr>
      </w:pPr>
    </w:p>
    <w:p w14:paraId="75E66D24">
      <w:pPr>
        <w:rPr>
          <w:rFonts w:hint="eastAsia" w:ascii="宋体" w:hAnsi="宋体" w:eastAsia="宋体" w:cs="宋体"/>
          <w:color w:val="auto"/>
          <w:highlight w:val="none"/>
        </w:rPr>
      </w:pPr>
    </w:p>
    <w:p w14:paraId="6DB6BA64">
      <w:pPr>
        <w:rPr>
          <w:rFonts w:hint="eastAsia" w:ascii="宋体" w:hAnsi="宋体" w:eastAsia="宋体" w:cs="宋体"/>
          <w:color w:val="auto"/>
          <w:highlight w:val="none"/>
        </w:rPr>
      </w:pPr>
    </w:p>
    <w:p w14:paraId="414A1112">
      <w:pPr>
        <w:rPr>
          <w:rFonts w:hint="eastAsia" w:ascii="宋体" w:hAnsi="宋体" w:eastAsia="宋体" w:cs="宋体"/>
          <w:color w:val="auto"/>
          <w:highlight w:val="none"/>
        </w:rPr>
      </w:pPr>
    </w:p>
    <w:p w14:paraId="58AC4DFD">
      <w:pPr>
        <w:rPr>
          <w:rFonts w:hint="eastAsia" w:ascii="宋体" w:hAnsi="宋体" w:eastAsia="宋体" w:cs="宋体"/>
          <w:color w:val="auto"/>
          <w:highlight w:val="none"/>
        </w:rPr>
      </w:pPr>
    </w:p>
    <w:p w14:paraId="4BEBC8E2">
      <w:pPr>
        <w:rPr>
          <w:rFonts w:hint="eastAsia" w:ascii="宋体" w:hAnsi="宋体" w:eastAsia="宋体" w:cs="宋体"/>
          <w:color w:val="auto"/>
          <w:highlight w:val="none"/>
        </w:rPr>
      </w:pPr>
    </w:p>
    <w:p w14:paraId="11A68540">
      <w:pPr>
        <w:rPr>
          <w:rFonts w:hint="eastAsia" w:ascii="宋体" w:hAnsi="宋体" w:eastAsia="宋体" w:cs="宋体"/>
          <w:color w:val="auto"/>
          <w:highlight w:val="none"/>
        </w:rPr>
      </w:pPr>
    </w:p>
    <w:p w14:paraId="047CC3C7">
      <w:pPr>
        <w:rPr>
          <w:rFonts w:hint="eastAsia" w:ascii="宋体" w:hAnsi="宋体" w:eastAsia="宋体" w:cs="宋体"/>
          <w:color w:val="auto"/>
          <w:highlight w:val="none"/>
        </w:rPr>
      </w:pPr>
    </w:p>
    <w:p w14:paraId="0218E7A5">
      <w:pPr>
        <w:rPr>
          <w:rFonts w:hint="eastAsia" w:ascii="宋体" w:hAnsi="宋体" w:eastAsia="宋体" w:cs="宋体"/>
          <w:color w:val="auto"/>
          <w:highlight w:val="none"/>
        </w:rPr>
      </w:pPr>
    </w:p>
    <w:p w14:paraId="6FCFF09F">
      <w:pPr>
        <w:rPr>
          <w:rFonts w:hint="eastAsia" w:ascii="宋体" w:hAnsi="宋体" w:eastAsia="宋体" w:cs="宋体"/>
          <w:color w:val="auto"/>
          <w:highlight w:val="none"/>
        </w:rPr>
      </w:pPr>
    </w:p>
    <w:p w14:paraId="62BF2E65">
      <w:pPr>
        <w:spacing w:line="400" w:lineRule="exact"/>
        <w:ind w:firstLine="723" w:firstLineChars="200"/>
        <w:jc w:val="center"/>
        <w:rPr>
          <w:rFonts w:hint="eastAsia" w:ascii="宋体" w:hAnsi="宋体" w:eastAsia="宋体" w:cs="宋体"/>
          <w:b/>
          <w:color w:val="auto"/>
          <w:sz w:val="36"/>
          <w:szCs w:val="21"/>
          <w:highlight w:val="none"/>
        </w:rPr>
      </w:pPr>
    </w:p>
    <w:p w14:paraId="0569DD9A">
      <w:pPr>
        <w:spacing w:line="400" w:lineRule="exact"/>
        <w:ind w:firstLine="723" w:firstLineChars="200"/>
        <w:rPr>
          <w:rFonts w:hint="eastAsia" w:ascii="宋体" w:hAnsi="宋体" w:eastAsia="宋体" w:cs="宋体"/>
          <w:b/>
          <w:color w:val="auto"/>
          <w:sz w:val="36"/>
          <w:szCs w:val="21"/>
          <w:highlight w:val="none"/>
        </w:rPr>
      </w:pPr>
      <w:r>
        <w:rPr>
          <w:rFonts w:hint="eastAsia" w:ascii="宋体" w:hAnsi="宋体" w:eastAsia="宋体" w:cs="宋体"/>
          <w:b/>
          <w:color w:val="auto"/>
          <w:sz w:val="36"/>
          <w:szCs w:val="21"/>
          <w:highlight w:val="none"/>
        </w:rPr>
        <w:t>项目名称：</w:t>
      </w:r>
    </w:p>
    <w:p w14:paraId="7E8069E6">
      <w:pPr>
        <w:spacing w:line="400" w:lineRule="exact"/>
        <w:ind w:firstLine="723" w:firstLineChars="200"/>
        <w:rPr>
          <w:rFonts w:hint="eastAsia" w:ascii="宋体" w:hAnsi="宋体" w:eastAsia="宋体" w:cs="宋体"/>
          <w:b/>
          <w:color w:val="auto"/>
          <w:sz w:val="36"/>
          <w:szCs w:val="21"/>
          <w:highlight w:val="none"/>
          <w:u w:val="single"/>
        </w:rPr>
      </w:pPr>
      <w:r>
        <w:rPr>
          <w:rFonts w:hint="eastAsia" w:ascii="宋体" w:hAnsi="宋体" w:eastAsia="宋体" w:cs="宋体"/>
          <w:b/>
          <w:color w:val="auto"/>
          <w:sz w:val="36"/>
          <w:szCs w:val="21"/>
          <w:highlight w:val="none"/>
        </w:rPr>
        <w:t>项目编号：</w:t>
      </w:r>
    </w:p>
    <w:p w14:paraId="3DC23CB4">
      <w:pPr>
        <w:spacing w:line="400" w:lineRule="exact"/>
        <w:ind w:firstLine="723" w:firstLineChars="200"/>
        <w:rPr>
          <w:rFonts w:hint="eastAsia" w:ascii="宋体" w:hAnsi="宋体" w:eastAsia="宋体" w:cs="宋体"/>
          <w:b/>
          <w:color w:val="auto"/>
          <w:sz w:val="36"/>
          <w:szCs w:val="21"/>
          <w:highlight w:val="none"/>
          <w:u w:val="single"/>
        </w:rPr>
      </w:pPr>
      <w:r>
        <w:rPr>
          <w:rFonts w:hint="eastAsia" w:ascii="宋体" w:hAnsi="宋体" w:eastAsia="宋体" w:cs="宋体"/>
          <w:b/>
          <w:color w:val="auto"/>
          <w:sz w:val="36"/>
          <w:szCs w:val="21"/>
          <w:highlight w:val="none"/>
        </w:rPr>
        <w:t>供应商名称：</w:t>
      </w:r>
      <w:r>
        <w:rPr>
          <w:rFonts w:hint="eastAsia" w:ascii="宋体" w:hAnsi="宋体" w:eastAsia="宋体" w:cs="宋体"/>
          <w:b/>
          <w:color w:val="auto"/>
          <w:sz w:val="36"/>
          <w:szCs w:val="21"/>
          <w:highlight w:val="none"/>
          <w:u w:val="single"/>
        </w:rPr>
        <w:t>（加盖CA电子公章）</w:t>
      </w:r>
    </w:p>
    <w:p w14:paraId="207CDC57">
      <w:pPr>
        <w:spacing w:line="400" w:lineRule="exact"/>
        <w:ind w:firstLine="723" w:firstLineChars="200"/>
        <w:rPr>
          <w:rFonts w:hint="eastAsia" w:ascii="宋体" w:hAnsi="宋体" w:eastAsia="宋体" w:cs="宋体"/>
          <w:b/>
          <w:color w:val="auto"/>
          <w:sz w:val="36"/>
          <w:szCs w:val="21"/>
          <w:highlight w:val="none"/>
          <w:u w:val="single"/>
        </w:rPr>
      </w:pPr>
      <w:r>
        <w:rPr>
          <w:rFonts w:hint="eastAsia" w:ascii="宋体" w:hAnsi="宋体" w:eastAsia="宋体" w:cs="宋体"/>
          <w:b/>
          <w:color w:val="auto"/>
          <w:sz w:val="36"/>
          <w:szCs w:val="21"/>
          <w:highlight w:val="none"/>
        </w:rPr>
        <w:t>日期：</w:t>
      </w:r>
    </w:p>
    <w:p w14:paraId="4ED9E8F9">
      <w:pPr>
        <w:spacing w:line="400" w:lineRule="exact"/>
        <w:rPr>
          <w:rFonts w:hint="eastAsia" w:ascii="宋体" w:hAnsi="宋体" w:eastAsia="宋体" w:cs="宋体"/>
          <w:b/>
          <w:color w:val="auto"/>
          <w:sz w:val="36"/>
          <w:szCs w:val="21"/>
          <w:highlight w:val="none"/>
          <w:u w:val="single"/>
        </w:rPr>
        <w:sectPr>
          <w:pgSz w:w="11906" w:h="16839"/>
          <w:pgMar w:top="1431" w:right="1404" w:bottom="1061" w:left="1182" w:header="0" w:footer="902" w:gutter="0"/>
          <w:cols w:space="720" w:num="1"/>
        </w:sectPr>
      </w:pPr>
    </w:p>
    <w:p w14:paraId="300700DF">
      <w:pPr>
        <w:spacing w:line="400" w:lineRule="exact"/>
        <w:jc w:val="center"/>
        <w:rPr>
          <w:rFonts w:hint="eastAsia" w:ascii="宋体" w:hAnsi="宋体" w:eastAsia="宋体" w:cs="宋体"/>
          <w:b/>
          <w:bCs/>
          <w:color w:val="auto"/>
          <w:sz w:val="32"/>
          <w:szCs w:val="32"/>
          <w:highlight w:val="none"/>
          <w:lang w:val="en-US" w:eastAsia="zh-CN"/>
        </w:rPr>
      </w:pPr>
      <w:r>
        <w:rPr>
          <w:rFonts w:hint="eastAsia" w:ascii="宋体" w:hAnsi="宋体" w:eastAsia="宋体" w:cs="宋体"/>
          <w:b/>
          <w:bCs/>
          <w:color w:val="auto"/>
          <w:sz w:val="32"/>
          <w:szCs w:val="32"/>
          <w:highlight w:val="none"/>
        </w:rPr>
        <w:t>响应文件目录</w:t>
      </w:r>
      <w:r>
        <w:rPr>
          <w:rFonts w:hint="eastAsia" w:ascii="宋体" w:hAnsi="宋体" w:eastAsia="宋体" w:cs="宋体"/>
          <w:b/>
          <w:bCs/>
          <w:color w:val="auto"/>
          <w:sz w:val="32"/>
          <w:szCs w:val="32"/>
          <w:highlight w:val="none"/>
          <w:lang w:val="en-US" w:eastAsia="zh-CN"/>
        </w:rPr>
        <w:t xml:space="preserve"> </w:t>
      </w:r>
    </w:p>
    <w:p w14:paraId="035AF0E3">
      <w:pPr>
        <w:spacing w:line="400" w:lineRule="exact"/>
        <w:ind w:firstLine="643" w:firstLineChars="200"/>
        <w:jc w:val="center"/>
        <w:rPr>
          <w:rFonts w:hint="eastAsia" w:ascii="宋体" w:hAnsi="宋体" w:eastAsia="宋体" w:cs="宋体"/>
          <w:b/>
          <w:bCs/>
          <w:color w:val="auto"/>
          <w:sz w:val="32"/>
          <w:szCs w:val="32"/>
          <w:highlight w:val="none"/>
        </w:rPr>
      </w:pPr>
    </w:p>
    <w:p w14:paraId="5CA200B6">
      <w:pPr>
        <w:numPr>
          <w:ilvl w:val="0"/>
          <w:numId w:val="6"/>
        </w:numPr>
        <w:spacing w:line="400" w:lineRule="exact"/>
        <w:ind w:left="480"/>
        <w:rPr>
          <w:rFonts w:hint="eastAsia" w:ascii="宋体" w:hAnsi="宋体" w:eastAsia="宋体" w:cs="宋体"/>
          <w:b/>
          <w:color w:val="auto"/>
          <w:sz w:val="24"/>
          <w:szCs w:val="21"/>
          <w:highlight w:val="none"/>
        </w:rPr>
      </w:pPr>
      <w:r>
        <w:rPr>
          <w:rFonts w:hint="eastAsia" w:ascii="宋体" w:hAnsi="宋体" w:eastAsia="宋体" w:cs="宋体"/>
          <w:b/>
          <w:color w:val="auto"/>
          <w:sz w:val="24"/>
          <w:szCs w:val="21"/>
          <w:highlight w:val="none"/>
        </w:rPr>
        <w:t>基本目录</w:t>
      </w:r>
    </w:p>
    <w:p w14:paraId="7C4FFAF2">
      <w:pPr>
        <w:spacing w:line="400" w:lineRule="exact"/>
        <w:ind w:left="48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1.磋商报价表</w:t>
      </w:r>
    </w:p>
    <w:p w14:paraId="126D2706">
      <w:pPr>
        <w:spacing w:line="400" w:lineRule="exact"/>
        <w:ind w:left="480"/>
        <w:rPr>
          <w:rFonts w:hint="eastAsia" w:ascii="宋体" w:hAnsi="宋体" w:eastAsia="宋体" w:cs="宋体"/>
          <w:b/>
          <w:color w:val="auto"/>
          <w:sz w:val="24"/>
          <w:szCs w:val="21"/>
          <w:highlight w:val="none"/>
        </w:rPr>
      </w:pPr>
      <w:r>
        <w:rPr>
          <w:rFonts w:hint="eastAsia" w:ascii="宋体" w:hAnsi="宋体" w:eastAsia="宋体" w:cs="宋体"/>
          <w:b/>
          <w:color w:val="auto"/>
          <w:sz w:val="24"/>
          <w:szCs w:val="21"/>
          <w:highlight w:val="none"/>
        </w:rPr>
        <w:t>二、资格审查内容</w:t>
      </w:r>
    </w:p>
    <w:p w14:paraId="7580A77D">
      <w:pPr>
        <w:spacing w:line="400"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1.投标人符合《政府采购法》第二十二条规定条件的声明函（</w:t>
      </w:r>
      <w:r>
        <w:rPr>
          <w:rFonts w:hint="eastAsia" w:ascii="宋体" w:hAnsi="宋体" w:eastAsia="宋体" w:cs="宋体"/>
          <w:color w:val="auto"/>
          <w:sz w:val="24"/>
          <w:szCs w:val="21"/>
          <w:highlight w:val="none"/>
          <w:lang w:val="zh-CN"/>
        </w:rPr>
        <w:t>格式见附件</w:t>
      </w:r>
      <w:r>
        <w:rPr>
          <w:rFonts w:hint="eastAsia" w:ascii="宋体" w:hAnsi="宋体" w:eastAsia="宋体" w:cs="宋体"/>
          <w:color w:val="auto"/>
          <w:sz w:val="24"/>
          <w:szCs w:val="21"/>
          <w:highlight w:val="none"/>
        </w:rPr>
        <w:t>1）</w:t>
      </w:r>
    </w:p>
    <w:p w14:paraId="5A138CE8">
      <w:pPr>
        <w:spacing w:line="400"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2.法定代表人身份证明（格式见附件2）</w:t>
      </w:r>
    </w:p>
    <w:p w14:paraId="4EE9B331">
      <w:pPr>
        <w:spacing w:line="400"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3.法人授权书（格式见附件3）</w:t>
      </w:r>
    </w:p>
    <w:p w14:paraId="6D1998B9">
      <w:pPr>
        <w:spacing w:line="400"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4.磋商响应函</w:t>
      </w:r>
      <w:r>
        <w:rPr>
          <w:rFonts w:hint="eastAsia" w:ascii="宋体" w:hAnsi="宋体" w:cs="宋体"/>
          <w:b/>
          <w:bCs/>
          <w:color w:val="auto"/>
          <w:sz w:val="24"/>
          <w:szCs w:val="21"/>
          <w:highlight w:val="none"/>
          <w:lang w:val="en-US" w:eastAsia="zh-CN"/>
        </w:rPr>
        <w:t>及分项报价表</w:t>
      </w:r>
      <w:r>
        <w:rPr>
          <w:rFonts w:hint="eastAsia" w:ascii="宋体" w:hAnsi="宋体" w:eastAsia="宋体" w:cs="宋体"/>
          <w:color w:val="auto"/>
          <w:sz w:val="24"/>
          <w:szCs w:val="21"/>
          <w:highlight w:val="none"/>
        </w:rPr>
        <w:t>（格式见附件4）</w:t>
      </w:r>
    </w:p>
    <w:p w14:paraId="35784487">
      <w:pPr>
        <w:spacing w:line="400"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b w:val="0"/>
          <w:bCs w:val="0"/>
          <w:color w:val="auto"/>
          <w:sz w:val="24"/>
          <w:szCs w:val="21"/>
          <w:highlight w:val="none"/>
        </w:rPr>
        <w:t>5.</w:t>
      </w:r>
      <w:r>
        <w:rPr>
          <w:rFonts w:hint="eastAsia" w:ascii="宋体" w:hAnsi="宋体" w:eastAsia="宋体" w:cs="宋体"/>
          <w:color w:val="auto"/>
          <w:sz w:val="24"/>
          <w:szCs w:val="21"/>
          <w:highlight w:val="none"/>
        </w:rPr>
        <w:t>中小企业声明函（</w:t>
      </w:r>
      <w:r>
        <w:rPr>
          <w:rFonts w:hint="eastAsia" w:ascii="宋体" w:hAnsi="宋体" w:eastAsia="宋体" w:cs="宋体"/>
          <w:b w:val="0"/>
          <w:bCs/>
          <w:color w:val="auto"/>
          <w:sz w:val="24"/>
          <w:highlight w:val="none"/>
        </w:rPr>
        <w:t>如果本项目专门面向中小微型企业采购，则必须提供。</w:t>
      </w:r>
      <w:r>
        <w:rPr>
          <w:rFonts w:hint="eastAsia" w:ascii="宋体" w:hAnsi="宋体" w:eastAsia="宋体" w:cs="宋体"/>
          <w:color w:val="auto"/>
          <w:sz w:val="24"/>
          <w:szCs w:val="21"/>
          <w:highlight w:val="none"/>
        </w:rPr>
        <w:t>格式见附件7）</w:t>
      </w:r>
    </w:p>
    <w:p w14:paraId="7DAC7059">
      <w:pPr>
        <w:spacing w:line="400"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lang w:val="en-US" w:eastAsia="zh-CN"/>
        </w:rPr>
        <w:t>6</w:t>
      </w:r>
      <w:r>
        <w:rPr>
          <w:rFonts w:hint="eastAsia" w:ascii="宋体" w:hAnsi="宋体" w:eastAsia="宋体" w:cs="宋体"/>
          <w:color w:val="auto"/>
          <w:sz w:val="24"/>
          <w:szCs w:val="21"/>
          <w:highlight w:val="none"/>
        </w:rPr>
        <w:t>.残疾人福利性单位声明函（格式见附件8）</w:t>
      </w:r>
    </w:p>
    <w:p w14:paraId="495F3EC0">
      <w:pPr>
        <w:spacing w:line="400" w:lineRule="exact"/>
        <w:ind w:firstLine="480" w:firstLineChars="200"/>
        <w:rPr>
          <w:rFonts w:hint="eastAsia" w:ascii="宋体" w:hAnsi="宋体" w:eastAsia="宋体" w:cs="宋体"/>
          <w:b/>
          <w:bCs/>
          <w:color w:val="auto"/>
          <w:sz w:val="24"/>
          <w:szCs w:val="21"/>
          <w:highlight w:val="none"/>
        </w:rPr>
      </w:pPr>
      <w:r>
        <w:rPr>
          <w:rFonts w:hint="eastAsia" w:ascii="宋体" w:hAnsi="宋体" w:eastAsia="宋体" w:cs="宋体"/>
          <w:color w:val="auto"/>
          <w:sz w:val="24"/>
          <w:szCs w:val="21"/>
          <w:highlight w:val="none"/>
          <w:lang w:val="en-US" w:eastAsia="zh-CN"/>
        </w:rPr>
        <w:t>7</w:t>
      </w:r>
      <w:r>
        <w:rPr>
          <w:rFonts w:hint="eastAsia" w:ascii="宋体" w:hAnsi="宋体" w:eastAsia="宋体" w:cs="宋体"/>
          <w:color w:val="auto"/>
          <w:sz w:val="24"/>
          <w:szCs w:val="21"/>
          <w:highlight w:val="none"/>
        </w:rPr>
        <w:t>.监狱和戒毒企业证明材料</w:t>
      </w:r>
      <w:r>
        <w:rPr>
          <w:rFonts w:hint="eastAsia" w:ascii="宋体" w:hAnsi="宋体" w:eastAsia="宋体" w:cs="宋体"/>
          <w:color w:val="auto"/>
          <w:sz w:val="24"/>
          <w:szCs w:val="21"/>
          <w:highlight w:val="none"/>
          <w:lang w:val="zh-CN"/>
        </w:rPr>
        <w:t>（格式见附件</w:t>
      </w:r>
      <w:r>
        <w:rPr>
          <w:rFonts w:hint="eastAsia" w:ascii="宋体" w:hAnsi="宋体" w:eastAsia="宋体" w:cs="宋体"/>
          <w:color w:val="auto"/>
          <w:sz w:val="24"/>
          <w:szCs w:val="21"/>
          <w:highlight w:val="none"/>
        </w:rPr>
        <w:t>9</w:t>
      </w:r>
      <w:r>
        <w:rPr>
          <w:rFonts w:hint="eastAsia" w:ascii="宋体" w:hAnsi="宋体" w:eastAsia="宋体" w:cs="宋体"/>
          <w:color w:val="auto"/>
          <w:sz w:val="24"/>
          <w:szCs w:val="21"/>
          <w:highlight w:val="none"/>
          <w:lang w:val="zh-CN"/>
        </w:rPr>
        <w:t>）</w:t>
      </w:r>
      <w:r>
        <w:rPr>
          <w:rFonts w:hint="eastAsia" w:ascii="宋体" w:hAnsi="宋体" w:eastAsia="宋体" w:cs="宋体"/>
          <w:b/>
          <w:bCs/>
          <w:color w:val="auto"/>
          <w:sz w:val="24"/>
          <w:highlight w:val="none"/>
        </w:rPr>
        <w:t>；</w:t>
      </w:r>
    </w:p>
    <w:p w14:paraId="7FF3D3A9">
      <w:pPr>
        <w:spacing w:line="500" w:lineRule="exact"/>
        <w:ind w:firstLine="480"/>
        <w:rPr>
          <w:rFonts w:hint="eastAsia" w:ascii="宋体" w:hAnsi="宋体" w:eastAsia="宋体" w:cs="宋体"/>
          <w:color w:val="auto"/>
          <w:sz w:val="24"/>
          <w:szCs w:val="21"/>
          <w:highlight w:val="none"/>
        </w:rPr>
      </w:pP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.其它需要提交的资格审查证明材料。</w:t>
      </w:r>
    </w:p>
    <w:p w14:paraId="264ABA0B">
      <w:pPr>
        <w:spacing w:line="400" w:lineRule="exact"/>
        <w:ind w:left="480"/>
        <w:rPr>
          <w:rFonts w:hint="eastAsia" w:ascii="宋体" w:hAnsi="宋体" w:eastAsia="宋体" w:cs="宋体"/>
          <w:b/>
          <w:color w:val="auto"/>
          <w:sz w:val="24"/>
          <w:szCs w:val="21"/>
          <w:highlight w:val="none"/>
        </w:rPr>
      </w:pPr>
      <w:r>
        <w:rPr>
          <w:rFonts w:hint="eastAsia" w:ascii="宋体" w:hAnsi="宋体" w:eastAsia="宋体" w:cs="宋体"/>
          <w:b/>
          <w:color w:val="auto"/>
          <w:sz w:val="24"/>
          <w:szCs w:val="21"/>
          <w:highlight w:val="none"/>
        </w:rPr>
        <w:t>三、符合性审查内容</w:t>
      </w:r>
    </w:p>
    <w:p w14:paraId="56FD35A1">
      <w:pPr>
        <w:spacing w:line="400"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1.商务要求响应及偏离表（格式见附件5）</w:t>
      </w:r>
    </w:p>
    <w:p w14:paraId="37473946">
      <w:pPr>
        <w:spacing w:line="400" w:lineRule="exact"/>
        <w:ind w:left="48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2.技术要求响应及偏离表（格式见附件6）</w:t>
      </w:r>
    </w:p>
    <w:p w14:paraId="7DD0F239">
      <w:pPr>
        <w:ind w:firstLine="480"/>
        <w:rPr>
          <w:rFonts w:hint="eastAsia" w:ascii="宋体" w:hAnsi="宋体" w:eastAsia="宋体" w:cs="宋体"/>
          <w:b/>
          <w:color w:val="auto"/>
          <w:sz w:val="24"/>
          <w:szCs w:val="21"/>
          <w:highlight w:val="none"/>
        </w:rPr>
      </w:pPr>
      <w:r>
        <w:rPr>
          <w:rFonts w:hint="eastAsia" w:ascii="宋体" w:hAnsi="宋体" w:eastAsia="宋体" w:cs="宋体"/>
          <w:b/>
          <w:color w:val="auto"/>
          <w:sz w:val="24"/>
          <w:szCs w:val="21"/>
          <w:highlight w:val="none"/>
        </w:rPr>
        <w:t>四、</w:t>
      </w:r>
      <w:r>
        <w:rPr>
          <w:rFonts w:hint="eastAsia" w:ascii="宋体" w:hAnsi="宋体" w:eastAsia="宋体" w:cs="宋体"/>
          <w:b/>
          <w:color w:val="auto"/>
          <w:sz w:val="24"/>
          <w:szCs w:val="21"/>
          <w:highlight w:val="none"/>
          <w:lang w:val="zh-CN"/>
        </w:rPr>
        <w:t>商务技术</w:t>
      </w:r>
      <w:r>
        <w:rPr>
          <w:rFonts w:hint="eastAsia" w:ascii="宋体" w:hAnsi="宋体" w:eastAsia="宋体" w:cs="宋体"/>
          <w:b/>
          <w:color w:val="auto"/>
          <w:sz w:val="24"/>
          <w:szCs w:val="21"/>
          <w:highlight w:val="none"/>
        </w:rPr>
        <w:t>内容</w:t>
      </w:r>
    </w:p>
    <w:p w14:paraId="62FD1BEA">
      <w:pPr>
        <w:spacing w:line="400" w:lineRule="exact"/>
        <w:ind w:firstLine="480" w:firstLineChars="200"/>
        <w:rPr>
          <w:rFonts w:hint="eastAsia" w:ascii="宋体" w:hAnsi="宋体" w:eastAsia="宋体" w:cs="宋体"/>
          <w:b/>
          <w:bCs/>
          <w:color w:val="auto"/>
          <w:sz w:val="24"/>
          <w:szCs w:val="21"/>
          <w:highlight w:val="none"/>
        </w:rPr>
      </w:pPr>
      <w:r>
        <w:rPr>
          <w:rFonts w:hint="eastAsia" w:ascii="宋体" w:hAnsi="宋体" w:eastAsia="宋体" w:cs="宋体"/>
          <w:color w:val="auto"/>
          <w:sz w:val="24"/>
          <w:szCs w:val="21"/>
          <w:highlight w:val="none"/>
        </w:rPr>
        <w:t>1.</w:t>
      </w:r>
      <w:r>
        <w:rPr>
          <w:rFonts w:hint="eastAsia" w:ascii="宋体" w:hAnsi="宋体" w:eastAsia="宋体" w:cs="宋体"/>
          <w:color w:val="auto"/>
          <w:sz w:val="24"/>
          <w:szCs w:val="21"/>
          <w:highlight w:val="none"/>
          <w:lang w:val="zh-CN"/>
        </w:rPr>
        <w:t>商务技术评分标准中须提供的相关得分佐证材料</w:t>
      </w:r>
      <w:r>
        <w:rPr>
          <w:rFonts w:hint="eastAsia" w:ascii="宋体" w:hAnsi="宋体" w:eastAsia="宋体" w:cs="宋体"/>
          <w:b/>
          <w:bCs/>
          <w:color w:val="auto"/>
          <w:sz w:val="24"/>
          <w:szCs w:val="21"/>
          <w:highlight w:val="none"/>
          <w:lang w:val="zh-CN"/>
        </w:rPr>
        <w:t>（根据“第五章 评审方法与评审标准”要求的内容分标段自行制作）</w:t>
      </w:r>
    </w:p>
    <w:p w14:paraId="20BD7B0B">
      <w:pPr>
        <w:spacing w:line="400" w:lineRule="exact"/>
        <w:ind w:firstLine="480" w:firstLineChars="200"/>
        <w:rPr>
          <w:rFonts w:hint="eastAsia" w:ascii="宋体" w:hAnsi="宋体" w:eastAsia="宋体" w:cs="宋体"/>
          <w:color w:val="auto"/>
          <w:highlight w:val="none"/>
        </w:rPr>
      </w:pPr>
      <w:r>
        <w:rPr>
          <w:rFonts w:hint="eastAsia" w:ascii="宋体" w:hAnsi="宋体" w:eastAsia="宋体" w:cs="宋体"/>
          <w:color w:val="auto"/>
          <w:sz w:val="24"/>
          <w:szCs w:val="21"/>
          <w:highlight w:val="none"/>
        </w:rPr>
        <w:t>2.</w:t>
      </w:r>
      <w:r>
        <w:rPr>
          <w:rFonts w:hint="eastAsia" w:ascii="宋体" w:hAnsi="宋体" w:eastAsia="宋体" w:cs="宋体"/>
          <w:color w:val="auto"/>
          <w:sz w:val="24"/>
          <w:szCs w:val="21"/>
          <w:highlight w:val="none"/>
          <w:lang w:val="zh-CN"/>
        </w:rPr>
        <w:t>供应商认为需要提交的其他材料。</w:t>
      </w:r>
    </w:p>
    <w:p w14:paraId="5F745F5A">
      <w:pPr>
        <w:ind w:firstLine="480"/>
        <w:rPr>
          <w:rFonts w:hint="eastAsia" w:ascii="宋体" w:hAnsi="宋体" w:eastAsia="宋体" w:cs="宋体"/>
          <w:b/>
          <w:color w:val="auto"/>
          <w:sz w:val="24"/>
          <w:szCs w:val="21"/>
          <w:highlight w:val="none"/>
        </w:rPr>
      </w:pPr>
      <w:r>
        <w:rPr>
          <w:rFonts w:hint="eastAsia" w:ascii="宋体" w:hAnsi="宋体" w:eastAsia="宋体" w:cs="宋体"/>
          <w:b/>
          <w:color w:val="auto"/>
          <w:sz w:val="24"/>
          <w:szCs w:val="21"/>
          <w:highlight w:val="none"/>
        </w:rPr>
        <w:t>五、价格扣除证明文件</w:t>
      </w:r>
    </w:p>
    <w:p w14:paraId="166DE09A">
      <w:pPr>
        <w:spacing w:line="400"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1.中小企业声明函（格式见附件7）</w:t>
      </w:r>
    </w:p>
    <w:p w14:paraId="0E093AD3">
      <w:pPr>
        <w:spacing w:line="400"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2.残疾人福利性单位声明函（格式见附件8）</w:t>
      </w:r>
    </w:p>
    <w:p w14:paraId="30E1EE2C">
      <w:pPr>
        <w:spacing w:line="400"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3.监狱和戒毒企业证明材料</w:t>
      </w:r>
      <w:r>
        <w:rPr>
          <w:rFonts w:hint="eastAsia" w:ascii="宋体" w:hAnsi="宋体" w:eastAsia="宋体" w:cs="宋体"/>
          <w:color w:val="auto"/>
          <w:sz w:val="24"/>
          <w:szCs w:val="21"/>
          <w:highlight w:val="none"/>
          <w:lang w:val="zh-CN"/>
        </w:rPr>
        <w:t>（格式见附件</w:t>
      </w:r>
      <w:r>
        <w:rPr>
          <w:rFonts w:hint="eastAsia" w:ascii="宋体" w:hAnsi="宋体" w:eastAsia="宋体" w:cs="宋体"/>
          <w:color w:val="auto"/>
          <w:sz w:val="24"/>
          <w:szCs w:val="21"/>
          <w:highlight w:val="none"/>
        </w:rPr>
        <w:t>9</w:t>
      </w:r>
      <w:r>
        <w:rPr>
          <w:rFonts w:hint="eastAsia" w:ascii="宋体" w:hAnsi="宋体" w:eastAsia="宋体" w:cs="宋体"/>
          <w:color w:val="auto"/>
          <w:sz w:val="24"/>
          <w:szCs w:val="21"/>
          <w:highlight w:val="none"/>
          <w:lang w:val="zh-CN"/>
        </w:rPr>
        <w:t>）</w:t>
      </w:r>
    </w:p>
    <w:p w14:paraId="0C57BBDC">
      <w:pPr>
        <w:spacing w:line="400" w:lineRule="exact"/>
        <w:ind w:firstLine="480" w:firstLineChars="200"/>
        <w:rPr>
          <w:rFonts w:hint="eastAsia" w:ascii="宋体" w:hAnsi="宋体" w:eastAsia="宋体" w:cs="宋体"/>
          <w:i/>
          <w:color w:val="auto"/>
          <w:sz w:val="24"/>
          <w:szCs w:val="21"/>
          <w:highlight w:val="none"/>
          <w:u w:val="single"/>
        </w:rPr>
      </w:pPr>
    </w:p>
    <w:p w14:paraId="3FB3785D">
      <w:pPr>
        <w:spacing w:line="400" w:lineRule="exact"/>
        <w:ind w:firstLine="480" w:firstLineChars="200"/>
        <w:rPr>
          <w:rFonts w:hint="eastAsia" w:ascii="宋体" w:hAnsi="宋体" w:eastAsia="宋体" w:cs="宋体"/>
          <w:color w:val="auto"/>
          <w:sz w:val="24"/>
          <w:szCs w:val="21"/>
          <w:highlight w:val="none"/>
        </w:rPr>
      </w:pPr>
    </w:p>
    <w:p w14:paraId="50E02CD0">
      <w:pPr>
        <w:spacing w:line="400" w:lineRule="exact"/>
        <w:ind w:firstLine="480" w:firstLineChars="200"/>
        <w:rPr>
          <w:rFonts w:hint="eastAsia" w:ascii="宋体" w:hAnsi="宋体" w:eastAsia="宋体" w:cs="宋体"/>
          <w:color w:val="auto"/>
          <w:sz w:val="24"/>
          <w:szCs w:val="21"/>
          <w:highlight w:val="none"/>
        </w:rPr>
      </w:pPr>
    </w:p>
    <w:p w14:paraId="464E16F4">
      <w:pPr>
        <w:spacing w:line="400" w:lineRule="exact"/>
        <w:ind w:firstLine="480" w:firstLineChars="200"/>
        <w:rPr>
          <w:rFonts w:hint="eastAsia" w:ascii="宋体" w:hAnsi="宋体" w:eastAsia="宋体" w:cs="宋体"/>
          <w:color w:val="auto"/>
          <w:sz w:val="24"/>
          <w:szCs w:val="21"/>
          <w:highlight w:val="none"/>
        </w:rPr>
      </w:pPr>
    </w:p>
    <w:p w14:paraId="277AA80B">
      <w:pPr>
        <w:spacing w:line="400" w:lineRule="exact"/>
        <w:ind w:firstLine="480" w:firstLineChars="200"/>
        <w:rPr>
          <w:rFonts w:hint="eastAsia" w:ascii="宋体" w:hAnsi="宋体" w:eastAsia="宋体" w:cs="宋体"/>
          <w:color w:val="auto"/>
          <w:sz w:val="24"/>
          <w:szCs w:val="21"/>
          <w:highlight w:val="none"/>
        </w:rPr>
      </w:pPr>
    </w:p>
    <w:p w14:paraId="48FF659E">
      <w:pPr>
        <w:spacing w:line="400" w:lineRule="exact"/>
        <w:ind w:firstLine="480" w:firstLineChars="200"/>
        <w:rPr>
          <w:rFonts w:hint="eastAsia" w:ascii="宋体" w:hAnsi="宋体" w:eastAsia="宋体" w:cs="宋体"/>
          <w:color w:val="auto"/>
          <w:sz w:val="24"/>
          <w:szCs w:val="21"/>
          <w:highlight w:val="none"/>
        </w:rPr>
      </w:pPr>
    </w:p>
    <w:p w14:paraId="5D163BBD">
      <w:pPr>
        <w:pStyle w:val="2"/>
        <w:rPr>
          <w:rFonts w:hint="eastAsia" w:ascii="宋体" w:hAnsi="宋体" w:eastAsia="宋体" w:cs="宋体"/>
          <w:color w:val="auto"/>
          <w:highlight w:val="none"/>
        </w:rPr>
      </w:pPr>
    </w:p>
    <w:p w14:paraId="7BEB4FD0">
      <w:pPr>
        <w:spacing w:line="400" w:lineRule="exact"/>
        <w:ind w:firstLine="480" w:firstLineChars="200"/>
        <w:rPr>
          <w:rFonts w:hint="eastAsia" w:ascii="宋体" w:hAnsi="宋体" w:eastAsia="宋体" w:cs="宋体"/>
          <w:color w:val="auto"/>
          <w:sz w:val="24"/>
          <w:szCs w:val="21"/>
          <w:highlight w:val="none"/>
        </w:rPr>
      </w:pPr>
    </w:p>
    <w:bookmarkEnd w:id="173"/>
    <w:bookmarkEnd w:id="174"/>
    <w:bookmarkEnd w:id="180"/>
    <w:bookmarkEnd w:id="181"/>
    <w:bookmarkEnd w:id="182"/>
    <w:p w14:paraId="0E82066D">
      <w:pPr>
        <w:pStyle w:val="2"/>
        <w:adjustRightInd w:val="0"/>
        <w:snapToGrid w:val="0"/>
        <w:jc w:val="left"/>
        <w:rPr>
          <w:rFonts w:hint="eastAsia" w:ascii="宋体" w:hAnsi="宋体" w:eastAsia="宋体" w:cs="宋体"/>
          <w:b/>
          <w:color w:val="auto"/>
          <w:sz w:val="24"/>
          <w:szCs w:val="24"/>
          <w:highlight w:val="none"/>
        </w:rPr>
      </w:pPr>
    </w:p>
    <w:p w14:paraId="5AABB21C">
      <w:pPr>
        <w:pStyle w:val="2"/>
        <w:adjustRightInd w:val="0"/>
        <w:snapToGrid w:val="0"/>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 xml:space="preserve">附件1     </w:t>
      </w:r>
    </w:p>
    <w:p w14:paraId="61939AB5">
      <w:pPr>
        <w:ind w:firstLine="1446" w:firstLineChars="6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投标人符合《政府采购法》第二十二条规定条件的声明函</w:t>
      </w:r>
    </w:p>
    <w:p w14:paraId="19572D7E">
      <w:pPr>
        <w:spacing w:line="520" w:lineRule="exact"/>
        <w:ind w:firstLine="480" w:firstLineChars="200"/>
        <w:rPr>
          <w:rFonts w:hint="eastAsia" w:ascii="宋体" w:hAnsi="宋体" w:eastAsia="宋体" w:cs="宋体"/>
          <w:b/>
          <w:bCs/>
          <w:color w:val="auto"/>
          <w:sz w:val="24"/>
          <w:highlight w:val="none"/>
        </w:rPr>
      </w:pPr>
      <w:r>
        <w:rPr>
          <w:rFonts w:hint="eastAsia" w:ascii="宋体" w:hAnsi="宋体" w:eastAsia="宋体" w:cs="宋体"/>
          <w:bCs/>
          <w:color w:val="auto"/>
          <w:sz w:val="24"/>
          <w:highlight w:val="none"/>
        </w:rPr>
        <w:t>我单位参加</w:t>
      </w:r>
      <w:r>
        <w:rPr>
          <w:rFonts w:hint="eastAsia" w:ascii="宋体" w:hAnsi="宋体" w:eastAsia="宋体" w:cs="宋体"/>
          <w:bCs/>
          <w:color w:val="auto"/>
          <w:sz w:val="24"/>
          <w:szCs w:val="21"/>
          <w:highlight w:val="none"/>
        </w:rPr>
        <w:t>________________ （项目名称），_________（项目编号）投标活动。针对《中华人民共和国政府采购法》第二十二条规定做出如下声明：</w:t>
      </w:r>
    </w:p>
    <w:p w14:paraId="0AB00237">
      <w:pPr>
        <w:spacing w:line="520" w:lineRule="exact"/>
        <w:ind w:firstLine="482"/>
        <w:rPr>
          <w:rFonts w:hint="eastAsia" w:ascii="宋体" w:hAnsi="宋体" w:eastAsia="宋体" w:cs="宋体"/>
          <w:color w:val="auto"/>
          <w:sz w:val="24"/>
          <w:highlight w:val="none"/>
        </w:rPr>
      </w:pPr>
      <w:r>
        <w:rPr>
          <w:rFonts w:hint="eastAsia" w:ascii="宋体" w:hAnsi="宋体" w:eastAsia="宋体" w:cs="宋体"/>
          <w:bCs/>
          <w:color w:val="auto"/>
          <w:sz w:val="24"/>
          <w:szCs w:val="21"/>
          <w:highlight w:val="none"/>
        </w:rPr>
        <w:t>1.我单位具有独立承担民事责任的能力；</w:t>
      </w:r>
    </w:p>
    <w:p w14:paraId="4DE5EF67">
      <w:pPr>
        <w:spacing w:line="520" w:lineRule="exact"/>
        <w:ind w:firstLine="482"/>
        <w:rPr>
          <w:rFonts w:hint="eastAsia" w:ascii="宋体" w:hAnsi="宋体" w:eastAsia="宋体" w:cs="宋体"/>
          <w:color w:val="auto"/>
          <w:sz w:val="24"/>
          <w:highlight w:val="none"/>
        </w:rPr>
      </w:pPr>
      <w:r>
        <w:rPr>
          <w:rFonts w:hint="eastAsia" w:ascii="宋体" w:hAnsi="宋体" w:eastAsia="宋体" w:cs="宋体"/>
          <w:color w:val="auto"/>
          <w:sz w:val="24"/>
          <w:highlight w:val="none"/>
        </w:rPr>
        <w:t>2.我单位具有良好的商业信誉和健全的财务会计制度；</w:t>
      </w:r>
    </w:p>
    <w:p w14:paraId="77D88859">
      <w:pPr>
        <w:spacing w:line="520" w:lineRule="exact"/>
        <w:ind w:firstLine="482"/>
        <w:rPr>
          <w:rFonts w:hint="eastAsia" w:ascii="宋体" w:hAnsi="宋体" w:eastAsia="宋体" w:cs="宋体"/>
          <w:color w:val="auto"/>
          <w:sz w:val="24"/>
          <w:highlight w:val="none"/>
        </w:rPr>
      </w:pPr>
      <w:r>
        <w:rPr>
          <w:rFonts w:hint="eastAsia" w:ascii="宋体" w:hAnsi="宋体" w:eastAsia="宋体" w:cs="宋体"/>
          <w:color w:val="auto"/>
          <w:sz w:val="24"/>
          <w:highlight w:val="none"/>
        </w:rPr>
        <w:t>3.我单位具有履行合同所必需的设备和专业技术能力；</w:t>
      </w:r>
    </w:p>
    <w:p w14:paraId="53C57238">
      <w:pPr>
        <w:spacing w:line="520" w:lineRule="exact"/>
        <w:ind w:firstLine="482"/>
        <w:rPr>
          <w:rFonts w:hint="eastAsia" w:ascii="宋体" w:hAnsi="宋体" w:eastAsia="宋体" w:cs="宋体"/>
          <w:color w:val="auto"/>
          <w:sz w:val="24"/>
          <w:highlight w:val="none"/>
        </w:rPr>
      </w:pPr>
      <w:r>
        <w:rPr>
          <w:rFonts w:hint="eastAsia" w:ascii="宋体" w:hAnsi="宋体" w:eastAsia="宋体" w:cs="宋体"/>
          <w:color w:val="auto"/>
          <w:sz w:val="24"/>
          <w:highlight w:val="none"/>
        </w:rPr>
        <w:t>4.我单位有依法缴纳税收和社会保障资金的良好记录；</w:t>
      </w:r>
    </w:p>
    <w:p w14:paraId="4AC2082C">
      <w:pPr>
        <w:spacing w:line="520" w:lineRule="exact"/>
        <w:ind w:firstLine="482"/>
        <w:rPr>
          <w:rFonts w:hint="eastAsia" w:ascii="宋体" w:hAnsi="宋体" w:eastAsia="宋体" w:cs="宋体"/>
          <w:color w:val="auto"/>
          <w:sz w:val="24"/>
          <w:highlight w:val="none"/>
        </w:rPr>
      </w:pPr>
      <w:r>
        <w:rPr>
          <w:rFonts w:hint="eastAsia" w:ascii="宋体" w:hAnsi="宋体" w:eastAsia="宋体" w:cs="宋体"/>
          <w:color w:val="auto"/>
          <w:sz w:val="24"/>
          <w:highlight w:val="none"/>
        </w:rPr>
        <w:t>5.我单位参加政府采购活动前三年内，在经营活动中没有重大违法记录；（1.供应商在参加政府采购活动前三年内因违法经营被禁止在一定期限内参加政府采购活动，期限届满的，可以参加政府采购活动。2.《中华人民共和国政府采购法实施条例》第十九条第一款规定的“较大数额罚款”认定为200万元以上的罚款，法律、行政法规以及国务院有关部门明确规定相关领域“较大数额罚款”标准高于200万元的，从其规定。）</w:t>
      </w:r>
    </w:p>
    <w:p w14:paraId="4B16D073">
      <w:pPr>
        <w:spacing w:line="520" w:lineRule="exact"/>
        <w:ind w:firstLine="482"/>
        <w:rPr>
          <w:rFonts w:hint="eastAsia" w:ascii="宋体" w:hAnsi="宋体" w:eastAsia="宋体" w:cs="宋体"/>
          <w:color w:val="auto"/>
          <w:sz w:val="24"/>
          <w:highlight w:val="none"/>
        </w:rPr>
      </w:pPr>
      <w:r>
        <w:rPr>
          <w:rFonts w:hint="eastAsia" w:ascii="宋体" w:hAnsi="宋体" w:eastAsia="宋体" w:cs="宋体"/>
          <w:color w:val="auto"/>
          <w:sz w:val="24"/>
          <w:highlight w:val="none"/>
        </w:rPr>
        <w:t>6.我单位满足法律、行政法规规定的其他条件。</w:t>
      </w:r>
    </w:p>
    <w:p w14:paraId="28471036">
      <w:pPr>
        <w:spacing w:line="500" w:lineRule="exact"/>
        <w:ind w:firstLine="482"/>
        <w:rPr>
          <w:rFonts w:hint="eastAsia" w:ascii="宋体" w:hAnsi="宋体" w:eastAsia="宋体" w:cs="宋体"/>
          <w:color w:val="auto"/>
          <w:sz w:val="24"/>
          <w:highlight w:val="none"/>
        </w:rPr>
      </w:pPr>
    </w:p>
    <w:p w14:paraId="2B8DD49D">
      <w:pPr>
        <w:spacing w:line="500" w:lineRule="exact"/>
        <w:rPr>
          <w:rFonts w:hint="eastAsia" w:ascii="宋体" w:hAnsi="宋体" w:eastAsia="宋体" w:cs="宋体"/>
          <w:color w:val="auto"/>
          <w:sz w:val="24"/>
          <w:highlight w:val="none"/>
        </w:rPr>
      </w:pPr>
    </w:p>
    <w:p w14:paraId="5F4A3C54">
      <w:pPr>
        <w:spacing w:line="500" w:lineRule="exact"/>
        <w:rPr>
          <w:rFonts w:hint="eastAsia" w:ascii="宋体" w:hAnsi="宋体" w:eastAsia="宋体" w:cs="宋体"/>
          <w:bCs/>
          <w:color w:val="auto"/>
          <w:sz w:val="24"/>
          <w:szCs w:val="21"/>
          <w:highlight w:val="none"/>
        </w:rPr>
      </w:pPr>
    </w:p>
    <w:p w14:paraId="5E3AE9CD">
      <w:pPr>
        <w:spacing w:line="500" w:lineRule="exact"/>
        <w:rPr>
          <w:rFonts w:hint="eastAsia" w:ascii="宋体" w:hAnsi="宋体" w:eastAsia="宋体" w:cs="宋体"/>
          <w:bCs/>
          <w:color w:val="auto"/>
          <w:sz w:val="24"/>
          <w:szCs w:val="21"/>
          <w:highlight w:val="none"/>
        </w:rPr>
      </w:pPr>
    </w:p>
    <w:p w14:paraId="09A0C106">
      <w:pPr>
        <w:spacing w:line="500" w:lineRule="exact"/>
        <w:rPr>
          <w:rFonts w:hint="eastAsia" w:ascii="宋体" w:hAnsi="宋体" w:eastAsia="宋体" w:cs="宋体"/>
          <w:bCs/>
          <w:color w:val="auto"/>
          <w:sz w:val="24"/>
          <w:szCs w:val="21"/>
          <w:highlight w:val="none"/>
        </w:rPr>
      </w:pPr>
    </w:p>
    <w:p w14:paraId="64AB66C0">
      <w:pPr>
        <w:spacing w:line="460" w:lineRule="exact"/>
        <w:jc w:val="center"/>
        <w:rPr>
          <w:rFonts w:hint="eastAsia" w:ascii="宋体" w:hAnsi="宋体" w:eastAsia="宋体" w:cs="宋体"/>
          <w:bCs/>
          <w:color w:val="auto"/>
          <w:sz w:val="24"/>
          <w:szCs w:val="21"/>
          <w:highlight w:val="none"/>
        </w:rPr>
      </w:pPr>
      <w:r>
        <w:rPr>
          <w:rFonts w:hint="eastAsia" w:ascii="宋体" w:hAnsi="宋体" w:eastAsia="宋体" w:cs="宋体"/>
          <w:bCs/>
          <w:color w:val="auto"/>
          <w:sz w:val="24"/>
          <w:szCs w:val="21"/>
          <w:highlight w:val="none"/>
        </w:rPr>
        <w:t xml:space="preserve">              承诺人名称（</w:t>
      </w:r>
      <w:r>
        <w:rPr>
          <w:rFonts w:hint="eastAsia" w:ascii="宋体" w:hAnsi="宋体" w:eastAsia="宋体" w:cs="宋体"/>
          <w:color w:val="auto"/>
          <w:spacing w:val="-2"/>
          <w:sz w:val="24"/>
          <w:szCs w:val="24"/>
          <w:highlight w:val="none"/>
        </w:rPr>
        <w:t>加盖CA电子公章</w:t>
      </w:r>
      <w:r>
        <w:rPr>
          <w:rFonts w:hint="eastAsia" w:ascii="宋体" w:hAnsi="宋体" w:eastAsia="宋体" w:cs="宋体"/>
          <w:bCs/>
          <w:color w:val="auto"/>
          <w:sz w:val="24"/>
          <w:szCs w:val="21"/>
          <w:highlight w:val="none"/>
        </w:rPr>
        <w:t>）：</w:t>
      </w:r>
    </w:p>
    <w:p w14:paraId="311F6B30">
      <w:pPr>
        <w:spacing w:line="460" w:lineRule="exact"/>
        <w:jc w:val="right"/>
        <w:rPr>
          <w:rFonts w:hint="eastAsia" w:ascii="宋体" w:hAnsi="宋体" w:eastAsia="宋体" w:cs="宋体"/>
          <w:bCs/>
          <w:color w:val="auto"/>
          <w:sz w:val="24"/>
          <w:szCs w:val="21"/>
          <w:highlight w:val="none"/>
        </w:rPr>
      </w:pPr>
    </w:p>
    <w:p w14:paraId="21FDD38F">
      <w:pPr>
        <w:spacing w:line="460" w:lineRule="exact"/>
        <w:jc w:val="center"/>
        <w:rPr>
          <w:rFonts w:hint="eastAsia" w:ascii="宋体" w:hAnsi="宋体" w:eastAsia="宋体" w:cs="宋体"/>
          <w:bCs/>
          <w:color w:val="auto"/>
          <w:sz w:val="24"/>
          <w:szCs w:val="21"/>
          <w:highlight w:val="none"/>
        </w:rPr>
      </w:pPr>
      <w:r>
        <w:rPr>
          <w:rFonts w:hint="eastAsia" w:ascii="宋体" w:hAnsi="宋体" w:eastAsia="宋体" w:cs="宋体"/>
          <w:bCs/>
          <w:color w:val="auto"/>
          <w:sz w:val="24"/>
          <w:szCs w:val="21"/>
          <w:highlight w:val="none"/>
        </w:rPr>
        <w:t>日期：  年  月  日</w:t>
      </w:r>
    </w:p>
    <w:p w14:paraId="12BB8176">
      <w:pPr>
        <w:rPr>
          <w:rFonts w:hint="eastAsia" w:ascii="宋体" w:hAnsi="宋体" w:eastAsia="宋体" w:cs="宋体"/>
          <w:b/>
          <w:color w:val="auto"/>
          <w:sz w:val="24"/>
          <w:szCs w:val="24"/>
          <w:highlight w:val="none"/>
        </w:rPr>
      </w:pPr>
      <w:r>
        <w:rPr>
          <w:rFonts w:hint="eastAsia" w:ascii="宋体" w:hAnsi="宋体" w:eastAsia="宋体" w:cs="宋体"/>
          <w:i/>
          <w:color w:val="auto"/>
          <w:sz w:val="32"/>
          <w:szCs w:val="32"/>
          <w:highlight w:val="none"/>
          <w:u w:val="single"/>
        </w:rPr>
        <w:br w:type="page"/>
      </w:r>
      <w:bookmarkStart w:id="183" w:name="_Toc120614284"/>
      <w:r>
        <w:rPr>
          <w:rFonts w:hint="eastAsia" w:ascii="宋体" w:hAnsi="宋体" w:eastAsia="宋体" w:cs="宋体"/>
          <w:b/>
          <w:color w:val="auto"/>
          <w:sz w:val="24"/>
          <w:szCs w:val="24"/>
          <w:highlight w:val="none"/>
          <w:lang w:val="zh-CN"/>
        </w:rPr>
        <w:t>附件</w:t>
      </w:r>
      <w:r>
        <w:rPr>
          <w:rFonts w:hint="eastAsia" w:ascii="宋体" w:hAnsi="宋体" w:eastAsia="宋体" w:cs="宋体"/>
          <w:b/>
          <w:color w:val="auto"/>
          <w:sz w:val="24"/>
          <w:szCs w:val="24"/>
          <w:highlight w:val="none"/>
        </w:rPr>
        <w:t>2</w:t>
      </w:r>
    </w:p>
    <w:p w14:paraId="35A49E68">
      <w:pPr>
        <w:spacing w:line="560" w:lineRule="exact"/>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法定代表人身份证明</w:t>
      </w:r>
    </w:p>
    <w:p w14:paraId="20F2EC0E">
      <w:pPr>
        <w:spacing w:line="480" w:lineRule="exact"/>
        <w:rPr>
          <w:rFonts w:hint="eastAsia" w:ascii="宋体" w:hAnsi="宋体" w:eastAsia="宋体" w:cs="宋体"/>
          <w:color w:val="auto"/>
          <w:sz w:val="24"/>
          <w:szCs w:val="24"/>
          <w:highlight w:val="none"/>
        </w:rPr>
      </w:pPr>
    </w:p>
    <w:p w14:paraId="79E4DF93">
      <w:pPr>
        <w:spacing w:line="4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先生/女士：现任我单位</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职务，为法定代表人，特此证明。</w:t>
      </w:r>
    </w:p>
    <w:p w14:paraId="5A04A80F">
      <w:pPr>
        <w:spacing w:line="480" w:lineRule="exact"/>
        <w:ind w:firstLine="48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身份证号码：</w:t>
      </w:r>
      <w:r>
        <w:rPr>
          <w:rFonts w:hint="eastAsia" w:ascii="宋体" w:hAnsi="宋体" w:eastAsia="宋体" w:cs="宋体"/>
          <w:color w:val="auto"/>
          <w:sz w:val="24"/>
          <w:szCs w:val="24"/>
          <w:highlight w:val="none"/>
          <w:u w:val="single"/>
        </w:rPr>
        <w:t xml:space="preserve">                                               </w:t>
      </w:r>
    </w:p>
    <w:p w14:paraId="774CE039">
      <w:pPr>
        <w:spacing w:line="480" w:lineRule="exact"/>
        <w:ind w:firstLine="480"/>
        <w:rPr>
          <w:rFonts w:hint="eastAsia" w:ascii="宋体" w:hAnsi="宋体" w:eastAsia="宋体" w:cs="宋体"/>
          <w:color w:val="auto"/>
          <w:sz w:val="24"/>
          <w:szCs w:val="24"/>
          <w:highlight w:val="none"/>
        </w:rPr>
      </w:pPr>
    </w:p>
    <w:p w14:paraId="3E3D5F92">
      <w:pPr>
        <w:spacing w:before="81" w:line="222" w:lineRule="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注：</w:t>
      </w:r>
      <w:r>
        <w:rPr>
          <w:rFonts w:hint="eastAsia" w:ascii="宋体" w:hAnsi="宋体" w:eastAsia="宋体" w:cs="宋体"/>
          <w:b/>
          <w:bCs/>
          <w:color w:val="auto"/>
          <w:spacing w:val="-2"/>
          <w:sz w:val="24"/>
          <w:szCs w:val="24"/>
          <w:highlight w:val="none"/>
          <w:lang w:val="en-US" w:eastAsia="zh-CN"/>
        </w:rPr>
        <w:t xml:space="preserve"> </w:t>
      </w:r>
      <w:r>
        <w:rPr>
          <w:rFonts w:hint="eastAsia" w:ascii="宋体" w:hAnsi="宋体" w:eastAsia="宋体" w:cs="宋体"/>
          <w:b/>
          <w:bCs/>
          <w:color w:val="auto"/>
          <w:spacing w:val="-2"/>
          <w:sz w:val="24"/>
          <w:szCs w:val="24"/>
          <w:highlight w:val="none"/>
        </w:rPr>
        <w:t>提供法定代表人的身份证扫描件</w:t>
      </w:r>
      <w:r>
        <w:rPr>
          <w:rFonts w:hint="eastAsia" w:ascii="宋体" w:hAnsi="宋体" w:eastAsia="宋体" w:cs="宋体"/>
          <w:color w:val="auto"/>
          <w:spacing w:val="-2"/>
          <w:sz w:val="24"/>
          <w:szCs w:val="24"/>
          <w:highlight w:val="none"/>
        </w:rPr>
        <w:t>（加盖CA电子公章）</w:t>
      </w:r>
    </w:p>
    <w:p w14:paraId="2170B898">
      <w:pPr>
        <w:spacing w:line="600" w:lineRule="exact"/>
        <w:rPr>
          <w:rFonts w:hint="eastAsia" w:ascii="宋体" w:hAnsi="宋体" w:eastAsia="宋体" w:cs="宋体"/>
          <w:b/>
          <w:color w:val="auto"/>
          <w:sz w:val="24"/>
          <w:szCs w:val="24"/>
          <w:highlight w:val="none"/>
        </w:rPr>
      </w:pPr>
    </w:p>
    <w:p w14:paraId="5EB3F9A0">
      <w:pPr>
        <w:rPr>
          <w:rFonts w:hint="eastAsia" w:ascii="宋体" w:hAnsi="宋体" w:eastAsia="宋体" w:cs="宋体"/>
          <w:b/>
          <w:color w:val="auto"/>
          <w:sz w:val="24"/>
          <w:szCs w:val="21"/>
          <w:highlight w:val="none"/>
        </w:rPr>
      </w:pPr>
    </w:p>
    <w:p w14:paraId="72701EA5">
      <w:pPr>
        <w:jc w:val="left"/>
        <w:rPr>
          <w:rFonts w:hint="eastAsia" w:ascii="宋体" w:hAnsi="宋体" w:eastAsia="宋体" w:cs="宋体"/>
          <w:b/>
          <w:color w:val="auto"/>
          <w:sz w:val="24"/>
          <w:szCs w:val="21"/>
          <w:highlight w:val="none"/>
        </w:rPr>
      </w:pPr>
      <w:r>
        <w:rPr>
          <w:rFonts w:hint="eastAsia" w:ascii="宋体" w:hAnsi="宋体" w:eastAsia="宋体" w:cs="宋体"/>
          <w:i/>
          <w:color w:val="auto"/>
          <w:sz w:val="32"/>
          <w:szCs w:val="32"/>
          <w:highlight w:val="none"/>
          <w:u w:val="single"/>
        </w:rPr>
        <w:br w:type="page"/>
      </w:r>
      <w:r>
        <w:rPr>
          <w:rFonts w:hint="eastAsia" w:ascii="宋体" w:hAnsi="宋体" w:eastAsia="宋体" w:cs="宋体"/>
          <w:b/>
          <w:color w:val="auto"/>
          <w:sz w:val="24"/>
          <w:szCs w:val="21"/>
          <w:highlight w:val="none"/>
        </w:rPr>
        <w:t>附件3</w:t>
      </w:r>
    </w:p>
    <w:p w14:paraId="786D8CB6">
      <w:pPr>
        <w:jc w:val="center"/>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法人授权书</w:t>
      </w:r>
    </w:p>
    <w:p w14:paraId="52DE7CC7">
      <w:pPr>
        <w:keepNext w:val="0"/>
        <w:keepLines w:val="0"/>
        <w:pageBreakBefore w:val="0"/>
        <w:widowControl w:val="0"/>
        <w:tabs>
          <w:tab w:val="left" w:pos="360"/>
        </w:tabs>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p>
    <w:p w14:paraId="3CFFFD75">
      <w:pPr>
        <w:keepNext w:val="0"/>
        <w:keepLines w:val="0"/>
        <w:pageBreakBefore w:val="0"/>
        <w:widowControl w:val="0"/>
        <w:tabs>
          <w:tab w:val="left" w:pos="360"/>
        </w:tabs>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本授权书声明：____________（供应商名称）授权________________（被授权人的姓名）为我方就</w:t>
      </w:r>
      <w:r>
        <w:rPr>
          <w:rFonts w:hint="eastAsia" w:ascii="宋体" w:hAnsi="宋体" w:eastAsia="宋体" w:cs="宋体"/>
          <w:color w:val="auto"/>
          <w:spacing w:val="-1"/>
          <w:sz w:val="28"/>
          <w:szCs w:val="28"/>
          <w:highlight w:val="none"/>
          <w:u w:val="single"/>
        </w:rPr>
        <w:t xml:space="preserve">       （项目编号）</w:t>
      </w:r>
      <w:r>
        <w:rPr>
          <w:rFonts w:hint="eastAsia" w:ascii="宋体" w:hAnsi="宋体" w:eastAsia="宋体" w:cs="宋体"/>
          <w:color w:val="auto"/>
          <w:sz w:val="28"/>
          <w:szCs w:val="28"/>
          <w:highlight w:val="none"/>
        </w:rPr>
        <w:t>项目采购活动的合法代理人，以本单位名义全权处理一切与该项目采购有关的事务。</w:t>
      </w:r>
    </w:p>
    <w:p w14:paraId="4BD24C6C">
      <w:pPr>
        <w:keepNext w:val="0"/>
        <w:keepLines w:val="0"/>
        <w:pageBreakBefore w:val="0"/>
        <w:widowControl w:val="0"/>
        <w:tabs>
          <w:tab w:val="left" w:pos="360"/>
        </w:tabs>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本授权书于______年____月____日起生效，特此声明。</w:t>
      </w:r>
    </w:p>
    <w:p w14:paraId="6B29EB65">
      <w:pPr>
        <w:keepNext w:val="0"/>
        <w:keepLines w:val="0"/>
        <w:pageBreakBefore w:val="0"/>
        <w:widowControl w:val="0"/>
        <w:tabs>
          <w:tab w:val="left" w:pos="360"/>
        </w:tabs>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被授权人身份证号码：</w:t>
      </w:r>
    </w:p>
    <w:p w14:paraId="721DA131">
      <w:pPr>
        <w:keepNext w:val="0"/>
        <w:keepLines w:val="0"/>
        <w:pageBreakBefore w:val="0"/>
        <w:widowControl w:val="0"/>
        <w:tabs>
          <w:tab w:val="left" w:pos="360"/>
        </w:tabs>
        <w:kinsoku/>
        <w:wordWrap/>
        <w:overflowPunct/>
        <w:topLinePunct w:val="0"/>
        <w:autoSpaceDE/>
        <w:autoSpaceDN/>
        <w:bidi w:val="0"/>
        <w:adjustRightInd w:val="0"/>
        <w:snapToGrid w:val="0"/>
        <w:spacing w:line="360" w:lineRule="auto"/>
        <w:ind w:firstLine="480"/>
        <w:textAlignment w:val="auto"/>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被授权人联系电话：（手机）</w:t>
      </w:r>
    </w:p>
    <w:p w14:paraId="69C3D419">
      <w:pPr>
        <w:keepNext w:val="0"/>
        <w:keepLines w:val="0"/>
        <w:pageBreakBefore w:val="0"/>
        <w:widowControl w:val="0"/>
        <w:tabs>
          <w:tab w:val="left" w:pos="360"/>
        </w:tabs>
        <w:kinsoku/>
        <w:wordWrap/>
        <w:overflowPunct/>
        <w:topLinePunct w:val="0"/>
        <w:autoSpaceDE/>
        <w:autoSpaceDN/>
        <w:bidi w:val="0"/>
        <w:adjustRightInd w:val="0"/>
        <w:snapToGrid w:val="0"/>
        <w:spacing w:line="360" w:lineRule="auto"/>
        <w:ind w:firstLine="480"/>
        <w:textAlignment w:val="auto"/>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授权单位名称：</w:t>
      </w:r>
      <w:r>
        <w:rPr>
          <w:rFonts w:hint="eastAsia" w:ascii="宋体" w:hAnsi="宋体" w:eastAsia="宋体" w:cs="宋体"/>
          <w:color w:val="auto"/>
          <w:sz w:val="28"/>
          <w:szCs w:val="28"/>
          <w:highlight w:val="none"/>
          <w:u w:val="single"/>
        </w:rPr>
        <w:t>（加盖CA电子公章）</w:t>
      </w:r>
    </w:p>
    <w:p w14:paraId="32F71C29">
      <w:pPr>
        <w:keepNext w:val="0"/>
        <w:keepLines w:val="0"/>
        <w:pageBreakBefore w:val="0"/>
        <w:widowControl w:val="0"/>
        <w:tabs>
          <w:tab w:val="left" w:pos="360"/>
        </w:tabs>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单位地址：</w:t>
      </w:r>
    </w:p>
    <w:p w14:paraId="4DB7858C">
      <w:pPr>
        <w:keepNext w:val="0"/>
        <w:keepLines w:val="0"/>
        <w:pageBreakBefore w:val="0"/>
        <w:widowControl w:val="0"/>
        <w:tabs>
          <w:tab w:val="left" w:pos="360"/>
        </w:tabs>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日期：</w:t>
      </w:r>
      <w:bookmarkStart w:id="184" w:name="_Hlt26671380"/>
      <w:bookmarkEnd w:id="184"/>
      <w:bookmarkStart w:id="185" w:name="_Hlt26955070"/>
      <w:bookmarkEnd w:id="185"/>
      <w:bookmarkStart w:id="186" w:name="_格式3__银行出具的资信证明"/>
      <w:bookmarkEnd w:id="186"/>
    </w:p>
    <w:p w14:paraId="5B8E83EF">
      <w:pPr>
        <w:tabs>
          <w:tab w:val="left" w:pos="360"/>
        </w:tabs>
        <w:ind w:firstLine="480" w:firstLineChars="200"/>
        <w:rPr>
          <w:rFonts w:hint="eastAsia" w:ascii="宋体" w:hAnsi="宋体" w:eastAsia="宋体" w:cs="宋体"/>
          <w:color w:val="auto"/>
          <w:sz w:val="24"/>
          <w:szCs w:val="24"/>
          <w:highlight w:val="none"/>
          <w:u w:val="single"/>
        </w:rPr>
      </w:pPr>
    </w:p>
    <w:p w14:paraId="622EA2E8">
      <w:pPr>
        <w:rPr>
          <w:rFonts w:hint="eastAsia" w:ascii="宋体" w:hAnsi="宋体" w:eastAsia="宋体" w:cs="宋体"/>
          <w:i/>
          <w:color w:val="auto"/>
          <w:sz w:val="24"/>
          <w:szCs w:val="24"/>
          <w:highlight w:val="none"/>
          <w:u w:val="single"/>
        </w:rPr>
      </w:pPr>
    </w:p>
    <w:p w14:paraId="0FF1B255">
      <w:pPr>
        <w:rPr>
          <w:rFonts w:hint="eastAsia" w:ascii="宋体" w:hAnsi="宋体" w:eastAsia="宋体" w:cs="宋体"/>
          <w:color w:val="auto"/>
          <w:szCs w:val="21"/>
          <w:highlight w:val="none"/>
        </w:rPr>
      </w:pPr>
    </w:p>
    <w:p w14:paraId="7C4A745F">
      <w:pPr>
        <w:spacing w:before="82" w:line="221" w:lineRule="auto"/>
        <w:ind w:left="484"/>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注：提供被授权人身份证扫描件（加盖CA电子公章）</w:t>
      </w:r>
    </w:p>
    <w:p w14:paraId="07137CB5">
      <w:pPr>
        <w:tabs>
          <w:tab w:val="left" w:pos="360"/>
        </w:tabs>
        <w:spacing w:line="0" w:lineRule="atLeast"/>
        <w:rPr>
          <w:rFonts w:hint="eastAsia" w:ascii="宋体" w:hAnsi="宋体" w:eastAsia="宋体" w:cs="宋体"/>
          <w:b/>
          <w:color w:val="auto"/>
          <w:sz w:val="24"/>
          <w:szCs w:val="21"/>
          <w:highlight w:val="none"/>
        </w:rPr>
      </w:pPr>
      <w:r>
        <w:rPr>
          <w:rFonts w:hint="eastAsia" w:ascii="宋体" w:hAnsi="宋体" w:eastAsia="宋体" w:cs="宋体"/>
          <w:color w:val="auto"/>
          <w:sz w:val="24"/>
          <w:szCs w:val="24"/>
          <w:highlight w:val="none"/>
        </w:rPr>
        <w:br w:type="page"/>
      </w:r>
      <w:r>
        <w:rPr>
          <w:rFonts w:hint="eastAsia" w:ascii="宋体" w:hAnsi="宋体" w:eastAsia="宋体" w:cs="宋体"/>
          <w:b/>
          <w:color w:val="auto"/>
          <w:sz w:val="24"/>
          <w:szCs w:val="21"/>
          <w:highlight w:val="none"/>
        </w:rPr>
        <w:t xml:space="preserve">附件4  </w:t>
      </w:r>
    </w:p>
    <w:p w14:paraId="36F7ACC8">
      <w:pPr>
        <w:jc w:val="center"/>
        <w:rPr>
          <w:rFonts w:hint="eastAsia" w:ascii="宋体" w:hAnsi="宋体" w:eastAsia="宋体" w:cs="宋体"/>
          <w:b/>
          <w:i/>
          <w:color w:val="auto"/>
          <w:sz w:val="32"/>
          <w:szCs w:val="32"/>
          <w:highlight w:val="none"/>
          <w:u w:val="single"/>
        </w:rPr>
      </w:pPr>
      <w:r>
        <w:rPr>
          <w:rFonts w:hint="eastAsia" w:ascii="宋体" w:hAnsi="宋体" w:eastAsia="宋体" w:cs="宋体"/>
          <w:b/>
          <w:color w:val="auto"/>
          <w:sz w:val="24"/>
          <w:szCs w:val="21"/>
          <w:highlight w:val="none"/>
          <w:lang w:val="en-US" w:eastAsia="zh-CN"/>
        </w:rPr>
        <w:t xml:space="preserve"> </w:t>
      </w:r>
      <w:r>
        <w:rPr>
          <w:rFonts w:hint="eastAsia" w:ascii="宋体" w:hAnsi="宋体" w:eastAsia="宋体" w:cs="宋体"/>
          <w:b/>
          <w:color w:val="auto"/>
          <w:sz w:val="24"/>
          <w:szCs w:val="21"/>
          <w:highlight w:val="none"/>
        </w:rPr>
        <w:t>磋商响应函</w:t>
      </w:r>
    </w:p>
    <w:p w14:paraId="0E9D1C75">
      <w:pPr>
        <w:adjustRightInd w:val="0"/>
        <w:spacing w:line="420" w:lineRule="exact"/>
        <w:jc w:val="left"/>
        <w:textAlignment w:val="baseline"/>
        <w:rPr>
          <w:rFonts w:hint="eastAsia" w:ascii="宋体" w:hAnsi="宋体" w:eastAsia="宋体" w:cs="宋体"/>
          <w:color w:val="auto"/>
          <w:sz w:val="24"/>
          <w:szCs w:val="21"/>
          <w:highlight w:val="none"/>
          <w:lang w:eastAsia="zh-CN"/>
        </w:rPr>
      </w:pPr>
      <w:r>
        <w:rPr>
          <w:rFonts w:hint="eastAsia" w:ascii="宋体" w:hAnsi="宋体" w:eastAsia="宋体" w:cs="宋体"/>
          <w:color w:val="auto"/>
          <w:sz w:val="24"/>
          <w:szCs w:val="21"/>
          <w:highlight w:val="none"/>
        </w:rPr>
        <w:t>致：</w:t>
      </w:r>
      <w:r>
        <w:rPr>
          <w:rFonts w:hint="eastAsia" w:ascii="宋体" w:hAnsi="宋体" w:eastAsia="宋体" w:cs="宋体"/>
          <w:color w:val="auto"/>
          <w:sz w:val="24"/>
          <w:szCs w:val="24"/>
          <w:highlight w:val="none"/>
          <w:u w:val="single"/>
          <w:lang w:eastAsia="zh-CN"/>
        </w:rPr>
        <w:t>江苏省如东小洋口旅游度假区管理办公室</w:t>
      </w:r>
    </w:p>
    <w:p w14:paraId="7361640D">
      <w:pPr>
        <w:spacing w:line="400"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根据贵方的</w:t>
      </w:r>
      <w:r>
        <w:rPr>
          <w:rFonts w:hint="eastAsia" w:ascii="宋体" w:hAnsi="宋体" w:eastAsia="宋体" w:cs="宋体"/>
          <w:color w:val="auto"/>
          <w:spacing w:val="-1"/>
          <w:sz w:val="24"/>
          <w:szCs w:val="24"/>
          <w:highlight w:val="none"/>
          <w:u w:val="single"/>
        </w:rPr>
        <w:t xml:space="preserve">********  </w:t>
      </w:r>
      <w:r>
        <w:rPr>
          <w:rFonts w:hint="eastAsia" w:ascii="宋体" w:hAnsi="宋体" w:eastAsia="宋体" w:cs="宋体"/>
          <w:color w:val="auto"/>
          <w:spacing w:val="-1"/>
          <w:sz w:val="24"/>
          <w:szCs w:val="24"/>
          <w:highlight w:val="none"/>
        </w:rPr>
        <w:t>（项目编号）</w:t>
      </w:r>
      <w:r>
        <w:rPr>
          <w:rFonts w:hint="eastAsia" w:ascii="宋体" w:hAnsi="宋体" w:eastAsia="宋体" w:cs="宋体"/>
          <w:color w:val="auto"/>
          <w:sz w:val="24"/>
          <w:szCs w:val="21"/>
          <w:highlight w:val="none"/>
        </w:rPr>
        <w:t>磋商文件，正式授权下述签字人______(姓名)代表我方______________（供应商的名称），全权处理本次项目磋商的有关事宜。</w:t>
      </w:r>
    </w:p>
    <w:p w14:paraId="38F54FAD">
      <w:pPr>
        <w:adjustRightInd w:val="0"/>
        <w:spacing w:line="420" w:lineRule="exact"/>
        <w:ind w:firstLine="480" w:firstLineChars="200"/>
        <w:jc w:val="left"/>
        <w:textAlignment w:val="baseline"/>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据此函，__________签字人兹宣布同意如下：</w:t>
      </w:r>
    </w:p>
    <w:p w14:paraId="34ED2142">
      <w:pPr>
        <w:adjustRightInd w:val="0"/>
        <w:spacing w:line="420" w:lineRule="exact"/>
        <w:ind w:firstLine="480"/>
        <w:jc w:val="left"/>
        <w:textAlignment w:val="baseline"/>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1.按磋商文件规定的各项要求，向买方提供所需货物、服务（包含与货物相关的服务及与服务相关的货物）。</w:t>
      </w:r>
    </w:p>
    <w:p w14:paraId="6CD8C620">
      <w:pPr>
        <w:adjustRightInd w:val="0"/>
        <w:spacing w:line="420" w:lineRule="exact"/>
        <w:ind w:firstLine="480" w:firstLineChars="200"/>
        <w:jc w:val="left"/>
        <w:textAlignment w:val="baseline"/>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2.我们完全理解贵方不一定将合同授予最低报价的供应商。</w:t>
      </w:r>
    </w:p>
    <w:p w14:paraId="02246C9C">
      <w:pPr>
        <w:adjustRightInd w:val="0"/>
        <w:spacing w:line="420" w:lineRule="exact"/>
        <w:ind w:firstLine="480" w:firstLineChars="200"/>
        <w:jc w:val="left"/>
        <w:textAlignment w:val="baseline"/>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3.我们已详细审核全部磋商文件及其有效补充文件，我们知道必须放弃提出含糊不清或误解问题的权利。</w:t>
      </w:r>
    </w:p>
    <w:p w14:paraId="08222238">
      <w:pPr>
        <w:adjustRightInd w:val="0"/>
        <w:spacing w:line="420" w:lineRule="exact"/>
        <w:ind w:firstLine="480"/>
        <w:jc w:val="left"/>
        <w:textAlignment w:val="baseline"/>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4.我们同意从规定的开标日期起遵循本响应文件，并在规定的磋商有效期期满之前均具有约束力。</w:t>
      </w:r>
    </w:p>
    <w:p w14:paraId="5789DB48">
      <w:pPr>
        <w:adjustRightInd w:val="0"/>
        <w:spacing w:line="420" w:lineRule="exact"/>
        <w:ind w:firstLine="480"/>
        <w:jc w:val="left"/>
        <w:textAlignment w:val="baseline"/>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5.同意向贵方提供贵方可能另外要求的与磋商有关的任何证据或资料，并保证我方已提供和将要提供的文件是真实的、准确的。</w:t>
      </w:r>
    </w:p>
    <w:p w14:paraId="23518CCF">
      <w:pPr>
        <w:adjustRightInd w:val="0"/>
        <w:spacing w:line="420" w:lineRule="exact"/>
        <w:ind w:firstLine="480"/>
        <w:jc w:val="left"/>
        <w:textAlignment w:val="baseline"/>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6.一旦我方成交,我方将根据磋商文件的规定，严格履行合同的责任和义务,并保证在磋商文件规定的时间完成项目，交付买方验收、使用。</w:t>
      </w:r>
    </w:p>
    <w:p w14:paraId="3322A517">
      <w:pPr>
        <w:adjustRightInd w:val="0"/>
        <w:spacing w:line="420" w:lineRule="exact"/>
        <w:ind w:left="425"/>
        <w:jc w:val="left"/>
        <w:textAlignment w:val="baseline"/>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7.我方与本磋商有关的正式通讯地址为：</w:t>
      </w:r>
    </w:p>
    <w:p w14:paraId="1F9DDCBB">
      <w:pPr>
        <w:adjustRightInd w:val="0"/>
        <w:spacing w:line="420" w:lineRule="exact"/>
        <w:ind w:left="420" w:leftChars="200" w:firstLine="480" w:firstLineChars="200"/>
        <w:jc w:val="left"/>
        <w:textAlignment w:val="baseline"/>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地址：</w:t>
      </w:r>
    </w:p>
    <w:p w14:paraId="206D7B20">
      <w:pPr>
        <w:adjustRightInd w:val="0"/>
        <w:spacing w:line="420" w:lineRule="exact"/>
        <w:ind w:left="420" w:leftChars="200" w:firstLine="480" w:firstLineChars="200"/>
        <w:jc w:val="left"/>
        <w:textAlignment w:val="baseline"/>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邮编：</w:t>
      </w:r>
    </w:p>
    <w:p w14:paraId="7D75676E">
      <w:pPr>
        <w:adjustRightInd w:val="0"/>
        <w:spacing w:line="420" w:lineRule="exact"/>
        <w:ind w:left="420" w:leftChars="200" w:firstLine="480" w:firstLineChars="200"/>
        <w:jc w:val="left"/>
        <w:textAlignment w:val="baseline"/>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电话：</w:t>
      </w:r>
    </w:p>
    <w:p w14:paraId="235E1E32">
      <w:pPr>
        <w:adjustRightInd w:val="0"/>
        <w:spacing w:line="420" w:lineRule="exact"/>
        <w:ind w:left="420" w:leftChars="200" w:firstLine="480" w:firstLineChars="200"/>
        <w:jc w:val="left"/>
        <w:textAlignment w:val="baseline"/>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传真：</w:t>
      </w:r>
    </w:p>
    <w:p w14:paraId="7929F182">
      <w:pPr>
        <w:adjustRightInd w:val="0"/>
        <w:spacing w:line="420" w:lineRule="exact"/>
        <w:ind w:left="420" w:leftChars="200" w:firstLine="480" w:firstLineChars="200"/>
        <w:jc w:val="left"/>
        <w:textAlignment w:val="baseline"/>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供应商开户行：</w:t>
      </w:r>
    </w:p>
    <w:p w14:paraId="65B4EF94">
      <w:pPr>
        <w:adjustRightInd w:val="0"/>
        <w:spacing w:line="420" w:lineRule="exact"/>
        <w:ind w:left="420" w:leftChars="200" w:firstLine="480" w:firstLineChars="200"/>
        <w:jc w:val="left"/>
        <w:textAlignment w:val="baseline"/>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账号：</w:t>
      </w:r>
    </w:p>
    <w:p w14:paraId="082B85F5">
      <w:pPr>
        <w:adjustRightInd w:val="0"/>
        <w:spacing w:line="420" w:lineRule="exact"/>
        <w:ind w:left="420" w:leftChars="200" w:firstLine="480" w:firstLineChars="200"/>
        <w:jc w:val="left"/>
        <w:textAlignment w:val="baseline"/>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日期：________年____月____日</w:t>
      </w:r>
    </w:p>
    <w:p w14:paraId="4E70C316">
      <w:pPr>
        <w:spacing w:line="560" w:lineRule="exact"/>
        <w:ind w:firstLine="240" w:firstLineChars="100"/>
        <w:jc w:val="center"/>
        <w:rPr>
          <w:rFonts w:hint="eastAsia" w:ascii="宋体" w:hAnsi="宋体" w:eastAsia="宋体" w:cs="宋体"/>
          <w:bCs/>
          <w:color w:val="auto"/>
          <w:sz w:val="24"/>
          <w:szCs w:val="21"/>
          <w:highlight w:val="none"/>
        </w:rPr>
      </w:pPr>
    </w:p>
    <w:p w14:paraId="57D2ED4E">
      <w:pPr>
        <w:pStyle w:val="43"/>
        <w:rPr>
          <w:rFonts w:hint="eastAsia" w:ascii="宋体" w:hAnsi="宋体" w:eastAsia="宋体" w:cs="宋体"/>
          <w:bCs/>
          <w:color w:val="auto"/>
          <w:sz w:val="24"/>
          <w:szCs w:val="21"/>
          <w:highlight w:val="none"/>
        </w:rPr>
      </w:pPr>
    </w:p>
    <w:p w14:paraId="38DB444B">
      <w:pPr>
        <w:pStyle w:val="43"/>
        <w:rPr>
          <w:rFonts w:hint="eastAsia" w:ascii="宋体" w:hAnsi="宋体" w:eastAsia="宋体" w:cs="宋体"/>
          <w:bCs/>
          <w:color w:val="auto"/>
          <w:sz w:val="24"/>
          <w:szCs w:val="21"/>
          <w:highlight w:val="none"/>
        </w:rPr>
      </w:pPr>
    </w:p>
    <w:p w14:paraId="1FE9FBB4">
      <w:pPr>
        <w:pStyle w:val="43"/>
        <w:rPr>
          <w:rFonts w:hint="eastAsia" w:ascii="宋体" w:hAnsi="宋体" w:eastAsia="宋体" w:cs="宋体"/>
          <w:bCs/>
          <w:color w:val="auto"/>
          <w:sz w:val="24"/>
          <w:szCs w:val="21"/>
          <w:highlight w:val="none"/>
        </w:rPr>
      </w:pPr>
    </w:p>
    <w:p w14:paraId="57C18A5D">
      <w:pPr>
        <w:pStyle w:val="43"/>
        <w:rPr>
          <w:rFonts w:hint="eastAsia" w:ascii="宋体" w:hAnsi="宋体" w:eastAsia="宋体" w:cs="宋体"/>
          <w:bCs/>
          <w:color w:val="auto"/>
          <w:sz w:val="24"/>
          <w:szCs w:val="21"/>
          <w:highlight w:val="none"/>
        </w:rPr>
      </w:pPr>
    </w:p>
    <w:p w14:paraId="6CCAE1B9">
      <w:pPr>
        <w:pStyle w:val="43"/>
        <w:rPr>
          <w:rFonts w:hint="eastAsia" w:ascii="宋体" w:hAnsi="宋体" w:eastAsia="宋体" w:cs="宋体"/>
          <w:bCs/>
          <w:color w:val="auto"/>
          <w:sz w:val="24"/>
          <w:szCs w:val="21"/>
          <w:highlight w:val="none"/>
        </w:rPr>
      </w:pPr>
    </w:p>
    <w:p w14:paraId="5993B2BF">
      <w:pPr>
        <w:pStyle w:val="43"/>
        <w:jc w:val="center"/>
        <w:rPr>
          <w:rFonts w:hint="eastAsia" w:ascii="黑体" w:hAnsi="宋体" w:eastAsia="黑体" w:cs="黑体"/>
          <w:i w:val="0"/>
          <w:iCs w:val="0"/>
          <w:color w:val="auto"/>
          <w:kern w:val="0"/>
          <w:sz w:val="32"/>
          <w:szCs w:val="32"/>
          <w:highlight w:val="none"/>
          <w:u w:val="none"/>
          <w:lang w:val="en-US" w:eastAsia="zh-CN" w:bidi="ar"/>
        </w:rPr>
      </w:pPr>
      <w:r>
        <w:rPr>
          <w:rFonts w:hint="eastAsia" w:ascii="黑体" w:hAnsi="宋体" w:eastAsia="黑体" w:cs="黑体"/>
          <w:i w:val="0"/>
          <w:iCs w:val="0"/>
          <w:color w:val="auto"/>
          <w:kern w:val="0"/>
          <w:sz w:val="32"/>
          <w:szCs w:val="32"/>
          <w:highlight w:val="none"/>
          <w:u w:val="none"/>
          <w:lang w:val="en-US" w:eastAsia="zh-CN" w:bidi="ar"/>
        </w:rPr>
        <w:t>投标分项报价表</w:t>
      </w:r>
    </w:p>
    <w:p w14:paraId="40307AEE">
      <w:pPr>
        <w:pStyle w:val="43"/>
        <w:rPr>
          <w:rFonts w:hint="eastAsia" w:ascii="宋体" w:hAnsi="宋体" w:eastAsia="宋体" w:cs="宋体"/>
          <w:bCs/>
          <w:color w:val="auto"/>
          <w:sz w:val="24"/>
          <w:szCs w:val="21"/>
          <w:highlight w:val="none"/>
        </w:rPr>
      </w:pPr>
    </w:p>
    <w:tbl>
      <w:tblPr>
        <w:tblStyle w:val="44"/>
        <w:tblW w:w="9240"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1080"/>
        <w:gridCol w:w="1395"/>
        <w:gridCol w:w="2865"/>
        <w:gridCol w:w="1950"/>
        <w:gridCol w:w="1950"/>
      </w:tblGrid>
      <w:tr w14:paraId="3A0419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230" w:hRule="atLeast"/>
        </w:trPr>
        <w:tc>
          <w:tcPr>
            <w:tcW w:w="9240" w:type="dxa"/>
            <w:gridSpan w:val="5"/>
            <w:shd w:val="clear" w:color="auto" w:fill="auto"/>
            <w:vAlign w:val="center"/>
          </w:tcPr>
          <w:p w14:paraId="112EC18E">
            <w:pPr>
              <w:keepNext w:val="0"/>
              <w:keepLines w:val="0"/>
              <w:widowControl/>
              <w:suppressLineNumbers w:val="0"/>
              <w:jc w:val="center"/>
              <w:textAlignment w:val="center"/>
              <w:rPr>
                <w:rFonts w:ascii="黑体" w:hAnsi="宋体" w:eastAsia="黑体" w:cs="黑体"/>
                <w:i w:val="0"/>
                <w:iCs w:val="0"/>
                <w:color w:val="auto"/>
                <w:sz w:val="32"/>
                <w:szCs w:val="32"/>
                <w:highlight w:val="none"/>
                <w:u w:val="none"/>
              </w:rPr>
            </w:pPr>
            <w:r>
              <w:rPr>
                <w:rFonts w:hint="eastAsia" w:ascii="黑体" w:hAnsi="宋体" w:eastAsia="黑体" w:cs="黑体"/>
                <w:i w:val="0"/>
                <w:iCs w:val="0"/>
                <w:color w:val="auto"/>
                <w:kern w:val="0"/>
                <w:sz w:val="32"/>
                <w:szCs w:val="32"/>
                <w:highlight w:val="none"/>
                <w:u w:val="none"/>
                <w:lang w:val="en-US" w:eastAsia="zh-CN" w:bidi="ar"/>
              </w:rPr>
              <w:t>2026年如东小洋口第四届体育嘉年华</w:t>
            </w:r>
          </w:p>
        </w:tc>
      </w:tr>
      <w:tr w14:paraId="19EB1E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1080" w:type="dxa"/>
            <w:vMerge w:val="restart"/>
            <w:shd w:val="clear" w:color="auto" w:fill="auto"/>
            <w:vAlign w:val="center"/>
          </w:tcPr>
          <w:p w14:paraId="6926F063">
            <w:pPr>
              <w:keepNext w:val="0"/>
              <w:keepLines w:val="0"/>
              <w:widowControl/>
              <w:suppressLineNumbers w:val="0"/>
              <w:jc w:val="center"/>
              <w:textAlignment w:val="center"/>
              <w:rPr>
                <w:rFonts w:hint="eastAsia" w:ascii="黑体" w:hAnsi="宋体" w:eastAsia="黑体" w:cs="黑体"/>
                <w:i w:val="0"/>
                <w:iCs w:val="0"/>
                <w:color w:val="auto"/>
                <w:sz w:val="28"/>
                <w:szCs w:val="28"/>
                <w:highlight w:val="none"/>
                <w:u w:val="none"/>
              </w:rPr>
            </w:pPr>
            <w:r>
              <w:rPr>
                <w:rFonts w:hint="eastAsia" w:ascii="黑体" w:hAnsi="宋体" w:eastAsia="黑体" w:cs="黑体"/>
                <w:i w:val="0"/>
                <w:iCs w:val="0"/>
                <w:color w:val="auto"/>
                <w:kern w:val="0"/>
                <w:sz w:val="28"/>
                <w:szCs w:val="28"/>
                <w:highlight w:val="none"/>
                <w:u w:val="none"/>
                <w:lang w:val="en-US" w:eastAsia="zh-CN" w:bidi="ar"/>
              </w:rPr>
              <w:t>序号</w:t>
            </w:r>
          </w:p>
        </w:tc>
        <w:tc>
          <w:tcPr>
            <w:tcW w:w="1395" w:type="dxa"/>
            <w:vMerge w:val="restart"/>
            <w:shd w:val="clear" w:color="auto" w:fill="auto"/>
            <w:vAlign w:val="center"/>
          </w:tcPr>
          <w:p w14:paraId="68F7AC30">
            <w:pPr>
              <w:keepNext w:val="0"/>
              <w:keepLines w:val="0"/>
              <w:widowControl/>
              <w:suppressLineNumbers w:val="0"/>
              <w:jc w:val="center"/>
              <w:textAlignment w:val="center"/>
              <w:rPr>
                <w:rFonts w:hint="eastAsia" w:ascii="黑体" w:hAnsi="宋体" w:eastAsia="黑体" w:cs="黑体"/>
                <w:i w:val="0"/>
                <w:iCs w:val="0"/>
                <w:color w:val="auto"/>
                <w:sz w:val="28"/>
                <w:szCs w:val="28"/>
                <w:highlight w:val="none"/>
                <w:u w:val="none"/>
              </w:rPr>
            </w:pPr>
            <w:r>
              <w:rPr>
                <w:rFonts w:hint="eastAsia" w:ascii="黑体" w:hAnsi="宋体" w:eastAsia="黑体" w:cs="黑体"/>
                <w:i w:val="0"/>
                <w:iCs w:val="0"/>
                <w:color w:val="auto"/>
                <w:kern w:val="0"/>
                <w:sz w:val="28"/>
                <w:szCs w:val="28"/>
                <w:highlight w:val="none"/>
                <w:u w:val="none"/>
                <w:lang w:val="en-US" w:eastAsia="zh-CN" w:bidi="ar"/>
              </w:rPr>
              <w:t>种类</w:t>
            </w:r>
          </w:p>
        </w:tc>
        <w:tc>
          <w:tcPr>
            <w:tcW w:w="2865" w:type="dxa"/>
            <w:vMerge w:val="restart"/>
            <w:shd w:val="clear" w:color="auto" w:fill="auto"/>
            <w:vAlign w:val="center"/>
          </w:tcPr>
          <w:p w14:paraId="77EC8FE5">
            <w:pPr>
              <w:keepNext w:val="0"/>
              <w:keepLines w:val="0"/>
              <w:widowControl/>
              <w:suppressLineNumbers w:val="0"/>
              <w:jc w:val="center"/>
              <w:textAlignment w:val="center"/>
              <w:rPr>
                <w:rFonts w:hint="eastAsia" w:ascii="黑体" w:hAnsi="宋体" w:eastAsia="黑体" w:cs="黑体"/>
                <w:i w:val="0"/>
                <w:iCs w:val="0"/>
                <w:color w:val="auto"/>
                <w:sz w:val="28"/>
                <w:szCs w:val="28"/>
                <w:highlight w:val="none"/>
                <w:u w:val="none"/>
              </w:rPr>
            </w:pPr>
            <w:r>
              <w:rPr>
                <w:rFonts w:hint="eastAsia" w:ascii="黑体" w:hAnsi="宋体" w:eastAsia="黑体" w:cs="黑体"/>
                <w:i w:val="0"/>
                <w:iCs w:val="0"/>
                <w:color w:val="auto"/>
                <w:kern w:val="0"/>
                <w:sz w:val="28"/>
                <w:szCs w:val="28"/>
                <w:highlight w:val="none"/>
                <w:u w:val="none"/>
                <w:lang w:val="en-US" w:eastAsia="zh-CN" w:bidi="ar"/>
              </w:rPr>
              <w:t>项目名称</w:t>
            </w:r>
          </w:p>
        </w:tc>
        <w:tc>
          <w:tcPr>
            <w:tcW w:w="1950" w:type="dxa"/>
            <w:vMerge w:val="restart"/>
            <w:shd w:val="clear" w:color="auto" w:fill="auto"/>
            <w:vAlign w:val="center"/>
          </w:tcPr>
          <w:p w14:paraId="41FBBF68">
            <w:pPr>
              <w:keepNext w:val="0"/>
              <w:keepLines w:val="0"/>
              <w:widowControl/>
              <w:suppressLineNumbers w:val="0"/>
              <w:jc w:val="center"/>
              <w:textAlignment w:val="center"/>
              <w:rPr>
                <w:rFonts w:hint="eastAsia" w:ascii="黑体" w:hAnsi="宋体" w:eastAsia="黑体" w:cs="黑体"/>
                <w:i w:val="0"/>
                <w:iCs w:val="0"/>
                <w:color w:val="auto"/>
                <w:sz w:val="28"/>
                <w:szCs w:val="28"/>
                <w:highlight w:val="none"/>
                <w:u w:val="none"/>
              </w:rPr>
            </w:pPr>
            <w:r>
              <w:rPr>
                <w:rFonts w:hint="eastAsia" w:ascii="黑体" w:hAnsi="宋体" w:eastAsia="黑体" w:cs="黑体"/>
                <w:i w:val="0"/>
                <w:iCs w:val="0"/>
                <w:color w:val="auto"/>
                <w:kern w:val="0"/>
                <w:sz w:val="28"/>
                <w:szCs w:val="28"/>
                <w:highlight w:val="none"/>
                <w:u w:val="none"/>
                <w:lang w:val="en-US" w:eastAsia="zh-CN" w:bidi="ar"/>
              </w:rPr>
              <w:t>报价（万元）</w:t>
            </w:r>
          </w:p>
        </w:tc>
        <w:tc>
          <w:tcPr>
            <w:tcW w:w="1950" w:type="dxa"/>
            <w:vMerge w:val="restart"/>
            <w:shd w:val="clear" w:color="auto" w:fill="auto"/>
            <w:vAlign w:val="center"/>
          </w:tcPr>
          <w:p w14:paraId="42B7314B">
            <w:pPr>
              <w:jc w:val="center"/>
              <w:rPr>
                <w:rFonts w:hint="eastAsia" w:ascii="黑体" w:hAnsi="宋体" w:eastAsia="黑体" w:cs="黑体"/>
                <w:i w:val="0"/>
                <w:iCs w:val="0"/>
                <w:color w:val="auto"/>
                <w:sz w:val="28"/>
                <w:szCs w:val="28"/>
                <w:highlight w:val="none"/>
                <w:u w:val="none"/>
              </w:rPr>
            </w:pPr>
          </w:p>
        </w:tc>
      </w:tr>
      <w:tr w14:paraId="28D921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1080" w:type="dxa"/>
            <w:vMerge w:val="continue"/>
            <w:shd w:val="clear" w:color="auto" w:fill="auto"/>
            <w:vAlign w:val="center"/>
          </w:tcPr>
          <w:p w14:paraId="69EDF9FF">
            <w:pPr>
              <w:jc w:val="center"/>
              <w:rPr>
                <w:rFonts w:hint="eastAsia" w:ascii="黑体" w:hAnsi="宋体" w:eastAsia="黑体" w:cs="黑体"/>
                <w:i w:val="0"/>
                <w:iCs w:val="0"/>
                <w:color w:val="auto"/>
                <w:sz w:val="28"/>
                <w:szCs w:val="28"/>
                <w:highlight w:val="none"/>
                <w:u w:val="none"/>
              </w:rPr>
            </w:pPr>
          </w:p>
        </w:tc>
        <w:tc>
          <w:tcPr>
            <w:tcW w:w="1395" w:type="dxa"/>
            <w:vMerge w:val="continue"/>
            <w:shd w:val="clear" w:color="auto" w:fill="auto"/>
            <w:vAlign w:val="center"/>
          </w:tcPr>
          <w:p w14:paraId="10BB189D">
            <w:pPr>
              <w:jc w:val="center"/>
              <w:rPr>
                <w:rFonts w:hint="eastAsia" w:ascii="黑体" w:hAnsi="宋体" w:eastAsia="黑体" w:cs="黑体"/>
                <w:i w:val="0"/>
                <w:iCs w:val="0"/>
                <w:color w:val="auto"/>
                <w:sz w:val="28"/>
                <w:szCs w:val="28"/>
                <w:highlight w:val="none"/>
                <w:u w:val="none"/>
              </w:rPr>
            </w:pPr>
          </w:p>
        </w:tc>
        <w:tc>
          <w:tcPr>
            <w:tcW w:w="2865" w:type="dxa"/>
            <w:vMerge w:val="continue"/>
            <w:shd w:val="clear" w:color="auto" w:fill="auto"/>
            <w:vAlign w:val="center"/>
          </w:tcPr>
          <w:p w14:paraId="788F495B">
            <w:pPr>
              <w:jc w:val="center"/>
              <w:rPr>
                <w:rFonts w:hint="eastAsia" w:ascii="黑体" w:hAnsi="宋体" w:eastAsia="黑体" w:cs="黑体"/>
                <w:i w:val="0"/>
                <w:iCs w:val="0"/>
                <w:color w:val="auto"/>
                <w:sz w:val="28"/>
                <w:szCs w:val="28"/>
                <w:highlight w:val="none"/>
                <w:u w:val="none"/>
              </w:rPr>
            </w:pPr>
          </w:p>
        </w:tc>
        <w:tc>
          <w:tcPr>
            <w:tcW w:w="1950" w:type="dxa"/>
            <w:vMerge w:val="continue"/>
            <w:shd w:val="clear" w:color="auto" w:fill="auto"/>
            <w:vAlign w:val="center"/>
          </w:tcPr>
          <w:p w14:paraId="60348C91">
            <w:pPr>
              <w:jc w:val="center"/>
              <w:rPr>
                <w:rFonts w:hint="eastAsia" w:ascii="黑体" w:hAnsi="宋体" w:eastAsia="黑体" w:cs="黑体"/>
                <w:i w:val="0"/>
                <w:iCs w:val="0"/>
                <w:color w:val="auto"/>
                <w:sz w:val="28"/>
                <w:szCs w:val="28"/>
                <w:highlight w:val="none"/>
                <w:u w:val="none"/>
              </w:rPr>
            </w:pPr>
          </w:p>
        </w:tc>
        <w:tc>
          <w:tcPr>
            <w:tcW w:w="1950" w:type="dxa"/>
            <w:vMerge w:val="continue"/>
            <w:shd w:val="clear" w:color="auto" w:fill="auto"/>
            <w:vAlign w:val="center"/>
          </w:tcPr>
          <w:p w14:paraId="04061500">
            <w:pPr>
              <w:jc w:val="center"/>
              <w:rPr>
                <w:rFonts w:hint="eastAsia" w:ascii="黑体" w:hAnsi="宋体" w:eastAsia="黑体" w:cs="黑体"/>
                <w:i w:val="0"/>
                <w:iCs w:val="0"/>
                <w:color w:val="auto"/>
                <w:sz w:val="28"/>
                <w:szCs w:val="28"/>
                <w:highlight w:val="none"/>
                <w:u w:val="none"/>
              </w:rPr>
            </w:pPr>
          </w:p>
        </w:tc>
      </w:tr>
      <w:tr w14:paraId="14F2D4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5" w:hRule="atLeast"/>
        </w:trPr>
        <w:tc>
          <w:tcPr>
            <w:tcW w:w="1080" w:type="dxa"/>
            <w:shd w:val="clear" w:color="auto" w:fill="auto"/>
            <w:vAlign w:val="center"/>
          </w:tcPr>
          <w:p w14:paraId="32B8CF9E">
            <w:pPr>
              <w:keepNext w:val="0"/>
              <w:keepLines w:val="0"/>
              <w:widowControl/>
              <w:suppressLineNumbers w:val="0"/>
              <w:jc w:val="center"/>
              <w:textAlignment w:val="center"/>
              <w:rPr>
                <w:rFonts w:ascii="仿宋_GB2312" w:hAnsi="宋体" w:eastAsia="仿宋_GB2312" w:cs="仿宋_GB2312"/>
                <w:i w:val="0"/>
                <w:iCs w:val="0"/>
                <w:color w:val="auto"/>
                <w:sz w:val="28"/>
                <w:szCs w:val="28"/>
                <w:highlight w:val="none"/>
                <w:u w:val="none"/>
              </w:rPr>
            </w:pPr>
            <w:r>
              <w:rPr>
                <w:rFonts w:hint="eastAsia" w:ascii="仿宋_GB2312" w:hAnsi="宋体" w:eastAsia="仿宋_GB2312" w:cs="仿宋_GB2312"/>
                <w:i w:val="0"/>
                <w:iCs w:val="0"/>
                <w:color w:val="auto"/>
                <w:kern w:val="0"/>
                <w:sz w:val="28"/>
                <w:szCs w:val="28"/>
                <w:highlight w:val="none"/>
                <w:u w:val="none"/>
                <w:lang w:val="en-US" w:eastAsia="zh-CN" w:bidi="ar"/>
              </w:rPr>
              <w:t>1</w:t>
            </w:r>
          </w:p>
        </w:tc>
        <w:tc>
          <w:tcPr>
            <w:tcW w:w="1395" w:type="dxa"/>
            <w:vMerge w:val="restart"/>
            <w:shd w:val="clear" w:color="auto" w:fill="auto"/>
            <w:vAlign w:val="center"/>
          </w:tcPr>
          <w:p w14:paraId="4F821CD6">
            <w:pPr>
              <w:keepNext w:val="0"/>
              <w:keepLines w:val="0"/>
              <w:widowControl/>
              <w:suppressLineNumbers w:val="0"/>
              <w:jc w:val="center"/>
              <w:textAlignment w:val="center"/>
              <w:rPr>
                <w:rFonts w:hint="eastAsia" w:ascii="仿宋_GB2312" w:hAnsi="宋体" w:eastAsia="仿宋_GB2312" w:cs="仿宋_GB2312"/>
                <w:i w:val="0"/>
                <w:iCs w:val="0"/>
                <w:color w:val="auto"/>
                <w:sz w:val="28"/>
                <w:szCs w:val="28"/>
                <w:highlight w:val="none"/>
                <w:u w:val="none"/>
              </w:rPr>
            </w:pPr>
            <w:r>
              <w:rPr>
                <w:rFonts w:hint="eastAsia" w:ascii="仿宋_GB2312" w:hAnsi="宋体" w:eastAsia="仿宋_GB2312" w:cs="仿宋_GB2312"/>
                <w:i w:val="0"/>
                <w:iCs w:val="0"/>
                <w:color w:val="auto"/>
                <w:kern w:val="0"/>
                <w:sz w:val="28"/>
                <w:szCs w:val="28"/>
                <w:highlight w:val="none"/>
                <w:u w:val="none"/>
                <w:lang w:val="en-US" w:eastAsia="zh-CN" w:bidi="ar"/>
              </w:rPr>
              <w:t>赛事支出（包括各类赛事组织、物料购置、现场搭建等）</w:t>
            </w:r>
          </w:p>
        </w:tc>
        <w:tc>
          <w:tcPr>
            <w:tcW w:w="2865" w:type="dxa"/>
            <w:shd w:val="clear" w:color="auto" w:fill="auto"/>
            <w:vAlign w:val="center"/>
          </w:tcPr>
          <w:p w14:paraId="7AE7C58D">
            <w:pPr>
              <w:keepNext w:val="0"/>
              <w:keepLines w:val="0"/>
              <w:widowControl/>
              <w:suppressLineNumbers w:val="0"/>
              <w:jc w:val="center"/>
              <w:textAlignment w:val="center"/>
              <w:rPr>
                <w:rFonts w:hint="eastAsia" w:ascii="仿宋_GB2312" w:hAnsi="宋体" w:eastAsia="仿宋_GB2312" w:cs="仿宋_GB2312"/>
                <w:i w:val="0"/>
                <w:iCs w:val="0"/>
                <w:color w:val="auto"/>
                <w:sz w:val="28"/>
                <w:szCs w:val="28"/>
                <w:highlight w:val="none"/>
                <w:u w:val="none"/>
              </w:rPr>
            </w:pPr>
            <w:r>
              <w:rPr>
                <w:rFonts w:hint="eastAsia" w:ascii="仿宋_GB2312" w:hAnsi="宋体" w:eastAsia="仿宋_GB2312" w:cs="仿宋_GB2312"/>
                <w:i w:val="0"/>
                <w:iCs w:val="0"/>
                <w:color w:val="auto"/>
                <w:kern w:val="0"/>
                <w:sz w:val="28"/>
                <w:szCs w:val="28"/>
                <w:highlight w:val="none"/>
                <w:u w:val="none"/>
                <w:lang w:val="en-US" w:eastAsia="zh-CN" w:bidi="ar"/>
              </w:rPr>
              <w:t>2026年自行车系列赛</w:t>
            </w:r>
          </w:p>
        </w:tc>
        <w:tc>
          <w:tcPr>
            <w:tcW w:w="1950" w:type="dxa"/>
            <w:shd w:val="clear" w:color="auto" w:fill="auto"/>
            <w:vAlign w:val="center"/>
          </w:tcPr>
          <w:p w14:paraId="323B9693">
            <w:pPr>
              <w:jc w:val="center"/>
              <w:rPr>
                <w:rFonts w:hint="eastAsia" w:ascii="仿宋_GB2312" w:hAnsi="宋体" w:eastAsia="仿宋_GB2312" w:cs="仿宋_GB2312"/>
                <w:i w:val="0"/>
                <w:iCs w:val="0"/>
                <w:color w:val="auto"/>
                <w:sz w:val="28"/>
                <w:szCs w:val="28"/>
                <w:highlight w:val="none"/>
                <w:u w:val="none"/>
              </w:rPr>
            </w:pPr>
          </w:p>
        </w:tc>
        <w:tc>
          <w:tcPr>
            <w:tcW w:w="1950" w:type="dxa"/>
            <w:shd w:val="clear" w:color="auto" w:fill="auto"/>
            <w:vAlign w:val="center"/>
          </w:tcPr>
          <w:p w14:paraId="4715AB62">
            <w:pPr>
              <w:jc w:val="center"/>
              <w:rPr>
                <w:rFonts w:hint="eastAsia" w:ascii="仿宋_GB2312" w:hAnsi="宋体" w:eastAsia="仿宋_GB2312" w:cs="仿宋_GB2312"/>
                <w:i w:val="0"/>
                <w:iCs w:val="0"/>
                <w:color w:val="auto"/>
                <w:sz w:val="28"/>
                <w:szCs w:val="28"/>
                <w:highlight w:val="none"/>
                <w:u w:val="none"/>
              </w:rPr>
            </w:pPr>
          </w:p>
        </w:tc>
      </w:tr>
      <w:tr w14:paraId="617C36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220" w:hRule="atLeast"/>
        </w:trPr>
        <w:tc>
          <w:tcPr>
            <w:tcW w:w="1080" w:type="dxa"/>
            <w:shd w:val="clear" w:color="auto" w:fill="auto"/>
            <w:vAlign w:val="center"/>
          </w:tcPr>
          <w:p w14:paraId="499A6CF7">
            <w:pPr>
              <w:keepNext w:val="0"/>
              <w:keepLines w:val="0"/>
              <w:widowControl/>
              <w:suppressLineNumbers w:val="0"/>
              <w:jc w:val="center"/>
              <w:textAlignment w:val="center"/>
              <w:rPr>
                <w:rFonts w:hint="eastAsia" w:ascii="仿宋_GB2312" w:hAnsi="宋体" w:eastAsia="仿宋_GB2312" w:cs="仿宋_GB2312"/>
                <w:i w:val="0"/>
                <w:iCs w:val="0"/>
                <w:color w:val="auto"/>
                <w:sz w:val="28"/>
                <w:szCs w:val="28"/>
                <w:highlight w:val="none"/>
                <w:u w:val="none"/>
              </w:rPr>
            </w:pPr>
            <w:r>
              <w:rPr>
                <w:rFonts w:hint="eastAsia" w:ascii="仿宋_GB2312" w:hAnsi="宋体" w:eastAsia="仿宋_GB2312" w:cs="仿宋_GB2312"/>
                <w:i w:val="0"/>
                <w:iCs w:val="0"/>
                <w:color w:val="auto"/>
                <w:kern w:val="0"/>
                <w:sz w:val="28"/>
                <w:szCs w:val="28"/>
                <w:highlight w:val="none"/>
                <w:u w:val="none"/>
                <w:lang w:val="en-US" w:eastAsia="zh-CN" w:bidi="ar"/>
              </w:rPr>
              <w:t>2</w:t>
            </w:r>
          </w:p>
        </w:tc>
        <w:tc>
          <w:tcPr>
            <w:tcW w:w="1395" w:type="dxa"/>
            <w:vMerge w:val="continue"/>
            <w:shd w:val="clear" w:color="auto" w:fill="auto"/>
            <w:vAlign w:val="center"/>
          </w:tcPr>
          <w:p w14:paraId="3251515F">
            <w:pPr>
              <w:jc w:val="center"/>
              <w:rPr>
                <w:rFonts w:hint="eastAsia" w:ascii="仿宋_GB2312" w:hAnsi="宋体" w:eastAsia="仿宋_GB2312" w:cs="仿宋_GB2312"/>
                <w:i w:val="0"/>
                <w:iCs w:val="0"/>
                <w:color w:val="auto"/>
                <w:sz w:val="28"/>
                <w:szCs w:val="28"/>
                <w:highlight w:val="none"/>
                <w:u w:val="none"/>
              </w:rPr>
            </w:pPr>
          </w:p>
        </w:tc>
        <w:tc>
          <w:tcPr>
            <w:tcW w:w="2865" w:type="dxa"/>
            <w:shd w:val="clear" w:color="auto" w:fill="auto"/>
            <w:vAlign w:val="center"/>
          </w:tcPr>
          <w:p w14:paraId="12BFF7C6">
            <w:pPr>
              <w:keepNext w:val="0"/>
              <w:keepLines w:val="0"/>
              <w:widowControl/>
              <w:suppressLineNumbers w:val="0"/>
              <w:jc w:val="center"/>
              <w:textAlignment w:val="center"/>
              <w:rPr>
                <w:rFonts w:hint="eastAsia" w:ascii="仿宋_GB2312" w:hAnsi="宋体" w:eastAsia="仿宋_GB2312" w:cs="仿宋_GB2312"/>
                <w:i w:val="0"/>
                <w:iCs w:val="0"/>
                <w:color w:val="auto"/>
                <w:sz w:val="28"/>
                <w:szCs w:val="28"/>
                <w:highlight w:val="none"/>
                <w:u w:val="none"/>
              </w:rPr>
            </w:pPr>
            <w:r>
              <w:rPr>
                <w:rFonts w:hint="eastAsia" w:ascii="仿宋_GB2312" w:hAnsi="宋体" w:eastAsia="仿宋_GB2312" w:cs="仿宋_GB2312"/>
                <w:i w:val="0"/>
                <w:iCs w:val="0"/>
                <w:color w:val="auto"/>
                <w:kern w:val="0"/>
                <w:sz w:val="28"/>
                <w:szCs w:val="28"/>
                <w:highlight w:val="none"/>
                <w:u w:val="none"/>
                <w:lang w:val="en-US" w:eastAsia="zh-CN" w:bidi="ar"/>
              </w:rPr>
              <w:t>2026江苏省龙舟俱乐部邀请赛</w:t>
            </w:r>
          </w:p>
        </w:tc>
        <w:tc>
          <w:tcPr>
            <w:tcW w:w="1950" w:type="dxa"/>
            <w:shd w:val="clear" w:color="auto" w:fill="auto"/>
            <w:vAlign w:val="center"/>
          </w:tcPr>
          <w:p w14:paraId="5A995648">
            <w:pPr>
              <w:jc w:val="center"/>
              <w:rPr>
                <w:rFonts w:hint="eastAsia" w:ascii="仿宋_GB2312" w:hAnsi="宋体" w:eastAsia="仿宋_GB2312" w:cs="仿宋_GB2312"/>
                <w:i w:val="0"/>
                <w:iCs w:val="0"/>
                <w:color w:val="auto"/>
                <w:sz w:val="28"/>
                <w:szCs w:val="28"/>
                <w:highlight w:val="none"/>
                <w:u w:val="none"/>
              </w:rPr>
            </w:pPr>
          </w:p>
        </w:tc>
        <w:tc>
          <w:tcPr>
            <w:tcW w:w="1950" w:type="dxa"/>
            <w:shd w:val="clear" w:color="auto" w:fill="auto"/>
            <w:vAlign w:val="center"/>
          </w:tcPr>
          <w:p w14:paraId="33671FB4">
            <w:pPr>
              <w:jc w:val="center"/>
              <w:rPr>
                <w:rFonts w:hint="eastAsia" w:ascii="仿宋_GB2312" w:hAnsi="宋体" w:eastAsia="仿宋_GB2312" w:cs="仿宋_GB2312"/>
                <w:i w:val="0"/>
                <w:iCs w:val="0"/>
                <w:color w:val="auto"/>
                <w:sz w:val="28"/>
                <w:szCs w:val="28"/>
                <w:highlight w:val="none"/>
                <w:u w:val="none"/>
              </w:rPr>
            </w:pPr>
          </w:p>
        </w:tc>
      </w:tr>
      <w:tr w14:paraId="3F7360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trPr>
        <w:tc>
          <w:tcPr>
            <w:tcW w:w="1080" w:type="dxa"/>
            <w:shd w:val="clear" w:color="auto" w:fill="auto"/>
            <w:vAlign w:val="center"/>
          </w:tcPr>
          <w:p w14:paraId="23E1CF32">
            <w:pPr>
              <w:keepNext w:val="0"/>
              <w:keepLines w:val="0"/>
              <w:widowControl/>
              <w:suppressLineNumbers w:val="0"/>
              <w:jc w:val="center"/>
              <w:textAlignment w:val="center"/>
              <w:rPr>
                <w:rFonts w:hint="eastAsia" w:ascii="仿宋_GB2312" w:hAnsi="宋体" w:eastAsia="仿宋_GB2312" w:cs="仿宋_GB2312"/>
                <w:i w:val="0"/>
                <w:iCs w:val="0"/>
                <w:color w:val="auto"/>
                <w:sz w:val="28"/>
                <w:szCs w:val="28"/>
                <w:highlight w:val="none"/>
                <w:u w:val="none"/>
              </w:rPr>
            </w:pPr>
            <w:r>
              <w:rPr>
                <w:rFonts w:hint="eastAsia" w:ascii="仿宋_GB2312" w:hAnsi="宋体" w:eastAsia="仿宋_GB2312" w:cs="仿宋_GB2312"/>
                <w:i w:val="0"/>
                <w:iCs w:val="0"/>
                <w:color w:val="auto"/>
                <w:kern w:val="0"/>
                <w:sz w:val="28"/>
                <w:szCs w:val="28"/>
                <w:highlight w:val="none"/>
                <w:u w:val="none"/>
                <w:lang w:val="en-US" w:eastAsia="zh-CN" w:bidi="ar"/>
              </w:rPr>
              <w:t>3</w:t>
            </w:r>
          </w:p>
        </w:tc>
        <w:tc>
          <w:tcPr>
            <w:tcW w:w="1395" w:type="dxa"/>
            <w:vMerge w:val="continue"/>
            <w:shd w:val="clear" w:color="auto" w:fill="auto"/>
            <w:vAlign w:val="center"/>
          </w:tcPr>
          <w:p w14:paraId="7A78B8F2">
            <w:pPr>
              <w:jc w:val="center"/>
              <w:rPr>
                <w:rFonts w:hint="eastAsia" w:ascii="仿宋_GB2312" w:hAnsi="宋体" w:eastAsia="仿宋_GB2312" w:cs="仿宋_GB2312"/>
                <w:i w:val="0"/>
                <w:iCs w:val="0"/>
                <w:color w:val="auto"/>
                <w:sz w:val="28"/>
                <w:szCs w:val="28"/>
                <w:highlight w:val="none"/>
                <w:u w:val="none"/>
              </w:rPr>
            </w:pPr>
          </w:p>
        </w:tc>
        <w:tc>
          <w:tcPr>
            <w:tcW w:w="2865" w:type="dxa"/>
            <w:shd w:val="clear" w:color="auto" w:fill="auto"/>
            <w:vAlign w:val="center"/>
          </w:tcPr>
          <w:p w14:paraId="51F825FA">
            <w:pPr>
              <w:keepNext w:val="0"/>
              <w:keepLines w:val="0"/>
              <w:widowControl/>
              <w:suppressLineNumbers w:val="0"/>
              <w:jc w:val="center"/>
              <w:textAlignment w:val="center"/>
              <w:rPr>
                <w:rFonts w:hint="eastAsia" w:ascii="仿宋_GB2312" w:hAnsi="宋体" w:eastAsia="仿宋_GB2312" w:cs="仿宋_GB2312"/>
                <w:i w:val="0"/>
                <w:iCs w:val="0"/>
                <w:color w:val="auto"/>
                <w:sz w:val="28"/>
                <w:szCs w:val="28"/>
                <w:highlight w:val="none"/>
                <w:u w:val="none"/>
              </w:rPr>
            </w:pPr>
            <w:r>
              <w:rPr>
                <w:rFonts w:hint="eastAsia" w:ascii="仿宋_GB2312" w:hAnsi="宋体" w:eastAsia="仿宋_GB2312" w:cs="仿宋_GB2312"/>
                <w:i w:val="0"/>
                <w:iCs w:val="0"/>
                <w:color w:val="auto"/>
                <w:kern w:val="0"/>
                <w:sz w:val="28"/>
                <w:szCs w:val="28"/>
                <w:highlight w:val="none"/>
                <w:u w:val="none"/>
                <w:lang w:val="en-US" w:eastAsia="zh-CN" w:bidi="ar"/>
              </w:rPr>
              <w:t>小洋口体旅市集</w:t>
            </w:r>
          </w:p>
        </w:tc>
        <w:tc>
          <w:tcPr>
            <w:tcW w:w="1950" w:type="dxa"/>
            <w:shd w:val="clear" w:color="auto" w:fill="auto"/>
            <w:vAlign w:val="center"/>
          </w:tcPr>
          <w:p w14:paraId="454D450F">
            <w:pPr>
              <w:jc w:val="center"/>
              <w:rPr>
                <w:rFonts w:hint="eastAsia" w:ascii="仿宋_GB2312" w:hAnsi="宋体" w:eastAsia="仿宋_GB2312" w:cs="仿宋_GB2312"/>
                <w:i w:val="0"/>
                <w:iCs w:val="0"/>
                <w:color w:val="auto"/>
                <w:sz w:val="28"/>
                <w:szCs w:val="28"/>
                <w:highlight w:val="none"/>
                <w:u w:val="none"/>
              </w:rPr>
            </w:pPr>
          </w:p>
        </w:tc>
        <w:tc>
          <w:tcPr>
            <w:tcW w:w="1950" w:type="dxa"/>
            <w:shd w:val="clear" w:color="auto" w:fill="auto"/>
            <w:vAlign w:val="center"/>
          </w:tcPr>
          <w:p w14:paraId="4ACB35DD">
            <w:pPr>
              <w:jc w:val="center"/>
              <w:rPr>
                <w:rFonts w:hint="eastAsia" w:ascii="仿宋_GB2312" w:hAnsi="宋体" w:eastAsia="仿宋_GB2312" w:cs="仿宋_GB2312"/>
                <w:i w:val="0"/>
                <w:iCs w:val="0"/>
                <w:color w:val="auto"/>
                <w:sz w:val="28"/>
                <w:szCs w:val="28"/>
                <w:highlight w:val="none"/>
                <w:u w:val="none"/>
              </w:rPr>
            </w:pPr>
          </w:p>
        </w:tc>
      </w:tr>
      <w:tr w14:paraId="502807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trPr>
        <w:tc>
          <w:tcPr>
            <w:tcW w:w="1080" w:type="dxa"/>
            <w:shd w:val="clear" w:color="auto" w:fill="auto"/>
            <w:vAlign w:val="center"/>
          </w:tcPr>
          <w:p w14:paraId="6D17DDA1">
            <w:pPr>
              <w:keepNext w:val="0"/>
              <w:keepLines w:val="0"/>
              <w:widowControl/>
              <w:suppressLineNumbers w:val="0"/>
              <w:jc w:val="center"/>
              <w:textAlignment w:val="center"/>
              <w:rPr>
                <w:rFonts w:hint="eastAsia" w:ascii="仿宋_GB2312" w:hAnsi="宋体" w:eastAsia="仿宋_GB2312" w:cs="仿宋_GB2312"/>
                <w:i w:val="0"/>
                <w:iCs w:val="0"/>
                <w:color w:val="auto"/>
                <w:sz w:val="28"/>
                <w:szCs w:val="28"/>
                <w:highlight w:val="none"/>
                <w:u w:val="none"/>
              </w:rPr>
            </w:pPr>
            <w:r>
              <w:rPr>
                <w:rFonts w:hint="eastAsia" w:ascii="仿宋_GB2312" w:hAnsi="宋体" w:eastAsia="仿宋_GB2312" w:cs="仿宋_GB2312"/>
                <w:i w:val="0"/>
                <w:iCs w:val="0"/>
                <w:color w:val="auto"/>
                <w:kern w:val="0"/>
                <w:sz w:val="28"/>
                <w:szCs w:val="28"/>
                <w:highlight w:val="none"/>
                <w:u w:val="none"/>
                <w:lang w:val="en-US" w:eastAsia="zh-CN" w:bidi="ar"/>
              </w:rPr>
              <w:t>4</w:t>
            </w:r>
          </w:p>
        </w:tc>
        <w:tc>
          <w:tcPr>
            <w:tcW w:w="1395" w:type="dxa"/>
            <w:vMerge w:val="continue"/>
            <w:shd w:val="clear" w:color="auto" w:fill="auto"/>
            <w:vAlign w:val="center"/>
          </w:tcPr>
          <w:p w14:paraId="71140810">
            <w:pPr>
              <w:jc w:val="center"/>
              <w:rPr>
                <w:rFonts w:hint="eastAsia" w:ascii="仿宋_GB2312" w:hAnsi="宋体" w:eastAsia="仿宋_GB2312" w:cs="仿宋_GB2312"/>
                <w:i w:val="0"/>
                <w:iCs w:val="0"/>
                <w:color w:val="auto"/>
                <w:sz w:val="28"/>
                <w:szCs w:val="28"/>
                <w:highlight w:val="none"/>
                <w:u w:val="none"/>
              </w:rPr>
            </w:pPr>
          </w:p>
        </w:tc>
        <w:tc>
          <w:tcPr>
            <w:tcW w:w="2865" w:type="dxa"/>
            <w:shd w:val="clear" w:color="auto" w:fill="auto"/>
            <w:vAlign w:val="center"/>
          </w:tcPr>
          <w:p w14:paraId="28F6E9C1">
            <w:pPr>
              <w:keepNext w:val="0"/>
              <w:keepLines w:val="0"/>
              <w:widowControl/>
              <w:suppressLineNumbers w:val="0"/>
              <w:jc w:val="center"/>
              <w:textAlignment w:val="center"/>
              <w:rPr>
                <w:rFonts w:hint="eastAsia" w:ascii="仿宋_GB2312" w:hAnsi="宋体" w:eastAsia="仿宋_GB2312" w:cs="仿宋_GB2312"/>
                <w:i w:val="0"/>
                <w:iCs w:val="0"/>
                <w:color w:val="auto"/>
                <w:sz w:val="28"/>
                <w:szCs w:val="28"/>
                <w:highlight w:val="none"/>
                <w:u w:val="none"/>
              </w:rPr>
            </w:pPr>
            <w:r>
              <w:rPr>
                <w:rFonts w:hint="eastAsia" w:ascii="仿宋_GB2312" w:hAnsi="宋体" w:eastAsia="仿宋_GB2312" w:cs="仿宋_GB2312"/>
                <w:i w:val="0"/>
                <w:iCs w:val="0"/>
                <w:color w:val="auto"/>
                <w:kern w:val="0"/>
                <w:sz w:val="28"/>
                <w:szCs w:val="28"/>
                <w:highlight w:val="none"/>
                <w:u w:val="none"/>
                <w:lang w:val="en-US" w:eastAsia="zh-CN" w:bidi="ar"/>
              </w:rPr>
              <w:t>跳绳比赛</w:t>
            </w:r>
          </w:p>
        </w:tc>
        <w:tc>
          <w:tcPr>
            <w:tcW w:w="1950" w:type="dxa"/>
            <w:shd w:val="clear" w:color="auto" w:fill="auto"/>
            <w:vAlign w:val="center"/>
          </w:tcPr>
          <w:p w14:paraId="3F30E4BB">
            <w:pPr>
              <w:jc w:val="center"/>
              <w:rPr>
                <w:rFonts w:hint="eastAsia" w:ascii="仿宋_GB2312" w:hAnsi="宋体" w:eastAsia="仿宋_GB2312" w:cs="仿宋_GB2312"/>
                <w:i w:val="0"/>
                <w:iCs w:val="0"/>
                <w:color w:val="auto"/>
                <w:sz w:val="28"/>
                <w:szCs w:val="28"/>
                <w:highlight w:val="none"/>
                <w:u w:val="none"/>
              </w:rPr>
            </w:pPr>
          </w:p>
        </w:tc>
        <w:tc>
          <w:tcPr>
            <w:tcW w:w="1950" w:type="dxa"/>
            <w:shd w:val="clear" w:color="auto" w:fill="auto"/>
            <w:vAlign w:val="center"/>
          </w:tcPr>
          <w:p w14:paraId="5C78B1CA">
            <w:pPr>
              <w:jc w:val="center"/>
              <w:rPr>
                <w:rFonts w:hint="eastAsia" w:ascii="仿宋_GB2312" w:hAnsi="宋体" w:eastAsia="仿宋_GB2312" w:cs="仿宋_GB2312"/>
                <w:i w:val="0"/>
                <w:iCs w:val="0"/>
                <w:color w:val="auto"/>
                <w:sz w:val="28"/>
                <w:szCs w:val="28"/>
                <w:highlight w:val="none"/>
                <w:u w:val="none"/>
              </w:rPr>
            </w:pPr>
          </w:p>
        </w:tc>
      </w:tr>
      <w:tr w14:paraId="5AB6F5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0" w:hRule="atLeast"/>
        </w:trPr>
        <w:tc>
          <w:tcPr>
            <w:tcW w:w="1080" w:type="dxa"/>
            <w:shd w:val="clear" w:color="auto" w:fill="auto"/>
            <w:vAlign w:val="center"/>
          </w:tcPr>
          <w:p w14:paraId="38303508">
            <w:pPr>
              <w:keepNext w:val="0"/>
              <w:keepLines w:val="0"/>
              <w:widowControl/>
              <w:suppressLineNumbers w:val="0"/>
              <w:jc w:val="center"/>
              <w:textAlignment w:val="center"/>
              <w:rPr>
                <w:rFonts w:hint="eastAsia" w:ascii="仿宋_GB2312" w:hAnsi="宋体" w:eastAsia="仿宋_GB2312" w:cs="仿宋_GB2312"/>
                <w:i w:val="0"/>
                <w:iCs w:val="0"/>
                <w:color w:val="auto"/>
                <w:sz w:val="28"/>
                <w:szCs w:val="28"/>
                <w:highlight w:val="none"/>
                <w:u w:val="none"/>
              </w:rPr>
            </w:pPr>
            <w:r>
              <w:rPr>
                <w:rFonts w:hint="eastAsia" w:ascii="仿宋_GB2312" w:hAnsi="宋体" w:eastAsia="仿宋_GB2312" w:cs="仿宋_GB2312"/>
                <w:i w:val="0"/>
                <w:iCs w:val="0"/>
                <w:color w:val="auto"/>
                <w:kern w:val="0"/>
                <w:sz w:val="28"/>
                <w:szCs w:val="28"/>
                <w:highlight w:val="none"/>
                <w:u w:val="none"/>
                <w:lang w:val="en-US" w:eastAsia="zh-CN" w:bidi="ar"/>
              </w:rPr>
              <w:t>5</w:t>
            </w:r>
          </w:p>
        </w:tc>
        <w:tc>
          <w:tcPr>
            <w:tcW w:w="1395" w:type="dxa"/>
            <w:vMerge w:val="continue"/>
            <w:shd w:val="clear" w:color="auto" w:fill="auto"/>
            <w:vAlign w:val="center"/>
          </w:tcPr>
          <w:p w14:paraId="536A8BF6">
            <w:pPr>
              <w:jc w:val="center"/>
              <w:rPr>
                <w:rFonts w:hint="eastAsia" w:ascii="仿宋_GB2312" w:hAnsi="宋体" w:eastAsia="仿宋_GB2312" w:cs="仿宋_GB2312"/>
                <w:i w:val="0"/>
                <w:iCs w:val="0"/>
                <w:color w:val="auto"/>
                <w:sz w:val="28"/>
                <w:szCs w:val="28"/>
                <w:highlight w:val="none"/>
                <w:u w:val="none"/>
              </w:rPr>
            </w:pPr>
          </w:p>
        </w:tc>
        <w:tc>
          <w:tcPr>
            <w:tcW w:w="2865" w:type="dxa"/>
            <w:shd w:val="clear" w:color="auto" w:fill="auto"/>
            <w:vAlign w:val="center"/>
          </w:tcPr>
          <w:p w14:paraId="4672D190">
            <w:pPr>
              <w:keepNext w:val="0"/>
              <w:keepLines w:val="0"/>
              <w:widowControl/>
              <w:suppressLineNumbers w:val="0"/>
              <w:jc w:val="center"/>
              <w:textAlignment w:val="center"/>
              <w:rPr>
                <w:rFonts w:hint="eastAsia" w:ascii="仿宋_GB2312" w:hAnsi="宋体" w:eastAsia="仿宋_GB2312" w:cs="仿宋_GB2312"/>
                <w:i w:val="0"/>
                <w:iCs w:val="0"/>
                <w:color w:val="auto"/>
                <w:sz w:val="28"/>
                <w:szCs w:val="28"/>
                <w:highlight w:val="none"/>
                <w:u w:val="none"/>
              </w:rPr>
            </w:pPr>
            <w:r>
              <w:rPr>
                <w:rFonts w:hint="eastAsia" w:ascii="仿宋_GB2312" w:hAnsi="宋体" w:eastAsia="仿宋_GB2312" w:cs="仿宋_GB2312"/>
                <w:i w:val="0"/>
                <w:iCs w:val="0"/>
                <w:color w:val="auto"/>
                <w:kern w:val="0"/>
                <w:sz w:val="28"/>
                <w:szCs w:val="28"/>
                <w:highlight w:val="none"/>
                <w:u w:val="none"/>
                <w:lang w:val="en-US" w:eastAsia="zh-CN" w:bidi="ar"/>
              </w:rPr>
              <w:t>板鹞风筝放飞展演</w:t>
            </w:r>
          </w:p>
        </w:tc>
        <w:tc>
          <w:tcPr>
            <w:tcW w:w="1950" w:type="dxa"/>
            <w:shd w:val="clear" w:color="auto" w:fill="auto"/>
            <w:vAlign w:val="center"/>
          </w:tcPr>
          <w:p w14:paraId="068B9369">
            <w:pPr>
              <w:jc w:val="center"/>
              <w:rPr>
                <w:rFonts w:hint="eastAsia" w:ascii="仿宋_GB2312" w:hAnsi="宋体" w:eastAsia="仿宋_GB2312" w:cs="仿宋_GB2312"/>
                <w:i w:val="0"/>
                <w:iCs w:val="0"/>
                <w:color w:val="auto"/>
                <w:sz w:val="28"/>
                <w:szCs w:val="28"/>
                <w:highlight w:val="none"/>
                <w:u w:val="none"/>
              </w:rPr>
            </w:pPr>
          </w:p>
        </w:tc>
        <w:tc>
          <w:tcPr>
            <w:tcW w:w="1950" w:type="dxa"/>
            <w:shd w:val="clear" w:color="auto" w:fill="auto"/>
            <w:vAlign w:val="center"/>
          </w:tcPr>
          <w:p w14:paraId="10C1299F">
            <w:pPr>
              <w:jc w:val="center"/>
              <w:rPr>
                <w:rFonts w:hint="eastAsia" w:ascii="仿宋_GB2312" w:hAnsi="宋体" w:eastAsia="仿宋_GB2312" w:cs="仿宋_GB2312"/>
                <w:i w:val="0"/>
                <w:iCs w:val="0"/>
                <w:color w:val="auto"/>
                <w:sz w:val="28"/>
                <w:szCs w:val="28"/>
                <w:highlight w:val="none"/>
                <w:u w:val="none"/>
              </w:rPr>
            </w:pPr>
          </w:p>
        </w:tc>
      </w:tr>
      <w:tr w14:paraId="2BD56A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0" w:hRule="atLeast"/>
        </w:trPr>
        <w:tc>
          <w:tcPr>
            <w:tcW w:w="1080" w:type="dxa"/>
            <w:shd w:val="clear" w:color="auto" w:fill="auto"/>
            <w:vAlign w:val="center"/>
          </w:tcPr>
          <w:p w14:paraId="5A8AD001">
            <w:pPr>
              <w:keepNext w:val="0"/>
              <w:keepLines w:val="0"/>
              <w:widowControl/>
              <w:suppressLineNumbers w:val="0"/>
              <w:jc w:val="center"/>
              <w:textAlignment w:val="center"/>
              <w:rPr>
                <w:rFonts w:hint="eastAsia" w:ascii="仿宋_GB2312" w:hAnsi="宋体" w:eastAsia="仿宋_GB2312" w:cs="仿宋_GB2312"/>
                <w:i w:val="0"/>
                <w:iCs w:val="0"/>
                <w:color w:val="auto"/>
                <w:sz w:val="28"/>
                <w:szCs w:val="28"/>
                <w:highlight w:val="none"/>
                <w:u w:val="none"/>
              </w:rPr>
            </w:pPr>
            <w:r>
              <w:rPr>
                <w:rFonts w:hint="eastAsia" w:ascii="仿宋_GB2312" w:hAnsi="宋体" w:eastAsia="仿宋_GB2312" w:cs="仿宋_GB2312"/>
                <w:i w:val="0"/>
                <w:iCs w:val="0"/>
                <w:color w:val="auto"/>
                <w:kern w:val="0"/>
                <w:sz w:val="28"/>
                <w:szCs w:val="28"/>
                <w:highlight w:val="none"/>
                <w:u w:val="none"/>
                <w:lang w:val="en-US" w:eastAsia="zh-CN" w:bidi="ar"/>
              </w:rPr>
              <w:t>6</w:t>
            </w:r>
          </w:p>
        </w:tc>
        <w:tc>
          <w:tcPr>
            <w:tcW w:w="1395" w:type="dxa"/>
            <w:vMerge w:val="continue"/>
            <w:shd w:val="clear" w:color="auto" w:fill="auto"/>
            <w:vAlign w:val="center"/>
          </w:tcPr>
          <w:p w14:paraId="1BC4DCCA">
            <w:pPr>
              <w:jc w:val="center"/>
              <w:rPr>
                <w:rFonts w:hint="eastAsia" w:ascii="仿宋_GB2312" w:hAnsi="宋体" w:eastAsia="仿宋_GB2312" w:cs="仿宋_GB2312"/>
                <w:i w:val="0"/>
                <w:iCs w:val="0"/>
                <w:color w:val="auto"/>
                <w:sz w:val="28"/>
                <w:szCs w:val="28"/>
                <w:highlight w:val="none"/>
                <w:u w:val="none"/>
              </w:rPr>
            </w:pPr>
          </w:p>
        </w:tc>
        <w:tc>
          <w:tcPr>
            <w:tcW w:w="2865" w:type="dxa"/>
            <w:shd w:val="clear" w:color="auto" w:fill="auto"/>
            <w:vAlign w:val="center"/>
          </w:tcPr>
          <w:p w14:paraId="30A1B459">
            <w:pPr>
              <w:keepNext w:val="0"/>
              <w:keepLines w:val="0"/>
              <w:widowControl/>
              <w:suppressLineNumbers w:val="0"/>
              <w:jc w:val="center"/>
              <w:textAlignment w:val="center"/>
              <w:rPr>
                <w:rFonts w:hint="eastAsia" w:ascii="仿宋_GB2312" w:hAnsi="宋体" w:eastAsia="仿宋_GB2312" w:cs="仿宋_GB2312"/>
                <w:i w:val="0"/>
                <w:iCs w:val="0"/>
                <w:color w:val="auto"/>
                <w:sz w:val="28"/>
                <w:szCs w:val="28"/>
                <w:highlight w:val="none"/>
                <w:u w:val="none"/>
              </w:rPr>
            </w:pPr>
            <w:r>
              <w:rPr>
                <w:rFonts w:hint="eastAsia" w:ascii="仿宋_GB2312" w:hAnsi="宋体" w:eastAsia="仿宋_GB2312" w:cs="仿宋_GB2312"/>
                <w:i w:val="0"/>
                <w:iCs w:val="0"/>
                <w:color w:val="auto"/>
                <w:kern w:val="0"/>
                <w:sz w:val="28"/>
                <w:szCs w:val="28"/>
                <w:highlight w:val="none"/>
                <w:u w:val="none"/>
                <w:lang w:val="en-US" w:eastAsia="zh-CN" w:bidi="ar"/>
              </w:rPr>
              <w:t>小洋口垂钓比赛</w:t>
            </w:r>
          </w:p>
        </w:tc>
        <w:tc>
          <w:tcPr>
            <w:tcW w:w="1950" w:type="dxa"/>
            <w:shd w:val="clear" w:color="auto" w:fill="auto"/>
            <w:vAlign w:val="center"/>
          </w:tcPr>
          <w:p w14:paraId="07E4A197">
            <w:pPr>
              <w:jc w:val="center"/>
              <w:rPr>
                <w:rFonts w:hint="eastAsia" w:ascii="仿宋_GB2312" w:hAnsi="宋体" w:eastAsia="仿宋_GB2312" w:cs="仿宋_GB2312"/>
                <w:i w:val="0"/>
                <w:iCs w:val="0"/>
                <w:color w:val="auto"/>
                <w:sz w:val="28"/>
                <w:szCs w:val="28"/>
                <w:highlight w:val="none"/>
                <w:u w:val="none"/>
              </w:rPr>
            </w:pPr>
          </w:p>
        </w:tc>
        <w:tc>
          <w:tcPr>
            <w:tcW w:w="1950" w:type="dxa"/>
            <w:shd w:val="clear" w:color="auto" w:fill="auto"/>
            <w:vAlign w:val="center"/>
          </w:tcPr>
          <w:p w14:paraId="69AD4BD4">
            <w:pPr>
              <w:jc w:val="center"/>
              <w:rPr>
                <w:rFonts w:hint="eastAsia" w:ascii="仿宋_GB2312" w:hAnsi="宋体" w:eastAsia="仿宋_GB2312" w:cs="仿宋_GB2312"/>
                <w:i w:val="0"/>
                <w:iCs w:val="0"/>
                <w:color w:val="auto"/>
                <w:sz w:val="28"/>
                <w:szCs w:val="28"/>
                <w:highlight w:val="none"/>
                <w:u w:val="none"/>
              </w:rPr>
            </w:pPr>
          </w:p>
        </w:tc>
      </w:tr>
      <w:tr w14:paraId="442595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trPr>
        <w:tc>
          <w:tcPr>
            <w:tcW w:w="1080" w:type="dxa"/>
            <w:shd w:val="clear" w:color="auto" w:fill="auto"/>
            <w:vAlign w:val="center"/>
          </w:tcPr>
          <w:p w14:paraId="4DE7A1C4">
            <w:pPr>
              <w:keepNext w:val="0"/>
              <w:keepLines w:val="0"/>
              <w:widowControl/>
              <w:suppressLineNumbers w:val="0"/>
              <w:jc w:val="center"/>
              <w:textAlignment w:val="center"/>
              <w:rPr>
                <w:rFonts w:hint="eastAsia" w:ascii="仿宋_GB2312" w:hAnsi="宋体" w:eastAsia="仿宋_GB2312" w:cs="仿宋_GB2312"/>
                <w:i w:val="0"/>
                <w:iCs w:val="0"/>
                <w:color w:val="auto"/>
                <w:sz w:val="28"/>
                <w:szCs w:val="28"/>
                <w:highlight w:val="none"/>
                <w:u w:val="none"/>
              </w:rPr>
            </w:pPr>
            <w:r>
              <w:rPr>
                <w:rFonts w:hint="eastAsia" w:ascii="仿宋_GB2312" w:hAnsi="宋体" w:eastAsia="仿宋_GB2312" w:cs="仿宋_GB2312"/>
                <w:i w:val="0"/>
                <w:iCs w:val="0"/>
                <w:color w:val="auto"/>
                <w:kern w:val="0"/>
                <w:sz w:val="28"/>
                <w:szCs w:val="28"/>
                <w:highlight w:val="none"/>
                <w:u w:val="none"/>
                <w:lang w:val="en-US" w:eastAsia="zh-CN" w:bidi="ar"/>
              </w:rPr>
              <w:t>7</w:t>
            </w:r>
          </w:p>
        </w:tc>
        <w:tc>
          <w:tcPr>
            <w:tcW w:w="1395" w:type="dxa"/>
            <w:vMerge w:val="continue"/>
            <w:shd w:val="clear" w:color="auto" w:fill="auto"/>
            <w:vAlign w:val="center"/>
          </w:tcPr>
          <w:p w14:paraId="6F0E7E0C">
            <w:pPr>
              <w:jc w:val="center"/>
              <w:rPr>
                <w:rFonts w:hint="eastAsia" w:ascii="仿宋_GB2312" w:hAnsi="宋体" w:eastAsia="仿宋_GB2312" w:cs="仿宋_GB2312"/>
                <w:i w:val="0"/>
                <w:iCs w:val="0"/>
                <w:color w:val="auto"/>
                <w:sz w:val="28"/>
                <w:szCs w:val="28"/>
                <w:highlight w:val="none"/>
                <w:u w:val="none"/>
              </w:rPr>
            </w:pPr>
          </w:p>
        </w:tc>
        <w:tc>
          <w:tcPr>
            <w:tcW w:w="2865" w:type="dxa"/>
            <w:shd w:val="clear" w:color="auto" w:fill="auto"/>
            <w:vAlign w:val="center"/>
          </w:tcPr>
          <w:p w14:paraId="5838FC8A">
            <w:pPr>
              <w:keepNext w:val="0"/>
              <w:keepLines w:val="0"/>
              <w:widowControl/>
              <w:suppressLineNumbers w:val="0"/>
              <w:jc w:val="center"/>
              <w:textAlignment w:val="center"/>
              <w:rPr>
                <w:rFonts w:hint="eastAsia" w:ascii="仿宋_GB2312" w:hAnsi="宋体" w:eastAsia="仿宋_GB2312" w:cs="仿宋_GB2312"/>
                <w:i w:val="0"/>
                <w:iCs w:val="0"/>
                <w:color w:val="auto"/>
                <w:sz w:val="28"/>
                <w:szCs w:val="28"/>
                <w:highlight w:val="none"/>
                <w:u w:val="none"/>
              </w:rPr>
            </w:pPr>
            <w:r>
              <w:rPr>
                <w:rFonts w:hint="eastAsia" w:ascii="仿宋_GB2312" w:hAnsi="宋体" w:eastAsia="仿宋_GB2312" w:cs="仿宋_GB2312"/>
                <w:i w:val="0"/>
                <w:iCs w:val="0"/>
                <w:color w:val="auto"/>
                <w:kern w:val="0"/>
                <w:sz w:val="28"/>
                <w:szCs w:val="28"/>
                <w:highlight w:val="none"/>
                <w:u w:val="none"/>
                <w:lang w:val="en-US" w:eastAsia="zh-CN" w:bidi="ar"/>
              </w:rPr>
              <w:t>苏超第二现场·户外烧烤音乐夜</w:t>
            </w:r>
          </w:p>
        </w:tc>
        <w:tc>
          <w:tcPr>
            <w:tcW w:w="1950" w:type="dxa"/>
            <w:shd w:val="clear" w:color="auto" w:fill="auto"/>
            <w:vAlign w:val="center"/>
          </w:tcPr>
          <w:p w14:paraId="4473867B">
            <w:pPr>
              <w:jc w:val="center"/>
              <w:rPr>
                <w:rFonts w:hint="eastAsia" w:ascii="仿宋_GB2312" w:hAnsi="宋体" w:eastAsia="仿宋_GB2312" w:cs="仿宋_GB2312"/>
                <w:i w:val="0"/>
                <w:iCs w:val="0"/>
                <w:color w:val="auto"/>
                <w:sz w:val="28"/>
                <w:szCs w:val="28"/>
                <w:highlight w:val="none"/>
                <w:u w:val="none"/>
              </w:rPr>
            </w:pPr>
          </w:p>
        </w:tc>
        <w:tc>
          <w:tcPr>
            <w:tcW w:w="1950" w:type="dxa"/>
            <w:shd w:val="clear" w:color="auto" w:fill="auto"/>
            <w:vAlign w:val="center"/>
          </w:tcPr>
          <w:p w14:paraId="3C36CD06">
            <w:pPr>
              <w:jc w:val="center"/>
              <w:rPr>
                <w:rFonts w:hint="eastAsia" w:ascii="仿宋_GB2312" w:hAnsi="宋体" w:eastAsia="仿宋_GB2312" w:cs="仿宋_GB2312"/>
                <w:i w:val="0"/>
                <w:iCs w:val="0"/>
                <w:color w:val="auto"/>
                <w:sz w:val="28"/>
                <w:szCs w:val="28"/>
                <w:highlight w:val="none"/>
                <w:u w:val="none"/>
              </w:rPr>
            </w:pPr>
          </w:p>
        </w:tc>
      </w:tr>
      <w:tr w14:paraId="5DE557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0" w:hRule="atLeast"/>
        </w:trPr>
        <w:tc>
          <w:tcPr>
            <w:tcW w:w="1080" w:type="dxa"/>
            <w:shd w:val="clear" w:color="auto" w:fill="auto"/>
            <w:vAlign w:val="center"/>
          </w:tcPr>
          <w:p w14:paraId="3F415430">
            <w:pPr>
              <w:keepNext w:val="0"/>
              <w:keepLines w:val="0"/>
              <w:widowControl/>
              <w:suppressLineNumbers w:val="0"/>
              <w:jc w:val="center"/>
              <w:textAlignment w:val="center"/>
              <w:rPr>
                <w:rFonts w:hint="eastAsia" w:ascii="仿宋_GB2312" w:hAnsi="宋体" w:eastAsia="仿宋_GB2312" w:cs="仿宋_GB2312"/>
                <w:i w:val="0"/>
                <w:iCs w:val="0"/>
                <w:color w:val="auto"/>
                <w:sz w:val="28"/>
                <w:szCs w:val="28"/>
                <w:highlight w:val="none"/>
                <w:u w:val="none"/>
              </w:rPr>
            </w:pPr>
            <w:r>
              <w:rPr>
                <w:rFonts w:hint="eastAsia" w:ascii="仿宋_GB2312" w:hAnsi="宋体" w:eastAsia="仿宋_GB2312" w:cs="仿宋_GB2312"/>
                <w:i w:val="0"/>
                <w:iCs w:val="0"/>
                <w:color w:val="auto"/>
                <w:kern w:val="0"/>
                <w:sz w:val="28"/>
                <w:szCs w:val="28"/>
                <w:highlight w:val="none"/>
                <w:u w:val="none"/>
                <w:lang w:val="en-US" w:eastAsia="zh-CN" w:bidi="ar"/>
              </w:rPr>
              <w:t>8</w:t>
            </w:r>
          </w:p>
        </w:tc>
        <w:tc>
          <w:tcPr>
            <w:tcW w:w="1395" w:type="dxa"/>
            <w:vMerge w:val="restart"/>
            <w:shd w:val="clear" w:color="auto" w:fill="auto"/>
            <w:vAlign w:val="center"/>
          </w:tcPr>
          <w:p w14:paraId="70CF9C61">
            <w:pPr>
              <w:keepNext w:val="0"/>
              <w:keepLines w:val="0"/>
              <w:widowControl/>
              <w:suppressLineNumbers w:val="0"/>
              <w:jc w:val="center"/>
              <w:textAlignment w:val="center"/>
              <w:rPr>
                <w:rFonts w:hint="eastAsia" w:ascii="仿宋_GB2312" w:hAnsi="宋体" w:eastAsia="仿宋_GB2312" w:cs="仿宋_GB2312"/>
                <w:i w:val="0"/>
                <w:iCs w:val="0"/>
                <w:color w:val="auto"/>
                <w:sz w:val="28"/>
                <w:szCs w:val="28"/>
                <w:highlight w:val="none"/>
                <w:u w:val="none"/>
              </w:rPr>
            </w:pPr>
            <w:r>
              <w:rPr>
                <w:rFonts w:hint="eastAsia" w:ascii="仿宋_GB2312" w:hAnsi="宋体" w:eastAsia="仿宋_GB2312" w:cs="仿宋_GB2312"/>
                <w:i w:val="0"/>
                <w:iCs w:val="0"/>
                <w:color w:val="auto"/>
                <w:kern w:val="0"/>
                <w:sz w:val="28"/>
                <w:szCs w:val="28"/>
                <w:highlight w:val="none"/>
                <w:u w:val="none"/>
                <w:lang w:val="en-US" w:eastAsia="zh-CN" w:bidi="ar"/>
              </w:rPr>
              <w:t>其他支出</w:t>
            </w:r>
          </w:p>
        </w:tc>
        <w:tc>
          <w:tcPr>
            <w:tcW w:w="2865" w:type="dxa"/>
            <w:shd w:val="clear" w:color="auto" w:fill="auto"/>
            <w:vAlign w:val="center"/>
          </w:tcPr>
          <w:p w14:paraId="336EA6E5">
            <w:pPr>
              <w:keepNext w:val="0"/>
              <w:keepLines w:val="0"/>
              <w:widowControl/>
              <w:suppressLineNumbers w:val="0"/>
              <w:jc w:val="center"/>
              <w:textAlignment w:val="center"/>
              <w:rPr>
                <w:rFonts w:hint="eastAsia" w:ascii="仿宋_GB2312" w:hAnsi="宋体" w:eastAsia="仿宋_GB2312" w:cs="仿宋_GB2312"/>
                <w:i w:val="0"/>
                <w:iCs w:val="0"/>
                <w:color w:val="auto"/>
                <w:sz w:val="28"/>
                <w:szCs w:val="28"/>
                <w:highlight w:val="none"/>
                <w:u w:val="none"/>
              </w:rPr>
            </w:pPr>
            <w:r>
              <w:rPr>
                <w:rFonts w:hint="eastAsia" w:ascii="仿宋_GB2312" w:hAnsi="宋体" w:eastAsia="仿宋_GB2312" w:cs="仿宋_GB2312"/>
                <w:i w:val="0"/>
                <w:iCs w:val="0"/>
                <w:color w:val="auto"/>
                <w:kern w:val="0"/>
                <w:sz w:val="28"/>
                <w:szCs w:val="28"/>
                <w:highlight w:val="none"/>
                <w:u w:val="none"/>
                <w:lang w:val="en-US" w:eastAsia="zh-CN" w:bidi="ar"/>
              </w:rPr>
              <w:t>宣传拍摄及媒体推广</w:t>
            </w:r>
          </w:p>
        </w:tc>
        <w:tc>
          <w:tcPr>
            <w:tcW w:w="1950" w:type="dxa"/>
            <w:shd w:val="clear" w:color="auto" w:fill="auto"/>
            <w:vAlign w:val="center"/>
          </w:tcPr>
          <w:p w14:paraId="32312A5F">
            <w:pPr>
              <w:jc w:val="center"/>
              <w:rPr>
                <w:rFonts w:hint="eastAsia" w:ascii="仿宋_GB2312" w:hAnsi="宋体" w:eastAsia="仿宋_GB2312" w:cs="仿宋_GB2312"/>
                <w:i w:val="0"/>
                <w:iCs w:val="0"/>
                <w:color w:val="auto"/>
                <w:sz w:val="28"/>
                <w:szCs w:val="28"/>
                <w:highlight w:val="none"/>
                <w:u w:val="none"/>
              </w:rPr>
            </w:pPr>
          </w:p>
        </w:tc>
        <w:tc>
          <w:tcPr>
            <w:tcW w:w="1950" w:type="dxa"/>
            <w:shd w:val="clear" w:color="auto" w:fill="auto"/>
            <w:vAlign w:val="center"/>
          </w:tcPr>
          <w:p w14:paraId="26F04972">
            <w:pPr>
              <w:jc w:val="center"/>
              <w:rPr>
                <w:rFonts w:hint="eastAsia" w:ascii="仿宋_GB2312" w:hAnsi="宋体" w:eastAsia="仿宋_GB2312" w:cs="仿宋_GB2312"/>
                <w:i w:val="0"/>
                <w:iCs w:val="0"/>
                <w:color w:val="auto"/>
                <w:sz w:val="28"/>
                <w:szCs w:val="28"/>
                <w:highlight w:val="none"/>
                <w:u w:val="none"/>
              </w:rPr>
            </w:pPr>
          </w:p>
        </w:tc>
      </w:tr>
      <w:tr w14:paraId="6865C7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5" w:hRule="atLeast"/>
        </w:trPr>
        <w:tc>
          <w:tcPr>
            <w:tcW w:w="1080" w:type="dxa"/>
            <w:shd w:val="clear" w:color="auto" w:fill="auto"/>
            <w:vAlign w:val="center"/>
          </w:tcPr>
          <w:p w14:paraId="4E067085">
            <w:pPr>
              <w:keepNext w:val="0"/>
              <w:keepLines w:val="0"/>
              <w:widowControl/>
              <w:suppressLineNumbers w:val="0"/>
              <w:jc w:val="center"/>
              <w:textAlignment w:val="center"/>
              <w:rPr>
                <w:rFonts w:hint="eastAsia" w:ascii="仿宋_GB2312" w:hAnsi="宋体" w:eastAsia="仿宋_GB2312" w:cs="仿宋_GB2312"/>
                <w:i w:val="0"/>
                <w:iCs w:val="0"/>
                <w:color w:val="auto"/>
                <w:sz w:val="28"/>
                <w:szCs w:val="28"/>
                <w:highlight w:val="none"/>
                <w:u w:val="none"/>
              </w:rPr>
            </w:pPr>
            <w:r>
              <w:rPr>
                <w:rFonts w:hint="eastAsia" w:ascii="仿宋_GB2312" w:hAnsi="宋体" w:eastAsia="仿宋_GB2312" w:cs="仿宋_GB2312"/>
                <w:i w:val="0"/>
                <w:iCs w:val="0"/>
                <w:color w:val="auto"/>
                <w:kern w:val="0"/>
                <w:sz w:val="28"/>
                <w:szCs w:val="28"/>
                <w:highlight w:val="none"/>
                <w:u w:val="none"/>
                <w:lang w:val="en-US" w:eastAsia="zh-CN" w:bidi="ar"/>
              </w:rPr>
              <w:t>9</w:t>
            </w:r>
          </w:p>
        </w:tc>
        <w:tc>
          <w:tcPr>
            <w:tcW w:w="1395" w:type="dxa"/>
            <w:vMerge w:val="continue"/>
            <w:shd w:val="clear" w:color="auto" w:fill="auto"/>
            <w:vAlign w:val="center"/>
          </w:tcPr>
          <w:p w14:paraId="0FA57E52">
            <w:pPr>
              <w:jc w:val="center"/>
              <w:rPr>
                <w:rFonts w:hint="eastAsia" w:ascii="仿宋_GB2312" w:hAnsi="宋体" w:eastAsia="仿宋_GB2312" w:cs="仿宋_GB2312"/>
                <w:i w:val="0"/>
                <w:iCs w:val="0"/>
                <w:color w:val="auto"/>
                <w:sz w:val="28"/>
                <w:szCs w:val="28"/>
                <w:highlight w:val="none"/>
                <w:u w:val="none"/>
              </w:rPr>
            </w:pPr>
          </w:p>
        </w:tc>
        <w:tc>
          <w:tcPr>
            <w:tcW w:w="2865" w:type="dxa"/>
            <w:shd w:val="clear" w:color="auto" w:fill="auto"/>
            <w:vAlign w:val="center"/>
          </w:tcPr>
          <w:p w14:paraId="01AA7F18">
            <w:pPr>
              <w:keepNext w:val="0"/>
              <w:keepLines w:val="0"/>
              <w:widowControl/>
              <w:suppressLineNumbers w:val="0"/>
              <w:jc w:val="center"/>
              <w:textAlignment w:val="center"/>
              <w:rPr>
                <w:rFonts w:hint="eastAsia" w:ascii="仿宋_GB2312" w:hAnsi="宋体" w:eastAsia="仿宋_GB2312" w:cs="仿宋_GB2312"/>
                <w:i w:val="0"/>
                <w:iCs w:val="0"/>
                <w:color w:val="auto"/>
                <w:sz w:val="28"/>
                <w:szCs w:val="28"/>
                <w:highlight w:val="none"/>
                <w:u w:val="none"/>
              </w:rPr>
            </w:pPr>
            <w:r>
              <w:rPr>
                <w:rFonts w:hint="eastAsia" w:ascii="仿宋_GB2312" w:hAnsi="宋体" w:eastAsia="仿宋_GB2312" w:cs="仿宋_GB2312"/>
                <w:i w:val="0"/>
                <w:iCs w:val="0"/>
                <w:color w:val="auto"/>
                <w:kern w:val="0"/>
                <w:sz w:val="28"/>
                <w:szCs w:val="28"/>
                <w:highlight w:val="none"/>
                <w:u w:val="none"/>
                <w:lang w:val="en-US" w:eastAsia="zh-CN" w:bidi="ar"/>
              </w:rPr>
              <w:t>安保、医疗、用电</w:t>
            </w:r>
          </w:p>
        </w:tc>
        <w:tc>
          <w:tcPr>
            <w:tcW w:w="1950" w:type="dxa"/>
            <w:shd w:val="clear" w:color="auto" w:fill="auto"/>
            <w:vAlign w:val="center"/>
          </w:tcPr>
          <w:p w14:paraId="02274769">
            <w:pPr>
              <w:jc w:val="center"/>
              <w:rPr>
                <w:rFonts w:hint="eastAsia" w:ascii="仿宋_GB2312" w:hAnsi="宋体" w:eastAsia="仿宋_GB2312" w:cs="仿宋_GB2312"/>
                <w:i w:val="0"/>
                <w:iCs w:val="0"/>
                <w:color w:val="auto"/>
                <w:sz w:val="28"/>
                <w:szCs w:val="28"/>
                <w:highlight w:val="none"/>
                <w:u w:val="none"/>
              </w:rPr>
            </w:pPr>
          </w:p>
        </w:tc>
        <w:tc>
          <w:tcPr>
            <w:tcW w:w="1950" w:type="dxa"/>
            <w:shd w:val="clear" w:color="auto" w:fill="auto"/>
            <w:vAlign w:val="center"/>
          </w:tcPr>
          <w:p w14:paraId="2BD19E10">
            <w:pPr>
              <w:jc w:val="center"/>
              <w:rPr>
                <w:rFonts w:hint="eastAsia" w:ascii="仿宋_GB2312" w:hAnsi="宋体" w:eastAsia="仿宋_GB2312" w:cs="仿宋_GB2312"/>
                <w:i w:val="0"/>
                <w:iCs w:val="0"/>
                <w:color w:val="auto"/>
                <w:sz w:val="28"/>
                <w:szCs w:val="28"/>
                <w:highlight w:val="none"/>
                <w:u w:val="none"/>
              </w:rPr>
            </w:pPr>
          </w:p>
        </w:tc>
      </w:tr>
      <w:tr w14:paraId="0F289A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155" w:hRule="atLeast"/>
        </w:trPr>
        <w:tc>
          <w:tcPr>
            <w:tcW w:w="1080" w:type="dxa"/>
            <w:shd w:val="clear" w:color="auto" w:fill="auto"/>
            <w:vAlign w:val="center"/>
          </w:tcPr>
          <w:p w14:paraId="0970B601">
            <w:pPr>
              <w:keepNext w:val="0"/>
              <w:keepLines w:val="0"/>
              <w:widowControl/>
              <w:suppressLineNumbers w:val="0"/>
              <w:jc w:val="center"/>
              <w:textAlignment w:val="center"/>
              <w:rPr>
                <w:rFonts w:hint="eastAsia" w:ascii="仿宋_GB2312" w:hAnsi="宋体" w:eastAsia="仿宋_GB2312" w:cs="仿宋_GB2312"/>
                <w:i w:val="0"/>
                <w:iCs w:val="0"/>
                <w:color w:val="auto"/>
                <w:sz w:val="28"/>
                <w:szCs w:val="28"/>
                <w:highlight w:val="none"/>
                <w:u w:val="none"/>
              </w:rPr>
            </w:pPr>
            <w:r>
              <w:rPr>
                <w:rFonts w:hint="eastAsia" w:ascii="仿宋_GB2312" w:hAnsi="宋体" w:eastAsia="仿宋_GB2312" w:cs="仿宋_GB2312"/>
                <w:i w:val="0"/>
                <w:iCs w:val="0"/>
                <w:color w:val="auto"/>
                <w:kern w:val="0"/>
                <w:sz w:val="28"/>
                <w:szCs w:val="28"/>
                <w:highlight w:val="none"/>
                <w:u w:val="none"/>
                <w:lang w:val="en-US" w:eastAsia="zh-CN" w:bidi="ar"/>
              </w:rPr>
              <w:t>10</w:t>
            </w:r>
          </w:p>
        </w:tc>
        <w:tc>
          <w:tcPr>
            <w:tcW w:w="1395" w:type="dxa"/>
            <w:vMerge w:val="restart"/>
            <w:shd w:val="clear" w:color="auto" w:fill="auto"/>
            <w:vAlign w:val="center"/>
          </w:tcPr>
          <w:p w14:paraId="4E09A249">
            <w:pPr>
              <w:keepNext w:val="0"/>
              <w:keepLines w:val="0"/>
              <w:widowControl/>
              <w:suppressLineNumbers w:val="0"/>
              <w:jc w:val="center"/>
              <w:textAlignment w:val="center"/>
              <w:rPr>
                <w:rFonts w:hint="eastAsia" w:ascii="仿宋_GB2312" w:hAnsi="宋体" w:eastAsia="仿宋_GB2312" w:cs="仿宋_GB2312"/>
                <w:i w:val="0"/>
                <w:iCs w:val="0"/>
                <w:color w:val="auto"/>
                <w:sz w:val="28"/>
                <w:szCs w:val="28"/>
                <w:highlight w:val="none"/>
                <w:u w:val="none"/>
              </w:rPr>
            </w:pPr>
            <w:r>
              <w:rPr>
                <w:rFonts w:hint="eastAsia" w:ascii="仿宋_GB2312" w:hAnsi="宋体" w:eastAsia="仿宋_GB2312" w:cs="仿宋_GB2312"/>
                <w:i w:val="0"/>
                <w:iCs w:val="0"/>
                <w:color w:val="auto"/>
                <w:kern w:val="0"/>
                <w:sz w:val="28"/>
                <w:szCs w:val="28"/>
                <w:highlight w:val="none"/>
                <w:u w:val="none"/>
                <w:lang w:val="en-US" w:eastAsia="zh-CN" w:bidi="ar"/>
              </w:rPr>
              <w:t>固定支出</w:t>
            </w:r>
          </w:p>
        </w:tc>
        <w:tc>
          <w:tcPr>
            <w:tcW w:w="2865" w:type="dxa"/>
            <w:shd w:val="clear" w:color="auto" w:fill="auto"/>
            <w:vAlign w:val="center"/>
          </w:tcPr>
          <w:p w14:paraId="15FF4B3D">
            <w:pPr>
              <w:keepNext w:val="0"/>
              <w:keepLines w:val="0"/>
              <w:widowControl/>
              <w:suppressLineNumbers w:val="0"/>
              <w:jc w:val="center"/>
              <w:textAlignment w:val="center"/>
              <w:rPr>
                <w:rFonts w:hint="eastAsia" w:ascii="仿宋_GB2312" w:hAnsi="宋体" w:eastAsia="仿宋_GB2312" w:cs="仿宋_GB2312"/>
                <w:i w:val="0"/>
                <w:iCs w:val="0"/>
                <w:color w:val="auto"/>
                <w:sz w:val="28"/>
                <w:szCs w:val="28"/>
                <w:highlight w:val="none"/>
                <w:u w:val="none"/>
              </w:rPr>
            </w:pPr>
            <w:r>
              <w:rPr>
                <w:rFonts w:hint="eastAsia" w:ascii="仿宋_GB2312" w:hAnsi="宋体" w:eastAsia="仿宋_GB2312" w:cs="仿宋_GB2312"/>
                <w:i w:val="0"/>
                <w:iCs w:val="0"/>
                <w:color w:val="auto"/>
                <w:kern w:val="0"/>
                <w:sz w:val="28"/>
                <w:szCs w:val="28"/>
                <w:highlight w:val="none"/>
                <w:u w:val="none"/>
                <w:lang w:val="en-US" w:eastAsia="zh-CN" w:bidi="ar"/>
              </w:rPr>
              <w:t>各类赛事裁判、志愿者等相关人员的劳务</w:t>
            </w:r>
          </w:p>
        </w:tc>
        <w:tc>
          <w:tcPr>
            <w:tcW w:w="1950" w:type="dxa"/>
            <w:shd w:val="clear" w:color="auto" w:fill="auto"/>
            <w:vAlign w:val="center"/>
          </w:tcPr>
          <w:p w14:paraId="3C2ECB4C">
            <w:pPr>
              <w:keepNext w:val="0"/>
              <w:keepLines w:val="0"/>
              <w:widowControl/>
              <w:suppressLineNumbers w:val="0"/>
              <w:jc w:val="center"/>
              <w:textAlignment w:val="center"/>
              <w:rPr>
                <w:rFonts w:hint="eastAsia" w:ascii="仿宋_GB2312" w:hAnsi="宋体" w:eastAsia="仿宋_GB2312" w:cs="仿宋_GB2312"/>
                <w:i w:val="0"/>
                <w:iCs w:val="0"/>
                <w:color w:val="auto"/>
                <w:sz w:val="28"/>
                <w:szCs w:val="28"/>
                <w:highlight w:val="none"/>
                <w:u w:val="none"/>
              </w:rPr>
            </w:pPr>
            <w:r>
              <w:rPr>
                <w:rFonts w:hint="eastAsia" w:ascii="仿宋_GB2312" w:hAnsi="宋体" w:eastAsia="仿宋_GB2312" w:cs="仿宋_GB2312"/>
                <w:i w:val="0"/>
                <w:iCs w:val="0"/>
                <w:color w:val="auto"/>
                <w:kern w:val="0"/>
                <w:sz w:val="28"/>
                <w:szCs w:val="28"/>
                <w:highlight w:val="none"/>
                <w:u w:val="none"/>
                <w:lang w:val="en-US" w:eastAsia="zh-CN" w:bidi="ar"/>
              </w:rPr>
              <w:t>25.51</w:t>
            </w:r>
          </w:p>
        </w:tc>
        <w:tc>
          <w:tcPr>
            <w:tcW w:w="1950" w:type="dxa"/>
            <w:vMerge w:val="restart"/>
            <w:shd w:val="clear" w:color="auto" w:fill="auto"/>
            <w:vAlign w:val="center"/>
          </w:tcPr>
          <w:p w14:paraId="28552F2F">
            <w:pPr>
              <w:keepNext w:val="0"/>
              <w:keepLines w:val="0"/>
              <w:widowControl/>
              <w:suppressLineNumbers w:val="0"/>
              <w:jc w:val="left"/>
              <w:textAlignment w:val="center"/>
              <w:rPr>
                <w:rFonts w:hint="eastAsia" w:ascii="仿宋_GB2312" w:hAnsi="宋体" w:eastAsia="仿宋_GB2312" w:cs="仿宋_GB2312"/>
                <w:i w:val="0"/>
                <w:iCs w:val="0"/>
                <w:color w:val="auto"/>
                <w:sz w:val="28"/>
                <w:szCs w:val="28"/>
                <w:highlight w:val="none"/>
                <w:u w:val="none"/>
              </w:rPr>
            </w:pPr>
            <w:r>
              <w:rPr>
                <w:rFonts w:hint="eastAsia" w:ascii="仿宋_GB2312" w:hAnsi="宋体" w:eastAsia="仿宋_GB2312" w:cs="仿宋_GB2312"/>
                <w:i w:val="0"/>
                <w:iCs w:val="0"/>
                <w:color w:val="auto"/>
                <w:kern w:val="0"/>
                <w:sz w:val="28"/>
                <w:szCs w:val="28"/>
                <w:highlight w:val="none"/>
                <w:u w:val="none"/>
                <w:lang w:val="en-US" w:eastAsia="zh-CN" w:bidi="ar"/>
              </w:rPr>
              <w:t>固定报价，不得调整，按实结算。</w:t>
            </w:r>
          </w:p>
        </w:tc>
      </w:tr>
      <w:tr w14:paraId="3012A9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5" w:hRule="atLeast"/>
        </w:trPr>
        <w:tc>
          <w:tcPr>
            <w:tcW w:w="1080" w:type="dxa"/>
            <w:shd w:val="clear" w:color="auto" w:fill="auto"/>
            <w:vAlign w:val="center"/>
          </w:tcPr>
          <w:p w14:paraId="4B25F9E4">
            <w:pPr>
              <w:keepNext w:val="0"/>
              <w:keepLines w:val="0"/>
              <w:widowControl/>
              <w:suppressLineNumbers w:val="0"/>
              <w:jc w:val="center"/>
              <w:textAlignment w:val="center"/>
              <w:rPr>
                <w:rFonts w:hint="eastAsia" w:ascii="仿宋_GB2312" w:hAnsi="宋体" w:eastAsia="仿宋_GB2312" w:cs="仿宋_GB2312"/>
                <w:i w:val="0"/>
                <w:iCs w:val="0"/>
                <w:color w:val="auto"/>
                <w:sz w:val="28"/>
                <w:szCs w:val="28"/>
                <w:highlight w:val="none"/>
                <w:u w:val="none"/>
              </w:rPr>
            </w:pPr>
            <w:r>
              <w:rPr>
                <w:rFonts w:hint="eastAsia" w:ascii="仿宋_GB2312" w:hAnsi="宋体" w:eastAsia="仿宋_GB2312" w:cs="仿宋_GB2312"/>
                <w:i w:val="0"/>
                <w:iCs w:val="0"/>
                <w:color w:val="auto"/>
                <w:kern w:val="0"/>
                <w:sz w:val="28"/>
                <w:szCs w:val="28"/>
                <w:highlight w:val="none"/>
                <w:u w:val="none"/>
                <w:lang w:val="en-US" w:eastAsia="zh-CN" w:bidi="ar"/>
              </w:rPr>
              <w:t>11</w:t>
            </w:r>
          </w:p>
        </w:tc>
        <w:tc>
          <w:tcPr>
            <w:tcW w:w="1395" w:type="dxa"/>
            <w:vMerge w:val="continue"/>
            <w:shd w:val="clear" w:color="auto" w:fill="auto"/>
            <w:vAlign w:val="center"/>
          </w:tcPr>
          <w:p w14:paraId="6424BCC5">
            <w:pPr>
              <w:jc w:val="center"/>
              <w:rPr>
                <w:rFonts w:hint="eastAsia" w:ascii="仿宋_GB2312" w:hAnsi="宋体" w:eastAsia="仿宋_GB2312" w:cs="仿宋_GB2312"/>
                <w:i w:val="0"/>
                <w:iCs w:val="0"/>
                <w:color w:val="auto"/>
                <w:sz w:val="28"/>
                <w:szCs w:val="28"/>
                <w:highlight w:val="none"/>
                <w:u w:val="none"/>
              </w:rPr>
            </w:pPr>
          </w:p>
        </w:tc>
        <w:tc>
          <w:tcPr>
            <w:tcW w:w="2865" w:type="dxa"/>
            <w:shd w:val="clear" w:color="auto" w:fill="auto"/>
            <w:vAlign w:val="center"/>
          </w:tcPr>
          <w:p w14:paraId="74B00975">
            <w:pPr>
              <w:keepNext w:val="0"/>
              <w:keepLines w:val="0"/>
              <w:widowControl/>
              <w:suppressLineNumbers w:val="0"/>
              <w:jc w:val="center"/>
              <w:textAlignment w:val="center"/>
              <w:rPr>
                <w:rFonts w:hint="eastAsia" w:ascii="仿宋_GB2312" w:hAnsi="宋体" w:eastAsia="仿宋_GB2312" w:cs="仿宋_GB2312"/>
                <w:i w:val="0"/>
                <w:iCs w:val="0"/>
                <w:color w:val="auto"/>
                <w:sz w:val="28"/>
                <w:szCs w:val="28"/>
                <w:highlight w:val="none"/>
                <w:u w:val="none"/>
              </w:rPr>
            </w:pPr>
            <w:r>
              <w:rPr>
                <w:rFonts w:hint="eastAsia" w:ascii="仿宋_GB2312" w:hAnsi="宋体" w:eastAsia="仿宋_GB2312" w:cs="仿宋_GB2312"/>
                <w:i w:val="0"/>
                <w:iCs w:val="0"/>
                <w:color w:val="auto"/>
                <w:kern w:val="0"/>
                <w:sz w:val="28"/>
                <w:szCs w:val="28"/>
                <w:highlight w:val="none"/>
                <w:u w:val="none"/>
                <w:lang w:val="en-US" w:eastAsia="zh-CN" w:bidi="ar"/>
              </w:rPr>
              <w:t>赛事奖金</w:t>
            </w:r>
          </w:p>
        </w:tc>
        <w:tc>
          <w:tcPr>
            <w:tcW w:w="1950" w:type="dxa"/>
            <w:shd w:val="clear" w:color="auto" w:fill="auto"/>
            <w:vAlign w:val="center"/>
          </w:tcPr>
          <w:p w14:paraId="428B11A6">
            <w:pPr>
              <w:keepNext w:val="0"/>
              <w:keepLines w:val="0"/>
              <w:widowControl/>
              <w:suppressLineNumbers w:val="0"/>
              <w:jc w:val="center"/>
              <w:textAlignment w:val="center"/>
              <w:rPr>
                <w:rFonts w:hint="eastAsia" w:ascii="仿宋_GB2312" w:hAnsi="宋体" w:eastAsia="仿宋_GB2312" w:cs="仿宋_GB2312"/>
                <w:i w:val="0"/>
                <w:iCs w:val="0"/>
                <w:color w:val="auto"/>
                <w:sz w:val="28"/>
                <w:szCs w:val="28"/>
                <w:highlight w:val="none"/>
                <w:u w:val="none"/>
              </w:rPr>
            </w:pPr>
            <w:r>
              <w:rPr>
                <w:rFonts w:hint="eastAsia" w:ascii="仿宋_GB2312" w:hAnsi="宋体" w:eastAsia="仿宋_GB2312" w:cs="仿宋_GB2312"/>
                <w:i w:val="0"/>
                <w:iCs w:val="0"/>
                <w:color w:val="auto"/>
                <w:kern w:val="0"/>
                <w:sz w:val="28"/>
                <w:szCs w:val="28"/>
                <w:highlight w:val="none"/>
                <w:u w:val="none"/>
                <w:lang w:val="en-US" w:eastAsia="zh-CN" w:bidi="ar"/>
              </w:rPr>
              <w:t>16</w:t>
            </w:r>
          </w:p>
        </w:tc>
        <w:tc>
          <w:tcPr>
            <w:tcW w:w="1950" w:type="dxa"/>
            <w:vMerge w:val="continue"/>
            <w:shd w:val="clear" w:color="auto" w:fill="auto"/>
            <w:vAlign w:val="center"/>
          </w:tcPr>
          <w:p w14:paraId="47A60355">
            <w:pPr>
              <w:jc w:val="left"/>
              <w:rPr>
                <w:rFonts w:hint="eastAsia" w:ascii="仿宋_GB2312" w:hAnsi="宋体" w:eastAsia="仿宋_GB2312" w:cs="仿宋_GB2312"/>
                <w:i w:val="0"/>
                <w:iCs w:val="0"/>
                <w:color w:val="auto"/>
                <w:sz w:val="28"/>
                <w:szCs w:val="28"/>
                <w:highlight w:val="none"/>
                <w:u w:val="none"/>
              </w:rPr>
            </w:pPr>
          </w:p>
        </w:tc>
      </w:tr>
      <w:tr w14:paraId="7D1732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0" w:hRule="atLeast"/>
        </w:trPr>
        <w:tc>
          <w:tcPr>
            <w:tcW w:w="0" w:type="auto"/>
            <w:shd w:val="clear" w:color="auto" w:fill="auto"/>
            <w:noWrap/>
            <w:vAlign w:val="center"/>
          </w:tcPr>
          <w:p w14:paraId="5A3BF3E0">
            <w:pPr>
              <w:keepNext w:val="0"/>
              <w:keepLines w:val="0"/>
              <w:widowControl/>
              <w:suppressLineNumbers w:val="0"/>
              <w:jc w:val="center"/>
              <w:textAlignment w:val="center"/>
              <w:rPr>
                <w:rFonts w:hint="eastAsia" w:ascii="仿宋_GB2312" w:hAnsi="宋体" w:eastAsia="仿宋_GB2312" w:cs="仿宋_GB2312"/>
                <w:i w:val="0"/>
                <w:iCs w:val="0"/>
                <w:color w:val="auto"/>
                <w:sz w:val="28"/>
                <w:szCs w:val="28"/>
                <w:highlight w:val="none"/>
                <w:u w:val="none"/>
              </w:rPr>
            </w:pPr>
            <w:r>
              <w:rPr>
                <w:rFonts w:hint="eastAsia" w:ascii="仿宋_GB2312" w:hAnsi="宋体" w:eastAsia="仿宋_GB2312" w:cs="仿宋_GB2312"/>
                <w:i w:val="0"/>
                <w:iCs w:val="0"/>
                <w:color w:val="auto"/>
                <w:kern w:val="0"/>
                <w:sz w:val="28"/>
                <w:szCs w:val="28"/>
                <w:highlight w:val="none"/>
                <w:u w:val="none"/>
                <w:lang w:val="en-US" w:eastAsia="zh-CN" w:bidi="ar"/>
              </w:rPr>
              <w:t>12</w:t>
            </w:r>
          </w:p>
        </w:tc>
        <w:tc>
          <w:tcPr>
            <w:tcW w:w="1395" w:type="dxa"/>
            <w:vMerge w:val="continue"/>
            <w:shd w:val="clear" w:color="auto" w:fill="auto"/>
            <w:vAlign w:val="center"/>
          </w:tcPr>
          <w:p w14:paraId="4BE726C9">
            <w:pPr>
              <w:jc w:val="center"/>
              <w:rPr>
                <w:rFonts w:hint="eastAsia" w:ascii="仿宋_GB2312" w:hAnsi="宋体" w:eastAsia="仿宋_GB2312" w:cs="仿宋_GB2312"/>
                <w:i w:val="0"/>
                <w:iCs w:val="0"/>
                <w:color w:val="auto"/>
                <w:sz w:val="28"/>
                <w:szCs w:val="28"/>
                <w:highlight w:val="none"/>
                <w:u w:val="none"/>
              </w:rPr>
            </w:pPr>
          </w:p>
        </w:tc>
        <w:tc>
          <w:tcPr>
            <w:tcW w:w="2865" w:type="dxa"/>
            <w:shd w:val="clear" w:color="auto" w:fill="auto"/>
            <w:vAlign w:val="center"/>
          </w:tcPr>
          <w:p w14:paraId="6B905B8F">
            <w:pPr>
              <w:keepNext w:val="0"/>
              <w:keepLines w:val="0"/>
              <w:widowControl/>
              <w:suppressLineNumbers w:val="0"/>
              <w:jc w:val="center"/>
              <w:textAlignment w:val="center"/>
              <w:rPr>
                <w:rFonts w:hint="eastAsia" w:ascii="仿宋_GB2312" w:hAnsi="宋体" w:eastAsia="仿宋_GB2312" w:cs="仿宋_GB2312"/>
                <w:i w:val="0"/>
                <w:iCs w:val="0"/>
                <w:color w:val="auto"/>
                <w:sz w:val="28"/>
                <w:szCs w:val="28"/>
                <w:highlight w:val="none"/>
                <w:u w:val="none"/>
              </w:rPr>
            </w:pPr>
            <w:r>
              <w:rPr>
                <w:rFonts w:hint="eastAsia" w:ascii="仿宋_GB2312" w:hAnsi="宋体" w:eastAsia="仿宋_GB2312" w:cs="仿宋_GB2312"/>
                <w:i w:val="0"/>
                <w:iCs w:val="0"/>
                <w:color w:val="auto"/>
                <w:kern w:val="0"/>
                <w:sz w:val="28"/>
                <w:szCs w:val="28"/>
                <w:highlight w:val="none"/>
                <w:u w:val="none"/>
                <w:lang w:val="en-US" w:eastAsia="zh-CN" w:bidi="ar"/>
              </w:rPr>
              <w:t>赛事保险</w:t>
            </w:r>
          </w:p>
        </w:tc>
        <w:tc>
          <w:tcPr>
            <w:tcW w:w="1950" w:type="dxa"/>
            <w:shd w:val="clear" w:color="auto" w:fill="auto"/>
            <w:vAlign w:val="center"/>
          </w:tcPr>
          <w:p w14:paraId="792C8531">
            <w:pPr>
              <w:keepNext w:val="0"/>
              <w:keepLines w:val="0"/>
              <w:widowControl/>
              <w:suppressLineNumbers w:val="0"/>
              <w:jc w:val="center"/>
              <w:textAlignment w:val="center"/>
              <w:rPr>
                <w:rFonts w:hint="eastAsia" w:ascii="仿宋_GB2312" w:hAnsi="宋体" w:eastAsia="仿宋_GB2312" w:cs="仿宋_GB2312"/>
                <w:i w:val="0"/>
                <w:iCs w:val="0"/>
                <w:color w:val="auto"/>
                <w:sz w:val="28"/>
                <w:szCs w:val="28"/>
                <w:highlight w:val="none"/>
                <w:u w:val="none"/>
              </w:rPr>
            </w:pPr>
            <w:r>
              <w:rPr>
                <w:rFonts w:hint="eastAsia" w:ascii="仿宋_GB2312" w:hAnsi="宋体" w:eastAsia="仿宋_GB2312" w:cs="仿宋_GB2312"/>
                <w:i w:val="0"/>
                <w:iCs w:val="0"/>
                <w:color w:val="auto"/>
                <w:kern w:val="0"/>
                <w:sz w:val="28"/>
                <w:szCs w:val="28"/>
                <w:highlight w:val="none"/>
                <w:u w:val="none"/>
                <w:lang w:val="en-US" w:eastAsia="zh-CN" w:bidi="ar"/>
              </w:rPr>
              <w:t>8.05</w:t>
            </w:r>
          </w:p>
        </w:tc>
        <w:tc>
          <w:tcPr>
            <w:tcW w:w="1950" w:type="dxa"/>
            <w:vMerge w:val="continue"/>
            <w:shd w:val="clear" w:color="auto" w:fill="auto"/>
            <w:vAlign w:val="center"/>
          </w:tcPr>
          <w:p w14:paraId="5EAFD087">
            <w:pPr>
              <w:jc w:val="left"/>
              <w:rPr>
                <w:rFonts w:hint="eastAsia" w:ascii="仿宋_GB2312" w:hAnsi="宋体" w:eastAsia="仿宋_GB2312" w:cs="仿宋_GB2312"/>
                <w:i w:val="0"/>
                <w:iCs w:val="0"/>
                <w:color w:val="auto"/>
                <w:sz w:val="28"/>
                <w:szCs w:val="28"/>
                <w:highlight w:val="none"/>
                <w:u w:val="none"/>
              </w:rPr>
            </w:pPr>
          </w:p>
        </w:tc>
      </w:tr>
      <w:tr w14:paraId="7A3AEB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0" w:hRule="atLeast"/>
        </w:trPr>
        <w:tc>
          <w:tcPr>
            <w:tcW w:w="0" w:type="auto"/>
            <w:shd w:val="clear" w:color="auto" w:fill="auto"/>
            <w:noWrap/>
            <w:vAlign w:val="center"/>
          </w:tcPr>
          <w:p w14:paraId="72CB8AD8">
            <w:pPr>
              <w:keepNext w:val="0"/>
              <w:keepLines w:val="0"/>
              <w:widowControl/>
              <w:suppressLineNumbers w:val="0"/>
              <w:jc w:val="center"/>
              <w:textAlignment w:val="center"/>
              <w:rPr>
                <w:rFonts w:hint="default" w:ascii="仿宋_GB2312" w:hAnsi="宋体" w:eastAsia="仿宋_GB2312" w:cs="仿宋_GB2312"/>
                <w:i w:val="0"/>
                <w:iCs w:val="0"/>
                <w:color w:val="auto"/>
                <w:kern w:val="0"/>
                <w:sz w:val="28"/>
                <w:szCs w:val="28"/>
                <w:highlight w:val="none"/>
                <w:u w:val="none"/>
                <w:lang w:val="en-US" w:eastAsia="zh-CN" w:bidi="ar"/>
              </w:rPr>
            </w:pPr>
            <w:r>
              <w:rPr>
                <w:rFonts w:hint="eastAsia" w:ascii="仿宋_GB2312" w:hAnsi="宋体" w:eastAsia="仿宋_GB2312" w:cs="仿宋_GB2312"/>
                <w:i w:val="0"/>
                <w:iCs w:val="0"/>
                <w:color w:val="auto"/>
                <w:kern w:val="0"/>
                <w:sz w:val="28"/>
                <w:szCs w:val="28"/>
                <w:highlight w:val="none"/>
                <w:u w:val="none"/>
                <w:lang w:val="en-US" w:eastAsia="zh-CN" w:bidi="ar"/>
              </w:rPr>
              <w:t>13</w:t>
            </w:r>
          </w:p>
        </w:tc>
        <w:tc>
          <w:tcPr>
            <w:tcW w:w="1395" w:type="dxa"/>
            <w:vMerge w:val="continue"/>
            <w:shd w:val="clear" w:color="auto" w:fill="auto"/>
            <w:vAlign w:val="center"/>
          </w:tcPr>
          <w:p w14:paraId="6C81CFB4">
            <w:pPr>
              <w:jc w:val="center"/>
              <w:rPr>
                <w:rFonts w:hint="eastAsia" w:ascii="仿宋_GB2312" w:hAnsi="宋体" w:eastAsia="仿宋_GB2312" w:cs="仿宋_GB2312"/>
                <w:i w:val="0"/>
                <w:iCs w:val="0"/>
                <w:color w:val="auto"/>
                <w:sz w:val="28"/>
                <w:szCs w:val="28"/>
                <w:highlight w:val="none"/>
                <w:u w:val="none"/>
              </w:rPr>
            </w:pPr>
          </w:p>
        </w:tc>
        <w:tc>
          <w:tcPr>
            <w:tcW w:w="2865" w:type="dxa"/>
            <w:shd w:val="clear" w:color="auto" w:fill="auto"/>
            <w:vAlign w:val="center"/>
          </w:tcPr>
          <w:p w14:paraId="544938AB">
            <w:pPr>
              <w:keepNext w:val="0"/>
              <w:keepLines w:val="0"/>
              <w:widowControl/>
              <w:suppressLineNumbers w:val="0"/>
              <w:jc w:val="center"/>
              <w:textAlignment w:val="center"/>
              <w:rPr>
                <w:rFonts w:hint="default" w:ascii="仿宋_GB2312" w:hAnsi="宋体" w:eastAsia="仿宋_GB2312" w:cs="仿宋_GB2312"/>
                <w:i w:val="0"/>
                <w:iCs w:val="0"/>
                <w:color w:val="auto"/>
                <w:kern w:val="0"/>
                <w:sz w:val="28"/>
                <w:szCs w:val="28"/>
                <w:highlight w:val="none"/>
                <w:u w:val="none"/>
                <w:lang w:val="en-US" w:eastAsia="zh-CN" w:bidi="ar"/>
              </w:rPr>
            </w:pPr>
            <w:r>
              <w:rPr>
                <w:rFonts w:hint="eastAsia" w:ascii="仿宋_GB2312" w:hAnsi="宋体" w:eastAsia="仿宋_GB2312" w:cs="仿宋_GB2312"/>
                <w:i w:val="0"/>
                <w:iCs w:val="0"/>
                <w:color w:val="auto"/>
                <w:kern w:val="0"/>
                <w:sz w:val="28"/>
                <w:szCs w:val="28"/>
                <w:highlight w:val="none"/>
                <w:u w:val="none"/>
                <w:lang w:val="en-US" w:eastAsia="zh-CN" w:bidi="ar"/>
              </w:rPr>
              <w:t>赛事运营</w:t>
            </w:r>
          </w:p>
        </w:tc>
        <w:tc>
          <w:tcPr>
            <w:tcW w:w="1950" w:type="dxa"/>
            <w:shd w:val="clear" w:color="auto" w:fill="auto"/>
            <w:vAlign w:val="center"/>
          </w:tcPr>
          <w:p w14:paraId="4B6F0987">
            <w:pPr>
              <w:keepNext w:val="0"/>
              <w:keepLines w:val="0"/>
              <w:widowControl/>
              <w:suppressLineNumbers w:val="0"/>
              <w:jc w:val="center"/>
              <w:textAlignment w:val="center"/>
              <w:rPr>
                <w:rFonts w:hint="default" w:ascii="仿宋_GB2312" w:hAnsi="宋体" w:eastAsia="仿宋_GB2312" w:cs="仿宋_GB2312"/>
                <w:i w:val="0"/>
                <w:iCs w:val="0"/>
                <w:color w:val="auto"/>
                <w:kern w:val="0"/>
                <w:sz w:val="28"/>
                <w:szCs w:val="28"/>
                <w:highlight w:val="none"/>
                <w:u w:val="none"/>
                <w:lang w:val="en-US" w:eastAsia="zh-CN" w:bidi="ar"/>
              </w:rPr>
            </w:pPr>
            <w:r>
              <w:rPr>
                <w:rFonts w:hint="eastAsia" w:ascii="仿宋_GB2312" w:hAnsi="宋体" w:eastAsia="仿宋_GB2312" w:cs="仿宋_GB2312"/>
                <w:i w:val="0"/>
                <w:iCs w:val="0"/>
                <w:color w:val="auto"/>
                <w:kern w:val="0"/>
                <w:sz w:val="28"/>
                <w:szCs w:val="28"/>
                <w:highlight w:val="none"/>
                <w:u w:val="none"/>
                <w:lang w:val="en-US" w:eastAsia="zh-CN" w:bidi="ar"/>
              </w:rPr>
              <w:t>15</w:t>
            </w:r>
          </w:p>
        </w:tc>
        <w:tc>
          <w:tcPr>
            <w:tcW w:w="1950" w:type="dxa"/>
            <w:vMerge w:val="continue"/>
            <w:shd w:val="clear" w:color="auto" w:fill="auto"/>
            <w:vAlign w:val="center"/>
          </w:tcPr>
          <w:p w14:paraId="1E2CD3F4">
            <w:pPr>
              <w:jc w:val="left"/>
              <w:rPr>
                <w:rFonts w:hint="eastAsia" w:ascii="仿宋_GB2312" w:hAnsi="宋体" w:eastAsia="仿宋_GB2312" w:cs="仿宋_GB2312"/>
                <w:i w:val="0"/>
                <w:iCs w:val="0"/>
                <w:color w:val="auto"/>
                <w:sz w:val="28"/>
                <w:szCs w:val="28"/>
                <w:highlight w:val="none"/>
                <w:u w:val="none"/>
              </w:rPr>
            </w:pPr>
          </w:p>
        </w:tc>
      </w:tr>
      <w:tr w14:paraId="32A924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trPr>
        <w:tc>
          <w:tcPr>
            <w:tcW w:w="0" w:type="auto"/>
            <w:gridSpan w:val="2"/>
            <w:shd w:val="clear" w:color="auto" w:fill="auto"/>
            <w:noWrap/>
            <w:vAlign w:val="center"/>
          </w:tcPr>
          <w:p w14:paraId="636BE45E">
            <w:pPr>
              <w:keepNext w:val="0"/>
              <w:keepLines w:val="0"/>
              <w:widowControl/>
              <w:suppressLineNumbers w:val="0"/>
              <w:jc w:val="center"/>
              <w:textAlignment w:val="center"/>
              <w:rPr>
                <w:rFonts w:hint="eastAsia" w:ascii="仿宋_GB2312" w:hAnsi="宋体" w:eastAsia="仿宋_GB2312" w:cs="仿宋_GB2312"/>
                <w:i w:val="0"/>
                <w:iCs w:val="0"/>
                <w:color w:val="auto"/>
                <w:sz w:val="28"/>
                <w:szCs w:val="28"/>
                <w:highlight w:val="none"/>
                <w:u w:val="none"/>
              </w:rPr>
            </w:pPr>
            <w:r>
              <w:rPr>
                <w:rFonts w:hint="eastAsia" w:ascii="仿宋_GB2312" w:hAnsi="宋体" w:eastAsia="仿宋_GB2312" w:cs="仿宋_GB2312"/>
                <w:i w:val="0"/>
                <w:iCs w:val="0"/>
                <w:color w:val="auto"/>
                <w:kern w:val="0"/>
                <w:sz w:val="28"/>
                <w:szCs w:val="28"/>
                <w:highlight w:val="none"/>
                <w:u w:val="none"/>
                <w:lang w:val="en-US" w:eastAsia="zh-CN" w:bidi="ar"/>
              </w:rPr>
              <w:t>总计（万元）</w:t>
            </w:r>
          </w:p>
        </w:tc>
        <w:tc>
          <w:tcPr>
            <w:tcW w:w="2865" w:type="dxa"/>
            <w:shd w:val="clear" w:color="auto" w:fill="auto"/>
            <w:vAlign w:val="center"/>
          </w:tcPr>
          <w:p w14:paraId="79DA9DA5">
            <w:pPr>
              <w:jc w:val="center"/>
              <w:rPr>
                <w:rFonts w:hint="eastAsia" w:ascii="仿宋_GB2312" w:hAnsi="宋体" w:eastAsia="仿宋_GB2312" w:cs="仿宋_GB2312"/>
                <w:i w:val="0"/>
                <w:iCs w:val="0"/>
                <w:color w:val="auto"/>
                <w:sz w:val="28"/>
                <w:szCs w:val="28"/>
                <w:highlight w:val="none"/>
                <w:u w:val="none"/>
              </w:rPr>
            </w:pPr>
          </w:p>
        </w:tc>
        <w:tc>
          <w:tcPr>
            <w:tcW w:w="1950" w:type="dxa"/>
            <w:shd w:val="clear" w:color="auto" w:fill="auto"/>
            <w:vAlign w:val="center"/>
          </w:tcPr>
          <w:p w14:paraId="1BF0814A">
            <w:pPr>
              <w:jc w:val="center"/>
              <w:rPr>
                <w:rFonts w:hint="eastAsia" w:ascii="仿宋_GB2312" w:hAnsi="宋体" w:eastAsia="仿宋_GB2312" w:cs="仿宋_GB2312"/>
                <w:i w:val="0"/>
                <w:iCs w:val="0"/>
                <w:color w:val="auto"/>
                <w:sz w:val="28"/>
                <w:szCs w:val="28"/>
                <w:highlight w:val="none"/>
                <w:u w:val="none"/>
              </w:rPr>
            </w:pPr>
          </w:p>
        </w:tc>
        <w:tc>
          <w:tcPr>
            <w:tcW w:w="1950" w:type="dxa"/>
            <w:shd w:val="clear" w:color="auto" w:fill="auto"/>
            <w:vAlign w:val="center"/>
          </w:tcPr>
          <w:p w14:paraId="01607AB5">
            <w:pPr>
              <w:jc w:val="center"/>
              <w:rPr>
                <w:rFonts w:hint="eastAsia" w:ascii="仿宋_GB2312" w:hAnsi="宋体" w:eastAsia="仿宋_GB2312" w:cs="仿宋_GB2312"/>
                <w:i w:val="0"/>
                <w:iCs w:val="0"/>
                <w:color w:val="auto"/>
                <w:sz w:val="28"/>
                <w:szCs w:val="28"/>
                <w:highlight w:val="none"/>
                <w:u w:val="none"/>
              </w:rPr>
            </w:pPr>
          </w:p>
        </w:tc>
      </w:tr>
      <w:tr w14:paraId="605060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trPr>
        <w:tc>
          <w:tcPr>
            <w:tcW w:w="9240" w:type="dxa"/>
            <w:gridSpan w:val="5"/>
            <w:shd w:val="clear" w:color="auto" w:fill="auto"/>
            <w:noWrap/>
            <w:vAlign w:val="center"/>
          </w:tcPr>
          <w:p w14:paraId="1ECE494A">
            <w:pPr>
              <w:widowControl/>
              <w:spacing w:line="360" w:lineRule="auto"/>
              <w:jc w:val="left"/>
              <w:rPr>
                <w:rFonts w:hint="eastAsia" w:ascii="仿宋_GB2312" w:hAnsi="宋体" w:eastAsia="仿宋_GB2312" w:cs="仿宋_GB2312"/>
                <w:i w:val="0"/>
                <w:iCs w:val="0"/>
                <w:color w:val="auto"/>
                <w:sz w:val="28"/>
                <w:szCs w:val="28"/>
                <w:highlight w:val="none"/>
                <w:u w:val="none"/>
              </w:rPr>
            </w:pPr>
            <w:r>
              <w:rPr>
                <w:rFonts w:hint="eastAsia" w:ascii="仿宋_GB2312" w:hAnsi="宋体" w:eastAsia="仿宋_GB2312" w:cs="仿宋_GB2312"/>
                <w:i w:val="0"/>
                <w:iCs w:val="0"/>
                <w:color w:val="auto"/>
                <w:sz w:val="28"/>
                <w:szCs w:val="28"/>
                <w:highlight w:val="none"/>
                <w:u w:val="none"/>
              </w:rPr>
              <w:t xml:space="preserve">合计投标总报价：大写：  </w:t>
            </w:r>
            <w:r>
              <w:rPr>
                <w:rFonts w:hint="eastAsia" w:ascii="宋体" w:hAnsi="宋体" w:eastAsia="宋体" w:cs="宋体"/>
                <w:color w:val="auto"/>
                <w:kern w:val="0"/>
                <w:sz w:val="24"/>
                <w:szCs w:val="24"/>
                <w:highlight w:val="none"/>
                <w:u w:val="single"/>
                <w:lang w:val="en-US" w:eastAsia="zh-CN"/>
              </w:rPr>
              <w:t xml:space="preserve">                     </w:t>
            </w:r>
            <w:r>
              <w:rPr>
                <w:rFonts w:hint="eastAsia" w:ascii="仿宋_GB2312" w:hAnsi="宋体" w:eastAsia="仿宋_GB2312" w:cs="仿宋_GB2312"/>
                <w:i w:val="0"/>
                <w:iCs w:val="0"/>
                <w:color w:val="auto"/>
                <w:sz w:val="28"/>
                <w:szCs w:val="28"/>
                <w:highlight w:val="none"/>
                <w:u w:val="none"/>
              </w:rPr>
              <w:t xml:space="preserve">                   </w:t>
            </w:r>
          </w:p>
          <w:p w14:paraId="70531472">
            <w:pPr>
              <w:jc w:val="left"/>
              <w:rPr>
                <w:rFonts w:hint="eastAsia" w:ascii="仿宋_GB2312" w:hAnsi="宋体" w:eastAsia="仿宋_GB2312" w:cs="仿宋_GB2312"/>
                <w:i w:val="0"/>
                <w:iCs w:val="0"/>
                <w:color w:val="auto"/>
                <w:sz w:val="28"/>
                <w:szCs w:val="28"/>
                <w:highlight w:val="none"/>
                <w:u w:val="none"/>
              </w:rPr>
            </w:pPr>
            <w:r>
              <w:rPr>
                <w:rFonts w:hint="eastAsia" w:ascii="仿宋_GB2312" w:hAnsi="宋体" w:eastAsia="仿宋_GB2312" w:cs="仿宋_GB2312"/>
                <w:i w:val="0"/>
                <w:iCs w:val="0"/>
                <w:color w:val="auto"/>
                <w:sz w:val="28"/>
                <w:szCs w:val="28"/>
                <w:highlight w:val="none"/>
                <w:u w:val="none"/>
              </w:rPr>
              <w:t xml:space="preserve">小写：   </w:t>
            </w:r>
            <w:r>
              <w:rPr>
                <w:rFonts w:hint="eastAsia" w:ascii="宋体" w:hAnsi="宋体" w:eastAsia="宋体" w:cs="宋体"/>
                <w:color w:val="auto"/>
                <w:kern w:val="0"/>
                <w:sz w:val="24"/>
                <w:szCs w:val="24"/>
                <w:highlight w:val="none"/>
                <w:u w:val="single"/>
                <w:lang w:val="en-US" w:eastAsia="zh-CN"/>
              </w:rPr>
              <w:t xml:space="preserve">                     </w:t>
            </w:r>
            <w:r>
              <w:rPr>
                <w:rFonts w:hint="eastAsia" w:ascii="仿宋_GB2312" w:hAnsi="宋体" w:eastAsia="仿宋_GB2312" w:cs="仿宋_GB2312"/>
                <w:i w:val="0"/>
                <w:iCs w:val="0"/>
                <w:color w:val="auto"/>
                <w:sz w:val="28"/>
                <w:szCs w:val="28"/>
                <w:highlight w:val="none"/>
                <w:u w:val="none"/>
              </w:rPr>
              <w:t xml:space="preserve">                      </w:t>
            </w:r>
          </w:p>
        </w:tc>
      </w:tr>
    </w:tbl>
    <w:p w14:paraId="5681621A">
      <w:pPr>
        <w:pStyle w:val="43"/>
        <w:rPr>
          <w:rFonts w:hint="eastAsia" w:ascii="宋体" w:hAnsi="宋体" w:eastAsia="宋体" w:cs="宋体"/>
          <w:bCs/>
          <w:color w:val="auto"/>
          <w:sz w:val="24"/>
          <w:szCs w:val="21"/>
          <w:highlight w:val="none"/>
        </w:rPr>
      </w:pPr>
      <w:r>
        <w:rPr>
          <w:rFonts w:hint="eastAsia" w:ascii="宋体" w:hAnsi="宋体" w:eastAsia="宋体" w:cs="宋体"/>
          <w:bCs/>
          <w:color w:val="auto"/>
          <w:sz w:val="24"/>
          <w:szCs w:val="21"/>
          <w:highlight w:val="none"/>
        </w:rPr>
        <w:t>注：1、本项目最高限价为人民币：</w:t>
      </w:r>
      <w:r>
        <w:rPr>
          <w:rFonts w:hint="eastAsia" w:cs="宋体"/>
          <w:bCs/>
          <w:color w:val="auto"/>
          <w:sz w:val="24"/>
          <w:szCs w:val="21"/>
          <w:highlight w:val="none"/>
          <w:lang w:val="en-US" w:eastAsia="zh-CN"/>
        </w:rPr>
        <w:t>164.8</w:t>
      </w:r>
      <w:r>
        <w:rPr>
          <w:rFonts w:hint="eastAsia" w:ascii="宋体" w:hAnsi="宋体" w:eastAsia="宋体" w:cs="宋体"/>
          <w:bCs/>
          <w:color w:val="auto"/>
          <w:sz w:val="24"/>
          <w:szCs w:val="21"/>
          <w:highlight w:val="none"/>
        </w:rPr>
        <w:t>万元，各投标单位书面投标文件中的报价低于（不含等于）最高限价的为有效报价，否则视为无效报价，作废标处理。2、本报价非最终报价，最终报价以系统报价为准。（各成交综合单价按成交总价和其标书中的投标总价的下浮比例同比下浮，</w:t>
      </w:r>
      <w:r>
        <w:rPr>
          <w:rFonts w:hint="eastAsia" w:cs="宋体"/>
          <w:bCs/>
          <w:color w:val="auto"/>
          <w:sz w:val="24"/>
          <w:szCs w:val="21"/>
          <w:highlight w:val="none"/>
          <w:lang w:val="en-US" w:eastAsia="zh-CN"/>
        </w:rPr>
        <w:t>固定支出</w:t>
      </w:r>
      <w:r>
        <w:rPr>
          <w:rFonts w:hint="eastAsia" w:ascii="宋体" w:hAnsi="宋体" w:eastAsia="宋体" w:cs="宋体"/>
          <w:bCs/>
          <w:color w:val="auto"/>
          <w:sz w:val="24"/>
          <w:szCs w:val="21"/>
          <w:highlight w:val="none"/>
        </w:rPr>
        <w:t>不下浮）。</w:t>
      </w:r>
    </w:p>
    <w:p w14:paraId="761B7945">
      <w:pPr>
        <w:pStyle w:val="43"/>
        <w:rPr>
          <w:rFonts w:hint="eastAsia" w:ascii="宋体" w:hAnsi="宋体" w:eastAsia="宋体" w:cs="宋体"/>
          <w:bCs/>
          <w:color w:val="auto"/>
          <w:sz w:val="24"/>
          <w:szCs w:val="21"/>
          <w:highlight w:val="none"/>
        </w:rPr>
      </w:pPr>
      <w:r>
        <w:rPr>
          <w:rFonts w:hint="eastAsia" w:ascii="宋体" w:hAnsi="宋体" w:eastAsia="宋体" w:cs="宋体"/>
          <w:bCs/>
          <w:color w:val="auto"/>
          <w:sz w:val="24"/>
          <w:szCs w:val="21"/>
          <w:highlight w:val="none"/>
        </w:rPr>
        <w:t xml:space="preserve">投标人名称  (盖章)：                            </w:t>
      </w:r>
    </w:p>
    <w:p w14:paraId="2FA72D03">
      <w:pPr>
        <w:pStyle w:val="43"/>
        <w:rPr>
          <w:rFonts w:hint="eastAsia" w:ascii="宋体" w:hAnsi="宋体" w:eastAsia="宋体" w:cs="宋体"/>
          <w:bCs/>
          <w:color w:val="auto"/>
          <w:sz w:val="24"/>
          <w:szCs w:val="21"/>
          <w:highlight w:val="none"/>
        </w:rPr>
      </w:pPr>
      <w:r>
        <w:rPr>
          <w:rFonts w:hint="eastAsia" w:ascii="宋体" w:hAnsi="宋体" w:eastAsia="宋体" w:cs="宋体"/>
          <w:bCs/>
          <w:color w:val="auto"/>
          <w:sz w:val="24"/>
          <w:szCs w:val="21"/>
          <w:highlight w:val="none"/>
        </w:rPr>
        <w:t>法定代表人或法定代表授权人(签字或盖章)：_______</w:t>
      </w:r>
    </w:p>
    <w:p w14:paraId="3CDF5EA5">
      <w:pPr>
        <w:pStyle w:val="43"/>
        <w:rPr>
          <w:rFonts w:hint="eastAsia" w:ascii="宋体" w:hAnsi="宋体" w:eastAsia="宋体" w:cs="宋体"/>
          <w:bCs/>
          <w:color w:val="auto"/>
          <w:sz w:val="24"/>
          <w:szCs w:val="21"/>
          <w:highlight w:val="none"/>
        </w:rPr>
      </w:pPr>
      <w:r>
        <w:rPr>
          <w:rFonts w:hint="eastAsia" w:ascii="宋体" w:hAnsi="宋体" w:eastAsia="宋体" w:cs="宋体"/>
          <w:bCs/>
          <w:color w:val="auto"/>
          <w:sz w:val="24"/>
          <w:szCs w:val="21"/>
          <w:highlight w:val="none"/>
        </w:rPr>
        <w:t>日期：   年   月   日</w:t>
      </w:r>
    </w:p>
    <w:p w14:paraId="448A2119">
      <w:pPr>
        <w:rPr>
          <w:rFonts w:hint="eastAsia" w:ascii="宋体" w:hAnsi="宋体" w:eastAsia="宋体" w:cs="宋体"/>
          <w:bCs/>
          <w:color w:val="auto"/>
          <w:sz w:val="24"/>
          <w:szCs w:val="21"/>
          <w:highlight w:val="none"/>
        </w:rPr>
        <w:sectPr>
          <w:footerReference r:id="rId7" w:type="first"/>
          <w:headerReference r:id="rId5" w:type="default"/>
          <w:footerReference r:id="rId6" w:type="default"/>
          <w:pgSz w:w="11906" w:h="16838"/>
          <w:pgMar w:top="1440" w:right="1326" w:bottom="1440" w:left="1500" w:header="851" w:footer="907" w:gutter="0"/>
          <w:cols w:space="720" w:num="1"/>
          <w:titlePg/>
          <w:docGrid w:type="lines" w:linePitch="290" w:charSpace="0"/>
        </w:sectPr>
      </w:pPr>
    </w:p>
    <w:p w14:paraId="72D62CF5">
      <w:pPr>
        <w:pStyle w:val="43"/>
        <w:ind w:left="0" w:leftChars="0" w:firstLine="0" w:firstLineChars="0"/>
        <w:rPr>
          <w:rFonts w:hint="eastAsia"/>
          <w:color w:val="auto"/>
          <w:highlight w:val="none"/>
        </w:rPr>
      </w:pPr>
    </w:p>
    <w:p w14:paraId="4147D0AA">
      <w:pPr>
        <w:rPr>
          <w:rFonts w:hint="eastAsia" w:ascii="宋体" w:hAnsi="宋体" w:eastAsia="宋体" w:cs="宋体"/>
          <w:b/>
          <w:color w:val="auto"/>
          <w:sz w:val="24"/>
          <w:szCs w:val="21"/>
          <w:highlight w:val="none"/>
        </w:rPr>
      </w:pPr>
      <w:r>
        <w:rPr>
          <w:rFonts w:hint="eastAsia" w:ascii="宋体" w:hAnsi="宋体" w:eastAsia="宋体" w:cs="宋体"/>
          <w:b/>
          <w:color w:val="auto"/>
          <w:sz w:val="24"/>
          <w:szCs w:val="21"/>
          <w:highlight w:val="none"/>
        </w:rPr>
        <w:t xml:space="preserve">附件5  </w:t>
      </w:r>
    </w:p>
    <w:p w14:paraId="483E1F00">
      <w:pPr>
        <w:snapToGrid w:val="0"/>
        <w:spacing w:line="300" w:lineRule="auto"/>
        <w:contextualSpacing/>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商务部分正负偏离表</w:t>
      </w:r>
    </w:p>
    <w:p w14:paraId="235D39E5">
      <w:pPr>
        <w:ind w:firstLine="560" w:firstLineChars="200"/>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（由供应商据实填写，表格不够自行添加）</w:t>
      </w:r>
    </w:p>
    <w:tbl>
      <w:tblPr>
        <w:tblStyle w:val="44"/>
        <w:tblW w:w="5000"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855"/>
        <w:gridCol w:w="2331"/>
        <w:gridCol w:w="2036"/>
        <w:gridCol w:w="2627"/>
        <w:gridCol w:w="1447"/>
      </w:tblGrid>
      <w:tr w14:paraId="5C02AA6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94" w:hRule="atLeast"/>
        </w:trPr>
        <w:tc>
          <w:tcPr>
            <w:tcW w:w="460" w:type="pct"/>
            <w:tcBorders>
              <w:top w:val="single" w:color="auto" w:sz="12" w:space="0"/>
              <w:left w:val="single" w:color="auto" w:sz="12" w:space="0"/>
              <w:bottom w:val="single" w:color="auto" w:sz="6" w:space="0"/>
              <w:right w:val="single" w:color="auto" w:sz="6" w:space="0"/>
            </w:tcBorders>
            <w:vAlign w:val="center"/>
          </w:tcPr>
          <w:p w14:paraId="6B9CDD3D">
            <w:pPr>
              <w:spacing w:line="34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序号</w:t>
            </w:r>
          </w:p>
        </w:tc>
        <w:tc>
          <w:tcPr>
            <w:tcW w:w="1254" w:type="pct"/>
            <w:tcBorders>
              <w:top w:val="single" w:color="auto" w:sz="12" w:space="0"/>
              <w:left w:val="single" w:color="auto" w:sz="6" w:space="0"/>
              <w:bottom w:val="single" w:color="auto" w:sz="6" w:space="0"/>
              <w:right w:val="single" w:color="auto" w:sz="6" w:space="0"/>
            </w:tcBorders>
            <w:vAlign w:val="center"/>
          </w:tcPr>
          <w:p w14:paraId="5D5A347C">
            <w:pPr>
              <w:spacing w:line="34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货物或服务名称</w:t>
            </w:r>
          </w:p>
        </w:tc>
        <w:tc>
          <w:tcPr>
            <w:tcW w:w="1095" w:type="pct"/>
            <w:tcBorders>
              <w:top w:val="single" w:color="auto" w:sz="12" w:space="0"/>
              <w:left w:val="single" w:color="auto" w:sz="6" w:space="0"/>
              <w:bottom w:val="single" w:color="auto" w:sz="6" w:space="0"/>
              <w:right w:val="single" w:color="auto" w:sz="6" w:space="0"/>
            </w:tcBorders>
            <w:vAlign w:val="center"/>
          </w:tcPr>
          <w:p w14:paraId="2C32FAB1">
            <w:pPr>
              <w:spacing w:line="34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磋商文件要求的商务条款</w:t>
            </w:r>
          </w:p>
        </w:tc>
        <w:tc>
          <w:tcPr>
            <w:tcW w:w="1413" w:type="pct"/>
            <w:tcBorders>
              <w:top w:val="single" w:color="auto" w:sz="12" w:space="0"/>
              <w:left w:val="single" w:color="auto" w:sz="6" w:space="0"/>
              <w:bottom w:val="single" w:color="auto" w:sz="6" w:space="0"/>
              <w:right w:val="single" w:color="auto" w:sz="6" w:space="0"/>
            </w:tcBorders>
            <w:vAlign w:val="center"/>
          </w:tcPr>
          <w:p w14:paraId="05BEF996">
            <w:pPr>
              <w:spacing w:line="34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响应文件响应情况</w:t>
            </w:r>
          </w:p>
        </w:tc>
        <w:tc>
          <w:tcPr>
            <w:tcW w:w="778" w:type="pct"/>
            <w:tcBorders>
              <w:top w:val="single" w:color="auto" w:sz="12" w:space="0"/>
              <w:left w:val="single" w:color="auto" w:sz="6" w:space="0"/>
              <w:bottom w:val="single" w:color="auto" w:sz="6" w:space="0"/>
              <w:right w:val="single" w:color="auto" w:sz="12" w:space="0"/>
            </w:tcBorders>
          </w:tcPr>
          <w:p w14:paraId="5AEEEAA8">
            <w:pPr>
              <w:spacing w:line="340" w:lineRule="exact"/>
              <w:jc w:val="center"/>
              <w:rPr>
                <w:rFonts w:hint="eastAsia" w:ascii="宋体" w:hAnsi="宋体" w:eastAsia="宋体" w:cs="宋体"/>
                <w:color w:val="auto"/>
                <w:sz w:val="24"/>
                <w:highlight w:val="none"/>
              </w:rPr>
            </w:pPr>
          </w:p>
          <w:p w14:paraId="4CB1A886">
            <w:pPr>
              <w:spacing w:line="34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偏离说明</w:t>
            </w:r>
          </w:p>
        </w:tc>
      </w:tr>
      <w:tr w14:paraId="133A790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4" w:hRule="atLeast"/>
        </w:trPr>
        <w:tc>
          <w:tcPr>
            <w:tcW w:w="460" w:type="pct"/>
            <w:tcBorders>
              <w:top w:val="single" w:color="auto" w:sz="6" w:space="0"/>
              <w:left w:val="single" w:color="auto" w:sz="12" w:space="0"/>
              <w:bottom w:val="single" w:color="auto" w:sz="6" w:space="0"/>
              <w:right w:val="single" w:color="auto" w:sz="6" w:space="0"/>
            </w:tcBorders>
          </w:tcPr>
          <w:p w14:paraId="6E6E65A4">
            <w:pPr>
              <w:spacing w:line="34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p>
        </w:tc>
        <w:tc>
          <w:tcPr>
            <w:tcW w:w="1254" w:type="pct"/>
            <w:tcBorders>
              <w:top w:val="single" w:color="auto" w:sz="6" w:space="0"/>
              <w:left w:val="single" w:color="auto" w:sz="6" w:space="0"/>
              <w:bottom w:val="single" w:color="auto" w:sz="6" w:space="0"/>
              <w:right w:val="single" w:color="auto" w:sz="6" w:space="0"/>
            </w:tcBorders>
            <w:vAlign w:val="center"/>
          </w:tcPr>
          <w:p w14:paraId="112417ED">
            <w:pPr>
              <w:spacing w:line="340" w:lineRule="exact"/>
              <w:jc w:val="left"/>
              <w:rPr>
                <w:rFonts w:hint="eastAsia" w:ascii="宋体" w:hAnsi="宋体" w:eastAsia="宋体" w:cs="宋体"/>
                <w:color w:val="auto"/>
                <w:sz w:val="24"/>
                <w:highlight w:val="none"/>
              </w:rPr>
            </w:pPr>
          </w:p>
        </w:tc>
        <w:tc>
          <w:tcPr>
            <w:tcW w:w="1095" w:type="pct"/>
            <w:tcBorders>
              <w:top w:val="single" w:color="auto" w:sz="6" w:space="0"/>
              <w:left w:val="single" w:color="auto" w:sz="6" w:space="0"/>
              <w:bottom w:val="single" w:color="auto" w:sz="6" w:space="0"/>
              <w:right w:val="single" w:color="auto" w:sz="6" w:space="0"/>
            </w:tcBorders>
            <w:vAlign w:val="center"/>
          </w:tcPr>
          <w:p w14:paraId="62EA00E2">
            <w:pPr>
              <w:spacing w:line="340" w:lineRule="exact"/>
              <w:jc w:val="left"/>
              <w:rPr>
                <w:rFonts w:hint="eastAsia" w:ascii="宋体" w:hAnsi="宋体" w:eastAsia="宋体" w:cs="宋体"/>
                <w:color w:val="auto"/>
                <w:sz w:val="24"/>
                <w:highlight w:val="none"/>
              </w:rPr>
            </w:pPr>
          </w:p>
        </w:tc>
        <w:tc>
          <w:tcPr>
            <w:tcW w:w="1413" w:type="pct"/>
            <w:tcBorders>
              <w:top w:val="single" w:color="auto" w:sz="6" w:space="0"/>
              <w:left w:val="single" w:color="auto" w:sz="6" w:space="0"/>
              <w:bottom w:val="single" w:color="auto" w:sz="6" w:space="0"/>
              <w:right w:val="single" w:color="auto" w:sz="6" w:space="0"/>
            </w:tcBorders>
            <w:vAlign w:val="center"/>
          </w:tcPr>
          <w:p w14:paraId="37FC7C60">
            <w:pPr>
              <w:spacing w:line="340" w:lineRule="exact"/>
              <w:jc w:val="left"/>
              <w:rPr>
                <w:rFonts w:hint="eastAsia" w:ascii="宋体" w:hAnsi="宋体" w:eastAsia="宋体" w:cs="宋体"/>
                <w:color w:val="auto"/>
                <w:sz w:val="24"/>
                <w:highlight w:val="none"/>
              </w:rPr>
            </w:pPr>
          </w:p>
        </w:tc>
        <w:tc>
          <w:tcPr>
            <w:tcW w:w="778" w:type="pct"/>
            <w:tcBorders>
              <w:top w:val="single" w:color="auto" w:sz="6" w:space="0"/>
              <w:left w:val="single" w:color="auto" w:sz="6" w:space="0"/>
              <w:bottom w:val="single" w:color="auto" w:sz="6" w:space="0"/>
              <w:right w:val="single" w:color="auto" w:sz="12" w:space="0"/>
            </w:tcBorders>
          </w:tcPr>
          <w:p w14:paraId="20566AD6">
            <w:pPr>
              <w:spacing w:line="340" w:lineRule="exact"/>
              <w:jc w:val="left"/>
              <w:rPr>
                <w:rFonts w:hint="eastAsia" w:ascii="宋体" w:hAnsi="宋体" w:eastAsia="宋体" w:cs="宋体"/>
                <w:color w:val="auto"/>
                <w:sz w:val="24"/>
                <w:highlight w:val="none"/>
              </w:rPr>
            </w:pPr>
          </w:p>
        </w:tc>
      </w:tr>
      <w:tr w14:paraId="71024FA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8" w:hRule="atLeast"/>
        </w:trPr>
        <w:tc>
          <w:tcPr>
            <w:tcW w:w="460" w:type="pct"/>
            <w:tcBorders>
              <w:top w:val="single" w:color="auto" w:sz="6" w:space="0"/>
              <w:left w:val="single" w:color="auto" w:sz="12" w:space="0"/>
              <w:bottom w:val="single" w:color="auto" w:sz="6" w:space="0"/>
              <w:right w:val="single" w:color="auto" w:sz="6" w:space="0"/>
            </w:tcBorders>
          </w:tcPr>
          <w:p w14:paraId="7D3301DC">
            <w:pPr>
              <w:spacing w:line="34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p>
        </w:tc>
        <w:tc>
          <w:tcPr>
            <w:tcW w:w="1254" w:type="pct"/>
            <w:tcBorders>
              <w:top w:val="single" w:color="auto" w:sz="6" w:space="0"/>
              <w:left w:val="single" w:color="auto" w:sz="6" w:space="0"/>
              <w:bottom w:val="single" w:color="auto" w:sz="6" w:space="0"/>
              <w:right w:val="single" w:color="auto" w:sz="6" w:space="0"/>
            </w:tcBorders>
            <w:vAlign w:val="center"/>
          </w:tcPr>
          <w:p w14:paraId="5FDAD82E">
            <w:pPr>
              <w:spacing w:line="340" w:lineRule="exact"/>
              <w:jc w:val="left"/>
              <w:rPr>
                <w:rFonts w:hint="eastAsia" w:ascii="宋体" w:hAnsi="宋体" w:eastAsia="宋体" w:cs="宋体"/>
                <w:color w:val="auto"/>
                <w:sz w:val="24"/>
                <w:highlight w:val="none"/>
              </w:rPr>
            </w:pPr>
          </w:p>
        </w:tc>
        <w:tc>
          <w:tcPr>
            <w:tcW w:w="1095" w:type="pct"/>
            <w:tcBorders>
              <w:top w:val="single" w:color="auto" w:sz="6" w:space="0"/>
              <w:left w:val="single" w:color="auto" w:sz="6" w:space="0"/>
              <w:bottom w:val="single" w:color="auto" w:sz="6" w:space="0"/>
              <w:right w:val="single" w:color="auto" w:sz="6" w:space="0"/>
            </w:tcBorders>
            <w:vAlign w:val="center"/>
          </w:tcPr>
          <w:p w14:paraId="0A6B5F25">
            <w:pPr>
              <w:spacing w:line="340" w:lineRule="exact"/>
              <w:jc w:val="left"/>
              <w:rPr>
                <w:rFonts w:hint="eastAsia" w:ascii="宋体" w:hAnsi="宋体" w:eastAsia="宋体" w:cs="宋体"/>
                <w:color w:val="auto"/>
                <w:sz w:val="24"/>
                <w:highlight w:val="none"/>
              </w:rPr>
            </w:pPr>
          </w:p>
        </w:tc>
        <w:tc>
          <w:tcPr>
            <w:tcW w:w="1413" w:type="pct"/>
            <w:tcBorders>
              <w:top w:val="single" w:color="auto" w:sz="6" w:space="0"/>
              <w:left w:val="single" w:color="auto" w:sz="6" w:space="0"/>
              <w:bottom w:val="single" w:color="auto" w:sz="6" w:space="0"/>
              <w:right w:val="single" w:color="auto" w:sz="6" w:space="0"/>
            </w:tcBorders>
            <w:vAlign w:val="center"/>
          </w:tcPr>
          <w:p w14:paraId="45521ACB">
            <w:pPr>
              <w:spacing w:line="340" w:lineRule="exact"/>
              <w:jc w:val="left"/>
              <w:rPr>
                <w:rFonts w:hint="eastAsia" w:ascii="宋体" w:hAnsi="宋体" w:eastAsia="宋体" w:cs="宋体"/>
                <w:color w:val="auto"/>
                <w:sz w:val="24"/>
                <w:highlight w:val="none"/>
              </w:rPr>
            </w:pPr>
          </w:p>
        </w:tc>
        <w:tc>
          <w:tcPr>
            <w:tcW w:w="778" w:type="pct"/>
            <w:tcBorders>
              <w:top w:val="single" w:color="auto" w:sz="6" w:space="0"/>
              <w:left w:val="single" w:color="auto" w:sz="6" w:space="0"/>
              <w:bottom w:val="single" w:color="auto" w:sz="6" w:space="0"/>
              <w:right w:val="single" w:color="auto" w:sz="12" w:space="0"/>
            </w:tcBorders>
          </w:tcPr>
          <w:p w14:paraId="40F0D146">
            <w:pPr>
              <w:spacing w:line="340" w:lineRule="exact"/>
              <w:jc w:val="left"/>
              <w:rPr>
                <w:rFonts w:hint="eastAsia" w:ascii="宋体" w:hAnsi="宋体" w:eastAsia="宋体" w:cs="宋体"/>
                <w:color w:val="auto"/>
                <w:sz w:val="24"/>
                <w:highlight w:val="none"/>
              </w:rPr>
            </w:pPr>
          </w:p>
        </w:tc>
      </w:tr>
      <w:tr w14:paraId="7B3853D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460" w:type="pct"/>
            <w:tcBorders>
              <w:top w:val="single" w:color="auto" w:sz="6" w:space="0"/>
              <w:left w:val="single" w:color="auto" w:sz="12" w:space="0"/>
              <w:bottom w:val="single" w:color="auto" w:sz="6" w:space="0"/>
              <w:right w:val="single" w:color="auto" w:sz="6" w:space="0"/>
            </w:tcBorders>
          </w:tcPr>
          <w:p w14:paraId="5B19B78D">
            <w:pPr>
              <w:spacing w:line="34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p>
        </w:tc>
        <w:tc>
          <w:tcPr>
            <w:tcW w:w="1254" w:type="pct"/>
            <w:tcBorders>
              <w:top w:val="single" w:color="auto" w:sz="6" w:space="0"/>
              <w:left w:val="single" w:color="auto" w:sz="6" w:space="0"/>
              <w:bottom w:val="single" w:color="auto" w:sz="6" w:space="0"/>
              <w:right w:val="single" w:color="auto" w:sz="6" w:space="0"/>
            </w:tcBorders>
            <w:vAlign w:val="center"/>
          </w:tcPr>
          <w:p w14:paraId="24DCA7B6">
            <w:pPr>
              <w:spacing w:line="340" w:lineRule="exact"/>
              <w:jc w:val="left"/>
              <w:rPr>
                <w:rFonts w:hint="eastAsia" w:ascii="宋体" w:hAnsi="宋体" w:eastAsia="宋体" w:cs="宋体"/>
                <w:color w:val="auto"/>
                <w:sz w:val="24"/>
                <w:highlight w:val="none"/>
              </w:rPr>
            </w:pPr>
          </w:p>
        </w:tc>
        <w:tc>
          <w:tcPr>
            <w:tcW w:w="1095" w:type="pct"/>
            <w:tcBorders>
              <w:top w:val="single" w:color="auto" w:sz="6" w:space="0"/>
              <w:left w:val="single" w:color="auto" w:sz="6" w:space="0"/>
              <w:bottom w:val="single" w:color="auto" w:sz="6" w:space="0"/>
              <w:right w:val="single" w:color="auto" w:sz="6" w:space="0"/>
            </w:tcBorders>
            <w:vAlign w:val="center"/>
          </w:tcPr>
          <w:p w14:paraId="51AE75F5">
            <w:pPr>
              <w:spacing w:line="340" w:lineRule="exact"/>
              <w:jc w:val="left"/>
              <w:rPr>
                <w:rFonts w:hint="eastAsia" w:ascii="宋体" w:hAnsi="宋体" w:eastAsia="宋体" w:cs="宋体"/>
                <w:color w:val="auto"/>
                <w:sz w:val="24"/>
                <w:highlight w:val="none"/>
              </w:rPr>
            </w:pPr>
          </w:p>
        </w:tc>
        <w:tc>
          <w:tcPr>
            <w:tcW w:w="1413" w:type="pct"/>
            <w:tcBorders>
              <w:top w:val="single" w:color="auto" w:sz="6" w:space="0"/>
              <w:left w:val="single" w:color="auto" w:sz="6" w:space="0"/>
              <w:bottom w:val="single" w:color="auto" w:sz="6" w:space="0"/>
              <w:right w:val="single" w:color="auto" w:sz="6" w:space="0"/>
            </w:tcBorders>
            <w:vAlign w:val="center"/>
          </w:tcPr>
          <w:p w14:paraId="28099EC6">
            <w:pPr>
              <w:spacing w:line="340" w:lineRule="exact"/>
              <w:jc w:val="left"/>
              <w:rPr>
                <w:rFonts w:hint="eastAsia" w:ascii="宋体" w:hAnsi="宋体" w:eastAsia="宋体" w:cs="宋体"/>
                <w:color w:val="auto"/>
                <w:sz w:val="24"/>
                <w:highlight w:val="none"/>
              </w:rPr>
            </w:pPr>
          </w:p>
        </w:tc>
        <w:tc>
          <w:tcPr>
            <w:tcW w:w="778" w:type="pct"/>
            <w:tcBorders>
              <w:top w:val="single" w:color="auto" w:sz="6" w:space="0"/>
              <w:left w:val="single" w:color="auto" w:sz="6" w:space="0"/>
              <w:bottom w:val="single" w:color="auto" w:sz="6" w:space="0"/>
              <w:right w:val="single" w:color="auto" w:sz="12" w:space="0"/>
            </w:tcBorders>
          </w:tcPr>
          <w:p w14:paraId="7C221109">
            <w:pPr>
              <w:spacing w:line="340" w:lineRule="exact"/>
              <w:jc w:val="left"/>
              <w:rPr>
                <w:rFonts w:hint="eastAsia" w:ascii="宋体" w:hAnsi="宋体" w:eastAsia="宋体" w:cs="宋体"/>
                <w:color w:val="auto"/>
                <w:sz w:val="24"/>
                <w:highlight w:val="none"/>
              </w:rPr>
            </w:pPr>
          </w:p>
        </w:tc>
      </w:tr>
      <w:tr w14:paraId="23567FA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9" w:hRule="atLeast"/>
        </w:trPr>
        <w:tc>
          <w:tcPr>
            <w:tcW w:w="460" w:type="pct"/>
            <w:tcBorders>
              <w:top w:val="single" w:color="auto" w:sz="6" w:space="0"/>
              <w:left w:val="single" w:color="auto" w:sz="12" w:space="0"/>
              <w:bottom w:val="single" w:color="auto" w:sz="6" w:space="0"/>
              <w:right w:val="single" w:color="auto" w:sz="6" w:space="0"/>
            </w:tcBorders>
          </w:tcPr>
          <w:p w14:paraId="3535B566">
            <w:pPr>
              <w:spacing w:line="34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4</w:t>
            </w:r>
          </w:p>
        </w:tc>
        <w:tc>
          <w:tcPr>
            <w:tcW w:w="1254" w:type="pct"/>
            <w:tcBorders>
              <w:top w:val="single" w:color="auto" w:sz="6" w:space="0"/>
              <w:left w:val="single" w:color="auto" w:sz="6" w:space="0"/>
              <w:bottom w:val="single" w:color="auto" w:sz="6" w:space="0"/>
              <w:right w:val="single" w:color="auto" w:sz="6" w:space="0"/>
            </w:tcBorders>
            <w:vAlign w:val="center"/>
          </w:tcPr>
          <w:p w14:paraId="2C6D5B07">
            <w:pPr>
              <w:spacing w:line="340" w:lineRule="exact"/>
              <w:jc w:val="left"/>
              <w:rPr>
                <w:rFonts w:hint="eastAsia" w:ascii="宋体" w:hAnsi="宋体" w:eastAsia="宋体" w:cs="宋体"/>
                <w:color w:val="auto"/>
                <w:sz w:val="24"/>
                <w:highlight w:val="none"/>
              </w:rPr>
            </w:pPr>
          </w:p>
        </w:tc>
        <w:tc>
          <w:tcPr>
            <w:tcW w:w="1095" w:type="pct"/>
            <w:tcBorders>
              <w:top w:val="single" w:color="auto" w:sz="6" w:space="0"/>
              <w:left w:val="single" w:color="auto" w:sz="6" w:space="0"/>
              <w:bottom w:val="single" w:color="auto" w:sz="6" w:space="0"/>
              <w:right w:val="single" w:color="auto" w:sz="6" w:space="0"/>
            </w:tcBorders>
            <w:vAlign w:val="center"/>
          </w:tcPr>
          <w:p w14:paraId="7865611D">
            <w:pPr>
              <w:spacing w:line="340" w:lineRule="exact"/>
              <w:jc w:val="left"/>
              <w:rPr>
                <w:rFonts w:hint="eastAsia" w:ascii="宋体" w:hAnsi="宋体" w:eastAsia="宋体" w:cs="宋体"/>
                <w:color w:val="auto"/>
                <w:sz w:val="24"/>
                <w:highlight w:val="none"/>
              </w:rPr>
            </w:pPr>
          </w:p>
        </w:tc>
        <w:tc>
          <w:tcPr>
            <w:tcW w:w="1413" w:type="pct"/>
            <w:tcBorders>
              <w:top w:val="single" w:color="auto" w:sz="6" w:space="0"/>
              <w:left w:val="single" w:color="auto" w:sz="6" w:space="0"/>
              <w:bottom w:val="single" w:color="auto" w:sz="6" w:space="0"/>
              <w:right w:val="single" w:color="auto" w:sz="6" w:space="0"/>
            </w:tcBorders>
            <w:vAlign w:val="center"/>
          </w:tcPr>
          <w:p w14:paraId="20173571">
            <w:pPr>
              <w:spacing w:line="340" w:lineRule="exact"/>
              <w:jc w:val="left"/>
              <w:rPr>
                <w:rFonts w:hint="eastAsia" w:ascii="宋体" w:hAnsi="宋体" w:eastAsia="宋体" w:cs="宋体"/>
                <w:color w:val="auto"/>
                <w:sz w:val="24"/>
                <w:highlight w:val="none"/>
              </w:rPr>
            </w:pPr>
          </w:p>
        </w:tc>
        <w:tc>
          <w:tcPr>
            <w:tcW w:w="778" w:type="pct"/>
            <w:tcBorders>
              <w:top w:val="single" w:color="auto" w:sz="6" w:space="0"/>
              <w:left w:val="single" w:color="auto" w:sz="6" w:space="0"/>
              <w:bottom w:val="single" w:color="auto" w:sz="6" w:space="0"/>
              <w:right w:val="single" w:color="auto" w:sz="12" w:space="0"/>
            </w:tcBorders>
          </w:tcPr>
          <w:p w14:paraId="7AD1F14F">
            <w:pPr>
              <w:spacing w:line="340" w:lineRule="exact"/>
              <w:jc w:val="left"/>
              <w:rPr>
                <w:rFonts w:hint="eastAsia" w:ascii="宋体" w:hAnsi="宋体" w:eastAsia="宋体" w:cs="宋体"/>
                <w:color w:val="auto"/>
                <w:sz w:val="24"/>
                <w:highlight w:val="none"/>
              </w:rPr>
            </w:pPr>
          </w:p>
        </w:tc>
      </w:tr>
    </w:tbl>
    <w:p w14:paraId="674B8AF6">
      <w:pPr>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p>
    <w:p w14:paraId="75D1C779">
      <w:pPr>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 供应商提交的响应文件中与磋商文件第四章“采购需求”中的商务部分的要求如有偏离的，应逐条填列在偏离表中。如果磋商文件要求提供证明材料，供应商需将证明材料列于该表之下。</w:t>
      </w:r>
    </w:p>
    <w:p w14:paraId="68A81B72">
      <w:pPr>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2.“偏离说明”一栏选择“正偏离”、“无偏离”、“负偏离”进行填写。未填写的内容视为完全响应本磋商文件要求。正偏离、无偏离的确认和负偏离的是否响应磋商文件，由评委认定。</w:t>
      </w:r>
    </w:p>
    <w:p w14:paraId="5B2CDC86">
      <w:pPr>
        <w:spacing w:before="32" w:line="209" w:lineRule="auto"/>
        <w:rPr>
          <w:rFonts w:hint="eastAsia" w:ascii="宋体" w:hAnsi="宋体" w:eastAsia="宋体" w:cs="宋体"/>
          <w:color w:val="auto"/>
          <w:sz w:val="24"/>
          <w:szCs w:val="24"/>
          <w:highlight w:val="none"/>
        </w:rPr>
      </w:pPr>
      <w:r>
        <w:rPr>
          <w:rFonts w:hint="eastAsia" w:ascii="宋体" w:hAnsi="宋体" w:eastAsia="宋体" w:cs="宋体"/>
          <w:b/>
          <w:color w:val="auto"/>
          <w:sz w:val="24"/>
          <w:szCs w:val="21"/>
          <w:highlight w:val="none"/>
        </w:rPr>
        <w:t>3.</w:t>
      </w:r>
      <w:r>
        <w:rPr>
          <w:rFonts w:hint="eastAsia" w:ascii="宋体" w:hAnsi="宋体" w:eastAsia="宋体" w:cs="宋体"/>
          <w:color w:val="auto"/>
          <w:spacing w:val="-2"/>
          <w:sz w:val="24"/>
          <w:szCs w:val="24"/>
          <w:highlight w:val="none"/>
        </w:rPr>
        <w:t>供应商若提供其他增值服务，可以在表中自行据实填写。</w:t>
      </w:r>
    </w:p>
    <w:p w14:paraId="15FB05A3">
      <w:pPr>
        <w:snapToGrid w:val="0"/>
        <w:spacing w:line="300" w:lineRule="auto"/>
        <w:contextualSpacing/>
        <w:rPr>
          <w:rFonts w:hint="eastAsia" w:ascii="宋体" w:hAnsi="宋体" w:eastAsia="宋体" w:cs="宋体"/>
          <w:b/>
          <w:color w:val="auto"/>
          <w:sz w:val="24"/>
          <w:szCs w:val="24"/>
          <w:highlight w:val="none"/>
        </w:rPr>
      </w:pPr>
    </w:p>
    <w:p w14:paraId="54331FDF">
      <w:pPr>
        <w:spacing w:before="83" w:line="472" w:lineRule="auto"/>
        <w:ind w:left="57" w:right="5365" w:hanging="36"/>
        <w:rPr>
          <w:rFonts w:hint="eastAsia" w:ascii="宋体" w:hAnsi="宋体" w:eastAsia="宋体" w:cs="宋体"/>
          <w:color w:val="auto"/>
          <w:spacing w:val="1"/>
          <w:sz w:val="24"/>
          <w:szCs w:val="24"/>
          <w:highlight w:val="none"/>
        </w:rPr>
      </w:pPr>
      <w:r>
        <w:rPr>
          <w:rFonts w:hint="eastAsia" w:ascii="宋体" w:hAnsi="宋体" w:eastAsia="宋体" w:cs="宋体"/>
          <w:color w:val="auto"/>
          <w:spacing w:val="-5"/>
          <w:sz w:val="24"/>
          <w:szCs w:val="24"/>
          <w:highlight w:val="none"/>
        </w:rPr>
        <w:t>供应商全称（加盖CA电子公章</w:t>
      </w:r>
      <w:r>
        <w:rPr>
          <w:rFonts w:hint="eastAsia" w:ascii="宋体" w:hAnsi="宋体" w:eastAsia="宋体" w:cs="宋体"/>
          <w:color w:val="auto"/>
          <w:spacing w:val="1"/>
          <w:sz w:val="24"/>
          <w:szCs w:val="24"/>
          <w:highlight w:val="none"/>
        </w:rPr>
        <w:t xml:space="preserve">）： </w:t>
      </w:r>
    </w:p>
    <w:p w14:paraId="4515FB5A">
      <w:pPr>
        <w:spacing w:before="83" w:line="472" w:lineRule="auto"/>
        <w:ind w:left="57" w:right="5365" w:hanging="36"/>
        <w:rPr>
          <w:rFonts w:hint="eastAsia" w:ascii="宋体" w:hAnsi="宋体" w:eastAsia="宋体" w:cs="宋体"/>
          <w:color w:val="auto"/>
          <w:sz w:val="24"/>
          <w:szCs w:val="24"/>
          <w:highlight w:val="none"/>
        </w:rPr>
      </w:pPr>
      <w:r>
        <w:rPr>
          <w:rFonts w:hint="eastAsia" w:ascii="宋体" w:hAnsi="宋体" w:eastAsia="宋体" w:cs="宋体"/>
          <w:color w:val="auto"/>
          <w:spacing w:val="-27"/>
          <w:sz w:val="24"/>
          <w:szCs w:val="24"/>
          <w:highlight w:val="none"/>
        </w:rPr>
        <w:t>日期 ：   年  月  日</w:t>
      </w:r>
    </w:p>
    <w:p w14:paraId="088C063C">
      <w:pPr>
        <w:snapToGrid w:val="0"/>
        <w:spacing w:line="300" w:lineRule="auto"/>
        <w:contextualSpacing/>
        <w:rPr>
          <w:rFonts w:hint="eastAsia" w:ascii="宋体" w:hAnsi="宋体" w:eastAsia="宋体" w:cs="宋体"/>
          <w:b/>
          <w:color w:val="auto"/>
          <w:sz w:val="24"/>
          <w:szCs w:val="24"/>
          <w:highlight w:val="none"/>
        </w:rPr>
      </w:pPr>
    </w:p>
    <w:p w14:paraId="61CDE79D">
      <w:pPr>
        <w:snapToGrid w:val="0"/>
        <w:spacing w:line="300" w:lineRule="auto"/>
        <w:contextualSpacing/>
        <w:rPr>
          <w:rFonts w:hint="eastAsia" w:ascii="宋体" w:hAnsi="宋体" w:eastAsia="宋体" w:cs="宋体"/>
          <w:b/>
          <w:color w:val="auto"/>
          <w:sz w:val="24"/>
          <w:szCs w:val="24"/>
          <w:highlight w:val="none"/>
        </w:rPr>
      </w:pPr>
    </w:p>
    <w:p w14:paraId="3D70D4FA">
      <w:pPr>
        <w:snapToGrid w:val="0"/>
        <w:spacing w:line="300" w:lineRule="auto"/>
        <w:contextualSpacing/>
        <w:rPr>
          <w:rFonts w:hint="eastAsia" w:ascii="宋体" w:hAnsi="宋体" w:eastAsia="宋体" w:cs="宋体"/>
          <w:b/>
          <w:color w:val="auto"/>
          <w:sz w:val="24"/>
          <w:szCs w:val="24"/>
          <w:highlight w:val="none"/>
        </w:rPr>
      </w:pPr>
    </w:p>
    <w:p w14:paraId="4DAA569F">
      <w:pPr>
        <w:snapToGrid w:val="0"/>
        <w:spacing w:line="300" w:lineRule="auto"/>
        <w:contextualSpacing/>
        <w:rPr>
          <w:rFonts w:hint="eastAsia" w:ascii="宋体" w:hAnsi="宋体" w:eastAsia="宋体" w:cs="宋体"/>
          <w:b/>
          <w:color w:val="auto"/>
          <w:sz w:val="24"/>
          <w:szCs w:val="24"/>
          <w:highlight w:val="none"/>
        </w:rPr>
      </w:pPr>
    </w:p>
    <w:p w14:paraId="22008EF2">
      <w:pPr>
        <w:snapToGrid w:val="0"/>
        <w:spacing w:line="300" w:lineRule="auto"/>
        <w:contextualSpacing/>
        <w:rPr>
          <w:rFonts w:hint="eastAsia" w:ascii="宋体" w:hAnsi="宋体" w:eastAsia="宋体" w:cs="宋体"/>
          <w:b/>
          <w:color w:val="auto"/>
          <w:sz w:val="24"/>
          <w:szCs w:val="24"/>
          <w:highlight w:val="none"/>
        </w:rPr>
      </w:pPr>
    </w:p>
    <w:p w14:paraId="5DA9CE61">
      <w:pPr>
        <w:snapToGrid w:val="0"/>
        <w:spacing w:line="300" w:lineRule="auto"/>
        <w:contextualSpacing/>
        <w:rPr>
          <w:rFonts w:hint="eastAsia" w:ascii="宋体" w:hAnsi="宋体" w:eastAsia="宋体" w:cs="宋体"/>
          <w:b/>
          <w:color w:val="auto"/>
          <w:sz w:val="24"/>
          <w:szCs w:val="24"/>
          <w:highlight w:val="none"/>
        </w:rPr>
      </w:pPr>
    </w:p>
    <w:p w14:paraId="10192416">
      <w:pPr>
        <w:snapToGrid w:val="0"/>
        <w:spacing w:line="300" w:lineRule="auto"/>
        <w:contextualSpacing/>
        <w:rPr>
          <w:rFonts w:hint="eastAsia" w:ascii="宋体" w:hAnsi="宋体" w:eastAsia="宋体" w:cs="宋体"/>
          <w:color w:val="auto"/>
          <w:sz w:val="24"/>
          <w:highlight w:val="none"/>
        </w:rPr>
      </w:pPr>
    </w:p>
    <w:p w14:paraId="6B142189">
      <w:pPr>
        <w:pStyle w:val="43"/>
        <w:rPr>
          <w:rFonts w:hint="eastAsia" w:ascii="宋体" w:hAnsi="宋体" w:eastAsia="宋体" w:cs="宋体"/>
          <w:color w:val="auto"/>
          <w:highlight w:val="none"/>
        </w:rPr>
      </w:pPr>
    </w:p>
    <w:p w14:paraId="3E8E6286">
      <w:pPr>
        <w:ind w:left="480"/>
        <w:rPr>
          <w:rFonts w:hint="eastAsia" w:ascii="宋体" w:hAnsi="宋体" w:eastAsia="宋体" w:cs="宋体"/>
          <w:b/>
          <w:i/>
          <w:color w:val="auto"/>
          <w:sz w:val="24"/>
          <w:szCs w:val="21"/>
          <w:highlight w:val="none"/>
          <w:u w:val="single"/>
        </w:rPr>
      </w:pPr>
    </w:p>
    <w:p w14:paraId="716AD377">
      <w:pPr>
        <w:rPr>
          <w:rFonts w:hint="eastAsia" w:ascii="宋体" w:hAnsi="宋体" w:eastAsia="宋体" w:cs="宋体"/>
          <w:b/>
          <w:color w:val="auto"/>
          <w:sz w:val="24"/>
          <w:szCs w:val="24"/>
          <w:highlight w:val="none"/>
        </w:rPr>
      </w:pPr>
      <w:r>
        <w:rPr>
          <w:rFonts w:hint="eastAsia" w:ascii="宋体" w:hAnsi="宋体" w:eastAsia="宋体" w:cs="宋体"/>
          <w:b/>
          <w:color w:val="auto"/>
          <w:sz w:val="24"/>
          <w:szCs w:val="21"/>
          <w:highlight w:val="none"/>
        </w:rPr>
        <w:t>附件6</w:t>
      </w:r>
    </w:p>
    <w:p w14:paraId="48B4CB77">
      <w:pPr>
        <w:rPr>
          <w:rFonts w:hint="eastAsia" w:ascii="宋体" w:hAnsi="宋体" w:eastAsia="宋体" w:cs="宋体"/>
          <w:b/>
          <w:color w:val="auto"/>
          <w:sz w:val="24"/>
          <w:szCs w:val="21"/>
          <w:highlight w:val="none"/>
        </w:rPr>
      </w:pPr>
    </w:p>
    <w:p w14:paraId="515FE2D9">
      <w:pPr>
        <w:snapToGrid w:val="0"/>
        <w:spacing w:line="300" w:lineRule="auto"/>
        <w:ind w:firstLine="3534" w:firstLineChars="1100"/>
        <w:contextualSpacing/>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技术部分正负偏离表</w:t>
      </w:r>
    </w:p>
    <w:p w14:paraId="430F28AA">
      <w:pPr>
        <w:ind w:firstLine="560" w:firstLineChars="200"/>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（由供应商据实填写，表格不够自行添加）</w:t>
      </w:r>
    </w:p>
    <w:tbl>
      <w:tblPr>
        <w:tblStyle w:val="44"/>
        <w:tblW w:w="5000"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855"/>
        <w:gridCol w:w="2331"/>
        <w:gridCol w:w="2036"/>
        <w:gridCol w:w="2627"/>
        <w:gridCol w:w="1447"/>
      </w:tblGrid>
      <w:tr w14:paraId="4D2F4AF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94" w:hRule="atLeast"/>
        </w:trPr>
        <w:tc>
          <w:tcPr>
            <w:tcW w:w="460" w:type="pct"/>
            <w:tcBorders>
              <w:top w:val="single" w:color="auto" w:sz="12" w:space="0"/>
              <w:left w:val="single" w:color="auto" w:sz="12" w:space="0"/>
              <w:bottom w:val="single" w:color="auto" w:sz="6" w:space="0"/>
              <w:right w:val="single" w:color="auto" w:sz="6" w:space="0"/>
            </w:tcBorders>
            <w:vAlign w:val="center"/>
          </w:tcPr>
          <w:p w14:paraId="107547E5">
            <w:pPr>
              <w:spacing w:line="34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序号</w:t>
            </w:r>
          </w:p>
        </w:tc>
        <w:tc>
          <w:tcPr>
            <w:tcW w:w="1254" w:type="pct"/>
            <w:tcBorders>
              <w:top w:val="single" w:color="auto" w:sz="12" w:space="0"/>
              <w:left w:val="single" w:color="auto" w:sz="6" w:space="0"/>
              <w:bottom w:val="single" w:color="auto" w:sz="6" w:space="0"/>
              <w:right w:val="single" w:color="auto" w:sz="6" w:space="0"/>
            </w:tcBorders>
            <w:vAlign w:val="center"/>
          </w:tcPr>
          <w:p w14:paraId="75361E2E">
            <w:pPr>
              <w:spacing w:line="34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货物或服务名称</w:t>
            </w:r>
          </w:p>
        </w:tc>
        <w:tc>
          <w:tcPr>
            <w:tcW w:w="1095" w:type="pct"/>
            <w:tcBorders>
              <w:top w:val="single" w:color="auto" w:sz="12" w:space="0"/>
              <w:left w:val="single" w:color="auto" w:sz="6" w:space="0"/>
              <w:bottom w:val="single" w:color="auto" w:sz="6" w:space="0"/>
              <w:right w:val="single" w:color="auto" w:sz="6" w:space="0"/>
            </w:tcBorders>
            <w:vAlign w:val="center"/>
          </w:tcPr>
          <w:p w14:paraId="36975597">
            <w:pPr>
              <w:spacing w:line="34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磋商文件要求的技术要求</w:t>
            </w:r>
          </w:p>
        </w:tc>
        <w:tc>
          <w:tcPr>
            <w:tcW w:w="1413" w:type="pct"/>
            <w:tcBorders>
              <w:top w:val="single" w:color="auto" w:sz="12" w:space="0"/>
              <w:left w:val="single" w:color="auto" w:sz="6" w:space="0"/>
              <w:bottom w:val="single" w:color="auto" w:sz="6" w:space="0"/>
              <w:right w:val="single" w:color="auto" w:sz="6" w:space="0"/>
            </w:tcBorders>
            <w:vAlign w:val="center"/>
          </w:tcPr>
          <w:p w14:paraId="41BB9E60">
            <w:pPr>
              <w:spacing w:line="34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响应文件响应情况</w:t>
            </w:r>
          </w:p>
        </w:tc>
        <w:tc>
          <w:tcPr>
            <w:tcW w:w="778" w:type="pct"/>
            <w:tcBorders>
              <w:top w:val="single" w:color="auto" w:sz="12" w:space="0"/>
              <w:left w:val="single" w:color="auto" w:sz="6" w:space="0"/>
              <w:bottom w:val="single" w:color="auto" w:sz="6" w:space="0"/>
              <w:right w:val="single" w:color="auto" w:sz="12" w:space="0"/>
            </w:tcBorders>
          </w:tcPr>
          <w:p w14:paraId="2BD389A4">
            <w:pPr>
              <w:spacing w:line="340" w:lineRule="exact"/>
              <w:jc w:val="center"/>
              <w:rPr>
                <w:rFonts w:hint="eastAsia" w:ascii="宋体" w:hAnsi="宋体" w:eastAsia="宋体" w:cs="宋体"/>
                <w:color w:val="auto"/>
                <w:sz w:val="24"/>
                <w:highlight w:val="none"/>
              </w:rPr>
            </w:pPr>
          </w:p>
          <w:p w14:paraId="5A697F4C">
            <w:pPr>
              <w:spacing w:line="34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偏离说明</w:t>
            </w:r>
          </w:p>
        </w:tc>
      </w:tr>
      <w:tr w14:paraId="26EE1C4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4" w:hRule="atLeast"/>
        </w:trPr>
        <w:tc>
          <w:tcPr>
            <w:tcW w:w="460" w:type="pct"/>
            <w:tcBorders>
              <w:top w:val="single" w:color="auto" w:sz="6" w:space="0"/>
              <w:left w:val="single" w:color="auto" w:sz="12" w:space="0"/>
              <w:bottom w:val="single" w:color="auto" w:sz="6" w:space="0"/>
              <w:right w:val="single" w:color="auto" w:sz="6" w:space="0"/>
            </w:tcBorders>
          </w:tcPr>
          <w:p w14:paraId="4D46C65A">
            <w:pPr>
              <w:spacing w:line="34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p>
        </w:tc>
        <w:tc>
          <w:tcPr>
            <w:tcW w:w="1254" w:type="pct"/>
            <w:tcBorders>
              <w:top w:val="single" w:color="auto" w:sz="6" w:space="0"/>
              <w:left w:val="single" w:color="auto" w:sz="6" w:space="0"/>
              <w:bottom w:val="single" w:color="auto" w:sz="6" w:space="0"/>
              <w:right w:val="single" w:color="auto" w:sz="6" w:space="0"/>
            </w:tcBorders>
            <w:vAlign w:val="center"/>
          </w:tcPr>
          <w:p w14:paraId="65444BF7">
            <w:pPr>
              <w:spacing w:line="340" w:lineRule="exact"/>
              <w:jc w:val="left"/>
              <w:rPr>
                <w:rFonts w:hint="eastAsia" w:ascii="宋体" w:hAnsi="宋体" w:eastAsia="宋体" w:cs="宋体"/>
                <w:color w:val="auto"/>
                <w:sz w:val="24"/>
                <w:highlight w:val="none"/>
              </w:rPr>
            </w:pPr>
          </w:p>
        </w:tc>
        <w:tc>
          <w:tcPr>
            <w:tcW w:w="1095" w:type="pct"/>
            <w:tcBorders>
              <w:top w:val="single" w:color="auto" w:sz="6" w:space="0"/>
              <w:left w:val="single" w:color="auto" w:sz="6" w:space="0"/>
              <w:bottom w:val="single" w:color="auto" w:sz="6" w:space="0"/>
              <w:right w:val="single" w:color="auto" w:sz="6" w:space="0"/>
            </w:tcBorders>
            <w:vAlign w:val="center"/>
          </w:tcPr>
          <w:p w14:paraId="73B1A988">
            <w:pPr>
              <w:spacing w:line="340" w:lineRule="exact"/>
              <w:jc w:val="left"/>
              <w:rPr>
                <w:rFonts w:hint="eastAsia" w:ascii="宋体" w:hAnsi="宋体" w:eastAsia="宋体" w:cs="宋体"/>
                <w:color w:val="auto"/>
                <w:sz w:val="24"/>
                <w:highlight w:val="none"/>
              </w:rPr>
            </w:pPr>
          </w:p>
        </w:tc>
        <w:tc>
          <w:tcPr>
            <w:tcW w:w="1413" w:type="pct"/>
            <w:tcBorders>
              <w:top w:val="single" w:color="auto" w:sz="6" w:space="0"/>
              <w:left w:val="single" w:color="auto" w:sz="6" w:space="0"/>
              <w:bottom w:val="single" w:color="auto" w:sz="6" w:space="0"/>
              <w:right w:val="single" w:color="auto" w:sz="6" w:space="0"/>
            </w:tcBorders>
            <w:vAlign w:val="center"/>
          </w:tcPr>
          <w:p w14:paraId="4299211A">
            <w:pPr>
              <w:spacing w:line="340" w:lineRule="exact"/>
              <w:jc w:val="left"/>
              <w:rPr>
                <w:rFonts w:hint="eastAsia" w:ascii="宋体" w:hAnsi="宋体" w:eastAsia="宋体" w:cs="宋体"/>
                <w:color w:val="auto"/>
                <w:sz w:val="24"/>
                <w:highlight w:val="none"/>
              </w:rPr>
            </w:pPr>
          </w:p>
        </w:tc>
        <w:tc>
          <w:tcPr>
            <w:tcW w:w="778" w:type="pct"/>
            <w:tcBorders>
              <w:top w:val="single" w:color="auto" w:sz="6" w:space="0"/>
              <w:left w:val="single" w:color="auto" w:sz="6" w:space="0"/>
              <w:bottom w:val="single" w:color="auto" w:sz="6" w:space="0"/>
              <w:right w:val="single" w:color="auto" w:sz="12" w:space="0"/>
            </w:tcBorders>
          </w:tcPr>
          <w:p w14:paraId="49CD4D93">
            <w:pPr>
              <w:spacing w:line="340" w:lineRule="exact"/>
              <w:jc w:val="left"/>
              <w:rPr>
                <w:rFonts w:hint="eastAsia" w:ascii="宋体" w:hAnsi="宋体" w:eastAsia="宋体" w:cs="宋体"/>
                <w:color w:val="auto"/>
                <w:sz w:val="24"/>
                <w:highlight w:val="none"/>
              </w:rPr>
            </w:pPr>
          </w:p>
        </w:tc>
      </w:tr>
      <w:tr w14:paraId="0DE38AC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8" w:hRule="atLeast"/>
        </w:trPr>
        <w:tc>
          <w:tcPr>
            <w:tcW w:w="460" w:type="pct"/>
            <w:tcBorders>
              <w:top w:val="single" w:color="auto" w:sz="6" w:space="0"/>
              <w:left w:val="single" w:color="auto" w:sz="12" w:space="0"/>
              <w:bottom w:val="single" w:color="auto" w:sz="6" w:space="0"/>
              <w:right w:val="single" w:color="auto" w:sz="6" w:space="0"/>
            </w:tcBorders>
          </w:tcPr>
          <w:p w14:paraId="4D825F1A">
            <w:pPr>
              <w:spacing w:line="34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p>
        </w:tc>
        <w:tc>
          <w:tcPr>
            <w:tcW w:w="1254" w:type="pct"/>
            <w:tcBorders>
              <w:top w:val="single" w:color="auto" w:sz="6" w:space="0"/>
              <w:left w:val="single" w:color="auto" w:sz="6" w:space="0"/>
              <w:bottom w:val="single" w:color="auto" w:sz="6" w:space="0"/>
              <w:right w:val="single" w:color="auto" w:sz="6" w:space="0"/>
            </w:tcBorders>
            <w:vAlign w:val="center"/>
          </w:tcPr>
          <w:p w14:paraId="0E11F585">
            <w:pPr>
              <w:spacing w:line="340" w:lineRule="exact"/>
              <w:jc w:val="left"/>
              <w:rPr>
                <w:rFonts w:hint="eastAsia" w:ascii="宋体" w:hAnsi="宋体" w:eastAsia="宋体" w:cs="宋体"/>
                <w:color w:val="auto"/>
                <w:sz w:val="24"/>
                <w:highlight w:val="none"/>
              </w:rPr>
            </w:pPr>
          </w:p>
        </w:tc>
        <w:tc>
          <w:tcPr>
            <w:tcW w:w="1095" w:type="pct"/>
            <w:tcBorders>
              <w:top w:val="single" w:color="auto" w:sz="6" w:space="0"/>
              <w:left w:val="single" w:color="auto" w:sz="6" w:space="0"/>
              <w:bottom w:val="single" w:color="auto" w:sz="6" w:space="0"/>
              <w:right w:val="single" w:color="auto" w:sz="6" w:space="0"/>
            </w:tcBorders>
            <w:vAlign w:val="center"/>
          </w:tcPr>
          <w:p w14:paraId="091C1769">
            <w:pPr>
              <w:spacing w:line="340" w:lineRule="exact"/>
              <w:jc w:val="left"/>
              <w:rPr>
                <w:rFonts w:hint="eastAsia" w:ascii="宋体" w:hAnsi="宋体" w:eastAsia="宋体" w:cs="宋体"/>
                <w:color w:val="auto"/>
                <w:sz w:val="24"/>
                <w:highlight w:val="none"/>
              </w:rPr>
            </w:pPr>
          </w:p>
        </w:tc>
        <w:tc>
          <w:tcPr>
            <w:tcW w:w="1413" w:type="pct"/>
            <w:tcBorders>
              <w:top w:val="single" w:color="auto" w:sz="6" w:space="0"/>
              <w:left w:val="single" w:color="auto" w:sz="6" w:space="0"/>
              <w:bottom w:val="single" w:color="auto" w:sz="6" w:space="0"/>
              <w:right w:val="single" w:color="auto" w:sz="6" w:space="0"/>
            </w:tcBorders>
            <w:vAlign w:val="center"/>
          </w:tcPr>
          <w:p w14:paraId="102FC4A5">
            <w:pPr>
              <w:spacing w:line="340" w:lineRule="exact"/>
              <w:jc w:val="left"/>
              <w:rPr>
                <w:rFonts w:hint="eastAsia" w:ascii="宋体" w:hAnsi="宋体" w:eastAsia="宋体" w:cs="宋体"/>
                <w:color w:val="auto"/>
                <w:sz w:val="24"/>
                <w:highlight w:val="none"/>
              </w:rPr>
            </w:pPr>
          </w:p>
        </w:tc>
        <w:tc>
          <w:tcPr>
            <w:tcW w:w="778" w:type="pct"/>
            <w:tcBorders>
              <w:top w:val="single" w:color="auto" w:sz="6" w:space="0"/>
              <w:left w:val="single" w:color="auto" w:sz="6" w:space="0"/>
              <w:bottom w:val="single" w:color="auto" w:sz="6" w:space="0"/>
              <w:right w:val="single" w:color="auto" w:sz="12" w:space="0"/>
            </w:tcBorders>
          </w:tcPr>
          <w:p w14:paraId="2199DAF3">
            <w:pPr>
              <w:spacing w:line="340" w:lineRule="exact"/>
              <w:jc w:val="left"/>
              <w:rPr>
                <w:rFonts w:hint="eastAsia" w:ascii="宋体" w:hAnsi="宋体" w:eastAsia="宋体" w:cs="宋体"/>
                <w:color w:val="auto"/>
                <w:sz w:val="24"/>
                <w:highlight w:val="none"/>
              </w:rPr>
            </w:pPr>
          </w:p>
        </w:tc>
      </w:tr>
      <w:tr w14:paraId="42E30CE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460" w:type="pct"/>
            <w:tcBorders>
              <w:top w:val="single" w:color="auto" w:sz="6" w:space="0"/>
              <w:left w:val="single" w:color="auto" w:sz="12" w:space="0"/>
              <w:bottom w:val="single" w:color="auto" w:sz="6" w:space="0"/>
              <w:right w:val="single" w:color="auto" w:sz="6" w:space="0"/>
            </w:tcBorders>
          </w:tcPr>
          <w:p w14:paraId="136EBC79">
            <w:pPr>
              <w:spacing w:line="34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p>
        </w:tc>
        <w:tc>
          <w:tcPr>
            <w:tcW w:w="1254" w:type="pct"/>
            <w:tcBorders>
              <w:top w:val="single" w:color="auto" w:sz="6" w:space="0"/>
              <w:left w:val="single" w:color="auto" w:sz="6" w:space="0"/>
              <w:bottom w:val="single" w:color="auto" w:sz="6" w:space="0"/>
              <w:right w:val="single" w:color="auto" w:sz="6" w:space="0"/>
            </w:tcBorders>
            <w:vAlign w:val="center"/>
          </w:tcPr>
          <w:p w14:paraId="24956AB9">
            <w:pPr>
              <w:spacing w:line="340" w:lineRule="exact"/>
              <w:jc w:val="left"/>
              <w:rPr>
                <w:rFonts w:hint="eastAsia" w:ascii="宋体" w:hAnsi="宋体" w:eastAsia="宋体" w:cs="宋体"/>
                <w:color w:val="auto"/>
                <w:sz w:val="24"/>
                <w:highlight w:val="none"/>
              </w:rPr>
            </w:pPr>
          </w:p>
        </w:tc>
        <w:tc>
          <w:tcPr>
            <w:tcW w:w="1095" w:type="pct"/>
            <w:tcBorders>
              <w:top w:val="single" w:color="auto" w:sz="6" w:space="0"/>
              <w:left w:val="single" w:color="auto" w:sz="6" w:space="0"/>
              <w:bottom w:val="single" w:color="auto" w:sz="6" w:space="0"/>
              <w:right w:val="single" w:color="auto" w:sz="6" w:space="0"/>
            </w:tcBorders>
            <w:vAlign w:val="center"/>
          </w:tcPr>
          <w:p w14:paraId="320D063C">
            <w:pPr>
              <w:spacing w:line="340" w:lineRule="exact"/>
              <w:jc w:val="left"/>
              <w:rPr>
                <w:rFonts w:hint="eastAsia" w:ascii="宋体" w:hAnsi="宋体" w:eastAsia="宋体" w:cs="宋体"/>
                <w:color w:val="auto"/>
                <w:sz w:val="24"/>
                <w:highlight w:val="none"/>
              </w:rPr>
            </w:pPr>
          </w:p>
        </w:tc>
        <w:tc>
          <w:tcPr>
            <w:tcW w:w="1413" w:type="pct"/>
            <w:tcBorders>
              <w:top w:val="single" w:color="auto" w:sz="6" w:space="0"/>
              <w:left w:val="single" w:color="auto" w:sz="6" w:space="0"/>
              <w:bottom w:val="single" w:color="auto" w:sz="6" w:space="0"/>
              <w:right w:val="single" w:color="auto" w:sz="6" w:space="0"/>
            </w:tcBorders>
            <w:vAlign w:val="center"/>
          </w:tcPr>
          <w:p w14:paraId="6E559469">
            <w:pPr>
              <w:spacing w:line="340" w:lineRule="exact"/>
              <w:jc w:val="left"/>
              <w:rPr>
                <w:rFonts w:hint="eastAsia" w:ascii="宋体" w:hAnsi="宋体" w:eastAsia="宋体" w:cs="宋体"/>
                <w:color w:val="auto"/>
                <w:sz w:val="24"/>
                <w:highlight w:val="none"/>
              </w:rPr>
            </w:pPr>
          </w:p>
        </w:tc>
        <w:tc>
          <w:tcPr>
            <w:tcW w:w="778" w:type="pct"/>
            <w:tcBorders>
              <w:top w:val="single" w:color="auto" w:sz="6" w:space="0"/>
              <w:left w:val="single" w:color="auto" w:sz="6" w:space="0"/>
              <w:bottom w:val="single" w:color="auto" w:sz="6" w:space="0"/>
              <w:right w:val="single" w:color="auto" w:sz="12" w:space="0"/>
            </w:tcBorders>
          </w:tcPr>
          <w:p w14:paraId="2C2E9B57">
            <w:pPr>
              <w:spacing w:line="340" w:lineRule="exact"/>
              <w:jc w:val="left"/>
              <w:rPr>
                <w:rFonts w:hint="eastAsia" w:ascii="宋体" w:hAnsi="宋体" w:eastAsia="宋体" w:cs="宋体"/>
                <w:color w:val="auto"/>
                <w:sz w:val="24"/>
                <w:highlight w:val="none"/>
              </w:rPr>
            </w:pPr>
          </w:p>
        </w:tc>
      </w:tr>
      <w:tr w14:paraId="009D4AB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9" w:hRule="atLeast"/>
        </w:trPr>
        <w:tc>
          <w:tcPr>
            <w:tcW w:w="460" w:type="pct"/>
            <w:tcBorders>
              <w:top w:val="single" w:color="auto" w:sz="6" w:space="0"/>
              <w:left w:val="single" w:color="auto" w:sz="12" w:space="0"/>
              <w:bottom w:val="single" w:color="auto" w:sz="6" w:space="0"/>
              <w:right w:val="single" w:color="auto" w:sz="6" w:space="0"/>
            </w:tcBorders>
          </w:tcPr>
          <w:p w14:paraId="5D5181D1">
            <w:pPr>
              <w:spacing w:line="34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4</w:t>
            </w:r>
          </w:p>
        </w:tc>
        <w:tc>
          <w:tcPr>
            <w:tcW w:w="1254" w:type="pct"/>
            <w:tcBorders>
              <w:top w:val="single" w:color="auto" w:sz="6" w:space="0"/>
              <w:left w:val="single" w:color="auto" w:sz="6" w:space="0"/>
              <w:bottom w:val="single" w:color="auto" w:sz="6" w:space="0"/>
              <w:right w:val="single" w:color="auto" w:sz="6" w:space="0"/>
            </w:tcBorders>
            <w:vAlign w:val="center"/>
          </w:tcPr>
          <w:p w14:paraId="06545A6A">
            <w:pPr>
              <w:spacing w:line="340" w:lineRule="exact"/>
              <w:jc w:val="left"/>
              <w:rPr>
                <w:rFonts w:hint="eastAsia" w:ascii="宋体" w:hAnsi="宋体" w:eastAsia="宋体" w:cs="宋体"/>
                <w:color w:val="auto"/>
                <w:sz w:val="24"/>
                <w:highlight w:val="none"/>
              </w:rPr>
            </w:pPr>
          </w:p>
        </w:tc>
        <w:tc>
          <w:tcPr>
            <w:tcW w:w="1095" w:type="pct"/>
            <w:tcBorders>
              <w:top w:val="single" w:color="auto" w:sz="6" w:space="0"/>
              <w:left w:val="single" w:color="auto" w:sz="6" w:space="0"/>
              <w:bottom w:val="single" w:color="auto" w:sz="6" w:space="0"/>
              <w:right w:val="single" w:color="auto" w:sz="6" w:space="0"/>
            </w:tcBorders>
            <w:vAlign w:val="center"/>
          </w:tcPr>
          <w:p w14:paraId="5096EEF6">
            <w:pPr>
              <w:spacing w:line="340" w:lineRule="exact"/>
              <w:jc w:val="left"/>
              <w:rPr>
                <w:rFonts w:hint="eastAsia" w:ascii="宋体" w:hAnsi="宋体" w:eastAsia="宋体" w:cs="宋体"/>
                <w:color w:val="auto"/>
                <w:sz w:val="24"/>
                <w:highlight w:val="none"/>
              </w:rPr>
            </w:pPr>
          </w:p>
        </w:tc>
        <w:tc>
          <w:tcPr>
            <w:tcW w:w="1413" w:type="pct"/>
            <w:tcBorders>
              <w:top w:val="single" w:color="auto" w:sz="6" w:space="0"/>
              <w:left w:val="single" w:color="auto" w:sz="6" w:space="0"/>
              <w:bottom w:val="single" w:color="auto" w:sz="6" w:space="0"/>
              <w:right w:val="single" w:color="auto" w:sz="6" w:space="0"/>
            </w:tcBorders>
            <w:vAlign w:val="center"/>
          </w:tcPr>
          <w:p w14:paraId="59BE13DA">
            <w:pPr>
              <w:spacing w:line="340" w:lineRule="exact"/>
              <w:jc w:val="left"/>
              <w:rPr>
                <w:rFonts w:hint="eastAsia" w:ascii="宋体" w:hAnsi="宋体" w:eastAsia="宋体" w:cs="宋体"/>
                <w:color w:val="auto"/>
                <w:sz w:val="24"/>
                <w:highlight w:val="none"/>
              </w:rPr>
            </w:pPr>
          </w:p>
        </w:tc>
        <w:tc>
          <w:tcPr>
            <w:tcW w:w="778" w:type="pct"/>
            <w:tcBorders>
              <w:top w:val="single" w:color="auto" w:sz="6" w:space="0"/>
              <w:left w:val="single" w:color="auto" w:sz="6" w:space="0"/>
              <w:bottom w:val="single" w:color="auto" w:sz="6" w:space="0"/>
              <w:right w:val="single" w:color="auto" w:sz="12" w:space="0"/>
            </w:tcBorders>
          </w:tcPr>
          <w:p w14:paraId="6C491C1D">
            <w:pPr>
              <w:spacing w:line="340" w:lineRule="exact"/>
              <w:jc w:val="left"/>
              <w:rPr>
                <w:rFonts w:hint="eastAsia" w:ascii="宋体" w:hAnsi="宋体" w:eastAsia="宋体" w:cs="宋体"/>
                <w:color w:val="auto"/>
                <w:sz w:val="24"/>
                <w:highlight w:val="none"/>
              </w:rPr>
            </w:pPr>
          </w:p>
        </w:tc>
      </w:tr>
    </w:tbl>
    <w:p w14:paraId="1F953BEC">
      <w:pPr>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p>
    <w:p w14:paraId="5805CCEF">
      <w:pPr>
        <w:snapToGrid w:val="0"/>
        <w:spacing w:line="300" w:lineRule="auto"/>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1. 供应商提交的响应文件中与磋商文件第四章“采购需求”中的技术部分的要求如有偏离的，应逐条填列在偏离表中。如果磋商文件要求提供证明材料，供应商需将证明材料列于该表之下。</w:t>
      </w:r>
    </w:p>
    <w:p w14:paraId="40BD149A">
      <w:pPr>
        <w:snapToGrid w:val="0"/>
        <w:spacing w:line="300" w:lineRule="auto"/>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2.“偏离说明”一栏选择“正偏离”、“无偏离”、“负偏离”进行填写。未填写的内容视为完全响应本磋商文件要求。正偏离、无偏离的确认和负偏离的是否响应磋商文件，由评委认定。</w:t>
      </w:r>
    </w:p>
    <w:p w14:paraId="56191195">
      <w:pPr>
        <w:spacing w:before="32" w:line="209" w:lineRule="auto"/>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3.供应商若提供其他增值服务，可以在表中自行据实填写。</w:t>
      </w:r>
    </w:p>
    <w:p w14:paraId="2C516C04">
      <w:pPr>
        <w:rPr>
          <w:rFonts w:hint="eastAsia" w:ascii="宋体" w:hAnsi="宋体" w:eastAsia="宋体" w:cs="宋体"/>
          <w:b/>
          <w:color w:val="auto"/>
          <w:sz w:val="24"/>
          <w:szCs w:val="21"/>
          <w:highlight w:val="none"/>
        </w:rPr>
      </w:pPr>
    </w:p>
    <w:p w14:paraId="5407EFC1">
      <w:pPr>
        <w:rPr>
          <w:rFonts w:hint="eastAsia" w:ascii="宋体" w:hAnsi="宋体" w:eastAsia="宋体" w:cs="宋体"/>
          <w:b/>
          <w:color w:val="auto"/>
          <w:sz w:val="24"/>
          <w:szCs w:val="21"/>
          <w:highlight w:val="none"/>
        </w:rPr>
      </w:pPr>
    </w:p>
    <w:p w14:paraId="3DFEB48B">
      <w:pPr>
        <w:rPr>
          <w:rFonts w:hint="eastAsia" w:ascii="宋体" w:hAnsi="宋体" w:eastAsia="宋体" w:cs="宋体"/>
          <w:b/>
          <w:color w:val="auto"/>
          <w:sz w:val="24"/>
          <w:szCs w:val="21"/>
          <w:highlight w:val="none"/>
        </w:rPr>
      </w:pPr>
    </w:p>
    <w:p w14:paraId="6107C29B">
      <w:pPr>
        <w:rPr>
          <w:rFonts w:hint="eastAsia" w:ascii="宋体" w:hAnsi="宋体" w:eastAsia="宋体" w:cs="宋体"/>
          <w:b/>
          <w:color w:val="auto"/>
          <w:sz w:val="24"/>
          <w:szCs w:val="21"/>
          <w:highlight w:val="none"/>
        </w:rPr>
      </w:pPr>
    </w:p>
    <w:p w14:paraId="5A0FFF7B">
      <w:pPr>
        <w:jc w:val="center"/>
        <w:rPr>
          <w:rFonts w:hint="eastAsia" w:ascii="宋体" w:hAnsi="宋体" w:eastAsia="宋体" w:cs="宋体"/>
          <w:b/>
          <w:color w:val="auto"/>
          <w:sz w:val="24"/>
          <w:szCs w:val="21"/>
          <w:highlight w:val="none"/>
        </w:rPr>
      </w:pPr>
    </w:p>
    <w:p w14:paraId="2D891ED7">
      <w:pPr>
        <w:jc w:val="center"/>
        <w:rPr>
          <w:rFonts w:hint="eastAsia" w:ascii="宋体" w:hAnsi="宋体" w:eastAsia="宋体" w:cs="宋体"/>
          <w:b/>
          <w:color w:val="auto"/>
          <w:sz w:val="24"/>
          <w:szCs w:val="21"/>
          <w:highlight w:val="none"/>
        </w:rPr>
      </w:pPr>
    </w:p>
    <w:p w14:paraId="65D96053">
      <w:pPr>
        <w:jc w:val="center"/>
        <w:rPr>
          <w:rFonts w:hint="eastAsia" w:ascii="宋体" w:hAnsi="宋体" w:eastAsia="宋体" w:cs="宋体"/>
          <w:b/>
          <w:color w:val="auto"/>
          <w:sz w:val="24"/>
          <w:szCs w:val="21"/>
          <w:highlight w:val="none"/>
        </w:rPr>
      </w:pPr>
    </w:p>
    <w:p w14:paraId="5C1F93AA">
      <w:pPr>
        <w:jc w:val="center"/>
        <w:rPr>
          <w:rFonts w:hint="eastAsia" w:ascii="宋体" w:hAnsi="宋体" w:eastAsia="宋体" w:cs="宋体"/>
          <w:b/>
          <w:color w:val="auto"/>
          <w:sz w:val="24"/>
          <w:szCs w:val="21"/>
          <w:highlight w:val="none"/>
        </w:rPr>
      </w:pPr>
    </w:p>
    <w:p w14:paraId="601A3471">
      <w:pPr>
        <w:rPr>
          <w:rFonts w:hint="eastAsia" w:ascii="宋体" w:hAnsi="宋体" w:eastAsia="宋体" w:cs="宋体"/>
          <w:b/>
          <w:color w:val="auto"/>
          <w:sz w:val="24"/>
          <w:szCs w:val="21"/>
          <w:highlight w:val="none"/>
        </w:rPr>
      </w:pPr>
    </w:p>
    <w:p w14:paraId="516544D8">
      <w:pPr>
        <w:snapToGrid w:val="0"/>
        <w:spacing w:line="300" w:lineRule="auto"/>
        <w:contextualSpacing/>
        <w:rPr>
          <w:rFonts w:hint="eastAsia" w:ascii="宋体" w:hAnsi="宋体" w:eastAsia="宋体" w:cs="宋体"/>
          <w:b/>
          <w:color w:val="auto"/>
          <w:sz w:val="32"/>
          <w:szCs w:val="32"/>
          <w:highlight w:val="none"/>
        </w:rPr>
      </w:pPr>
      <w:r>
        <w:rPr>
          <w:rFonts w:hint="eastAsia" w:ascii="宋体" w:hAnsi="宋体" w:eastAsia="宋体" w:cs="宋体"/>
          <w:b/>
          <w:color w:val="auto"/>
          <w:sz w:val="24"/>
          <w:szCs w:val="21"/>
          <w:highlight w:val="none"/>
        </w:rPr>
        <w:t>附件7</w:t>
      </w:r>
    </w:p>
    <w:p w14:paraId="6D9AEDAE">
      <w:pPr>
        <w:snapToGrid w:val="0"/>
        <w:spacing w:line="300" w:lineRule="auto"/>
        <w:contextualSpacing/>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中小企业声明函（服务）</w:t>
      </w:r>
    </w:p>
    <w:p w14:paraId="053DEE5D">
      <w:pPr>
        <w:spacing w:line="400" w:lineRule="exact"/>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本公司（联合体）郑重声明，根据《政府采购促进中小企业发展管理办法》（财库﹝2020﹞46 号）的规定，本公司（联合体）参加</w:t>
      </w:r>
      <w:r>
        <w:rPr>
          <w:rFonts w:hint="eastAsia" w:ascii="宋体" w:hAnsi="宋体" w:eastAsia="宋体" w:cs="宋体"/>
          <w:color w:val="auto"/>
          <w:sz w:val="24"/>
          <w:szCs w:val="24"/>
          <w:highlight w:val="none"/>
          <w:u w:val="single"/>
        </w:rPr>
        <w:t>（单位名称）</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u w:val="single"/>
        </w:rPr>
        <w:t>（项目名称）</w:t>
      </w:r>
      <w:r>
        <w:rPr>
          <w:rFonts w:hint="eastAsia" w:ascii="宋体" w:hAnsi="宋体" w:eastAsia="宋体" w:cs="宋体"/>
          <w:color w:val="auto"/>
          <w:sz w:val="24"/>
          <w:szCs w:val="24"/>
          <w:highlight w:val="none"/>
        </w:rPr>
        <w:t>采购活动，服务全部由符合政策要求的中小企业承接。相关企业（含联合体中的中小企业、签订分包意向协议的中小企业）的具体情况如下：</w:t>
      </w:r>
    </w:p>
    <w:p w14:paraId="2CDFA624">
      <w:pPr>
        <w:spacing w:line="400" w:lineRule="exact"/>
        <w:ind w:firstLine="360" w:firstLineChars="150"/>
        <w:rPr>
          <w:rFonts w:hint="eastAsia" w:ascii="宋体" w:hAnsi="宋体" w:eastAsia="宋体" w:cs="宋体"/>
          <w:i/>
          <w:color w:val="auto"/>
          <w:sz w:val="24"/>
          <w:szCs w:val="24"/>
          <w:highlight w:val="none"/>
          <w:u w:val="singl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u w:val="single"/>
        </w:rPr>
        <w:t>（标的名称）</w:t>
      </w:r>
      <w:r>
        <w:rPr>
          <w:rFonts w:hint="eastAsia" w:ascii="宋体" w:hAnsi="宋体" w:eastAsia="宋体" w:cs="宋体"/>
          <w:i/>
          <w:color w:val="auto"/>
          <w:sz w:val="24"/>
          <w:szCs w:val="24"/>
          <w:highlight w:val="none"/>
        </w:rPr>
        <w:t>，</w:t>
      </w:r>
      <w:r>
        <w:rPr>
          <w:rFonts w:hint="eastAsia" w:ascii="宋体" w:hAnsi="宋体" w:eastAsia="宋体" w:cs="宋体"/>
          <w:color w:val="auto"/>
          <w:sz w:val="24"/>
          <w:szCs w:val="24"/>
          <w:highlight w:val="none"/>
        </w:rPr>
        <w:t>属于</w:t>
      </w:r>
      <w:r>
        <w:rPr>
          <w:rFonts w:hint="eastAsia" w:ascii="宋体" w:hAnsi="宋体" w:eastAsia="宋体" w:cs="宋体"/>
          <w:color w:val="auto"/>
          <w:sz w:val="24"/>
          <w:szCs w:val="24"/>
          <w:highlight w:val="none"/>
          <w:u w:val="single"/>
        </w:rPr>
        <w:t xml:space="preserve"> （采购文件中明确的所属行业） </w:t>
      </w:r>
      <w:r>
        <w:rPr>
          <w:rFonts w:hint="eastAsia" w:ascii="宋体" w:hAnsi="宋体" w:eastAsia="宋体" w:cs="宋体"/>
          <w:color w:val="auto"/>
          <w:sz w:val="24"/>
          <w:szCs w:val="24"/>
          <w:highlight w:val="none"/>
        </w:rPr>
        <w:t>行业；承建（承接）企业为</w:t>
      </w:r>
      <w:r>
        <w:rPr>
          <w:rFonts w:hint="eastAsia" w:ascii="宋体" w:hAnsi="宋体" w:eastAsia="宋体" w:cs="宋体"/>
          <w:color w:val="auto"/>
          <w:sz w:val="24"/>
          <w:szCs w:val="24"/>
          <w:highlight w:val="none"/>
          <w:u w:val="single"/>
        </w:rPr>
        <w:t>（企业名称）</w:t>
      </w:r>
      <w:r>
        <w:rPr>
          <w:rFonts w:hint="eastAsia" w:ascii="宋体" w:hAnsi="宋体" w:eastAsia="宋体" w:cs="宋体"/>
          <w:color w:val="auto"/>
          <w:sz w:val="24"/>
          <w:szCs w:val="24"/>
          <w:highlight w:val="none"/>
        </w:rPr>
        <w:t>，从业人员      人，营业收入为      万元，资产总额为       万元，属于</w:t>
      </w:r>
      <w:r>
        <w:rPr>
          <w:rFonts w:hint="eastAsia" w:ascii="宋体" w:hAnsi="宋体" w:eastAsia="宋体" w:cs="宋体"/>
          <w:color w:val="auto"/>
          <w:sz w:val="24"/>
          <w:szCs w:val="24"/>
          <w:highlight w:val="none"/>
          <w:u w:val="single"/>
        </w:rPr>
        <w:t>（□中型企业 □小型企业 □微型企业）；</w:t>
      </w:r>
    </w:p>
    <w:p w14:paraId="3B53F1D7">
      <w:pPr>
        <w:spacing w:line="400" w:lineRule="exact"/>
        <w:ind w:firstLine="360" w:firstLineChars="150"/>
        <w:rPr>
          <w:rFonts w:hint="eastAsia" w:ascii="宋体" w:hAnsi="宋体" w:eastAsia="宋体" w:cs="宋体"/>
          <w:i/>
          <w:color w:val="auto"/>
          <w:sz w:val="24"/>
          <w:szCs w:val="24"/>
          <w:highlight w:val="none"/>
          <w:u w:val="singl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u w:val="single"/>
        </w:rPr>
        <w:t>（标的名称）</w:t>
      </w:r>
      <w:r>
        <w:rPr>
          <w:rFonts w:hint="eastAsia" w:ascii="宋体" w:hAnsi="宋体" w:eastAsia="宋体" w:cs="宋体"/>
          <w:i/>
          <w:color w:val="auto"/>
          <w:sz w:val="24"/>
          <w:szCs w:val="24"/>
          <w:highlight w:val="none"/>
        </w:rPr>
        <w:t>，</w:t>
      </w:r>
      <w:r>
        <w:rPr>
          <w:rFonts w:hint="eastAsia" w:ascii="宋体" w:hAnsi="宋体" w:eastAsia="宋体" w:cs="宋体"/>
          <w:color w:val="auto"/>
          <w:sz w:val="24"/>
          <w:szCs w:val="24"/>
          <w:highlight w:val="none"/>
        </w:rPr>
        <w:t>属于</w:t>
      </w:r>
      <w:r>
        <w:rPr>
          <w:rFonts w:hint="eastAsia" w:ascii="宋体" w:hAnsi="宋体" w:eastAsia="宋体" w:cs="宋体"/>
          <w:color w:val="auto"/>
          <w:sz w:val="24"/>
          <w:szCs w:val="24"/>
          <w:highlight w:val="none"/>
          <w:u w:val="single"/>
        </w:rPr>
        <w:t xml:space="preserve"> （采购文件中明确的所属行业） </w:t>
      </w:r>
      <w:r>
        <w:rPr>
          <w:rFonts w:hint="eastAsia" w:ascii="宋体" w:hAnsi="宋体" w:eastAsia="宋体" w:cs="宋体"/>
          <w:color w:val="auto"/>
          <w:sz w:val="24"/>
          <w:szCs w:val="24"/>
          <w:highlight w:val="none"/>
        </w:rPr>
        <w:t>行业；承建（承接）企业为</w:t>
      </w:r>
      <w:r>
        <w:rPr>
          <w:rFonts w:hint="eastAsia" w:ascii="宋体" w:hAnsi="宋体" w:eastAsia="宋体" w:cs="宋体"/>
          <w:color w:val="auto"/>
          <w:sz w:val="24"/>
          <w:szCs w:val="24"/>
          <w:highlight w:val="none"/>
          <w:u w:val="single"/>
        </w:rPr>
        <w:t>（企业名称）</w:t>
      </w:r>
      <w:r>
        <w:rPr>
          <w:rFonts w:hint="eastAsia" w:ascii="宋体" w:hAnsi="宋体" w:eastAsia="宋体" w:cs="宋体"/>
          <w:color w:val="auto"/>
          <w:sz w:val="24"/>
          <w:szCs w:val="24"/>
          <w:highlight w:val="none"/>
        </w:rPr>
        <w:t>，从业人员      人，营业收入为      万元，资产总额为       万元，属于</w:t>
      </w:r>
      <w:r>
        <w:rPr>
          <w:rFonts w:hint="eastAsia" w:ascii="宋体" w:hAnsi="宋体" w:eastAsia="宋体" w:cs="宋体"/>
          <w:color w:val="auto"/>
          <w:sz w:val="24"/>
          <w:szCs w:val="24"/>
          <w:highlight w:val="none"/>
          <w:u w:val="single"/>
        </w:rPr>
        <w:t>（□中型企业 □小型企业 □微型企业）；</w:t>
      </w:r>
    </w:p>
    <w:p w14:paraId="0C2B7A2F">
      <w:pPr>
        <w:spacing w:line="400" w:lineRule="exact"/>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p w14:paraId="44383A2B">
      <w:pPr>
        <w:spacing w:line="400" w:lineRule="exact"/>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以上企业，不属于大企业的分支机构，不存在控股股东为大企业的情形，也不存在与大企业的负责人为同一人的情形。</w:t>
      </w:r>
    </w:p>
    <w:p w14:paraId="09FC8635">
      <w:pPr>
        <w:spacing w:line="400" w:lineRule="exact"/>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本企业对上述声明内容的真实性负责。如有虚假，将依法承担相应责任。</w:t>
      </w:r>
    </w:p>
    <w:p w14:paraId="1AEB511F">
      <w:pPr>
        <w:spacing w:line="400" w:lineRule="exact"/>
        <w:ind w:right="720"/>
        <w:rPr>
          <w:rFonts w:hint="eastAsia" w:ascii="宋体" w:hAnsi="宋体" w:eastAsia="宋体" w:cs="宋体"/>
          <w:color w:val="auto"/>
          <w:sz w:val="24"/>
          <w:szCs w:val="24"/>
          <w:highlight w:val="none"/>
        </w:rPr>
      </w:pPr>
    </w:p>
    <w:p w14:paraId="7BD020B9">
      <w:pPr>
        <w:spacing w:line="400" w:lineRule="exact"/>
        <w:ind w:right="180" w:firstLine="360" w:firstLineChars="150"/>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供应商全称（加盖CA电子公章）：</w:t>
      </w:r>
    </w:p>
    <w:p w14:paraId="2C395346">
      <w:pPr>
        <w:spacing w:line="400" w:lineRule="exact"/>
        <w:ind w:right="480" w:firstLine="5880" w:firstLineChars="24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  期：</w:t>
      </w:r>
    </w:p>
    <w:p w14:paraId="3ABC58A8">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p>
    <w:p w14:paraId="4054BA8C">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1、如项目类型为“服务”，请按照此格式填写。</w:t>
      </w:r>
    </w:p>
    <w:p w14:paraId="3A7C6067">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2、从业人员、营业收入、资产总额填报上一年度数据，无上一年度数据的新成立企业可不填报。</w:t>
      </w:r>
    </w:p>
    <w:p w14:paraId="0841337B">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3、专门面向中小微型企业采购的项目，供应商如不提供此声明函，则不能通过资格审查；非专门面向中小微型企业采购的项目，供应商如不提供此声明函，价格将不做相应扣除。</w:t>
      </w:r>
    </w:p>
    <w:p w14:paraId="1F3F4189">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4、供应商</w:t>
      </w:r>
      <w:r>
        <w:rPr>
          <w:rFonts w:hint="eastAsia" w:ascii="宋体" w:hAnsi="宋体" w:eastAsia="宋体" w:cs="宋体"/>
          <w:b/>
          <w:bCs/>
          <w:color w:val="auto"/>
          <w:sz w:val="24"/>
          <w:szCs w:val="24"/>
          <w:highlight w:val="none"/>
        </w:rPr>
        <w:t>自行勾选</w:t>
      </w:r>
      <w:r>
        <w:rPr>
          <w:rFonts w:hint="eastAsia" w:ascii="宋体" w:hAnsi="宋体" w:eastAsia="宋体" w:cs="宋体"/>
          <w:color w:val="auto"/>
          <w:sz w:val="24"/>
          <w:szCs w:val="24"/>
          <w:highlight w:val="none"/>
        </w:rPr>
        <w:t>承接企业的企业规模类型。</w:t>
      </w:r>
    </w:p>
    <w:p w14:paraId="6F662D5C">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成交供应商的《中小企业声明函》将随成交结果同时公告。供应商按照本办法规定提供声明函内容不实的，属于提供虚假材料谋取中标、成交，依照《中华人民共和国政府采购法》等国家有关规定追究相应责任。</w:t>
      </w:r>
    </w:p>
    <w:p w14:paraId="26CA00EF">
      <w:pPr>
        <w:spacing w:line="588" w:lineRule="exact"/>
        <w:ind w:firstLine="504" w:firstLineChars="200"/>
        <w:rPr>
          <w:rFonts w:hint="eastAsia" w:ascii="宋体" w:hAnsi="宋体" w:eastAsia="宋体" w:cs="宋体"/>
          <w:color w:val="auto"/>
          <w:spacing w:val="6"/>
          <w:sz w:val="24"/>
          <w:szCs w:val="24"/>
          <w:highlight w:val="none"/>
        </w:rPr>
      </w:pPr>
    </w:p>
    <w:p w14:paraId="1743763C">
      <w:pPr>
        <w:tabs>
          <w:tab w:val="left" w:pos="4860"/>
        </w:tabs>
        <w:spacing w:line="0" w:lineRule="atLeast"/>
        <w:ind w:right="1559" w:firstLine="480" w:firstLineChars="200"/>
        <w:jc w:val="center"/>
        <w:rPr>
          <w:rFonts w:hint="eastAsia" w:ascii="宋体" w:hAnsi="宋体" w:eastAsia="宋体" w:cs="宋体"/>
          <w:color w:val="auto"/>
          <w:sz w:val="24"/>
          <w:szCs w:val="24"/>
          <w:highlight w:val="none"/>
        </w:rPr>
      </w:pPr>
    </w:p>
    <w:p w14:paraId="2ACC758A">
      <w:pPr>
        <w:spacing w:line="400" w:lineRule="exact"/>
        <w:ind w:firstLine="482" w:firstLineChars="200"/>
        <w:rPr>
          <w:rFonts w:hint="eastAsia" w:ascii="宋体" w:hAnsi="宋体" w:eastAsia="宋体" w:cs="宋体"/>
          <w:b/>
          <w:color w:val="auto"/>
          <w:sz w:val="24"/>
          <w:szCs w:val="24"/>
          <w:highlight w:val="none"/>
        </w:rPr>
      </w:pPr>
    </w:p>
    <w:p w14:paraId="18EE4C7E">
      <w:pPr>
        <w:spacing w:line="400" w:lineRule="exact"/>
        <w:rPr>
          <w:rFonts w:hint="eastAsia" w:ascii="宋体" w:hAnsi="宋体" w:eastAsia="宋体" w:cs="宋体"/>
          <w:b/>
          <w:color w:val="auto"/>
          <w:sz w:val="24"/>
          <w:szCs w:val="24"/>
          <w:highlight w:val="none"/>
        </w:rPr>
      </w:pPr>
    </w:p>
    <w:p w14:paraId="37977014">
      <w:pPr>
        <w:spacing w:line="400" w:lineRule="exact"/>
        <w:rPr>
          <w:rFonts w:hint="eastAsia" w:ascii="宋体" w:hAnsi="宋体" w:eastAsia="宋体" w:cs="宋体"/>
          <w:b/>
          <w:color w:val="auto"/>
          <w:sz w:val="24"/>
          <w:szCs w:val="24"/>
          <w:highlight w:val="none"/>
        </w:rPr>
      </w:pPr>
    </w:p>
    <w:p w14:paraId="6D03347E">
      <w:pPr>
        <w:spacing w:line="400" w:lineRule="exact"/>
        <w:rPr>
          <w:rFonts w:hint="eastAsia" w:ascii="宋体" w:hAnsi="宋体" w:eastAsia="宋体" w:cs="宋体"/>
          <w:b/>
          <w:color w:val="auto"/>
          <w:sz w:val="32"/>
          <w:szCs w:val="32"/>
          <w:highlight w:val="none"/>
        </w:rPr>
      </w:pPr>
      <w:r>
        <w:rPr>
          <w:rFonts w:hint="eastAsia" w:ascii="宋体" w:hAnsi="宋体" w:eastAsia="宋体" w:cs="宋体"/>
          <w:b/>
          <w:color w:val="auto"/>
          <w:sz w:val="24"/>
          <w:szCs w:val="24"/>
          <w:highlight w:val="none"/>
        </w:rPr>
        <w:t>附件8</w:t>
      </w:r>
    </w:p>
    <w:p w14:paraId="3FDBB4DE">
      <w:pPr>
        <w:spacing w:line="460" w:lineRule="exact"/>
        <w:jc w:val="center"/>
        <w:rPr>
          <w:rFonts w:hint="eastAsia" w:ascii="宋体" w:hAnsi="宋体" w:eastAsia="宋体" w:cs="宋体"/>
          <w:b/>
          <w:color w:val="auto"/>
          <w:kern w:val="0"/>
          <w:sz w:val="32"/>
          <w:szCs w:val="32"/>
          <w:highlight w:val="none"/>
        </w:rPr>
      </w:pPr>
    </w:p>
    <w:p w14:paraId="3468970E">
      <w:pPr>
        <w:spacing w:line="460" w:lineRule="exact"/>
        <w:jc w:val="center"/>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t>残疾人福利性单位声明函（服务）</w:t>
      </w:r>
    </w:p>
    <w:p w14:paraId="750C6E62">
      <w:pPr>
        <w:pStyle w:val="43"/>
        <w:rPr>
          <w:rFonts w:hint="eastAsia" w:ascii="宋体" w:hAnsi="宋体" w:eastAsia="宋体" w:cs="宋体"/>
          <w:color w:val="auto"/>
          <w:highlight w:val="none"/>
        </w:rPr>
      </w:pPr>
    </w:p>
    <w:p w14:paraId="279B245C">
      <w:pPr>
        <w:spacing w:line="400" w:lineRule="exact"/>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本单位郑重声明，根据《财政部 民政部中国残疾人联合会关于促进残疾人就业政府采购政策的通知》（财库〔2017〕 141号）的规定，本单位为符合条件的残疾人福利性单位，且本单位参加</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rPr>
        <w:t>单位的</w:t>
      </w:r>
      <w:r>
        <w:rPr>
          <w:rFonts w:hint="eastAsia" w:ascii="宋体" w:hAnsi="宋体" w:eastAsia="宋体" w:cs="宋体"/>
          <w:b/>
          <w:bCs/>
          <w:color w:val="auto"/>
          <w:sz w:val="24"/>
          <w:szCs w:val="24"/>
          <w:highlight w:val="none"/>
        </w:rPr>
        <w:t>采购文件编号</w:t>
      </w:r>
      <w:r>
        <w:rPr>
          <w:rFonts w:hint="eastAsia" w:ascii="宋体" w:hAnsi="宋体" w:eastAsia="宋体" w:cs="宋体"/>
          <w:color w:val="auto"/>
          <w:sz w:val="24"/>
          <w:szCs w:val="24"/>
          <w:highlight w:val="none"/>
        </w:rPr>
        <w:t>为</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rPr>
        <w:t>项目采购活动由本单位提供服务。</w:t>
      </w:r>
    </w:p>
    <w:p w14:paraId="455EDE14">
      <w:pPr>
        <w:spacing w:line="400" w:lineRule="exact"/>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本单位对上述声明的真实性负责。如有虚假，将依法承担相应责任。</w:t>
      </w:r>
    </w:p>
    <w:p w14:paraId="56333A0E">
      <w:pPr>
        <w:rPr>
          <w:rFonts w:hint="eastAsia" w:ascii="宋体" w:hAnsi="宋体" w:eastAsia="宋体" w:cs="宋体"/>
          <w:color w:val="auto"/>
          <w:sz w:val="24"/>
          <w:szCs w:val="24"/>
          <w:highlight w:val="none"/>
        </w:rPr>
      </w:pPr>
    </w:p>
    <w:p w14:paraId="6A4047AE">
      <w:pPr>
        <w:pStyle w:val="43"/>
        <w:ind w:firstLine="480"/>
        <w:rPr>
          <w:rFonts w:hint="eastAsia" w:ascii="宋体" w:hAnsi="宋体" w:eastAsia="宋体" w:cs="宋体"/>
          <w:color w:val="auto"/>
          <w:sz w:val="24"/>
          <w:szCs w:val="24"/>
          <w:highlight w:val="none"/>
        </w:rPr>
      </w:pPr>
    </w:p>
    <w:p w14:paraId="3D4A440C">
      <w:pPr>
        <w:spacing w:line="0" w:lineRule="atLeas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p>
    <w:p w14:paraId="177ADDB0">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1、如项目类型为“服务”，请按照此格式填写。</w:t>
      </w:r>
    </w:p>
    <w:p w14:paraId="16977333">
      <w:pPr>
        <w:spacing w:line="0" w:lineRule="atLeas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2、专门面向中小微型企业采购的项目，供应商为残疾人福利性单位并提供服务的必须提供此声明函，否则将不能通过资格审查。</w:t>
      </w:r>
    </w:p>
    <w:p w14:paraId="78F41D13">
      <w:pPr>
        <w:spacing w:line="0" w:lineRule="atLeas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 非专门面向中小微型企业采购的项目，供应商如不提供此声明函，价格将不做相应扣除。</w:t>
      </w:r>
    </w:p>
    <w:p w14:paraId="2424AEA1">
      <w:pPr>
        <w:spacing w:line="0" w:lineRule="atLeas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4、成交供应商为残疾人福利性单位的，此声明函将随成交结果同时公告，接受社会监督。</w:t>
      </w:r>
    </w:p>
    <w:p w14:paraId="2943234B">
      <w:pPr>
        <w:spacing w:line="588" w:lineRule="exact"/>
        <w:ind w:firstLine="504" w:firstLineChars="200"/>
        <w:rPr>
          <w:rFonts w:hint="eastAsia" w:ascii="宋体" w:hAnsi="宋体" w:eastAsia="宋体" w:cs="宋体"/>
          <w:color w:val="auto"/>
          <w:spacing w:val="6"/>
          <w:sz w:val="24"/>
          <w:szCs w:val="24"/>
          <w:highlight w:val="none"/>
        </w:rPr>
      </w:pPr>
    </w:p>
    <w:p w14:paraId="7CF40E91">
      <w:pPr>
        <w:tabs>
          <w:tab w:val="left" w:pos="4860"/>
        </w:tabs>
        <w:spacing w:line="0" w:lineRule="atLeast"/>
        <w:ind w:right="1559" w:firstLine="480" w:firstLineChars="20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供应商全称（加盖CA电子公章）：</w:t>
      </w:r>
    </w:p>
    <w:p w14:paraId="42203CE7">
      <w:pPr>
        <w:tabs>
          <w:tab w:val="left" w:pos="4860"/>
        </w:tabs>
        <w:spacing w:line="0" w:lineRule="atLeast"/>
        <w:ind w:right="1559" w:firstLine="480" w:firstLineChars="20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日  期：  年  月  日</w:t>
      </w:r>
    </w:p>
    <w:p w14:paraId="64CAB718">
      <w:pPr>
        <w:snapToGrid w:val="0"/>
        <w:spacing w:line="420" w:lineRule="exact"/>
        <w:outlineLvl w:val="3"/>
        <w:rPr>
          <w:rFonts w:hint="eastAsia" w:ascii="宋体" w:hAnsi="宋体" w:eastAsia="宋体" w:cs="宋体"/>
          <w:b/>
          <w:color w:val="auto"/>
          <w:sz w:val="24"/>
          <w:szCs w:val="24"/>
          <w:highlight w:val="none"/>
        </w:rPr>
      </w:pPr>
    </w:p>
    <w:p w14:paraId="55984902">
      <w:pPr>
        <w:snapToGrid w:val="0"/>
        <w:spacing w:line="420" w:lineRule="exact"/>
        <w:outlineLvl w:val="3"/>
        <w:rPr>
          <w:rFonts w:hint="eastAsia" w:ascii="宋体" w:hAnsi="宋体" w:eastAsia="宋体" w:cs="宋体"/>
          <w:b/>
          <w:color w:val="auto"/>
          <w:sz w:val="24"/>
          <w:szCs w:val="24"/>
          <w:highlight w:val="none"/>
        </w:rPr>
      </w:pPr>
    </w:p>
    <w:p w14:paraId="5422D81D">
      <w:pPr>
        <w:snapToGrid w:val="0"/>
        <w:spacing w:line="420" w:lineRule="exact"/>
        <w:outlineLvl w:val="3"/>
        <w:rPr>
          <w:rFonts w:hint="eastAsia" w:ascii="宋体" w:hAnsi="宋体" w:eastAsia="宋体" w:cs="宋体"/>
          <w:b/>
          <w:color w:val="auto"/>
          <w:sz w:val="24"/>
          <w:szCs w:val="24"/>
          <w:highlight w:val="none"/>
        </w:rPr>
      </w:pPr>
    </w:p>
    <w:p w14:paraId="1D170D92">
      <w:pPr>
        <w:snapToGrid w:val="0"/>
        <w:spacing w:line="420" w:lineRule="exact"/>
        <w:outlineLvl w:val="3"/>
        <w:rPr>
          <w:rFonts w:hint="eastAsia" w:ascii="宋体" w:hAnsi="宋体" w:eastAsia="宋体" w:cs="宋体"/>
          <w:b/>
          <w:color w:val="auto"/>
          <w:sz w:val="24"/>
          <w:szCs w:val="24"/>
          <w:highlight w:val="none"/>
        </w:rPr>
      </w:pPr>
    </w:p>
    <w:p w14:paraId="61B5A85D">
      <w:pPr>
        <w:snapToGrid w:val="0"/>
        <w:spacing w:line="420" w:lineRule="exact"/>
        <w:outlineLvl w:val="3"/>
        <w:rPr>
          <w:rFonts w:hint="eastAsia" w:ascii="宋体" w:hAnsi="宋体" w:eastAsia="宋体" w:cs="宋体"/>
          <w:b/>
          <w:color w:val="auto"/>
          <w:sz w:val="24"/>
          <w:szCs w:val="24"/>
          <w:highlight w:val="none"/>
        </w:rPr>
      </w:pPr>
    </w:p>
    <w:p w14:paraId="6609BEF3">
      <w:pPr>
        <w:snapToGrid w:val="0"/>
        <w:spacing w:line="420" w:lineRule="exact"/>
        <w:outlineLvl w:val="3"/>
        <w:rPr>
          <w:rFonts w:hint="eastAsia" w:ascii="宋体" w:hAnsi="宋体" w:eastAsia="宋体" w:cs="宋体"/>
          <w:b/>
          <w:color w:val="auto"/>
          <w:sz w:val="24"/>
          <w:szCs w:val="24"/>
          <w:highlight w:val="none"/>
        </w:rPr>
      </w:pPr>
    </w:p>
    <w:p w14:paraId="4B729BA7">
      <w:pPr>
        <w:snapToGrid w:val="0"/>
        <w:spacing w:line="420" w:lineRule="exact"/>
        <w:outlineLvl w:val="3"/>
        <w:rPr>
          <w:rFonts w:hint="eastAsia" w:ascii="宋体" w:hAnsi="宋体" w:eastAsia="宋体" w:cs="宋体"/>
          <w:b/>
          <w:color w:val="auto"/>
          <w:sz w:val="24"/>
          <w:szCs w:val="24"/>
          <w:highlight w:val="none"/>
        </w:rPr>
      </w:pPr>
    </w:p>
    <w:p w14:paraId="57E5C711">
      <w:pPr>
        <w:snapToGrid w:val="0"/>
        <w:spacing w:line="420" w:lineRule="exact"/>
        <w:outlineLvl w:val="3"/>
        <w:rPr>
          <w:rFonts w:hint="eastAsia" w:ascii="宋体" w:hAnsi="宋体" w:eastAsia="宋体" w:cs="宋体"/>
          <w:b/>
          <w:color w:val="auto"/>
          <w:sz w:val="24"/>
          <w:szCs w:val="24"/>
          <w:highlight w:val="none"/>
        </w:rPr>
      </w:pPr>
    </w:p>
    <w:p w14:paraId="53441DFF">
      <w:pPr>
        <w:snapToGrid w:val="0"/>
        <w:spacing w:line="420" w:lineRule="exact"/>
        <w:outlineLvl w:val="3"/>
        <w:rPr>
          <w:rFonts w:hint="eastAsia" w:ascii="宋体" w:hAnsi="宋体" w:eastAsia="宋体" w:cs="宋体"/>
          <w:b/>
          <w:color w:val="auto"/>
          <w:sz w:val="24"/>
          <w:szCs w:val="24"/>
          <w:highlight w:val="none"/>
        </w:rPr>
      </w:pPr>
    </w:p>
    <w:p w14:paraId="218783CD">
      <w:pPr>
        <w:snapToGrid w:val="0"/>
        <w:spacing w:line="420" w:lineRule="exact"/>
        <w:outlineLvl w:val="3"/>
        <w:rPr>
          <w:rFonts w:hint="eastAsia" w:ascii="宋体" w:hAnsi="宋体" w:eastAsia="宋体" w:cs="宋体"/>
          <w:b/>
          <w:color w:val="auto"/>
          <w:sz w:val="24"/>
          <w:szCs w:val="24"/>
          <w:highlight w:val="none"/>
        </w:rPr>
      </w:pPr>
    </w:p>
    <w:p w14:paraId="24C2ED17">
      <w:pPr>
        <w:snapToGrid w:val="0"/>
        <w:spacing w:line="420" w:lineRule="exact"/>
        <w:outlineLvl w:val="3"/>
        <w:rPr>
          <w:rFonts w:hint="eastAsia" w:ascii="宋体" w:hAnsi="宋体" w:eastAsia="宋体" w:cs="宋体"/>
          <w:b/>
          <w:color w:val="auto"/>
          <w:sz w:val="24"/>
          <w:szCs w:val="24"/>
          <w:highlight w:val="none"/>
        </w:rPr>
      </w:pPr>
    </w:p>
    <w:p w14:paraId="60F96638">
      <w:pPr>
        <w:snapToGrid w:val="0"/>
        <w:spacing w:line="420" w:lineRule="exact"/>
        <w:outlineLvl w:val="3"/>
        <w:rPr>
          <w:rFonts w:hint="eastAsia" w:ascii="宋体" w:hAnsi="宋体" w:eastAsia="宋体" w:cs="宋体"/>
          <w:b/>
          <w:color w:val="auto"/>
          <w:sz w:val="24"/>
          <w:szCs w:val="24"/>
          <w:highlight w:val="none"/>
        </w:rPr>
      </w:pPr>
    </w:p>
    <w:p w14:paraId="4FAAAFC7">
      <w:pPr>
        <w:snapToGrid w:val="0"/>
        <w:spacing w:line="420" w:lineRule="exact"/>
        <w:outlineLvl w:val="3"/>
        <w:rPr>
          <w:rFonts w:hint="eastAsia" w:ascii="宋体" w:hAnsi="宋体" w:eastAsia="宋体" w:cs="宋体"/>
          <w:b/>
          <w:color w:val="auto"/>
          <w:sz w:val="24"/>
          <w:szCs w:val="24"/>
          <w:highlight w:val="none"/>
        </w:rPr>
      </w:pPr>
    </w:p>
    <w:p w14:paraId="3E04D87C">
      <w:pPr>
        <w:snapToGrid w:val="0"/>
        <w:spacing w:line="420" w:lineRule="exact"/>
        <w:outlineLvl w:val="3"/>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附件9</w:t>
      </w:r>
    </w:p>
    <w:p w14:paraId="451CB0E8">
      <w:pPr>
        <w:snapToGrid w:val="0"/>
        <w:spacing w:line="420" w:lineRule="exact"/>
        <w:jc w:val="center"/>
        <w:outlineLvl w:val="3"/>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监狱和戒毒企业证明材料</w:t>
      </w:r>
    </w:p>
    <w:p w14:paraId="24819FBF">
      <w:pPr>
        <w:snapToGrid w:val="0"/>
        <w:spacing w:line="420" w:lineRule="exact"/>
        <w:ind w:firstLine="495" w:firstLineChars="177"/>
        <w:rPr>
          <w:rFonts w:hint="eastAsia" w:ascii="宋体" w:hAnsi="宋体" w:eastAsia="宋体" w:cs="宋体"/>
          <w:color w:val="auto"/>
          <w:sz w:val="28"/>
          <w:szCs w:val="28"/>
          <w:highlight w:val="none"/>
        </w:rPr>
      </w:pPr>
    </w:p>
    <w:p w14:paraId="59ACEC3C">
      <w:pPr>
        <w:snapToGrid w:val="0"/>
        <w:spacing w:line="420" w:lineRule="exact"/>
        <w:ind w:firstLine="426" w:firstLineChars="177"/>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（格式自拟）</w:t>
      </w:r>
    </w:p>
    <w:p w14:paraId="714A74EF">
      <w:pPr>
        <w:snapToGrid w:val="0"/>
        <w:spacing w:line="420" w:lineRule="exact"/>
        <w:ind w:firstLine="424" w:firstLineChars="177"/>
        <w:rPr>
          <w:rFonts w:hint="eastAsia" w:ascii="宋体" w:hAnsi="宋体" w:eastAsia="宋体" w:cs="宋体"/>
          <w:color w:val="auto"/>
          <w:sz w:val="24"/>
          <w:szCs w:val="24"/>
          <w:highlight w:val="none"/>
        </w:rPr>
      </w:pPr>
    </w:p>
    <w:p w14:paraId="1A721E8D">
      <w:pPr>
        <w:snapToGrid w:val="0"/>
        <w:spacing w:line="420" w:lineRule="exact"/>
        <w:ind w:firstLine="566" w:firstLineChars="23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财政部司法部关于政府采购支持监狱企业发展有关问题的通知》（财库〔2014〕68号），监狱企业参加政府采购活动时，应当提供由省级以上监狱管理局、戒毒管理局（含新疆生产建设兵团）出具的，供应商属于监狱企业的证明文件。</w:t>
      </w:r>
    </w:p>
    <w:p w14:paraId="4870CA78">
      <w:pPr>
        <w:snapToGrid w:val="0"/>
        <w:spacing w:line="300" w:lineRule="auto"/>
        <w:outlineLvl w:val="0"/>
        <w:rPr>
          <w:rFonts w:hint="eastAsia" w:ascii="宋体" w:hAnsi="宋体" w:eastAsia="宋体" w:cs="宋体"/>
          <w:color w:val="auto"/>
          <w:sz w:val="24"/>
          <w:szCs w:val="24"/>
          <w:highlight w:val="none"/>
        </w:rPr>
      </w:pPr>
    </w:p>
    <w:p w14:paraId="638918FF">
      <w:pPr>
        <w:snapToGrid w:val="0"/>
        <w:spacing w:line="420" w:lineRule="exact"/>
        <w:ind w:firstLine="566" w:firstLineChars="23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注：1、专门面向中小微型企业采购的项目，供应商如不提供证明材料，则不能通过资格审查；非专门面向中小微型企业采购的项目，供应商如不提供证明材料，价格将不做相应扣除。</w:t>
      </w:r>
    </w:p>
    <w:p w14:paraId="550D4A38">
      <w:pPr>
        <w:snapToGrid w:val="0"/>
        <w:spacing w:line="420" w:lineRule="exact"/>
        <w:ind w:firstLine="566" w:firstLineChars="23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成交供应商为监狱和戒毒企业的，此证明材料将随成交结果同时公告，接受社会监督。供应商提供证明材料内容不实的，属于提供虚假材料谋取中标、成交，依照《中华人民共和国政府采购法》等国家有关规定追究相应责任。</w:t>
      </w:r>
    </w:p>
    <w:p w14:paraId="693DCC07">
      <w:pPr>
        <w:snapToGrid w:val="0"/>
        <w:spacing w:line="420" w:lineRule="exact"/>
        <w:ind w:firstLine="566" w:firstLineChars="236"/>
        <w:rPr>
          <w:rFonts w:hint="eastAsia" w:ascii="宋体" w:hAnsi="宋体" w:eastAsia="宋体" w:cs="宋体"/>
          <w:color w:val="auto"/>
          <w:sz w:val="24"/>
          <w:szCs w:val="24"/>
          <w:highlight w:val="none"/>
        </w:rPr>
      </w:pPr>
    </w:p>
    <w:p w14:paraId="48F9F7F9">
      <w:pPr>
        <w:spacing w:line="560" w:lineRule="exact"/>
        <w:jc w:val="center"/>
        <w:rPr>
          <w:rFonts w:hint="eastAsia" w:ascii="宋体" w:hAnsi="宋体" w:eastAsia="宋体" w:cs="宋体"/>
          <w:b/>
          <w:color w:val="auto"/>
          <w:sz w:val="24"/>
          <w:szCs w:val="24"/>
          <w:highlight w:val="none"/>
        </w:rPr>
      </w:pPr>
    </w:p>
    <w:p w14:paraId="0E5C41EE">
      <w:pPr>
        <w:spacing w:line="560" w:lineRule="exact"/>
        <w:rPr>
          <w:rFonts w:hint="eastAsia" w:ascii="宋体" w:hAnsi="宋体" w:eastAsia="宋体" w:cs="宋体"/>
          <w:b/>
          <w:color w:val="auto"/>
          <w:sz w:val="24"/>
          <w:szCs w:val="24"/>
          <w:highlight w:val="none"/>
        </w:rPr>
      </w:pPr>
    </w:p>
    <w:p w14:paraId="575F5372">
      <w:pP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br w:type="page"/>
      </w:r>
      <w:r>
        <w:rPr>
          <w:rFonts w:hint="eastAsia" w:ascii="宋体" w:hAnsi="宋体" w:eastAsia="宋体" w:cs="宋体"/>
          <w:b/>
          <w:color w:val="auto"/>
          <w:sz w:val="24"/>
          <w:szCs w:val="24"/>
          <w:highlight w:val="none"/>
        </w:rPr>
        <w:t>附件</w:t>
      </w:r>
      <w:bookmarkEnd w:id="183"/>
      <w:r>
        <w:rPr>
          <w:rFonts w:hint="eastAsia" w:ascii="宋体" w:hAnsi="宋体" w:eastAsia="宋体" w:cs="宋体"/>
          <w:b/>
          <w:color w:val="auto"/>
          <w:sz w:val="24"/>
          <w:szCs w:val="24"/>
          <w:highlight w:val="none"/>
        </w:rPr>
        <w:t>10</w:t>
      </w:r>
    </w:p>
    <w:p w14:paraId="7CC57DB8">
      <w:pPr>
        <w:jc w:val="left"/>
        <w:rPr>
          <w:rFonts w:hint="eastAsia" w:ascii="宋体" w:hAnsi="宋体" w:eastAsia="宋体" w:cs="宋体"/>
          <w:b/>
          <w:bCs/>
          <w:color w:val="auto"/>
          <w:sz w:val="32"/>
          <w:szCs w:val="32"/>
          <w:highlight w:val="none"/>
        </w:rPr>
      </w:pPr>
    </w:p>
    <w:p w14:paraId="28ED3808">
      <w:pPr>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质疑函范本</w:t>
      </w:r>
    </w:p>
    <w:p w14:paraId="677CA2CD">
      <w:pPr>
        <w:adjustRightInd w:val="0"/>
        <w:snapToGrid w:val="0"/>
        <w:spacing w:before="290" w:beforeLines="100"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一、质疑供应商基本信息</w:t>
      </w:r>
    </w:p>
    <w:p w14:paraId="2AD78F22">
      <w:pPr>
        <w:adjustRightInd w:val="0"/>
        <w:snapToGrid w:val="0"/>
        <w:spacing w:line="360" w:lineRule="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质疑供应商：</w:t>
      </w:r>
    </w:p>
    <w:p w14:paraId="30A7E190">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地址：邮编：</w:t>
      </w:r>
    </w:p>
    <w:p w14:paraId="37E46661">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联系人：联系电话：</w:t>
      </w:r>
    </w:p>
    <w:p w14:paraId="678C6D57">
      <w:pPr>
        <w:adjustRightInd w:val="0"/>
        <w:snapToGrid w:val="0"/>
        <w:spacing w:line="360" w:lineRule="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授权代表：</w:t>
      </w:r>
    </w:p>
    <w:p w14:paraId="30FB48D3">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w:t>
      </w:r>
    </w:p>
    <w:p w14:paraId="021A5875">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地址：邮编：</w:t>
      </w:r>
    </w:p>
    <w:p w14:paraId="4EDBAA3C">
      <w:pPr>
        <w:adjustRightInd w:val="0"/>
        <w:snapToGrid w:val="0"/>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二、质疑项目基本情况</w:t>
      </w:r>
    </w:p>
    <w:p w14:paraId="3EA660E7">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质疑项目的名称：</w:t>
      </w:r>
    </w:p>
    <w:p w14:paraId="4C28D5E0">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质疑项目的编号：包号：</w:t>
      </w:r>
    </w:p>
    <w:p w14:paraId="68405CFA">
      <w:pPr>
        <w:adjustRightInd w:val="0"/>
        <w:snapToGrid w:val="0"/>
        <w:spacing w:line="360" w:lineRule="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采购人名称：</w:t>
      </w:r>
    </w:p>
    <w:p w14:paraId="0B298E92">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采购文件获取日期：</w:t>
      </w:r>
    </w:p>
    <w:p w14:paraId="62EFC2D0">
      <w:pPr>
        <w:adjustRightInd w:val="0"/>
        <w:snapToGrid w:val="0"/>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三、质疑事项具体内容</w:t>
      </w:r>
    </w:p>
    <w:p w14:paraId="758595E9">
      <w:pPr>
        <w:adjustRightInd w:val="0"/>
        <w:snapToGrid w:val="0"/>
        <w:spacing w:line="360" w:lineRule="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质疑事项1：</w:t>
      </w:r>
    </w:p>
    <w:p w14:paraId="1051668C">
      <w:pPr>
        <w:adjustRightInd w:val="0"/>
        <w:snapToGrid w:val="0"/>
        <w:spacing w:line="360" w:lineRule="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事实依据：</w:t>
      </w:r>
    </w:p>
    <w:p w14:paraId="605B578F">
      <w:pPr>
        <w:adjustRightInd w:val="0"/>
        <w:snapToGrid w:val="0"/>
        <w:spacing w:line="360" w:lineRule="auto"/>
        <w:rPr>
          <w:rFonts w:hint="eastAsia" w:ascii="宋体" w:hAnsi="宋体" w:eastAsia="宋体" w:cs="宋体"/>
          <w:color w:val="auto"/>
          <w:sz w:val="24"/>
          <w:szCs w:val="24"/>
          <w:highlight w:val="none"/>
        </w:rPr>
      </w:pPr>
    </w:p>
    <w:p w14:paraId="49821F09">
      <w:pPr>
        <w:adjustRightInd w:val="0"/>
        <w:snapToGrid w:val="0"/>
        <w:spacing w:line="360" w:lineRule="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法律依据：</w:t>
      </w:r>
    </w:p>
    <w:p w14:paraId="38D7DF53">
      <w:pPr>
        <w:adjustRightInd w:val="0"/>
        <w:snapToGrid w:val="0"/>
        <w:spacing w:line="360" w:lineRule="auto"/>
        <w:rPr>
          <w:rFonts w:hint="eastAsia" w:ascii="宋体" w:hAnsi="宋体" w:eastAsia="宋体" w:cs="宋体"/>
          <w:color w:val="auto"/>
          <w:sz w:val="24"/>
          <w:szCs w:val="24"/>
          <w:highlight w:val="none"/>
          <w:u w:val="dotted"/>
        </w:rPr>
      </w:pPr>
    </w:p>
    <w:p w14:paraId="66B3D40E">
      <w:pPr>
        <w:adjustRightInd w:val="0"/>
        <w:snapToGrid w:val="0"/>
        <w:spacing w:line="360" w:lineRule="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质疑事项2</w:t>
      </w:r>
    </w:p>
    <w:p w14:paraId="3A0895CD">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p w14:paraId="76F92C71">
      <w:pPr>
        <w:adjustRightInd w:val="0"/>
        <w:snapToGrid w:val="0"/>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四、与质疑事项相关的质疑请求</w:t>
      </w:r>
    </w:p>
    <w:p w14:paraId="748CA105">
      <w:pPr>
        <w:adjustRightInd w:val="0"/>
        <w:snapToGrid w:val="0"/>
        <w:spacing w:line="360" w:lineRule="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请求：</w:t>
      </w:r>
    </w:p>
    <w:p w14:paraId="5A33A19D">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签字(签章)：   公章：</w:t>
      </w:r>
    </w:p>
    <w:p w14:paraId="6DD4F419">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p>
    <w:p w14:paraId="6E118EBF">
      <w:pPr>
        <w:spacing w:line="400" w:lineRule="exac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质疑函制作说明：</w:t>
      </w:r>
    </w:p>
    <w:p w14:paraId="6990159F">
      <w:pPr>
        <w:widowControl/>
        <w:spacing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1.供应商提出质疑时，应提交质疑函和必要的证明材料。</w:t>
      </w:r>
    </w:p>
    <w:p w14:paraId="5A0C8413">
      <w:pPr>
        <w:widowControl/>
        <w:spacing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2.质疑供应商若委托代理人进行质疑的，质疑函应按要求列明“授权代表”的有关内容，并在附件中提交由质疑</w:t>
      </w:r>
      <w:r>
        <w:rPr>
          <w:rFonts w:hint="eastAsia" w:ascii="宋体" w:hAnsi="宋体" w:eastAsia="宋体" w:cs="宋体"/>
          <w:color w:val="auto"/>
          <w:kern w:val="0"/>
          <w:sz w:val="24"/>
          <w:szCs w:val="24"/>
          <w:highlight w:val="none"/>
        </w:rPr>
        <w:t>供应商签署的授权委托书。授权委托书应载明代理人的姓名或者名称、代理事项、具体权限、期限和相关事项。</w:t>
      </w:r>
    </w:p>
    <w:p w14:paraId="090A98E9">
      <w:pPr>
        <w:widowControl/>
        <w:spacing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3.质疑供应商若对项目的某一分包进行质疑，质疑函中应列明具体分包号。</w:t>
      </w:r>
    </w:p>
    <w:p w14:paraId="4B4918D5">
      <w:pPr>
        <w:widowControl/>
        <w:spacing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4.质疑函的质疑事项应具体、明确，并有必要的事实依据和法律依据。</w:t>
      </w:r>
    </w:p>
    <w:p w14:paraId="4C6E4429">
      <w:pPr>
        <w:widowControl/>
        <w:spacing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5.质疑函的质疑请求应与质疑事项相关。</w:t>
      </w:r>
    </w:p>
    <w:p w14:paraId="1630DF4F">
      <w:pPr>
        <w:widowControl/>
        <w:spacing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6.质疑供应商为自然人的，质疑函应由本人签字；质疑供应商为法人或者其他组织的，质疑函应由法定代表人、主要负责人，或者其授权代表签字或者盖章，并加盖公章。</w:t>
      </w:r>
    </w:p>
    <w:p w14:paraId="4599CB09">
      <w:pPr>
        <w:ind w:firstLine="420"/>
        <w:rPr>
          <w:rFonts w:hint="eastAsia" w:ascii="宋体" w:hAnsi="宋体" w:eastAsia="宋体" w:cs="宋体"/>
          <w:color w:val="auto"/>
          <w:sz w:val="24"/>
          <w:szCs w:val="24"/>
          <w:highlight w:val="none"/>
        </w:rPr>
      </w:pPr>
    </w:p>
    <w:p w14:paraId="235F6BF1">
      <w:pPr>
        <w:ind w:firstLine="420"/>
        <w:rPr>
          <w:rFonts w:hint="eastAsia" w:ascii="宋体" w:hAnsi="宋体" w:eastAsia="宋体" w:cs="宋体"/>
          <w:color w:val="auto"/>
          <w:sz w:val="24"/>
          <w:szCs w:val="24"/>
          <w:highlight w:val="none"/>
        </w:rPr>
      </w:pPr>
    </w:p>
    <w:p w14:paraId="7134D9AE">
      <w:pPr>
        <w:ind w:firstLine="420"/>
        <w:rPr>
          <w:rFonts w:hint="eastAsia" w:ascii="宋体" w:hAnsi="宋体" w:eastAsia="宋体" w:cs="宋体"/>
          <w:color w:val="auto"/>
          <w:sz w:val="24"/>
          <w:szCs w:val="24"/>
          <w:highlight w:val="none"/>
        </w:rPr>
      </w:pPr>
    </w:p>
    <w:p w14:paraId="63D6746D">
      <w:pPr>
        <w:ind w:firstLine="420"/>
        <w:rPr>
          <w:rFonts w:hint="eastAsia" w:ascii="宋体" w:hAnsi="宋体" w:eastAsia="宋体" w:cs="宋体"/>
          <w:color w:val="auto"/>
          <w:sz w:val="24"/>
          <w:szCs w:val="24"/>
          <w:highlight w:val="none"/>
        </w:rPr>
      </w:pPr>
    </w:p>
    <w:p w14:paraId="64DEA9DE">
      <w:pPr>
        <w:ind w:firstLine="420"/>
        <w:rPr>
          <w:rFonts w:hint="eastAsia" w:ascii="宋体" w:hAnsi="宋体" w:eastAsia="宋体" w:cs="宋体"/>
          <w:color w:val="auto"/>
          <w:sz w:val="24"/>
          <w:szCs w:val="24"/>
          <w:highlight w:val="none"/>
        </w:rPr>
      </w:pPr>
    </w:p>
    <w:p w14:paraId="7261E8A7">
      <w:pPr>
        <w:ind w:firstLine="420"/>
        <w:rPr>
          <w:rFonts w:hint="eastAsia" w:ascii="宋体" w:hAnsi="宋体" w:eastAsia="宋体" w:cs="宋体"/>
          <w:color w:val="auto"/>
          <w:sz w:val="24"/>
          <w:szCs w:val="24"/>
          <w:highlight w:val="none"/>
        </w:rPr>
      </w:pPr>
    </w:p>
    <w:p w14:paraId="26D09772">
      <w:pPr>
        <w:ind w:firstLine="420"/>
        <w:rPr>
          <w:rFonts w:hint="eastAsia" w:ascii="宋体" w:hAnsi="宋体" w:eastAsia="宋体" w:cs="宋体"/>
          <w:color w:val="auto"/>
          <w:sz w:val="24"/>
          <w:szCs w:val="24"/>
          <w:highlight w:val="none"/>
        </w:rPr>
      </w:pPr>
    </w:p>
    <w:p w14:paraId="3F526F10">
      <w:pPr>
        <w:ind w:firstLine="420"/>
        <w:rPr>
          <w:rFonts w:hint="eastAsia" w:ascii="宋体" w:hAnsi="宋体" w:eastAsia="宋体" w:cs="宋体"/>
          <w:color w:val="auto"/>
          <w:sz w:val="24"/>
          <w:szCs w:val="24"/>
          <w:highlight w:val="none"/>
        </w:rPr>
      </w:pPr>
    </w:p>
    <w:p w14:paraId="7ECD096B">
      <w:pPr>
        <w:ind w:firstLine="420"/>
        <w:rPr>
          <w:rFonts w:hint="eastAsia" w:ascii="宋体" w:hAnsi="宋体" w:eastAsia="宋体" w:cs="宋体"/>
          <w:color w:val="auto"/>
          <w:sz w:val="24"/>
          <w:szCs w:val="24"/>
          <w:highlight w:val="none"/>
        </w:rPr>
      </w:pPr>
    </w:p>
    <w:p w14:paraId="5576EBE0">
      <w:pPr>
        <w:ind w:firstLine="420"/>
        <w:rPr>
          <w:rFonts w:hint="eastAsia" w:ascii="宋体" w:hAnsi="宋体" w:eastAsia="宋体" w:cs="宋体"/>
          <w:color w:val="auto"/>
          <w:sz w:val="24"/>
          <w:szCs w:val="24"/>
          <w:highlight w:val="none"/>
        </w:rPr>
      </w:pPr>
    </w:p>
    <w:p w14:paraId="77CF224E">
      <w:pPr>
        <w:ind w:firstLine="420"/>
        <w:rPr>
          <w:rFonts w:hint="eastAsia" w:ascii="宋体" w:hAnsi="宋体" w:eastAsia="宋体" w:cs="宋体"/>
          <w:color w:val="auto"/>
          <w:sz w:val="24"/>
          <w:szCs w:val="24"/>
          <w:highlight w:val="none"/>
        </w:rPr>
      </w:pPr>
    </w:p>
    <w:p w14:paraId="101EDD10">
      <w:pPr>
        <w:ind w:firstLine="420"/>
        <w:rPr>
          <w:rFonts w:hint="eastAsia" w:ascii="宋体" w:hAnsi="宋体" w:eastAsia="宋体" w:cs="宋体"/>
          <w:color w:val="auto"/>
          <w:sz w:val="24"/>
          <w:szCs w:val="24"/>
          <w:highlight w:val="none"/>
        </w:rPr>
      </w:pPr>
    </w:p>
    <w:p w14:paraId="2F4ECE36">
      <w:pPr>
        <w:ind w:firstLine="420"/>
        <w:rPr>
          <w:rFonts w:hint="eastAsia" w:ascii="宋体" w:hAnsi="宋体" w:eastAsia="宋体" w:cs="宋体"/>
          <w:color w:val="auto"/>
          <w:sz w:val="24"/>
          <w:szCs w:val="24"/>
          <w:highlight w:val="none"/>
        </w:rPr>
      </w:pPr>
    </w:p>
    <w:p w14:paraId="0BB51BC3">
      <w:pPr>
        <w:ind w:firstLine="420"/>
        <w:rPr>
          <w:rFonts w:hint="eastAsia" w:ascii="宋体" w:hAnsi="宋体" w:eastAsia="宋体" w:cs="宋体"/>
          <w:color w:val="auto"/>
          <w:sz w:val="24"/>
          <w:szCs w:val="24"/>
          <w:highlight w:val="none"/>
        </w:rPr>
      </w:pPr>
    </w:p>
    <w:p w14:paraId="4A281C09">
      <w:pPr>
        <w:ind w:firstLine="420"/>
        <w:rPr>
          <w:rFonts w:hint="eastAsia" w:ascii="宋体" w:hAnsi="宋体" w:eastAsia="宋体" w:cs="宋体"/>
          <w:color w:val="auto"/>
          <w:sz w:val="24"/>
          <w:szCs w:val="24"/>
          <w:highlight w:val="none"/>
        </w:rPr>
      </w:pPr>
    </w:p>
    <w:p w14:paraId="32A2D2DB">
      <w:pPr>
        <w:ind w:firstLine="420"/>
        <w:rPr>
          <w:rFonts w:hint="eastAsia" w:ascii="宋体" w:hAnsi="宋体" w:eastAsia="宋体" w:cs="宋体"/>
          <w:color w:val="auto"/>
          <w:sz w:val="24"/>
          <w:szCs w:val="24"/>
          <w:highlight w:val="none"/>
        </w:rPr>
      </w:pPr>
    </w:p>
    <w:p w14:paraId="04297DAF">
      <w:pPr>
        <w:ind w:firstLine="420"/>
        <w:rPr>
          <w:rFonts w:hint="eastAsia" w:ascii="宋体" w:hAnsi="宋体" w:eastAsia="宋体" w:cs="宋体"/>
          <w:color w:val="auto"/>
          <w:sz w:val="24"/>
          <w:szCs w:val="24"/>
          <w:highlight w:val="none"/>
        </w:rPr>
      </w:pPr>
    </w:p>
    <w:p w14:paraId="457879A6">
      <w:pPr>
        <w:ind w:firstLine="420"/>
        <w:rPr>
          <w:rFonts w:hint="eastAsia" w:ascii="宋体" w:hAnsi="宋体" w:eastAsia="宋体" w:cs="宋体"/>
          <w:color w:val="auto"/>
          <w:sz w:val="24"/>
          <w:szCs w:val="24"/>
          <w:highlight w:val="none"/>
        </w:rPr>
      </w:pPr>
    </w:p>
    <w:p w14:paraId="5E7AE287">
      <w:pP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附件11</w:t>
      </w:r>
    </w:p>
    <w:p w14:paraId="3076539E">
      <w:pPr>
        <w:widowControl/>
        <w:jc w:val="center"/>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南通市政府采购履约保证保险政策告知函</w:t>
      </w:r>
    </w:p>
    <w:p w14:paraId="71A77BFF">
      <w:pPr>
        <w:widowControl/>
        <w:jc w:val="left"/>
        <w:rPr>
          <w:rFonts w:hint="eastAsia" w:ascii="宋体" w:hAnsi="宋体" w:eastAsia="宋体" w:cs="宋体"/>
          <w:color w:val="auto"/>
          <w:kern w:val="0"/>
          <w:sz w:val="28"/>
          <w:szCs w:val="28"/>
          <w:highlight w:val="none"/>
          <w:lang w:val="zh-CN"/>
        </w:rPr>
      </w:pPr>
    </w:p>
    <w:p w14:paraId="630FF17B">
      <w:pPr>
        <w:widowControl/>
        <w:spacing w:line="700" w:lineRule="exact"/>
        <w:jc w:val="left"/>
        <w:rPr>
          <w:rFonts w:hint="eastAsia" w:ascii="宋体" w:hAnsi="宋体" w:eastAsia="宋体" w:cs="宋体"/>
          <w:color w:val="auto"/>
          <w:kern w:val="0"/>
          <w:sz w:val="28"/>
          <w:szCs w:val="28"/>
          <w:highlight w:val="none"/>
          <w:lang w:val="zh-CN"/>
        </w:rPr>
      </w:pPr>
      <w:r>
        <w:rPr>
          <w:rFonts w:hint="eastAsia" w:ascii="宋体" w:hAnsi="宋体" w:eastAsia="宋体" w:cs="宋体"/>
          <w:color w:val="auto"/>
          <w:kern w:val="0"/>
          <w:sz w:val="28"/>
          <w:szCs w:val="28"/>
          <w:highlight w:val="none"/>
          <w:lang w:val="zh-CN"/>
        </w:rPr>
        <w:t>各政府采购供应商：</w:t>
      </w:r>
    </w:p>
    <w:p w14:paraId="404F54A0">
      <w:pPr>
        <w:widowControl/>
        <w:spacing w:line="700" w:lineRule="exact"/>
        <w:ind w:firstLine="560" w:firstLineChars="200"/>
        <w:jc w:val="left"/>
        <w:rPr>
          <w:rFonts w:hint="eastAsia" w:ascii="宋体" w:hAnsi="宋体" w:eastAsia="宋体" w:cs="宋体"/>
          <w:color w:val="auto"/>
          <w:kern w:val="0"/>
          <w:sz w:val="28"/>
          <w:szCs w:val="28"/>
          <w:highlight w:val="none"/>
          <w:lang w:val="zh-CN"/>
        </w:rPr>
      </w:pPr>
      <w:r>
        <w:rPr>
          <w:rFonts w:hint="eastAsia" w:ascii="宋体" w:hAnsi="宋体" w:eastAsia="宋体" w:cs="宋体"/>
          <w:color w:val="auto"/>
          <w:kern w:val="0"/>
          <w:sz w:val="28"/>
          <w:szCs w:val="28"/>
          <w:highlight w:val="none"/>
          <w:lang w:val="zh-CN"/>
        </w:rPr>
        <w:t>欢迎贵公司参与南通市政府采购活动！</w:t>
      </w:r>
    </w:p>
    <w:p w14:paraId="7C307B88">
      <w:pPr>
        <w:widowControl/>
        <w:spacing w:line="700" w:lineRule="exact"/>
        <w:ind w:firstLine="560" w:firstLineChars="200"/>
        <w:jc w:val="left"/>
        <w:rPr>
          <w:rFonts w:hint="eastAsia" w:ascii="宋体" w:hAnsi="宋体" w:eastAsia="宋体" w:cs="宋体"/>
          <w:color w:val="auto"/>
          <w:kern w:val="0"/>
          <w:sz w:val="28"/>
          <w:szCs w:val="28"/>
          <w:highlight w:val="none"/>
          <w:lang w:val="zh-CN"/>
        </w:rPr>
      </w:pPr>
      <w:r>
        <w:rPr>
          <w:rFonts w:hint="eastAsia" w:ascii="宋体" w:hAnsi="宋体" w:eastAsia="宋体" w:cs="宋体"/>
          <w:color w:val="auto"/>
          <w:kern w:val="0"/>
          <w:sz w:val="28"/>
          <w:szCs w:val="28"/>
          <w:highlight w:val="none"/>
          <w:lang w:val="zh-CN"/>
        </w:rPr>
        <w:t>政府采购履约保证保险是南通市财政局、中国银保监会南通监管分局和南通市行政审批局共同支持企业发展，针对企业现金流不足问题推出的一项服务举措。投保履约保证保险后，不影响贵公司在银行的授信额度，也无需提供额外担保和大额现金质押，有助于盘活贵公司现金流。</w:t>
      </w:r>
    </w:p>
    <w:p w14:paraId="3D9D7F55">
      <w:pPr>
        <w:widowControl/>
        <w:spacing w:line="700" w:lineRule="exact"/>
        <w:ind w:firstLine="560" w:firstLineChars="200"/>
        <w:jc w:val="left"/>
        <w:rPr>
          <w:rFonts w:hint="eastAsia" w:ascii="宋体" w:hAnsi="宋体" w:eastAsia="宋体" w:cs="宋体"/>
          <w:color w:val="auto"/>
          <w:kern w:val="0"/>
          <w:sz w:val="28"/>
          <w:szCs w:val="28"/>
          <w:highlight w:val="none"/>
          <w:lang w:val="zh-CN"/>
        </w:rPr>
      </w:pPr>
      <w:r>
        <w:rPr>
          <w:rFonts w:hint="eastAsia" w:ascii="宋体" w:hAnsi="宋体" w:eastAsia="宋体" w:cs="宋体"/>
          <w:color w:val="auto"/>
          <w:kern w:val="0"/>
          <w:sz w:val="28"/>
          <w:szCs w:val="28"/>
          <w:highlight w:val="none"/>
          <w:lang w:val="zh-CN"/>
        </w:rPr>
        <w:t>贵公司若成为本次政府采购项目的中标（成交）供应商，可自愿选择履约保证保险形式替代履约保证金。集中采购项目可线下自主选择或在南通市公共资源交易金融服务平台（</w:t>
      </w:r>
      <w:r>
        <w:rPr>
          <w:rFonts w:hint="eastAsia" w:ascii="宋体" w:hAnsi="宋体" w:eastAsia="宋体" w:cs="宋体"/>
          <w:color w:val="auto"/>
          <w:spacing w:val="1"/>
          <w:w w:val="72"/>
          <w:kern w:val="0"/>
          <w:sz w:val="28"/>
          <w:szCs w:val="28"/>
          <w:highlight w:val="none"/>
          <w:fitText w:val="5611" w:id="583366288"/>
          <w:lang w:val="zh-CN"/>
        </w:rPr>
        <w:t>http：</w:t>
      </w:r>
      <w:r>
        <w:rPr>
          <w:rFonts w:hint="eastAsia" w:ascii="宋体" w:hAnsi="宋体" w:eastAsia="宋体" w:cs="宋体"/>
          <w:color w:val="auto"/>
          <w:spacing w:val="1"/>
          <w:w w:val="72"/>
          <w:kern w:val="0"/>
          <w:sz w:val="28"/>
          <w:szCs w:val="28"/>
          <w:highlight w:val="none"/>
          <w:fitText w:val="5611" w:id="583366288"/>
        </w:rPr>
        <w:t>//</w:t>
      </w:r>
      <w:r>
        <w:rPr>
          <w:rFonts w:hint="eastAsia" w:ascii="宋体" w:hAnsi="宋体" w:eastAsia="宋体" w:cs="宋体"/>
          <w:color w:val="auto"/>
          <w:spacing w:val="1"/>
          <w:w w:val="72"/>
          <w:kern w:val="0"/>
          <w:sz w:val="28"/>
          <w:szCs w:val="28"/>
          <w:highlight w:val="none"/>
          <w:fitText w:val="5611" w:id="583366288"/>
          <w:lang w:val="zh-CN"/>
        </w:rPr>
        <w:t>ggzyjy.nantong.gov.cn／NTdzbhweb／supermarket</w:t>
      </w:r>
      <w:r>
        <w:rPr>
          <w:rFonts w:hint="eastAsia" w:ascii="宋体" w:hAnsi="宋体" w:eastAsia="宋体" w:cs="宋体"/>
          <w:color w:val="auto"/>
          <w:spacing w:val="7"/>
          <w:w w:val="72"/>
          <w:kern w:val="0"/>
          <w:sz w:val="28"/>
          <w:szCs w:val="28"/>
          <w:highlight w:val="none"/>
          <w:fitText w:val="5611" w:id="583366288"/>
          <w:lang w:val="zh-CN"/>
        </w:rPr>
        <w:t>／</w:t>
      </w:r>
      <w:r>
        <w:rPr>
          <w:rFonts w:hint="eastAsia" w:ascii="宋体" w:hAnsi="宋体" w:eastAsia="宋体" w:cs="宋体"/>
          <w:color w:val="auto"/>
          <w:kern w:val="0"/>
          <w:sz w:val="28"/>
          <w:szCs w:val="28"/>
          <w:highlight w:val="none"/>
          <w:lang w:val="zh-CN"/>
        </w:rPr>
        <w:t>）“履约保证保险”模块在线办理履约保证保险，分散采购项目可线下自主选择符合要求的保险公司办理。保险公司将根据《关于在政府采购领域深入开展南通市履约保证保险业务的通知》（通财购〔2023］23号），按照双方自愿的原则提供履约保证保险服务。</w:t>
      </w:r>
    </w:p>
    <w:p w14:paraId="5F07101C">
      <w:pPr>
        <w:pStyle w:val="43"/>
        <w:ind w:firstLine="560"/>
        <w:rPr>
          <w:rFonts w:hint="eastAsia" w:ascii="宋体" w:hAnsi="宋体" w:eastAsia="宋体" w:cs="宋体"/>
          <w:color w:val="auto"/>
          <w:kern w:val="0"/>
          <w:sz w:val="28"/>
          <w:szCs w:val="28"/>
          <w:highlight w:val="none"/>
          <w:lang w:val="zh-CN"/>
        </w:rPr>
      </w:pPr>
    </w:p>
    <w:p w14:paraId="6EC30795">
      <w:pPr>
        <w:rPr>
          <w:rFonts w:hint="eastAsia" w:ascii="宋体" w:hAnsi="宋体" w:eastAsia="宋体" w:cs="宋体"/>
          <w:color w:val="auto"/>
          <w:kern w:val="0"/>
          <w:sz w:val="28"/>
          <w:szCs w:val="28"/>
          <w:highlight w:val="none"/>
          <w:lang w:val="zh-CN"/>
        </w:rPr>
      </w:pPr>
    </w:p>
    <w:p w14:paraId="017EE86C">
      <w:pPr>
        <w:rPr>
          <w:rFonts w:hint="eastAsia" w:ascii="宋体" w:hAnsi="宋体" w:eastAsia="宋体" w:cs="宋体"/>
          <w:color w:val="auto"/>
          <w:kern w:val="0"/>
          <w:sz w:val="28"/>
          <w:szCs w:val="28"/>
          <w:highlight w:val="none"/>
          <w:lang w:val="zh-CN"/>
        </w:rPr>
      </w:pPr>
    </w:p>
    <w:p w14:paraId="4D833262">
      <w:pPr>
        <w:widowControl/>
        <w:spacing w:line="700" w:lineRule="exact"/>
        <w:jc w:val="left"/>
        <w:rPr>
          <w:rFonts w:hint="eastAsia" w:ascii="宋体" w:hAnsi="宋体" w:eastAsia="宋体" w:cs="宋体"/>
          <w:color w:val="auto"/>
          <w:kern w:val="0"/>
          <w:sz w:val="28"/>
          <w:szCs w:val="28"/>
          <w:highlight w:val="none"/>
        </w:rPr>
      </w:pPr>
      <w:r>
        <w:rPr>
          <w:rFonts w:hint="eastAsia" w:ascii="宋体" w:hAnsi="宋体" w:eastAsia="宋体" w:cs="宋体"/>
          <w:b/>
          <w:bCs/>
          <w:color w:val="auto"/>
          <w:kern w:val="0"/>
          <w:sz w:val="28"/>
          <w:szCs w:val="28"/>
          <w:highlight w:val="none"/>
          <w:lang w:val="zh-CN"/>
        </w:rPr>
        <w:br w:type="page"/>
      </w:r>
      <w:r>
        <w:rPr>
          <w:rFonts w:hint="eastAsia" w:ascii="宋体" w:hAnsi="宋体" w:eastAsia="宋体" w:cs="宋体"/>
          <w:b/>
          <w:color w:val="auto"/>
          <w:sz w:val="24"/>
          <w:szCs w:val="24"/>
          <w:highlight w:val="none"/>
          <w:lang w:val="zh-CN"/>
        </w:rPr>
        <w:t>附件</w:t>
      </w:r>
      <w:r>
        <w:rPr>
          <w:rFonts w:hint="eastAsia" w:ascii="宋体" w:hAnsi="宋体" w:eastAsia="宋体" w:cs="宋体"/>
          <w:b/>
          <w:color w:val="auto"/>
          <w:sz w:val="24"/>
          <w:szCs w:val="24"/>
          <w:highlight w:val="none"/>
        </w:rPr>
        <w:t>12</w:t>
      </w:r>
    </w:p>
    <w:p w14:paraId="06491CD5">
      <w:pPr>
        <w:widowControl/>
        <w:spacing w:line="700" w:lineRule="exact"/>
        <w:ind w:firstLine="2249" w:firstLineChars="800"/>
        <w:jc w:val="left"/>
        <w:rPr>
          <w:rFonts w:hint="eastAsia" w:ascii="宋体" w:hAnsi="宋体" w:eastAsia="宋体" w:cs="宋体"/>
          <w:color w:val="auto"/>
          <w:kern w:val="0"/>
          <w:sz w:val="28"/>
          <w:szCs w:val="28"/>
          <w:highlight w:val="none"/>
        </w:rPr>
      </w:pPr>
      <w:r>
        <w:rPr>
          <w:rFonts w:hint="eastAsia" w:ascii="宋体" w:hAnsi="宋体" w:eastAsia="宋体" w:cs="宋体"/>
          <w:b/>
          <w:bCs/>
          <w:color w:val="auto"/>
          <w:kern w:val="0"/>
          <w:sz w:val="28"/>
          <w:szCs w:val="28"/>
          <w:highlight w:val="none"/>
        </w:rPr>
        <w:t>南通市政府采购线上合同信用融资政策告知函</w:t>
      </w:r>
    </w:p>
    <w:p w14:paraId="3BECDB78">
      <w:pPr>
        <w:widowControl/>
        <w:spacing w:line="700" w:lineRule="exact"/>
        <w:ind w:firstLine="560" w:firstLineChars="200"/>
        <w:jc w:val="left"/>
        <w:rPr>
          <w:rFonts w:hint="eastAsia" w:ascii="宋体" w:hAnsi="宋体" w:eastAsia="宋体" w:cs="宋体"/>
          <w:color w:val="auto"/>
          <w:kern w:val="0"/>
          <w:sz w:val="28"/>
          <w:szCs w:val="28"/>
          <w:highlight w:val="none"/>
          <w:lang w:val="zh-CN"/>
        </w:rPr>
      </w:pPr>
      <w:r>
        <w:rPr>
          <w:rFonts w:hint="eastAsia" w:ascii="宋体" w:hAnsi="宋体" w:eastAsia="宋体" w:cs="宋体"/>
          <w:color w:val="auto"/>
          <w:kern w:val="0"/>
          <w:sz w:val="28"/>
          <w:szCs w:val="28"/>
          <w:highlight w:val="none"/>
        </w:rPr>
        <w:t>各政府采购供应商：</w:t>
      </w:r>
    </w:p>
    <w:p w14:paraId="63E12122">
      <w:pPr>
        <w:widowControl/>
        <w:spacing w:line="700" w:lineRule="exact"/>
        <w:ind w:firstLine="560" w:firstLineChars="20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欢迎贵公司参与南通市政府采购活动！政府采购线上合同信用融资是南通市财政局和中国人民银行南通市中心支行共同支持企业发展，针对参与政府采购活动的企业融资难、融资慢、融资贵、融资繁问题推出的一项融资服务举措。贵公司若成为本次政府采购项目的中标（成交）供应商，可持政府采购合同在线向金融机构申请贷款，无需抵押、担保，金融机构将根据《关于深入开展南通市政府采购线上合同信用融资业务的通知》（通财购〔2022〕68号），按照双方自愿的原则提供便捷、优惠的贷款服务。提供贷款的金融机构，可在江苏省政府采购网-“政采贷” 模块查询联系。</w:t>
      </w:r>
    </w:p>
    <w:p w14:paraId="07FFD2B2">
      <w:pPr>
        <w:pStyle w:val="43"/>
        <w:ind w:firstLine="560"/>
        <w:rPr>
          <w:rFonts w:hint="eastAsia" w:ascii="宋体" w:hAnsi="宋体" w:eastAsia="宋体" w:cs="宋体"/>
          <w:color w:val="auto"/>
          <w:sz w:val="28"/>
          <w:szCs w:val="28"/>
          <w:highlight w:val="none"/>
          <w:lang w:val="zh-CN"/>
        </w:rPr>
      </w:pPr>
    </w:p>
    <w:p w14:paraId="0255303A">
      <w:pPr>
        <w:snapToGrid w:val="0"/>
        <w:spacing w:line="300" w:lineRule="auto"/>
        <w:outlineLvl w:val="0"/>
        <w:rPr>
          <w:rFonts w:hint="eastAsia" w:ascii="宋体" w:hAnsi="宋体" w:eastAsia="宋体" w:cs="宋体"/>
          <w:color w:val="auto"/>
          <w:sz w:val="28"/>
          <w:szCs w:val="28"/>
          <w:highlight w:val="none"/>
        </w:rPr>
      </w:pPr>
    </w:p>
    <w:p w14:paraId="192A6492">
      <w:pPr>
        <w:snapToGrid w:val="0"/>
        <w:spacing w:line="300" w:lineRule="auto"/>
        <w:outlineLvl w:val="0"/>
        <w:rPr>
          <w:rFonts w:hint="eastAsia" w:ascii="宋体" w:hAnsi="宋体" w:eastAsia="宋体" w:cs="宋体"/>
          <w:color w:val="auto"/>
          <w:sz w:val="28"/>
          <w:szCs w:val="28"/>
          <w:highlight w:val="none"/>
        </w:rPr>
      </w:pPr>
    </w:p>
    <w:p w14:paraId="797BF71E">
      <w:pPr>
        <w:snapToGrid w:val="0"/>
        <w:spacing w:line="500" w:lineRule="exact"/>
        <w:rPr>
          <w:rFonts w:hint="eastAsia" w:ascii="宋体" w:hAnsi="宋体" w:eastAsia="宋体" w:cs="宋体"/>
          <w:b/>
          <w:color w:val="auto"/>
          <w:sz w:val="28"/>
          <w:szCs w:val="28"/>
          <w:highlight w:val="none"/>
        </w:rPr>
      </w:pPr>
    </w:p>
    <w:p w14:paraId="5CE09FF7">
      <w:pPr>
        <w:autoSpaceDE w:val="0"/>
        <w:autoSpaceDN w:val="0"/>
        <w:adjustRightInd w:val="0"/>
        <w:snapToGrid w:val="0"/>
        <w:spacing w:line="500" w:lineRule="exact"/>
        <w:contextualSpacing/>
        <w:rPr>
          <w:rFonts w:hint="eastAsia" w:ascii="宋体" w:hAnsi="宋体" w:eastAsia="宋体" w:cs="宋体"/>
          <w:b/>
          <w:bCs/>
          <w:color w:val="auto"/>
          <w:sz w:val="28"/>
          <w:szCs w:val="28"/>
          <w:highlight w:val="none"/>
        </w:rPr>
      </w:pPr>
    </w:p>
    <w:p w14:paraId="7E02A2CC">
      <w:pPr>
        <w:snapToGrid w:val="0"/>
        <w:spacing w:line="500" w:lineRule="exact"/>
        <w:ind w:firstLine="562" w:firstLineChars="200"/>
        <w:contextualSpacing/>
        <w:outlineLvl w:val="0"/>
        <w:rPr>
          <w:rFonts w:hint="eastAsia" w:ascii="宋体" w:hAnsi="宋体" w:eastAsia="宋体" w:cs="宋体"/>
          <w:b/>
          <w:color w:val="auto"/>
          <w:sz w:val="28"/>
          <w:szCs w:val="28"/>
          <w:highlight w:val="none"/>
        </w:rPr>
      </w:pPr>
    </w:p>
    <w:p w14:paraId="31278E4F">
      <w:pPr>
        <w:spacing w:line="400" w:lineRule="exact"/>
        <w:ind w:firstLine="420" w:firstLineChars="200"/>
        <w:rPr>
          <w:rFonts w:hint="eastAsia" w:ascii="宋体" w:hAnsi="宋体" w:eastAsia="宋体" w:cs="宋体"/>
          <w:color w:val="auto"/>
          <w:highlight w:val="none"/>
        </w:rPr>
      </w:pPr>
    </w:p>
    <w:p w14:paraId="4D72DA8B">
      <w:pPr>
        <w:rPr>
          <w:rFonts w:hint="eastAsia" w:ascii="宋体" w:hAnsi="宋体" w:eastAsia="宋体" w:cs="宋体"/>
          <w:color w:val="auto"/>
          <w:highlight w:val="none"/>
        </w:rPr>
      </w:pPr>
    </w:p>
    <w:sectPr>
      <w:pgSz w:w="11906" w:h="16838"/>
      <w:pgMar w:top="1440" w:right="1326" w:bottom="1440" w:left="1500" w:header="851" w:footer="907" w:gutter="0"/>
      <w:cols w:space="720" w:num="1"/>
      <w:titlePg/>
      <w:docGrid w:type="lines" w:linePitch="29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幼圆">
    <w:panose1 w:val="02010509060101010101"/>
    <w:charset w:val="86"/>
    <w:family w:val="modern"/>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Arial Unicode MS">
    <w:panose1 w:val="020B0604020202020204"/>
    <w:charset w:val="86"/>
    <w:family w:val="swiss"/>
    <w:pitch w:val="default"/>
    <w:sig w:usb0="FFFFFFFF" w:usb1="E9FFFFFF" w:usb2="0000003F" w:usb3="00000000" w:csb0="603F01FF" w:csb1="FFFF0000"/>
  </w:font>
  <w:font w:name="方正黑体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Verdana">
    <w:panose1 w:val="020B0604030504040204"/>
    <w:charset w:val="00"/>
    <w:family w:val="swiss"/>
    <w:pitch w:val="default"/>
    <w:sig w:usb0="A00006FF" w:usb1="4000205B" w:usb2="00000010" w:usb3="00000000" w:csb0="2000019F" w:csb1="00000000"/>
  </w:font>
  <w:font w:name="方正小标宋_GBK">
    <w:altName w:val="微软雅黑"/>
    <w:panose1 w:val="02000000000000000000"/>
    <w:charset w:val="86"/>
    <w:family w:val="script"/>
    <w:pitch w:val="default"/>
    <w:sig w:usb0="00000000" w:usb1="00000000" w:usb2="00082016" w:usb3="00000000" w:csb0="00040001" w:csb1="00000000"/>
  </w:font>
  <w:font w:name="MS PGothic">
    <w:panose1 w:val="020B0600070205080204"/>
    <w:charset w:val="80"/>
    <w:family w:val="auto"/>
    <w:pitch w:val="default"/>
    <w:sig w:usb0="E00002FF" w:usb1="6AC7FDFB" w:usb2="08000012" w:usb3="00000000" w:csb0="4002009F" w:csb1="DFD70000"/>
  </w:font>
  <w:font w:name="KSOFF9CBECC6">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C4DC70">
    <w:pPr>
      <w:pStyle w:val="2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375CA4">
    <w:pPr>
      <w:spacing w:line="173" w:lineRule="auto"/>
      <w:ind w:left="4627"/>
      <w:rPr>
        <w:rFonts w:ascii="Times New Roman" w:hAnsi="Times New Roman" w:eastAsia="Times New Roman"/>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6A75B7DB">
                          <w:pPr>
                            <w:pStyle w:val="28"/>
                          </w:pPr>
                          <w:r>
                            <w:fldChar w:fldCharType="begin"/>
                          </w:r>
                          <w:r>
                            <w:instrText xml:space="preserve"> PAGE  \* MERGEFORMAT </w:instrText>
                          </w:r>
                          <w:r>
                            <w:fldChar w:fldCharType="separate"/>
                          </w:r>
                          <w:r>
                            <w:t>26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bxmbQxAgAAY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hMmzLGz1&#10;zvIIHeXxdnUMkDOpHEXplEB34gGzl/rU70kc7j/PKerx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G8Zm0MQIAAGMEAAAOAAAAAAAAAAEAIAAAAB8BAABkcnMvZTJvRG9jLnhtbFBLBQYA&#10;AAAABgAGAFkBAADCBQAAAAA=&#10;">
              <v:fill on="f" focussize="0,0"/>
              <v:stroke on="f" weight="0.5pt"/>
              <v:imagedata o:title=""/>
              <o:lock v:ext="edit" aspectratio="f"/>
              <v:textbox inset="0mm,0mm,0mm,0mm" style="mso-fit-shape-to-text:t;">
                <w:txbxContent>
                  <w:p w14:paraId="6A75B7DB">
                    <w:pPr>
                      <w:pStyle w:val="28"/>
                    </w:pPr>
                    <w:r>
                      <w:fldChar w:fldCharType="begin"/>
                    </w:r>
                    <w:r>
                      <w:instrText xml:space="preserve"> PAGE  \* MERGEFORMAT </w:instrText>
                    </w:r>
                    <w:r>
                      <w:fldChar w:fldCharType="separate"/>
                    </w:r>
                    <w:r>
                      <w:t>26</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73E0D7">
    <w:pPr>
      <w:pStyle w:val="28"/>
      <w:jc w:val="center"/>
      <w:rPr>
        <w:b/>
        <w:i/>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709ECC91">
                          <w:pPr>
                            <w:pStyle w:val="28"/>
                          </w:pPr>
                          <w:r>
                            <w:fldChar w:fldCharType="begin"/>
                          </w:r>
                          <w:r>
                            <w:instrText xml:space="preserve"> PAGE  \* MERGEFORMAT </w:instrText>
                          </w:r>
                          <w:r>
                            <w:fldChar w:fldCharType="separate"/>
                          </w:r>
                          <w:r>
                            <w:t>28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NIka7DICAABjBAAADgAAAAAAAAABACAAAAAfAQAAZHJzL2Uyb0RvYy54bWxQSwUG&#10;AAAAAAYABgBZAQAAwwUAAAAA&#10;">
              <v:fill on="f" focussize="0,0"/>
              <v:stroke on="f" weight="0.5pt"/>
              <v:imagedata o:title=""/>
              <o:lock v:ext="edit" aspectratio="f"/>
              <v:textbox inset="0mm,0mm,0mm,0mm" style="mso-fit-shape-to-text:t;">
                <w:txbxContent>
                  <w:p w14:paraId="709ECC91">
                    <w:pPr>
                      <w:pStyle w:val="28"/>
                    </w:pPr>
                    <w:r>
                      <w:fldChar w:fldCharType="begin"/>
                    </w:r>
                    <w:r>
                      <w:instrText xml:space="preserve"> PAGE  \* MERGEFORMAT </w:instrText>
                    </w:r>
                    <w:r>
                      <w:fldChar w:fldCharType="separate"/>
                    </w:r>
                    <w:r>
                      <w:t>28</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CF9982">
    <w:pPr>
      <w:pStyle w:val="28"/>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2B020A2">
                          <w:pPr>
                            <w:pStyle w:val="28"/>
                          </w:pPr>
                          <w:r>
                            <w:fldChar w:fldCharType="begin"/>
                          </w:r>
                          <w:r>
                            <w:instrText xml:space="preserve"> PAGE  \* MERGEFORMAT </w:instrText>
                          </w:r>
                          <w:r>
                            <w:fldChar w:fldCharType="separate"/>
                          </w:r>
                          <w:r>
                            <w:t>27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vk47wyAgAAYwQAAA4AAABkcnMvZTJvRG9jLnhtbK1UzY7TMBC+I/EO&#10;lu80aVlW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TjvDICAABjBAAADgAAAAAAAAABACAAAAAfAQAAZHJzL2Uyb0RvYy54bWxQSwUG&#10;AAAAAAYABgBZAQAAwwUAAAAA&#10;">
              <v:fill on="f" focussize="0,0"/>
              <v:stroke on="f" weight="0.5pt"/>
              <v:imagedata o:title=""/>
              <o:lock v:ext="edit" aspectratio="f"/>
              <v:textbox inset="0mm,0mm,0mm,0mm" style="mso-fit-shape-to-text:t;">
                <w:txbxContent>
                  <w:p w14:paraId="02B020A2">
                    <w:pPr>
                      <w:pStyle w:val="28"/>
                    </w:pPr>
                    <w:r>
                      <w:fldChar w:fldCharType="begin"/>
                    </w:r>
                    <w:r>
                      <w:instrText xml:space="preserve"> PAGE  \* MERGEFORMAT </w:instrText>
                    </w:r>
                    <w:r>
                      <w:fldChar w:fldCharType="separate"/>
                    </w:r>
                    <w:r>
                      <w:t>27</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B5FCC5">
    <w:pPr>
      <w:pStyle w:val="2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A66171"/>
    <w:multiLevelType w:val="singleLevel"/>
    <w:tmpl w:val="00A66171"/>
    <w:lvl w:ilvl="0" w:tentative="0">
      <w:start w:val="1"/>
      <w:numFmt w:val="chineseCounting"/>
      <w:suff w:val="space"/>
      <w:lvlText w:val="第%1章"/>
      <w:lvlJc w:val="left"/>
      <w:rPr>
        <w:rFonts w:hint="eastAsia"/>
      </w:rPr>
    </w:lvl>
  </w:abstractNum>
  <w:abstractNum w:abstractNumId="1">
    <w:nsid w:val="06784D56"/>
    <w:multiLevelType w:val="singleLevel"/>
    <w:tmpl w:val="06784D56"/>
    <w:lvl w:ilvl="0" w:tentative="0">
      <w:start w:val="1"/>
      <w:numFmt w:val="upperLetter"/>
      <w:pStyle w:val="91"/>
      <w:lvlText w:val="附录%1."/>
      <w:lvlJc w:val="left"/>
      <w:pPr>
        <w:tabs>
          <w:tab w:val="left" w:pos="907"/>
        </w:tabs>
        <w:ind w:left="907" w:hanging="907"/>
      </w:pPr>
      <w:rPr>
        <w:rFonts w:hint="eastAsia"/>
      </w:rPr>
    </w:lvl>
  </w:abstractNum>
  <w:abstractNum w:abstractNumId="2">
    <w:nsid w:val="232E4713"/>
    <w:multiLevelType w:val="singleLevel"/>
    <w:tmpl w:val="232E4713"/>
    <w:lvl w:ilvl="0" w:tentative="0">
      <w:start w:val="1"/>
      <w:numFmt w:val="chineseCounting"/>
      <w:suff w:val="nothing"/>
      <w:lvlText w:val="%1、"/>
      <w:lvlJc w:val="left"/>
      <w:rPr>
        <w:rFonts w:hint="eastAsia"/>
      </w:rPr>
    </w:lvl>
  </w:abstractNum>
  <w:abstractNum w:abstractNumId="3">
    <w:nsid w:val="420C153B"/>
    <w:multiLevelType w:val="multilevel"/>
    <w:tmpl w:val="420C153B"/>
    <w:lvl w:ilvl="0" w:tentative="0">
      <w:start w:val="1"/>
      <w:numFmt w:val="decimal"/>
      <w:pStyle w:val="98"/>
      <w:lvlText w:val="%1."/>
      <w:lvlJc w:val="left"/>
      <w:pPr>
        <w:tabs>
          <w:tab w:val="left" w:pos="709"/>
        </w:tabs>
        <w:ind w:left="709" w:hanging="709"/>
      </w:pPr>
      <w:rPr>
        <w:rFonts w:hint="eastAsia"/>
      </w:rPr>
    </w:lvl>
    <w:lvl w:ilvl="1" w:tentative="0">
      <w:start w:val="1"/>
      <w:numFmt w:val="decimal"/>
      <w:lvlText w:val="%1.%2"/>
      <w:lvlJc w:val="left"/>
      <w:pPr>
        <w:tabs>
          <w:tab w:val="left" w:pos="709"/>
        </w:tabs>
        <w:ind w:left="709" w:hanging="709"/>
      </w:pPr>
      <w:rPr>
        <w:rFonts w:hint="eastAsia"/>
      </w:rPr>
    </w:lvl>
    <w:lvl w:ilvl="2" w:tentative="0">
      <w:start w:val="1"/>
      <w:numFmt w:val="decimal"/>
      <w:lvlText w:val="%1.%2.%3."/>
      <w:lvlJc w:val="left"/>
      <w:pPr>
        <w:tabs>
          <w:tab w:val="left" w:pos="425"/>
        </w:tabs>
        <w:ind w:left="425" w:hanging="425"/>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4">
    <w:nsid w:val="5C7E0EE5"/>
    <w:multiLevelType w:val="multilevel"/>
    <w:tmpl w:val="5C7E0EE5"/>
    <w:lvl w:ilvl="0" w:tentative="0">
      <w:start w:val="1"/>
      <w:numFmt w:val="chineseCountingThousand"/>
      <w:suff w:val="nothing"/>
      <w:lvlText w:val="第%1章 "/>
      <w:lvlJc w:val="left"/>
      <w:pPr>
        <w:ind w:left="0" w:firstLine="0"/>
      </w:pPr>
      <w:rPr>
        <w:rFonts w:hint="eastAsia"/>
      </w:rPr>
    </w:lvl>
    <w:lvl w:ilvl="1" w:tentative="0">
      <w:start w:val="1"/>
      <w:numFmt w:val="decimal"/>
      <w:suff w:val="nothing"/>
      <w:lvlText w:val="%2、"/>
      <w:lvlJc w:val="left"/>
      <w:pPr>
        <w:ind w:left="0" w:firstLine="0"/>
      </w:pPr>
      <w:rPr>
        <w:rFonts w:hint="eastAsia"/>
      </w:rPr>
    </w:lvl>
    <w:lvl w:ilvl="2" w:tentative="0">
      <w:start w:val="1"/>
      <w:numFmt w:val="decimal"/>
      <w:suff w:val="nothing"/>
      <w:lvlText w:val="%2.%3 "/>
      <w:lvlJc w:val="left"/>
      <w:pPr>
        <w:ind w:left="0" w:firstLine="0"/>
      </w:pPr>
      <w:rPr>
        <w:rFonts w:hint="eastAsia"/>
      </w:rPr>
    </w:lvl>
    <w:lvl w:ilvl="3" w:tentative="0">
      <w:start w:val="1"/>
      <w:numFmt w:val="decimal"/>
      <w:suff w:val="nothing"/>
      <w:lvlText w:val="%2.%3.%4 "/>
      <w:lvlJc w:val="left"/>
      <w:pPr>
        <w:ind w:left="0" w:firstLine="0"/>
      </w:pPr>
      <w:rPr>
        <w:rFonts w:hint="eastAsia"/>
      </w:rPr>
    </w:lvl>
    <w:lvl w:ilvl="4" w:tentative="0">
      <w:start w:val="1"/>
      <w:numFmt w:val="decimal"/>
      <w:suff w:val="nothing"/>
      <w:lvlText w:val="%2.%3.%4.%5 "/>
      <w:lvlJc w:val="left"/>
      <w:pPr>
        <w:ind w:left="0" w:firstLine="0"/>
      </w:pPr>
      <w:rPr>
        <w:rFonts w:hint="eastAsia"/>
      </w:rPr>
    </w:lvl>
    <w:lvl w:ilvl="5" w:tentative="0">
      <w:start w:val="1"/>
      <w:numFmt w:val="none"/>
      <w:pStyle w:val="9"/>
      <w:suff w:val="nothing"/>
      <w:lvlText w:val=""/>
      <w:lvlJc w:val="left"/>
      <w:pPr>
        <w:ind w:left="0" w:firstLine="0"/>
      </w:pPr>
      <w:rPr>
        <w:rFonts w:hint="eastAsia"/>
      </w:rPr>
    </w:lvl>
    <w:lvl w:ilvl="6" w:tentative="0">
      <w:start w:val="1"/>
      <w:numFmt w:val="none"/>
      <w:pStyle w:val="10"/>
      <w:suff w:val="nothing"/>
      <w:lvlText w:val=""/>
      <w:lvlJc w:val="left"/>
      <w:pPr>
        <w:ind w:left="0" w:firstLine="0"/>
      </w:pPr>
      <w:rPr>
        <w:rFonts w:hint="eastAsia"/>
      </w:rPr>
    </w:lvl>
    <w:lvl w:ilvl="7" w:tentative="0">
      <w:start w:val="1"/>
      <w:numFmt w:val="none"/>
      <w:pStyle w:val="11"/>
      <w:suff w:val="nothing"/>
      <w:lvlText w:val=""/>
      <w:lvlJc w:val="left"/>
      <w:pPr>
        <w:ind w:left="0" w:firstLine="0"/>
      </w:pPr>
      <w:rPr>
        <w:rFonts w:hint="eastAsia"/>
      </w:rPr>
    </w:lvl>
    <w:lvl w:ilvl="8" w:tentative="0">
      <w:start w:val="1"/>
      <w:numFmt w:val="none"/>
      <w:pStyle w:val="12"/>
      <w:suff w:val="nothing"/>
      <w:lvlText w:val=""/>
      <w:lvlJc w:val="left"/>
      <w:pPr>
        <w:ind w:left="0" w:firstLine="0"/>
      </w:pPr>
      <w:rPr>
        <w:rFonts w:hint="eastAsia"/>
      </w:rPr>
    </w:lvl>
  </w:abstractNum>
  <w:abstractNum w:abstractNumId="5">
    <w:nsid w:val="6FBA05F3"/>
    <w:multiLevelType w:val="singleLevel"/>
    <w:tmpl w:val="6FBA05F3"/>
    <w:lvl w:ilvl="0" w:tentative="0">
      <w:start w:val="1"/>
      <w:numFmt w:val="japaneseCounting"/>
      <w:lvlText w:val="第%1章"/>
      <w:lvlJc w:val="left"/>
      <w:pPr>
        <w:tabs>
          <w:tab w:val="left" w:pos="1440"/>
        </w:tabs>
        <w:ind w:left="1440" w:hanging="1440"/>
      </w:pPr>
      <w:rPr>
        <w:rFonts w:hint="eastAsia" w:ascii="黑体" w:eastAsia="黑体"/>
        <w:b w:val="0"/>
        <w:sz w:val="36"/>
      </w:rPr>
    </w:lvl>
  </w:abstractNum>
  <w:num w:numId="1">
    <w:abstractNumId w:val="4"/>
  </w:num>
  <w:num w:numId="2">
    <w:abstractNumId w:val="1"/>
  </w:num>
  <w:num w:numId="3">
    <w:abstractNumId w:val="3"/>
  </w:num>
  <w:num w:numId="4">
    <w:abstractNumId w:val="5"/>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3"/>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I3MDJmZTM5OTEwNGJlZmU0YWZmNjk1MjMwYmUyNGQifQ=="/>
    <w:docVar w:name="KGWebUrl" w:val="https://www.ccgp-jiangsu.gov.cn:5009/zfcgzx/OfficeServer"/>
  </w:docVars>
  <w:rsids>
    <w:rsidRoot w:val="003B4718"/>
    <w:rsid w:val="00010387"/>
    <w:rsid w:val="00015D14"/>
    <w:rsid w:val="000264B7"/>
    <w:rsid w:val="00027039"/>
    <w:rsid w:val="00032CC0"/>
    <w:rsid w:val="00044EF2"/>
    <w:rsid w:val="000536B9"/>
    <w:rsid w:val="00057C41"/>
    <w:rsid w:val="00061DE6"/>
    <w:rsid w:val="000724AE"/>
    <w:rsid w:val="000749E3"/>
    <w:rsid w:val="00076BA9"/>
    <w:rsid w:val="000849FF"/>
    <w:rsid w:val="0009117A"/>
    <w:rsid w:val="0009313A"/>
    <w:rsid w:val="000B6281"/>
    <w:rsid w:val="000C1408"/>
    <w:rsid w:val="000C1FF9"/>
    <w:rsid w:val="000C60E9"/>
    <w:rsid w:val="000D7C49"/>
    <w:rsid w:val="000F0563"/>
    <w:rsid w:val="000F0809"/>
    <w:rsid w:val="00100C0A"/>
    <w:rsid w:val="001063A8"/>
    <w:rsid w:val="001113BD"/>
    <w:rsid w:val="00140BDC"/>
    <w:rsid w:val="00143232"/>
    <w:rsid w:val="001466EC"/>
    <w:rsid w:val="00150CFE"/>
    <w:rsid w:val="001669D4"/>
    <w:rsid w:val="00170367"/>
    <w:rsid w:val="00173852"/>
    <w:rsid w:val="0017477D"/>
    <w:rsid w:val="00180B9A"/>
    <w:rsid w:val="00184803"/>
    <w:rsid w:val="00186BF0"/>
    <w:rsid w:val="001969FD"/>
    <w:rsid w:val="001A11D6"/>
    <w:rsid w:val="001A64C4"/>
    <w:rsid w:val="001B5590"/>
    <w:rsid w:val="001C36B7"/>
    <w:rsid w:val="001F1AF0"/>
    <w:rsid w:val="001F41F3"/>
    <w:rsid w:val="0020504B"/>
    <w:rsid w:val="00207469"/>
    <w:rsid w:val="00220CB6"/>
    <w:rsid w:val="002235A0"/>
    <w:rsid w:val="002255F2"/>
    <w:rsid w:val="00233A55"/>
    <w:rsid w:val="00235799"/>
    <w:rsid w:val="002630BB"/>
    <w:rsid w:val="002656A6"/>
    <w:rsid w:val="00266D94"/>
    <w:rsid w:val="00272473"/>
    <w:rsid w:val="00273386"/>
    <w:rsid w:val="00277D22"/>
    <w:rsid w:val="00285793"/>
    <w:rsid w:val="002A555B"/>
    <w:rsid w:val="002B289A"/>
    <w:rsid w:val="002C799B"/>
    <w:rsid w:val="002D2E41"/>
    <w:rsid w:val="002D3245"/>
    <w:rsid w:val="0030198B"/>
    <w:rsid w:val="00310E90"/>
    <w:rsid w:val="003139F1"/>
    <w:rsid w:val="00321B84"/>
    <w:rsid w:val="00322DF7"/>
    <w:rsid w:val="00325F9A"/>
    <w:rsid w:val="00347661"/>
    <w:rsid w:val="00347BFC"/>
    <w:rsid w:val="003532FE"/>
    <w:rsid w:val="00360C7C"/>
    <w:rsid w:val="00361463"/>
    <w:rsid w:val="0036346F"/>
    <w:rsid w:val="00363D77"/>
    <w:rsid w:val="0037154D"/>
    <w:rsid w:val="003752C8"/>
    <w:rsid w:val="003753FE"/>
    <w:rsid w:val="0038400C"/>
    <w:rsid w:val="0039694C"/>
    <w:rsid w:val="003B4718"/>
    <w:rsid w:val="003C28DE"/>
    <w:rsid w:val="003D0404"/>
    <w:rsid w:val="003E1B12"/>
    <w:rsid w:val="003E43B2"/>
    <w:rsid w:val="003F424C"/>
    <w:rsid w:val="003F634F"/>
    <w:rsid w:val="004020F4"/>
    <w:rsid w:val="004023E0"/>
    <w:rsid w:val="00416C14"/>
    <w:rsid w:val="00424EF3"/>
    <w:rsid w:val="0044282D"/>
    <w:rsid w:val="00446202"/>
    <w:rsid w:val="00455355"/>
    <w:rsid w:val="00456678"/>
    <w:rsid w:val="00463653"/>
    <w:rsid w:val="00463674"/>
    <w:rsid w:val="00465F99"/>
    <w:rsid w:val="00474FBE"/>
    <w:rsid w:val="00484935"/>
    <w:rsid w:val="00486885"/>
    <w:rsid w:val="004A0049"/>
    <w:rsid w:val="004A6279"/>
    <w:rsid w:val="004B43E4"/>
    <w:rsid w:val="004B581B"/>
    <w:rsid w:val="004D4AEB"/>
    <w:rsid w:val="004E0DDF"/>
    <w:rsid w:val="004F689F"/>
    <w:rsid w:val="005029F9"/>
    <w:rsid w:val="005037A9"/>
    <w:rsid w:val="0051410F"/>
    <w:rsid w:val="0051778F"/>
    <w:rsid w:val="005279EE"/>
    <w:rsid w:val="00585964"/>
    <w:rsid w:val="00591701"/>
    <w:rsid w:val="00594B5D"/>
    <w:rsid w:val="005A0BCB"/>
    <w:rsid w:val="005B288A"/>
    <w:rsid w:val="005C088A"/>
    <w:rsid w:val="005C6B61"/>
    <w:rsid w:val="005D1B03"/>
    <w:rsid w:val="005E40E8"/>
    <w:rsid w:val="0060367A"/>
    <w:rsid w:val="00612345"/>
    <w:rsid w:val="00651A78"/>
    <w:rsid w:val="00652127"/>
    <w:rsid w:val="00663D8B"/>
    <w:rsid w:val="0066795B"/>
    <w:rsid w:val="006836D3"/>
    <w:rsid w:val="006911F9"/>
    <w:rsid w:val="006A60FA"/>
    <w:rsid w:val="006B1899"/>
    <w:rsid w:val="006B31C3"/>
    <w:rsid w:val="006B6A50"/>
    <w:rsid w:val="006B7849"/>
    <w:rsid w:val="006C654B"/>
    <w:rsid w:val="006D1429"/>
    <w:rsid w:val="006D1480"/>
    <w:rsid w:val="006E45D7"/>
    <w:rsid w:val="006E5C31"/>
    <w:rsid w:val="006F15A5"/>
    <w:rsid w:val="00711376"/>
    <w:rsid w:val="007406C9"/>
    <w:rsid w:val="00745065"/>
    <w:rsid w:val="00766DDB"/>
    <w:rsid w:val="00772B3B"/>
    <w:rsid w:val="00772D63"/>
    <w:rsid w:val="00774E0A"/>
    <w:rsid w:val="007754BB"/>
    <w:rsid w:val="007756CC"/>
    <w:rsid w:val="00783849"/>
    <w:rsid w:val="00794E19"/>
    <w:rsid w:val="007A2346"/>
    <w:rsid w:val="007A70AB"/>
    <w:rsid w:val="007B2662"/>
    <w:rsid w:val="007C0F2D"/>
    <w:rsid w:val="007D7B95"/>
    <w:rsid w:val="007E3412"/>
    <w:rsid w:val="007E3B1F"/>
    <w:rsid w:val="007F27CB"/>
    <w:rsid w:val="007F3F9C"/>
    <w:rsid w:val="00803A8A"/>
    <w:rsid w:val="00804624"/>
    <w:rsid w:val="0082443B"/>
    <w:rsid w:val="00836EA4"/>
    <w:rsid w:val="00840D19"/>
    <w:rsid w:val="00872D5A"/>
    <w:rsid w:val="008748FE"/>
    <w:rsid w:val="00880208"/>
    <w:rsid w:val="00880709"/>
    <w:rsid w:val="00881EE9"/>
    <w:rsid w:val="00883BAA"/>
    <w:rsid w:val="008905EC"/>
    <w:rsid w:val="008B4354"/>
    <w:rsid w:val="008B59DF"/>
    <w:rsid w:val="008B73C2"/>
    <w:rsid w:val="008C0698"/>
    <w:rsid w:val="008C40A8"/>
    <w:rsid w:val="008D186B"/>
    <w:rsid w:val="008D7567"/>
    <w:rsid w:val="008E2A0E"/>
    <w:rsid w:val="008E405B"/>
    <w:rsid w:val="008F28AA"/>
    <w:rsid w:val="0090143B"/>
    <w:rsid w:val="0093170A"/>
    <w:rsid w:val="009344AC"/>
    <w:rsid w:val="00942F94"/>
    <w:rsid w:val="00952782"/>
    <w:rsid w:val="00963E8A"/>
    <w:rsid w:val="00965EB4"/>
    <w:rsid w:val="009736FA"/>
    <w:rsid w:val="00974995"/>
    <w:rsid w:val="0098388D"/>
    <w:rsid w:val="00991ADF"/>
    <w:rsid w:val="00993D73"/>
    <w:rsid w:val="009962EB"/>
    <w:rsid w:val="009A3210"/>
    <w:rsid w:val="009A4A42"/>
    <w:rsid w:val="009E0905"/>
    <w:rsid w:val="009E7631"/>
    <w:rsid w:val="009E7B90"/>
    <w:rsid w:val="009F6320"/>
    <w:rsid w:val="009F6AF5"/>
    <w:rsid w:val="00A10C1A"/>
    <w:rsid w:val="00A128B5"/>
    <w:rsid w:val="00A255F5"/>
    <w:rsid w:val="00A33D32"/>
    <w:rsid w:val="00A40483"/>
    <w:rsid w:val="00A40D96"/>
    <w:rsid w:val="00A66131"/>
    <w:rsid w:val="00A77F41"/>
    <w:rsid w:val="00A805A6"/>
    <w:rsid w:val="00A931D4"/>
    <w:rsid w:val="00AA51C6"/>
    <w:rsid w:val="00AB5BD3"/>
    <w:rsid w:val="00AC6346"/>
    <w:rsid w:val="00AE1340"/>
    <w:rsid w:val="00AE42A7"/>
    <w:rsid w:val="00AE5B4A"/>
    <w:rsid w:val="00AE5D7D"/>
    <w:rsid w:val="00AF3B3C"/>
    <w:rsid w:val="00B07570"/>
    <w:rsid w:val="00B14FAD"/>
    <w:rsid w:val="00B20DF2"/>
    <w:rsid w:val="00B2494E"/>
    <w:rsid w:val="00B27B48"/>
    <w:rsid w:val="00B341F0"/>
    <w:rsid w:val="00B40C22"/>
    <w:rsid w:val="00B45371"/>
    <w:rsid w:val="00B561ED"/>
    <w:rsid w:val="00B61DD9"/>
    <w:rsid w:val="00B7759F"/>
    <w:rsid w:val="00B779DA"/>
    <w:rsid w:val="00B832C7"/>
    <w:rsid w:val="00BA07F0"/>
    <w:rsid w:val="00BA5739"/>
    <w:rsid w:val="00BA6714"/>
    <w:rsid w:val="00BA6A67"/>
    <w:rsid w:val="00BC74EA"/>
    <w:rsid w:val="00BD17CA"/>
    <w:rsid w:val="00BD65A8"/>
    <w:rsid w:val="00BE1545"/>
    <w:rsid w:val="00BF09F3"/>
    <w:rsid w:val="00C05548"/>
    <w:rsid w:val="00C11475"/>
    <w:rsid w:val="00C135B2"/>
    <w:rsid w:val="00C41608"/>
    <w:rsid w:val="00C43FB0"/>
    <w:rsid w:val="00C45D9F"/>
    <w:rsid w:val="00C47499"/>
    <w:rsid w:val="00C52BF4"/>
    <w:rsid w:val="00C60621"/>
    <w:rsid w:val="00C84172"/>
    <w:rsid w:val="00CA7CF5"/>
    <w:rsid w:val="00CB21FC"/>
    <w:rsid w:val="00CB38E4"/>
    <w:rsid w:val="00CC0889"/>
    <w:rsid w:val="00CC4B22"/>
    <w:rsid w:val="00CC5A19"/>
    <w:rsid w:val="00CE6B07"/>
    <w:rsid w:val="00CF3752"/>
    <w:rsid w:val="00CF5500"/>
    <w:rsid w:val="00D03026"/>
    <w:rsid w:val="00D0558A"/>
    <w:rsid w:val="00D11E62"/>
    <w:rsid w:val="00D2666C"/>
    <w:rsid w:val="00D464B3"/>
    <w:rsid w:val="00D576B1"/>
    <w:rsid w:val="00D57B9A"/>
    <w:rsid w:val="00D608C0"/>
    <w:rsid w:val="00D63077"/>
    <w:rsid w:val="00D634B1"/>
    <w:rsid w:val="00D64556"/>
    <w:rsid w:val="00D64A52"/>
    <w:rsid w:val="00D717B8"/>
    <w:rsid w:val="00D9012D"/>
    <w:rsid w:val="00DA5C53"/>
    <w:rsid w:val="00DA62E7"/>
    <w:rsid w:val="00DB20F7"/>
    <w:rsid w:val="00DB49E5"/>
    <w:rsid w:val="00DC284C"/>
    <w:rsid w:val="00DC4541"/>
    <w:rsid w:val="00DC4F8A"/>
    <w:rsid w:val="00DC66A3"/>
    <w:rsid w:val="00DD1530"/>
    <w:rsid w:val="00DD4F45"/>
    <w:rsid w:val="00DD7D78"/>
    <w:rsid w:val="00E0052E"/>
    <w:rsid w:val="00E02160"/>
    <w:rsid w:val="00E11954"/>
    <w:rsid w:val="00E13C87"/>
    <w:rsid w:val="00E17648"/>
    <w:rsid w:val="00E22E84"/>
    <w:rsid w:val="00E25C8C"/>
    <w:rsid w:val="00E3448F"/>
    <w:rsid w:val="00E357E3"/>
    <w:rsid w:val="00E5248A"/>
    <w:rsid w:val="00E52F76"/>
    <w:rsid w:val="00E71A60"/>
    <w:rsid w:val="00E72142"/>
    <w:rsid w:val="00E9102B"/>
    <w:rsid w:val="00E9583F"/>
    <w:rsid w:val="00EA016A"/>
    <w:rsid w:val="00EA609A"/>
    <w:rsid w:val="00EB42F3"/>
    <w:rsid w:val="00ED26BB"/>
    <w:rsid w:val="00ED3881"/>
    <w:rsid w:val="00ED4F92"/>
    <w:rsid w:val="00EE7958"/>
    <w:rsid w:val="00EF16FF"/>
    <w:rsid w:val="00EF59D3"/>
    <w:rsid w:val="00F14E7E"/>
    <w:rsid w:val="00F15D7E"/>
    <w:rsid w:val="00F23881"/>
    <w:rsid w:val="00F2447C"/>
    <w:rsid w:val="00F44F67"/>
    <w:rsid w:val="00F62EBC"/>
    <w:rsid w:val="00F76805"/>
    <w:rsid w:val="00F96700"/>
    <w:rsid w:val="00F97365"/>
    <w:rsid w:val="00FA679F"/>
    <w:rsid w:val="00FC206D"/>
    <w:rsid w:val="00FD181D"/>
    <w:rsid w:val="00FE0002"/>
    <w:rsid w:val="00FF4E10"/>
    <w:rsid w:val="00FF56BA"/>
    <w:rsid w:val="010333FC"/>
    <w:rsid w:val="01042CD0"/>
    <w:rsid w:val="010C0502"/>
    <w:rsid w:val="01154EDD"/>
    <w:rsid w:val="012D0479"/>
    <w:rsid w:val="01374E54"/>
    <w:rsid w:val="01395070"/>
    <w:rsid w:val="01415CD2"/>
    <w:rsid w:val="014337F8"/>
    <w:rsid w:val="014632E9"/>
    <w:rsid w:val="014F219D"/>
    <w:rsid w:val="015772A4"/>
    <w:rsid w:val="015B6D94"/>
    <w:rsid w:val="01626374"/>
    <w:rsid w:val="016C2D4F"/>
    <w:rsid w:val="016D6AC7"/>
    <w:rsid w:val="01791910"/>
    <w:rsid w:val="018362EB"/>
    <w:rsid w:val="018D0F17"/>
    <w:rsid w:val="018F4C90"/>
    <w:rsid w:val="018F6A3E"/>
    <w:rsid w:val="01934780"/>
    <w:rsid w:val="01973B44"/>
    <w:rsid w:val="01A26771"/>
    <w:rsid w:val="01B2185F"/>
    <w:rsid w:val="01B446F6"/>
    <w:rsid w:val="01B464A4"/>
    <w:rsid w:val="01C74429"/>
    <w:rsid w:val="01C761D7"/>
    <w:rsid w:val="01D86637"/>
    <w:rsid w:val="01F114A6"/>
    <w:rsid w:val="02025461"/>
    <w:rsid w:val="02056D00"/>
    <w:rsid w:val="020C62E0"/>
    <w:rsid w:val="02160F0D"/>
    <w:rsid w:val="0216715F"/>
    <w:rsid w:val="02184C85"/>
    <w:rsid w:val="021B6523"/>
    <w:rsid w:val="022E0D6C"/>
    <w:rsid w:val="02477318"/>
    <w:rsid w:val="024C688A"/>
    <w:rsid w:val="024E06A7"/>
    <w:rsid w:val="0256755B"/>
    <w:rsid w:val="025832D3"/>
    <w:rsid w:val="025D08EA"/>
    <w:rsid w:val="025F4662"/>
    <w:rsid w:val="026B1259"/>
    <w:rsid w:val="026B3007"/>
    <w:rsid w:val="026E2AF7"/>
    <w:rsid w:val="0270686F"/>
    <w:rsid w:val="027C26CB"/>
    <w:rsid w:val="027D0F8C"/>
    <w:rsid w:val="0281653D"/>
    <w:rsid w:val="028916DF"/>
    <w:rsid w:val="028D5673"/>
    <w:rsid w:val="028E4F47"/>
    <w:rsid w:val="02902A6D"/>
    <w:rsid w:val="029562D6"/>
    <w:rsid w:val="029F7154"/>
    <w:rsid w:val="02A36C44"/>
    <w:rsid w:val="02A46519"/>
    <w:rsid w:val="02A8425B"/>
    <w:rsid w:val="02A93B2F"/>
    <w:rsid w:val="02AD361F"/>
    <w:rsid w:val="02B26E88"/>
    <w:rsid w:val="02C40969"/>
    <w:rsid w:val="02C62933"/>
    <w:rsid w:val="02C95F7F"/>
    <w:rsid w:val="02D432A2"/>
    <w:rsid w:val="02D97086"/>
    <w:rsid w:val="02E1151B"/>
    <w:rsid w:val="02F32FFC"/>
    <w:rsid w:val="02F76F90"/>
    <w:rsid w:val="02FA438B"/>
    <w:rsid w:val="03060F81"/>
    <w:rsid w:val="030A0A72"/>
    <w:rsid w:val="03125B78"/>
    <w:rsid w:val="03127926"/>
    <w:rsid w:val="031713E0"/>
    <w:rsid w:val="03174F3D"/>
    <w:rsid w:val="03195159"/>
    <w:rsid w:val="031C2553"/>
    <w:rsid w:val="03215DBB"/>
    <w:rsid w:val="03253AFD"/>
    <w:rsid w:val="0328714A"/>
    <w:rsid w:val="032C4E8C"/>
    <w:rsid w:val="032D4760"/>
    <w:rsid w:val="032F0BB9"/>
    <w:rsid w:val="03323B24"/>
    <w:rsid w:val="03435D32"/>
    <w:rsid w:val="03455F4E"/>
    <w:rsid w:val="0348159A"/>
    <w:rsid w:val="034877EC"/>
    <w:rsid w:val="035241C7"/>
    <w:rsid w:val="03595555"/>
    <w:rsid w:val="0361440A"/>
    <w:rsid w:val="03675EC4"/>
    <w:rsid w:val="03697B0E"/>
    <w:rsid w:val="036B5288"/>
    <w:rsid w:val="036F6B27"/>
    <w:rsid w:val="03726617"/>
    <w:rsid w:val="03773C2D"/>
    <w:rsid w:val="037A38B6"/>
    <w:rsid w:val="037A40C6"/>
    <w:rsid w:val="03824AAC"/>
    <w:rsid w:val="0385634A"/>
    <w:rsid w:val="03870314"/>
    <w:rsid w:val="039C3694"/>
    <w:rsid w:val="039C5442"/>
    <w:rsid w:val="03A72764"/>
    <w:rsid w:val="03BE360A"/>
    <w:rsid w:val="03C350C4"/>
    <w:rsid w:val="03C54999"/>
    <w:rsid w:val="03C84489"/>
    <w:rsid w:val="03D35307"/>
    <w:rsid w:val="03D66BA6"/>
    <w:rsid w:val="03D8291E"/>
    <w:rsid w:val="03D96696"/>
    <w:rsid w:val="03DF1EFE"/>
    <w:rsid w:val="03E05C76"/>
    <w:rsid w:val="03E80687"/>
    <w:rsid w:val="03F359AA"/>
    <w:rsid w:val="03F4702C"/>
    <w:rsid w:val="03F86B1C"/>
    <w:rsid w:val="040000C7"/>
    <w:rsid w:val="040C6A6B"/>
    <w:rsid w:val="04180F6C"/>
    <w:rsid w:val="04194CE4"/>
    <w:rsid w:val="041F679F"/>
    <w:rsid w:val="04221DEB"/>
    <w:rsid w:val="04272627"/>
    <w:rsid w:val="0430275A"/>
    <w:rsid w:val="04463D2B"/>
    <w:rsid w:val="044B7594"/>
    <w:rsid w:val="044E0E32"/>
    <w:rsid w:val="045A1585"/>
    <w:rsid w:val="04602913"/>
    <w:rsid w:val="04620439"/>
    <w:rsid w:val="0475016D"/>
    <w:rsid w:val="048E6891"/>
    <w:rsid w:val="04912D27"/>
    <w:rsid w:val="04983E5B"/>
    <w:rsid w:val="04A40A52"/>
    <w:rsid w:val="04AC7907"/>
    <w:rsid w:val="04B137A1"/>
    <w:rsid w:val="04B52C5F"/>
    <w:rsid w:val="04B61E71"/>
    <w:rsid w:val="04BA2023"/>
    <w:rsid w:val="04BC3FEE"/>
    <w:rsid w:val="04BF588C"/>
    <w:rsid w:val="04C05AF4"/>
    <w:rsid w:val="04C2712A"/>
    <w:rsid w:val="04C630A7"/>
    <w:rsid w:val="04C84286"/>
    <w:rsid w:val="04C9495C"/>
    <w:rsid w:val="04CE5ACF"/>
    <w:rsid w:val="04D01847"/>
    <w:rsid w:val="04D37589"/>
    <w:rsid w:val="04DB7527"/>
    <w:rsid w:val="04DC4690"/>
    <w:rsid w:val="04E43544"/>
    <w:rsid w:val="04E452F2"/>
    <w:rsid w:val="04E86B91"/>
    <w:rsid w:val="04EB48D3"/>
    <w:rsid w:val="04F33787"/>
    <w:rsid w:val="04F512AE"/>
    <w:rsid w:val="04F75026"/>
    <w:rsid w:val="04FC263C"/>
    <w:rsid w:val="04FF212C"/>
    <w:rsid w:val="04FF3EDA"/>
    <w:rsid w:val="05045994"/>
    <w:rsid w:val="050F6813"/>
    <w:rsid w:val="05104339"/>
    <w:rsid w:val="0512539C"/>
    <w:rsid w:val="05171224"/>
    <w:rsid w:val="051F632A"/>
    <w:rsid w:val="052676B9"/>
    <w:rsid w:val="052971A9"/>
    <w:rsid w:val="052B2F21"/>
    <w:rsid w:val="052D4EEB"/>
    <w:rsid w:val="053C7BED"/>
    <w:rsid w:val="0548762F"/>
    <w:rsid w:val="054B711F"/>
    <w:rsid w:val="05573D16"/>
    <w:rsid w:val="05597A8E"/>
    <w:rsid w:val="05704DD8"/>
    <w:rsid w:val="05726DA2"/>
    <w:rsid w:val="05852631"/>
    <w:rsid w:val="05856AD5"/>
    <w:rsid w:val="058A5E9A"/>
    <w:rsid w:val="059E36F3"/>
    <w:rsid w:val="05A14F91"/>
    <w:rsid w:val="05A54A82"/>
    <w:rsid w:val="05AF3B52"/>
    <w:rsid w:val="05B253F0"/>
    <w:rsid w:val="05BE1FE7"/>
    <w:rsid w:val="05BE3D95"/>
    <w:rsid w:val="05CA098C"/>
    <w:rsid w:val="05CB200E"/>
    <w:rsid w:val="05D03D42"/>
    <w:rsid w:val="05D47115"/>
    <w:rsid w:val="05D610DF"/>
    <w:rsid w:val="05D92456"/>
    <w:rsid w:val="05EA06E6"/>
    <w:rsid w:val="05ED01D7"/>
    <w:rsid w:val="05EF3F4F"/>
    <w:rsid w:val="05F11A75"/>
    <w:rsid w:val="06011662"/>
    <w:rsid w:val="0603741A"/>
    <w:rsid w:val="060379FA"/>
    <w:rsid w:val="0607573C"/>
    <w:rsid w:val="060774EA"/>
    <w:rsid w:val="061E65E2"/>
    <w:rsid w:val="062F259D"/>
    <w:rsid w:val="06344057"/>
    <w:rsid w:val="063D4CBA"/>
    <w:rsid w:val="06400C4E"/>
    <w:rsid w:val="064424ED"/>
    <w:rsid w:val="06497B03"/>
    <w:rsid w:val="064A387B"/>
    <w:rsid w:val="06540256"/>
    <w:rsid w:val="065546FA"/>
    <w:rsid w:val="065564A8"/>
    <w:rsid w:val="065B226D"/>
    <w:rsid w:val="067B3A34"/>
    <w:rsid w:val="067C1376"/>
    <w:rsid w:val="067F1777"/>
    <w:rsid w:val="0680104B"/>
    <w:rsid w:val="068A3C77"/>
    <w:rsid w:val="068C5C42"/>
    <w:rsid w:val="068E19BA"/>
    <w:rsid w:val="069F5975"/>
    <w:rsid w:val="06A25465"/>
    <w:rsid w:val="06A411DD"/>
    <w:rsid w:val="06A74829"/>
    <w:rsid w:val="06A92350"/>
    <w:rsid w:val="06AE5BB8"/>
    <w:rsid w:val="06B331CE"/>
    <w:rsid w:val="06B84C89"/>
    <w:rsid w:val="06B86A37"/>
    <w:rsid w:val="06C947A0"/>
    <w:rsid w:val="06DD649D"/>
    <w:rsid w:val="06E17D3B"/>
    <w:rsid w:val="06E25862"/>
    <w:rsid w:val="06EE4206"/>
    <w:rsid w:val="06F04498"/>
    <w:rsid w:val="06F15AA5"/>
    <w:rsid w:val="06F72C2A"/>
    <w:rsid w:val="06F757B1"/>
    <w:rsid w:val="06F85085"/>
    <w:rsid w:val="06FA0DFD"/>
    <w:rsid w:val="06FF01C2"/>
    <w:rsid w:val="0708351A"/>
    <w:rsid w:val="070E6657"/>
    <w:rsid w:val="071023CF"/>
    <w:rsid w:val="07133C6D"/>
    <w:rsid w:val="07153E89"/>
    <w:rsid w:val="07195F0C"/>
    <w:rsid w:val="071F2612"/>
    <w:rsid w:val="07230354"/>
    <w:rsid w:val="072B545A"/>
    <w:rsid w:val="072E6CF9"/>
    <w:rsid w:val="07302A71"/>
    <w:rsid w:val="07322345"/>
    <w:rsid w:val="073A569E"/>
    <w:rsid w:val="073B0D7B"/>
    <w:rsid w:val="073C1416"/>
    <w:rsid w:val="0740308F"/>
    <w:rsid w:val="0748600C"/>
    <w:rsid w:val="07506C6F"/>
    <w:rsid w:val="076369A2"/>
    <w:rsid w:val="076B5857"/>
    <w:rsid w:val="07762B7A"/>
    <w:rsid w:val="077741FC"/>
    <w:rsid w:val="077C1812"/>
    <w:rsid w:val="077E37DC"/>
    <w:rsid w:val="077E558A"/>
    <w:rsid w:val="078608E3"/>
    <w:rsid w:val="07886409"/>
    <w:rsid w:val="07893F2F"/>
    <w:rsid w:val="078F59E9"/>
    <w:rsid w:val="079254DA"/>
    <w:rsid w:val="07971F69"/>
    <w:rsid w:val="079D243D"/>
    <w:rsid w:val="07A54E69"/>
    <w:rsid w:val="07AE4AAE"/>
    <w:rsid w:val="07B45450"/>
    <w:rsid w:val="07B62F76"/>
    <w:rsid w:val="07BE1E2B"/>
    <w:rsid w:val="07C02047"/>
    <w:rsid w:val="07C136C9"/>
    <w:rsid w:val="07C82CA9"/>
    <w:rsid w:val="07CF4038"/>
    <w:rsid w:val="07D96C64"/>
    <w:rsid w:val="07DA1AEE"/>
    <w:rsid w:val="07DE071F"/>
    <w:rsid w:val="07E850FA"/>
    <w:rsid w:val="07E86EA8"/>
    <w:rsid w:val="07ED0962"/>
    <w:rsid w:val="07EF46DA"/>
    <w:rsid w:val="07F27D26"/>
    <w:rsid w:val="07F65A68"/>
    <w:rsid w:val="07FF744E"/>
    <w:rsid w:val="08002443"/>
    <w:rsid w:val="08030185"/>
    <w:rsid w:val="08057A5A"/>
    <w:rsid w:val="080A1514"/>
    <w:rsid w:val="080D690E"/>
    <w:rsid w:val="081B102B"/>
    <w:rsid w:val="081D44E6"/>
    <w:rsid w:val="081E6D6D"/>
    <w:rsid w:val="08236132"/>
    <w:rsid w:val="0837398B"/>
    <w:rsid w:val="08393BA7"/>
    <w:rsid w:val="08404F36"/>
    <w:rsid w:val="0842480A"/>
    <w:rsid w:val="084D31AF"/>
    <w:rsid w:val="08566507"/>
    <w:rsid w:val="0869623A"/>
    <w:rsid w:val="08730E67"/>
    <w:rsid w:val="087B41C0"/>
    <w:rsid w:val="087B7D1C"/>
    <w:rsid w:val="08844E22"/>
    <w:rsid w:val="08874912"/>
    <w:rsid w:val="088840F9"/>
    <w:rsid w:val="0889068B"/>
    <w:rsid w:val="089963F4"/>
    <w:rsid w:val="08A96637"/>
    <w:rsid w:val="08AE00F1"/>
    <w:rsid w:val="08AF5C17"/>
    <w:rsid w:val="08AF79C5"/>
    <w:rsid w:val="08BB280E"/>
    <w:rsid w:val="08C96CD9"/>
    <w:rsid w:val="08CB2A51"/>
    <w:rsid w:val="08D709B6"/>
    <w:rsid w:val="08D8516E"/>
    <w:rsid w:val="08DD2784"/>
    <w:rsid w:val="08E104C7"/>
    <w:rsid w:val="08EE04EE"/>
    <w:rsid w:val="08F57ACE"/>
    <w:rsid w:val="08F655F4"/>
    <w:rsid w:val="08FC0E5C"/>
    <w:rsid w:val="08FF6B9F"/>
    <w:rsid w:val="090B72F2"/>
    <w:rsid w:val="090C4E18"/>
    <w:rsid w:val="090D306A"/>
    <w:rsid w:val="091066B6"/>
    <w:rsid w:val="091268D2"/>
    <w:rsid w:val="09267C87"/>
    <w:rsid w:val="09377D33"/>
    <w:rsid w:val="093C74AB"/>
    <w:rsid w:val="093D1475"/>
    <w:rsid w:val="0946032A"/>
    <w:rsid w:val="09475E50"/>
    <w:rsid w:val="09526CCE"/>
    <w:rsid w:val="09532A47"/>
    <w:rsid w:val="09546EAB"/>
    <w:rsid w:val="095D5673"/>
    <w:rsid w:val="09630EDC"/>
    <w:rsid w:val="09750C0F"/>
    <w:rsid w:val="097D757E"/>
    <w:rsid w:val="09863240"/>
    <w:rsid w:val="0992531D"/>
    <w:rsid w:val="09954E0D"/>
    <w:rsid w:val="099A2423"/>
    <w:rsid w:val="099C263F"/>
    <w:rsid w:val="09A339CE"/>
    <w:rsid w:val="09AB5FE4"/>
    <w:rsid w:val="09BC05EC"/>
    <w:rsid w:val="09BD79FF"/>
    <w:rsid w:val="09BE4364"/>
    <w:rsid w:val="09BF1E8A"/>
    <w:rsid w:val="09C120A6"/>
    <w:rsid w:val="09C676BC"/>
    <w:rsid w:val="09C851E3"/>
    <w:rsid w:val="09D43B87"/>
    <w:rsid w:val="09D678FF"/>
    <w:rsid w:val="09E0252C"/>
    <w:rsid w:val="09E85885"/>
    <w:rsid w:val="09EF09C1"/>
    <w:rsid w:val="09F63AFE"/>
    <w:rsid w:val="09F77876"/>
    <w:rsid w:val="0A083831"/>
    <w:rsid w:val="0A0D7099"/>
    <w:rsid w:val="0A0F696E"/>
    <w:rsid w:val="0A110938"/>
    <w:rsid w:val="0A122902"/>
    <w:rsid w:val="0A171CC6"/>
    <w:rsid w:val="0A195A3E"/>
    <w:rsid w:val="0A1F2635"/>
    <w:rsid w:val="0A295241"/>
    <w:rsid w:val="0A2C751F"/>
    <w:rsid w:val="0A2F7010"/>
    <w:rsid w:val="0A304297"/>
    <w:rsid w:val="0A334D52"/>
    <w:rsid w:val="0A344626"/>
    <w:rsid w:val="0A40121D"/>
    <w:rsid w:val="0A4725AB"/>
    <w:rsid w:val="0A474359"/>
    <w:rsid w:val="0A481E7F"/>
    <w:rsid w:val="0A4D7496"/>
    <w:rsid w:val="0A590531"/>
    <w:rsid w:val="0A595E3B"/>
    <w:rsid w:val="0A5E16A3"/>
    <w:rsid w:val="0A627E35"/>
    <w:rsid w:val="0A656ED5"/>
    <w:rsid w:val="0A6A629A"/>
    <w:rsid w:val="0A6C0264"/>
    <w:rsid w:val="0A762E91"/>
    <w:rsid w:val="0A782765"/>
    <w:rsid w:val="0A801619"/>
    <w:rsid w:val="0A84735B"/>
    <w:rsid w:val="0A850E88"/>
    <w:rsid w:val="0A8A06EA"/>
    <w:rsid w:val="0A8A2498"/>
    <w:rsid w:val="0A9357F1"/>
    <w:rsid w:val="0A9652E1"/>
    <w:rsid w:val="0A9B6453"/>
    <w:rsid w:val="0AA20035"/>
    <w:rsid w:val="0AA277E2"/>
    <w:rsid w:val="0AA7129C"/>
    <w:rsid w:val="0AA74E2E"/>
    <w:rsid w:val="0AA95014"/>
    <w:rsid w:val="0AAB0D8C"/>
    <w:rsid w:val="0AB17A25"/>
    <w:rsid w:val="0ABD461B"/>
    <w:rsid w:val="0AC77248"/>
    <w:rsid w:val="0AC8421B"/>
    <w:rsid w:val="0ACF434F"/>
    <w:rsid w:val="0AD21468"/>
    <w:rsid w:val="0AD82218"/>
    <w:rsid w:val="0AD96F7B"/>
    <w:rsid w:val="0ADA114D"/>
    <w:rsid w:val="0ADD2F10"/>
    <w:rsid w:val="0ADF4592"/>
    <w:rsid w:val="0AE95411"/>
    <w:rsid w:val="0AF12517"/>
    <w:rsid w:val="0AF3003D"/>
    <w:rsid w:val="0AFA5870"/>
    <w:rsid w:val="0B0A565B"/>
    <w:rsid w:val="0B0B35D9"/>
    <w:rsid w:val="0B0C55A3"/>
    <w:rsid w:val="0B0E30C9"/>
    <w:rsid w:val="0B116715"/>
    <w:rsid w:val="0B1B7594"/>
    <w:rsid w:val="0B204882"/>
    <w:rsid w:val="0B225FBF"/>
    <w:rsid w:val="0B2428ED"/>
    <w:rsid w:val="0B246449"/>
    <w:rsid w:val="0B2E376B"/>
    <w:rsid w:val="0B3C7C36"/>
    <w:rsid w:val="0B41349E"/>
    <w:rsid w:val="0B4474F0"/>
    <w:rsid w:val="0B464611"/>
    <w:rsid w:val="0B510EC7"/>
    <w:rsid w:val="0B5A00BC"/>
    <w:rsid w:val="0B5F1B77"/>
    <w:rsid w:val="0B754EF6"/>
    <w:rsid w:val="0B776EC0"/>
    <w:rsid w:val="0B7E024F"/>
    <w:rsid w:val="0B815649"/>
    <w:rsid w:val="0B8415DD"/>
    <w:rsid w:val="0B892750"/>
    <w:rsid w:val="0B896BF3"/>
    <w:rsid w:val="0B8D0D72"/>
    <w:rsid w:val="0B996E37"/>
    <w:rsid w:val="0B9E444D"/>
    <w:rsid w:val="0BA8707A"/>
    <w:rsid w:val="0BAF665A"/>
    <w:rsid w:val="0BB2614A"/>
    <w:rsid w:val="0BBC48D3"/>
    <w:rsid w:val="0BC1319E"/>
    <w:rsid w:val="0BC47C2C"/>
    <w:rsid w:val="0BCB2D68"/>
    <w:rsid w:val="0BD31C1D"/>
    <w:rsid w:val="0BDE0CED"/>
    <w:rsid w:val="0BDF6813"/>
    <w:rsid w:val="0BE91440"/>
    <w:rsid w:val="0BF24799"/>
    <w:rsid w:val="0BFA2725"/>
    <w:rsid w:val="0C040028"/>
    <w:rsid w:val="0C1110C3"/>
    <w:rsid w:val="0C175FAD"/>
    <w:rsid w:val="0C1F4E62"/>
    <w:rsid w:val="0C30706F"/>
    <w:rsid w:val="0C322DE7"/>
    <w:rsid w:val="0C346B5F"/>
    <w:rsid w:val="0C3B6140"/>
    <w:rsid w:val="0C460641"/>
    <w:rsid w:val="0C4843B9"/>
    <w:rsid w:val="0C4A1EDF"/>
    <w:rsid w:val="0C5745FC"/>
    <w:rsid w:val="0C760F26"/>
    <w:rsid w:val="0C7D0506"/>
    <w:rsid w:val="0C7E602C"/>
    <w:rsid w:val="0C825B1D"/>
    <w:rsid w:val="0C8D626F"/>
    <w:rsid w:val="0C931AD8"/>
    <w:rsid w:val="0C985340"/>
    <w:rsid w:val="0CA05FA3"/>
    <w:rsid w:val="0CA23AC9"/>
    <w:rsid w:val="0CA535B9"/>
    <w:rsid w:val="0CAF4438"/>
    <w:rsid w:val="0CB057A5"/>
    <w:rsid w:val="0CB33F28"/>
    <w:rsid w:val="0CBA3508"/>
    <w:rsid w:val="0CBB2DDD"/>
    <w:rsid w:val="0CBE3ADF"/>
    <w:rsid w:val="0CC04897"/>
    <w:rsid w:val="0CC53C5B"/>
    <w:rsid w:val="0CC954FA"/>
    <w:rsid w:val="0CCE2B10"/>
    <w:rsid w:val="0CDA7707"/>
    <w:rsid w:val="0CDD0FA5"/>
    <w:rsid w:val="0CE02843"/>
    <w:rsid w:val="0CE73BD2"/>
    <w:rsid w:val="0CE95936"/>
    <w:rsid w:val="0CEC11E8"/>
    <w:rsid w:val="0CEE31B2"/>
    <w:rsid w:val="0CF06F2A"/>
    <w:rsid w:val="0CFD1647"/>
    <w:rsid w:val="0D006A41"/>
    <w:rsid w:val="0D0227BA"/>
    <w:rsid w:val="0D054058"/>
    <w:rsid w:val="0D10137A"/>
    <w:rsid w:val="0D103128"/>
    <w:rsid w:val="0D1B387B"/>
    <w:rsid w:val="0D240982"/>
    <w:rsid w:val="0D272220"/>
    <w:rsid w:val="0D314E4D"/>
    <w:rsid w:val="0D3B5CCB"/>
    <w:rsid w:val="0D3C216F"/>
    <w:rsid w:val="0D4032E2"/>
    <w:rsid w:val="0D4252AC"/>
    <w:rsid w:val="0D4508F8"/>
    <w:rsid w:val="0D5079C9"/>
    <w:rsid w:val="0D553231"/>
    <w:rsid w:val="0D5A43A4"/>
    <w:rsid w:val="0D5F5E5E"/>
    <w:rsid w:val="0D611BD6"/>
    <w:rsid w:val="0D674D12"/>
    <w:rsid w:val="0D6E60A1"/>
    <w:rsid w:val="0D7336B7"/>
    <w:rsid w:val="0D775073"/>
    <w:rsid w:val="0D7A2C98"/>
    <w:rsid w:val="0D7F02AE"/>
    <w:rsid w:val="0D7F205C"/>
    <w:rsid w:val="0D814026"/>
    <w:rsid w:val="0D8256A8"/>
    <w:rsid w:val="0D841421"/>
    <w:rsid w:val="0D8E6743"/>
    <w:rsid w:val="0D907DC5"/>
    <w:rsid w:val="0D933D59"/>
    <w:rsid w:val="0D984ECC"/>
    <w:rsid w:val="0D9A393C"/>
    <w:rsid w:val="0DA11FD2"/>
    <w:rsid w:val="0DAE649D"/>
    <w:rsid w:val="0DAF0B93"/>
    <w:rsid w:val="0DBE2B84"/>
    <w:rsid w:val="0DBF4B4E"/>
    <w:rsid w:val="0DC14423"/>
    <w:rsid w:val="0DD028B8"/>
    <w:rsid w:val="0DD04666"/>
    <w:rsid w:val="0DEA1BCB"/>
    <w:rsid w:val="0DEE2D3E"/>
    <w:rsid w:val="0DF447F8"/>
    <w:rsid w:val="0DFE7425"/>
    <w:rsid w:val="0E0F5672"/>
    <w:rsid w:val="0E19600D"/>
    <w:rsid w:val="0E1E1875"/>
    <w:rsid w:val="0E1F739B"/>
    <w:rsid w:val="0E216CB2"/>
    <w:rsid w:val="0E2449B2"/>
    <w:rsid w:val="0E2B3F92"/>
    <w:rsid w:val="0E3015A8"/>
    <w:rsid w:val="0E3C619F"/>
    <w:rsid w:val="0E3E1F17"/>
    <w:rsid w:val="0E4532A6"/>
    <w:rsid w:val="0E484B44"/>
    <w:rsid w:val="0E4868F2"/>
    <w:rsid w:val="0E4A4418"/>
    <w:rsid w:val="0E4B1F3E"/>
    <w:rsid w:val="0E4D215A"/>
    <w:rsid w:val="0E52151F"/>
    <w:rsid w:val="0E526FB4"/>
    <w:rsid w:val="0E5434E9"/>
    <w:rsid w:val="0E545297"/>
    <w:rsid w:val="0E5928AD"/>
    <w:rsid w:val="0E5C05EF"/>
    <w:rsid w:val="0E5E7EC3"/>
    <w:rsid w:val="0E745939"/>
    <w:rsid w:val="0E7E40C2"/>
    <w:rsid w:val="0E83792A"/>
    <w:rsid w:val="0E87741A"/>
    <w:rsid w:val="0E8C4A31"/>
    <w:rsid w:val="0E9438E5"/>
    <w:rsid w:val="0E9B4C74"/>
    <w:rsid w:val="0E9E29B6"/>
    <w:rsid w:val="0EA855E3"/>
    <w:rsid w:val="0EAA3109"/>
    <w:rsid w:val="0EB421D9"/>
    <w:rsid w:val="0EC341CA"/>
    <w:rsid w:val="0EC35F79"/>
    <w:rsid w:val="0EC56195"/>
    <w:rsid w:val="0ECA5559"/>
    <w:rsid w:val="0ECC7523"/>
    <w:rsid w:val="0ECD1618"/>
    <w:rsid w:val="0ECF0DC1"/>
    <w:rsid w:val="0ECF2B6F"/>
    <w:rsid w:val="0ED10695"/>
    <w:rsid w:val="0EDE2DB2"/>
    <w:rsid w:val="0EE04D7C"/>
    <w:rsid w:val="0EE7238E"/>
    <w:rsid w:val="0EFD76DC"/>
    <w:rsid w:val="0F0071CD"/>
    <w:rsid w:val="0F024CF3"/>
    <w:rsid w:val="0F032819"/>
    <w:rsid w:val="0F096081"/>
    <w:rsid w:val="0F1467D4"/>
    <w:rsid w:val="0F152D89"/>
    <w:rsid w:val="0F16079E"/>
    <w:rsid w:val="0F3A26DF"/>
    <w:rsid w:val="0F3B1FB3"/>
    <w:rsid w:val="0F3D5D2B"/>
    <w:rsid w:val="0F3F1AA3"/>
    <w:rsid w:val="0F3F7CF5"/>
    <w:rsid w:val="0F5A68DD"/>
    <w:rsid w:val="0F5D017B"/>
    <w:rsid w:val="0F735BF1"/>
    <w:rsid w:val="0F73799F"/>
    <w:rsid w:val="0F76123D"/>
    <w:rsid w:val="0F767555"/>
    <w:rsid w:val="0F7A0D2D"/>
    <w:rsid w:val="0F7A2ADB"/>
    <w:rsid w:val="0F7F00F1"/>
    <w:rsid w:val="0F7F4595"/>
    <w:rsid w:val="0F81030D"/>
    <w:rsid w:val="0F8D434C"/>
    <w:rsid w:val="0F917E25"/>
    <w:rsid w:val="0F96368D"/>
    <w:rsid w:val="0F9C5147"/>
    <w:rsid w:val="0F9C6EF5"/>
    <w:rsid w:val="0F9D0EBF"/>
    <w:rsid w:val="0FA933C0"/>
    <w:rsid w:val="0FA94FB4"/>
    <w:rsid w:val="0FAC4C5F"/>
    <w:rsid w:val="0FAD1102"/>
    <w:rsid w:val="0FAE6C29"/>
    <w:rsid w:val="0FB00BF3"/>
    <w:rsid w:val="0FC3072C"/>
    <w:rsid w:val="0FCE2E27"/>
    <w:rsid w:val="0FD0094D"/>
    <w:rsid w:val="0FD7617F"/>
    <w:rsid w:val="0FDC19E8"/>
    <w:rsid w:val="0FE64614"/>
    <w:rsid w:val="0FF00C1C"/>
    <w:rsid w:val="0FF02D9D"/>
    <w:rsid w:val="0FF3288D"/>
    <w:rsid w:val="0FF80B78"/>
    <w:rsid w:val="0FFC339B"/>
    <w:rsid w:val="0FFF1232"/>
    <w:rsid w:val="10042CED"/>
    <w:rsid w:val="10152804"/>
    <w:rsid w:val="101822F4"/>
    <w:rsid w:val="101E3DAE"/>
    <w:rsid w:val="102313C5"/>
    <w:rsid w:val="10437371"/>
    <w:rsid w:val="10461FAB"/>
    <w:rsid w:val="10463305"/>
    <w:rsid w:val="104906FF"/>
    <w:rsid w:val="1053332C"/>
    <w:rsid w:val="1057106E"/>
    <w:rsid w:val="10594DE6"/>
    <w:rsid w:val="105F2D4E"/>
    <w:rsid w:val="105F7E70"/>
    <w:rsid w:val="106D43EE"/>
    <w:rsid w:val="10725EA8"/>
    <w:rsid w:val="10741E80"/>
    <w:rsid w:val="107439CE"/>
    <w:rsid w:val="108F6A5A"/>
    <w:rsid w:val="109220A6"/>
    <w:rsid w:val="10973B61"/>
    <w:rsid w:val="10A06571"/>
    <w:rsid w:val="10AB4F16"/>
    <w:rsid w:val="10AE35A2"/>
    <w:rsid w:val="10B04957"/>
    <w:rsid w:val="10BB784F"/>
    <w:rsid w:val="10C04E65"/>
    <w:rsid w:val="10C2298C"/>
    <w:rsid w:val="10C500F9"/>
    <w:rsid w:val="10CC08BD"/>
    <w:rsid w:val="10DD5A17"/>
    <w:rsid w:val="10E30B54"/>
    <w:rsid w:val="10E8616A"/>
    <w:rsid w:val="10EF2973"/>
    <w:rsid w:val="10F22B45"/>
    <w:rsid w:val="10F60887"/>
    <w:rsid w:val="10F66AD9"/>
    <w:rsid w:val="10F7015B"/>
    <w:rsid w:val="10F82A3F"/>
    <w:rsid w:val="10FB7C4C"/>
    <w:rsid w:val="10FC5772"/>
    <w:rsid w:val="11056D1C"/>
    <w:rsid w:val="110765F0"/>
    <w:rsid w:val="110A60E1"/>
    <w:rsid w:val="1125116C"/>
    <w:rsid w:val="11292A0B"/>
    <w:rsid w:val="11357601"/>
    <w:rsid w:val="11382C4E"/>
    <w:rsid w:val="1140560A"/>
    <w:rsid w:val="114A2981"/>
    <w:rsid w:val="114E06C3"/>
    <w:rsid w:val="114E2471"/>
    <w:rsid w:val="114F1D45"/>
    <w:rsid w:val="11507EDF"/>
    <w:rsid w:val="115630D4"/>
    <w:rsid w:val="11691059"/>
    <w:rsid w:val="116B3023"/>
    <w:rsid w:val="116E2B13"/>
    <w:rsid w:val="116F23E8"/>
    <w:rsid w:val="1173012A"/>
    <w:rsid w:val="11731ED8"/>
    <w:rsid w:val="117A14B8"/>
    <w:rsid w:val="117D68B3"/>
    <w:rsid w:val="118C2F9A"/>
    <w:rsid w:val="11902A8A"/>
    <w:rsid w:val="11904838"/>
    <w:rsid w:val="11911FF2"/>
    <w:rsid w:val="119D51A7"/>
    <w:rsid w:val="11A2456B"/>
    <w:rsid w:val="11AA3420"/>
    <w:rsid w:val="11B147AE"/>
    <w:rsid w:val="11B20C52"/>
    <w:rsid w:val="11C22C76"/>
    <w:rsid w:val="11C24C0D"/>
    <w:rsid w:val="11C42733"/>
    <w:rsid w:val="11CE5360"/>
    <w:rsid w:val="11D34725"/>
    <w:rsid w:val="11D706B9"/>
    <w:rsid w:val="11E64458"/>
    <w:rsid w:val="11F12DFD"/>
    <w:rsid w:val="11FA43A7"/>
    <w:rsid w:val="120B2110"/>
    <w:rsid w:val="12192A7F"/>
    <w:rsid w:val="122136E2"/>
    <w:rsid w:val="12232628"/>
    <w:rsid w:val="122907E8"/>
    <w:rsid w:val="12296A3A"/>
    <w:rsid w:val="122A4C8C"/>
    <w:rsid w:val="122B4561"/>
    <w:rsid w:val="122D02D9"/>
    <w:rsid w:val="122D2087"/>
    <w:rsid w:val="122F38C7"/>
    <w:rsid w:val="12302D61"/>
    <w:rsid w:val="1232769D"/>
    <w:rsid w:val="12331667"/>
    <w:rsid w:val="123553DF"/>
    <w:rsid w:val="123C051C"/>
    <w:rsid w:val="125515DD"/>
    <w:rsid w:val="125A6BF4"/>
    <w:rsid w:val="125C296C"/>
    <w:rsid w:val="1265480D"/>
    <w:rsid w:val="126B7053"/>
    <w:rsid w:val="126F6B43"/>
    <w:rsid w:val="12704669"/>
    <w:rsid w:val="127A1044"/>
    <w:rsid w:val="127E6D86"/>
    <w:rsid w:val="128123D2"/>
    <w:rsid w:val="12972790"/>
    <w:rsid w:val="129739A4"/>
    <w:rsid w:val="129B7938"/>
    <w:rsid w:val="129C0FBA"/>
    <w:rsid w:val="129E11D6"/>
    <w:rsid w:val="12A04F4F"/>
    <w:rsid w:val="12A54313"/>
    <w:rsid w:val="12A644BF"/>
    <w:rsid w:val="12AA36D7"/>
    <w:rsid w:val="12B46304"/>
    <w:rsid w:val="12B772C8"/>
    <w:rsid w:val="12C0739F"/>
    <w:rsid w:val="12C423BB"/>
    <w:rsid w:val="12C549B5"/>
    <w:rsid w:val="12C81DAF"/>
    <w:rsid w:val="12D40754"/>
    <w:rsid w:val="12D658A6"/>
    <w:rsid w:val="12DA1AE3"/>
    <w:rsid w:val="12DB5F87"/>
    <w:rsid w:val="12E3308D"/>
    <w:rsid w:val="12E52961"/>
    <w:rsid w:val="12EC1F42"/>
    <w:rsid w:val="12F232D0"/>
    <w:rsid w:val="12F64B6E"/>
    <w:rsid w:val="12FB3F33"/>
    <w:rsid w:val="1303497A"/>
    <w:rsid w:val="130A061A"/>
    <w:rsid w:val="130C6140"/>
    <w:rsid w:val="13160D6D"/>
    <w:rsid w:val="131B7216"/>
    <w:rsid w:val="131D034D"/>
    <w:rsid w:val="131E2317"/>
    <w:rsid w:val="131E40C5"/>
    <w:rsid w:val="131E5E73"/>
    <w:rsid w:val="13257202"/>
    <w:rsid w:val="132A2CAA"/>
    <w:rsid w:val="1331204B"/>
    <w:rsid w:val="13386F35"/>
    <w:rsid w:val="133E2072"/>
    <w:rsid w:val="13545D39"/>
    <w:rsid w:val="135950FD"/>
    <w:rsid w:val="135B0E75"/>
    <w:rsid w:val="13655850"/>
    <w:rsid w:val="13781A27"/>
    <w:rsid w:val="138228A6"/>
    <w:rsid w:val="13855EF2"/>
    <w:rsid w:val="138561F1"/>
    <w:rsid w:val="138C54D3"/>
    <w:rsid w:val="138E124B"/>
    <w:rsid w:val="13904FC3"/>
    <w:rsid w:val="1394398D"/>
    <w:rsid w:val="1399374C"/>
    <w:rsid w:val="139D184F"/>
    <w:rsid w:val="13A22600"/>
    <w:rsid w:val="13A24CF6"/>
    <w:rsid w:val="13A33B33"/>
    <w:rsid w:val="13A445CA"/>
    <w:rsid w:val="13AA7707"/>
    <w:rsid w:val="13AB3A56"/>
    <w:rsid w:val="13BD10C8"/>
    <w:rsid w:val="13BD743A"/>
    <w:rsid w:val="13C0517C"/>
    <w:rsid w:val="13C407C9"/>
    <w:rsid w:val="13C54541"/>
    <w:rsid w:val="13CC6536"/>
    <w:rsid w:val="13CE7899"/>
    <w:rsid w:val="13E175CD"/>
    <w:rsid w:val="13E26EA1"/>
    <w:rsid w:val="13E640E2"/>
    <w:rsid w:val="13EE3A98"/>
    <w:rsid w:val="13F13588"/>
    <w:rsid w:val="13FB39E8"/>
    <w:rsid w:val="13FD1F2D"/>
    <w:rsid w:val="14025795"/>
    <w:rsid w:val="14065285"/>
    <w:rsid w:val="140E5EE8"/>
    <w:rsid w:val="14123C2A"/>
    <w:rsid w:val="141352AC"/>
    <w:rsid w:val="14151024"/>
    <w:rsid w:val="141C6857"/>
    <w:rsid w:val="1424570B"/>
    <w:rsid w:val="14270D58"/>
    <w:rsid w:val="14276FAA"/>
    <w:rsid w:val="142C636E"/>
    <w:rsid w:val="142E0338"/>
    <w:rsid w:val="14324F46"/>
    <w:rsid w:val="1437543F"/>
    <w:rsid w:val="14392248"/>
    <w:rsid w:val="143C2C5E"/>
    <w:rsid w:val="14447B5C"/>
    <w:rsid w:val="1448764C"/>
    <w:rsid w:val="14496F20"/>
    <w:rsid w:val="144E2788"/>
    <w:rsid w:val="14531B4D"/>
    <w:rsid w:val="14602C66"/>
    <w:rsid w:val="14661880"/>
    <w:rsid w:val="146D0AF0"/>
    <w:rsid w:val="146D70B2"/>
    <w:rsid w:val="146E6986"/>
    <w:rsid w:val="14777F31"/>
    <w:rsid w:val="14787805"/>
    <w:rsid w:val="14975EDD"/>
    <w:rsid w:val="149A3C1F"/>
    <w:rsid w:val="149C7998"/>
    <w:rsid w:val="14A14FAE"/>
    <w:rsid w:val="14A979BF"/>
    <w:rsid w:val="14AD5701"/>
    <w:rsid w:val="14B06F9F"/>
    <w:rsid w:val="14B60A59"/>
    <w:rsid w:val="14BB6070"/>
    <w:rsid w:val="14C50C9C"/>
    <w:rsid w:val="14C52A4A"/>
    <w:rsid w:val="14CB3DD9"/>
    <w:rsid w:val="14D56A06"/>
    <w:rsid w:val="14DE58BA"/>
    <w:rsid w:val="14DF1632"/>
    <w:rsid w:val="14E07884"/>
    <w:rsid w:val="14E32ED1"/>
    <w:rsid w:val="14E37374"/>
    <w:rsid w:val="14ED768B"/>
    <w:rsid w:val="14EE1926"/>
    <w:rsid w:val="14F41582"/>
    <w:rsid w:val="14F448DE"/>
    <w:rsid w:val="14F50E56"/>
    <w:rsid w:val="14F72E20"/>
    <w:rsid w:val="14FB159B"/>
    <w:rsid w:val="14FC0436"/>
    <w:rsid w:val="14FE7D0A"/>
    <w:rsid w:val="15001CD4"/>
    <w:rsid w:val="150A2B53"/>
    <w:rsid w:val="150C0679"/>
    <w:rsid w:val="15156B6F"/>
    <w:rsid w:val="151B4D60"/>
    <w:rsid w:val="151D2886"/>
    <w:rsid w:val="151E545D"/>
    <w:rsid w:val="152139F9"/>
    <w:rsid w:val="1525173B"/>
    <w:rsid w:val="152A4FA3"/>
    <w:rsid w:val="152B4878"/>
    <w:rsid w:val="153100E0"/>
    <w:rsid w:val="15363948"/>
    <w:rsid w:val="15406575"/>
    <w:rsid w:val="154A73F4"/>
    <w:rsid w:val="154D47EE"/>
    <w:rsid w:val="155D0ED5"/>
    <w:rsid w:val="15655FDB"/>
    <w:rsid w:val="156E1E72"/>
    <w:rsid w:val="1573694A"/>
    <w:rsid w:val="1574512C"/>
    <w:rsid w:val="15842905"/>
    <w:rsid w:val="15852867"/>
    <w:rsid w:val="159348F7"/>
    <w:rsid w:val="15A85EC8"/>
    <w:rsid w:val="15AD20D5"/>
    <w:rsid w:val="15AF54A9"/>
    <w:rsid w:val="15B048FA"/>
    <w:rsid w:val="15B163F0"/>
    <w:rsid w:val="15B50D11"/>
    <w:rsid w:val="15B605E5"/>
    <w:rsid w:val="15BF393E"/>
    <w:rsid w:val="15BF56EC"/>
    <w:rsid w:val="15C50828"/>
    <w:rsid w:val="15D32F45"/>
    <w:rsid w:val="15D867AD"/>
    <w:rsid w:val="15DA2525"/>
    <w:rsid w:val="15DF5D8E"/>
    <w:rsid w:val="15DF7B3C"/>
    <w:rsid w:val="15F630D7"/>
    <w:rsid w:val="15FF3D3A"/>
    <w:rsid w:val="16007AB2"/>
    <w:rsid w:val="1606156C"/>
    <w:rsid w:val="160F7CF5"/>
    <w:rsid w:val="16135A37"/>
    <w:rsid w:val="161F618A"/>
    <w:rsid w:val="163D4862"/>
    <w:rsid w:val="16425791"/>
    <w:rsid w:val="16491459"/>
    <w:rsid w:val="164B51D1"/>
    <w:rsid w:val="16500A3A"/>
    <w:rsid w:val="165D6CB3"/>
    <w:rsid w:val="167209B0"/>
    <w:rsid w:val="16773C1C"/>
    <w:rsid w:val="16827E53"/>
    <w:rsid w:val="168B3820"/>
    <w:rsid w:val="169A1CB5"/>
    <w:rsid w:val="169F376F"/>
    <w:rsid w:val="16A86180"/>
    <w:rsid w:val="16A9014A"/>
    <w:rsid w:val="16AB2114"/>
    <w:rsid w:val="16AD4750"/>
    <w:rsid w:val="16B014D8"/>
    <w:rsid w:val="16B03286"/>
    <w:rsid w:val="16B26FFE"/>
    <w:rsid w:val="16B5089D"/>
    <w:rsid w:val="16B56AEF"/>
    <w:rsid w:val="16B70AB9"/>
    <w:rsid w:val="16B72867"/>
    <w:rsid w:val="16CB1E6E"/>
    <w:rsid w:val="16DE7DF3"/>
    <w:rsid w:val="16EB16CE"/>
    <w:rsid w:val="16FE0496"/>
    <w:rsid w:val="16FE3FF2"/>
    <w:rsid w:val="17005FBC"/>
    <w:rsid w:val="170610F8"/>
    <w:rsid w:val="17084E70"/>
    <w:rsid w:val="17092996"/>
    <w:rsid w:val="17101F77"/>
    <w:rsid w:val="171B1048"/>
    <w:rsid w:val="1720665E"/>
    <w:rsid w:val="17285513"/>
    <w:rsid w:val="172B0B5F"/>
    <w:rsid w:val="17375756"/>
    <w:rsid w:val="173914CE"/>
    <w:rsid w:val="173B5246"/>
    <w:rsid w:val="17451C21"/>
    <w:rsid w:val="17465999"/>
    <w:rsid w:val="1763479D"/>
    <w:rsid w:val="1763654B"/>
    <w:rsid w:val="176709F1"/>
    <w:rsid w:val="176C18A3"/>
    <w:rsid w:val="176D73C9"/>
    <w:rsid w:val="17716EB9"/>
    <w:rsid w:val="177E15D6"/>
    <w:rsid w:val="178A3AD7"/>
    <w:rsid w:val="178A795A"/>
    <w:rsid w:val="178F7340"/>
    <w:rsid w:val="179901BE"/>
    <w:rsid w:val="179D7CAF"/>
    <w:rsid w:val="179F7397"/>
    <w:rsid w:val="17A10E21"/>
    <w:rsid w:val="17A252C5"/>
    <w:rsid w:val="17A32DEB"/>
    <w:rsid w:val="17AD5A18"/>
    <w:rsid w:val="17AF353E"/>
    <w:rsid w:val="17B31280"/>
    <w:rsid w:val="17B648CC"/>
    <w:rsid w:val="17BB0135"/>
    <w:rsid w:val="17C52D61"/>
    <w:rsid w:val="17CC40F0"/>
    <w:rsid w:val="17E23913"/>
    <w:rsid w:val="17E7717C"/>
    <w:rsid w:val="17EE22B8"/>
    <w:rsid w:val="17EE4066"/>
    <w:rsid w:val="18023FB5"/>
    <w:rsid w:val="180856D2"/>
    <w:rsid w:val="180970F2"/>
    <w:rsid w:val="180E4708"/>
    <w:rsid w:val="18100480"/>
    <w:rsid w:val="18185587"/>
    <w:rsid w:val="181A30AD"/>
    <w:rsid w:val="181B5077"/>
    <w:rsid w:val="181D494B"/>
    <w:rsid w:val="1821268E"/>
    <w:rsid w:val="182A0E16"/>
    <w:rsid w:val="182C1032"/>
    <w:rsid w:val="185145F5"/>
    <w:rsid w:val="18543B9A"/>
    <w:rsid w:val="18561C0B"/>
    <w:rsid w:val="185D11EC"/>
    <w:rsid w:val="186758E2"/>
    <w:rsid w:val="186802BC"/>
    <w:rsid w:val="186B3909"/>
    <w:rsid w:val="18714C97"/>
    <w:rsid w:val="18730A0F"/>
    <w:rsid w:val="18787DD4"/>
    <w:rsid w:val="187D53EA"/>
    <w:rsid w:val="188026EA"/>
    <w:rsid w:val="18804FF8"/>
    <w:rsid w:val="188D1AD1"/>
    <w:rsid w:val="18910E95"/>
    <w:rsid w:val="18932E60"/>
    <w:rsid w:val="18982224"/>
    <w:rsid w:val="189866C8"/>
    <w:rsid w:val="18A1557C"/>
    <w:rsid w:val="18B232E6"/>
    <w:rsid w:val="18BC5F12"/>
    <w:rsid w:val="18C354F3"/>
    <w:rsid w:val="18C9062F"/>
    <w:rsid w:val="18C96881"/>
    <w:rsid w:val="18CB084B"/>
    <w:rsid w:val="18CD6371"/>
    <w:rsid w:val="18D45952"/>
    <w:rsid w:val="18DD40DB"/>
    <w:rsid w:val="18DE232D"/>
    <w:rsid w:val="18E13BCB"/>
    <w:rsid w:val="18E216F1"/>
    <w:rsid w:val="18E67433"/>
    <w:rsid w:val="18F03E0E"/>
    <w:rsid w:val="18F51424"/>
    <w:rsid w:val="18F953B8"/>
    <w:rsid w:val="18FA4C8D"/>
    <w:rsid w:val="18FC3D8A"/>
    <w:rsid w:val="18FE4FFE"/>
    <w:rsid w:val="190653E0"/>
    <w:rsid w:val="190855FC"/>
    <w:rsid w:val="19094ED0"/>
    <w:rsid w:val="1912647A"/>
    <w:rsid w:val="19145D4E"/>
    <w:rsid w:val="191775ED"/>
    <w:rsid w:val="191E6BCD"/>
    <w:rsid w:val="192166BD"/>
    <w:rsid w:val="192B3098"/>
    <w:rsid w:val="19306900"/>
    <w:rsid w:val="193208CA"/>
    <w:rsid w:val="19353F17"/>
    <w:rsid w:val="193957B5"/>
    <w:rsid w:val="19436634"/>
    <w:rsid w:val="194B7296"/>
    <w:rsid w:val="195C14A3"/>
    <w:rsid w:val="195F2D42"/>
    <w:rsid w:val="19636CD6"/>
    <w:rsid w:val="196E39FC"/>
    <w:rsid w:val="19742C91"/>
    <w:rsid w:val="19744A3F"/>
    <w:rsid w:val="198509FA"/>
    <w:rsid w:val="19866520"/>
    <w:rsid w:val="198809D6"/>
    <w:rsid w:val="198D78AF"/>
    <w:rsid w:val="19923117"/>
    <w:rsid w:val="19960E59"/>
    <w:rsid w:val="199944A6"/>
    <w:rsid w:val="199E1ABC"/>
    <w:rsid w:val="19A370D2"/>
    <w:rsid w:val="19A5109C"/>
    <w:rsid w:val="19AD7F51"/>
    <w:rsid w:val="19AF3CC9"/>
    <w:rsid w:val="19B27315"/>
    <w:rsid w:val="19B337B9"/>
    <w:rsid w:val="19BD0194"/>
    <w:rsid w:val="19C31523"/>
    <w:rsid w:val="19CA465F"/>
    <w:rsid w:val="19CF6119"/>
    <w:rsid w:val="19D454DE"/>
    <w:rsid w:val="19DB2B9E"/>
    <w:rsid w:val="19EC0A79"/>
    <w:rsid w:val="19EE2A43"/>
    <w:rsid w:val="19EF2318"/>
    <w:rsid w:val="19F210D5"/>
    <w:rsid w:val="19F33BB6"/>
    <w:rsid w:val="19FD61E8"/>
    <w:rsid w:val="1A023DF9"/>
    <w:rsid w:val="1A073B05"/>
    <w:rsid w:val="1A0F29BA"/>
    <w:rsid w:val="1A143B2C"/>
    <w:rsid w:val="1A18186E"/>
    <w:rsid w:val="1A1E49AB"/>
    <w:rsid w:val="1A2E4BEE"/>
    <w:rsid w:val="1A310B82"/>
    <w:rsid w:val="1A3146DE"/>
    <w:rsid w:val="1A332204"/>
    <w:rsid w:val="1A367F46"/>
    <w:rsid w:val="1A3B37AF"/>
    <w:rsid w:val="1A450189"/>
    <w:rsid w:val="1A4C32C6"/>
    <w:rsid w:val="1A4C59BC"/>
    <w:rsid w:val="1A4F0ED2"/>
    <w:rsid w:val="1A512FD2"/>
    <w:rsid w:val="1A5328A6"/>
    <w:rsid w:val="1A562397"/>
    <w:rsid w:val="1A5B175B"/>
    <w:rsid w:val="1A5D54D3"/>
    <w:rsid w:val="1A644AB4"/>
    <w:rsid w:val="1A6745A4"/>
    <w:rsid w:val="1A710F7F"/>
    <w:rsid w:val="1A750A6F"/>
    <w:rsid w:val="1A8011C2"/>
    <w:rsid w:val="1A82318C"/>
    <w:rsid w:val="1A862C7C"/>
    <w:rsid w:val="1A864A2A"/>
    <w:rsid w:val="1A8C5DB8"/>
    <w:rsid w:val="1A9C424D"/>
    <w:rsid w:val="1A9D6217"/>
    <w:rsid w:val="1AA41354"/>
    <w:rsid w:val="1AA749A0"/>
    <w:rsid w:val="1AB1581F"/>
    <w:rsid w:val="1AB71087"/>
    <w:rsid w:val="1ABD2416"/>
    <w:rsid w:val="1ABF1CEA"/>
    <w:rsid w:val="1ACC4407"/>
    <w:rsid w:val="1AD339E7"/>
    <w:rsid w:val="1AD36A86"/>
    <w:rsid w:val="1AE41750"/>
    <w:rsid w:val="1AE94FB9"/>
    <w:rsid w:val="1AF8344E"/>
    <w:rsid w:val="1AFF658A"/>
    <w:rsid w:val="1B0B373B"/>
    <w:rsid w:val="1B0D0CA7"/>
    <w:rsid w:val="1B157B5C"/>
    <w:rsid w:val="1B19589E"/>
    <w:rsid w:val="1B281F85"/>
    <w:rsid w:val="1B3A75C2"/>
    <w:rsid w:val="1B486183"/>
    <w:rsid w:val="1B4D19EC"/>
    <w:rsid w:val="1B542D7A"/>
    <w:rsid w:val="1B59213E"/>
    <w:rsid w:val="1B5A7C65"/>
    <w:rsid w:val="1B6063DC"/>
    <w:rsid w:val="1B701236"/>
    <w:rsid w:val="1B707CB3"/>
    <w:rsid w:val="1B762CF0"/>
    <w:rsid w:val="1B79633D"/>
    <w:rsid w:val="1B7C407F"/>
    <w:rsid w:val="1B7D7150"/>
    <w:rsid w:val="1B8076CB"/>
    <w:rsid w:val="1B8A054A"/>
    <w:rsid w:val="1B8B6070"/>
    <w:rsid w:val="1B8D1DE8"/>
    <w:rsid w:val="1B9A62B3"/>
    <w:rsid w:val="1B9E3FF5"/>
    <w:rsid w:val="1BA535D6"/>
    <w:rsid w:val="1BB13D28"/>
    <w:rsid w:val="1BB6133F"/>
    <w:rsid w:val="1BC11A92"/>
    <w:rsid w:val="1BC7354C"/>
    <w:rsid w:val="1BD6378F"/>
    <w:rsid w:val="1BD73063"/>
    <w:rsid w:val="1BDE0896"/>
    <w:rsid w:val="1BE85270"/>
    <w:rsid w:val="1BED2887"/>
    <w:rsid w:val="1BF73705"/>
    <w:rsid w:val="1BFD0D1C"/>
    <w:rsid w:val="1BFE4A94"/>
    <w:rsid w:val="1C0A3439"/>
    <w:rsid w:val="1C0C5403"/>
    <w:rsid w:val="1C0F0A4F"/>
    <w:rsid w:val="1C2344FA"/>
    <w:rsid w:val="1C275D99"/>
    <w:rsid w:val="1C362480"/>
    <w:rsid w:val="1C3E30E2"/>
    <w:rsid w:val="1C3F7586"/>
    <w:rsid w:val="1C4A7433"/>
    <w:rsid w:val="1C4E77C9"/>
    <w:rsid w:val="1C6074FD"/>
    <w:rsid w:val="1C694603"/>
    <w:rsid w:val="1C6C773B"/>
    <w:rsid w:val="1C730FDE"/>
    <w:rsid w:val="1C7B60E4"/>
    <w:rsid w:val="1C7D3C0B"/>
    <w:rsid w:val="1C7F3E27"/>
    <w:rsid w:val="1C8036FB"/>
    <w:rsid w:val="1C896A53"/>
    <w:rsid w:val="1C8B27CB"/>
    <w:rsid w:val="1C8C3BB7"/>
    <w:rsid w:val="1C9D605B"/>
    <w:rsid w:val="1C9E33AA"/>
    <w:rsid w:val="1C9F1DD3"/>
    <w:rsid w:val="1CAC2742"/>
    <w:rsid w:val="1CAC44F0"/>
    <w:rsid w:val="1CB82E95"/>
    <w:rsid w:val="1CBC0BD7"/>
    <w:rsid w:val="1CBC1555"/>
    <w:rsid w:val="1CBF06C7"/>
    <w:rsid w:val="1CC47A8B"/>
    <w:rsid w:val="1CD37CCF"/>
    <w:rsid w:val="1CDD6D9F"/>
    <w:rsid w:val="1CE26164"/>
    <w:rsid w:val="1CE81E71"/>
    <w:rsid w:val="1CE912A0"/>
    <w:rsid w:val="1CEE68B6"/>
    <w:rsid w:val="1CF30708"/>
    <w:rsid w:val="1D0B1216"/>
    <w:rsid w:val="1D100F23"/>
    <w:rsid w:val="1D1207F7"/>
    <w:rsid w:val="1D187DD7"/>
    <w:rsid w:val="1D2247B2"/>
    <w:rsid w:val="1D2422D8"/>
    <w:rsid w:val="1D2E13A9"/>
    <w:rsid w:val="1D322C47"/>
    <w:rsid w:val="1D3369BF"/>
    <w:rsid w:val="1D3544E5"/>
    <w:rsid w:val="1D3E783E"/>
    <w:rsid w:val="1D41732E"/>
    <w:rsid w:val="1D48246B"/>
    <w:rsid w:val="1D484219"/>
    <w:rsid w:val="1D53441F"/>
    <w:rsid w:val="1D57445C"/>
    <w:rsid w:val="1D5F77B4"/>
    <w:rsid w:val="1D6628F1"/>
    <w:rsid w:val="1D6848BB"/>
    <w:rsid w:val="1D6D0123"/>
    <w:rsid w:val="1D6F3E9B"/>
    <w:rsid w:val="1D725739"/>
    <w:rsid w:val="1D743260"/>
    <w:rsid w:val="1D790876"/>
    <w:rsid w:val="1D7A3E1C"/>
    <w:rsid w:val="1D7C2114"/>
    <w:rsid w:val="1D813BCE"/>
    <w:rsid w:val="1D862F93"/>
    <w:rsid w:val="1D8965DF"/>
    <w:rsid w:val="1D8E3BF5"/>
    <w:rsid w:val="1D951428"/>
    <w:rsid w:val="1D954F84"/>
    <w:rsid w:val="1D976F4E"/>
    <w:rsid w:val="1DA04055"/>
    <w:rsid w:val="1DA376A1"/>
    <w:rsid w:val="1DAD49C3"/>
    <w:rsid w:val="1DB21FDA"/>
    <w:rsid w:val="1DC51D0D"/>
    <w:rsid w:val="1DC6338F"/>
    <w:rsid w:val="1DCB6BF8"/>
    <w:rsid w:val="1DD71A40"/>
    <w:rsid w:val="1DD97567"/>
    <w:rsid w:val="1DE55F0B"/>
    <w:rsid w:val="1DEB1048"/>
    <w:rsid w:val="1DEC729A"/>
    <w:rsid w:val="1DF12B02"/>
    <w:rsid w:val="1DFC5003"/>
    <w:rsid w:val="1E0345E3"/>
    <w:rsid w:val="1E0A5972"/>
    <w:rsid w:val="1E0F2F88"/>
    <w:rsid w:val="1E1B192D"/>
    <w:rsid w:val="1E1D56A5"/>
    <w:rsid w:val="1E236A34"/>
    <w:rsid w:val="1E2527AC"/>
    <w:rsid w:val="1E3D5D47"/>
    <w:rsid w:val="1E3F16B2"/>
    <w:rsid w:val="1E403142"/>
    <w:rsid w:val="1E480248"/>
    <w:rsid w:val="1E48649A"/>
    <w:rsid w:val="1E4D585F"/>
    <w:rsid w:val="1E58492F"/>
    <w:rsid w:val="1E62755C"/>
    <w:rsid w:val="1E682698"/>
    <w:rsid w:val="1E6A6411"/>
    <w:rsid w:val="1E733517"/>
    <w:rsid w:val="1E7828DC"/>
    <w:rsid w:val="1E831280"/>
    <w:rsid w:val="1E875215"/>
    <w:rsid w:val="1E8C6387"/>
    <w:rsid w:val="1E9B481C"/>
    <w:rsid w:val="1EA00084"/>
    <w:rsid w:val="1EA336D1"/>
    <w:rsid w:val="1EAB0F03"/>
    <w:rsid w:val="1EB06262"/>
    <w:rsid w:val="1EB1403F"/>
    <w:rsid w:val="1EB15DEE"/>
    <w:rsid w:val="1EBD4792"/>
    <w:rsid w:val="1EC024D4"/>
    <w:rsid w:val="1EC41FC5"/>
    <w:rsid w:val="1ECC3D26"/>
    <w:rsid w:val="1ECC70CB"/>
    <w:rsid w:val="1ED3045A"/>
    <w:rsid w:val="1EDA3596"/>
    <w:rsid w:val="1EDF6DFF"/>
    <w:rsid w:val="1EF17756"/>
    <w:rsid w:val="1EF26B32"/>
    <w:rsid w:val="1EF67CA4"/>
    <w:rsid w:val="1F0060BE"/>
    <w:rsid w:val="1F016D75"/>
    <w:rsid w:val="1F061F30"/>
    <w:rsid w:val="1F06438B"/>
    <w:rsid w:val="1F066139"/>
    <w:rsid w:val="1F0D5A54"/>
    <w:rsid w:val="1F0E4FEE"/>
    <w:rsid w:val="1F143C6C"/>
    <w:rsid w:val="1F226CEB"/>
    <w:rsid w:val="1F234F3D"/>
    <w:rsid w:val="1F2760B0"/>
    <w:rsid w:val="1F2F7577"/>
    <w:rsid w:val="1F30765A"/>
    <w:rsid w:val="1F3F789D"/>
    <w:rsid w:val="1F4C5B16"/>
    <w:rsid w:val="1F552C1D"/>
    <w:rsid w:val="1F5C0367"/>
    <w:rsid w:val="1F5F3A9B"/>
    <w:rsid w:val="1F5F56C1"/>
    <w:rsid w:val="1F6B0205"/>
    <w:rsid w:val="1F6C2B40"/>
    <w:rsid w:val="1F707A57"/>
    <w:rsid w:val="1F721A21"/>
    <w:rsid w:val="1F72557D"/>
    <w:rsid w:val="1F775289"/>
    <w:rsid w:val="1F7E2174"/>
    <w:rsid w:val="1F7F7C9A"/>
    <w:rsid w:val="1F861028"/>
    <w:rsid w:val="1F896D6A"/>
    <w:rsid w:val="1F8B4890"/>
    <w:rsid w:val="1F8B663F"/>
    <w:rsid w:val="1F8B7238"/>
    <w:rsid w:val="1F8F25D3"/>
    <w:rsid w:val="1F941997"/>
    <w:rsid w:val="1F95570F"/>
    <w:rsid w:val="1F974FE3"/>
    <w:rsid w:val="1F9A0F77"/>
    <w:rsid w:val="1FA3607E"/>
    <w:rsid w:val="1FA6791C"/>
    <w:rsid w:val="1FA83694"/>
    <w:rsid w:val="1FA94D17"/>
    <w:rsid w:val="1FB65DB1"/>
    <w:rsid w:val="1FC656D4"/>
    <w:rsid w:val="1FC97167"/>
    <w:rsid w:val="1FCD6C57"/>
    <w:rsid w:val="1FCF0C21"/>
    <w:rsid w:val="1FD04999"/>
    <w:rsid w:val="1FD55B0C"/>
    <w:rsid w:val="1FD71884"/>
    <w:rsid w:val="1FDC6E9A"/>
    <w:rsid w:val="1FE02E2E"/>
    <w:rsid w:val="1FE346CD"/>
    <w:rsid w:val="20032679"/>
    <w:rsid w:val="20054643"/>
    <w:rsid w:val="200A3A07"/>
    <w:rsid w:val="200F101E"/>
    <w:rsid w:val="2011123A"/>
    <w:rsid w:val="20232D1B"/>
    <w:rsid w:val="203647FC"/>
    <w:rsid w:val="20384A18"/>
    <w:rsid w:val="20390790"/>
    <w:rsid w:val="203B62B7"/>
    <w:rsid w:val="203E7B55"/>
    <w:rsid w:val="20474C5B"/>
    <w:rsid w:val="205253AE"/>
    <w:rsid w:val="2059673D"/>
    <w:rsid w:val="205D447F"/>
    <w:rsid w:val="206155F1"/>
    <w:rsid w:val="206375BB"/>
    <w:rsid w:val="206D3F96"/>
    <w:rsid w:val="2076587B"/>
    <w:rsid w:val="208270BF"/>
    <w:rsid w:val="208D7F0D"/>
    <w:rsid w:val="208F03B0"/>
    <w:rsid w:val="208F6602"/>
    <w:rsid w:val="2091237A"/>
    <w:rsid w:val="20914128"/>
    <w:rsid w:val="20937EA1"/>
    <w:rsid w:val="20947775"/>
    <w:rsid w:val="20BE2A44"/>
    <w:rsid w:val="20C04A0E"/>
    <w:rsid w:val="20CE712B"/>
    <w:rsid w:val="20D14525"/>
    <w:rsid w:val="20D858B3"/>
    <w:rsid w:val="20DD55C0"/>
    <w:rsid w:val="20ED20DF"/>
    <w:rsid w:val="20F33380"/>
    <w:rsid w:val="20F6042F"/>
    <w:rsid w:val="20FF1092"/>
    <w:rsid w:val="21004E0A"/>
    <w:rsid w:val="210112AE"/>
    <w:rsid w:val="210C7C53"/>
    <w:rsid w:val="21134B3E"/>
    <w:rsid w:val="2116462E"/>
    <w:rsid w:val="21197C6C"/>
    <w:rsid w:val="211D776A"/>
    <w:rsid w:val="212705E9"/>
    <w:rsid w:val="213276BA"/>
    <w:rsid w:val="21336F8E"/>
    <w:rsid w:val="213D1BBA"/>
    <w:rsid w:val="21463165"/>
    <w:rsid w:val="21472A39"/>
    <w:rsid w:val="2148051F"/>
    <w:rsid w:val="214B077B"/>
    <w:rsid w:val="214B42D7"/>
    <w:rsid w:val="215313DE"/>
    <w:rsid w:val="21667363"/>
    <w:rsid w:val="216B6728"/>
    <w:rsid w:val="216C53BD"/>
    <w:rsid w:val="21723F5A"/>
    <w:rsid w:val="2173382E"/>
    <w:rsid w:val="217557F8"/>
    <w:rsid w:val="217575A6"/>
    <w:rsid w:val="21837F15"/>
    <w:rsid w:val="218D48F0"/>
    <w:rsid w:val="21937A2C"/>
    <w:rsid w:val="21957C48"/>
    <w:rsid w:val="219A0DBB"/>
    <w:rsid w:val="219C0FD7"/>
    <w:rsid w:val="21A25EC1"/>
    <w:rsid w:val="21BF6A73"/>
    <w:rsid w:val="21C61BB0"/>
    <w:rsid w:val="21CB18BC"/>
    <w:rsid w:val="21CB262D"/>
    <w:rsid w:val="21CD4745"/>
    <w:rsid w:val="21D73DBD"/>
    <w:rsid w:val="21E14C3C"/>
    <w:rsid w:val="21E604A4"/>
    <w:rsid w:val="21E64000"/>
    <w:rsid w:val="21F229A5"/>
    <w:rsid w:val="21F91F85"/>
    <w:rsid w:val="22031056"/>
    <w:rsid w:val="220628F4"/>
    <w:rsid w:val="220E7CE5"/>
    <w:rsid w:val="22146DBF"/>
    <w:rsid w:val="221943D6"/>
    <w:rsid w:val="22196184"/>
    <w:rsid w:val="222A213F"/>
    <w:rsid w:val="222F1E4B"/>
    <w:rsid w:val="22342FBD"/>
    <w:rsid w:val="2237485C"/>
    <w:rsid w:val="223E5BEA"/>
    <w:rsid w:val="224156DA"/>
    <w:rsid w:val="22433200"/>
    <w:rsid w:val="22590C76"/>
    <w:rsid w:val="226513C9"/>
    <w:rsid w:val="226715E5"/>
    <w:rsid w:val="226A4C31"/>
    <w:rsid w:val="226F3FF6"/>
    <w:rsid w:val="226F7696"/>
    <w:rsid w:val="22761828"/>
    <w:rsid w:val="227930C6"/>
    <w:rsid w:val="227C6712"/>
    <w:rsid w:val="228201CD"/>
    <w:rsid w:val="22835CF3"/>
    <w:rsid w:val="22851A6B"/>
    <w:rsid w:val="22853819"/>
    <w:rsid w:val="22947F00"/>
    <w:rsid w:val="229E2B2D"/>
    <w:rsid w:val="22A04AF7"/>
    <w:rsid w:val="22A85759"/>
    <w:rsid w:val="22AA7723"/>
    <w:rsid w:val="22AC524A"/>
    <w:rsid w:val="22AD4B1E"/>
    <w:rsid w:val="22AF0896"/>
    <w:rsid w:val="22B8599C"/>
    <w:rsid w:val="22B91715"/>
    <w:rsid w:val="22BC1436"/>
    <w:rsid w:val="22C24A6D"/>
    <w:rsid w:val="22C500B9"/>
    <w:rsid w:val="22CF2CE6"/>
    <w:rsid w:val="22D8603F"/>
    <w:rsid w:val="22E471B1"/>
    <w:rsid w:val="22EC3898"/>
    <w:rsid w:val="22F17100"/>
    <w:rsid w:val="22FC68C8"/>
    <w:rsid w:val="23052BAC"/>
    <w:rsid w:val="2309444A"/>
    <w:rsid w:val="230C7A96"/>
    <w:rsid w:val="230E7CB2"/>
    <w:rsid w:val="231D1CA3"/>
    <w:rsid w:val="231F3C6E"/>
    <w:rsid w:val="23264FFC"/>
    <w:rsid w:val="233319E5"/>
    <w:rsid w:val="23376A8B"/>
    <w:rsid w:val="233F60BE"/>
    <w:rsid w:val="2342795C"/>
    <w:rsid w:val="23445482"/>
    <w:rsid w:val="234E00AF"/>
    <w:rsid w:val="23593283"/>
    <w:rsid w:val="235B27CC"/>
    <w:rsid w:val="235C0774"/>
    <w:rsid w:val="23671171"/>
    <w:rsid w:val="237A70F6"/>
    <w:rsid w:val="237C2E6E"/>
    <w:rsid w:val="237F295E"/>
    <w:rsid w:val="238A37F2"/>
    <w:rsid w:val="23983A20"/>
    <w:rsid w:val="239F090A"/>
    <w:rsid w:val="23A02DE9"/>
    <w:rsid w:val="23A979DB"/>
    <w:rsid w:val="23AE0B4E"/>
    <w:rsid w:val="23B0550D"/>
    <w:rsid w:val="23B4085A"/>
    <w:rsid w:val="23BA1BE8"/>
    <w:rsid w:val="23BE3486"/>
    <w:rsid w:val="23C91E2B"/>
    <w:rsid w:val="23CE2F9E"/>
    <w:rsid w:val="23DA6CA9"/>
    <w:rsid w:val="23DC390D"/>
    <w:rsid w:val="23DF33FD"/>
    <w:rsid w:val="23E12CD1"/>
    <w:rsid w:val="23E26A49"/>
    <w:rsid w:val="23EB3B50"/>
    <w:rsid w:val="23F23130"/>
    <w:rsid w:val="24042E63"/>
    <w:rsid w:val="240B5FA0"/>
    <w:rsid w:val="240D3AC6"/>
    <w:rsid w:val="241035B6"/>
    <w:rsid w:val="24155071"/>
    <w:rsid w:val="2423153B"/>
    <w:rsid w:val="2425011E"/>
    <w:rsid w:val="24284DA4"/>
    <w:rsid w:val="242D23BA"/>
    <w:rsid w:val="242D4168"/>
    <w:rsid w:val="243C25FD"/>
    <w:rsid w:val="244020ED"/>
    <w:rsid w:val="244119C2"/>
    <w:rsid w:val="24443260"/>
    <w:rsid w:val="24455956"/>
    <w:rsid w:val="244A6AC8"/>
    <w:rsid w:val="244F0582"/>
    <w:rsid w:val="24521E21"/>
    <w:rsid w:val="24545B99"/>
    <w:rsid w:val="245C67FB"/>
    <w:rsid w:val="245E2574"/>
    <w:rsid w:val="24727DCD"/>
    <w:rsid w:val="24747E1D"/>
    <w:rsid w:val="24765B0F"/>
    <w:rsid w:val="247D50F0"/>
    <w:rsid w:val="24822706"/>
    <w:rsid w:val="24861ACA"/>
    <w:rsid w:val="249146F7"/>
    <w:rsid w:val="24945F95"/>
    <w:rsid w:val="249661B1"/>
    <w:rsid w:val="249E0BC2"/>
    <w:rsid w:val="24A00DDE"/>
    <w:rsid w:val="24A501A2"/>
    <w:rsid w:val="24AF2DCF"/>
    <w:rsid w:val="24B11358"/>
    <w:rsid w:val="24BB1774"/>
    <w:rsid w:val="24BE74B6"/>
    <w:rsid w:val="24C20D54"/>
    <w:rsid w:val="24C50845"/>
    <w:rsid w:val="24C62B31"/>
    <w:rsid w:val="24C745BD"/>
    <w:rsid w:val="24CD14A7"/>
    <w:rsid w:val="24D26ABE"/>
    <w:rsid w:val="24DB3BC4"/>
    <w:rsid w:val="24E0742D"/>
    <w:rsid w:val="24E52C95"/>
    <w:rsid w:val="24EC7B7F"/>
    <w:rsid w:val="250065AD"/>
    <w:rsid w:val="250749B9"/>
    <w:rsid w:val="250F7D12"/>
    <w:rsid w:val="251133E5"/>
    <w:rsid w:val="25140E84"/>
    <w:rsid w:val="25184E18"/>
    <w:rsid w:val="251B66B7"/>
    <w:rsid w:val="25331C52"/>
    <w:rsid w:val="25386706"/>
    <w:rsid w:val="2547125A"/>
    <w:rsid w:val="254C4AC2"/>
    <w:rsid w:val="254E083A"/>
    <w:rsid w:val="254E4396"/>
    <w:rsid w:val="25506360"/>
    <w:rsid w:val="255120D8"/>
    <w:rsid w:val="25545725"/>
    <w:rsid w:val="25553977"/>
    <w:rsid w:val="255641C8"/>
    <w:rsid w:val="25585215"/>
    <w:rsid w:val="25627E42"/>
    <w:rsid w:val="256B7B2F"/>
    <w:rsid w:val="25766576"/>
    <w:rsid w:val="25777D91"/>
    <w:rsid w:val="257A518B"/>
    <w:rsid w:val="257B0F03"/>
    <w:rsid w:val="257D2ECD"/>
    <w:rsid w:val="257F27A2"/>
    <w:rsid w:val="257F6C45"/>
    <w:rsid w:val="258778A8"/>
    <w:rsid w:val="25965D3D"/>
    <w:rsid w:val="25981AB5"/>
    <w:rsid w:val="259D70CC"/>
    <w:rsid w:val="25A57FF5"/>
    <w:rsid w:val="25A91F14"/>
    <w:rsid w:val="25AB3B32"/>
    <w:rsid w:val="25AB7A3A"/>
    <w:rsid w:val="25B34B41"/>
    <w:rsid w:val="25B6018D"/>
    <w:rsid w:val="25BA5ED0"/>
    <w:rsid w:val="25BE7507"/>
    <w:rsid w:val="25BF7042"/>
    <w:rsid w:val="25C60739"/>
    <w:rsid w:val="25C66622"/>
    <w:rsid w:val="25D16D75"/>
    <w:rsid w:val="25D6438C"/>
    <w:rsid w:val="25DA3E7C"/>
    <w:rsid w:val="25E60A73"/>
    <w:rsid w:val="25E82A3D"/>
    <w:rsid w:val="25EC3BAF"/>
    <w:rsid w:val="25F23142"/>
    <w:rsid w:val="25FC0296"/>
    <w:rsid w:val="26040EF9"/>
    <w:rsid w:val="26086C3B"/>
    <w:rsid w:val="260929B3"/>
    <w:rsid w:val="261206FC"/>
    <w:rsid w:val="26190E48"/>
    <w:rsid w:val="261A4BC0"/>
    <w:rsid w:val="26217CFD"/>
    <w:rsid w:val="262A4E03"/>
    <w:rsid w:val="262E5F76"/>
    <w:rsid w:val="264E003E"/>
    <w:rsid w:val="265359DC"/>
    <w:rsid w:val="26543C2E"/>
    <w:rsid w:val="265C6F87"/>
    <w:rsid w:val="2661634B"/>
    <w:rsid w:val="26681488"/>
    <w:rsid w:val="2668592C"/>
    <w:rsid w:val="266876DA"/>
    <w:rsid w:val="266D6A9E"/>
    <w:rsid w:val="266F0A68"/>
    <w:rsid w:val="267047E0"/>
    <w:rsid w:val="26722306"/>
    <w:rsid w:val="267A740D"/>
    <w:rsid w:val="26822B98"/>
    <w:rsid w:val="26926A95"/>
    <w:rsid w:val="269404CF"/>
    <w:rsid w:val="2694227D"/>
    <w:rsid w:val="269B185D"/>
    <w:rsid w:val="269F0C21"/>
    <w:rsid w:val="26A1499A"/>
    <w:rsid w:val="26A80CBB"/>
    <w:rsid w:val="26A821CC"/>
    <w:rsid w:val="26B96187"/>
    <w:rsid w:val="26B97F35"/>
    <w:rsid w:val="26C30DB4"/>
    <w:rsid w:val="26CA0394"/>
    <w:rsid w:val="26CB1A16"/>
    <w:rsid w:val="26CC5EBA"/>
    <w:rsid w:val="26CC7C68"/>
    <w:rsid w:val="26D177A7"/>
    <w:rsid w:val="26D27249"/>
    <w:rsid w:val="26D46B1D"/>
    <w:rsid w:val="26D905D7"/>
    <w:rsid w:val="26E50D2A"/>
    <w:rsid w:val="26ED7BDF"/>
    <w:rsid w:val="26EF7DFB"/>
    <w:rsid w:val="26F45411"/>
    <w:rsid w:val="26FE003E"/>
    <w:rsid w:val="270218C6"/>
    <w:rsid w:val="270317DA"/>
    <w:rsid w:val="27070CA1"/>
    <w:rsid w:val="27111B1F"/>
    <w:rsid w:val="27127645"/>
    <w:rsid w:val="27171CC2"/>
    <w:rsid w:val="271B299E"/>
    <w:rsid w:val="27223D2C"/>
    <w:rsid w:val="27247AA4"/>
    <w:rsid w:val="272950BB"/>
    <w:rsid w:val="272C4BAB"/>
    <w:rsid w:val="27337CE7"/>
    <w:rsid w:val="273E043A"/>
    <w:rsid w:val="27400656"/>
    <w:rsid w:val="2751016E"/>
    <w:rsid w:val="27514612"/>
    <w:rsid w:val="2752510C"/>
    <w:rsid w:val="27561C28"/>
    <w:rsid w:val="275639D6"/>
    <w:rsid w:val="2758774E"/>
    <w:rsid w:val="275B2D9A"/>
    <w:rsid w:val="276500BD"/>
    <w:rsid w:val="276A7481"/>
    <w:rsid w:val="276E6F72"/>
    <w:rsid w:val="278241EB"/>
    <w:rsid w:val="278247CB"/>
    <w:rsid w:val="278542BB"/>
    <w:rsid w:val="27906EE8"/>
    <w:rsid w:val="27930786"/>
    <w:rsid w:val="27A02EA3"/>
    <w:rsid w:val="27A72484"/>
    <w:rsid w:val="27A847C5"/>
    <w:rsid w:val="27AA5AD0"/>
    <w:rsid w:val="27BA1BD2"/>
    <w:rsid w:val="27C43035"/>
    <w:rsid w:val="27C65D96"/>
    <w:rsid w:val="27C70430"/>
    <w:rsid w:val="27CB7F20"/>
    <w:rsid w:val="27D112AE"/>
    <w:rsid w:val="27D74B17"/>
    <w:rsid w:val="27DF5779"/>
    <w:rsid w:val="27E72880"/>
    <w:rsid w:val="27E9484A"/>
    <w:rsid w:val="27E965F8"/>
    <w:rsid w:val="27EB2370"/>
    <w:rsid w:val="27EB411E"/>
    <w:rsid w:val="27ED433A"/>
    <w:rsid w:val="27F304AC"/>
    <w:rsid w:val="27F84A8D"/>
    <w:rsid w:val="27FD20A3"/>
    <w:rsid w:val="280D678A"/>
    <w:rsid w:val="280E605F"/>
    <w:rsid w:val="28133675"/>
    <w:rsid w:val="281C4C20"/>
    <w:rsid w:val="281F026C"/>
    <w:rsid w:val="282633A8"/>
    <w:rsid w:val="282835C4"/>
    <w:rsid w:val="28327F9F"/>
    <w:rsid w:val="283755B5"/>
    <w:rsid w:val="283B0F4C"/>
    <w:rsid w:val="283D7E81"/>
    <w:rsid w:val="284303FE"/>
    <w:rsid w:val="284321AC"/>
    <w:rsid w:val="2849353B"/>
    <w:rsid w:val="28500425"/>
    <w:rsid w:val="28506677"/>
    <w:rsid w:val="28537F15"/>
    <w:rsid w:val="285717B4"/>
    <w:rsid w:val="285C6DCA"/>
    <w:rsid w:val="285D2B42"/>
    <w:rsid w:val="28610884"/>
    <w:rsid w:val="286345FC"/>
    <w:rsid w:val="286D547B"/>
    <w:rsid w:val="286D7229"/>
    <w:rsid w:val="28724840"/>
    <w:rsid w:val="287560DE"/>
    <w:rsid w:val="287700A8"/>
    <w:rsid w:val="287A1946"/>
    <w:rsid w:val="287F6F5C"/>
    <w:rsid w:val="28884063"/>
    <w:rsid w:val="288F719F"/>
    <w:rsid w:val="28902F18"/>
    <w:rsid w:val="28940C5A"/>
    <w:rsid w:val="28A6273B"/>
    <w:rsid w:val="28AD3ACA"/>
    <w:rsid w:val="28AF339E"/>
    <w:rsid w:val="28B52B84"/>
    <w:rsid w:val="28B704A4"/>
    <w:rsid w:val="28C037FD"/>
    <w:rsid w:val="28C52BC1"/>
    <w:rsid w:val="28CC03F4"/>
    <w:rsid w:val="28CD1A76"/>
    <w:rsid w:val="28CD7CC8"/>
    <w:rsid w:val="28CF1C92"/>
    <w:rsid w:val="28DB0637"/>
    <w:rsid w:val="28E03E9F"/>
    <w:rsid w:val="28E53263"/>
    <w:rsid w:val="28F2772E"/>
    <w:rsid w:val="28FE60D3"/>
    <w:rsid w:val="2903193C"/>
    <w:rsid w:val="290336EA"/>
    <w:rsid w:val="29037B8D"/>
    <w:rsid w:val="29057462"/>
    <w:rsid w:val="29080D00"/>
    <w:rsid w:val="290D6316"/>
    <w:rsid w:val="291678C1"/>
    <w:rsid w:val="291B0A33"/>
    <w:rsid w:val="291E22D1"/>
    <w:rsid w:val="29233D8C"/>
    <w:rsid w:val="292875F4"/>
    <w:rsid w:val="293164A9"/>
    <w:rsid w:val="293354B1"/>
    <w:rsid w:val="293D4E4D"/>
    <w:rsid w:val="293E0BC6"/>
    <w:rsid w:val="294D2BB7"/>
    <w:rsid w:val="295647E3"/>
    <w:rsid w:val="29583A35"/>
    <w:rsid w:val="295949AF"/>
    <w:rsid w:val="29634188"/>
    <w:rsid w:val="296E14AB"/>
    <w:rsid w:val="29785E86"/>
    <w:rsid w:val="297B506E"/>
    <w:rsid w:val="297E0FC2"/>
    <w:rsid w:val="298760C9"/>
    <w:rsid w:val="29891E41"/>
    <w:rsid w:val="298E38FB"/>
    <w:rsid w:val="298E7457"/>
    <w:rsid w:val="298F1421"/>
    <w:rsid w:val="298F4F7D"/>
    <w:rsid w:val="29916F47"/>
    <w:rsid w:val="29977B6E"/>
    <w:rsid w:val="299E3412"/>
    <w:rsid w:val="29B02BED"/>
    <w:rsid w:val="29B35110"/>
    <w:rsid w:val="29C54E43"/>
    <w:rsid w:val="29C56BF1"/>
    <w:rsid w:val="29C63095"/>
    <w:rsid w:val="29C94933"/>
    <w:rsid w:val="29C94B05"/>
    <w:rsid w:val="29D46E34"/>
    <w:rsid w:val="29D55086"/>
    <w:rsid w:val="29DA6B40"/>
    <w:rsid w:val="29DB6414"/>
    <w:rsid w:val="29E4176D"/>
    <w:rsid w:val="29EA6657"/>
    <w:rsid w:val="29F01EC0"/>
    <w:rsid w:val="29F23E8A"/>
    <w:rsid w:val="29F51284"/>
    <w:rsid w:val="29FA689B"/>
    <w:rsid w:val="2A027E45"/>
    <w:rsid w:val="2A04596B"/>
    <w:rsid w:val="2A067935"/>
    <w:rsid w:val="2A0C4820"/>
    <w:rsid w:val="2A0E67EA"/>
    <w:rsid w:val="2A141C7C"/>
    <w:rsid w:val="2A263B34"/>
    <w:rsid w:val="2A2C6C70"/>
    <w:rsid w:val="2A2D4EC2"/>
    <w:rsid w:val="2A36189D"/>
    <w:rsid w:val="2A385615"/>
    <w:rsid w:val="2A505BBC"/>
    <w:rsid w:val="2A5306A1"/>
    <w:rsid w:val="2A554419"/>
    <w:rsid w:val="2A5A558B"/>
    <w:rsid w:val="2A614B6C"/>
    <w:rsid w:val="2A6308E4"/>
    <w:rsid w:val="2A6428AE"/>
    <w:rsid w:val="2A662182"/>
    <w:rsid w:val="2A6B1546"/>
    <w:rsid w:val="2A6D1762"/>
    <w:rsid w:val="2A7A5C2D"/>
    <w:rsid w:val="2A88659C"/>
    <w:rsid w:val="2A924D25"/>
    <w:rsid w:val="2A97058D"/>
    <w:rsid w:val="2A9A38C5"/>
    <w:rsid w:val="2A9E191C"/>
    <w:rsid w:val="2AA131BA"/>
    <w:rsid w:val="2AA36F32"/>
    <w:rsid w:val="2AA607D0"/>
    <w:rsid w:val="2AAF3B29"/>
    <w:rsid w:val="2ABA24CE"/>
    <w:rsid w:val="2ABA427C"/>
    <w:rsid w:val="2ABB299B"/>
    <w:rsid w:val="2ABF7AE4"/>
    <w:rsid w:val="2AC1385C"/>
    <w:rsid w:val="2ACF41CB"/>
    <w:rsid w:val="2ACF7D27"/>
    <w:rsid w:val="2AD52E64"/>
    <w:rsid w:val="2AD96DF8"/>
    <w:rsid w:val="2ADC41F2"/>
    <w:rsid w:val="2AEF3F25"/>
    <w:rsid w:val="2AF43C32"/>
    <w:rsid w:val="2AF754D0"/>
    <w:rsid w:val="2AF92FF6"/>
    <w:rsid w:val="2AFA28CA"/>
    <w:rsid w:val="2AFC6642"/>
    <w:rsid w:val="2B035C23"/>
    <w:rsid w:val="2B0674C1"/>
    <w:rsid w:val="2B0A0D5F"/>
    <w:rsid w:val="2B0C5B64"/>
    <w:rsid w:val="2B0F6376"/>
    <w:rsid w:val="2B116592"/>
    <w:rsid w:val="2B157704"/>
    <w:rsid w:val="2B1B2F6C"/>
    <w:rsid w:val="2B1F7D54"/>
    <w:rsid w:val="2B261911"/>
    <w:rsid w:val="2B285689"/>
    <w:rsid w:val="2B2924BB"/>
    <w:rsid w:val="2B2C517A"/>
    <w:rsid w:val="2B345DDC"/>
    <w:rsid w:val="2B3E30FF"/>
    <w:rsid w:val="2B404781"/>
    <w:rsid w:val="2B522706"/>
    <w:rsid w:val="2B5244B4"/>
    <w:rsid w:val="2B591CE7"/>
    <w:rsid w:val="2B6A5CA2"/>
    <w:rsid w:val="2B6A7A50"/>
    <w:rsid w:val="2B6C33FB"/>
    <w:rsid w:val="2B6D7540"/>
    <w:rsid w:val="2B6F5AD4"/>
    <w:rsid w:val="2B774B23"/>
    <w:rsid w:val="2B795EE5"/>
    <w:rsid w:val="2B7B7EAF"/>
    <w:rsid w:val="2B7D7783"/>
    <w:rsid w:val="2B7F799F"/>
    <w:rsid w:val="2B97636B"/>
    <w:rsid w:val="2B9D6077"/>
    <w:rsid w:val="2BAD5B8F"/>
    <w:rsid w:val="2BB62C95"/>
    <w:rsid w:val="2BB66F76"/>
    <w:rsid w:val="2BB86A0D"/>
    <w:rsid w:val="2BCA6741"/>
    <w:rsid w:val="2BCE6231"/>
    <w:rsid w:val="2BE21CDC"/>
    <w:rsid w:val="2BE5357A"/>
    <w:rsid w:val="2BE772F2"/>
    <w:rsid w:val="2BE94E19"/>
    <w:rsid w:val="2BFB4B4C"/>
    <w:rsid w:val="2BFC24BF"/>
    <w:rsid w:val="2BFD2672"/>
    <w:rsid w:val="2BFD6B16"/>
    <w:rsid w:val="2BFF463C"/>
    <w:rsid w:val="2C1005F7"/>
    <w:rsid w:val="2C183950"/>
    <w:rsid w:val="2C2045B2"/>
    <w:rsid w:val="2C212804"/>
    <w:rsid w:val="2C2B3683"/>
    <w:rsid w:val="2C2C2F57"/>
    <w:rsid w:val="2C412EA7"/>
    <w:rsid w:val="2C46226B"/>
    <w:rsid w:val="2C491D5B"/>
    <w:rsid w:val="2C4B162F"/>
    <w:rsid w:val="2C5030EA"/>
    <w:rsid w:val="2C567FD4"/>
    <w:rsid w:val="2C576226"/>
    <w:rsid w:val="2C593EDC"/>
    <w:rsid w:val="2C5A7AC4"/>
    <w:rsid w:val="2C5D1363"/>
    <w:rsid w:val="2C5F50DB"/>
    <w:rsid w:val="2C732934"/>
    <w:rsid w:val="2C844B41"/>
    <w:rsid w:val="2C923702"/>
    <w:rsid w:val="2C954FA0"/>
    <w:rsid w:val="2C972AC7"/>
    <w:rsid w:val="2C9C17E1"/>
    <w:rsid w:val="2CA3146B"/>
    <w:rsid w:val="2CA35285"/>
    <w:rsid w:val="2CA43435"/>
    <w:rsid w:val="2CA46F92"/>
    <w:rsid w:val="2CAB0320"/>
    <w:rsid w:val="2CAD5E46"/>
    <w:rsid w:val="2CB35427"/>
    <w:rsid w:val="2CB73169"/>
    <w:rsid w:val="2CBE44F7"/>
    <w:rsid w:val="2CBE62A5"/>
    <w:rsid w:val="2CC31B0E"/>
    <w:rsid w:val="2CC338BC"/>
    <w:rsid w:val="2CC6515A"/>
    <w:rsid w:val="2CCB2BA8"/>
    <w:rsid w:val="2CCB451E"/>
    <w:rsid w:val="2CCD0296"/>
    <w:rsid w:val="2CD47877"/>
    <w:rsid w:val="2CDF621C"/>
    <w:rsid w:val="2CE37ABA"/>
    <w:rsid w:val="2CF27769"/>
    <w:rsid w:val="2CF41CC7"/>
    <w:rsid w:val="2CFE48F4"/>
    <w:rsid w:val="2D03015C"/>
    <w:rsid w:val="2D053ED4"/>
    <w:rsid w:val="2D0D0FDB"/>
    <w:rsid w:val="2D1B54A6"/>
    <w:rsid w:val="2D236108"/>
    <w:rsid w:val="2D2A56E9"/>
    <w:rsid w:val="2D306A77"/>
    <w:rsid w:val="2D346567"/>
    <w:rsid w:val="2D371BB4"/>
    <w:rsid w:val="2D410C84"/>
    <w:rsid w:val="2D4349FC"/>
    <w:rsid w:val="2D480265"/>
    <w:rsid w:val="2D4D13D7"/>
    <w:rsid w:val="2D4E62A1"/>
    <w:rsid w:val="2D4F514F"/>
    <w:rsid w:val="2D4F6EFD"/>
    <w:rsid w:val="2D6C5D01"/>
    <w:rsid w:val="2D7E77E3"/>
    <w:rsid w:val="2D802F37"/>
    <w:rsid w:val="2D83304B"/>
    <w:rsid w:val="2D880661"/>
    <w:rsid w:val="2D8E2BB9"/>
    <w:rsid w:val="2D960468"/>
    <w:rsid w:val="2D9C7954"/>
    <w:rsid w:val="2D9E1C33"/>
    <w:rsid w:val="2DA51213"/>
    <w:rsid w:val="2DB80F46"/>
    <w:rsid w:val="2DBB4593"/>
    <w:rsid w:val="2DBE4083"/>
    <w:rsid w:val="2DC45B3D"/>
    <w:rsid w:val="2DD35D80"/>
    <w:rsid w:val="2DD41AF8"/>
    <w:rsid w:val="2DE03FF9"/>
    <w:rsid w:val="2DE25FC3"/>
    <w:rsid w:val="2DE51610"/>
    <w:rsid w:val="2DE81100"/>
    <w:rsid w:val="2DEF06E0"/>
    <w:rsid w:val="2DF6381D"/>
    <w:rsid w:val="2DF67CC1"/>
    <w:rsid w:val="2DFA155F"/>
    <w:rsid w:val="2E0423DE"/>
    <w:rsid w:val="2E0C4DEE"/>
    <w:rsid w:val="2E146B25"/>
    <w:rsid w:val="2E1E4B22"/>
    <w:rsid w:val="2E206AEC"/>
    <w:rsid w:val="2E277E7A"/>
    <w:rsid w:val="2E2A34C6"/>
    <w:rsid w:val="2E2B796A"/>
    <w:rsid w:val="2E3507E9"/>
    <w:rsid w:val="2E374561"/>
    <w:rsid w:val="2E3C1B78"/>
    <w:rsid w:val="2E3F51C4"/>
    <w:rsid w:val="2E456552"/>
    <w:rsid w:val="2E4B3B69"/>
    <w:rsid w:val="2E56075F"/>
    <w:rsid w:val="2E586286"/>
    <w:rsid w:val="2E5B7B24"/>
    <w:rsid w:val="2E642E7C"/>
    <w:rsid w:val="2E6609A2"/>
    <w:rsid w:val="2E6764C9"/>
    <w:rsid w:val="2E777EF3"/>
    <w:rsid w:val="2E813A2E"/>
    <w:rsid w:val="2E840E29"/>
    <w:rsid w:val="2E853986"/>
    <w:rsid w:val="2E876B6B"/>
    <w:rsid w:val="2E89643F"/>
    <w:rsid w:val="2E905A1F"/>
    <w:rsid w:val="2EA339A5"/>
    <w:rsid w:val="2EA9088F"/>
    <w:rsid w:val="2EAC037F"/>
    <w:rsid w:val="2EAE40F8"/>
    <w:rsid w:val="2EB711FE"/>
    <w:rsid w:val="2EBA6F40"/>
    <w:rsid w:val="2EBC05C2"/>
    <w:rsid w:val="2EC90F31"/>
    <w:rsid w:val="2ECA1ABB"/>
    <w:rsid w:val="2ED00512"/>
    <w:rsid w:val="2ED27DE6"/>
    <w:rsid w:val="2ED51684"/>
    <w:rsid w:val="2ED973C6"/>
    <w:rsid w:val="2EE63891"/>
    <w:rsid w:val="2EEA15D4"/>
    <w:rsid w:val="2EED2E72"/>
    <w:rsid w:val="2EED4C20"/>
    <w:rsid w:val="2EF57F78"/>
    <w:rsid w:val="2F032695"/>
    <w:rsid w:val="2F041F69"/>
    <w:rsid w:val="2F065CE2"/>
    <w:rsid w:val="2F1070AD"/>
    <w:rsid w:val="2F124686"/>
    <w:rsid w:val="2F1523C9"/>
    <w:rsid w:val="2F1C3757"/>
    <w:rsid w:val="2F204FF5"/>
    <w:rsid w:val="2F2148C9"/>
    <w:rsid w:val="2F230642"/>
    <w:rsid w:val="2F281646"/>
    <w:rsid w:val="2F2820FC"/>
    <w:rsid w:val="2F302D5E"/>
    <w:rsid w:val="2F397E65"/>
    <w:rsid w:val="2F3C1703"/>
    <w:rsid w:val="2F3F11F4"/>
    <w:rsid w:val="2F4A2072"/>
    <w:rsid w:val="2F642A08"/>
    <w:rsid w:val="2F662C24"/>
    <w:rsid w:val="2F6824F8"/>
    <w:rsid w:val="2F6C023B"/>
    <w:rsid w:val="2F6D5D61"/>
    <w:rsid w:val="2F7075FF"/>
    <w:rsid w:val="2F713AA3"/>
    <w:rsid w:val="2F776BDF"/>
    <w:rsid w:val="2F792957"/>
    <w:rsid w:val="2F794705"/>
    <w:rsid w:val="2F7E3ACA"/>
    <w:rsid w:val="2F837332"/>
    <w:rsid w:val="2F875DDB"/>
    <w:rsid w:val="2F882B9B"/>
    <w:rsid w:val="2F884615"/>
    <w:rsid w:val="2F9B0B20"/>
    <w:rsid w:val="2F9C03F4"/>
    <w:rsid w:val="2FA15A0A"/>
    <w:rsid w:val="2FA379D4"/>
    <w:rsid w:val="2FAA48BF"/>
    <w:rsid w:val="2FAD43AF"/>
    <w:rsid w:val="2FB614B6"/>
    <w:rsid w:val="2FBA6381"/>
    <w:rsid w:val="2FC11C09"/>
    <w:rsid w:val="2FC17E5A"/>
    <w:rsid w:val="2FD1009E"/>
    <w:rsid w:val="2FD7142C"/>
    <w:rsid w:val="2FDB0F1C"/>
    <w:rsid w:val="2FE06533"/>
    <w:rsid w:val="2FE322A7"/>
    <w:rsid w:val="2FE37DD1"/>
    <w:rsid w:val="2FE73D65"/>
    <w:rsid w:val="2FE778C1"/>
    <w:rsid w:val="2FE83639"/>
    <w:rsid w:val="2FE9188B"/>
    <w:rsid w:val="2FEC3129"/>
    <w:rsid w:val="2FED0C50"/>
    <w:rsid w:val="2FED29FE"/>
    <w:rsid w:val="2FEE50F3"/>
    <w:rsid w:val="2FF87D20"/>
    <w:rsid w:val="2FFA689C"/>
    <w:rsid w:val="300541EB"/>
    <w:rsid w:val="30110DE2"/>
    <w:rsid w:val="301F52AD"/>
    <w:rsid w:val="302208F9"/>
    <w:rsid w:val="30234671"/>
    <w:rsid w:val="3025488D"/>
    <w:rsid w:val="302F3016"/>
    <w:rsid w:val="303845C1"/>
    <w:rsid w:val="30474804"/>
    <w:rsid w:val="3049057C"/>
    <w:rsid w:val="3049232A"/>
    <w:rsid w:val="304940D8"/>
    <w:rsid w:val="304A60A2"/>
    <w:rsid w:val="30550CCF"/>
    <w:rsid w:val="30586A11"/>
    <w:rsid w:val="305D7B83"/>
    <w:rsid w:val="306233EC"/>
    <w:rsid w:val="306929CC"/>
    <w:rsid w:val="3069477A"/>
    <w:rsid w:val="30705B08"/>
    <w:rsid w:val="3091782D"/>
    <w:rsid w:val="309C4B4F"/>
    <w:rsid w:val="30A13F14"/>
    <w:rsid w:val="30A27C8C"/>
    <w:rsid w:val="30A92647"/>
    <w:rsid w:val="30AC28B9"/>
    <w:rsid w:val="30AC4667"/>
    <w:rsid w:val="30AE4883"/>
    <w:rsid w:val="30BA4FD6"/>
    <w:rsid w:val="30EC0F07"/>
    <w:rsid w:val="30F027A5"/>
    <w:rsid w:val="310D3357"/>
    <w:rsid w:val="311961A0"/>
    <w:rsid w:val="311A5A74"/>
    <w:rsid w:val="311E37B6"/>
    <w:rsid w:val="31224929"/>
    <w:rsid w:val="31232B7B"/>
    <w:rsid w:val="31293F09"/>
    <w:rsid w:val="313034EA"/>
    <w:rsid w:val="31307046"/>
    <w:rsid w:val="31342FDA"/>
    <w:rsid w:val="31374878"/>
    <w:rsid w:val="313A7EC4"/>
    <w:rsid w:val="31412E1B"/>
    <w:rsid w:val="31434FCB"/>
    <w:rsid w:val="315471D8"/>
    <w:rsid w:val="315947EF"/>
    <w:rsid w:val="316136A3"/>
    <w:rsid w:val="31644F41"/>
    <w:rsid w:val="316513E5"/>
    <w:rsid w:val="316F5DC0"/>
    <w:rsid w:val="317653A0"/>
    <w:rsid w:val="317B29B7"/>
    <w:rsid w:val="317E24A7"/>
    <w:rsid w:val="318555E4"/>
    <w:rsid w:val="31872896"/>
    <w:rsid w:val="31886E82"/>
    <w:rsid w:val="318C4BC4"/>
    <w:rsid w:val="3192160B"/>
    <w:rsid w:val="31945827"/>
    <w:rsid w:val="319475D5"/>
    <w:rsid w:val="31AC0DC2"/>
    <w:rsid w:val="31BE0AF5"/>
    <w:rsid w:val="31CB6D6E"/>
    <w:rsid w:val="31D200FD"/>
    <w:rsid w:val="31E56082"/>
    <w:rsid w:val="31E71DFA"/>
    <w:rsid w:val="31E85B72"/>
    <w:rsid w:val="31EE13DB"/>
    <w:rsid w:val="32004C6A"/>
    <w:rsid w:val="3203475A"/>
    <w:rsid w:val="320D7387"/>
    <w:rsid w:val="320F4EAD"/>
    <w:rsid w:val="3212499D"/>
    <w:rsid w:val="322E5C7B"/>
    <w:rsid w:val="322F72FD"/>
    <w:rsid w:val="323F1C36"/>
    <w:rsid w:val="324803BF"/>
    <w:rsid w:val="32584AA6"/>
    <w:rsid w:val="32586854"/>
    <w:rsid w:val="325B4596"/>
    <w:rsid w:val="325D030E"/>
    <w:rsid w:val="3264169D"/>
    <w:rsid w:val="327318E0"/>
    <w:rsid w:val="32755658"/>
    <w:rsid w:val="32870EE7"/>
    <w:rsid w:val="32877139"/>
    <w:rsid w:val="328C0BF4"/>
    <w:rsid w:val="3290431A"/>
    <w:rsid w:val="329B2BE5"/>
    <w:rsid w:val="32A25D21"/>
    <w:rsid w:val="32AB5C29"/>
    <w:rsid w:val="32AE46C6"/>
    <w:rsid w:val="32B141B6"/>
    <w:rsid w:val="32B20B24"/>
    <w:rsid w:val="32B37F2E"/>
    <w:rsid w:val="32B47020"/>
    <w:rsid w:val="32C1089D"/>
    <w:rsid w:val="32C51A10"/>
    <w:rsid w:val="32CE2FBA"/>
    <w:rsid w:val="32D16607"/>
    <w:rsid w:val="32D3412D"/>
    <w:rsid w:val="32DD4FAB"/>
    <w:rsid w:val="32DF0D23"/>
    <w:rsid w:val="32E274CD"/>
    <w:rsid w:val="32E77BD8"/>
    <w:rsid w:val="32F02F31"/>
    <w:rsid w:val="32F83B93"/>
    <w:rsid w:val="32FA3DAF"/>
    <w:rsid w:val="33014DEF"/>
    <w:rsid w:val="330734E0"/>
    <w:rsid w:val="331F17EA"/>
    <w:rsid w:val="333C6176"/>
    <w:rsid w:val="33466FF4"/>
    <w:rsid w:val="33482D6D"/>
    <w:rsid w:val="334F4E0C"/>
    <w:rsid w:val="33550FE6"/>
    <w:rsid w:val="335C4122"/>
    <w:rsid w:val="335F3C12"/>
    <w:rsid w:val="336E3E55"/>
    <w:rsid w:val="337A0A4C"/>
    <w:rsid w:val="337C266D"/>
    <w:rsid w:val="338418CB"/>
    <w:rsid w:val="33883169"/>
    <w:rsid w:val="338D077F"/>
    <w:rsid w:val="338E62A6"/>
    <w:rsid w:val="33923FE8"/>
    <w:rsid w:val="33925D96"/>
    <w:rsid w:val="339C09C3"/>
    <w:rsid w:val="33A61841"/>
    <w:rsid w:val="33AB50A9"/>
    <w:rsid w:val="33AD2BD0"/>
    <w:rsid w:val="33B201E6"/>
    <w:rsid w:val="33D12D62"/>
    <w:rsid w:val="33D463AE"/>
    <w:rsid w:val="33D62126"/>
    <w:rsid w:val="33DC34B5"/>
    <w:rsid w:val="33E52369"/>
    <w:rsid w:val="33F425AD"/>
    <w:rsid w:val="33F97BC3"/>
    <w:rsid w:val="34030A42"/>
    <w:rsid w:val="34050C5E"/>
    <w:rsid w:val="34086058"/>
    <w:rsid w:val="340D7B12"/>
    <w:rsid w:val="340F73E6"/>
    <w:rsid w:val="34117602"/>
    <w:rsid w:val="34164C19"/>
    <w:rsid w:val="34180991"/>
    <w:rsid w:val="34190265"/>
    <w:rsid w:val="34192013"/>
    <w:rsid w:val="341D5FA7"/>
    <w:rsid w:val="3422536C"/>
    <w:rsid w:val="342309F0"/>
    <w:rsid w:val="34272982"/>
    <w:rsid w:val="342866FA"/>
    <w:rsid w:val="342B1D46"/>
    <w:rsid w:val="343432F1"/>
    <w:rsid w:val="3437693D"/>
    <w:rsid w:val="343B467F"/>
    <w:rsid w:val="34474DD2"/>
    <w:rsid w:val="344C063B"/>
    <w:rsid w:val="34572B3B"/>
    <w:rsid w:val="345D63A4"/>
    <w:rsid w:val="345E5AEC"/>
    <w:rsid w:val="345F54D2"/>
    <w:rsid w:val="34605E94"/>
    <w:rsid w:val="34684D49"/>
    <w:rsid w:val="346911EC"/>
    <w:rsid w:val="346A0AC1"/>
    <w:rsid w:val="346C2A8B"/>
    <w:rsid w:val="346D235F"/>
    <w:rsid w:val="34727975"/>
    <w:rsid w:val="3482405C"/>
    <w:rsid w:val="34936269"/>
    <w:rsid w:val="349B6ECC"/>
    <w:rsid w:val="349E076A"/>
    <w:rsid w:val="349F56CD"/>
    <w:rsid w:val="34A35D81"/>
    <w:rsid w:val="34AB35B3"/>
    <w:rsid w:val="34B33D14"/>
    <w:rsid w:val="34B8182C"/>
    <w:rsid w:val="34B85CD0"/>
    <w:rsid w:val="34BD5094"/>
    <w:rsid w:val="34C04B85"/>
    <w:rsid w:val="34C91C8B"/>
    <w:rsid w:val="34C957E7"/>
    <w:rsid w:val="34DB376C"/>
    <w:rsid w:val="34E70363"/>
    <w:rsid w:val="34E97C37"/>
    <w:rsid w:val="34EF0FC6"/>
    <w:rsid w:val="34F0546A"/>
    <w:rsid w:val="34FD7B87"/>
    <w:rsid w:val="350607E9"/>
    <w:rsid w:val="350F6C5E"/>
    <w:rsid w:val="3519786C"/>
    <w:rsid w:val="35213875"/>
    <w:rsid w:val="35215623"/>
    <w:rsid w:val="3521576F"/>
    <w:rsid w:val="352C5D76"/>
    <w:rsid w:val="35374E47"/>
    <w:rsid w:val="353D61D5"/>
    <w:rsid w:val="35411821"/>
    <w:rsid w:val="35494B7A"/>
    <w:rsid w:val="354B08F2"/>
    <w:rsid w:val="354D6418"/>
    <w:rsid w:val="35521C81"/>
    <w:rsid w:val="355377A7"/>
    <w:rsid w:val="35610116"/>
    <w:rsid w:val="357339A5"/>
    <w:rsid w:val="3579545F"/>
    <w:rsid w:val="357D65D2"/>
    <w:rsid w:val="35847960"/>
    <w:rsid w:val="358B6F41"/>
    <w:rsid w:val="35A63D7A"/>
    <w:rsid w:val="35A864EE"/>
    <w:rsid w:val="35A973C7"/>
    <w:rsid w:val="35BE7316"/>
    <w:rsid w:val="35C12B12"/>
    <w:rsid w:val="35C81F43"/>
    <w:rsid w:val="35CF1523"/>
    <w:rsid w:val="35D501BC"/>
    <w:rsid w:val="35D73F34"/>
    <w:rsid w:val="35DE1766"/>
    <w:rsid w:val="35E93C67"/>
    <w:rsid w:val="35EA010B"/>
    <w:rsid w:val="35EA1FC5"/>
    <w:rsid w:val="35EB3E83"/>
    <w:rsid w:val="35FC399A"/>
    <w:rsid w:val="35FC7E3E"/>
    <w:rsid w:val="36017203"/>
    <w:rsid w:val="36034D29"/>
    <w:rsid w:val="36064819"/>
    <w:rsid w:val="36080591"/>
    <w:rsid w:val="360A3C9A"/>
    <w:rsid w:val="360D1B6A"/>
    <w:rsid w:val="36142D48"/>
    <w:rsid w:val="36160F00"/>
    <w:rsid w:val="362058DB"/>
    <w:rsid w:val="36213401"/>
    <w:rsid w:val="36237179"/>
    <w:rsid w:val="36317AE8"/>
    <w:rsid w:val="36321AB2"/>
    <w:rsid w:val="36323860"/>
    <w:rsid w:val="36341386"/>
    <w:rsid w:val="363475D8"/>
    <w:rsid w:val="36392E40"/>
    <w:rsid w:val="363C023B"/>
    <w:rsid w:val="363E2205"/>
    <w:rsid w:val="3643781B"/>
    <w:rsid w:val="364D069A"/>
    <w:rsid w:val="364D2448"/>
    <w:rsid w:val="365E4655"/>
    <w:rsid w:val="36664FD3"/>
    <w:rsid w:val="367F4CF7"/>
    <w:rsid w:val="368045CB"/>
    <w:rsid w:val="36826596"/>
    <w:rsid w:val="36886EDD"/>
    <w:rsid w:val="36A4475E"/>
    <w:rsid w:val="36A91D74"/>
    <w:rsid w:val="36B2214A"/>
    <w:rsid w:val="36B44275"/>
    <w:rsid w:val="36C24BE4"/>
    <w:rsid w:val="36CC15BF"/>
    <w:rsid w:val="36D861B6"/>
    <w:rsid w:val="36DD557A"/>
    <w:rsid w:val="36E36908"/>
    <w:rsid w:val="36E42DAC"/>
    <w:rsid w:val="36E96615"/>
    <w:rsid w:val="36EA7C97"/>
    <w:rsid w:val="36F54FB9"/>
    <w:rsid w:val="36F86858"/>
    <w:rsid w:val="37052D23"/>
    <w:rsid w:val="37060F75"/>
    <w:rsid w:val="3715740A"/>
    <w:rsid w:val="37270EEB"/>
    <w:rsid w:val="37353608"/>
    <w:rsid w:val="373A6F1F"/>
    <w:rsid w:val="373F6235"/>
    <w:rsid w:val="373F7FE3"/>
    <w:rsid w:val="37427AD3"/>
    <w:rsid w:val="37436ACA"/>
    <w:rsid w:val="374B6987"/>
    <w:rsid w:val="375021F0"/>
    <w:rsid w:val="37515F68"/>
    <w:rsid w:val="3757357E"/>
    <w:rsid w:val="375D2B5F"/>
    <w:rsid w:val="375D490D"/>
    <w:rsid w:val="376C4B50"/>
    <w:rsid w:val="37704640"/>
    <w:rsid w:val="3772660A"/>
    <w:rsid w:val="37757EA8"/>
    <w:rsid w:val="377C4D93"/>
    <w:rsid w:val="3781684D"/>
    <w:rsid w:val="3784633D"/>
    <w:rsid w:val="37955E55"/>
    <w:rsid w:val="379A790F"/>
    <w:rsid w:val="37A97B52"/>
    <w:rsid w:val="37AB5678"/>
    <w:rsid w:val="37AE5168"/>
    <w:rsid w:val="37B3277F"/>
    <w:rsid w:val="37B502A5"/>
    <w:rsid w:val="37BA3B0D"/>
    <w:rsid w:val="37BC5AD7"/>
    <w:rsid w:val="37CE1367"/>
    <w:rsid w:val="37CF580A"/>
    <w:rsid w:val="37D01583"/>
    <w:rsid w:val="37D50947"/>
    <w:rsid w:val="37E40B8A"/>
    <w:rsid w:val="37E42938"/>
    <w:rsid w:val="37E62B54"/>
    <w:rsid w:val="37E64902"/>
    <w:rsid w:val="37E82428"/>
    <w:rsid w:val="37EA2644"/>
    <w:rsid w:val="37EA43F2"/>
    <w:rsid w:val="37EB1F18"/>
    <w:rsid w:val="37F4701F"/>
    <w:rsid w:val="37F7266B"/>
    <w:rsid w:val="37F76B0F"/>
    <w:rsid w:val="37FE1C4C"/>
    <w:rsid w:val="38033706"/>
    <w:rsid w:val="380B25BB"/>
    <w:rsid w:val="3810372D"/>
    <w:rsid w:val="38123949"/>
    <w:rsid w:val="381274A5"/>
    <w:rsid w:val="38190834"/>
    <w:rsid w:val="381A45AC"/>
    <w:rsid w:val="38233460"/>
    <w:rsid w:val="382471D8"/>
    <w:rsid w:val="3837515E"/>
    <w:rsid w:val="38481119"/>
    <w:rsid w:val="384F24A7"/>
    <w:rsid w:val="38507FCD"/>
    <w:rsid w:val="3851621F"/>
    <w:rsid w:val="385B0E4C"/>
    <w:rsid w:val="385B52F0"/>
    <w:rsid w:val="38602906"/>
    <w:rsid w:val="38683569"/>
    <w:rsid w:val="386C12AB"/>
    <w:rsid w:val="38726196"/>
    <w:rsid w:val="38740160"/>
    <w:rsid w:val="387737AC"/>
    <w:rsid w:val="387939C8"/>
    <w:rsid w:val="387B329C"/>
    <w:rsid w:val="387B504A"/>
    <w:rsid w:val="387E2D8D"/>
    <w:rsid w:val="388163D9"/>
    <w:rsid w:val="38871C41"/>
    <w:rsid w:val="388760E5"/>
    <w:rsid w:val="388C54AA"/>
    <w:rsid w:val="389737F8"/>
    <w:rsid w:val="389D0C7A"/>
    <w:rsid w:val="38A74091"/>
    <w:rsid w:val="38B247E4"/>
    <w:rsid w:val="38B30C88"/>
    <w:rsid w:val="38B36EDA"/>
    <w:rsid w:val="38B60778"/>
    <w:rsid w:val="38C05153"/>
    <w:rsid w:val="38EC419A"/>
    <w:rsid w:val="38F17A02"/>
    <w:rsid w:val="38FB391E"/>
    <w:rsid w:val="38FB618B"/>
    <w:rsid w:val="38FD0155"/>
    <w:rsid w:val="38FF3ECD"/>
    <w:rsid w:val="390037A2"/>
    <w:rsid w:val="39074B30"/>
    <w:rsid w:val="390A2872"/>
    <w:rsid w:val="390B7A49"/>
    <w:rsid w:val="390C77BE"/>
    <w:rsid w:val="390F1C37"/>
    <w:rsid w:val="390F7E89"/>
    <w:rsid w:val="39111E53"/>
    <w:rsid w:val="39113C01"/>
    <w:rsid w:val="39194863"/>
    <w:rsid w:val="391D4354"/>
    <w:rsid w:val="39205BF2"/>
    <w:rsid w:val="39237490"/>
    <w:rsid w:val="39311BAD"/>
    <w:rsid w:val="39333B77"/>
    <w:rsid w:val="39355B41"/>
    <w:rsid w:val="393F251C"/>
    <w:rsid w:val="39447B32"/>
    <w:rsid w:val="394C69E7"/>
    <w:rsid w:val="394E09B1"/>
    <w:rsid w:val="396401D4"/>
    <w:rsid w:val="39657AA9"/>
    <w:rsid w:val="39691347"/>
    <w:rsid w:val="397228F1"/>
    <w:rsid w:val="39754190"/>
    <w:rsid w:val="397D3044"/>
    <w:rsid w:val="398443D3"/>
    <w:rsid w:val="399B34CA"/>
    <w:rsid w:val="39B12CEE"/>
    <w:rsid w:val="39B76556"/>
    <w:rsid w:val="39BC0814"/>
    <w:rsid w:val="39C3314D"/>
    <w:rsid w:val="39C96289"/>
    <w:rsid w:val="39CE38A0"/>
    <w:rsid w:val="39DF5AAD"/>
    <w:rsid w:val="39E210F9"/>
    <w:rsid w:val="39E44E71"/>
    <w:rsid w:val="39E921A3"/>
    <w:rsid w:val="39F257E0"/>
    <w:rsid w:val="39F72DF7"/>
    <w:rsid w:val="39FA4695"/>
    <w:rsid w:val="39FC665F"/>
    <w:rsid w:val="39FF1CAB"/>
    <w:rsid w:val="3A053765"/>
    <w:rsid w:val="3A0B4AF4"/>
    <w:rsid w:val="3A0E1EEE"/>
    <w:rsid w:val="3A2636DC"/>
    <w:rsid w:val="3A2E433E"/>
    <w:rsid w:val="3A3951BD"/>
    <w:rsid w:val="3A4B4EF0"/>
    <w:rsid w:val="3A516B1E"/>
    <w:rsid w:val="3A59760D"/>
    <w:rsid w:val="3A5E69D2"/>
    <w:rsid w:val="3A60099C"/>
    <w:rsid w:val="3A655FB2"/>
    <w:rsid w:val="3A663AD8"/>
    <w:rsid w:val="3A751F6D"/>
    <w:rsid w:val="3A7B3A28"/>
    <w:rsid w:val="3A8A77C7"/>
    <w:rsid w:val="3A8F1281"/>
    <w:rsid w:val="3A9B5E78"/>
    <w:rsid w:val="3AA06FEA"/>
    <w:rsid w:val="3AA75652"/>
    <w:rsid w:val="3AAD1707"/>
    <w:rsid w:val="3AB26D1E"/>
    <w:rsid w:val="3AB74334"/>
    <w:rsid w:val="3AC058DE"/>
    <w:rsid w:val="3AC23405"/>
    <w:rsid w:val="3AD35612"/>
    <w:rsid w:val="3AD44EE6"/>
    <w:rsid w:val="3AEA295B"/>
    <w:rsid w:val="3AF37A62"/>
    <w:rsid w:val="3AF45588"/>
    <w:rsid w:val="3AFB6916"/>
    <w:rsid w:val="3B007A89"/>
    <w:rsid w:val="3B0357CB"/>
    <w:rsid w:val="3B037579"/>
    <w:rsid w:val="3B057795"/>
    <w:rsid w:val="3B0774FE"/>
    <w:rsid w:val="3B0C0B24"/>
    <w:rsid w:val="3B0D3370"/>
    <w:rsid w:val="3B141786"/>
    <w:rsid w:val="3B143534"/>
    <w:rsid w:val="3B1E43B3"/>
    <w:rsid w:val="3B1F0857"/>
    <w:rsid w:val="3B20012B"/>
    <w:rsid w:val="3B20637D"/>
    <w:rsid w:val="3B2133FA"/>
    <w:rsid w:val="3B2C2F74"/>
    <w:rsid w:val="3B3140E6"/>
    <w:rsid w:val="3B337E5E"/>
    <w:rsid w:val="3B343BD6"/>
    <w:rsid w:val="3B3D6F2F"/>
    <w:rsid w:val="3B44206B"/>
    <w:rsid w:val="3B547DD5"/>
    <w:rsid w:val="3B556027"/>
    <w:rsid w:val="3B561D9F"/>
    <w:rsid w:val="3B583D69"/>
    <w:rsid w:val="3B7D732B"/>
    <w:rsid w:val="3B8763FC"/>
    <w:rsid w:val="3B893F22"/>
    <w:rsid w:val="3B903503"/>
    <w:rsid w:val="3B9A1C8B"/>
    <w:rsid w:val="3B9D79CE"/>
    <w:rsid w:val="3BA90120"/>
    <w:rsid w:val="3BAE09F6"/>
    <w:rsid w:val="3BB865B6"/>
    <w:rsid w:val="3BBD3BCC"/>
    <w:rsid w:val="3BC35686"/>
    <w:rsid w:val="3BD827B4"/>
    <w:rsid w:val="3BDA652C"/>
    <w:rsid w:val="3BDF3B42"/>
    <w:rsid w:val="3BDF7FE6"/>
    <w:rsid w:val="3BE07E5D"/>
    <w:rsid w:val="3BE15B0C"/>
    <w:rsid w:val="3BE253E0"/>
    <w:rsid w:val="3BE92C13"/>
    <w:rsid w:val="3BF55114"/>
    <w:rsid w:val="3BF5780A"/>
    <w:rsid w:val="3C027831"/>
    <w:rsid w:val="3C033CD5"/>
    <w:rsid w:val="3C047A4D"/>
    <w:rsid w:val="3C11775F"/>
    <w:rsid w:val="3C12216A"/>
    <w:rsid w:val="3C241E9D"/>
    <w:rsid w:val="3C261771"/>
    <w:rsid w:val="3C291261"/>
    <w:rsid w:val="3C3245BA"/>
    <w:rsid w:val="3C447E49"/>
    <w:rsid w:val="3C460065"/>
    <w:rsid w:val="3C4816E7"/>
    <w:rsid w:val="3C4A1903"/>
    <w:rsid w:val="3C4F7318"/>
    <w:rsid w:val="3C5502A8"/>
    <w:rsid w:val="3C5C33E5"/>
    <w:rsid w:val="3C5E0F0B"/>
    <w:rsid w:val="3C5F4C83"/>
    <w:rsid w:val="3C65673D"/>
    <w:rsid w:val="3C6D55F2"/>
    <w:rsid w:val="3C746980"/>
    <w:rsid w:val="3C7C3A87"/>
    <w:rsid w:val="3C81109D"/>
    <w:rsid w:val="3C850B8E"/>
    <w:rsid w:val="3C885F88"/>
    <w:rsid w:val="3C8A1D00"/>
    <w:rsid w:val="3C8B7826"/>
    <w:rsid w:val="3C920BB5"/>
    <w:rsid w:val="3C990195"/>
    <w:rsid w:val="3C991F43"/>
    <w:rsid w:val="3C9B3F0D"/>
    <w:rsid w:val="3CA54D8C"/>
    <w:rsid w:val="3CA628B2"/>
    <w:rsid w:val="3CAD1E92"/>
    <w:rsid w:val="3CB43221"/>
    <w:rsid w:val="3CB52AF5"/>
    <w:rsid w:val="3CB7061B"/>
    <w:rsid w:val="3CBC20D5"/>
    <w:rsid w:val="3CC316B6"/>
    <w:rsid w:val="3CC35212"/>
    <w:rsid w:val="3CC72F54"/>
    <w:rsid w:val="3CC80A7A"/>
    <w:rsid w:val="3CCA3C9D"/>
    <w:rsid w:val="3CCB40C7"/>
    <w:rsid w:val="3CD411CD"/>
    <w:rsid w:val="3CD70CBD"/>
    <w:rsid w:val="3CD72A6B"/>
    <w:rsid w:val="3CE05DC4"/>
    <w:rsid w:val="3CF11D7F"/>
    <w:rsid w:val="3CF74EBC"/>
    <w:rsid w:val="3CF90C34"/>
    <w:rsid w:val="3CFB2BFE"/>
    <w:rsid w:val="3D073351"/>
    <w:rsid w:val="3D0E0B83"/>
    <w:rsid w:val="3D0F48FB"/>
    <w:rsid w:val="3D1837B0"/>
    <w:rsid w:val="3D22018A"/>
    <w:rsid w:val="3D22462E"/>
    <w:rsid w:val="3D233F03"/>
    <w:rsid w:val="3D2959BD"/>
    <w:rsid w:val="3D2A34E3"/>
    <w:rsid w:val="3D344362"/>
    <w:rsid w:val="3D367828"/>
    <w:rsid w:val="3D3B124C"/>
    <w:rsid w:val="3D3B2FFA"/>
    <w:rsid w:val="3D3E2AEA"/>
    <w:rsid w:val="3D4070E8"/>
    <w:rsid w:val="3D483969"/>
    <w:rsid w:val="3D4C16AB"/>
    <w:rsid w:val="3D510A70"/>
    <w:rsid w:val="3D516CC2"/>
    <w:rsid w:val="3D5347E8"/>
    <w:rsid w:val="3D5A3DC8"/>
    <w:rsid w:val="3D606F05"/>
    <w:rsid w:val="3D667A0D"/>
    <w:rsid w:val="3D6E1622"/>
    <w:rsid w:val="3D74475E"/>
    <w:rsid w:val="3D791D75"/>
    <w:rsid w:val="3D7B789B"/>
    <w:rsid w:val="3D801355"/>
    <w:rsid w:val="3D8449A1"/>
    <w:rsid w:val="3D8726E3"/>
    <w:rsid w:val="3D934BE4"/>
    <w:rsid w:val="3D954E00"/>
    <w:rsid w:val="3D98669F"/>
    <w:rsid w:val="3D9F17DB"/>
    <w:rsid w:val="3DA60DBB"/>
    <w:rsid w:val="3DA908AC"/>
    <w:rsid w:val="3DB01C3A"/>
    <w:rsid w:val="3DB17760"/>
    <w:rsid w:val="3DCB524C"/>
    <w:rsid w:val="3DDC5A94"/>
    <w:rsid w:val="3DDD7476"/>
    <w:rsid w:val="3DDF7E2A"/>
    <w:rsid w:val="3DE03BA2"/>
    <w:rsid w:val="3DE96EFA"/>
    <w:rsid w:val="3DF338D5"/>
    <w:rsid w:val="3DF80EEB"/>
    <w:rsid w:val="3DFE0BF8"/>
    <w:rsid w:val="3E0B6E71"/>
    <w:rsid w:val="3E1D4DF6"/>
    <w:rsid w:val="3E1D6BA4"/>
    <w:rsid w:val="3E1F46CA"/>
    <w:rsid w:val="3E2A5C68"/>
    <w:rsid w:val="3E304B29"/>
    <w:rsid w:val="3E3068D7"/>
    <w:rsid w:val="3E310BD1"/>
    <w:rsid w:val="3E377C66"/>
    <w:rsid w:val="3E3D0FF4"/>
    <w:rsid w:val="3E5720B6"/>
    <w:rsid w:val="3E642A25"/>
    <w:rsid w:val="3E6B715C"/>
    <w:rsid w:val="3E6D3687"/>
    <w:rsid w:val="3E7569E0"/>
    <w:rsid w:val="3E774506"/>
    <w:rsid w:val="3E7779C5"/>
    <w:rsid w:val="3E7E3AE6"/>
    <w:rsid w:val="3E834C59"/>
    <w:rsid w:val="3E8804C1"/>
    <w:rsid w:val="3EA80B63"/>
    <w:rsid w:val="3EAD7F28"/>
    <w:rsid w:val="3EB23790"/>
    <w:rsid w:val="3EBB0897"/>
    <w:rsid w:val="3EBC63BD"/>
    <w:rsid w:val="3EBD6E70"/>
    <w:rsid w:val="3EBE3EE3"/>
    <w:rsid w:val="3ECD05CA"/>
    <w:rsid w:val="3ED92ACB"/>
    <w:rsid w:val="3EDE27D7"/>
    <w:rsid w:val="3EE85404"/>
    <w:rsid w:val="3EE871B2"/>
    <w:rsid w:val="3EF94F1B"/>
    <w:rsid w:val="3EFB6EE5"/>
    <w:rsid w:val="3EFE4C27"/>
    <w:rsid w:val="3F012022"/>
    <w:rsid w:val="3F052628"/>
    <w:rsid w:val="3F0833B0"/>
    <w:rsid w:val="3F0A35CC"/>
    <w:rsid w:val="3F20694C"/>
    <w:rsid w:val="3F255D10"/>
    <w:rsid w:val="3F2A1578"/>
    <w:rsid w:val="3F2C52F0"/>
    <w:rsid w:val="3F400D9C"/>
    <w:rsid w:val="3F47212A"/>
    <w:rsid w:val="3F473ED8"/>
    <w:rsid w:val="3F4D34B9"/>
    <w:rsid w:val="3F620D12"/>
    <w:rsid w:val="3F6251B6"/>
    <w:rsid w:val="3F67457A"/>
    <w:rsid w:val="3F6842E5"/>
    <w:rsid w:val="3F6A7BC7"/>
    <w:rsid w:val="3F6F342F"/>
    <w:rsid w:val="3F710F55"/>
    <w:rsid w:val="3F746C97"/>
    <w:rsid w:val="3F760C61"/>
    <w:rsid w:val="3F791367"/>
    <w:rsid w:val="3F7B1DD4"/>
    <w:rsid w:val="3F84512C"/>
    <w:rsid w:val="3F8E1B07"/>
    <w:rsid w:val="3F8F3AD1"/>
    <w:rsid w:val="3F9115F7"/>
    <w:rsid w:val="3FA23805"/>
    <w:rsid w:val="3FA255B3"/>
    <w:rsid w:val="3FB11C9A"/>
    <w:rsid w:val="3FB84DD6"/>
    <w:rsid w:val="3FB86B84"/>
    <w:rsid w:val="3FBD063E"/>
    <w:rsid w:val="3FBD419A"/>
    <w:rsid w:val="3FC4377B"/>
    <w:rsid w:val="3FC62130"/>
    <w:rsid w:val="3FC90D91"/>
    <w:rsid w:val="3FC92B3F"/>
    <w:rsid w:val="3FCE45FA"/>
    <w:rsid w:val="3FD339BE"/>
    <w:rsid w:val="3FD37E62"/>
    <w:rsid w:val="3FD61700"/>
    <w:rsid w:val="3FDF05B5"/>
    <w:rsid w:val="3FE060DB"/>
    <w:rsid w:val="3FE21E53"/>
    <w:rsid w:val="3FEC2CD2"/>
    <w:rsid w:val="3FF468EF"/>
    <w:rsid w:val="3FFB2F15"/>
    <w:rsid w:val="40104C12"/>
    <w:rsid w:val="402E32EA"/>
    <w:rsid w:val="40381A73"/>
    <w:rsid w:val="403B3CF9"/>
    <w:rsid w:val="403F2E01"/>
    <w:rsid w:val="40460634"/>
    <w:rsid w:val="404B17A6"/>
    <w:rsid w:val="404E1296"/>
    <w:rsid w:val="4050500F"/>
    <w:rsid w:val="405A490B"/>
    <w:rsid w:val="4061546E"/>
    <w:rsid w:val="40646D0C"/>
    <w:rsid w:val="406D3E12"/>
    <w:rsid w:val="406E5EF3"/>
    <w:rsid w:val="407D1B7C"/>
    <w:rsid w:val="40806A7F"/>
    <w:rsid w:val="408C5D5A"/>
    <w:rsid w:val="408D0011"/>
    <w:rsid w:val="408E606F"/>
    <w:rsid w:val="40905D53"/>
    <w:rsid w:val="40953369"/>
    <w:rsid w:val="40A35A86"/>
    <w:rsid w:val="40AA0BC3"/>
    <w:rsid w:val="40AB2773"/>
    <w:rsid w:val="40BA4B7E"/>
    <w:rsid w:val="40D043A1"/>
    <w:rsid w:val="40D45C40"/>
    <w:rsid w:val="40DE261A"/>
    <w:rsid w:val="40E65973"/>
    <w:rsid w:val="40E83499"/>
    <w:rsid w:val="40EB4D37"/>
    <w:rsid w:val="40F0234E"/>
    <w:rsid w:val="40F167F2"/>
    <w:rsid w:val="40F41E3E"/>
    <w:rsid w:val="40F938F8"/>
    <w:rsid w:val="40F94DDB"/>
    <w:rsid w:val="40FC5196"/>
    <w:rsid w:val="410127AD"/>
    <w:rsid w:val="410249FD"/>
    <w:rsid w:val="41036525"/>
    <w:rsid w:val="410A340F"/>
    <w:rsid w:val="410F0A26"/>
    <w:rsid w:val="410F4ECA"/>
    <w:rsid w:val="41110C42"/>
    <w:rsid w:val="41120516"/>
    <w:rsid w:val="411E335F"/>
    <w:rsid w:val="412169AB"/>
    <w:rsid w:val="41230975"/>
    <w:rsid w:val="41263FC1"/>
    <w:rsid w:val="41285F8B"/>
    <w:rsid w:val="413606A8"/>
    <w:rsid w:val="413B7A6D"/>
    <w:rsid w:val="41452699"/>
    <w:rsid w:val="414601C0"/>
    <w:rsid w:val="41474664"/>
    <w:rsid w:val="414C3A28"/>
    <w:rsid w:val="414C7ECC"/>
    <w:rsid w:val="41540B2E"/>
    <w:rsid w:val="41654AEA"/>
    <w:rsid w:val="416C5E78"/>
    <w:rsid w:val="41790595"/>
    <w:rsid w:val="418036D2"/>
    <w:rsid w:val="418331C2"/>
    <w:rsid w:val="418D5DEE"/>
    <w:rsid w:val="41984EBF"/>
    <w:rsid w:val="41AE46E3"/>
    <w:rsid w:val="41AF045B"/>
    <w:rsid w:val="41AF3FB7"/>
    <w:rsid w:val="41B415CD"/>
    <w:rsid w:val="41B96BE3"/>
    <w:rsid w:val="41C07F72"/>
    <w:rsid w:val="41CC2DBB"/>
    <w:rsid w:val="41D103D1"/>
    <w:rsid w:val="41D56723"/>
    <w:rsid w:val="41D57EC1"/>
    <w:rsid w:val="41D67795"/>
    <w:rsid w:val="41D8350E"/>
    <w:rsid w:val="41DB1250"/>
    <w:rsid w:val="41DE664A"/>
    <w:rsid w:val="41E9396D"/>
    <w:rsid w:val="41F410CA"/>
    <w:rsid w:val="41FB71FC"/>
    <w:rsid w:val="420460B1"/>
    <w:rsid w:val="420A6C99"/>
    <w:rsid w:val="420A743F"/>
    <w:rsid w:val="420E5181"/>
    <w:rsid w:val="42277FF1"/>
    <w:rsid w:val="422F08A0"/>
    <w:rsid w:val="423050F8"/>
    <w:rsid w:val="423069EF"/>
    <w:rsid w:val="42334BE8"/>
    <w:rsid w:val="42350960"/>
    <w:rsid w:val="42383761"/>
    <w:rsid w:val="423A5F76"/>
    <w:rsid w:val="423A7D24"/>
    <w:rsid w:val="423B3A9C"/>
    <w:rsid w:val="423F533B"/>
    <w:rsid w:val="424010B3"/>
    <w:rsid w:val="42440BA3"/>
    <w:rsid w:val="424741EF"/>
    <w:rsid w:val="4252760F"/>
    <w:rsid w:val="42530DE6"/>
    <w:rsid w:val="425A2175"/>
    <w:rsid w:val="425A6618"/>
    <w:rsid w:val="425E3A32"/>
    <w:rsid w:val="42624F84"/>
    <w:rsid w:val="426254CD"/>
    <w:rsid w:val="42660B19"/>
    <w:rsid w:val="4267663F"/>
    <w:rsid w:val="42734FE4"/>
    <w:rsid w:val="427F1BDB"/>
    <w:rsid w:val="4290203A"/>
    <w:rsid w:val="42984A4B"/>
    <w:rsid w:val="429A4C67"/>
    <w:rsid w:val="429A6A15"/>
    <w:rsid w:val="429D02B3"/>
    <w:rsid w:val="42A11B51"/>
    <w:rsid w:val="42A258CA"/>
    <w:rsid w:val="42AD6748"/>
    <w:rsid w:val="42B9333F"/>
    <w:rsid w:val="42BA2C13"/>
    <w:rsid w:val="42C615B8"/>
    <w:rsid w:val="42C6780A"/>
    <w:rsid w:val="42D00689"/>
    <w:rsid w:val="42D53FC6"/>
    <w:rsid w:val="42E3216A"/>
    <w:rsid w:val="42E83C24"/>
    <w:rsid w:val="42EB54C2"/>
    <w:rsid w:val="42ED4D97"/>
    <w:rsid w:val="42F06635"/>
    <w:rsid w:val="42F26851"/>
    <w:rsid w:val="42F56341"/>
    <w:rsid w:val="42FD26E6"/>
    <w:rsid w:val="42FF4ACA"/>
    <w:rsid w:val="43016A94"/>
    <w:rsid w:val="430B16C1"/>
    <w:rsid w:val="430D368B"/>
    <w:rsid w:val="430D71E7"/>
    <w:rsid w:val="4315253F"/>
    <w:rsid w:val="43171E14"/>
    <w:rsid w:val="431E13F4"/>
    <w:rsid w:val="431E31A2"/>
    <w:rsid w:val="43234C5C"/>
    <w:rsid w:val="43252782"/>
    <w:rsid w:val="432804C5"/>
    <w:rsid w:val="432B3B11"/>
    <w:rsid w:val="433B01F8"/>
    <w:rsid w:val="434370AD"/>
    <w:rsid w:val="435412BA"/>
    <w:rsid w:val="43594E0B"/>
    <w:rsid w:val="435C016E"/>
    <w:rsid w:val="436037BB"/>
    <w:rsid w:val="43615785"/>
    <w:rsid w:val="43670FED"/>
    <w:rsid w:val="4368266F"/>
    <w:rsid w:val="436D237B"/>
    <w:rsid w:val="43703092"/>
    <w:rsid w:val="43851473"/>
    <w:rsid w:val="43917E18"/>
    <w:rsid w:val="43943464"/>
    <w:rsid w:val="439C4706"/>
    <w:rsid w:val="43A63197"/>
    <w:rsid w:val="43AC4C52"/>
    <w:rsid w:val="43B41D58"/>
    <w:rsid w:val="43BB3579"/>
    <w:rsid w:val="43C27FD1"/>
    <w:rsid w:val="43C401ED"/>
    <w:rsid w:val="43CB44FA"/>
    <w:rsid w:val="43E22422"/>
    <w:rsid w:val="43E47415"/>
    <w:rsid w:val="43F108B7"/>
    <w:rsid w:val="4404683C"/>
    <w:rsid w:val="44071E88"/>
    <w:rsid w:val="44106800"/>
    <w:rsid w:val="44114AB5"/>
    <w:rsid w:val="44136A7F"/>
    <w:rsid w:val="441B3B85"/>
    <w:rsid w:val="442073EE"/>
    <w:rsid w:val="44250560"/>
    <w:rsid w:val="442C7B41"/>
    <w:rsid w:val="443133A9"/>
    <w:rsid w:val="44352E99"/>
    <w:rsid w:val="445A75FD"/>
    <w:rsid w:val="445D7CFA"/>
    <w:rsid w:val="445F1CC4"/>
    <w:rsid w:val="446077EA"/>
    <w:rsid w:val="44654E01"/>
    <w:rsid w:val="4469669F"/>
    <w:rsid w:val="447F2366"/>
    <w:rsid w:val="44811263"/>
    <w:rsid w:val="448601AB"/>
    <w:rsid w:val="448B2AB9"/>
    <w:rsid w:val="448C05DF"/>
    <w:rsid w:val="448D7806"/>
    <w:rsid w:val="44953938"/>
    <w:rsid w:val="44983428"/>
    <w:rsid w:val="44A1408B"/>
    <w:rsid w:val="44C22253"/>
    <w:rsid w:val="44D73F50"/>
    <w:rsid w:val="44DA57EF"/>
    <w:rsid w:val="44DB5F9C"/>
    <w:rsid w:val="44DE708D"/>
    <w:rsid w:val="44E1092B"/>
    <w:rsid w:val="44E4041B"/>
    <w:rsid w:val="44E4666D"/>
    <w:rsid w:val="44F00B6E"/>
    <w:rsid w:val="44F3065E"/>
    <w:rsid w:val="44F7014F"/>
    <w:rsid w:val="44FE14DD"/>
    <w:rsid w:val="44FF0DB1"/>
    <w:rsid w:val="450B1E4C"/>
    <w:rsid w:val="45105EDB"/>
    <w:rsid w:val="45107462"/>
    <w:rsid w:val="4514742D"/>
    <w:rsid w:val="45196317"/>
    <w:rsid w:val="451E56DB"/>
    <w:rsid w:val="45280308"/>
    <w:rsid w:val="45343151"/>
    <w:rsid w:val="4537679D"/>
    <w:rsid w:val="45482758"/>
    <w:rsid w:val="454A4722"/>
    <w:rsid w:val="4550160D"/>
    <w:rsid w:val="45505AB1"/>
    <w:rsid w:val="455A248C"/>
    <w:rsid w:val="456A4DC4"/>
    <w:rsid w:val="45723C79"/>
    <w:rsid w:val="45800144"/>
    <w:rsid w:val="45991206"/>
    <w:rsid w:val="459B6D2C"/>
    <w:rsid w:val="459E05CA"/>
    <w:rsid w:val="45AA51C1"/>
    <w:rsid w:val="45AA6F6F"/>
    <w:rsid w:val="45AD6A5F"/>
    <w:rsid w:val="45B20519"/>
    <w:rsid w:val="45C344D5"/>
    <w:rsid w:val="45C85647"/>
    <w:rsid w:val="45D65FB6"/>
    <w:rsid w:val="45D87F80"/>
    <w:rsid w:val="45E16709"/>
    <w:rsid w:val="45E22BAD"/>
    <w:rsid w:val="45E2495B"/>
    <w:rsid w:val="45E36925"/>
    <w:rsid w:val="45E71F71"/>
    <w:rsid w:val="45ED3300"/>
    <w:rsid w:val="45ED51BC"/>
    <w:rsid w:val="460A5C60"/>
    <w:rsid w:val="460D74FE"/>
    <w:rsid w:val="460F771A"/>
    <w:rsid w:val="4613720A"/>
    <w:rsid w:val="461D1E37"/>
    <w:rsid w:val="46252A99"/>
    <w:rsid w:val="4631143E"/>
    <w:rsid w:val="46396545"/>
    <w:rsid w:val="46401681"/>
    <w:rsid w:val="4642189D"/>
    <w:rsid w:val="46454EEA"/>
    <w:rsid w:val="46472A10"/>
    <w:rsid w:val="46476EB4"/>
    <w:rsid w:val="46492C2C"/>
    <w:rsid w:val="464F7B16"/>
    <w:rsid w:val="465A6BE7"/>
    <w:rsid w:val="466435C2"/>
    <w:rsid w:val="46674E60"/>
    <w:rsid w:val="467632F5"/>
    <w:rsid w:val="467852BF"/>
    <w:rsid w:val="467D4684"/>
    <w:rsid w:val="46804174"/>
    <w:rsid w:val="46827EEC"/>
    <w:rsid w:val="46845A12"/>
    <w:rsid w:val="468772B0"/>
    <w:rsid w:val="468B4FF2"/>
    <w:rsid w:val="468B5AEE"/>
    <w:rsid w:val="468C2B19"/>
    <w:rsid w:val="469D0882"/>
    <w:rsid w:val="469D2F78"/>
    <w:rsid w:val="469F14E0"/>
    <w:rsid w:val="46AE0CE1"/>
    <w:rsid w:val="46BB51AC"/>
    <w:rsid w:val="46C10A14"/>
    <w:rsid w:val="46C202E8"/>
    <w:rsid w:val="46C40504"/>
    <w:rsid w:val="46C422B2"/>
    <w:rsid w:val="46C978C9"/>
    <w:rsid w:val="46D1677D"/>
    <w:rsid w:val="46D63D94"/>
    <w:rsid w:val="46DA1AD6"/>
    <w:rsid w:val="46E42955"/>
    <w:rsid w:val="46EA5AC2"/>
    <w:rsid w:val="46EC35B7"/>
    <w:rsid w:val="46EE732F"/>
    <w:rsid w:val="46F10BCE"/>
    <w:rsid w:val="46F74436"/>
    <w:rsid w:val="46F968A0"/>
    <w:rsid w:val="46FC1A4C"/>
    <w:rsid w:val="46FD7572"/>
    <w:rsid w:val="46FE3A16"/>
    <w:rsid w:val="47084895"/>
    <w:rsid w:val="470D3C59"/>
    <w:rsid w:val="470E352E"/>
    <w:rsid w:val="47290367"/>
    <w:rsid w:val="4734568A"/>
    <w:rsid w:val="473A07C7"/>
    <w:rsid w:val="473A4323"/>
    <w:rsid w:val="473C453F"/>
    <w:rsid w:val="473E02B7"/>
    <w:rsid w:val="474B6530"/>
    <w:rsid w:val="474D04FA"/>
    <w:rsid w:val="475A49C5"/>
    <w:rsid w:val="475A6773"/>
    <w:rsid w:val="47637D1D"/>
    <w:rsid w:val="47653A95"/>
    <w:rsid w:val="47685334"/>
    <w:rsid w:val="476870E2"/>
    <w:rsid w:val="4770243A"/>
    <w:rsid w:val="47835CCA"/>
    <w:rsid w:val="47863A0C"/>
    <w:rsid w:val="478B2DD0"/>
    <w:rsid w:val="478F28C0"/>
    <w:rsid w:val="47953C4F"/>
    <w:rsid w:val="4799373F"/>
    <w:rsid w:val="47A048F3"/>
    <w:rsid w:val="47A143A2"/>
    <w:rsid w:val="47AF4D11"/>
    <w:rsid w:val="47B24801"/>
    <w:rsid w:val="47B73BC5"/>
    <w:rsid w:val="47C02A7A"/>
    <w:rsid w:val="47C6205A"/>
    <w:rsid w:val="47CD163B"/>
    <w:rsid w:val="47CE2EEB"/>
    <w:rsid w:val="47CF53B3"/>
    <w:rsid w:val="47D91D8D"/>
    <w:rsid w:val="47D93B3C"/>
    <w:rsid w:val="47DD7AD0"/>
    <w:rsid w:val="47E10C42"/>
    <w:rsid w:val="47EA7AF7"/>
    <w:rsid w:val="47F170D7"/>
    <w:rsid w:val="47F40975"/>
    <w:rsid w:val="47F60B91"/>
    <w:rsid w:val="47F70466"/>
    <w:rsid w:val="48052B82"/>
    <w:rsid w:val="480908C5"/>
    <w:rsid w:val="4812704D"/>
    <w:rsid w:val="48166B3E"/>
    <w:rsid w:val="4823125B"/>
    <w:rsid w:val="48286871"/>
    <w:rsid w:val="482D3E87"/>
    <w:rsid w:val="483416BA"/>
    <w:rsid w:val="48427933"/>
    <w:rsid w:val="484336AB"/>
    <w:rsid w:val="484F02A2"/>
    <w:rsid w:val="48515DC8"/>
    <w:rsid w:val="485E2293"/>
    <w:rsid w:val="485F6737"/>
    <w:rsid w:val="4860425D"/>
    <w:rsid w:val="48657AC5"/>
    <w:rsid w:val="486755EB"/>
    <w:rsid w:val="486E697A"/>
    <w:rsid w:val="487675DC"/>
    <w:rsid w:val="487877F8"/>
    <w:rsid w:val="48825F81"/>
    <w:rsid w:val="48873598"/>
    <w:rsid w:val="488937B4"/>
    <w:rsid w:val="48895562"/>
    <w:rsid w:val="48943F06"/>
    <w:rsid w:val="489D100D"/>
    <w:rsid w:val="48A203D1"/>
    <w:rsid w:val="48A26623"/>
    <w:rsid w:val="48B545A9"/>
    <w:rsid w:val="48B86A79"/>
    <w:rsid w:val="48BD520B"/>
    <w:rsid w:val="48C06AA9"/>
    <w:rsid w:val="48C90054"/>
    <w:rsid w:val="48D905B9"/>
    <w:rsid w:val="48DF1625"/>
    <w:rsid w:val="48E50C36"/>
    <w:rsid w:val="48E94252"/>
    <w:rsid w:val="48EA3B26"/>
    <w:rsid w:val="48EE6F7C"/>
    <w:rsid w:val="48F21359"/>
    <w:rsid w:val="48FC21D7"/>
    <w:rsid w:val="48FC3F85"/>
    <w:rsid w:val="49050213"/>
    <w:rsid w:val="49080B7C"/>
    <w:rsid w:val="4916491B"/>
    <w:rsid w:val="491A265E"/>
    <w:rsid w:val="491C0184"/>
    <w:rsid w:val="4922090B"/>
    <w:rsid w:val="492434DC"/>
    <w:rsid w:val="492B03C7"/>
    <w:rsid w:val="492D05E3"/>
    <w:rsid w:val="49311755"/>
    <w:rsid w:val="493A685C"/>
    <w:rsid w:val="493C4083"/>
    <w:rsid w:val="49423962"/>
    <w:rsid w:val="4953791E"/>
    <w:rsid w:val="495A6EFE"/>
    <w:rsid w:val="495E079C"/>
    <w:rsid w:val="496E4757"/>
    <w:rsid w:val="49725893"/>
    <w:rsid w:val="49764B8A"/>
    <w:rsid w:val="49793828"/>
    <w:rsid w:val="497F6965"/>
    <w:rsid w:val="49845D29"/>
    <w:rsid w:val="49867CF3"/>
    <w:rsid w:val="49885819"/>
    <w:rsid w:val="498875C7"/>
    <w:rsid w:val="49A85EBB"/>
    <w:rsid w:val="49AF0FF8"/>
    <w:rsid w:val="49AF724A"/>
    <w:rsid w:val="49B27967"/>
    <w:rsid w:val="49B616A7"/>
    <w:rsid w:val="49BE748D"/>
    <w:rsid w:val="49C36851"/>
    <w:rsid w:val="49C83E68"/>
    <w:rsid w:val="49CA5E32"/>
    <w:rsid w:val="49CD147E"/>
    <w:rsid w:val="49D00F6E"/>
    <w:rsid w:val="49D2118A"/>
    <w:rsid w:val="49D4280C"/>
    <w:rsid w:val="49DD3471"/>
    <w:rsid w:val="49E50EBD"/>
    <w:rsid w:val="49E8275C"/>
    <w:rsid w:val="49E862B8"/>
    <w:rsid w:val="49EA2030"/>
    <w:rsid w:val="49ED38CE"/>
    <w:rsid w:val="49F033BE"/>
    <w:rsid w:val="49F70BF1"/>
    <w:rsid w:val="4A0C644A"/>
    <w:rsid w:val="4A1452FF"/>
    <w:rsid w:val="4A176B9D"/>
    <w:rsid w:val="4A1E617D"/>
    <w:rsid w:val="4A25750C"/>
    <w:rsid w:val="4A273284"/>
    <w:rsid w:val="4A286FFC"/>
    <w:rsid w:val="4A37545D"/>
    <w:rsid w:val="4A396B13"/>
    <w:rsid w:val="4A3C6604"/>
    <w:rsid w:val="4A3E038B"/>
    <w:rsid w:val="4A455009"/>
    <w:rsid w:val="4A4756D4"/>
    <w:rsid w:val="4A54394D"/>
    <w:rsid w:val="4A5B2F2E"/>
    <w:rsid w:val="4A5D6CA6"/>
    <w:rsid w:val="4A6022F2"/>
    <w:rsid w:val="4A6A3171"/>
    <w:rsid w:val="4A6E0EB3"/>
    <w:rsid w:val="4A6E2C61"/>
    <w:rsid w:val="4A7144FF"/>
    <w:rsid w:val="4A743FEF"/>
    <w:rsid w:val="4A7D2EA4"/>
    <w:rsid w:val="4A842484"/>
    <w:rsid w:val="4A8B6CBC"/>
    <w:rsid w:val="4A8D5804"/>
    <w:rsid w:val="4A8F4985"/>
    <w:rsid w:val="4A980693"/>
    <w:rsid w:val="4A993A56"/>
    <w:rsid w:val="4A9D52F4"/>
    <w:rsid w:val="4AA20B5D"/>
    <w:rsid w:val="4AA448D5"/>
    <w:rsid w:val="4AAC5537"/>
    <w:rsid w:val="4AB50890"/>
    <w:rsid w:val="4AB56AE2"/>
    <w:rsid w:val="4AB8212E"/>
    <w:rsid w:val="4ABA5EA6"/>
    <w:rsid w:val="4ABD7744"/>
    <w:rsid w:val="4ACA3627"/>
    <w:rsid w:val="4ACC7988"/>
    <w:rsid w:val="4AE2447F"/>
    <w:rsid w:val="4AEC627C"/>
    <w:rsid w:val="4AF15640"/>
    <w:rsid w:val="4AF76666"/>
    <w:rsid w:val="4AF869CF"/>
    <w:rsid w:val="4B0215FB"/>
    <w:rsid w:val="4B0435C5"/>
    <w:rsid w:val="4B052E99"/>
    <w:rsid w:val="4B071F90"/>
    <w:rsid w:val="4B094738"/>
    <w:rsid w:val="4B105AC6"/>
    <w:rsid w:val="4B217CD3"/>
    <w:rsid w:val="4B2257F9"/>
    <w:rsid w:val="4B2477C4"/>
    <w:rsid w:val="4B2652EA"/>
    <w:rsid w:val="4B313C8F"/>
    <w:rsid w:val="4B3519D1"/>
    <w:rsid w:val="4B4C2876"/>
    <w:rsid w:val="4B4D612E"/>
    <w:rsid w:val="4B4D6D1A"/>
    <w:rsid w:val="4B510005"/>
    <w:rsid w:val="4B55797D"/>
    <w:rsid w:val="4B5A31E5"/>
    <w:rsid w:val="4B5C0D0B"/>
    <w:rsid w:val="4B5C6F5D"/>
    <w:rsid w:val="4B633314"/>
    <w:rsid w:val="4B63653E"/>
    <w:rsid w:val="4B647BC0"/>
    <w:rsid w:val="4B663938"/>
    <w:rsid w:val="4B693428"/>
    <w:rsid w:val="4B7122DD"/>
    <w:rsid w:val="4B773D97"/>
    <w:rsid w:val="4B7A3887"/>
    <w:rsid w:val="4B824C4E"/>
    <w:rsid w:val="4B8464B4"/>
    <w:rsid w:val="4B887D52"/>
    <w:rsid w:val="4B895879"/>
    <w:rsid w:val="4B8D5369"/>
    <w:rsid w:val="4B8D7117"/>
    <w:rsid w:val="4B8E10E1"/>
    <w:rsid w:val="4BA12BC2"/>
    <w:rsid w:val="4BB74194"/>
    <w:rsid w:val="4BBA1ED6"/>
    <w:rsid w:val="4BBD5522"/>
    <w:rsid w:val="4BBF74EC"/>
    <w:rsid w:val="4BC0573E"/>
    <w:rsid w:val="4BC44B03"/>
    <w:rsid w:val="4BC52D55"/>
    <w:rsid w:val="4BCD1C09"/>
    <w:rsid w:val="4BD74836"/>
    <w:rsid w:val="4BDF193C"/>
    <w:rsid w:val="4BED5E07"/>
    <w:rsid w:val="4BF278C2"/>
    <w:rsid w:val="4BF61160"/>
    <w:rsid w:val="4BFC24EE"/>
    <w:rsid w:val="4C0554CB"/>
    <w:rsid w:val="4C0A69B9"/>
    <w:rsid w:val="4C1A7AC7"/>
    <w:rsid w:val="4C1C493F"/>
    <w:rsid w:val="4C21145A"/>
    <w:rsid w:val="4C226A84"/>
    <w:rsid w:val="4C231829"/>
    <w:rsid w:val="4C2A0E0A"/>
    <w:rsid w:val="4C2F01CE"/>
    <w:rsid w:val="4C325F10"/>
    <w:rsid w:val="4C371778"/>
    <w:rsid w:val="4C40671A"/>
    <w:rsid w:val="4C453E95"/>
    <w:rsid w:val="4C4C5224"/>
    <w:rsid w:val="4C5145E8"/>
    <w:rsid w:val="4C520360"/>
    <w:rsid w:val="4C5E0AB3"/>
    <w:rsid w:val="4C612351"/>
    <w:rsid w:val="4C673E0C"/>
    <w:rsid w:val="4C681932"/>
    <w:rsid w:val="4C6C11C3"/>
    <w:rsid w:val="4C6C1422"/>
    <w:rsid w:val="4C6E5F7E"/>
    <w:rsid w:val="4C716A38"/>
    <w:rsid w:val="4C8749CF"/>
    <w:rsid w:val="4C883D82"/>
    <w:rsid w:val="4C9170DB"/>
    <w:rsid w:val="4C975D73"/>
    <w:rsid w:val="4C9D15DC"/>
    <w:rsid w:val="4C9D5A7F"/>
    <w:rsid w:val="4CA26BF2"/>
    <w:rsid w:val="4CA706AC"/>
    <w:rsid w:val="4CB45235"/>
    <w:rsid w:val="4CB9218D"/>
    <w:rsid w:val="4CBB5F06"/>
    <w:rsid w:val="4CBE1552"/>
    <w:rsid w:val="4CC21042"/>
    <w:rsid w:val="4CC27294"/>
    <w:rsid w:val="4CCA6149"/>
    <w:rsid w:val="4CCE5C39"/>
    <w:rsid w:val="4CD07C03"/>
    <w:rsid w:val="4CD64AED"/>
    <w:rsid w:val="4CE76CFB"/>
    <w:rsid w:val="4CEA0599"/>
    <w:rsid w:val="4CEC60BF"/>
    <w:rsid w:val="4CF451F0"/>
    <w:rsid w:val="4CF66F3E"/>
    <w:rsid w:val="4CF907DC"/>
    <w:rsid w:val="4CFB6302"/>
    <w:rsid w:val="4D023B34"/>
    <w:rsid w:val="4D0553D3"/>
    <w:rsid w:val="4D063625"/>
    <w:rsid w:val="4D166283"/>
    <w:rsid w:val="4D186EB4"/>
    <w:rsid w:val="4D1A70D0"/>
    <w:rsid w:val="4D227D33"/>
    <w:rsid w:val="4D265A75"/>
    <w:rsid w:val="4D330192"/>
    <w:rsid w:val="4D371A30"/>
    <w:rsid w:val="4D381304"/>
    <w:rsid w:val="4D491763"/>
    <w:rsid w:val="4D5679DC"/>
    <w:rsid w:val="4D61085B"/>
    <w:rsid w:val="4D671BE9"/>
    <w:rsid w:val="4D697710"/>
    <w:rsid w:val="4D74733E"/>
    <w:rsid w:val="4D7B5AD0"/>
    <w:rsid w:val="4D7D31BB"/>
    <w:rsid w:val="4D84279B"/>
    <w:rsid w:val="4D8929FB"/>
    <w:rsid w:val="4D8C1650"/>
    <w:rsid w:val="4D8E361A"/>
    <w:rsid w:val="4D8E53C8"/>
    <w:rsid w:val="4D9A5B1B"/>
    <w:rsid w:val="4DA1374B"/>
    <w:rsid w:val="4DA47990"/>
    <w:rsid w:val="4DA63BE4"/>
    <w:rsid w:val="4DB43081"/>
    <w:rsid w:val="4DB841F3"/>
    <w:rsid w:val="4DBB438C"/>
    <w:rsid w:val="4DBF37D4"/>
    <w:rsid w:val="4DC1754C"/>
    <w:rsid w:val="4DC808DA"/>
    <w:rsid w:val="4DC82688"/>
    <w:rsid w:val="4DCA28A4"/>
    <w:rsid w:val="4DCB03CA"/>
    <w:rsid w:val="4DD454D1"/>
    <w:rsid w:val="4DD51249"/>
    <w:rsid w:val="4DDC4386"/>
    <w:rsid w:val="4DE4148C"/>
    <w:rsid w:val="4DEA6AA2"/>
    <w:rsid w:val="4E01203E"/>
    <w:rsid w:val="4E031912"/>
    <w:rsid w:val="4E0336C0"/>
    <w:rsid w:val="4E151645"/>
    <w:rsid w:val="4E1E04FA"/>
    <w:rsid w:val="4E233D62"/>
    <w:rsid w:val="4E3046D1"/>
    <w:rsid w:val="4E4125AE"/>
    <w:rsid w:val="4E4168DE"/>
    <w:rsid w:val="4E45017D"/>
    <w:rsid w:val="4E4769A2"/>
    <w:rsid w:val="4E4A5793"/>
    <w:rsid w:val="4E4C150B"/>
    <w:rsid w:val="4E52289A"/>
    <w:rsid w:val="4E5263F6"/>
    <w:rsid w:val="4E5B79A0"/>
    <w:rsid w:val="4E612ADD"/>
    <w:rsid w:val="4E61488B"/>
    <w:rsid w:val="4E676345"/>
    <w:rsid w:val="4E6C395B"/>
    <w:rsid w:val="4E710F72"/>
    <w:rsid w:val="4E74636C"/>
    <w:rsid w:val="4E7520E4"/>
    <w:rsid w:val="4E775E5C"/>
    <w:rsid w:val="4E802F63"/>
    <w:rsid w:val="4E816CDB"/>
    <w:rsid w:val="4E8567CB"/>
    <w:rsid w:val="4E86609F"/>
    <w:rsid w:val="4E8A2033"/>
    <w:rsid w:val="4E8A3DE2"/>
    <w:rsid w:val="4E8C5DAC"/>
    <w:rsid w:val="4E946A0E"/>
    <w:rsid w:val="4E962786"/>
    <w:rsid w:val="4E9B5FEF"/>
    <w:rsid w:val="4E9E788D"/>
    <w:rsid w:val="4EA07161"/>
    <w:rsid w:val="4EA36C51"/>
    <w:rsid w:val="4EB175C0"/>
    <w:rsid w:val="4EB64BD7"/>
    <w:rsid w:val="4EB86BA1"/>
    <w:rsid w:val="4EB90223"/>
    <w:rsid w:val="4EBB043F"/>
    <w:rsid w:val="4EBD41B7"/>
    <w:rsid w:val="4EBD5F65"/>
    <w:rsid w:val="4EC512BE"/>
    <w:rsid w:val="4EC54E1A"/>
    <w:rsid w:val="4EC92B5C"/>
    <w:rsid w:val="4ECC7F56"/>
    <w:rsid w:val="4ECF3EEA"/>
    <w:rsid w:val="4ED10F45"/>
    <w:rsid w:val="4EE334F2"/>
    <w:rsid w:val="4EFB4CDF"/>
    <w:rsid w:val="4EFE20DA"/>
    <w:rsid w:val="4F0022F6"/>
    <w:rsid w:val="4F0C0C9A"/>
    <w:rsid w:val="4F18319B"/>
    <w:rsid w:val="4F195165"/>
    <w:rsid w:val="4F1C5F3C"/>
    <w:rsid w:val="4F2A2ECF"/>
    <w:rsid w:val="4F2E6E63"/>
    <w:rsid w:val="4F35067F"/>
    <w:rsid w:val="4F3B50DC"/>
    <w:rsid w:val="4F3D70A6"/>
    <w:rsid w:val="4F4028E5"/>
    <w:rsid w:val="4F457D08"/>
    <w:rsid w:val="4F4B17C3"/>
    <w:rsid w:val="4F4C72E9"/>
    <w:rsid w:val="4F533E4B"/>
    <w:rsid w:val="4F587A3C"/>
    <w:rsid w:val="4F5B550C"/>
    <w:rsid w:val="4F5B577E"/>
    <w:rsid w:val="4F5D5052"/>
    <w:rsid w:val="4F5F526E"/>
    <w:rsid w:val="4F602D94"/>
    <w:rsid w:val="4F6665FD"/>
    <w:rsid w:val="4F6C34E7"/>
    <w:rsid w:val="4F716D4F"/>
    <w:rsid w:val="4F7505EE"/>
    <w:rsid w:val="4F8214A1"/>
    <w:rsid w:val="4F846A83"/>
    <w:rsid w:val="4F876573"/>
    <w:rsid w:val="4F89256B"/>
    <w:rsid w:val="4F8E345D"/>
    <w:rsid w:val="4F9273F2"/>
    <w:rsid w:val="4F93316A"/>
    <w:rsid w:val="4F93361D"/>
    <w:rsid w:val="4FA26F09"/>
    <w:rsid w:val="4FA42C81"/>
    <w:rsid w:val="4FAE58AE"/>
    <w:rsid w:val="4FDB3C60"/>
    <w:rsid w:val="4FDC68BF"/>
    <w:rsid w:val="4FE439C5"/>
    <w:rsid w:val="4FE47521"/>
    <w:rsid w:val="4FE70DC0"/>
    <w:rsid w:val="4FE94B38"/>
    <w:rsid w:val="4FEE214E"/>
    <w:rsid w:val="4FFA4F97"/>
    <w:rsid w:val="4FFC486B"/>
    <w:rsid w:val="4FFD05E3"/>
    <w:rsid w:val="50047BC4"/>
    <w:rsid w:val="500F0A42"/>
    <w:rsid w:val="50175B49"/>
    <w:rsid w:val="501778F7"/>
    <w:rsid w:val="50373AF5"/>
    <w:rsid w:val="503B1837"/>
    <w:rsid w:val="503C55AF"/>
    <w:rsid w:val="50446212"/>
    <w:rsid w:val="505521CD"/>
    <w:rsid w:val="50591CBD"/>
    <w:rsid w:val="50615016"/>
    <w:rsid w:val="506348EA"/>
    <w:rsid w:val="5065417F"/>
    <w:rsid w:val="506B19F1"/>
    <w:rsid w:val="506D7517"/>
    <w:rsid w:val="50726A1D"/>
    <w:rsid w:val="50772144"/>
    <w:rsid w:val="507A1C34"/>
    <w:rsid w:val="507B60D8"/>
    <w:rsid w:val="50834F8C"/>
    <w:rsid w:val="50836D3A"/>
    <w:rsid w:val="50964CC0"/>
    <w:rsid w:val="509E6E33"/>
    <w:rsid w:val="50A078EC"/>
    <w:rsid w:val="50A218B6"/>
    <w:rsid w:val="50A54F03"/>
    <w:rsid w:val="50A8054F"/>
    <w:rsid w:val="50A94B58"/>
    <w:rsid w:val="50B11AF9"/>
    <w:rsid w:val="50BB2978"/>
    <w:rsid w:val="50C3182D"/>
    <w:rsid w:val="50C7131D"/>
    <w:rsid w:val="50D21A70"/>
    <w:rsid w:val="50D2381E"/>
    <w:rsid w:val="50D61560"/>
    <w:rsid w:val="50D77086"/>
    <w:rsid w:val="50D852D8"/>
    <w:rsid w:val="50DE6667"/>
    <w:rsid w:val="50ED0658"/>
    <w:rsid w:val="50EE4AFC"/>
    <w:rsid w:val="50F42160"/>
    <w:rsid w:val="5100482F"/>
    <w:rsid w:val="510C08F5"/>
    <w:rsid w:val="51145BE4"/>
    <w:rsid w:val="511527F6"/>
    <w:rsid w:val="511533F6"/>
    <w:rsid w:val="5119769F"/>
    <w:rsid w:val="511F2F07"/>
    <w:rsid w:val="51200A2D"/>
    <w:rsid w:val="512322CB"/>
    <w:rsid w:val="512528EF"/>
    <w:rsid w:val="512C1180"/>
    <w:rsid w:val="512C2F2E"/>
    <w:rsid w:val="513C0C59"/>
    <w:rsid w:val="513D15DF"/>
    <w:rsid w:val="513F75DA"/>
    <w:rsid w:val="514209A3"/>
    <w:rsid w:val="51497F84"/>
    <w:rsid w:val="514A7858"/>
    <w:rsid w:val="514C35D0"/>
    <w:rsid w:val="514C537E"/>
    <w:rsid w:val="5153670D"/>
    <w:rsid w:val="51595CED"/>
    <w:rsid w:val="516C3C72"/>
    <w:rsid w:val="516F72BF"/>
    <w:rsid w:val="517B3EB5"/>
    <w:rsid w:val="517F61AE"/>
    <w:rsid w:val="5181771E"/>
    <w:rsid w:val="51864D34"/>
    <w:rsid w:val="51907961"/>
    <w:rsid w:val="519531C9"/>
    <w:rsid w:val="519F1952"/>
    <w:rsid w:val="51A056CA"/>
    <w:rsid w:val="51AA02F7"/>
    <w:rsid w:val="51B60E4E"/>
    <w:rsid w:val="51B86EB8"/>
    <w:rsid w:val="51BB2504"/>
    <w:rsid w:val="51BF3DA2"/>
    <w:rsid w:val="51C413B8"/>
    <w:rsid w:val="51CD2963"/>
    <w:rsid w:val="51D112E0"/>
    <w:rsid w:val="51DD247A"/>
    <w:rsid w:val="51DF4444"/>
    <w:rsid w:val="51E1640E"/>
    <w:rsid w:val="51E57C49"/>
    <w:rsid w:val="51E90E1F"/>
    <w:rsid w:val="51EB2DE9"/>
    <w:rsid w:val="51F10A82"/>
    <w:rsid w:val="51F83758"/>
    <w:rsid w:val="51FA302C"/>
    <w:rsid w:val="5209326F"/>
    <w:rsid w:val="52097713"/>
    <w:rsid w:val="520D0FB1"/>
    <w:rsid w:val="52100317"/>
    <w:rsid w:val="52102850"/>
    <w:rsid w:val="52271947"/>
    <w:rsid w:val="522D1654"/>
    <w:rsid w:val="52306A4E"/>
    <w:rsid w:val="5246001F"/>
    <w:rsid w:val="52483D98"/>
    <w:rsid w:val="524E3378"/>
    <w:rsid w:val="52505342"/>
    <w:rsid w:val="525564B4"/>
    <w:rsid w:val="525766D1"/>
    <w:rsid w:val="52614E59"/>
    <w:rsid w:val="527032EE"/>
    <w:rsid w:val="5277467D"/>
    <w:rsid w:val="527A416D"/>
    <w:rsid w:val="527C7EE5"/>
    <w:rsid w:val="52911BE2"/>
    <w:rsid w:val="52946FDD"/>
    <w:rsid w:val="52AD009F"/>
    <w:rsid w:val="52AF02BB"/>
    <w:rsid w:val="52B551A5"/>
    <w:rsid w:val="52B72CCB"/>
    <w:rsid w:val="52BF7DD2"/>
    <w:rsid w:val="52C35B14"/>
    <w:rsid w:val="52CB6777"/>
    <w:rsid w:val="52D4387D"/>
    <w:rsid w:val="52D7336D"/>
    <w:rsid w:val="52E02222"/>
    <w:rsid w:val="52E31D12"/>
    <w:rsid w:val="52E87329"/>
    <w:rsid w:val="52EF4B5B"/>
    <w:rsid w:val="53004672"/>
    <w:rsid w:val="5302663C"/>
    <w:rsid w:val="53051C89"/>
    <w:rsid w:val="530C4011"/>
    <w:rsid w:val="530E3233"/>
    <w:rsid w:val="53234805"/>
    <w:rsid w:val="532A16EF"/>
    <w:rsid w:val="53310CD0"/>
    <w:rsid w:val="533D7674"/>
    <w:rsid w:val="53400F13"/>
    <w:rsid w:val="53476745"/>
    <w:rsid w:val="5349426B"/>
    <w:rsid w:val="534A3B3F"/>
    <w:rsid w:val="534F55FA"/>
    <w:rsid w:val="535350EA"/>
    <w:rsid w:val="5354676C"/>
    <w:rsid w:val="535624E4"/>
    <w:rsid w:val="535D1AC5"/>
    <w:rsid w:val="535D3873"/>
    <w:rsid w:val="5364772A"/>
    <w:rsid w:val="536F7A4A"/>
    <w:rsid w:val="538B4884"/>
    <w:rsid w:val="538E7ED0"/>
    <w:rsid w:val="538F59F6"/>
    <w:rsid w:val="53901E9A"/>
    <w:rsid w:val="53A96AB8"/>
    <w:rsid w:val="53AB0A82"/>
    <w:rsid w:val="53B042EA"/>
    <w:rsid w:val="53B92A7F"/>
    <w:rsid w:val="53BD6A07"/>
    <w:rsid w:val="53BF62DB"/>
    <w:rsid w:val="53C03E02"/>
    <w:rsid w:val="53C27B7A"/>
    <w:rsid w:val="53C75190"/>
    <w:rsid w:val="53CB2ED2"/>
    <w:rsid w:val="53D37FD9"/>
    <w:rsid w:val="53D61877"/>
    <w:rsid w:val="53DB6E8D"/>
    <w:rsid w:val="53DC306A"/>
    <w:rsid w:val="53DE69AE"/>
    <w:rsid w:val="53DF072C"/>
    <w:rsid w:val="53E2021C"/>
    <w:rsid w:val="53E73A84"/>
    <w:rsid w:val="53F14CE1"/>
    <w:rsid w:val="53FC752F"/>
    <w:rsid w:val="540301AA"/>
    <w:rsid w:val="54040192"/>
    <w:rsid w:val="540C5299"/>
    <w:rsid w:val="540C7047"/>
    <w:rsid w:val="540E7263"/>
    <w:rsid w:val="541008E5"/>
    <w:rsid w:val="5415414D"/>
    <w:rsid w:val="54232D0E"/>
    <w:rsid w:val="54244390"/>
    <w:rsid w:val="542D593B"/>
    <w:rsid w:val="543A3BB4"/>
    <w:rsid w:val="543D793B"/>
    <w:rsid w:val="543F11CA"/>
    <w:rsid w:val="544B5DC1"/>
    <w:rsid w:val="544F3B03"/>
    <w:rsid w:val="54505185"/>
    <w:rsid w:val="545253A1"/>
    <w:rsid w:val="54564027"/>
    <w:rsid w:val="546155E5"/>
    <w:rsid w:val="5472334E"/>
    <w:rsid w:val="547E7F44"/>
    <w:rsid w:val="54857525"/>
    <w:rsid w:val="5486329D"/>
    <w:rsid w:val="5486504B"/>
    <w:rsid w:val="548E5CAE"/>
    <w:rsid w:val="54901A26"/>
    <w:rsid w:val="549A4653"/>
    <w:rsid w:val="54A31759"/>
    <w:rsid w:val="54A379AB"/>
    <w:rsid w:val="54B24092"/>
    <w:rsid w:val="54B75204"/>
    <w:rsid w:val="54BC281B"/>
    <w:rsid w:val="54BE2A37"/>
    <w:rsid w:val="54C6369A"/>
    <w:rsid w:val="54CA13DC"/>
    <w:rsid w:val="54DB5397"/>
    <w:rsid w:val="54E83610"/>
    <w:rsid w:val="54E87AB4"/>
    <w:rsid w:val="54EA7388"/>
    <w:rsid w:val="54F93A6F"/>
    <w:rsid w:val="54FE2E33"/>
    <w:rsid w:val="54FE4BE1"/>
    <w:rsid w:val="550D3076"/>
    <w:rsid w:val="551408A9"/>
    <w:rsid w:val="551D59AF"/>
    <w:rsid w:val="55214D74"/>
    <w:rsid w:val="5523289A"/>
    <w:rsid w:val="55344AA7"/>
    <w:rsid w:val="553D5564"/>
    <w:rsid w:val="55410F72"/>
    <w:rsid w:val="554271C4"/>
    <w:rsid w:val="55486565"/>
    <w:rsid w:val="554967A4"/>
    <w:rsid w:val="555111B5"/>
    <w:rsid w:val="55545149"/>
    <w:rsid w:val="55564A1D"/>
    <w:rsid w:val="555E1B24"/>
    <w:rsid w:val="5560764A"/>
    <w:rsid w:val="556709D9"/>
    <w:rsid w:val="55690BF5"/>
    <w:rsid w:val="556A671B"/>
    <w:rsid w:val="556C2493"/>
    <w:rsid w:val="556F5ADF"/>
    <w:rsid w:val="55713605"/>
    <w:rsid w:val="5573542B"/>
    <w:rsid w:val="55776205"/>
    <w:rsid w:val="55805088"/>
    <w:rsid w:val="558477DD"/>
    <w:rsid w:val="558A38DC"/>
    <w:rsid w:val="558C043F"/>
    <w:rsid w:val="55992B5C"/>
    <w:rsid w:val="559C2607"/>
    <w:rsid w:val="55A21A11"/>
    <w:rsid w:val="55AD5535"/>
    <w:rsid w:val="55B07EC1"/>
    <w:rsid w:val="55B12A81"/>
    <w:rsid w:val="55B13259"/>
    <w:rsid w:val="55B55BE8"/>
    <w:rsid w:val="55B61960"/>
    <w:rsid w:val="55BD684B"/>
    <w:rsid w:val="55C0633B"/>
    <w:rsid w:val="55CE0A58"/>
    <w:rsid w:val="55D3606E"/>
    <w:rsid w:val="55D6790C"/>
    <w:rsid w:val="55DA23A4"/>
    <w:rsid w:val="55DA73FC"/>
    <w:rsid w:val="55E22755"/>
    <w:rsid w:val="55E4027B"/>
    <w:rsid w:val="55E738C7"/>
    <w:rsid w:val="55E93AE3"/>
    <w:rsid w:val="55EB160A"/>
    <w:rsid w:val="55EE06D6"/>
    <w:rsid w:val="55EF10B1"/>
    <w:rsid w:val="55F05C8A"/>
    <w:rsid w:val="55F34962"/>
    <w:rsid w:val="55FA7A9F"/>
    <w:rsid w:val="55FC3817"/>
    <w:rsid w:val="5604091D"/>
    <w:rsid w:val="560E52F8"/>
    <w:rsid w:val="561623FF"/>
    <w:rsid w:val="561A1EEF"/>
    <w:rsid w:val="561E4CB5"/>
    <w:rsid w:val="56244B1C"/>
    <w:rsid w:val="562C39D0"/>
    <w:rsid w:val="563A7E9B"/>
    <w:rsid w:val="563C1E65"/>
    <w:rsid w:val="5647080A"/>
    <w:rsid w:val="56486A5C"/>
    <w:rsid w:val="56504935"/>
    <w:rsid w:val="56552F27"/>
    <w:rsid w:val="56574EF1"/>
    <w:rsid w:val="565D002E"/>
    <w:rsid w:val="565E627F"/>
    <w:rsid w:val="56665134"/>
    <w:rsid w:val="56680EAC"/>
    <w:rsid w:val="566C201F"/>
    <w:rsid w:val="56755377"/>
    <w:rsid w:val="56777341"/>
    <w:rsid w:val="568A7075"/>
    <w:rsid w:val="568E01E7"/>
    <w:rsid w:val="56927CD7"/>
    <w:rsid w:val="56941167"/>
    <w:rsid w:val="56981066"/>
    <w:rsid w:val="56AB0D99"/>
    <w:rsid w:val="56AD68BF"/>
    <w:rsid w:val="56B440F1"/>
    <w:rsid w:val="56B539C6"/>
    <w:rsid w:val="56BC6B02"/>
    <w:rsid w:val="56BF4B95"/>
    <w:rsid w:val="56C43C09"/>
    <w:rsid w:val="56C87B9D"/>
    <w:rsid w:val="56C9121F"/>
    <w:rsid w:val="56CF0F2B"/>
    <w:rsid w:val="56DC0F52"/>
    <w:rsid w:val="56DC71A4"/>
    <w:rsid w:val="56DE2F1C"/>
    <w:rsid w:val="56E147BB"/>
    <w:rsid w:val="56F00EA2"/>
    <w:rsid w:val="56F3629C"/>
    <w:rsid w:val="56FF2E93"/>
    <w:rsid w:val="57014E5D"/>
    <w:rsid w:val="57087F99"/>
    <w:rsid w:val="570A087C"/>
    <w:rsid w:val="570A5ABF"/>
    <w:rsid w:val="570D3802"/>
    <w:rsid w:val="57106E4E"/>
    <w:rsid w:val="571903F8"/>
    <w:rsid w:val="57193F55"/>
    <w:rsid w:val="571C3A45"/>
    <w:rsid w:val="571C57F3"/>
    <w:rsid w:val="57212E09"/>
    <w:rsid w:val="5726041F"/>
    <w:rsid w:val="573945F7"/>
    <w:rsid w:val="574014E1"/>
    <w:rsid w:val="57452F9B"/>
    <w:rsid w:val="57460AC2"/>
    <w:rsid w:val="57462870"/>
    <w:rsid w:val="57517B92"/>
    <w:rsid w:val="57596A47"/>
    <w:rsid w:val="575B27BF"/>
    <w:rsid w:val="575C58DE"/>
    <w:rsid w:val="575E22AF"/>
    <w:rsid w:val="575E2F60"/>
    <w:rsid w:val="575E5E0B"/>
    <w:rsid w:val="57603931"/>
    <w:rsid w:val="57633422"/>
    <w:rsid w:val="57763155"/>
    <w:rsid w:val="5780553D"/>
    <w:rsid w:val="57833AC4"/>
    <w:rsid w:val="57853398"/>
    <w:rsid w:val="578A4E52"/>
    <w:rsid w:val="57931F59"/>
    <w:rsid w:val="579D2DD8"/>
    <w:rsid w:val="57A2219C"/>
    <w:rsid w:val="57A44166"/>
    <w:rsid w:val="57A71560"/>
    <w:rsid w:val="57A75A04"/>
    <w:rsid w:val="57AC301B"/>
    <w:rsid w:val="57AD28EF"/>
    <w:rsid w:val="57B8376D"/>
    <w:rsid w:val="57B91294"/>
    <w:rsid w:val="57B976AF"/>
    <w:rsid w:val="57C00874"/>
    <w:rsid w:val="57C540DC"/>
    <w:rsid w:val="57CD4D3F"/>
    <w:rsid w:val="57D12A81"/>
    <w:rsid w:val="57D1482F"/>
    <w:rsid w:val="57D460CD"/>
    <w:rsid w:val="57D63BF4"/>
    <w:rsid w:val="57DE6F4C"/>
    <w:rsid w:val="57E367DA"/>
    <w:rsid w:val="57E74053"/>
    <w:rsid w:val="57E9504D"/>
    <w:rsid w:val="57FD3876"/>
    <w:rsid w:val="57FF75EE"/>
    <w:rsid w:val="580469B3"/>
    <w:rsid w:val="5805272B"/>
    <w:rsid w:val="580746F5"/>
    <w:rsid w:val="58107775"/>
    <w:rsid w:val="58134E48"/>
    <w:rsid w:val="581754FA"/>
    <w:rsid w:val="583152CE"/>
    <w:rsid w:val="58337298"/>
    <w:rsid w:val="58396EA8"/>
    <w:rsid w:val="584274DB"/>
    <w:rsid w:val="584414A5"/>
    <w:rsid w:val="58443253"/>
    <w:rsid w:val="58492617"/>
    <w:rsid w:val="5853143B"/>
    <w:rsid w:val="5855720E"/>
    <w:rsid w:val="585F1E3B"/>
    <w:rsid w:val="58615BB3"/>
    <w:rsid w:val="586C4558"/>
    <w:rsid w:val="586E02D0"/>
    <w:rsid w:val="586F2CB3"/>
    <w:rsid w:val="58704048"/>
    <w:rsid w:val="587A0A23"/>
    <w:rsid w:val="588673C8"/>
    <w:rsid w:val="588D4BFA"/>
    <w:rsid w:val="58920462"/>
    <w:rsid w:val="58935F89"/>
    <w:rsid w:val="589C6BEB"/>
    <w:rsid w:val="58B101BD"/>
    <w:rsid w:val="58B905E9"/>
    <w:rsid w:val="58D36385"/>
    <w:rsid w:val="58D77C23"/>
    <w:rsid w:val="58E81E30"/>
    <w:rsid w:val="58ED5699"/>
    <w:rsid w:val="58EE3E4C"/>
    <w:rsid w:val="58EF1411"/>
    <w:rsid w:val="58F509F1"/>
    <w:rsid w:val="58FD3402"/>
    <w:rsid w:val="58FF717A"/>
    <w:rsid w:val="59012EF2"/>
    <w:rsid w:val="59026DDF"/>
    <w:rsid w:val="590C382F"/>
    <w:rsid w:val="591305FD"/>
    <w:rsid w:val="591E1CF6"/>
    <w:rsid w:val="591F781C"/>
    <w:rsid w:val="59282B75"/>
    <w:rsid w:val="592F57D0"/>
    <w:rsid w:val="593037D7"/>
    <w:rsid w:val="593943E0"/>
    <w:rsid w:val="593E7CA2"/>
    <w:rsid w:val="59407EBE"/>
    <w:rsid w:val="59462FFB"/>
    <w:rsid w:val="594828CF"/>
    <w:rsid w:val="594B23BF"/>
    <w:rsid w:val="594F1EAF"/>
    <w:rsid w:val="59617E35"/>
    <w:rsid w:val="596516D3"/>
    <w:rsid w:val="596D4A2C"/>
    <w:rsid w:val="59853B23"/>
    <w:rsid w:val="598D0C2A"/>
    <w:rsid w:val="59927FEE"/>
    <w:rsid w:val="59945B14"/>
    <w:rsid w:val="599E4BE5"/>
    <w:rsid w:val="59A0270B"/>
    <w:rsid w:val="59AC10B0"/>
    <w:rsid w:val="59B12B6A"/>
    <w:rsid w:val="59B461B6"/>
    <w:rsid w:val="59B91A1F"/>
    <w:rsid w:val="59BB12F3"/>
    <w:rsid w:val="59C44088"/>
    <w:rsid w:val="59C81C62"/>
    <w:rsid w:val="59CA67B9"/>
    <w:rsid w:val="59D16D68"/>
    <w:rsid w:val="59E46272"/>
    <w:rsid w:val="59E53CF3"/>
    <w:rsid w:val="59E60A34"/>
    <w:rsid w:val="59EC3BA2"/>
    <w:rsid w:val="5A0C7DA1"/>
    <w:rsid w:val="5A12434D"/>
    <w:rsid w:val="5A1B6236"/>
    <w:rsid w:val="5A252C10"/>
    <w:rsid w:val="5A3D7F5A"/>
    <w:rsid w:val="5A4532B2"/>
    <w:rsid w:val="5A4A2677"/>
    <w:rsid w:val="5A5A0B0C"/>
    <w:rsid w:val="5A601E9A"/>
    <w:rsid w:val="5A615ED6"/>
    <w:rsid w:val="5A6574B1"/>
    <w:rsid w:val="5A673229"/>
    <w:rsid w:val="5A696FA1"/>
    <w:rsid w:val="5A6E2809"/>
    <w:rsid w:val="5A767910"/>
    <w:rsid w:val="5A7B164E"/>
    <w:rsid w:val="5A8042EB"/>
    <w:rsid w:val="5A820063"/>
    <w:rsid w:val="5A871B1D"/>
    <w:rsid w:val="5A951B44"/>
    <w:rsid w:val="5A9658BC"/>
    <w:rsid w:val="5A987435"/>
    <w:rsid w:val="5A9A07E3"/>
    <w:rsid w:val="5AA91A93"/>
    <w:rsid w:val="5AAB1367"/>
    <w:rsid w:val="5AAE0E58"/>
    <w:rsid w:val="5AB126F6"/>
    <w:rsid w:val="5ABC17C7"/>
    <w:rsid w:val="5ABD553F"/>
    <w:rsid w:val="5ABF3D20"/>
    <w:rsid w:val="5ABF4E13"/>
    <w:rsid w:val="5AC10B8B"/>
    <w:rsid w:val="5AC468CD"/>
    <w:rsid w:val="5AC71F19"/>
    <w:rsid w:val="5ACB7C5C"/>
    <w:rsid w:val="5AD6146D"/>
    <w:rsid w:val="5AD85ED5"/>
    <w:rsid w:val="5AED7BD2"/>
    <w:rsid w:val="5AF01470"/>
    <w:rsid w:val="5B0311A3"/>
    <w:rsid w:val="5B0A62C6"/>
    <w:rsid w:val="5B0B62AA"/>
    <w:rsid w:val="5B1E422F"/>
    <w:rsid w:val="5B2B24A8"/>
    <w:rsid w:val="5B2F01EA"/>
    <w:rsid w:val="5B463948"/>
    <w:rsid w:val="5B4812AC"/>
    <w:rsid w:val="5B4D241F"/>
    <w:rsid w:val="5B5A2D8E"/>
    <w:rsid w:val="5B5C08B4"/>
    <w:rsid w:val="5B653C0C"/>
    <w:rsid w:val="5B654FA8"/>
    <w:rsid w:val="5B7C71A8"/>
    <w:rsid w:val="5B8D6CBF"/>
    <w:rsid w:val="5B9242D5"/>
    <w:rsid w:val="5B9E2C7A"/>
    <w:rsid w:val="5BBE331C"/>
    <w:rsid w:val="5BC85F49"/>
    <w:rsid w:val="5BCE7A03"/>
    <w:rsid w:val="5BD4669C"/>
    <w:rsid w:val="5BDB5C7C"/>
    <w:rsid w:val="5BDE576D"/>
    <w:rsid w:val="5BE32D83"/>
    <w:rsid w:val="5BE663CF"/>
    <w:rsid w:val="5BE82147"/>
    <w:rsid w:val="5BEC69E7"/>
    <w:rsid w:val="5BED3C02"/>
    <w:rsid w:val="5BFB1E7B"/>
    <w:rsid w:val="5BFC7A7E"/>
    <w:rsid w:val="5BFD2097"/>
    <w:rsid w:val="5BFE7BBD"/>
    <w:rsid w:val="5C0C22DA"/>
    <w:rsid w:val="5C0F3B78"/>
    <w:rsid w:val="5C0F5926"/>
    <w:rsid w:val="5C11169E"/>
    <w:rsid w:val="5C182A2D"/>
    <w:rsid w:val="5C1949F7"/>
    <w:rsid w:val="5C1B076F"/>
    <w:rsid w:val="5C1E200D"/>
    <w:rsid w:val="5C2515ED"/>
    <w:rsid w:val="5C25514A"/>
    <w:rsid w:val="5C294C3A"/>
    <w:rsid w:val="5C2E04A2"/>
    <w:rsid w:val="5C384E7D"/>
    <w:rsid w:val="5C390BF5"/>
    <w:rsid w:val="5C433822"/>
    <w:rsid w:val="5C583771"/>
    <w:rsid w:val="5C5D1276"/>
    <w:rsid w:val="5C5E240A"/>
    <w:rsid w:val="5C602626"/>
    <w:rsid w:val="5C62639E"/>
    <w:rsid w:val="5C6C4B26"/>
    <w:rsid w:val="5C7560D1"/>
    <w:rsid w:val="5C7B120D"/>
    <w:rsid w:val="5C8A31FF"/>
    <w:rsid w:val="5C902F0B"/>
    <w:rsid w:val="5C910A31"/>
    <w:rsid w:val="5C9B540C"/>
    <w:rsid w:val="5CC20BEA"/>
    <w:rsid w:val="5CCC1A69"/>
    <w:rsid w:val="5CCE758F"/>
    <w:rsid w:val="5CD1707F"/>
    <w:rsid w:val="5CD8040E"/>
    <w:rsid w:val="5CDA23D8"/>
    <w:rsid w:val="5CE46DB3"/>
    <w:rsid w:val="5CE62B2B"/>
    <w:rsid w:val="5CEE19DF"/>
    <w:rsid w:val="5CF039A9"/>
    <w:rsid w:val="5CF07506"/>
    <w:rsid w:val="5CFA4828"/>
    <w:rsid w:val="5CFC40FC"/>
    <w:rsid w:val="5CFE60C6"/>
    <w:rsid w:val="5CFF1E3E"/>
    <w:rsid w:val="5D047455"/>
    <w:rsid w:val="5D0C00B7"/>
    <w:rsid w:val="5D0D6309"/>
    <w:rsid w:val="5D1228DA"/>
    <w:rsid w:val="5D146E60"/>
    <w:rsid w:val="5D1D4073"/>
    <w:rsid w:val="5D261179"/>
    <w:rsid w:val="5D2D69AC"/>
    <w:rsid w:val="5D355860"/>
    <w:rsid w:val="5D3F223B"/>
    <w:rsid w:val="5D4B6E32"/>
    <w:rsid w:val="5D4E247E"/>
    <w:rsid w:val="5D4F6922"/>
    <w:rsid w:val="5D543F38"/>
    <w:rsid w:val="5D557CB0"/>
    <w:rsid w:val="5D5757D7"/>
    <w:rsid w:val="5D5977A1"/>
    <w:rsid w:val="5D610403"/>
    <w:rsid w:val="5D616655"/>
    <w:rsid w:val="5D6323CD"/>
    <w:rsid w:val="5D6D0B56"/>
    <w:rsid w:val="5D6F2B20"/>
    <w:rsid w:val="5D746389"/>
    <w:rsid w:val="5D79574D"/>
    <w:rsid w:val="5D7E2D63"/>
    <w:rsid w:val="5D7E7207"/>
    <w:rsid w:val="5D812854"/>
    <w:rsid w:val="5D8641C8"/>
    <w:rsid w:val="5D867E6A"/>
    <w:rsid w:val="5D8B36D2"/>
    <w:rsid w:val="5D924A61"/>
    <w:rsid w:val="5D9953D6"/>
    <w:rsid w:val="5D997B9D"/>
    <w:rsid w:val="5D9A3915"/>
    <w:rsid w:val="5DA36C6E"/>
    <w:rsid w:val="5DA97E4D"/>
    <w:rsid w:val="5DAB167E"/>
    <w:rsid w:val="5DAD189A"/>
    <w:rsid w:val="5DAE5395"/>
    <w:rsid w:val="5DAF73C1"/>
    <w:rsid w:val="5DC34C1A"/>
    <w:rsid w:val="5DC80482"/>
    <w:rsid w:val="5DC82230"/>
    <w:rsid w:val="5DCB1D21"/>
    <w:rsid w:val="5DCD5A99"/>
    <w:rsid w:val="5DD5494D"/>
    <w:rsid w:val="5DDB1F64"/>
    <w:rsid w:val="5DDE7CA6"/>
    <w:rsid w:val="5DF11787"/>
    <w:rsid w:val="5DF64FF0"/>
    <w:rsid w:val="5DF70D68"/>
    <w:rsid w:val="5E023994"/>
    <w:rsid w:val="5E033269"/>
    <w:rsid w:val="5E084D23"/>
    <w:rsid w:val="5E0D2339"/>
    <w:rsid w:val="5E115985"/>
    <w:rsid w:val="5E282CCF"/>
    <w:rsid w:val="5E3641C2"/>
    <w:rsid w:val="5E385608"/>
    <w:rsid w:val="5E391380"/>
    <w:rsid w:val="5E3D49CC"/>
    <w:rsid w:val="5E453881"/>
    <w:rsid w:val="5E4D2736"/>
    <w:rsid w:val="5E532442"/>
    <w:rsid w:val="5E622685"/>
    <w:rsid w:val="5E6A6113"/>
    <w:rsid w:val="5E7423B8"/>
    <w:rsid w:val="5E7A23D3"/>
    <w:rsid w:val="5E7A79CF"/>
    <w:rsid w:val="5E7F4FE5"/>
    <w:rsid w:val="5E8343A9"/>
    <w:rsid w:val="5E873E9A"/>
    <w:rsid w:val="5E897C12"/>
    <w:rsid w:val="5E93283E"/>
    <w:rsid w:val="5E9345EC"/>
    <w:rsid w:val="5E987E55"/>
    <w:rsid w:val="5E9B238B"/>
    <w:rsid w:val="5EA26F25"/>
    <w:rsid w:val="5EB36A3D"/>
    <w:rsid w:val="5EB86749"/>
    <w:rsid w:val="5EB97DCB"/>
    <w:rsid w:val="5EC56770"/>
    <w:rsid w:val="5EC724E8"/>
    <w:rsid w:val="5ECA3D86"/>
    <w:rsid w:val="5ED370DF"/>
    <w:rsid w:val="5EDB41E5"/>
    <w:rsid w:val="5EE25574"/>
    <w:rsid w:val="5EE56057"/>
    <w:rsid w:val="5EF32416"/>
    <w:rsid w:val="5EF97984"/>
    <w:rsid w:val="5EFA6DED"/>
    <w:rsid w:val="5EFD5F0A"/>
    <w:rsid w:val="5EFF6126"/>
    <w:rsid w:val="5F0E0117"/>
    <w:rsid w:val="5F125074"/>
    <w:rsid w:val="5F1A4D0E"/>
    <w:rsid w:val="5F1E4D57"/>
    <w:rsid w:val="5F225970"/>
    <w:rsid w:val="5F2E2567"/>
    <w:rsid w:val="5F3833E6"/>
    <w:rsid w:val="5F38637A"/>
    <w:rsid w:val="5F3D27AA"/>
    <w:rsid w:val="5F3F4774"/>
    <w:rsid w:val="5F48187B"/>
    <w:rsid w:val="5F4973A1"/>
    <w:rsid w:val="5F4E6765"/>
    <w:rsid w:val="5F50072F"/>
    <w:rsid w:val="5F553F98"/>
    <w:rsid w:val="5F5F367A"/>
    <w:rsid w:val="5F6E5059"/>
    <w:rsid w:val="5F6E6E08"/>
    <w:rsid w:val="5F720B41"/>
    <w:rsid w:val="5F724B4A"/>
    <w:rsid w:val="5F7408C2"/>
    <w:rsid w:val="5F7A57AC"/>
    <w:rsid w:val="5F7F2DC3"/>
    <w:rsid w:val="5F812FDF"/>
    <w:rsid w:val="5F8D3732"/>
    <w:rsid w:val="5F954394"/>
    <w:rsid w:val="5FA0342D"/>
    <w:rsid w:val="5FA171DD"/>
    <w:rsid w:val="5FA34D03"/>
    <w:rsid w:val="5FA6034F"/>
    <w:rsid w:val="5FA8056B"/>
    <w:rsid w:val="5FA82319"/>
    <w:rsid w:val="5FAB1E0A"/>
    <w:rsid w:val="5FAD5B82"/>
    <w:rsid w:val="5FB40CBE"/>
    <w:rsid w:val="5FCD1D80"/>
    <w:rsid w:val="5FD56E87"/>
    <w:rsid w:val="600339F4"/>
    <w:rsid w:val="60082DB8"/>
    <w:rsid w:val="601F1CF2"/>
    <w:rsid w:val="60225BBE"/>
    <w:rsid w:val="60261490"/>
    <w:rsid w:val="602C4CF9"/>
    <w:rsid w:val="602F2A3B"/>
    <w:rsid w:val="60310561"/>
    <w:rsid w:val="603242D9"/>
    <w:rsid w:val="60367925"/>
    <w:rsid w:val="6037544B"/>
    <w:rsid w:val="60396BAB"/>
    <w:rsid w:val="60457B68"/>
    <w:rsid w:val="604D2EC1"/>
    <w:rsid w:val="60522285"/>
    <w:rsid w:val="60651FB9"/>
    <w:rsid w:val="6071095D"/>
    <w:rsid w:val="607466A0"/>
    <w:rsid w:val="607C1773"/>
    <w:rsid w:val="608E7761"/>
    <w:rsid w:val="608F7035"/>
    <w:rsid w:val="60912DAE"/>
    <w:rsid w:val="609B3C2C"/>
    <w:rsid w:val="60A56859"/>
    <w:rsid w:val="60AA3E6F"/>
    <w:rsid w:val="60B116A2"/>
    <w:rsid w:val="60B151FE"/>
    <w:rsid w:val="60B30F76"/>
    <w:rsid w:val="60BB607C"/>
    <w:rsid w:val="60C82547"/>
    <w:rsid w:val="60CA62C0"/>
    <w:rsid w:val="60CE4002"/>
    <w:rsid w:val="60D13AF2"/>
    <w:rsid w:val="60DA0BF8"/>
    <w:rsid w:val="60F11A9E"/>
    <w:rsid w:val="61001CE1"/>
    <w:rsid w:val="61023CAB"/>
    <w:rsid w:val="610417D1"/>
    <w:rsid w:val="610A2B60"/>
    <w:rsid w:val="610E2650"/>
    <w:rsid w:val="6115578D"/>
    <w:rsid w:val="611C2BC3"/>
    <w:rsid w:val="61241E74"/>
    <w:rsid w:val="6129748A"/>
    <w:rsid w:val="613F280A"/>
    <w:rsid w:val="614147D4"/>
    <w:rsid w:val="61532759"/>
    <w:rsid w:val="615C33BC"/>
    <w:rsid w:val="615F4C5A"/>
    <w:rsid w:val="61614E76"/>
    <w:rsid w:val="61665FE8"/>
    <w:rsid w:val="61695AD8"/>
    <w:rsid w:val="61707DCC"/>
    <w:rsid w:val="617A1A94"/>
    <w:rsid w:val="617C1CB0"/>
    <w:rsid w:val="617C3A5E"/>
    <w:rsid w:val="617D3332"/>
    <w:rsid w:val="6183303E"/>
    <w:rsid w:val="618835DC"/>
    <w:rsid w:val="61891CD7"/>
    <w:rsid w:val="61897F29"/>
    <w:rsid w:val="61907509"/>
    <w:rsid w:val="61946FF9"/>
    <w:rsid w:val="619863BE"/>
    <w:rsid w:val="619A3EE4"/>
    <w:rsid w:val="619C7C5C"/>
    <w:rsid w:val="61A66D2D"/>
    <w:rsid w:val="61A86601"/>
    <w:rsid w:val="61B76844"/>
    <w:rsid w:val="61BA4586"/>
    <w:rsid w:val="61BF1B9C"/>
    <w:rsid w:val="61C3343B"/>
    <w:rsid w:val="61D30753"/>
    <w:rsid w:val="61D70C94"/>
    <w:rsid w:val="61DE2022"/>
    <w:rsid w:val="61E3588B"/>
    <w:rsid w:val="61E57855"/>
    <w:rsid w:val="61F25ACE"/>
    <w:rsid w:val="61FC06FB"/>
    <w:rsid w:val="6200468F"/>
    <w:rsid w:val="620F042E"/>
    <w:rsid w:val="621A5025"/>
    <w:rsid w:val="621A6DD3"/>
    <w:rsid w:val="621C0D9D"/>
    <w:rsid w:val="621C2B4B"/>
    <w:rsid w:val="622540F5"/>
    <w:rsid w:val="622A170C"/>
    <w:rsid w:val="62326812"/>
    <w:rsid w:val="62373E29"/>
    <w:rsid w:val="6252656D"/>
    <w:rsid w:val="62581748"/>
    <w:rsid w:val="626A7C77"/>
    <w:rsid w:val="626B762E"/>
    <w:rsid w:val="62740BD9"/>
    <w:rsid w:val="62782477"/>
    <w:rsid w:val="628C1A7E"/>
    <w:rsid w:val="628D2CF3"/>
    <w:rsid w:val="629628FD"/>
    <w:rsid w:val="62976675"/>
    <w:rsid w:val="629E7A04"/>
    <w:rsid w:val="629F6AAE"/>
    <w:rsid w:val="62A74B0A"/>
    <w:rsid w:val="62BF00A6"/>
    <w:rsid w:val="62CD2097"/>
    <w:rsid w:val="62CE653B"/>
    <w:rsid w:val="62D33B51"/>
    <w:rsid w:val="62E0626E"/>
    <w:rsid w:val="62E47B0C"/>
    <w:rsid w:val="62F35FA1"/>
    <w:rsid w:val="62FD297C"/>
    <w:rsid w:val="62FD472A"/>
    <w:rsid w:val="62FF66F4"/>
    <w:rsid w:val="63043D0B"/>
    <w:rsid w:val="630F26B0"/>
    <w:rsid w:val="631321A0"/>
    <w:rsid w:val="63155F18"/>
    <w:rsid w:val="63161C90"/>
    <w:rsid w:val="63220635"/>
    <w:rsid w:val="632B4016"/>
    <w:rsid w:val="632C14B3"/>
    <w:rsid w:val="632E2B36"/>
    <w:rsid w:val="632E3727"/>
    <w:rsid w:val="632E6FDA"/>
    <w:rsid w:val="63367C3C"/>
    <w:rsid w:val="634560D1"/>
    <w:rsid w:val="63461D37"/>
    <w:rsid w:val="63473BF7"/>
    <w:rsid w:val="63493E13"/>
    <w:rsid w:val="63520F1A"/>
    <w:rsid w:val="63570EEF"/>
    <w:rsid w:val="63612F0B"/>
    <w:rsid w:val="63640C4D"/>
    <w:rsid w:val="636E5628"/>
    <w:rsid w:val="637013A0"/>
    <w:rsid w:val="63732C3E"/>
    <w:rsid w:val="637D586B"/>
    <w:rsid w:val="638135AD"/>
    <w:rsid w:val="638B7F88"/>
    <w:rsid w:val="638E7A78"/>
    <w:rsid w:val="639D7CBB"/>
    <w:rsid w:val="639F57E1"/>
    <w:rsid w:val="63A66B70"/>
    <w:rsid w:val="63AB062A"/>
    <w:rsid w:val="63AB23D8"/>
    <w:rsid w:val="63B76FCF"/>
    <w:rsid w:val="63BF40D6"/>
    <w:rsid w:val="63BF5E84"/>
    <w:rsid w:val="63CB5649"/>
    <w:rsid w:val="63D731CD"/>
    <w:rsid w:val="63D74F7B"/>
    <w:rsid w:val="63D77671"/>
    <w:rsid w:val="63E1229E"/>
    <w:rsid w:val="63E8362C"/>
    <w:rsid w:val="63EA73A4"/>
    <w:rsid w:val="63ED0C43"/>
    <w:rsid w:val="63FE69AC"/>
    <w:rsid w:val="63FF0976"/>
    <w:rsid w:val="64047D3A"/>
    <w:rsid w:val="64243F39"/>
    <w:rsid w:val="642A77A1"/>
    <w:rsid w:val="642D54E3"/>
    <w:rsid w:val="642F1E02"/>
    <w:rsid w:val="643423CE"/>
    <w:rsid w:val="64356733"/>
    <w:rsid w:val="64357EF4"/>
    <w:rsid w:val="64405216"/>
    <w:rsid w:val="64520AA6"/>
    <w:rsid w:val="645760BC"/>
    <w:rsid w:val="645C1924"/>
    <w:rsid w:val="645C36D2"/>
    <w:rsid w:val="645C7B76"/>
    <w:rsid w:val="6461518D"/>
    <w:rsid w:val="64654C7D"/>
    <w:rsid w:val="64664551"/>
    <w:rsid w:val="646F1658"/>
    <w:rsid w:val="6477050C"/>
    <w:rsid w:val="64794284"/>
    <w:rsid w:val="6481138B"/>
    <w:rsid w:val="64826465"/>
    <w:rsid w:val="6488096B"/>
    <w:rsid w:val="648D1ADE"/>
    <w:rsid w:val="648F1CFA"/>
    <w:rsid w:val="64923598"/>
    <w:rsid w:val="64942E6C"/>
    <w:rsid w:val="64A15589"/>
    <w:rsid w:val="64A62BA0"/>
    <w:rsid w:val="64A82DBC"/>
    <w:rsid w:val="64AF5EF8"/>
    <w:rsid w:val="64B11C70"/>
    <w:rsid w:val="64B74DAD"/>
    <w:rsid w:val="64BC23C3"/>
    <w:rsid w:val="64C179D9"/>
    <w:rsid w:val="64C51278"/>
    <w:rsid w:val="64C80D68"/>
    <w:rsid w:val="64D15E6F"/>
    <w:rsid w:val="64E21E2A"/>
    <w:rsid w:val="64E33DF4"/>
    <w:rsid w:val="64E536C8"/>
    <w:rsid w:val="64EA6F30"/>
    <w:rsid w:val="65006754"/>
    <w:rsid w:val="65077AE2"/>
    <w:rsid w:val="650A75D2"/>
    <w:rsid w:val="650D3CB3"/>
    <w:rsid w:val="65183A9D"/>
    <w:rsid w:val="651915C4"/>
    <w:rsid w:val="651E6BDA"/>
    <w:rsid w:val="65206DF6"/>
    <w:rsid w:val="652A557F"/>
    <w:rsid w:val="652F0DE7"/>
    <w:rsid w:val="653B3C30"/>
    <w:rsid w:val="6545060B"/>
    <w:rsid w:val="65510D5D"/>
    <w:rsid w:val="65530F79"/>
    <w:rsid w:val="65534AD5"/>
    <w:rsid w:val="655B398A"/>
    <w:rsid w:val="65622F6B"/>
    <w:rsid w:val="656D7CB5"/>
    <w:rsid w:val="656F7435"/>
    <w:rsid w:val="65752C9E"/>
    <w:rsid w:val="657A6506"/>
    <w:rsid w:val="657B402C"/>
    <w:rsid w:val="657F3B1C"/>
    <w:rsid w:val="65815AE7"/>
    <w:rsid w:val="658E3D60"/>
    <w:rsid w:val="65907AD8"/>
    <w:rsid w:val="65A13A93"/>
    <w:rsid w:val="65A76BCF"/>
    <w:rsid w:val="65B17A4E"/>
    <w:rsid w:val="65B23EF2"/>
    <w:rsid w:val="65C82528"/>
    <w:rsid w:val="65D200F0"/>
    <w:rsid w:val="65D8322D"/>
    <w:rsid w:val="65DC4ACB"/>
    <w:rsid w:val="65E6594A"/>
    <w:rsid w:val="65ED4F2A"/>
    <w:rsid w:val="65F20792"/>
    <w:rsid w:val="65F31BDB"/>
    <w:rsid w:val="65F52031"/>
    <w:rsid w:val="65FC33BF"/>
    <w:rsid w:val="65FF4C5D"/>
    <w:rsid w:val="6603474E"/>
    <w:rsid w:val="660404C6"/>
    <w:rsid w:val="660D2ED6"/>
    <w:rsid w:val="660D737A"/>
    <w:rsid w:val="661324B7"/>
    <w:rsid w:val="66140709"/>
    <w:rsid w:val="661C580F"/>
    <w:rsid w:val="661E1587"/>
    <w:rsid w:val="661E3335"/>
    <w:rsid w:val="661F0E5C"/>
    <w:rsid w:val="66252916"/>
    <w:rsid w:val="66291CDA"/>
    <w:rsid w:val="66327BF7"/>
    <w:rsid w:val="66340225"/>
    <w:rsid w:val="6635242D"/>
    <w:rsid w:val="66372649"/>
    <w:rsid w:val="66391F1D"/>
    <w:rsid w:val="663C1A0D"/>
    <w:rsid w:val="6646463A"/>
    <w:rsid w:val="664663E8"/>
    <w:rsid w:val="66524A62"/>
    <w:rsid w:val="66544FA9"/>
    <w:rsid w:val="6655552E"/>
    <w:rsid w:val="66560D21"/>
    <w:rsid w:val="66576847"/>
    <w:rsid w:val="6659611C"/>
    <w:rsid w:val="66613222"/>
    <w:rsid w:val="6663343E"/>
    <w:rsid w:val="666845B1"/>
    <w:rsid w:val="66723681"/>
    <w:rsid w:val="667411A7"/>
    <w:rsid w:val="66794A10"/>
    <w:rsid w:val="667F664F"/>
    <w:rsid w:val="66833198"/>
    <w:rsid w:val="66846F11"/>
    <w:rsid w:val="66892A91"/>
    <w:rsid w:val="66911D59"/>
    <w:rsid w:val="669E4476"/>
    <w:rsid w:val="669E7FD2"/>
    <w:rsid w:val="66A3383B"/>
    <w:rsid w:val="66A805B0"/>
    <w:rsid w:val="66A82BFF"/>
    <w:rsid w:val="66B45C16"/>
    <w:rsid w:val="66B5531C"/>
    <w:rsid w:val="66B617C0"/>
    <w:rsid w:val="66B71094"/>
    <w:rsid w:val="66BC2B4E"/>
    <w:rsid w:val="66C0619B"/>
    <w:rsid w:val="66C94B94"/>
    <w:rsid w:val="66CA526B"/>
    <w:rsid w:val="66CF4630"/>
    <w:rsid w:val="66E14363"/>
    <w:rsid w:val="66E55C01"/>
    <w:rsid w:val="66EC3434"/>
    <w:rsid w:val="66EC6F90"/>
    <w:rsid w:val="66F37E01"/>
    <w:rsid w:val="66F45E44"/>
    <w:rsid w:val="66F83B86"/>
    <w:rsid w:val="66FD73EF"/>
    <w:rsid w:val="670267B3"/>
    <w:rsid w:val="67031F48"/>
    <w:rsid w:val="670562A3"/>
    <w:rsid w:val="67065B78"/>
    <w:rsid w:val="670F0ED0"/>
    <w:rsid w:val="671169F6"/>
    <w:rsid w:val="67193AFD"/>
    <w:rsid w:val="671E1113"/>
    <w:rsid w:val="67346B89"/>
    <w:rsid w:val="67386679"/>
    <w:rsid w:val="673D5A3D"/>
    <w:rsid w:val="674072DB"/>
    <w:rsid w:val="674A1F08"/>
    <w:rsid w:val="67682E3A"/>
    <w:rsid w:val="67694A84"/>
    <w:rsid w:val="676A6106"/>
    <w:rsid w:val="677A0A3F"/>
    <w:rsid w:val="67852F40"/>
    <w:rsid w:val="678B67C2"/>
    <w:rsid w:val="678C0773"/>
    <w:rsid w:val="67915CB0"/>
    <w:rsid w:val="6796339F"/>
    <w:rsid w:val="67966EFB"/>
    <w:rsid w:val="67A05FCC"/>
    <w:rsid w:val="67A07D7A"/>
    <w:rsid w:val="67A71109"/>
    <w:rsid w:val="67A7735B"/>
    <w:rsid w:val="67A91325"/>
    <w:rsid w:val="67AC2BC3"/>
    <w:rsid w:val="67AE06E9"/>
    <w:rsid w:val="67B11F87"/>
    <w:rsid w:val="67B51A77"/>
    <w:rsid w:val="67BA0E3C"/>
    <w:rsid w:val="67BC1058"/>
    <w:rsid w:val="67D143D7"/>
    <w:rsid w:val="67D16185"/>
    <w:rsid w:val="67D30150"/>
    <w:rsid w:val="67D55C76"/>
    <w:rsid w:val="67D619EE"/>
    <w:rsid w:val="67DA14DE"/>
    <w:rsid w:val="67DC5256"/>
    <w:rsid w:val="67DD2D7C"/>
    <w:rsid w:val="67EB7247"/>
    <w:rsid w:val="67EE0AE5"/>
    <w:rsid w:val="67F26828"/>
    <w:rsid w:val="67F81964"/>
    <w:rsid w:val="67F84BAC"/>
    <w:rsid w:val="67F87BB6"/>
    <w:rsid w:val="6809591F"/>
    <w:rsid w:val="680C5410"/>
    <w:rsid w:val="68104F00"/>
    <w:rsid w:val="68106CAE"/>
    <w:rsid w:val="68120C78"/>
    <w:rsid w:val="68152516"/>
    <w:rsid w:val="68182006"/>
    <w:rsid w:val="68183DB4"/>
    <w:rsid w:val="681D13CB"/>
    <w:rsid w:val="682269E1"/>
    <w:rsid w:val="682B1D3A"/>
    <w:rsid w:val="682E34E9"/>
    <w:rsid w:val="68437083"/>
    <w:rsid w:val="685A43CD"/>
    <w:rsid w:val="68617509"/>
    <w:rsid w:val="6865349E"/>
    <w:rsid w:val="68684D3C"/>
    <w:rsid w:val="686B65DA"/>
    <w:rsid w:val="687436E1"/>
    <w:rsid w:val="68751207"/>
    <w:rsid w:val="687E630D"/>
    <w:rsid w:val="68824666"/>
    <w:rsid w:val="688356D2"/>
    <w:rsid w:val="688A2F04"/>
    <w:rsid w:val="688B27D8"/>
    <w:rsid w:val="68923B67"/>
    <w:rsid w:val="689773CF"/>
    <w:rsid w:val="689B6EBF"/>
    <w:rsid w:val="689C3E97"/>
    <w:rsid w:val="68A044D6"/>
    <w:rsid w:val="68A33FC6"/>
    <w:rsid w:val="68A610C0"/>
    <w:rsid w:val="68AA7102"/>
    <w:rsid w:val="68B41D2F"/>
    <w:rsid w:val="68B43ADD"/>
    <w:rsid w:val="68B7181F"/>
    <w:rsid w:val="68C1444C"/>
    <w:rsid w:val="68CA1553"/>
    <w:rsid w:val="68CB0E27"/>
    <w:rsid w:val="68CF0917"/>
    <w:rsid w:val="68D221B5"/>
    <w:rsid w:val="68D72731"/>
    <w:rsid w:val="68E32614"/>
    <w:rsid w:val="68E343C2"/>
    <w:rsid w:val="68E5013A"/>
    <w:rsid w:val="68E63EB3"/>
    <w:rsid w:val="68E819D9"/>
    <w:rsid w:val="68F16ADF"/>
    <w:rsid w:val="68F24AF6"/>
    <w:rsid w:val="68F93BE6"/>
    <w:rsid w:val="68FE11FC"/>
    <w:rsid w:val="69117181"/>
    <w:rsid w:val="691B3B5C"/>
    <w:rsid w:val="69232A11"/>
    <w:rsid w:val="692844CB"/>
    <w:rsid w:val="692A0243"/>
    <w:rsid w:val="692A3D9F"/>
    <w:rsid w:val="69360996"/>
    <w:rsid w:val="69401815"/>
    <w:rsid w:val="69431305"/>
    <w:rsid w:val="69456E2B"/>
    <w:rsid w:val="694766FF"/>
    <w:rsid w:val="69511DC2"/>
    <w:rsid w:val="696077C1"/>
    <w:rsid w:val="696848C8"/>
    <w:rsid w:val="696F5C56"/>
    <w:rsid w:val="69734969"/>
    <w:rsid w:val="69763488"/>
    <w:rsid w:val="697B284D"/>
    <w:rsid w:val="697B45FB"/>
    <w:rsid w:val="697D4817"/>
    <w:rsid w:val="697D65C5"/>
    <w:rsid w:val="698060B5"/>
    <w:rsid w:val="69823BDB"/>
    <w:rsid w:val="698A0CE2"/>
    <w:rsid w:val="698C05B6"/>
    <w:rsid w:val="698F62F8"/>
    <w:rsid w:val="69937B96"/>
    <w:rsid w:val="699833FF"/>
    <w:rsid w:val="699B6A4B"/>
    <w:rsid w:val="699D6C67"/>
    <w:rsid w:val="69A2602B"/>
    <w:rsid w:val="69A3389D"/>
    <w:rsid w:val="69A73642"/>
    <w:rsid w:val="69AB1384"/>
    <w:rsid w:val="69AE4A9D"/>
    <w:rsid w:val="69AE677E"/>
    <w:rsid w:val="69B3090F"/>
    <w:rsid w:val="69B33D95"/>
    <w:rsid w:val="69BD10B7"/>
    <w:rsid w:val="69C51D1A"/>
    <w:rsid w:val="69C77840"/>
    <w:rsid w:val="69CB5582"/>
    <w:rsid w:val="69CE6E20"/>
    <w:rsid w:val="69D41F5D"/>
    <w:rsid w:val="69D501AF"/>
    <w:rsid w:val="69D739F8"/>
    <w:rsid w:val="69E00902"/>
    <w:rsid w:val="69E403F2"/>
    <w:rsid w:val="69E46644"/>
    <w:rsid w:val="69E623BC"/>
    <w:rsid w:val="69E77EE2"/>
    <w:rsid w:val="69EB79D2"/>
    <w:rsid w:val="69F34AD9"/>
    <w:rsid w:val="6A274783"/>
    <w:rsid w:val="6A325601"/>
    <w:rsid w:val="6A3550F2"/>
    <w:rsid w:val="6A372C18"/>
    <w:rsid w:val="6A3824EC"/>
    <w:rsid w:val="6A507835"/>
    <w:rsid w:val="6A535578"/>
    <w:rsid w:val="6A5437CA"/>
    <w:rsid w:val="6A575068"/>
    <w:rsid w:val="6A5A6906"/>
    <w:rsid w:val="6A5C442C"/>
    <w:rsid w:val="6A5C61DA"/>
    <w:rsid w:val="6A5D01A4"/>
    <w:rsid w:val="6A5F3F1C"/>
    <w:rsid w:val="6A615EE7"/>
    <w:rsid w:val="6A7A2B04"/>
    <w:rsid w:val="6A8219B9"/>
    <w:rsid w:val="6A8614A9"/>
    <w:rsid w:val="6A8B6AC0"/>
    <w:rsid w:val="6A8E035E"/>
    <w:rsid w:val="6A902328"/>
    <w:rsid w:val="6A9260A0"/>
    <w:rsid w:val="6A935974"/>
    <w:rsid w:val="6A952428"/>
    <w:rsid w:val="6A955B90"/>
    <w:rsid w:val="6A9A4F55"/>
    <w:rsid w:val="6A9F7B0C"/>
    <w:rsid w:val="6AA45DD3"/>
    <w:rsid w:val="6AAB0F10"/>
    <w:rsid w:val="6AAB2B20"/>
    <w:rsid w:val="6AB44268"/>
    <w:rsid w:val="6AB67235"/>
    <w:rsid w:val="6AB75B07"/>
    <w:rsid w:val="6AB853DB"/>
    <w:rsid w:val="6AB9362D"/>
    <w:rsid w:val="6ABE50E7"/>
    <w:rsid w:val="6ABF49BB"/>
    <w:rsid w:val="6AC344AB"/>
    <w:rsid w:val="6AC77CBF"/>
    <w:rsid w:val="6AD93CCF"/>
    <w:rsid w:val="6ADE12E5"/>
    <w:rsid w:val="6AE10DD5"/>
    <w:rsid w:val="6AE306AA"/>
    <w:rsid w:val="6AF1726A"/>
    <w:rsid w:val="6AF428B7"/>
    <w:rsid w:val="6AF705F9"/>
    <w:rsid w:val="6AF74155"/>
    <w:rsid w:val="6AFA59F3"/>
    <w:rsid w:val="6AFC176B"/>
    <w:rsid w:val="6AFE7291"/>
    <w:rsid w:val="6B013226"/>
    <w:rsid w:val="6B1116BB"/>
    <w:rsid w:val="6B1747F7"/>
    <w:rsid w:val="6B2036AC"/>
    <w:rsid w:val="6B2313EE"/>
    <w:rsid w:val="6B3709F5"/>
    <w:rsid w:val="6B3929BF"/>
    <w:rsid w:val="6B3B2294"/>
    <w:rsid w:val="6B4A697B"/>
    <w:rsid w:val="6B5D66AE"/>
    <w:rsid w:val="6B621F16"/>
    <w:rsid w:val="6B686E01"/>
    <w:rsid w:val="6B735ED1"/>
    <w:rsid w:val="6B7B4D86"/>
    <w:rsid w:val="6B7E03D2"/>
    <w:rsid w:val="6B8A321B"/>
    <w:rsid w:val="6B923E7E"/>
    <w:rsid w:val="6B96396E"/>
    <w:rsid w:val="6BA20565"/>
    <w:rsid w:val="6BA73DCD"/>
    <w:rsid w:val="6BA918F3"/>
    <w:rsid w:val="6BAF2C82"/>
    <w:rsid w:val="6BBD463B"/>
    <w:rsid w:val="6BC009EB"/>
    <w:rsid w:val="6BC77FCB"/>
    <w:rsid w:val="6BD10E4A"/>
    <w:rsid w:val="6BD3071E"/>
    <w:rsid w:val="6BD44496"/>
    <w:rsid w:val="6BE37F21"/>
    <w:rsid w:val="6BE566A3"/>
    <w:rsid w:val="6BEC5C84"/>
    <w:rsid w:val="6BF1329A"/>
    <w:rsid w:val="6C022DB1"/>
    <w:rsid w:val="6C0703C8"/>
    <w:rsid w:val="6C07661A"/>
    <w:rsid w:val="6C085AAD"/>
    <w:rsid w:val="6C0F54CE"/>
    <w:rsid w:val="6C101972"/>
    <w:rsid w:val="6C172D01"/>
    <w:rsid w:val="6C1A70D2"/>
    <w:rsid w:val="6C1C3133"/>
    <w:rsid w:val="6C270A6A"/>
    <w:rsid w:val="6C2947E2"/>
    <w:rsid w:val="6C375151"/>
    <w:rsid w:val="6C38499A"/>
    <w:rsid w:val="6C417D7E"/>
    <w:rsid w:val="6C467142"/>
    <w:rsid w:val="6C4B4758"/>
    <w:rsid w:val="6C4B6506"/>
    <w:rsid w:val="6C4C227F"/>
    <w:rsid w:val="6C4E249B"/>
    <w:rsid w:val="6C523D39"/>
    <w:rsid w:val="6C5630FD"/>
    <w:rsid w:val="6C643A6C"/>
    <w:rsid w:val="6C6972D4"/>
    <w:rsid w:val="6C6C46CF"/>
    <w:rsid w:val="6C755C79"/>
    <w:rsid w:val="6C7A6DEC"/>
    <w:rsid w:val="6C861C34"/>
    <w:rsid w:val="6C8E0AE9"/>
    <w:rsid w:val="6C975BF0"/>
    <w:rsid w:val="6C97799E"/>
    <w:rsid w:val="6C9F4AA4"/>
    <w:rsid w:val="6CA05869"/>
    <w:rsid w:val="6CA43E69"/>
    <w:rsid w:val="6CAD5413"/>
    <w:rsid w:val="6CB0280D"/>
    <w:rsid w:val="6CB542C8"/>
    <w:rsid w:val="6CB73B9C"/>
    <w:rsid w:val="6CBF6EF4"/>
    <w:rsid w:val="6CC4275D"/>
    <w:rsid w:val="6CEA21C3"/>
    <w:rsid w:val="6CF05300"/>
    <w:rsid w:val="6CF21078"/>
    <w:rsid w:val="6CF7668E"/>
    <w:rsid w:val="6CFA7F2C"/>
    <w:rsid w:val="6CFC61C3"/>
    <w:rsid w:val="6D003795"/>
    <w:rsid w:val="6D033285"/>
    <w:rsid w:val="6D056FFD"/>
    <w:rsid w:val="6D0E5786"/>
    <w:rsid w:val="6D0F1C2A"/>
    <w:rsid w:val="6D1234C8"/>
    <w:rsid w:val="6D194A59"/>
    <w:rsid w:val="6D2154B9"/>
    <w:rsid w:val="6D2B458A"/>
    <w:rsid w:val="6D2F5E28"/>
    <w:rsid w:val="6D301BA0"/>
    <w:rsid w:val="6D3B47CD"/>
    <w:rsid w:val="6D400035"/>
    <w:rsid w:val="6D4C69DA"/>
    <w:rsid w:val="6D513FF0"/>
    <w:rsid w:val="6D673814"/>
    <w:rsid w:val="6D68758C"/>
    <w:rsid w:val="6D6A7E15"/>
    <w:rsid w:val="6D6B4986"/>
    <w:rsid w:val="6D6C2BD8"/>
    <w:rsid w:val="6D714693"/>
    <w:rsid w:val="6D723F67"/>
    <w:rsid w:val="6D741A8D"/>
    <w:rsid w:val="6D763A57"/>
    <w:rsid w:val="6D785A21"/>
    <w:rsid w:val="6D7C6B93"/>
    <w:rsid w:val="6D7E0B5E"/>
    <w:rsid w:val="6D7E46BA"/>
    <w:rsid w:val="6D88378A"/>
    <w:rsid w:val="6D8A305E"/>
    <w:rsid w:val="6D8A3E6E"/>
    <w:rsid w:val="6D967C55"/>
    <w:rsid w:val="6D997745"/>
    <w:rsid w:val="6DA07EE4"/>
    <w:rsid w:val="6DA34120"/>
    <w:rsid w:val="6DA700B4"/>
    <w:rsid w:val="6DB4457F"/>
    <w:rsid w:val="6DB709C7"/>
    <w:rsid w:val="6DBE0F5A"/>
    <w:rsid w:val="6DC01176"/>
    <w:rsid w:val="6DC24EEE"/>
    <w:rsid w:val="6DC347C2"/>
    <w:rsid w:val="6DC522E8"/>
    <w:rsid w:val="6DC72505"/>
    <w:rsid w:val="6DD16EDF"/>
    <w:rsid w:val="6DD4077E"/>
    <w:rsid w:val="6DD54C21"/>
    <w:rsid w:val="6DD8026E"/>
    <w:rsid w:val="6DE36C13"/>
    <w:rsid w:val="6DFA4688"/>
    <w:rsid w:val="6DFD5F26"/>
    <w:rsid w:val="6E1A0886"/>
    <w:rsid w:val="6E1B015A"/>
    <w:rsid w:val="6E22773B"/>
    <w:rsid w:val="6E25722B"/>
    <w:rsid w:val="6E2C680B"/>
    <w:rsid w:val="6E386F5E"/>
    <w:rsid w:val="6E4C0C5C"/>
    <w:rsid w:val="6E4C47B8"/>
    <w:rsid w:val="6E4E0530"/>
    <w:rsid w:val="6E510020"/>
    <w:rsid w:val="6E557B10"/>
    <w:rsid w:val="6E5A6ED5"/>
    <w:rsid w:val="6E62222D"/>
    <w:rsid w:val="6E6733A0"/>
    <w:rsid w:val="6E70494A"/>
    <w:rsid w:val="6E712470"/>
    <w:rsid w:val="6E7A30D3"/>
    <w:rsid w:val="6E810905"/>
    <w:rsid w:val="6E8C1058"/>
    <w:rsid w:val="6E91355D"/>
    <w:rsid w:val="6E930639"/>
    <w:rsid w:val="6E963C85"/>
    <w:rsid w:val="6E985C4F"/>
    <w:rsid w:val="6E9C573F"/>
    <w:rsid w:val="6E9E14B7"/>
    <w:rsid w:val="6EA2087C"/>
    <w:rsid w:val="6EA559DC"/>
    <w:rsid w:val="6EA75E92"/>
    <w:rsid w:val="6EB32A89"/>
    <w:rsid w:val="6EB90D41"/>
    <w:rsid w:val="6EBA3E17"/>
    <w:rsid w:val="6EC16F54"/>
    <w:rsid w:val="6EC24A7A"/>
    <w:rsid w:val="6ECB00EB"/>
    <w:rsid w:val="6ED00F45"/>
    <w:rsid w:val="6ED21161"/>
    <w:rsid w:val="6EDC5B3C"/>
    <w:rsid w:val="6EDE7B06"/>
    <w:rsid w:val="6EDF562C"/>
    <w:rsid w:val="6EE113A4"/>
    <w:rsid w:val="6EE36ECA"/>
    <w:rsid w:val="6EE40E94"/>
    <w:rsid w:val="6EE92007"/>
    <w:rsid w:val="6EEB2223"/>
    <w:rsid w:val="6EEF1D13"/>
    <w:rsid w:val="6EF70BC7"/>
    <w:rsid w:val="6F046E40"/>
    <w:rsid w:val="6F1572A0"/>
    <w:rsid w:val="6F3A0AB4"/>
    <w:rsid w:val="6F4F27B2"/>
    <w:rsid w:val="6F524050"/>
    <w:rsid w:val="6F55769C"/>
    <w:rsid w:val="6F5C5537"/>
    <w:rsid w:val="6F653D83"/>
    <w:rsid w:val="6F655B31"/>
    <w:rsid w:val="6F66483A"/>
    <w:rsid w:val="6F7B35A7"/>
    <w:rsid w:val="6F8561D3"/>
    <w:rsid w:val="6F871F4B"/>
    <w:rsid w:val="6F8D32DA"/>
    <w:rsid w:val="6F8F2BAE"/>
    <w:rsid w:val="6F92269E"/>
    <w:rsid w:val="6F993A2D"/>
    <w:rsid w:val="6FA66085"/>
    <w:rsid w:val="6FA75CB0"/>
    <w:rsid w:val="6FA7614A"/>
    <w:rsid w:val="6FA81EC2"/>
    <w:rsid w:val="6FAA79E8"/>
    <w:rsid w:val="6FAD572A"/>
    <w:rsid w:val="6FAF3250"/>
    <w:rsid w:val="6FB6638D"/>
    <w:rsid w:val="6FCA1E38"/>
    <w:rsid w:val="6FD607DD"/>
    <w:rsid w:val="6FD64C81"/>
    <w:rsid w:val="6FD66A2F"/>
    <w:rsid w:val="6FD9207B"/>
    <w:rsid w:val="6FDD7DBD"/>
    <w:rsid w:val="6FE3114C"/>
    <w:rsid w:val="6FE32EFA"/>
    <w:rsid w:val="6FED5B27"/>
    <w:rsid w:val="70025A76"/>
    <w:rsid w:val="70027824"/>
    <w:rsid w:val="7003534A"/>
    <w:rsid w:val="70074E3A"/>
    <w:rsid w:val="700E441B"/>
    <w:rsid w:val="700F1F41"/>
    <w:rsid w:val="70194B6E"/>
    <w:rsid w:val="7019691C"/>
    <w:rsid w:val="70271038"/>
    <w:rsid w:val="70294DB1"/>
    <w:rsid w:val="702F1D05"/>
    <w:rsid w:val="703379DD"/>
    <w:rsid w:val="703A6FBE"/>
    <w:rsid w:val="703B2D36"/>
    <w:rsid w:val="703B4AE4"/>
    <w:rsid w:val="70433998"/>
    <w:rsid w:val="704936A5"/>
    <w:rsid w:val="704D21FD"/>
    <w:rsid w:val="705636CC"/>
    <w:rsid w:val="70567B70"/>
    <w:rsid w:val="70587444"/>
    <w:rsid w:val="705B0CE2"/>
    <w:rsid w:val="705D0EFE"/>
    <w:rsid w:val="705F4991"/>
    <w:rsid w:val="706A7177"/>
    <w:rsid w:val="706C2EEF"/>
    <w:rsid w:val="707029DF"/>
    <w:rsid w:val="707149AA"/>
    <w:rsid w:val="70757FF6"/>
    <w:rsid w:val="707A560C"/>
    <w:rsid w:val="70820965"/>
    <w:rsid w:val="7089584F"/>
    <w:rsid w:val="708C3591"/>
    <w:rsid w:val="708E0396"/>
    <w:rsid w:val="70987F81"/>
    <w:rsid w:val="70A1703D"/>
    <w:rsid w:val="70A94143"/>
    <w:rsid w:val="70B52AE8"/>
    <w:rsid w:val="70B76667"/>
    <w:rsid w:val="70BA1EAD"/>
    <w:rsid w:val="70BE7F7D"/>
    <w:rsid w:val="70C745CA"/>
    <w:rsid w:val="70C90342"/>
    <w:rsid w:val="70CE3BAA"/>
    <w:rsid w:val="70D72A5F"/>
    <w:rsid w:val="70DD3DED"/>
    <w:rsid w:val="70DF1913"/>
    <w:rsid w:val="70E138DD"/>
    <w:rsid w:val="70EB02B8"/>
    <w:rsid w:val="70EC5DDE"/>
    <w:rsid w:val="70F5350B"/>
    <w:rsid w:val="70F829D5"/>
    <w:rsid w:val="70F96E79"/>
    <w:rsid w:val="70FF3D63"/>
    <w:rsid w:val="7101188A"/>
    <w:rsid w:val="71145A61"/>
    <w:rsid w:val="71184E25"/>
    <w:rsid w:val="711A0B9D"/>
    <w:rsid w:val="712437CA"/>
    <w:rsid w:val="71245578"/>
    <w:rsid w:val="712612F0"/>
    <w:rsid w:val="713E488C"/>
    <w:rsid w:val="7141612A"/>
    <w:rsid w:val="71445C1A"/>
    <w:rsid w:val="71463740"/>
    <w:rsid w:val="715A71EC"/>
    <w:rsid w:val="715C2F64"/>
    <w:rsid w:val="715F193C"/>
    <w:rsid w:val="717F6C52"/>
    <w:rsid w:val="718A5D23"/>
    <w:rsid w:val="718D136F"/>
    <w:rsid w:val="718F158B"/>
    <w:rsid w:val="71900E5F"/>
    <w:rsid w:val="719B7F30"/>
    <w:rsid w:val="71A05546"/>
    <w:rsid w:val="71A44CEF"/>
    <w:rsid w:val="71A62431"/>
    <w:rsid w:val="71A64371"/>
    <w:rsid w:val="71B40FF2"/>
    <w:rsid w:val="71BC3A02"/>
    <w:rsid w:val="71C11019"/>
    <w:rsid w:val="71C70D25"/>
    <w:rsid w:val="71CA25C3"/>
    <w:rsid w:val="71D13952"/>
    <w:rsid w:val="71DE606F"/>
    <w:rsid w:val="71DE6A5D"/>
    <w:rsid w:val="71E2790D"/>
    <w:rsid w:val="71E31742"/>
    <w:rsid w:val="71F25676"/>
    <w:rsid w:val="71F66F14"/>
    <w:rsid w:val="71FE226D"/>
    <w:rsid w:val="720158B9"/>
    <w:rsid w:val="72031255"/>
    <w:rsid w:val="72031631"/>
    <w:rsid w:val="72032534"/>
    <w:rsid w:val="720D425E"/>
    <w:rsid w:val="72127AC6"/>
    <w:rsid w:val="72141A90"/>
    <w:rsid w:val="721970A7"/>
    <w:rsid w:val="72203F91"/>
    <w:rsid w:val="72225F5B"/>
    <w:rsid w:val="72231CD3"/>
    <w:rsid w:val="722A4E10"/>
    <w:rsid w:val="72373E4F"/>
    <w:rsid w:val="723A2BE4"/>
    <w:rsid w:val="723C0F0F"/>
    <w:rsid w:val="723E08BB"/>
    <w:rsid w:val="723F6B0D"/>
    <w:rsid w:val="72435ED2"/>
    <w:rsid w:val="72457E9C"/>
    <w:rsid w:val="724F4877"/>
    <w:rsid w:val="725105EF"/>
    <w:rsid w:val="725325B9"/>
    <w:rsid w:val="725B321B"/>
    <w:rsid w:val="725E2D0C"/>
    <w:rsid w:val="7265409A"/>
    <w:rsid w:val="72691DDC"/>
    <w:rsid w:val="726C5429"/>
    <w:rsid w:val="72760055"/>
    <w:rsid w:val="727A7B45"/>
    <w:rsid w:val="72800ED4"/>
    <w:rsid w:val="728409C4"/>
    <w:rsid w:val="7285473C"/>
    <w:rsid w:val="728B1D53"/>
    <w:rsid w:val="72930C07"/>
    <w:rsid w:val="729A01E8"/>
    <w:rsid w:val="729D1A86"/>
    <w:rsid w:val="72AE69DA"/>
    <w:rsid w:val="72B43F65"/>
    <w:rsid w:val="72BB015E"/>
    <w:rsid w:val="72BB170D"/>
    <w:rsid w:val="72BD5C84"/>
    <w:rsid w:val="72C4788F"/>
    <w:rsid w:val="72CB65F3"/>
    <w:rsid w:val="72CE60E3"/>
    <w:rsid w:val="72D03C09"/>
    <w:rsid w:val="72DA05E4"/>
    <w:rsid w:val="72E871A5"/>
    <w:rsid w:val="72E94CCB"/>
    <w:rsid w:val="72EC7CF0"/>
    <w:rsid w:val="72F13B80"/>
    <w:rsid w:val="72F773E8"/>
    <w:rsid w:val="72F86CBC"/>
    <w:rsid w:val="72FC49FE"/>
    <w:rsid w:val="73076EFF"/>
    <w:rsid w:val="730833A3"/>
    <w:rsid w:val="73085D88"/>
    <w:rsid w:val="730D09BA"/>
    <w:rsid w:val="73137F9A"/>
    <w:rsid w:val="73214465"/>
    <w:rsid w:val="73217FC1"/>
    <w:rsid w:val="73246FA0"/>
    <w:rsid w:val="732B0E40"/>
    <w:rsid w:val="73397A01"/>
    <w:rsid w:val="733C4DFB"/>
    <w:rsid w:val="733D0B73"/>
    <w:rsid w:val="734939BC"/>
    <w:rsid w:val="73506AF8"/>
    <w:rsid w:val="73577E87"/>
    <w:rsid w:val="735859AD"/>
    <w:rsid w:val="73595538"/>
    <w:rsid w:val="735D4CA3"/>
    <w:rsid w:val="73610D05"/>
    <w:rsid w:val="73677AAD"/>
    <w:rsid w:val="73734595"/>
    <w:rsid w:val="73832A2A"/>
    <w:rsid w:val="73836ECE"/>
    <w:rsid w:val="7386251A"/>
    <w:rsid w:val="738A200A"/>
    <w:rsid w:val="739015EB"/>
    <w:rsid w:val="73970283"/>
    <w:rsid w:val="739C3AEB"/>
    <w:rsid w:val="73A3131E"/>
    <w:rsid w:val="73A806E2"/>
    <w:rsid w:val="73B21561"/>
    <w:rsid w:val="73C03C7E"/>
    <w:rsid w:val="73CB43D1"/>
    <w:rsid w:val="73D03795"/>
    <w:rsid w:val="73D72D76"/>
    <w:rsid w:val="73E060CE"/>
    <w:rsid w:val="73FC27DC"/>
    <w:rsid w:val="73FE47A6"/>
    <w:rsid w:val="73FE6554"/>
    <w:rsid w:val="740C6EC3"/>
    <w:rsid w:val="74100036"/>
    <w:rsid w:val="74161AF0"/>
    <w:rsid w:val="741E09A4"/>
    <w:rsid w:val="742F5A5A"/>
    <w:rsid w:val="743261FE"/>
    <w:rsid w:val="74330C1B"/>
    <w:rsid w:val="743E4BA3"/>
    <w:rsid w:val="74441AE5"/>
    <w:rsid w:val="745A5E80"/>
    <w:rsid w:val="745B5755"/>
    <w:rsid w:val="745E5245"/>
    <w:rsid w:val="74654825"/>
    <w:rsid w:val="746F1200"/>
    <w:rsid w:val="7476258E"/>
    <w:rsid w:val="7476433D"/>
    <w:rsid w:val="74806F69"/>
    <w:rsid w:val="74820F33"/>
    <w:rsid w:val="74836A59"/>
    <w:rsid w:val="74884070"/>
    <w:rsid w:val="749018A2"/>
    <w:rsid w:val="74945351"/>
    <w:rsid w:val="749A44CF"/>
    <w:rsid w:val="749E5641"/>
    <w:rsid w:val="74A569D0"/>
    <w:rsid w:val="74B17A6A"/>
    <w:rsid w:val="74BA06CD"/>
    <w:rsid w:val="74C432FA"/>
    <w:rsid w:val="74C94DB4"/>
    <w:rsid w:val="74CC6652"/>
    <w:rsid w:val="74D06143"/>
    <w:rsid w:val="74D774D1"/>
    <w:rsid w:val="74D80B53"/>
    <w:rsid w:val="74DD43BC"/>
    <w:rsid w:val="74E120FE"/>
    <w:rsid w:val="74E514C2"/>
    <w:rsid w:val="74E53270"/>
    <w:rsid w:val="74E7348C"/>
    <w:rsid w:val="74EA0887"/>
    <w:rsid w:val="74F00593"/>
    <w:rsid w:val="74F2294A"/>
    <w:rsid w:val="74F51705"/>
    <w:rsid w:val="74F55BA9"/>
    <w:rsid w:val="74F71921"/>
    <w:rsid w:val="74FD19CB"/>
    <w:rsid w:val="74FF2584"/>
    <w:rsid w:val="7501454E"/>
    <w:rsid w:val="75071439"/>
    <w:rsid w:val="7508162A"/>
    <w:rsid w:val="750B717B"/>
    <w:rsid w:val="75104791"/>
    <w:rsid w:val="75114065"/>
    <w:rsid w:val="75151DA7"/>
    <w:rsid w:val="75181898"/>
    <w:rsid w:val="7524023C"/>
    <w:rsid w:val="75267B11"/>
    <w:rsid w:val="7535244A"/>
    <w:rsid w:val="75371D1E"/>
    <w:rsid w:val="753D12FE"/>
    <w:rsid w:val="7544268D"/>
    <w:rsid w:val="75466405"/>
    <w:rsid w:val="754B57C9"/>
    <w:rsid w:val="754C32EF"/>
    <w:rsid w:val="754E350B"/>
    <w:rsid w:val="754E52B9"/>
    <w:rsid w:val="75530B22"/>
    <w:rsid w:val="755521A4"/>
    <w:rsid w:val="755F1275"/>
    <w:rsid w:val="7561323F"/>
    <w:rsid w:val="75616D9B"/>
    <w:rsid w:val="75640639"/>
    <w:rsid w:val="7564688B"/>
    <w:rsid w:val="75662603"/>
    <w:rsid w:val="756920F3"/>
    <w:rsid w:val="756D573F"/>
    <w:rsid w:val="75706FDE"/>
    <w:rsid w:val="75790588"/>
    <w:rsid w:val="757F1917"/>
    <w:rsid w:val="75882579"/>
    <w:rsid w:val="758D5DE2"/>
    <w:rsid w:val="75907680"/>
    <w:rsid w:val="75952EE8"/>
    <w:rsid w:val="759B13C8"/>
    <w:rsid w:val="759C7DD3"/>
    <w:rsid w:val="75A060BB"/>
    <w:rsid w:val="75A1363B"/>
    <w:rsid w:val="75A86778"/>
    <w:rsid w:val="75AF3FAA"/>
    <w:rsid w:val="75B25848"/>
    <w:rsid w:val="75C335B1"/>
    <w:rsid w:val="75C612F4"/>
    <w:rsid w:val="75CB4B5C"/>
    <w:rsid w:val="75DC28C5"/>
    <w:rsid w:val="75DE488F"/>
    <w:rsid w:val="75E8126A"/>
    <w:rsid w:val="75E83018"/>
    <w:rsid w:val="75E86C1E"/>
    <w:rsid w:val="75EA3234"/>
    <w:rsid w:val="75EB0D5A"/>
    <w:rsid w:val="75F714AD"/>
    <w:rsid w:val="75F75951"/>
    <w:rsid w:val="75FA2D4B"/>
    <w:rsid w:val="76087714"/>
    <w:rsid w:val="760B6D06"/>
    <w:rsid w:val="760F4A16"/>
    <w:rsid w:val="76164029"/>
    <w:rsid w:val="761920DD"/>
    <w:rsid w:val="7621477C"/>
    <w:rsid w:val="7625601A"/>
    <w:rsid w:val="76263B40"/>
    <w:rsid w:val="76280742"/>
    <w:rsid w:val="762F6E99"/>
    <w:rsid w:val="763B75EC"/>
    <w:rsid w:val="763E532E"/>
    <w:rsid w:val="764010A6"/>
    <w:rsid w:val="76404C02"/>
    <w:rsid w:val="764F3097"/>
    <w:rsid w:val="766308F1"/>
    <w:rsid w:val="76684159"/>
    <w:rsid w:val="7671300D"/>
    <w:rsid w:val="767D7C04"/>
    <w:rsid w:val="76854D0B"/>
    <w:rsid w:val="76870A83"/>
    <w:rsid w:val="76911902"/>
    <w:rsid w:val="76937428"/>
    <w:rsid w:val="76962A74"/>
    <w:rsid w:val="76966F18"/>
    <w:rsid w:val="769B62DC"/>
    <w:rsid w:val="769D2054"/>
    <w:rsid w:val="769D3E02"/>
    <w:rsid w:val="76A553AD"/>
    <w:rsid w:val="76A5715B"/>
    <w:rsid w:val="76A74C81"/>
    <w:rsid w:val="76A76DE0"/>
    <w:rsid w:val="76AE6010"/>
    <w:rsid w:val="76BE1FCB"/>
    <w:rsid w:val="76D637B8"/>
    <w:rsid w:val="76DB0DCF"/>
    <w:rsid w:val="76DD4B47"/>
    <w:rsid w:val="76F36118"/>
    <w:rsid w:val="76F926A8"/>
    <w:rsid w:val="76FF686B"/>
    <w:rsid w:val="7706409E"/>
    <w:rsid w:val="770A5210"/>
    <w:rsid w:val="77147E3D"/>
    <w:rsid w:val="7715608F"/>
    <w:rsid w:val="77242776"/>
    <w:rsid w:val="77277B70"/>
    <w:rsid w:val="772E53A2"/>
    <w:rsid w:val="77356731"/>
    <w:rsid w:val="773C649A"/>
    <w:rsid w:val="773D7394"/>
    <w:rsid w:val="774024D3"/>
    <w:rsid w:val="774C6D39"/>
    <w:rsid w:val="775248E8"/>
    <w:rsid w:val="775546DD"/>
    <w:rsid w:val="775766A7"/>
    <w:rsid w:val="775A1CF3"/>
    <w:rsid w:val="775A6197"/>
    <w:rsid w:val="775C1F10"/>
    <w:rsid w:val="776668EA"/>
    <w:rsid w:val="776E1C43"/>
    <w:rsid w:val="7771703D"/>
    <w:rsid w:val="77785CE2"/>
    <w:rsid w:val="77844FC2"/>
    <w:rsid w:val="77866F8C"/>
    <w:rsid w:val="7789082B"/>
    <w:rsid w:val="778B00FF"/>
    <w:rsid w:val="77903967"/>
    <w:rsid w:val="77933457"/>
    <w:rsid w:val="779F3BAA"/>
    <w:rsid w:val="77A25449"/>
    <w:rsid w:val="77AB254F"/>
    <w:rsid w:val="77AD62C7"/>
    <w:rsid w:val="77B533CE"/>
    <w:rsid w:val="77B75398"/>
    <w:rsid w:val="77BD2282"/>
    <w:rsid w:val="77C74EAF"/>
    <w:rsid w:val="77CB0E43"/>
    <w:rsid w:val="77DA1086"/>
    <w:rsid w:val="77DB72D8"/>
    <w:rsid w:val="77DC4DFE"/>
    <w:rsid w:val="77DE0B76"/>
    <w:rsid w:val="77E141C3"/>
    <w:rsid w:val="77E15F71"/>
    <w:rsid w:val="77E51F05"/>
    <w:rsid w:val="77EE068E"/>
    <w:rsid w:val="77F03E5F"/>
    <w:rsid w:val="77FA7033"/>
    <w:rsid w:val="77FC247B"/>
    <w:rsid w:val="77FE622B"/>
    <w:rsid w:val="78024D39"/>
    <w:rsid w:val="7809333E"/>
    <w:rsid w:val="780D320A"/>
    <w:rsid w:val="78146346"/>
    <w:rsid w:val="781A1483"/>
    <w:rsid w:val="78283BA0"/>
    <w:rsid w:val="782C7B34"/>
    <w:rsid w:val="782F4F2E"/>
    <w:rsid w:val="783764D9"/>
    <w:rsid w:val="78397B5B"/>
    <w:rsid w:val="783E33C3"/>
    <w:rsid w:val="783E7867"/>
    <w:rsid w:val="78454752"/>
    <w:rsid w:val="784F55D0"/>
    <w:rsid w:val="78564BB1"/>
    <w:rsid w:val="78591FAB"/>
    <w:rsid w:val="785B5D23"/>
    <w:rsid w:val="786372CE"/>
    <w:rsid w:val="78746DE5"/>
    <w:rsid w:val="7883171E"/>
    <w:rsid w:val="78850FF2"/>
    <w:rsid w:val="78882890"/>
    <w:rsid w:val="788B412F"/>
    <w:rsid w:val="78A07BDA"/>
    <w:rsid w:val="78A7540C"/>
    <w:rsid w:val="78B673FD"/>
    <w:rsid w:val="78B813C8"/>
    <w:rsid w:val="78B90C9C"/>
    <w:rsid w:val="78C57641"/>
    <w:rsid w:val="78C87131"/>
    <w:rsid w:val="78CA2EA9"/>
    <w:rsid w:val="78CC4E73"/>
    <w:rsid w:val="78CF04BF"/>
    <w:rsid w:val="78D45AD6"/>
    <w:rsid w:val="78D635FC"/>
    <w:rsid w:val="78D930EC"/>
    <w:rsid w:val="78DE6954"/>
    <w:rsid w:val="78E4686E"/>
    <w:rsid w:val="78E8332F"/>
    <w:rsid w:val="78EA6370"/>
    <w:rsid w:val="78FB0AB1"/>
    <w:rsid w:val="78FB7506"/>
    <w:rsid w:val="78FC6FE9"/>
    <w:rsid w:val="79022643"/>
    <w:rsid w:val="792425B9"/>
    <w:rsid w:val="79297BCF"/>
    <w:rsid w:val="792F71B0"/>
    <w:rsid w:val="79312F28"/>
    <w:rsid w:val="79336CA0"/>
    <w:rsid w:val="79393B8B"/>
    <w:rsid w:val="793D367B"/>
    <w:rsid w:val="79442C5B"/>
    <w:rsid w:val="79492020"/>
    <w:rsid w:val="795135CA"/>
    <w:rsid w:val="795A422D"/>
    <w:rsid w:val="7961380D"/>
    <w:rsid w:val="79701CA2"/>
    <w:rsid w:val="79711576"/>
    <w:rsid w:val="79725A1A"/>
    <w:rsid w:val="79780B57"/>
    <w:rsid w:val="79815C5D"/>
    <w:rsid w:val="79825532"/>
    <w:rsid w:val="79865022"/>
    <w:rsid w:val="798B2638"/>
    <w:rsid w:val="798B6ADC"/>
    <w:rsid w:val="79935991"/>
    <w:rsid w:val="799C4845"/>
    <w:rsid w:val="799E680F"/>
    <w:rsid w:val="79A8143C"/>
    <w:rsid w:val="79AB2CDA"/>
    <w:rsid w:val="79AC1C34"/>
    <w:rsid w:val="79AD6A52"/>
    <w:rsid w:val="79BD656A"/>
    <w:rsid w:val="79C124FE"/>
    <w:rsid w:val="79C17638"/>
    <w:rsid w:val="79C618C2"/>
    <w:rsid w:val="79C67B14"/>
    <w:rsid w:val="79CB0C87"/>
    <w:rsid w:val="79D00993"/>
    <w:rsid w:val="79D57D57"/>
    <w:rsid w:val="79D7587D"/>
    <w:rsid w:val="79DC2E94"/>
    <w:rsid w:val="79E32474"/>
    <w:rsid w:val="79E63D12"/>
    <w:rsid w:val="79E87A8A"/>
    <w:rsid w:val="79ED50A1"/>
    <w:rsid w:val="79F71A7C"/>
    <w:rsid w:val="79F77CCE"/>
    <w:rsid w:val="79FA156C"/>
    <w:rsid w:val="79FA77BE"/>
    <w:rsid w:val="7A010B4C"/>
    <w:rsid w:val="7A083C89"/>
    <w:rsid w:val="7A0D129F"/>
    <w:rsid w:val="7A1545F8"/>
    <w:rsid w:val="7A1B6759"/>
    <w:rsid w:val="7A1E34AC"/>
    <w:rsid w:val="7A2111EE"/>
    <w:rsid w:val="7A236D15"/>
    <w:rsid w:val="7A2B5BC9"/>
    <w:rsid w:val="7A2D36EF"/>
    <w:rsid w:val="7A3251AA"/>
    <w:rsid w:val="7A431165"/>
    <w:rsid w:val="7A440A39"/>
    <w:rsid w:val="7A4F7B0A"/>
    <w:rsid w:val="7A5B64AE"/>
    <w:rsid w:val="7A5F2652"/>
    <w:rsid w:val="7A6D4434"/>
    <w:rsid w:val="7A7632E8"/>
    <w:rsid w:val="7A7A445B"/>
    <w:rsid w:val="7A7C01D3"/>
    <w:rsid w:val="7A7E3F4B"/>
    <w:rsid w:val="7A7F1A71"/>
    <w:rsid w:val="7A835A05"/>
    <w:rsid w:val="7A886B78"/>
    <w:rsid w:val="7A94376E"/>
    <w:rsid w:val="7A9F0E90"/>
    <w:rsid w:val="7AA17C39"/>
    <w:rsid w:val="7AAD65DE"/>
    <w:rsid w:val="7ABB4647"/>
    <w:rsid w:val="7ABE07EB"/>
    <w:rsid w:val="7AD718AD"/>
    <w:rsid w:val="7AE91D0C"/>
    <w:rsid w:val="7AEE7323"/>
    <w:rsid w:val="7AF10BC1"/>
    <w:rsid w:val="7AF661D7"/>
    <w:rsid w:val="7AF97A75"/>
    <w:rsid w:val="7AFE6E3A"/>
    <w:rsid w:val="7B024B7C"/>
    <w:rsid w:val="7B0D52CF"/>
    <w:rsid w:val="7B116B6D"/>
    <w:rsid w:val="7B191EC6"/>
    <w:rsid w:val="7B1E74DC"/>
    <w:rsid w:val="7B2014A6"/>
    <w:rsid w:val="7B203254"/>
    <w:rsid w:val="7B2D7249"/>
    <w:rsid w:val="7B2E3556"/>
    <w:rsid w:val="7B2F3497"/>
    <w:rsid w:val="7B315461"/>
    <w:rsid w:val="7B38234C"/>
    <w:rsid w:val="7B3867F0"/>
    <w:rsid w:val="7B3B010C"/>
    <w:rsid w:val="7B42766E"/>
    <w:rsid w:val="7B454A69"/>
    <w:rsid w:val="7B51165F"/>
    <w:rsid w:val="7B513A73"/>
    <w:rsid w:val="7B5573A2"/>
    <w:rsid w:val="7B58479C"/>
    <w:rsid w:val="7B5B0758"/>
    <w:rsid w:val="7B615D46"/>
    <w:rsid w:val="7B643141"/>
    <w:rsid w:val="7B6E0463"/>
    <w:rsid w:val="7B705F89"/>
    <w:rsid w:val="7B767318"/>
    <w:rsid w:val="7B807F81"/>
    <w:rsid w:val="7B810197"/>
    <w:rsid w:val="7B86755B"/>
    <w:rsid w:val="7B890DF9"/>
    <w:rsid w:val="7B971768"/>
    <w:rsid w:val="7B9B28DB"/>
    <w:rsid w:val="7B9D6653"/>
    <w:rsid w:val="7BAB0D70"/>
    <w:rsid w:val="7BB06386"/>
    <w:rsid w:val="7BB816DF"/>
    <w:rsid w:val="7BBA0FB3"/>
    <w:rsid w:val="7BBA5457"/>
    <w:rsid w:val="7BC1228F"/>
    <w:rsid w:val="7BCB31C0"/>
    <w:rsid w:val="7BCE2CB0"/>
    <w:rsid w:val="7BDA4256"/>
    <w:rsid w:val="7BDC53CD"/>
    <w:rsid w:val="7BDC717B"/>
    <w:rsid w:val="7BE129E3"/>
    <w:rsid w:val="7BE75B20"/>
    <w:rsid w:val="7BEB1AB4"/>
    <w:rsid w:val="7BEB3862"/>
    <w:rsid w:val="7BF2699E"/>
    <w:rsid w:val="7BF32717"/>
    <w:rsid w:val="7BF70459"/>
    <w:rsid w:val="7BF87D2D"/>
    <w:rsid w:val="7BFD5343"/>
    <w:rsid w:val="7BFF10BB"/>
    <w:rsid w:val="7C014E34"/>
    <w:rsid w:val="7C02295A"/>
    <w:rsid w:val="7C093CE8"/>
    <w:rsid w:val="7C1C1C6D"/>
    <w:rsid w:val="7C1F52BA"/>
    <w:rsid w:val="7C2030BE"/>
    <w:rsid w:val="7C232FFC"/>
    <w:rsid w:val="7C352D2F"/>
    <w:rsid w:val="7C433AEA"/>
    <w:rsid w:val="7C444D20"/>
    <w:rsid w:val="7C482A62"/>
    <w:rsid w:val="7C484810"/>
    <w:rsid w:val="7C574A54"/>
    <w:rsid w:val="7C6333F8"/>
    <w:rsid w:val="7C6B6751"/>
    <w:rsid w:val="7C6F6241"/>
    <w:rsid w:val="7C725D31"/>
    <w:rsid w:val="7C727ADF"/>
    <w:rsid w:val="7C7C44BA"/>
    <w:rsid w:val="7C80738D"/>
    <w:rsid w:val="7C8415C1"/>
    <w:rsid w:val="7C885555"/>
    <w:rsid w:val="7C914409"/>
    <w:rsid w:val="7C943EFA"/>
    <w:rsid w:val="7C961A20"/>
    <w:rsid w:val="7C9B5288"/>
    <w:rsid w:val="7C9E2682"/>
    <w:rsid w:val="7CA26617"/>
    <w:rsid w:val="7CA57EB5"/>
    <w:rsid w:val="7CAF663E"/>
    <w:rsid w:val="7CB2612E"/>
    <w:rsid w:val="7CB37140"/>
    <w:rsid w:val="7CC320E9"/>
    <w:rsid w:val="7CC61BD9"/>
    <w:rsid w:val="7CCD740C"/>
    <w:rsid w:val="7CCF6CE0"/>
    <w:rsid w:val="7CD12A58"/>
    <w:rsid w:val="7CD97B5E"/>
    <w:rsid w:val="7CE0081C"/>
    <w:rsid w:val="7CE7126C"/>
    <w:rsid w:val="7CE87DA1"/>
    <w:rsid w:val="7CEA1D6C"/>
    <w:rsid w:val="7CF229CE"/>
    <w:rsid w:val="7CF60710"/>
    <w:rsid w:val="7D012C11"/>
    <w:rsid w:val="7D052701"/>
    <w:rsid w:val="7D060228"/>
    <w:rsid w:val="7D07647A"/>
    <w:rsid w:val="7D0A5F6A"/>
    <w:rsid w:val="7D0D7808"/>
    <w:rsid w:val="7D126BCC"/>
    <w:rsid w:val="7D162B61"/>
    <w:rsid w:val="7D1961AD"/>
    <w:rsid w:val="7D2232B3"/>
    <w:rsid w:val="7D250FF6"/>
    <w:rsid w:val="7D2D3A06"/>
    <w:rsid w:val="7D341239"/>
    <w:rsid w:val="7D360B0D"/>
    <w:rsid w:val="7D384885"/>
    <w:rsid w:val="7D3D00ED"/>
    <w:rsid w:val="7D3D0806"/>
    <w:rsid w:val="7D407BDD"/>
    <w:rsid w:val="7D4476CE"/>
    <w:rsid w:val="7D4C20DE"/>
    <w:rsid w:val="7D506F70"/>
    <w:rsid w:val="7D5822A5"/>
    <w:rsid w:val="7D5947FB"/>
    <w:rsid w:val="7D6C452F"/>
    <w:rsid w:val="7D845D1C"/>
    <w:rsid w:val="7D851A94"/>
    <w:rsid w:val="7D874EDD"/>
    <w:rsid w:val="7D895A25"/>
    <w:rsid w:val="7D8A0E59"/>
    <w:rsid w:val="7D8E26F7"/>
    <w:rsid w:val="7D8F694B"/>
    <w:rsid w:val="7D99109C"/>
    <w:rsid w:val="7D9D0B8C"/>
    <w:rsid w:val="7DA0242A"/>
    <w:rsid w:val="7DA168CE"/>
    <w:rsid w:val="7DA71A0B"/>
    <w:rsid w:val="7DA737B9"/>
    <w:rsid w:val="7DB639FC"/>
    <w:rsid w:val="7DBA34EC"/>
    <w:rsid w:val="7DC32BB3"/>
    <w:rsid w:val="7DC51E91"/>
    <w:rsid w:val="7DC600E3"/>
    <w:rsid w:val="7DD32800"/>
    <w:rsid w:val="7DD6409E"/>
    <w:rsid w:val="7DDB3462"/>
    <w:rsid w:val="7DDD542C"/>
    <w:rsid w:val="7DE22A43"/>
    <w:rsid w:val="7DE70059"/>
    <w:rsid w:val="7DF54524"/>
    <w:rsid w:val="7DFC7E80"/>
    <w:rsid w:val="7E002EC9"/>
    <w:rsid w:val="7E05083C"/>
    <w:rsid w:val="7E0B01EB"/>
    <w:rsid w:val="7E0B1F99"/>
    <w:rsid w:val="7E0C7AC0"/>
    <w:rsid w:val="7E105802"/>
    <w:rsid w:val="7E130E4E"/>
    <w:rsid w:val="7E17093E"/>
    <w:rsid w:val="7E1924BB"/>
    <w:rsid w:val="7E1A21DD"/>
    <w:rsid w:val="7E1C7D03"/>
    <w:rsid w:val="7E1D3A7B"/>
    <w:rsid w:val="7E1D641D"/>
    <w:rsid w:val="7E2748F9"/>
    <w:rsid w:val="7E2F6A52"/>
    <w:rsid w:val="7E386B07"/>
    <w:rsid w:val="7E3E411D"/>
    <w:rsid w:val="7E4159BB"/>
    <w:rsid w:val="7E417769"/>
    <w:rsid w:val="7E4234E1"/>
    <w:rsid w:val="7E462228"/>
    <w:rsid w:val="7E4D25B2"/>
    <w:rsid w:val="7E4E00D8"/>
    <w:rsid w:val="7E4F632A"/>
    <w:rsid w:val="7E6873EC"/>
    <w:rsid w:val="7E694F12"/>
    <w:rsid w:val="7E7713DD"/>
    <w:rsid w:val="7E7A711F"/>
    <w:rsid w:val="7E7E09BD"/>
    <w:rsid w:val="7E843AFA"/>
    <w:rsid w:val="7E8D29AE"/>
    <w:rsid w:val="7E955D07"/>
    <w:rsid w:val="7E9957F7"/>
    <w:rsid w:val="7E9975A5"/>
    <w:rsid w:val="7E9E696A"/>
    <w:rsid w:val="7EA36676"/>
    <w:rsid w:val="7EAB72D9"/>
    <w:rsid w:val="7EAF6DC9"/>
    <w:rsid w:val="7EB75C7D"/>
    <w:rsid w:val="7EBC14E6"/>
    <w:rsid w:val="7EC00FD6"/>
    <w:rsid w:val="7ECA59B1"/>
    <w:rsid w:val="7ED22AB7"/>
    <w:rsid w:val="7ED71E7C"/>
    <w:rsid w:val="7ED76320"/>
    <w:rsid w:val="7EDC3936"/>
    <w:rsid w:val="7EDE320A"/>
    <w:rsid w:val="7EE527EB"/>
    <w:rsid w:val="7EFB3DBC"/>
    <w:rsid w:val="7EFC7B34"/>
    <w:rsid w:val="7F0A3FFF"/>
    <w:rsid w:val="7F0F7867"/>
    <w:rsid w:val="7F121106"/>
    <w:rsid w:val="7F192494"/>
    <w:rsid w:val="7F196938"/>
    <w:rsid w:val="7F1E3F4E"/>
    <w:rsid w:val="7F1E5CFC"/>
    <w:rsid w:val="7F1E7AAB"/>
    <w:rsid w:val="7F250E39"/>
    <w:rsid w:val="7F2A28F3"/>
    <w:rsid w:val="7F3C6183"/>
    <w:rsid w:val="7F4E65E2"/>
    <w:rsid w:val="7F5160D2"/>
    <w:rsid w:val="7F5259A6"/>
    <w:rsid w:val="7F565496"/>
    <w:rsid w:val="7F5B485B"/>
    <w:rsid w:val="7F5C05D3"/>
    <w:rsid w:val="7F623E3B"/>
    <w:rsid w:val="7F625BE9"/>
    <w:rsid w:val="7F671451"/>
    <w:rsid w:val="7F6A7194"/>
    <w:rsid w:val="7F765B38"/>
    <w:rsid w:val="7F807128"/>
    <w:rsid w:val="7F820039"/>
    <w:rsid w:val="7F8518D8"/>
    <w:rsid w:val="7F8E4C30"/>
    <w:rsid w:val="7F8F6BFA"/>
    <w:rsid w:val="7F9F508F"/>
    <w:rsid w:val="7FA501CC"/>
    <w:rsid w:val="7FAA7590"/>
    <w:rsid w:val="7FAC3308"/>
    <w:rsid w:val="7FB14DC3"/>
    <w:rsid w:val="7FB328E9"/>
    <w:rsid w:val="7FB65F35"/>
    <w:rsid w:val="7FB87EFF"/>
    <w:rsid w:val="7FCC2B42"/>
    <w:rsid w:val="7FD312D4"/>
    <w:rsid w:val="7FD91C23"/>
    <w:rsid w:val="7FE01204"/>
    <w:rsid w:val="7FE64A6C"/>
    <w:rsid w:val="7FFB7DE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nhideWhenUsed="0" w:uiPriority="0" w:semiHidden="0" w:name="Normal Indent"/>
    <w:lsdException w:uiPriority="99" w:name="footnote text"/>
    <w:lsdException w:qFormat="1" w:uiPriority="0"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qFormat="1" w:unhideWhenUsed="0" w:uiPriority="0" w:name="table of figures"/>
    <w:lsdException w:uiPriority="99" w:name="envelope address"/>
    <w:lsdException w:qFormat="1" w:uiPriority="99" w:semiHidden="0" w:name="envelope return"/>
    <w:lsdException w:uiPriority="99" w:name="footnote reference"/>
    <w:lsdException w:qFormat="1" w:unhideWhenUsed="0" w:uiPriority="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qFormat="1" w:unhideWhenUsed="0" w:uiPriority="0" w:semiHidden="0" w:name="List 2"/>
    <w:lsdException w:qFormat="1" w:unhideWhenUsed="0" w:uiPriority="0" w:semiHidden="0"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0" w:semiHidden="0" w:name="Table Grid"/>
    <w:lsdException w:uiPriority="99"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link w:val="55"/>
    <w:qFormat/>
    <w:uiPriority w:val="0"/>
    <w:pPr>
      <w:keepNext/>
      <w:jc w:val="center"/>
      <w:outlineLvl w:val="0"/>
    </w:pPr>
    <w:rPr>
      <w:rFonts w:ascii="楷体_GB2312" w:hAnsi="Times New Roman" w:eastAsia="楷体_GB2312"/>
      <w:sz w:val="28"/>
      <w:szCs w:val="28"/>
    </w:rPr>
  </w:style>
  <w:style w:type="paragraph" w:styleId="4">
    <w:name w:val="heading 2"/>
    <w:basedOn w:val="1"/>
    <w:next w:val="1"/>
    <w:link w:val="56"/>
    <w:qFormat/>
    <w:uiPriority w:val="0"/>
    <w:pPr>
      <w:keepNext/>
      <w:keepLines/>
      <w:spacing w:before="260" w:after="260" w:line="416" w:lineRule="auto"/>
      <w:jc w:val="center"/>
      <w:outlineLvl w:val="1"/>
    </w:pPr>
    <w:rPr>
      <w:rFonts w:ascii="Arial" w:hAnsi="Arial" w:eastAsia="幼圆" w:cs="Arial"/>
      <w:b/>
      <w:bCs/>
      <w:sz w:val="44"/>
      <w:szCs w:val="44"/>
    </w:rPr>
  </w:style>
  <w:style w:type="paragraph" w:styleId="5">
    <w:name w:val="heading 3"/>
    <w:basedOn w:val="1"/>
    <w:next w:val="6"/>
    <w:link w:val="58"/>
    <w:qFormat/>
    <w:uiPriority w:val="0"/>
    <w:pPr>
      <w:keepNext/>
      <w:keepLines/>
      <w:spacing w:before="260" w:after="260" w:line="416" w:lineRule="auto"/>
      <w:outlineLvl w:val="2"/>
    </w:pPr>
    <w:rPr>
      <w:rFonts w:ascii="Times New Roman" w:hAnsi="Times New Roman"/>
      <w:b/>
      <w:bCs/>
      <w:sz w:val="32"/>
      <w:szCs w:val="32"/>
    </w:rPr>
  </w:style>
  <w:style w:type="paragraph" w:styleId="7">
    <w:name w:val="heading 4"/>
    <w:basedOn w:val="1"/>
    <w:next w:val="1"/>
    <w:link w:val="59"/>
    <w:qFormat/>
    <w:uiPriority w:val="0"/>
    <w:pPr>
      <w:keepNext/>
      <w:keepLines/>
      <w:spacing w:before="280" w:after="290" w:line="376" w:lineRule="auto"/>
      <w:outlineLvl w:val="3"/>
    </w:pPr>
    <w:rPr>
      <w:rFonts w:ascii="Arial" w:hAnsi="Arial" w:eastAsia="黑体" w:cs="Arial"/>
      <w:b/>
      <w:bCs/>
      <w:sz w:val="28"/>
      <w:szCs w:val="28"/>
    </w:rPr>
  </w:style>
  <w:style w:type="paragraph" w:styleId="8">
    <w:name w:val="heading 5"/>
    <w:basedOn w:val="1"/>
    <w:next w:val="6"/>
    <w:link w:val="60"/>
    <w:qFormat/>
    <w:uiPriority w:val="0"/>
    <w:pPr>
      <w:keepNext/>
      <w:autoSpaceDE w:val="0"/>
      <w:autoSpaceDN w:val="0"/>
      <w:adjustRightInd w:val="0"/>
      <w:outlineLvl w:val="4"/>
    </w:pPr>
    <w:rPr>
      <w:rFonts w:ascii="宋体" w:hAnsi="Times New Roman"/>
      <w:color w:val="000000"/>
      <w:kern w:val="0"/>
      <w:sz w:val="28"/>
      <w:szCs w:val="28"/>
    </w:rPr>
  </w:style>
  <w:style w:type="paragraph" w:styleId="9">
    <w:name w:val="heading 6"/>
    <w:basedOn w:val="1"/>
    <w:next w:val="1"/>
    <w:link w:val="61"/>
    <w:qFormat/>
    <w:uiPriority w:val="0"/>
    <w:pPr>
      <w:keepNext/>
      <w:keepLines/>
      <w:numPr>
        <w:ilvl w:val="5"/>
        <w:numId w:val="1"/>
      </w:numPr>
      <w:spacing w:before="240" w:after="64" w:line="320" w:lineRule="auto"/>
      <w:outlineLvl w:val="5"/>
    </w:pPr>
    <w:rPr>
      <w:rFonts w:ascii="Arial" w:hAnsi="Arial" w:eastAsia="黑体"/>
      <w:b/>
      <w:bCs/>
      <w:sz w:val="24"/>
      <w:szCs w:val="24"/>
    </w:rPr>
  </w:style>
  <w:style w:type="paragraph" w:styleId="10">
    <w:name w:val="heading 7"/>
    <w:basedOn w:val="1"/>
    <w:next w:val="1"/>
    <w:link w:val="62"/>
    <w:qFormat/>
    <w:uiPriority w:val="0"/>
    <w:pPr>
      <w:keepNext/>
      <w:keepLines/>
      <w:numPr>
        <w:ilvl w:val="6"/>
        <w:numId w:val="1"/>
      </w:numPr>
      <w:spacing w:before="240" w:after="64" w:line="320" w:lineRule="auto"/>
      <w:outlineLvl w:val="6"/>
    </w:pPr>
    <w:rPr>
      <w:rFonts w:ascii="Times New Roman" w:hAnsi="Times New Roman"/>
      <w:b/>
      <w:bCs/>
      <w:sz w:val="24"/>
      <w:szCs w:val="24"/>
    </w:rPr>
  </w:style>
  <w:style w:type="paragraph" w:styleId="11">
    <w:name w:val="heading 8"/>
    <w:basedOn w:val="1"/>
    <w:next w:val="1"/>
    <w:link w:val="63"/>
    <w:qFormat/>
    <w:uiPriority w:val="0"/>
    <w:pPr>
      <w:keepNext/>
      <w:keepLines/>
      <w:numPr>
        <w:ilvl w:val="7"/>
        <w:numId w:val="1"/>
      </w:numPr>
      <w:spacing w:before="240" w:after="64" w:line="320" w:lineRule="auto"/>
      <w:outlineLvl w:val="7"/>
    </w:pPr>
    <w:rPr>
      <w:rFonts w:ascii="Arial" w:hAnsi="Arial" w:eastAsia="黑体"/>
      <w:sz w:val="24"/>
      <w:szCs w:val="24"/>
    </w:rPr>
  </w:style>
  <w:style w:type="paragraph" w:styleId="12">
    <w:name w:val="heading 9"/>
    <w:basedOn w:val="1"/>
    <w:next w:val="1"/>
    <w:link w:val="64"/>
    <w:qFormat/>
    <w:uiPriority w:val="0"/>
    <w:pPr>
      <w:keepNext/>
      <w:keepLines/>
      <w:numPr>
        <w:ilvl w:val="8"/>
        <w:numId w:val="1"/>
      </w:numPr>
      <w:spacing w:before="240" w:after="64" w:line="320" w:lineRule="auto"/>
      <w:outlineLvl w:val="8"/>
    </w:pPr>
    <w:rPr>
      <w:rFonts w:ascii="Arial" w:hAnsi="Arial" w:eastAsia="黑体"/>
      <w:szCs w:val="21"/>
    </w:rPr>
  </w:style>
  <w:style w:type="character" w:default="1" w:styleId="46">
    <w:name w:val="Default Paragraph Font"/>
    <w:semiHidden/>
    <w:unhideWhenUsed/>
    <w:qFormat/>
    <w:uiPriority w:val="1"/>
  </w:style>
  <w:style w:type="table" w:default="1" w:styleId="44">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68"/>
    <w:qFormat/>
    <w:uiPriority w:val="0"/>
    <w:rPr>
      <w:rFonts w:ascii="楷体_GB2312" w:hAnsi="Arial" w:eastAsia="楷体_GB2312"/>
      <w:sz w:val="28"/>
      <w:szCs w:val="28"/>
    </w:rPr>
  </w:style>
  <w:style w:type="paragraph" w:styleId="6">
    <w:name w:val="Normal Indent"/>
    <w:basedOn w:val="1"/>
    <w:link w:val="57"/>
    <w:qFormat/>
    <w:uiPriority w:val="0"/>
    <w:pPr>
      <w:ind w:firstLine="420"/>
    </w:pPr>
    <w:rPr>
      <w:szCs w:val="21"/>
    </w:rPr>
  </w:style>
  <w:style w:type="paragraph" w:styleId="13">
    <w:name w:val="List 3"/>
    <w:basedOn w:val="1"/>
    <w:qFormat/>
    <w:uiPriority w:val="0"/>
    <w:pPr>
      <w:ind w:left="100" w:leftChars="400" w:hanging="200" w:hangingChars="200"/>
    </w:pPr>
    <w:rPr>
      <w:rFonts w:ascii="Times New Roman" w:hAnsi="Times New Roman"/>
      <w:szCs w:val="21"/>
    </w:rPr>
  </w:style>
  <w:style w:type="paragraph" w:styleId="14">
    <w:name w:val="toc 7"/>
    <w:basedOn w:val="1"/>
    <w:next w:val="1"/>
    <w:semiHidden/>
    <w:qFormat/>
    <w:uiPriority w:val="0"/>
    <w:pPr>
      <w:ind w:left="1260"/>
      <w:jc w:val="left"/>
    </w:pPr>
    <w:rPr>
      <w:rFonts w:ascii="Times New Roman" w:hAnsi="Times New Roman"/>
      <w:szCs w:val="21"/>
    </w:rPr>
  </w:style>
  <w:style w:type="paragraph" w:styleId="15">
    <w:name w:val="Document Map"/>
    <w:basedOn w:val="1"/>
    <w:link w:val="65"/>
    <w:semiHidden/>
    <w:qFormat/>
    <w:uiPriority w:val="0"/>
    <w:pPr>
      <w:shd w:val="clear" w:color="auto" w:fill="000080"/>
    </w:pPr>
    <w:rPr>
      <w:rFonts w:ascii="Times New Roman" w:hAnsi="Times New Roman"/>
      <w:szCs w:val="21"/>
    </w:rPr>
  </w:style>
  <w:style w:type="paragraph" w:styleId="16">
    <w:name w:val="annotation text"/>
    <w:basedOn w:val="1"/>
    <w:link w:val="66"/>
    <w:unhideWhenUsed/>
    <w:qFormat/>
    <w:uiPriority w:val="0"/>
    <w:pPr>
      <w:jc w:val="left"/>
    </w:pPr>
  </w:style>
  <w:style w:type="paragraph" w:styleId="17">
    <w:name w:val="Body Text 3"/>
    <w:basedOn w:val="1"/>
    <w:link w:val="67"/>
    <w:qFormat/>
    <w:uiPriority w:val="0"/>
    <w:rPr>
      <w:rFonts w:ascii="仿宋_GB2312" w:hAnsi="Arial" w:eastAsia="仿宋_GB2312"/>
      <w:sz w:val="32"/>
      <w:szCs w:val="32"/>
    </w:rPr>
  </w:style>
  <w:style w:type="paragraph" w:styleId="18">
    <w:name w:val="Body Text Indent"/>
    <w:basedOn w:val="1"/>
    <w:next w:val="19"/>
    <w:link w:val="53"/>
    <w:unhideWhenUsed/>
    <w:qFormat/>
    <w:uiPriority w:val="0"/>
    <w:pPr>
      <w:spacing w:after="120"/>
      <w:ind w:left="420" w:leftChars="200"/>
    </w:pPr>
  </w:style>
  <w:style w:type="paragraph" w:styleId="19">
    <w:name w:val="envelope return"/>
    <w:basedOn w:val="1"/>
    <w:unhideWhenUsed/>
    <w:qFormat/>
    <w:uiPriority w:val="99"/>
    <w:rPr>
      <w:rFonts w:ascii="Arial" w:hAnsi="Arial" w:eastAsia="楷体_GB2312"/>
      <w:sz w:val="26"/>
      <w:szCs w:val="20"/>
    </w:rPr>
  </w:style>
  <w:style w:type="paragraph" w:styleId="20">
    <w:name w:val="List 2"/>
    <w:basedOn w:val="1"/>
    <w:qFormat/>
    <w:uiPriority w:val="0"/>
    <w:pPr>
      <w:ind w:left="100" w:leftChars="200" w:hanging="200" w:hangingChars="200"/>
    </w:pPr>
    <w:rPr>
      <w:rFonts w:ascii="Times New Roman" w:hAnsi="Times New Roman"/>
      <w:szCs w:val="21"/>
    </w:rPr>
  </w:style>
  <w:style w:type="paragraph" w:styleId="21">
    <w:name w:val="toc 5"/>
    <w:basedOn w:val="1"/>
    <w:next w:val="1"/>
    <w:semiHidden/>
    <w:qFormat/>
    <w:uiPriority w:val="0"/>
    <w:pPr>
      <w:ind w:left="840"/>
      <w:jc w:val="left"/>
    </w:pPr>
    <w:rPr>
      <w:rFonts w:ascii="Times New Roman" w:hAnsi="Times New Roman"/>
      <w:szCs w:val="21"/>
    </w:rPr>
  </w:style>
  <w:style w:type="paragraph" w:styleId="22">
    <w:name w:val="toc 3"/>
    <w:basedOn w:val="1"/>
    <w:next w:val="1"/>
    <w:semiHidden/>
    <w:qFormat/>
    <w:uiPriority w:val="0"/>
    <w:pPr>
      <w:ind w:left="420"/>
      <w:jc w:val="left"/>
    </w:pPr>
    <w:rPr>
      <w:rFonts w:ascii="Times New Roman" w:hAnsi="Times New Roman"/>
      <w:i/>
      <w:iCs/>
      <w:szCs w:val="24"/>
    </w:rPr>
  </w:style>
  <w:style w:type="paragraph" w:styleId="23">
    <w:name w:val="Plain Text"/>
    <w:basedOn w:val="1"/>
    <w:link w:val="69"/>
    <w:qFormat/>
    <w:uiPriority w:val="0"/>
    <w:rPr>
      <w:rFonts w:ascii="宋体" w:hAnsi="Courier New" w:cs="Courier New"/>
      <w:szCs w:val="21"/>
    </w:rPr>
  </w:style>
  <w:style w:type="paragraph" w:styleId="24">
    <w:name w:val="toc 8"/>
    <w:basedOn w:val="1"/>
    <w:next w:val="1"/>
    <w:semiHidden/>
    <w:qFormat/>
    <w:uiPriority w:val="0"/>
    <w:pPr>
      <w:ind w:left="1470"/>
      <w:jc w:val="left"/>
    </w:pPr>
    <w:rPr>
      <w:rFonts w:ascii="Times New Roman" w:hAnsi="Times New Roman"/>
      <w:szCs w:val="21"/>
    </w:rPr>
  </w:style>
  <w:style w:type="paragraph" w:styleId="25">
    <w:name w:val="Date"/>
    <w:basedOn w:val="1"/>
    <w:next w:val="1"/>
    <w:link w:val="70"/>
    <w:qFormat/>
    <w:uiPriority w:val="0"/>
    <w:rPr>
      <w:rFonts w:ascii="Times New Roman" w:hAnsi="Times New Roman"/>
      <w:sz w:val="24"/>
      <w:szCs w:val="24"/>
    </w:rPr>
  </w:style>
  <w:style w:type="paragraph" w:styleId="26">
    <w:name w:val="Body Text Indent 2"/>
    <w:basedOn w:val="1"/>
    <w:link w:val="71"/>
    <w:qFormat/>
    <w:uiPriority w:val="0"/>
    <w:pPr>
      <w:ind w:left="630" w:firstLine="645"/>
    </w:pPr>
    <w:rPr>
      <w:rFonts w:ascii="Arial" w:hAnsi="Arial" w:eastAsia="仿宋_GB2312" w:cs="Arial"/>
      <w:sz w:val="32"/>
      <w:szCs w:val="32"/>
    </w:rPr>
  </w:style>
  <w:style w:type="paragraph" w:styleId="27">
    <w:name w:val="Balloon Text"/>
    <w:basedOn w:val="1"/>
    <w:link w:val="72"/>
    <w:semiHidden/>
    <w:qFormat/>
    <w:uiPriority w:val="0"/>
    <w:rPr>
      <w:rFonts w:ascii="Times New Roman" w:hAnsi="Times New Roman"/>
      <w:sz w:val="18"/>
      <w:szCs w:val="18"/>
    </w:rPr>
  </w:style>
  <w:style w:type="paragraph" w:styleId="28">
    <w:name w:val="footer"/>
    <w:basedOn w:val="1"/>
    <w:link w:val="73"/>
    <w:qFormat/>
    <w:uiPriority w:val="0"/>
    <w:pPr>
      <w:tabs>
        <w:tab w:val="center" w:pos="4153"/>
        <w:tab w:val="right" w:pos="8306"/>
      </w:tabs>
      <w:snapToGrid w:val="0"/>
      <w:jc w:val="left"/>
    </w:pPr>
    <w:rPr>
      <w:rFonts w:ascii="Times New Roman" w:hAnsi="Times New Roman"/>
      <w:sz w:val="18"/>
      <w:szCs w:val="18"/>
    </w:rPr>
  </w:style>
  <w:style w:type="paragraph" w:styleId="29">
    <w:name w:val="header"/>
    <w:basedOn w:val="1"/>
    <w:link w:val="74"/>
    <w:qFormat/>
    <w:uiPriority w:val="0"/>
    <w:pPr>
      <w:pBdr>
        <w:bottom w:val="single" w:color="auto" w:sz="6" w:space="1"/>
      </w:pBdr>
      <w:tabs>
        <w:tab w:val="center" w:pos="4153"/>
        <w:tab w:val="right" w:pos="8306"/>
      </w:tabs>
      <w:snapToGrid w:val="0"/>
      <w:jc w:val="center"/>
    </w:pPr>
    <w:rPr>
      <w:rFonts w:ascii="Times New Roman" w:hAnsi="Times New Roman"/>
      <w:sz w:val="18"/>
      <w:szCs w:val="18"/>
    </w:rPr>
  </w:style>
  <w:style w:type="paragraph" w:styleId="30">
    <w:name w:val="toc 1"/>
    <w:basedOn w:val="1"/>
    <w:next w:val="1"/>
    <w:semiHidden/>
    <w:qFormat/>
    <w:uiPriority w:val="0"/>
    <w:pPr>
      <w:tabs>
        <w:tab w:val="right" w:leader="dot" w:pos="8720"/>
      </w:tabs>
      <w:spacing w:before="120" w:after="120" w:line="400" w:lineRule="exact"/>
      <w:jc w:val="left"/>
    </w:pPr>
    <w:rPr>
      <w:rFonts w:ascii="宋体" w:hAnsi="宋体"/>
      <w:caps/>
      <w:sz w:val="24"/>
      <w:szCs w:val="24"/>
    </w:rPr>
  </w:style>
  <w:style w:type="paragraph" w:styleId="31">
    <w:name w:val="toc 4"/>
    <w:basedOn w:val="1"/>
    <w:next w:val="1"/>
    <w:semiHidden/>
    <w:qFormat/>
    <w:uiPriority w:val="0"/>
    <w:pPr>
      <w:ind w:left="630"/>
      <w:jc w:val="left"/>
    </w:pPr>
    <w:rPr>
      <w:rFonts w:ascii="Times New Roman" w:hAnsi="Times New Roman"/>
      <w:szCs w:val="21"/>
    </w:rPr>
  </w:style>
  <w:style w:type="paragraph" w:styleId="32">
    <w:name w:val="List"/>
    <w:basedOn w:val="1"/>
    <w:qFormat/>
    <w:uiPriority w:val="0"/>
    <w:pPr>
      <w:ind w:left="200" w:hanging="200" w:hangingChars="200"/>
    </w:pPr>
    <w:rPr>
      <w:rFonts w:ascii="Times New Roman" w:hAnsi="Times New Roman"/>
      <w:szCs w:val="21"/>
    </w:rPr>
  </w:style>
  <w:style w:type="paragraph" w:styleId="33">
    <w:name w:val="toc 6"/>
    <w:basedOn w:val="1"/>
    <w:next w:val="1"/>
    <w:semiHidden/>
    <w:qFormat/>
    <w:uiPriority w:val="0"/>
    <w:pPr>
      <w:ind w:left="1050"/>
      <w:jc w:val="left"/>
    </w:pPr>
    <w:rPr>
      <w:rFonts w:ascii="Times New Roman" w:hAnsi="Times New Roman"/>
      <w:szCs w:val="21"/>
    </w:rPr>
  </w:style>
  <w:style w:type="paragraph" w:styleId="34">
    <w:name w:val="Body Text Indent 3"/>
    <w:basedOn w:val="1"/>
    <w:link w:val="75"/>
    <w:qFormat/>
    <w:uiPriority w:val="0"/>
    <w:pPr>
      <w:ind w:left="645" w:firstLine="645"/>
    </w:pPr>
    <w:rPr>
      <w:rFonts w:ascii="Arial" w:hAnsi="Arial" w:eastAsia="仿宋_GB2312" w:cs="Arial"/>
      <w:color w:val="FFFF00"/>
      <w:sz w:val="32"/>
      <w:szCs w:val="32"/>
    </w:rPr>
  </w:style>
  <w:style w:type="paragraph" w:styleId="35">
    <w:name w:val="table of figures"/>
    <w:basedOn w:val="1"/>
    <w:next w:val="1"/>
    <w:semiHidden/>
    <w:qFormat/>
    <w:uiPriority w:val="0"/>
    <w:pPr>
      <w:ind w:left="840" w:hanging="420"/>
    </w:pPr>
    <w:rPr>
      <w:rFonts w:ascii="Times New Roman" w:hAnsi="Times New Roman"/>
      <w:szCs w:val="21"/>
    </w:rPr>
  </w:style>
  <w:style w:type="paragraph" w:styleId="36">
    <w:name w:val="toc 2"/>
    <w:basedOn w:val="1"/>
    <w:next w:val="1"/>
    <w:semiHidden/>
    <w:qFormat/>
    <w:uiPriority w:val="0"/>
    <w:pPr>
      <w:ind w:left="210"/>
      <w:jc w:val="left"/>
    </w:pPr>
    <w:rPr>
      <w:rFonts w:ascii="Times New Roman" w:hAnsi="Times New Roman"/>
      <w:smallCaps/>
      <w:szCs w:val="24"/>
    </w:rPr>
  </w:style>
  <w:style w:type="paragraph" w:styleId="37">
    <w:name w:val="toc 9"/>
    <w:basedOn w:val="1"/>
    <w:next w:val="1"/>
    <w:semiHidden/>
    <w:qFormat/>
    <w:uiPriority w:val="0"/>
    <w:pPr>
      <w:ind w:left="1680"/>
      <w:jc w:val="left"/>
    </w:pPr>
    <w:rPr>
      <w:rFonts w:ascii="Times New Roman" w:hAnsi="Times New Roman"/>
      <w:szCs w:val="21"/>
    </w:rPr>
  </w:style>
  <w:style w:type="paragraph" w:styleId="38">
    <w:name w:val="Body Text 2"/>
    <w:basedOn w:val="1"/>
    <w:link w:val="76"/>
    <w:qFormat/>
    <w:uiPriority w:val="0"/>
    <w:pPr>
      <w:widowControl/>
      <w:jc w:val="center"/>
    </w:pPr>
    <w:rPr>
      <w:rFonts w:ascii="楷体_GB2312" w:hAnsi="Times New Roman" w:eastAsia="楷体_GB2312"/>
      <w:sz w:val="28"/>
      <w:szCs w:val="28"/>
    </w:rPr>
  </w:style>
  <w:style w:type="paragraph" w:styleId="39">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paragraph" w:styleId="40">
    <w:name w:val="index 1"/>
    <w:basedOn w:val="1"/>
    <w:next w:val="1"/>
    <w:semiHidden/>
    <w:qFormat/>
    <w:uiPriority w:val="0"/>
    <w:pPr>
      <w:spacing w:line="240" w:lineRule="atLeast"/>
    </w:pPr>
    <w:rPr>
      <w:rFonts w:ascii="Times New Roman" w:hAnsi="Times New Roman"/>
      <w:b/>
      <w:bCs/>
      <w:szCs w:val="21"/>
    </w:rPr>
  </w:style>
  <w:style w:type="paragraph" w:styleId="41">
    <w:name w:val="annotation subject"/>
    <w:basedOn w:val="16"/>
    <w:next w:val="16"/>
    <w:link w:val="77"/>
    <w:semiHidden/>
    <w:qFormat/>
    <w:uiPriority w:val="0"/>
    <w:rPr>
      <w:rFonts w:ascii="Times New Roman" w:hAnsi="Times New Roman"/>
      <w:b/>
      <w:bCs/>
      <w:szCs w:val="21"/>
    </w:rPr>
  </w:style>
  <w:style w:type="paragraph" w:styleId="42">
    <w:name w:val="Body Text First Indent"/>
    <w:basedOn w:val="2"/>
    <w:link w:val="78"/>
    <w:qFormat/>
    <w:uiPriority w:val="0"/>
    <w:pPr>
      <w:spacing w:line="360" w:lineRule="auto"/>
      <w:ind w:firstLine="200" w:firstLineChars="200"/>
    </w:pPr>
    <w:rPr>
      <w:rFonts w:ascii="仿宋_GB2312" w:hAnsi="Times New Roman" w:eastAsia="仿宋_GB2312"/>
      <w:sz w:val="30"/>
      <w:szCs w:val="30"/>
    </w:rPr>
  </w:style>
  <w:style w:type="paragraph" w:styleId="43">
    <w:name w:val="Body Text First Indent 2"/>
    <w:basedOn w:val="18"/>
    <w:link w:val="54"/>
    <w:qFormat/>
    <w:uiPriority w:val="0"/>
    <w:pPr>
      <w:spacing w:after="0" w:line="360" w:lineRule="auto"/>
      <w:ind w:left="0" w:leftChars="0" w:firstLine="420" w:firstLineChars="200"/>
    </w:pPr>
    <w:rPr>
      <w:rFonts w:ascii="宋体" w:hAnsi="宋体"/>
      <w:szCs w:val="20"/>
    </w:rPr>
  </w:style>
  <w:style w:type="table" w:styleId="45">
    <w:name w:val="Table Grid"/>
    <w:basedOn w:val="4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7">
    <w:name w:val="Strong"/>
    <w:qFormat/>
    <w:uiPriority w:val="0"/>
    <w:rPr>
      <w:b/>
      <w:bCs/>
    </w:rPr>
  </w:style>
  <w:style w:type="character" w:styleId="48">
    <w:name w:val="page number"/>
    <w:qFormat/>
    <w:uiPriority w:val="0"/>
  </w:style>
  <w:style w:type="character" w:styleId="49">
    <w:name w:val="FollowedHyperlink"/>
    <w:qFormat/>
    <w:uiPriority w:val="0"/>
    <w:rPr>
      <w:color w:val="800080"/>
      <w:u w:val="single"/>
    </w:rPr>
  </w:style>
  <w:style w:type="character" w:styleId="50">
    <w:name w:val="Emphasis"/>
    <w:basedOn w:val="46"/>
    <w:qFormat/>
    <w:uiPriority w:val="20"/>
    <w:rPr>
      <w:i/>
      <w:iCs/>
    </w:rPr>
  </w:style>
  <w:style w:type="character" w:styleId="51">
    <w:name w:val="Hyperlink"/>
    <w:qFormat/>
    <w:uiPriority w:val="0"/>
    <w:rPr>
      <w:color w:val="0000FF"/>
      <w:u w:val="single"/>
    </w:rPr>
  </w:style>
  <w:style w:type="character" w:styleId="52">
    <w:name w:val="annotation reference"/>
    <w:semiHidden/>
    <w:qFormat/>
    <w:uiPriority w:val="0"/>
    <w:rPr>
      <w:sz w:val="21"/>
      <w:szCs w:val="21"/>
    </w:rPr>
  </w:style>
  <w:style w:type="character" w:customStyle="1" w:styleId="53">
    <w:name w:val="正文文本缩进 字符"/>
    <w:basedOn w:val="46"/>
    <w:link w:val="18"/>
    <w:semiHidden/>
    <w:qFormat/>
    <w:uiPriority w:val="99"/>
  </w:style>
  <w:style w:type="character" w:customStyle="1" w:styleId="54">
    <w:name w:val="正文文本首行缩进 2 字符"/>
    <w:link w:val="43"/>
    <w:qFormat/>
    <w:uiPriority w:val="0"/>
    <w:rPr>
      <w:rFonts w:ascii="宋体" w:hAnsi="宋体" w:eastAsia="宋体" w:cs="Times New Roman"/>
      <w:szCs w:val="20"/>
    </w:rPr>
  </w:style>
  <w:style w:type="character" w:customStyle="1" w:styleId="55">
    <w:name w:val="标题 1 字符"/>
    <w:link w:val="3"/>
    <w:qFormat/>
    <w:uiPriority w:val="0"/>
    <w:rPr>
      <w:rFonts w:ascii="楷体_GB2312" w:hAnsi="Times New Roman" w:eastAsia="楷体_GB2312" w:cs="Times New Roman"/>
      <w:sz w:val="28"/>
      <w:szCs w:val="28"/>
    </w:rPr>
  </w:style>
  <w:style w:type="character" w:customStyle="1" w:styleId="56">
    <w:name w:val="标题 2 字符"/>
    <w:link w:val="4"/>
    <w:qFormat/>
    <w:uiPriority w:val="0"/>
    <w:rPr>
      <w:rFonts w:ascii="Arial" w:hAnsi="Arial" w:eastAsia="幼圆" w:cs="Arial"/>
      <w:b/>
      <w:bCs/>
      <w:sz w:val="44"/>
      <w:szCs w:val="44"/>
    </w:rPr>
  </w:style>
  <w:style w:type="character" w:customStyle="1" w:styleId="57">
    <w:name w:val="正文缩进 字符"/>
    <w:link w:val="6"/>
    <w:qFormat/>
    <w:uiPriority w:val="0"/>
    <w:rPr>
      <w:szCs w:val="21"/>
    </w:rPr>
  </w:style>
  <w:style w:type="character" w:customStyle="1" w:styleId="58">
    <w:name w:val="标题 3 字符"/>
    <w:link w:val="5"/>
    <w:qFormat/>
    <w:uiPriority w:val="0"/>
    <w:rPr>
      <w:rFonts w:ascii="Times New Roman" w:hAnsi="Times New Roman" w:eastAsia="宋体" w:cs="Times New Roman"/>
      <w:b/>
      <w:bCs/>
      <w:sz w:val="32"/>
      <w:szCs w:val="32"/>
    </w:rPr>
  </w:style>
  <w:style w:type="character" w:customStyle="1" w:styleId="59">
    <w:name w:val="标题 4 字符"/>
    <w:link w:val="7"/>
    <w:qFormat/>
    <w:uiPriority w:val="0"/>
    <w:rPr>
      <w:rFonts w:ascii="Arial" w:hAnsi="Arial" w:eastAsia="黑体" w:cs="Arial"/>
      <w:b/>
      <w:bCs/>
      <w:sz w:val="28"/>
      <w:szCs w:val="28"/>
    </w:rPr>
  </w:style>
  <w:style w:type="character" w:customStyle="1" w:styleId="60">
    <w:name w:val="标题 5 字符"/>
    <w:link w:val="8"/>
    <w:qFormat/>
    <w:uiPriority w:val="0"/>
    <w:rPr>
      <w:rFonts w:ascii="宋体" w:hAnsi="Times New Roman" w:eastAsia="宋体" w:cs="Times New Roman"/>
      <w:color w:val="000000"/>
      <w:kern w:val="0"/>
      <w:sz w:val="28"/>
      <w:szCs w:val="28"/>
    </w:rPr>
  </w:style>
  <w:style w:type="character" w:customStyle="1" w:styleId="61">
    <w:name w:val="标题 6 字符"/>
    <w:link w:val="9"/>
    <w:qFormat/>
    <w:uiPriority w:val="0"/>
    <w:rPr>
      <w:rFonts w:ascii="Arial" w:hAnsi="Arial" w:eastAsia="黑体" w:cs="Times New Roman"/>
      <w:b/>
      <w:bCs/>
      <w:sz w:val="24"/>
      <w:szCs w:val="24"/>
    </w:rPr>
  </w:style>
  <w:style w:type="character" w:customStyle="1" w:styleId="62">
    <w:name w:val="标题 7 字符"/>
    <w:link w:val="10"/>
    <w:qFormat/>
    <w:uiPriority w:val="0"/>
    <w:rPr>
      <w:rFonts w:ascii="Times New Roman" w:hAnsi="Times New Roman" w:eastAsia="宋体" w:cs="Times New Roman"/>
      <w:b/>
      <w:bCs/>
      <w:sz w:val="24"/>
      <w:szCs w:val="24"/>
    </w:rPr>
  </w:style>
  <w:style w:type="character" w:customStyle="1" w:styleId="63">
    <w:name w:val="标题 8 字符"/>
    <w:link w:val="11"/>
    <w:qFormat/>
    <w:uiPriority w:val="0"/>
    <w:rPr>
      <w:rFonts w:ascii="Arial" w:hAnsi="Arial" w:eastAsia="黑体" w:cs="Times New Roman"/>
      <w:sz w:val="24"/>
      <w:szCs w:val="24"/>
    </w:rPr>
  </w:style>
  <w:style w:type="character" w:customStyle="1" w:styleId="64">
    <w:name w:val="标题 9 字符"/>
    <w:link w:val="12"/>
    <w:qFormat/>
    <w:uiPriority w:val="0"/>
    <w:rPr>
      <w:rFonts w:ascii="Arial" w:hAnsi="Arial" w:eastAsia="黑体" w:cs="Times New Roman"/>
      <w:szCs w:val="21"/>
    </w:rPr>
  </w:style>
  <w:style w:type="character" w:customStyle="1" w:styleId="65">
    <w:name w:val="文档结构图 字符"/>
    <w:link w:val="15"/>
    <w:semiHidden/>
    <w:qFormat/>
    <w:uiPriority w:val="0"/>
    <w:rPr>
      <w:rFonts w:ascii="Times New Roman" w:hAnsi="Times New Roman" w:eastAsia="宋体" w:cs="Times New Roman"/>
      <w:szCs w:val="21"/>
      <w:shd w:val="clear" w:color="auto" w:fill="000080"/>
    </w:rPr>
  </w:style>
  <w:style w:type="character" w:customStyle="1" w:styleId="66">
    <w:name w:val="批注文字 字符"/>
    <w:basedOn w:val="46"/>
    <w:link w:val="16"/>
    <w:semiHidden/>
    <w:qFormat/>
    <w:uiPriority w:val="99"/>
  </w:style>
  <w:style w:type="character" w:customStyle="1" w:styleId="67">
    <w:name w:val="正文文本 3 字符"/>
    <w:link w:val="17"/>
    <w:qFormat/>
    <w:uiPriority w:val="0"/>
    <w:rPr>
      <w:rFonts w:ascii="仿宋_GB2312" w:hAnsi="Arial" w:eastAsia="仿宋_GB2312" w:cs="Times New Roman"/>
      <w:sz w:val="32"/>
      <w:szCs w:val="32"/>
    </w:rPr>
  </w:style>
  <w:style w:type="character" w:customStyle="1" w:styleId="68">
    <w:name w:val="正文文本 字符"/>
    <w:link w:val="2"/>
    <w:qFormat/>
    <w:uiPriority w:val="0"/>
    <w:rPr>
      <w:rFonts w:ascii="楷体_GB2312" w:hAnsi="Arial" w:eastAsia="楷体_GB2312" w:cs="Times New Roman"/>
      <w:sz w:val="28"/>
      <w:szCs w:val="28"/>
    </w:rPr>
  </w:style>
  <w:style w:type="character" w:customStyle="1" w:styleId="69">
    <w:name w:val="纯文本 字符"/>
    <w:link w:val="23"/>
    <w:qFormat/>
    <w:uiPriority w:val="0"/>
    <w:rPr>
      <w:rFonts w:ascii="宋体" w:hAnsi="Courier New" w:eastAsia="宋体" w:cs="Courier New"/>
      <w:szCs w:val="21"/>
    </w:rPr>
  </w:style>
  <w:style w:type="character" w:customStyle="1" w:styleId="70">
    <w:name w:val="日期 字符"/>
    <w:link w:val="25"/>
    <w:qFormat/>
    <w:uiPriority w:val="0"/>
    <w:rPr>
      <w:rFonts w:ascii="Times New Roman" w:hAnsi="Times New Roman" w:eastAsia="宋体" w:cs="Times New Roman"/>
      <w:sz w:val="24"/>
      <w:szCs w:val="24"/>
    </w:rPr>
  </w:style>
  <w:style w:type="character" w:customStyle="1" w:styleId="71">
    <w:name w:val="正文文本缩进 2 字符"/>
    <w:link w:val="26"/>
    <w:qFormat/>
    <w:uiPriority w:val="0"/>
    <w:rPr>
      <w:rFonts w:ascii="Arial" w:hAnsi="Arial" w:eastAsia="仿宋_GB2312" w:cs="Arial"/>
      <w:sz w:val="32"/>
      <w:szCs w:val="32"/>
    </w:rPr>
  </w:style>
  <w:style w:type="character" w:customStyle="1" w:styleId="72">
    <w:name w:val="批注框文本 字符"/>
    <w:link w:val="27"/>
    <w:semiHidden/>
    <w:qFormat/>
    <w:uiPriority w:val="0"/>
    <w:rPr>
      <w:rFonts w:ascii="Times New Roman" w:hAnsi="Times New Roman" w:eastAsia="宋体" w:cs="Times New Roman"/>
      <w:sz w:val="18"/>
      <w:szCs w:val="18"/>
    </w:rPr>
  </w:style>
  <w:style w:type="character" w:customStyle="1" w:styleId="73">
    <w:name w:val="页脚 字符"/>
    <w:link w:val="28"/>
    <w:qFormat/>
    <w:uiPriority w:val="0"/>
    <w:rPr>
      <w:rFonts w:ascii="Times New Roman" w:hAnsi="Times New Roman" w:eastAsia="宋体" w:cs="Times New Roman"/>
      <w:sz w:val="18"/>
      <w:szCs w:val="18"/>
    </w:rPr>
  </w:style>
  <w:style w:type="character" w:customStyle="1" w:styleId="74">
    <w:name w:val="页眉 字符"/>
    <w:link w:val="29"/>
    <w:qFormat/>
    <w:uiPriority w:val="0"/>
    <w:rPr>
      <w:rFonts w:ascii="Times New Roman" w:hAnsi="Times New Roman" w:eastAsia="宋体" w:cs="Times New Roman"/>
      <w:sz w:val="18"/>
      <w:szCs w:val="18"/>
    </w:rPr>
  </w:style>
  <w:style w:type="character" w:customStyle="1" w:styleId="75">
    <w:name w:val="正文文本缩进 3 字符"/>
    <w:link w:val="34"/>
    <w:qFormat/>
    <w:uiPriority w:val="0"/>
    <w:rPr>
      <w:rFonts w:ascii="Arial" w:hAnsi="Arial" w:eastAsia="仿宋_GB2312" w:cs="Arial"/>
      <w:color w:val="FFFF00"/>
      <w:sz w:val="32"/>
      <w:szCs w:val="32"/>
    </w:rPr>
  </w:style>
  <w:style w:type="character" w:customStyle="1" w:styleId="76">
    <w:name w:val="正文文本 2 字符"/>
    <w:link w:val="38"/>
    <w:qFormat/>
    <w:uiPriority w:val="0"/>
    <w:rPr>
      <w:rFonts w:ascii="楷体_GB2312" w:hAnsi="Times New Roman" w:eastAsia="楷体_GB2312" w:cs="Times New Roman"/>
      <w:sz w:val="28"/>
      <w:szCs w:val="28"/>
    </w:rPr>
  </w:style>
  <w:style w:type="character" w:customStyle="1" w:styleId="77">
    <w:name w:val="批注主题 字符"/>
    <w:link w:val="41"/>
    <w:semiHidden/>
    <w:qFormat/>
    <w:uiPriority w:val="0"/>
    <w:rPr>
      <w:rFonts w:ascii="Times New Roman" w:hAnsi="Times New Roman" w:eastAsia="宋体" w:cs="Times New Roman"/>
      <w:b/>
      <w:bCs/>
      <w:szCs w:val="21"/>
    </w:rPr>
  </w:style>
  <w:style w:type="character" w:customStyle="1" w:styleId="78">
    <w:name w:val="正文文本首行缩进 字符"/>
    <w:link w:val="42"/>
    <w:qFormat/>
    <w:uiPriority w:val="0"/>
    <w:rPr>
      <w:rFonts w:ascii="仿宋_GB2312" w:hAnsi="Times New Roman" w:eastAsia="仿宋_GB2312" w:cs="Times New Roman"/>
      <w:sz w:val="30"/>
      <w:szCs w:val="30"/>
    </w:rPr>
  </w:style>
  <w:style w:type="character" w:customStyle="1" w:styleId="79">
    <w:name w:val="font5 Char"/>
    <w:qFormat/>
    <w:uiPriority w:val="0"/>
    <w:rPr>
      <w:rFonts w:ascii="宋体" w:hAnsi="宋体" w:eastAsia="宋体"/>
      <w:sz w:val="28"/>
      <w:szCs w:val="28"/>
      <w:lang w:val="en-US" w:eastAsia="zh-CN" w:bidi="ar-SA"/>
    </w:rPr>
  </w:style>
  <w:style w:type="character" w:customStyle="1" w:styleId="80">
    <w:name w:val="二级目录 Char"/>
    <w:link w:val="81"/>
    <w:qFormat/>
    <w:uiPriority w:val="0"/>
    <w:rPr>
      <w:rFonts w:ascii="Calibri" w:hAnsi="Calibri"/>
      <w:b/>
      <w:kern w:val="2"/>
      <w:sz w:val="30"/>
      <w:szCs w:val="28"/>
    </w:rPr>
  </w:style>
  <w:style w:type="paragraph" w:customStyle="1" w:styleId="81">
    <w:name w:val="二级目录"/>
    <w:next w:val="1"/>
    <w:link w:val="80"/>
    <w:qFormat/>
    <w:uiPriority w:val="0"/>
    <w:pPr>
      <w:tabs>
        <w:tab w:val="left" w:pos="907"/>
        <w:tab w:val="left" w:pos="1145"/>
      </w:tabs>
      <w:ind w:left="907" w:hanging="907"/>
      <w:outlineLvl w:val="1"/>
    </w:pPr>
    <w:rPr>
      <w:rFonts w:ascii="Calibri" w:hAnsi="Calibri" w:eastAsia="宋体" w:cs="Times New Roman"/>
      <w:b/>
      <w:kern w:val="2"/>
      <w:sz w:val="30"/>
      <w:szCs w:val="28"/>
      <w:lang w:val="en-US" w:eastAsia="zh-CN" w:bidi="ar-SA"/>
    </w:rPr>
  </w:style>
  <w:style w:type="character" w:customStyle="1" w:styleId="82">
    <w:name w:val="列出段落 Char"/>
    <w:link w:val="83"/>
    <w:qFormat/>
    <w:locked/>
    <w:uiPriority w:val="0"/>
    <w:rPr>
      <w:rFonts w:ascii="Calibri" w:hAnsi="Calibri"/>
      <w:sz w:val="24"/>
      <w:szCs w:val="24"/>
      <w:lang w:eastAsia="en-US" w:bidi="en-US"/>
    </w:rPr>
  </w:style>
  <w:style w:type="paragraph" w:customStyle="1" w:styleId="83">
    <w:name w:val="列出段落1"/>
    <w:basedOn w:val="1"/>
    <w:link w:val="82"/>
    <w:qFormat/>
    <w:uiPriority w:val="0"/>
    <w:pPr>
      <w:widowControl/>
      <w:ind w:left="720"/>
      <w:contextualSpacing/>
      <w:jc w:val="left"/>
    </w:pPr>
    <w:rPr>
      <w:sz w:val="24"/>
      <w:szCs w:val="24"/>
      <w:lang w:eastAsia="en-US" w:bidi="en-US"/>
    </w:rPr>
  </w:style>
  <w:style w:type="paragraph" w:customStyle="1" w:styleId="84">
    <w:name w:val="Body Text(ch)"/>
    <w:basedOn w:val="1"/>
    <w:next w:val="2"/>
    <w:qFormat/>
    <w:uiPriority w:val="0"/>
    <w:pPr>
      <w:spacing w:after="120"/>
    </w:pPr>
    <w:rPr>
      <w:rFonts w:ascii="宋体" w:hAnsi="Arial"/>
      <w:bCs/>
      <w:iCs/>
      <w:szCs w:val="24"/>
    </w:rPr>
  </w:style>
  <w:style w:type="paragraph" w:customStyle="1" w:styleId="85">
    <w:name w:val="xl27"/>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4"/>
      <w:szCs w:val="24"/>
    </w:rPr>
  </w:style>
  <w:style w:type="paragraph" w:customStyle="1" w:styleId="86">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4"/>
      <w:szCs w:val="24"/>
    </w:rPr>
  </w:style>
  <w:style w:type="paragraph" w:customStyle="1" w:styleId="87">
    <w:name w:val="Char"/>
    <w:basedOn w:val="1"/>
    <w:qFormat/>
    <w:uiPriority w:val="0"/>
    <w:pPr>
      <w:tabs>
        <w:tab w:val="left" w:pos="360"/>
      </w:tabs>
      <w:ind w:firstLine="200" w:firstLineChars="200"/>
    </w:pPr>
    <w:rPr>
      <w:rFonts w:ascii="Times New Roman" w:hAnsi="Times New Roman"/>
      <w:sz w:val="28"/>
      <w:szCs w:val="30"/>
    </w:rPr>
  </w:style>
  <w:style w:type="paragraph" w:customStyle="1" w:styleId="88">
    <w:name w:val="Char1"/>
    <w:basedOn w:val="15"/>
    <w:qFormat/>
    <w:uiPriority w:val="0"/>
    <w:rPr>
      <w:rFonts w:ascii="Tahoma" w:hAnsi="Tahoma"/>
      <w:sz w:val="24"/>
      <w:szCs w:val="24"/>
    </w:rPr>
  </w:style>
  <w:style w:type="paragraph" w:customStyle="1" w:styleId="89">
    <w:name w:val="普通正文"/>
    <w:basedOn w:val="1"/>
    <w:qFormat/>
    <w:uiPriority w:val="0"/>
    <w:pPr>
      <w:adjustRightInd w:val="0"/>
      <w:spacing w:before="120" w:after="120" w:line="360" w:lineRule="auto"/>
      <w:ind w:firstLine="480"/>
      <w:jc w:val="left"/>
      <w:textAlignment w:val="baseline"/>
    </w:pPr>
    <w:rPr>
      <w:rFonts w:ascii="Arial" w:hAnsi="Arial"/>
      <w:kern w:val="0"/>
      <w:sz w:val="24"/>
      <w:szCs w:val="24"/>
    </w:rPr>
  </w:style>
  <w:style w:type="paragraph" w:customStyle="1" w:styleId="90">
    <w:name w:val="table_lines"/>
    <w:basedOn w:val="1"/>
    <w:qFormat/>
    <w:uiPriority w:val="0"/>
    <w:pPr>
      <w:widowControl/>
      <w:jc w:val="left"/>
    </w:pPr>
    <w:rPr>
      <w:rFonts w:ascii="Times New Roman" w:hAnsi="Times New Roman"/>
      <w:kern w:val="0"/>
      <w:sz w:val="20"/>
      <w:szCs w:val="20"/>
      <w:lang w:val="de-DE" w:eastAsia="de-DE"/>
    </w:rPr>
  </w:style>
  <w:style w:type="paragraph" w:customStyle="1" w:styleId="91">
    <w:name w:val="附录1"/>
    <w:qFormat/>
    <w:uiPriority w:val="0"/>
    <w:pPr>
      <w:numPr>
        <w:ilvl w:val="0"/>
        <w:numId w:val="2"/>
      </w:numPr>
      <w:snapToGrid w:val="0"/>
      <w:spacing w:before="240" w:line="600" w:lineRule="atLeast"/>
    </w:pPr>
    <w:rPr>
      <w:rFonts w:ascii="Times New Roman" w:hAnsi="Times New Roman" w:eastAsia="宋体" w:cs="Times New Roman"/>
      <w:b/>
      <w:i/>
      <w:sz w:val="28"/>
      <w:lang w:val="en-US" w:eastAsia="zh-CN" w:bidi="ar-SA"/>
    </w:rPr>
  </w:style>
  <w:style w:type="paragraph" w:customStyle="1" w:styleId="92">
    <w:name w:val="font7"/>
    <w:basedOn w:val="1"/>
    <w:qFormat/>
    <w:uiPriority w:val="0"/>
    <w:pPr>
      <w:widowControl/>
      <w:spacing w:before="100" w:beforeAutospacing="1" w:after="100" w:afterAutospacing="1"/>
      <w:jc w:val="left"/>
    </w:pPr>
    <w:rPr>
      <w:rFonts w:hint="eastAsia" w:ascii="宋体" w:hAnsi="宋体"/>
      <w:kern w:val="0"/>
      <w:sz w:val="18"/>
      <w:szCs w:val="18"/>
    </w:rPr>
  </w:style>
  <w:style w:type="paragraph" w:customStyle="1" w:styleId="93">
    <w:name w:val="Char Char Char Char"/>
    <w:basedOn w:val="15"/>
    <w:qFormat/>
    <w:uiPriority w:val="0"/>
    <w:pPr>
      <w:adjustRightInd w:val="0"/>
      <w:snapToGrid w:val="0"/>
      <w:spacing w:line="360" w:lineRule="auto"/>
    </w:pPr>
    <w:rPr>
      <w:rFonts w:ascii="Tahoma" w:hAnsi="Tahoma"/>
      <w:sz w:val="24"/>
      <w:szCs w:val="24"/>
    </w:rPr>
  </w:style>
  <w:style w:type="paragraph" w:styleId="94">
    <w:name w:val="List Paragraph"/>
    <w:basedOn w:val="1"/>
    <w:qFormat/>
    <w:uiPriority w:val="34"/>
    <w:pPr>
      <w:widowControl/>
      <w:ind w:left="720"/>
      <w:contextualSpacing/>
      <w:jc w:val="left"/>
    </w:pPr>
    <w:rPr>
      <w:kern w:val="0"/>
      <w:sz w:val="24"/>
      <w:szCs w:val="24"/>
      <w:lang w:eastAsia="en-US" w:bidi="en-US"/>
    </w:rPr>
  </w:style>
  <w:style w:type="paragraph" w:customStyle="1" w:styleId="95">
    <w:name w:val="4"/>
    <w:basedOn w:val="1"/>
    <w:next w:val="34"/>
    <w:qFormat/>
    <w:uiPriority w:val="0"/>
    <w:pPr>
      <w:spacing w:line="360" w:lineRule="auto"/>
      <w:ind w:firstLine="420"/>
    </w:pPr>
    <w:rPr>
      <w:rFonts w:ascii="Times New Roman" w:hAnsi="Times New Roman"/>
      <w:color w:val="FF0000"/>
      <w:sz w:val="24"/>
      <w:szCs w:val="24"/>
    </w:rPr>
  </w:style>
  <w:style w:type="paragraph" w:customStyle="1" w:styleId="96">
    <w:name w:val="普通 (Web)"/>
    <w:basedOn w:val="1"/>
    <w:qFormat/>
    <w:uiPriority w:val="0"/>
    <w:pPr>
      <w:widowControl/>
      <w:spacing w:before="100" w:beforeAutospacing="1" w:after="100" w:afterAutospacing="1"/>
      <w:jc w:val="left"/>
    </w:pPr>
    <w:rPr>
      <w:rFonts w:ascii="宋体" w:hAnsi="宋体"/>
      <w:kern w:val="0"/>
      <w:sz w:val="24"/>
      <w:szCs w:val="24"/>
    </w:rPr>
  </w:style>
  <w:style w:type="paragraph" w:customStyle="1" w:styleId="97">
    <w:name w:val="Char Char Char Char Char Char Char Char Char Char"/>
    <w:basedOn w:val="1"/>
    <w:qFormat/>
    <w:uiPriority w:val="0"/>
    <w:pPr>
      <w:adjustRightInd w:val="0"/>
      <w:spacing w:line="360" w:lineRule="auto"/>
    </w:pPr>
    <w:rPr>
      <w:rFonts w:ascii="Times New Roman" w:hAnsi="Times New Roman"/>
      <w:kern w:val="0"/>
      <w:sz w:val="24"/>
      <w:szCs w:val="20"/>
    </w:rPr>
  </w:style>
  <w:style w:type="paragraph" w:customStyle="1" w:styleId="98">
    <w:name w:val="样式1"/>
    <w:basedOn w:val="1"/>
    <w:qFormat/>
    <w:uiPriority w:val="0"/>
    <w:pPr>
      <w:numPr>
        <w:ilvl w:val="0"/>
        <w:numId w:val="3"/>
      </w:numPr>
      <w:adjustRightInd w:val="0"/>
      <w:textAlignment w:val="baseline"/>
    </w:pPr>
    <w:rPr>
      <w:rFonts w:ascii="宋体" w:hAnsi="宋体"/>
      <w:kern w:val="0"/>
      <w:szCs w:val="21"/>
    </w:rPr>
  </w:style>
  <w:style w:type="paragraph" w:customStyle="1" w:styleId="99">
    <w:name w:val="font6"/>
    <w:basedOn w:val="1"/>
    <w:qFormat/>
    <w:uiPriority w:val="0"/>
    <w:pPr>
      <w:widowControl/>
      <w:spacing w:before="100" w:beforeAutospacing="1" w:after="100" w:afterAutospacing="1"/>
      <w:jc w:val="left"/>
    </w:pPr>
    <w:rPr>
      <w:rFonts w:hint="eastAsia" w:ascii="宋体" w:hAnsi="宋体"/>
      <w:kern w:val="0"/>
      <w:sz w:val="28"/>
      <w:szCs w:val="28"/>
      <w:u w:val="single"/>
    </w:rPr>
  </w:style>
  <w:style w:type="paragraph" w:customStyle="1" w:styleId="100">
    <w:name w:val="xl25"/>
    <w:basedOn w:val="1"/>
    <w:qFormat/>
    <w:uiPriority w:val="0"/>
    <w:pPr>
      <w:widowControl/>
      <w:spacing w:before="100" w:beforeAutospacing="1" w:after="100" w:afterAutospacing="1"/>
      <w:jc w:val="center"/>
      <w:textAlignment w:val="center"/>
    </w:pPr>
    <w:rPr>
      <w:rFonts w:ascii="Arial Unicode MS" w:hAnsi="Arial Unicode MS" w:eastAsia="Arial Unicode MS" w:cs="Arial Unicode MS"/>
      <w:kern w:val="0"/>
      <w:sz w:val="24"/>
      <w:szCs w:val="24"/>
    </w:rPr>
  </w:style>
  <w:style w:type="paragraph" w:customStyle="1" w:styleId="101">
    <w:name w:val="图标"/>
    <w:basedOn w:val="1"/>
    <w:next w:val="1"/>
    <w:qFormat/>
    <w:uiPriority w:val="0"/>
    <w:pPr>
      <w:tabs>
        <w:tab w:val="left" w:pos="567"/>
        <w:tab w:val="left" w:pos="840"/>
      </w:tabs>
      <w:autoSpaceDE w:val="0"/>
      <w:autoSpaceDN w:val="0"/>
      <w:adjustRightInd w:val="0"/>
      <w:snapToGrid w:val="0"/>
      <w:spacing w:before="120" w:after="120" w:line="320" w:lineRule="atLeast"/>
      <w:ind w:left="840" w:hanging="420"/>
      <w:jc w:val="center"/>
      <w:textAlignment w:val="baseline"/>
    </w:pPr>
    <w:rPr>
      <w:rFonts w:ascii="Times New Roman" w:hAnsi="Times New Roman" w:eastAsia="仿宋_GB2312"/>
      <w:kern w:val="0"/>
      <w:sz w:val="24"/>
      <w:szCs w:val="20"/>
    </w:rPr>
  </w:style>
  <w:style w:type="paragraph" w:customStyle="1" w:styleId="102">
    <w:name w:val="标题3"/>
    <w:basedOn w:val="1"/>
    <w:next w:val="1"/>
    <w:qFormat/>
    <w:uiPriority w:val="0"/>
    <w:pPr>
      <w:autoSpaceDE w:val="0"/>
      <w:autoSpaceDN w:val="0"/>
      <w:snapToGrid w:val="0"/>
      <w:spacing w:line="590" w:lineRule="atLeast"/>
      <w:ind w:firstLine="624"/>
    </w:pPr>
    <w:rPr>
      <w:rFonts w:ascii="方正黑体_GBK" w:hAnsi="Times New Roman" w:eastAsia="方正黑体_GBK"/>
      <w:snapToGrid w:val="0"/>
      <w:kern w:val="0"/>
      <w:sz w:val="32"/>
      <w:szCs w:val="32"/>
    </w:rPr>
  </w:style>
  <w:style w:type="paragraph" w:customStyle="1" w:styleId="103">
    <w:name w:val="xl24"/>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kern w:val="0"/>
      <w:sz w:val="24"/>
      <w:szCs w:val="24"/>
    </w:rPr>
  </w:style>
  <w:style w:type="paragraph" w:customStyle="1" w:styleId="104">
    <w:name w:val="xl29"/>
    <w:basedOn w:val="1"/>
    <w:qFormat/>
    <w:uiPriority w:val="0"/>
    <w:pPr>
      <w:widowControl/>
      <w:pBdr>
        <w:left w:val="single" w:color="auto" w:sz="4" w:space="0"/>
        <w:bottom w:val="single" w:color="auto" w:sz="4" w:space="0"/>
      </w:pBdr>
      <w:spacing w:before="100" w:beforeAutospacing="1" w:after="100" w:afterAutospacing="1"/>
      <w:jc w:val="left"/>
    </w:pPr>
    <w:rPr>
      <w:rFonts w:ascii="宋体" w:hAnsi="宋体"/>
      <w:kern w:val="0"/>
      <w:sz w:val="24"/>
      <w:szCs w:val="24"/>
    </w:rPr>
  </w:style>
  <w:style w:type="paragraph" w:customStyle="1" w:styleId="105">
    <w:name w:val="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06">
    <w:name w:val="xl28"/>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kern w:val="0"/>
      <w:sz w:val="24"/>
      <w:szCs w:val="24"/>
    </w:rPr>
  </w:style>
  <w:style w:type="paragraph" w:customStyle="1" w:styleId="107">
    <w:name w:val="Char Char Char Char Char Char Char 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108">
    <w:name w:val="xl30"/>
    <w:basedOn w:val="1"/>
    <w:qFormat/>
    <w:uiPriority w:val="0"/>
    <w:pPr>
      <w:widowControl/>
      <w:spacing w:before="100" w:beforeAutospacing="1" w:after="100" w:afterAutospacing="1"/>
      <w:jc w:val="center"/>
    </w:pPr>
    <w:rPr>
      <w:rFonts w:ascii="宋体" w:hAnsi="宋体"/>
      <w:b/>
      <w:bCs/>
      <w:kern w:val="0"/>
      <w:sz w:val="36"/>
      <w:szCs w:val="36"/>
    </w:rPr>
  </w:style>
  <w:style w:type="paragraph" w:customStyle="1" w:styleId="109">
    <w:name w:val="Char Char Char Char1"/>
    <w:basedOn w:val="15"/>
    <w:qFormat/>
    <w:uiPriority w:val="0"/>
    <w:pPr>
      <w:adjustRightInd w:val="0"/>
      <w:snapToGrid w:val="0"/>
      <w:spacing w:line="360" w:lineRule="auto"/>
    </w:pPr>
    <w:rPr>
      <w:rFonts w:ascii="Tahoma" w:hAnsi="Tahoma"/>
      <w:sz w:val="24"/>
      <w:szCs w:val="24"/>
    </w:rPr>
  </w:style>
  <w:style w:type="paragraph" w:customStyle="1" w:styleId="110">
    <w:name w:val="table_1stline"/>
    <w:basedOn w:val="1"/>
    <w:qFormat/>
    <w:uiPriority w:val="0"/>
    <w:pPr>
      <w:widowControl/>
      <w:spacing w:before="120"/>
      <w:jc w:val="left"/>
    </w:pPr>
    <w:rPr>
      <w:rFonts w:ascii="Times New Roman" w:hAnsi="Times New Roman"/>
      <w:bCs/>
      <w:kern w:val="0"/>
      <w:sz w:val="20"/>
      <w:szCs w:val="20"/>
      <w:lang w:val="de-DE" w:eastAsia="de-DE"/>
    </w:rPr>
  </w:style>
  <w:style w:type="paragraph" w:customStyle="1" w:styleId="111">
    <w:name w:val="font5"/>
    <w:basedOn w:val="1"/>
    <w:qFormat/>
    <w:uiPriority w:val="0"/>
    <w:pPr>
      <w:widowControl/>
      <w:spacing w:before="100" w:beforeAutospacing="1" w:after="100" w:afterAutospacing="1"/>
      <w:jc w:val="left"/>
    </w:pPr>
    <w:rPr>
      <w:rFonts w:hint="eastAsia" w:ascii="宋体" w:hAnsi="宋体"/>
      <w:kern w:val="0"/>
      <w:sz w:val="28"/>
      <w:szCs w:val="28"/>
    </w:rPr>
  </w:style>
  <w:style w:type="paragraph" w:customStyle="1" w:styleId="112">
    <w:name w:val="标题1"/>
    <w:basedOn w:val="1"/>
    <w:next w:val="1"/>
    <w:qFormat/>
    <w:uiPriority w:val="0"/>
    <w:pPr>
      <w:tabs>
        <w:tab w:val="left" w:pos="9193"/>
        <w:tab w:val="left" w:pos="9827"/>
      </w:tabs>
      <w:autoSpaceDE w:val="0"/>
      <w:autoSpaceDN w:val="0"/>
      <w:snapToGrid w:val="0"/>
      <w:spacing w:line="700" w:lineRule="atLeast"/>
      <w:jc w:val="center"/>
    </w:pPr>
    <w:rPr>
      <w:rFonts w:ascii="方正小标宋_GBK" w:hAnsi="Times New Roman" w:eastAsia="方正小标宋_GBK"/>
      <w:snapToGrid w:val="0"/>
      <w:kern w:val="0"/>
      <w:sz w:val="44"/>
      <w:szCs w:val="20"/>
    </w:rPr>
  </w:style>
  <w:style w:type="paragraph" w:customStyle="1" w:styleId="113">
    <w:name w:val="_Style 111"/>
    <w:semiHidden/>
    <w:qFormat/>
    <w:uiPriority w:val="99"/>
    <w:rPr>
      <w:rFonts w:ascii="Times New Roman" w:hAnsi="Times New Roman" w:eastAsia="宋体" w:cs="Times New Roman"/>
      <w:kern w:val="2"/>
      <w:sz w:val="21"/>
      <w:szCs w:val="21"/>
      <w:lang w:val="en-US" w:eastAsia="zh-CN" w:bidi="ar-SA"/>
    </w:rPr>
  </w:style>
  <w:style w:type="paragraph" w:styleId="114">
    <w:name w:val="No Spacing"/>
    <w:qFormat/>
    <w:uiPriority w:val="99"/>
    <w:pPr>
      <w:widowControl w:val="0"/>
      <w:jc w:val="both"/>
    </w:pPr>
    <w:rPr>
      <w:rFonts w:ascii="Times New Roman" w:hAnsi="Times New Roman" w:eastAsia="宋体" w:cs="Times New Roman"/>
      <w:kern w:val="2"/>
      <w:sz w:val="21"/>
      <w:szCs w:val="21"/>
      <w:lang w:val="en-US" w:eastAsia="zh-CN" w:bidi="ar-SA"/>
    </w:rPr>
  </w:style>
  <w:style w:type="paragraph" w:customStyle="1" w:styleId="115">
    <w:name w:val="目录 82"/>
    <w:next w:val="1"/>
    <w:qFormat/>
    <w:uiPriority w:val="0"/>
    <w:pPr>
      <w:wordWrap w:val="0"/>
      <w:ind w:left="2550"/>
      <w:jc w:val="both"/>
    </w:pPr>
    <w:rPr>
      <w:rFonts w:ascii="Calibri" w:hAnsi="Calibri" w:eastAsia="宋体" w:cs="Times New Roman"/>
      <w:sz w:val="21"/>
      <w:lang w:val="en-US" w:eastAsia="zh-CN" w:bidi="ar-SA"/>
    </w:rPr>
  </w:style>
  <w:style w:type="paragraph" w:customStyle="1" w:styleId="116">
    <w:name w:val="段"/>
    <w:next w:val="1"/>
    <w:qFormat/>
    <w:uiPriority w:val="0"/>
    <w:pPr>
      <w:spacing w:line="360" w:lineRule="auto"/>
      <w:ind w:firstLine="200"/>
      <w:jc w:val="both"/>
    </w:pPr>
    <w:rPr>
      <w:rFonts w:ascii="宋体" w:hAnsi="Times New Roman" w:eastAsia="宋体" w:cs="Times New Roman"/>
      <w:sz w:val="24"/>
      <w:szCs w:val="22"/>
      <w:lang w:val="en-US" w:eastAsia="zh-CN" w:bidi="ar-SA"/>
    </w:rPr>
  </w:style>
  <w:style w:type="paragraph" w:customStyle="1" w:styleId="117">
    <w:name w:val="修订1"/>
    <w:hidden/>
    <w:unhideWhenUsed/>
    <w:qFormat/>
    <w:uiPriority w:val="99"/>
    <w:rPr>
      <w:rFonts w:ascii="Calibri" w:hAnsi="Calibri" w:eastAsia="宋体" w:cs="Times New Roman"/>
      <w:kern w:val="2"/>
      <w:sz w:val="21"/>
      <w:szCs w:val="22"/>
      <w:lang w:val="en-US" w:eastAsia="zh-CN" w:bidi="ar-SA"/>
    </w:rPr>
  </w:style>
  <w:style w:type="paragraph" w:customStyle="1" w:styleId="118">
    <w:name w:val="DAS正文"/>
    <w:basedOn w:val="1"/>
    <w:qFormat/>
    <w:uiPriority w:val="0"/>
    <w:pPr>
      <w:spacing w:line="360" w:lineRule="auto"/>
      <w:ind w:right="181" w:firstLine="480"/>
    </w:pPr>
    <w:rPr>
      <w:rFonts w:ascii="Verdana" w:hAnsi="Verdana"/>
      <w:szCs w:val="24"/>
    </w:rPr>
  </w:style>
  <w:style w:type="table" w:customStyle="1" w:styleId="119">
    <w:name w:val="Table Normal"/>
    <w:semiHidden/>
    <w:unhideWhenUsed/>
    <w:qFormat/>
    <w:uiPriority w:val="0"/>
    <w:tblPr>
      <w:tblCellMar>
        <w:top w:w="0" w:type="dxa"/>
        <w:left w:w="0" w:type="dxa"/>
        <w:bottom w:w="0" w:type="dxa"/>
        <w:right w:w="0" w:type="dxa"/>
      </w:tblCellMar>
    </w:tblPr>
  </w:style>
  <w:style w:type="paragraph" w:customStyle="1" w:styleId="120">
    <w:name w:val="修订2"/>
    <w:hidden/>
    <w:unhideWhenUsed/>
    <w:qFormat/>
    <w:uiPriority w:val="99"/>
    <w:rPr>
      <w:rFonts w:ascii="Calibri" w:hAnsi="Calibri" w:eastAsia="宋体" w:cs="Times New Roman"/>
      <w:kern w:val="2"/>
      <w:sz w:val="21"/>
      <w:szCs w:val="22"/>
      <w:lang w:val="en-US" w:eastAsia="zh-CN" w:bidi="ar-SA"/>
    </w:rPr>
  </w:style>
  <w:style w:type="paragraph" w:customStyle="1" w:styleId="121">
    <w:name w:val="修订3"/>
    <w:hidden/>
    <w:unhideWhenUsed/>
    <w:qFormat/>
    <w:uiPriority w:val="99"/>
    <w:rPr>
      <w:rFonts w:ascii="Calibri" w:hAnsi="Calibri" w:eastAsia="宋体" w:cs="Times New Roman"/>
      <w:kern w:val="2"/>
      <w:sz w:val="21"/>
      <w:szCs w:val="22"/>
      <w:lang w:val="en-US" w:eastAsia="zh-CN" w:bidi="ar-SA"/>
    </w:rPr>
  </w:style>
  <w:style w:type="paragraph" w:customStyle="1" w:styleId="122">
    <w:name w:val="纯文本11"/>
    <w:basedOn w:val="1"/>
    <w:qFormat/>
    <w:uiPriority w:val="0"/>
    <w:pPr>
      <w:adjustRightInd w:val="0"/>
    </w:pPr>
    <w:rPr>
      <w:rFonts w:ascii="宋体" w:hAnsi="Courier New" w:eastAsia="楷体_GB2312"/>
      <w:kern w:val="0"/>
      <w:sz w:val="26"/>
      <w:szCs w:val="24"/>
    </w:rPr>
  </w:style>
  <w:style w:type="paragraph" w:customStyle="1" w:styleId="123">
    <w:name w:val="正文（缩进）"/>
    <w:basedOn w:val="1"/>
    <w:qFormat/>
    <w:uiPriority w:val="0"/>
    <w:pPr>
      <w:spacing w:before="156" w:after="156"/>
      <w:ind w:firstLine="480" w:firstLineChars="200"/>
    </w:pPr>
  </w:style>
  <w:style w:type="character" w:customStyle="1" w:styleId="124">
    <w:name w:val="UserStyle_1"/>
    <w:autoRedefine/>
    <w:qFormat/>
    <w:uiPriority w:val="0"/>
    <w:rPr>
      <w:rFonts w:ascii="Times New Roman" w:hAnsi="Times New Roman" w:eastAsia="宋体" w:cs="Times New Roman"/>
    </w:rPr>
  </w:style>
  <w:style w:type="paragraph" w:customStyle="1" w:styleId="125">
    <w:name w:val="正文文本缩进11"/>
    <w:basedOn w:val="1"/>
    <w:next w:val="1"/>
    <w:qFormat/>
    <w:uiPriority w:val="0"/>
    <w:pPr>
      <w:spacing w:line="360" w:lineRule="auto"/>
      <w:ind w:firstLine="570"/>
    </w:pPr>
    <w:rPr>
      <w:sz w:val="24"/>
    </w:rPr>
  </w:style>
  <w:style w:type="paragraph" w:customStyle="1" w:styleId="126">
    <w:name w:val="列表段落"/>
    <w:basedOn w:val="1"/>
    <w:qFormat/>
    <w:uiPriority w:val="0"/>
    <w:pPr>
      <w:widowControl/>
      <w:ind w:left="720"/>
      <w:contextualSpacing/>
      <w:jc w:val="left"/>
    </w:pPr>
    <w:rPr>
      <w:rFonts w:ascii="Calibri" w:hAnsi="Calibri" w:eastAsia="宋体" w:cs="Times New Roman"/>
      <w:sz w:val="24"/>
      <w:szCs w:val="24"/>
      <w:lang w:eastAsia="en-US" w:bidi="en-US"/>
    </w:rPr>
  </w:style>
  <w:style w:type="paragraph" w:customStyle="1" w:styleId="127">
    <w:name w:val="正文_2_0"/>
    <w:next w:val="128"/>
    <w:qFormat/>
    <w:uiPriority w:val="0"/>
    <w:pPr>
      <w:widowControl w:val="0"/>
      <w:jc w:val="both"/>
    </w:pPr>
    <w:rPr>
      <w:rFonts w:ascii="Calibri" w:hAnsi="Calibri" w:eastAsia="宋体" w:cs="Times New Roman"/>
      <w:sz w:val="21"/>
      <w:szCs w:val="22"/>
      <w:lang w:val="en-US" w:eastAsia="zh-CN" w:bidi="ar-SA"/>
    </w:rPr>
  </w:style>
  <w:style w:type="paragraph" w:customStyle="1" w:styleId="128">
    <w:name w:val="正文文本_0_0"/>
    <w:basedOn w:val="127"/>
    <w:next w:val="127"/>
    <w:unhideWhenUsed/>
    <w:qFormat/>
    <w:uiPriority w:val="99"/>
    <w:pPr>
      <w:spacing w:after="120"/>
    </w:pPr>
    <w:rPr>
      <w:rFonts w:eastAsia="Times New Roman"/>
    </w:rPr>
  </w:style>
  <w:style w:type="paragraph" w:customStyle="1" w:styleId="129">
    <w:name w:val="正文_3_1"/>
    <w:qFormat/>
    <w:uiPriority w:val="0"/>
    <w:pPr>
      <w:widowControl w:val="0"/>
      <w:jc w:val="both"/>
    </w:pPr>
    <w:rPr>
      <w:rFonts w:ascii="Calibri" w:hAnsi="Calibri" w:eastAsia="宋体" w:cs="Times New Roman"/>
      <w:sz w:val="21"/>
      <w:szCs w:val="22"/>
      <w:lang w:val="en-US" w:eastAsia="zh-CN" w:bidi="ar-SA"/>
    </w:rPr>
  </w:style>
  <w:style w:type="paragraph" w:customStyle="1" w:styleId="130">
    <w:name w:val="正文_2_0_0"/>
    <w:basedOn w:val="131"/>
    <w:qFormat/>
    <w:uiPriority w:val="0"/>
  </w:style>
  <w:style w:type="paragraph" w:customStyle="1" w:styleId="131">
    <w:name w:val="正文_16_0"/>
    <w:qFormat/>
    <w:uiPriority w:val="0"/>
    <w:pPr>
      <w:widowControl w:val="0"/>
      <w:jc w:val="both"/>
    </w:pPr>
    <w:rPr>
      <w:rFonts w:ascii="Calibri" w:hAnsi="Calibri" w:eastAsia="宋体" w:cs="Times New Roman"/>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61</Pages>
  <Words>15229</Words>
  <Characters>16294</Characters>
  <Lines>196</Lines>
  <Paragraphs>55</Paragraphs>
  <TotalTime>0</TotalTime>
  <ScaleCrop>false</ScaleCrop>
  <LinksUpToDate>false</LinksUpToDate>
  <CharactersWithSpaces>16506</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2024-10-10T07:27:00Z</dcterms:created>
  <dc:creator>赵国文</dc:creator>
  <cp:lastModifiedBy>WAN   豆沙包</cp:lastModifiedBy>
  <cp:lastPrinted>2026-04-23T09:10:00Z</cp:lastPrinted>
  <dcterms:modified xsi:type="dcterms:W3CDTF">2026-04-30T02:22:03Z</dcterms:modified>
  <cp:revision>76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78B36137F7FF4CBEB7F2A2E600FB6955_13</vt:lpwstr>
  </property>
  <property fmtid="{D5CDD505-2E9C-101B-9397-08002B2CF9AE}" pid="4" name="KSOTemplateDocerSaveRecord">
    <vt:lpwstr>eyJoZGlkIjoiNTM2NWY3NTI2NWEwZGFhYmVjNDM4YWU5MjJiOGY2YjYiLCJ1c2VySWQiOiIzNTg2MTcxNDAifQ==</vt:lpwstr>
  </property>
</Properties>
</file>