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ascii="宋体" w:hAnsi="宋体" w:cs="宋体"/>
          <w:sz w:val="84"/>
        </w:rPr>
      </w:pPr>
      <w:r>
        <w:rPr>
          <w:rFonts w:hint="eastAsia" w:ascii="宋体" w:hAnsi="宋体" w:cs="宋体"/>
          <w:sz w:val="84"/>
        </w:rPr>
      </w:r>
      <w:r/>
    </w:p>
    <w:p>
      <w:pPr>
        <w:pStyle w:val="972"/>
        <w:ind w:firstLine="0"/>
        <w:rPr>
          <w:rFonts w:hint="eastAsia" w:ascii="宋体" w:hAnsi="宋体" w:cs="宋体"/>
          <w:sz w:val="84"/>
        </w:rPr>
      </w:pPr>
      <w:r>
        <w:rPr>
          <w:rFonts w:hint="eastAsia" w:ascii="宋体" w:hAnsi="宋体" w:cs="宋体"/>
          <w:sz w:val="84"/>
        </w:rPr>
      </w:r>
      <w:r/>
    </w:p>
    <w:p>
      <w:pPr>
        <w:pStyle w:val="972"/>
        <w:ind w:firstLine="0"/>
        <w:jc w:val="center"/>
        <w:rPr>
          <w:rFonts w:hint="eastAsia" w:ascii="宋体" w:hAnsi="宋体" w:cs="宋体"/>
          <w:sz w:val="84"/>
        </w:rPr>
      </w:pPr>
      <w:r>
        <w:rPr>
          <w:rFonts w:hint="eastAsia" w:ascii="宋体" w:hAnsi="宋体" w:cs="宋体"/>
          <w:sz w:val="84"/>
        </w:rPr>
        <w:t xml:space="preserve">招　标　文　件</w:t>
      </w:r>
      <w:r/>
    </w:p>
    <w:p>
      <w:pPr>
        <w:jc w:val="center"/>
        <w:rPr>
          <w:rFonts w:hint="eastAsia" w:ascii="宋体" w:hAnsi="宋体" w:cs="宋体"/>
          <w:sz w:val="32"/>
        </w:rPr>
      </w:pPr>
      <w:r>
        <w:rPr>
          <w:rFonts w:hint="eastAsia" w:ascii="宋体" w:hAnsi="宋体" w:cs="宋体"/>
          <w:sz w:val="32"/>
        </w:rPr>
        <w:t xml:space="preserve">项目名称：宿迁学院测量检测仪器设备采购项目</w:t>
      </w:r>
      <w:r/>
    </w:p>
    <w:p>
      <w:pPr>
        <w:jc w:val="center"/>
        <w:rPr>
          <w:rFonts w:hint="eastAsia" w:ascii="宋体" w:hAnsi="宋体" w:cs="宋体"/>
          <w:sz w:val="32"/>
        </w:rPr>
      </w:pPr>
      <w:r>
        <w:rPr>
          <w:rFonts w:hint="eastAsia" w:ascii="宋体" w:hAnsi="宋体" w:cs="宋体"/>
          <w:sz w:val="32"/>
        </w:rPr>
      </w:r>
      <w:r/>
    </w:p>
    <w:p>
      <w:pPr>
        <w:ind w:firstLine="960"/>
        <w:rPr>
          <w:rFonts w:hint="eastAsia" w:ascii="宋体" w:hAnsi="宋体" w:cs="宋体"/>
          <w:sz w:val="30"/>
          <w:szCs w:val="30"/>
          <w:highlight w:val="none"/>
        </w:rPr>
      </w:pPr>
      <w:r>
        <w:rPr>
          <w:rFonts w:hint="eastAsia" w:ascii="宋体" w:hAnsi="宋体" w:cs="宋体"/>
          <w:sz w:val="32"/>
          <w:highlight w:val="none"/>
        </w:rPr>
        <w:t xml:space="preserve">项目编号：JSZC-320000-JSJK-G2026-0007 </w:t>
      </w:r>
      <w:r/>
    </w:p>
    <w:p>
      <w:pPr>
        <w:jc w:val="center"/>
        <w:rPr>
          <w:rFonts w:hint="eastAsia" w:ascii="宋体" w:hAnsi="宋体" w:cs="宋体"/>
          <w:sz w:val="30"/>
          <w:szCs w:val="30"/>
        </w:rPr>
      </w:pPr>
      <w:r>
        <w:rPr>
          <w:rFonts w:hint="eastAsia" w:ascii="宋体" w:hAnsi="宋体" w:cs="宋体"/>
          <w:sz w:val="30"/>
          <w:szCs w:val="30"/>
        </w:rPr>
        <w:t xml:space="preserve">（货物类项目，非专门面向中小企业）</w:t>
      </w:r>
      <w:r/>
    </w:p>
    <w:p>
      <w:pPr>
        <w:pStyle w:val="972"/>
        <w:ind w:firstLine="0"/>
        <w:spacing w:before="0" w:after="0"/>
        <w:rPr>
          <w:rFonts w:hint="eastAsia" w:ascii="宋体" w:hAnsi="宋体" w:cs="宋体"/>
        </w:rPr>
      </w:pPr>
      <w:r>
        <w:rPr>
          <w:rFonts w:hint="eastAsia" w:ascii="宋体" w:hAnsi="宋体" w:cs="宋体"/>
        </w:rPr>
      </w:r>
      <w:r/>
    </w:p>
    <w:p>
      <w:pPr>
        <w:pStyle w:val="972"/>
        <w:ind w:firstLine="0"/>
        <w:spacing w:before="0" w:after="0"/>
        <w:rPr>
          <w:rFonts w:hint="eastAsia" w:ascii="宋体" w:hAnsi="宋体" w:cs="宋体"/>
        </w:rPr>
      </w:pPr>
      <w:r>
        <w:rPr>
          <w:rFonts w:hint="eastAsia" w:ascii="宋体" w:hAnsi="宋体" w:cs="宋体"/>
        </w:rPr>
      </w:r>
      <w:r/>
    </w:p>
    <w:p>
      <w:pPr>
        <w:pStyle w:val="972"/>
        <w:ind w:firstLine="0"/>
        <w:spacing w:before="0" w:after="0"/>
        <w:rPr>
          <w:rFonts w:hint="eastAsia" w:ascii="宋体" w:hAnsi="宋体" w:cs="宋体"/>
        </w:rPr>
      </w:pPr>
      <w:r>
        <w:rPr>
          <w:rFonts w:hint="eastAsia" w:ascii="宋体" w:hAnsi="宋体" w:cs="宋体"/>
        </w:rPr>
      </w:r>
      <w:r/>
    </w:p>
    <w:p>
      <w:pPr>
        <w:pStyle w:val="972"/>
        <w:ind w:firstLine="0"/>
        <w:spacing w:before="0" w:after="0"/>
        <w:rPr>
          <w:rFonts w:hint="eastAsia" w:ascii="宋体" w:hAnsi="宋体" w:cs="宋体"/>
        </w:rPr>
      </w:pPr>
      <w:r>
        <w:rPr>
          <w:rFonts w:hint="eastAsia" w:ascii="宋体" w:hAnsi="宋体" w:cs="宋体"/>
        </w:rPr>
      </w:r>
      <w:r/>
    </w:p>
    <w:p>
      <w:pPr>
        <w:pStyle w:val="972"/>
        <w:ind w:firstLine="0"/>
        <w:spacing w:before="0" w:after="0"/>
        <w:rPr>
          <w:rFonts w:hint="eastAsia" w:ascii="宋体" w:hAnsi="宋体" w:cs="宋体"/>
        </w:rPr>
      </w:pPr>
      <w:r>
        <w:rPr>
          <w:rFonts w:hint="eastAsia" w:ascii="宋体" w:hAnsi="宋体" w:cs="宋体"/>
        </w:rPr>
      </w:r>
      <w:r/>
    </w:p>
    <w:p>
      <w:pPr>
        <w:pStyle w:val="972"/>
        <w:ind w:firstLine="0"/>
        <w:spacing w:before="0" w:after="0"/>
        <w:rPr>
          <w:rFonts w:hint="eastAsia" w:ascii="宋体" w:hAnsi="宋体" w:cs="宋体"/>
        </w:rPr>
      </w:pPr>
      <w:r>
        <w:rPr>
          <w:rFonts w:hint="eastAsia" w:ascii="宋体" w:hAnsi="宋体" w:cs="宋体"/>
        </w:rPr>
      </w:r>
      <w:r/>
    </w:p>
    <w:p>
      <w:pPr>
        <w:pStyle w:val="972"/>
        <w:ind w:firstLine="0"/>
        <w:spacing w:before="0" w:after="0"/>
        <w:rPr>
          <w:rFonts w:hint="eastAsia" w:ascii="宋体" w:hAnsi="宋体" w:cs="宋体"/>
        </w:rPr>
      </w:pPr>
      <w:r>
        <w:rPr>
          <w:rFonts w:hint="eastAsia" w:ascii="宋体" w:hAnsi="宋体" w:cs="宋体"/>
        </w:rPr>
      </w:r>
      <w:r/>
    </w:p>
    <w:p>
      <w:pPr>
        <w:pStyle w:val="972"/>
        <w:ind w:firstLine="0"/>
        <w:spacing w:before="0" w:after="0"/>
        <w:rPr>
          <w:rFonts w:hint="eastAsia" w:ascii="宋体" w:hAnsi="宋体" w:cs="宋体"/>
        </w:rPr>
      </w:pPr>
      <w:r>
        <w:rPr>
          <w:rFonts w:hint="eastAsia" w:ascii="宋体" w:hAnsi="宋体" w:cs="宋体"/>
        </w:rPr>
      </w:r>
      <w:r/>
    </w:p>
    <w:p>
      <w:pPr>
        <w:pStyle w:val="972"/>
        <w:ind w:firstLine="1690"/>
        <w:jc w:val="both"/>
        <w:rPr>
          <w:rFonts w:hint="eastAsia" w:ascii="宋体" w:hAnsi="宋体" w:cs="宋体"/>
          <w:sz w:val="32"/>
        </w:rPr>
      </w:pPr>
      <w:r>
        <w:rPr>
          <w:rFonts w:hint="eastAsia" w:ascii="宋体" w:hAnsi="宋体" w:cs="宋体"/>
          <w:sz w:val="32"/>
        </w:rPr>
        <w:t xml:space="preserve">采购人：宿迁学院</w:t>
      </w:r>
      <w:r/>
    </w:p>
    <w:p>
      <w:pPr>
        <w:ind w:left="1079" w:hanging="300"/>
        <w:jc w:val="left"/>
        <w:spacing w:line="480" w:lineRule="exact"/>
        <w:rPr>
          <w:rFonts w:hint="eastAsia" w:ascii="宋体" w:hAnsi="宋体" w:cs="宋体"/>
          <w:sz w:val="32"/>
          <w:szCs w:val="24"/>
        </w:rPr>
      </w:pPr>
      <w:r>
        <w:rPr>
          <w:rFonts w:hint="eastAsia" w:ascii="宋体" w:hAnsi="宋体" w:cs="宋体"/>
          <w:sz w:val="32"/>
        </w:rPr>
        <w:t xml:space="preserve">采购代理机构：</w:t>
      </w:r>
      <w:r>
        <w:rPr>
          <w:rFonts w:hint="eastAsia" w:ascii="宋体" w:hAnsi="宋体" w:cs="宋体"/>
          <w:sz w:val="32"/>
          <w:szCs w:val="24"/>
        </w:rPr>
        <w:t xml:space="preserve">江苏建科工程咨询有限公司</w:t>
      </w:r>
      <w:r/>
    </w:p>
    <w:p>
      <w:pPr>
        <w:pStyle w:val="972"/>
        <w:ind w:firstLine="1606"/>
        <w:jc w:val="both"/>
        <w:rPr>
          <w:rFonts w:hint="eastAsia" w:ascii="宋体" w:hAnsi="宋体" w:cs="宋体"/>
          <w:sz w:val="32"/>
          <w:u w:val="single"/>
        </w:rPr>
      </w:pPr>
      <w:r>
        <w:rPr>
          <w:rFonts w:hint="eastAsia" w:ascii="宋体" w:hAnsi="宋体" w:cs="宋体"/>
          <w:sz w:val="32"/>
          <w:u w:val="single"/>
        </w:rPr>
      </w:r>
      <w:r/>
    </w:p>
    <w:p>
      <w:pPr>
        <w:pStyle w:val="972"/>
        <w:jc w:val="center"/>
        <w:rPr>
          <w:rFonts w:hint="eastAsia" w:asciiTheme="minorEastAsia" w:hAnsiTheme="minorEastAsia" w:eastAsiaTheme="minorEastAsia" w:cstheme="minorEastAsia"/>
          <w:u w:val="single"/>
        </w:rPr>
      </w:pPr>
      <w:r>
        <w:rPr>
          <w:rFonts w:hint="eastAsia" w:ascii="宋体" w:hAnsi="宋体" w:cs="宋体"/>
          <w:sz w:val="32"/>
        </w:rPr>
        <w:t xml:space="preserve">2026年03月</w:t>
      </w:r>
      <w:r>
        <w:rPr>
          <w:rFonts w:hint="eastAsia" w:asciiTheme="minorEastAsia" w:hAnsiTheme="minorEastAsia" w:eastAsiaTheme="minorEastAsia" w:cstheme="minorEastAsia"/>
          <w:sz w:val="32"/>
        </w:rPr>
        <w:t xml:space="preserve">2</w:t>
      </w:r>
      <w:r>
        <w:rPr>
          <w:rFonts w:hint="eastAsia" w:asciiTheme="minorEastAsia" w:hAnsiTheme="minorEastAsia" w:eastAsiaTheme="minorEastAsia" w:cstheme="minorEastAsia"/>
          <w:sz w:val="32"/>
          <w:lang w:val="en-US" w:eastAsia="zh-CN"/>
        </w:rPr>
        <w:t xml:space="preserve">7</w:t>
      </w:r>
      <w:r>
        <w:rPr>
          <w:rFonts w:hint="eastAsia" w:asciiTheme="minorEastAsia" w:hAnsiTheme="minorEastAsia" w:eastAsiaTheme="minorEastAsia" w:cstheme="minorEastAsia"/>
          <w:sz w:val="32"/>
        </w:rPr>
        <w:t xml:space="preserve">日</w:t>
      </w:r>
      <w:r>
        <w:rPr>
          <w:rFonts w:hint="eastAsia" w:asciiTheme="minorEastAsia" w:hAnsiTheme="minorEastAsia" w:eastAsiaTheme="minorEastAsia" w:cstheme="minorEastAsia"/>
        </w:rPr>
        <w:t xml:space="preserve">                  </w:t>
      </w:r>
      <w:r/>
    </w:p>
    <w:p>
      <w:pPr>
        <w:jc w:val="center"/>
        <w:spacing w:line="480" w:lineRule="auto"/>
        <w:rPr>
          <w:rFonts w:hint="eastAsia" w:asciiTheme="minorEastAsia" w:hAnsiTheme="minorEastAsia" w:eastAsiaTheme="minorEastAsia" w:cstheme="minorEastAsia"/>
          <w:sz w:val="44"/>
        </w:rPr>
        <w:outlineLvl w:val="0"/>
      </w:pPr>
      <w:r>
        <w:rPr>
          <w:rFonts w:hint="eastAsia" w:asciiTheme="minorEastAsia" w:hAnsiTheme="minorEastAsia" w:eastAsiaTheme="minorEastAsia" w:cstheme="minorEastAsia"/>
        </w:rP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sz w:val="44"/>
          <w:highlight w:val="none"/>
        </w:rPr>
        <w:t xml:space="preserve">总  目  录</w:t>
      </w:r>
      <w:r/>
    </w:p>
    <w:p>
      <w:pPr>
        <w:spacing w:line="480" w:lineRule="auto"/>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p>
      <w:pPr>
        <w:numPr>
          <w:ilvl w:val="0"/>
          <w:numId w:val="1"/>
        </w:numPr>
        <w:spacing w:line="480" w:lineRule="auto"/>
        <w:rPr>
          <w:rFonts w:hint="eastAsia" w:asciiTheme="minorEastAsia" w:hAnsiTheme="minorEastAsia" w:eastAsiaTheme="minorEastAsia" w:cstheme="minorEastAsia"/>
          <w:sz w:val="32"/>
        </w:rPr>
        <w:outlineLvl w:val="0"/>
      </w:pPr>
      <w:r>
        <w:rPr>
          <w:rFonts w:hint="eastAsia" w:asciiTheme="minorEastAsia" w:hAnsiTheme="minorEastAsia" w:eastAsiaTheme="minorEastAsia" w:cstheme="minorEastAsia"/>
          <w:sz w:val="36"/>
        </w:rPr>
        <w:t xml:space="preserve">投标邀请…………………………………… 2</w:t>
      </w:r>
      <w:r/>
    </w:p>
    <w:p>
      <w:pPr>
        <w:numPr>
          <w:ilvl w:val="0"/>
          <w:numId w:val="1"/>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sz w:val="36"/>
          <w:szCs w:val="36"/>
        </w:rPr>
        <w:t xml:space="preserve">供应商须知…</w:t>
      </w:r>
      <w:r>
        <w:rPr>
          <w:rFonts w:hint="eastAsia" w:asciiTheme="minorEastAsia" w:hAnsiTheme="minorEastAsia" w:eastAsiaTheme="minorEastAsia" w:cstheme="minorEastAsia"/>
          <w:sz w:val="36"/>
        </w:rPr>
        <w:t xml:space="preserve">……………………………… 6 </w:t>
      </w:r>
      <w:r/>
    </w:p>
    <w:p>
      <w:pPr>
        <w:numPr>
          <w:ilvl w:val="0"/>
          <w:numId w:val="1"/>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sz w:val="36"/>
        </w:rPr>
        <w:t xml:space="preserve">合同文本……………………………………23</w:t>
      </w:r>
      <w:r/>
    </w:p>
    <w:p>
      <w:pPr>
        <w:numPr>
          <w:ilvl w:val="0"/>
          <w:numId w:val="1"/>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sz w:val="36"/>
        </w:rPr>
        <w:t xml:space="preserve">采购需求……………………………………30</w:t>
      </w:r>
      <w:r/>
    </w:p>
    <w:p>
      <w:pPr>
        <w:numPr>
          <w:ilvl w:val="0"/>
          <w:numId w:val="1"/>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sz w:val="36"/>
          <w:szCs w:val="36"/>
        </w:rPr>
        <w:t xml:space="preserve">评标方法与评标标准</w:t>
      </w:r>
      <w:r>
        <w:rPr>
          <w:rFonts w:hint="eastAsia" w:asciiTheme="minorEastAsia" w:hAnsiTheme="minorEastAsia" w:eastAsiaTheme="minorEastAsia" w:cstheme="minorEastAsia"/>
          <w:sz w:val="36"/>
        </w:rPr>
        <w:t xml:space="preserve">………………………35</w:t>
      </w:r>
      <w:r/>
    </w:p>
    <w:p>
      <w:pPr>
        <w:numPr>
          <w:ilvl w:val="0"/>
          <w:numId w:val="1"/>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sz w:val="36"/>
        </w:rPr>
        <w:t xml:space="preserve">投标文件格式………………………………39</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81"/>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 xml:space="preserve">第一章  </w:t>
      </w:r>
      <w:bookmarkEnd w:id="0"/>
      <w:r>
        <w:rPr>
          <w:rFonts w:hint="eastAsia" w:asciiTheme="minorEastAsia" w:hAnsiTheme="minorEastAsia" w:eastAsiaTheme="minorEastAsia" w:cstheme="minorEastAsia"/>
          <w:sz w:val="44"/>
          <w:szCs w:val="44"/>
        </w:rPr>
        <w:t xml:space="preserve">投标邀请</w:t>
      </w:r>
      <w:r/>
    </w:p>
    <w:p>
      <w:pPr>
        <w:ind w:left="0" w:right="0" w:firstLine="482"/>
        <w:jc w:val="both"/>
        <w:spacing w:before="0" w:after="0" w:line="49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项目概况</w:t>
      </w:r>
      <w:r/>
    </w:p>
    <w:p>
      <w:pPr>
        <w:ind w:left="0" w:right="0" w:firstLine="482"/>
        <w:jc w:val="both"/>
        <w:spacing w:before="0" w:after="0" w:line="49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 宿迁学院测量检测仪器设备采购项目JSZC-320000-JSJK-G2026-0007招标项目的潜在投标人应在江苏建科工程咨询有限公司（宿迁市华康路55号）获取招标文件，并于2026年04月20日09点30分（北京时间）前递交投标文件。</w:t>
      </w:r>
      <w:r/>
    </w:p>
    <w:p>
      <w:pPr>
        <w:pStyle w:val="783"/>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1.项目编号：JSZC-320000-JSJK-G2026-0007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2.项目名称：宿迁学院测量检测仪器设备采购项目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3.预算金额：700万元</w:t>
      </w:r>
      <w:r/>
    </w:p>
    <w:p>
      <w:pPr>
        <w:ind w:left="0" w:right="0" w:firstLine="480"/>
        <w:jc w:val="both"/>
        <w:spacing w:before="0" w:after="0" w:line="499" w:lineRule="atLeast"/>
        <w:rPr>
          <w:rFonts w:ascii="FangSong" w:hAnsi="FangSong" w:eastAsia="FangSong" w:cs="FangSong"/>
          <w:color w:val="000000"/>
          <w:spacing w:val="-1"/>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4.本项目设定最高限价，最高限价为：700万元。</w:t>
      </w:r>
      <w:r>
        <w:rPr>
          <w:rFonts w:ascii="FangSong" w:hAnsi="FangSong" w:eastAsia="FangSong" w:cs="FangSong"/>
          <w:color w:val="000000"/>
          <w:spacing w:val="-1"/>
          <w:sz w:val="24"/>
        </w:rPr>
        <w:t xml:space="preserve">采购人不接受高于此限价的投标报价，否则作无效标处理。</w:t>
      </w:r>
      <w:r>
        <w:rPr>
          <w:sz w:val="21"/>
        </w:rPr>
      </w:r>
      <w:r/>
    </w:p>
    <w:p>
      <w:pPr>
        <w:ind w:left="0" w:right="0" w:firstLine="480"/>
        <w:jc w:val="both"/>
        <w:spacing w:before="0" w:after="0" w:line="499" w:lineRule="atLeast"/>
        <w:rPr>
          <w:rFonts w:ascii="FangSong" w:hAnsi="FangSong" w:eastAsia="FangSong" w:cs="FangSong"/>
          <w:color w:val="000000"/>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r>
      <w:r>
        <w:rPr>
          <w:rFonts w:ascii="FangSong" w:hAnsi="FangSong" w:eastAsia="FangSong" w:cs="FangSong"/>
          <w:color w:val="000000"/>
          <w:sz w:val="24"/>
        </w:rPr>
        <w:t xml:space="preserve">5.采购需求（简介）：</w:t>
      </w:r>
      <w:r>
        <w:rPr>
          <w:rFonts w:ascii="FangSong" w:hAnsi="FangSong" w:eastAsia="FangSong" w:cs="FangSong"/>
          <w:color w:val="000000"/>
          <w:spacing w:val="-1"/>
          <w:sz w:val="24"/>
        </w:rPr>
        <w:t xml:space="preserve">宿迁学院测量检测仪器设备采购项目</w:t>
      </w:r>
      <w:r>
        <w:rPr>
          <w:rFonts w:ascii="FangSong" w:hAnsi="FangSong" w:eastAsia="FangSong" w:cs="FangSong"/>
          <w:color w:val="000000"/>
          <w:sz w:val="24"/>
        </w:rPr>
        <w:t xml:space="preserve">,详细内容见本招标文件第四章。</w:t>
      </w:r>
      <w:r>
        <w:rPr>
          <w:sz w:val="21"/>
          <w:szCs w:val="21"/>
        </w:rPr>
      </w:r>
      <w:r/>
    </w:p>
    <w:p>
      <w:pPr>
        <w:ind w:left="0" w:right="0" w:firstLine="480"/>
        <w:jc w:val="both"/>
        <w:spacing w:before="0" w:after="0" w:line="499" w:lineRule="atLeast"/>
        <w:rPr>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r>
      <w:r>
        <w:rPr>
          <w:rFonts w:ascii="FangSong" w:hAnsi="FangSong" w:eastAsia="FangSong" w:cs="FangSong"/>
          <w:color w:val="000000"/>
          <w:sz w:val="24"/>
        </w:rPr>
        <w:t xml:space="preserve">6.合同履行期限：合同签订生效之日起，3个月内完成安装调试，达到项目招标预期效果。</w:t>
      </w:r>
      <w:r>
        <w:rPr>
          <w:sz w:val="21"/>
          <w:szCs w:val="21"/>
        </w:rPr>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7.本项目不接受联合体投标。</w:t>
      </w:r>
      <w:r/>
    </w:p>
    <w:p>
      <w:pPr>
        <w:pStyle w:val="783"/>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（一）通用资格要求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1.具备《中华人民共和国政府采购法》第二十二条第一款规定的6项条件（按要求提供投标声明及承诺函）。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3.落实政府采购政策需满足的资格要求：无。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（二）本项目的特定资格要求：无</w:t>
      </w:r>
      <w:r/>
    </w:p>
    <w:p>
      <w:pPr>
        <w:pStyle w:val="783"/>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三、获取招标文件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时间：自招标文件公告发布之日起5个工作日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地点：江苏建科工程咨询有限公司（宿迁市华康路55号）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方式：本项目接受现场报名，报名联系电话：18552764394</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报名时须提供企业营业执照、法定代表人身份证明（或法人授权委托书）复印件加盖公章。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售价：300.00元 </w:t>
      </w:r>
      <w:r/>
    </w:p>
    <w:p>
      <w:pPr>
        <w:pStyle w:val="783"/>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四、提交投标文件截止时间、开标时间和地点</w:t>
      </w:r>
      <w:r/>
    </w:p>
    <w:p>
      <w:pPr>
        <w:pStyle w:val="783"/>
        <w:ind w:left="0" w:right="0" w:firstLine="480"/>
        <w:jc w:val="both"/>
        <w:spacing w:before="0" w:after="0" w:line="499" w:lineRule="atLeast"/>
        <w:rPr>
          <w:b w:val="0"/>
          <w:bCs w:val="0"/>
        </w:rPr>
        <w:pBdr>
          <w:top w:val="none" w:color="000000" w:sz="4" w:space="0"/>
          <w:left w:val="none" w:color="000000" w:sz="4" w:space="0"/>
          <w:bottom w:val="none" w:color="000000" w:sz="4" w:space="0"/>
          <w:right w:val="none" w:color="000000" w:sz="4" w:space="0"/>
        </w:pBdr>
      </w:pPr>
      <w:r>
        <w:rPr>
          <w:rFonts w:ascii="FangSong" w:hAnsi="FangSong" w:eastAsia="FangSong" w:cs="FangSong"/>
          <w:b w:val="0"/>
          <w:bCs w:val="0"/>
          <w:color w:val="000000"/>
          <w:sz w:val="24"/>
        </w:rPr>
        <w:t xml:space="preserve">2026-04-20 09:30 （北京时间）</w:t>
      </w:r>
      <w:r>
        <w:rPr>
          <w:b w:val="0"/>
          <w:bCs w:val="0"/>
        </w:rPr>
      </w:r>
      <w:r/>
    </w:p>
    <w:p>
      <w:pPr>
        <w:pStyle w:val="783"/>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val="0"/>
          <w:bCs w:val="0"/>
          <w:color w:val="000000"/>
          <w:sz w:val="24"/>
        </w:rPr>
        <w:t xml:space="preserve">地点：宿迁市宿城区华康路55号（江苏建科工程咨询有限公司会议室）。 </w:t>
      </w:r>
      <w:r/>
    </w:p>
    <w:p>
      <w:pPr>
        <w:pStyle w:val="783"/>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五、公告期限</w:t>
      </w:r>
      <w:r/>
    </w:p>
    <w:p>
      <w:pPr>
        <w:pStyle w:val="783"/>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val="0"/>
          <w:bCs w:val="0"/>
          <w:color w:val="000000"/>
          <w:sz w:val="24"/>
        </w:rPr>
        <w:t xml:space="preserve">自本公告发布之日起5个工作日。</w:t>
      </w:r>
      <w:r/>
    </w:p>
    <w:p>
      <w:pPr>
        <w:pStyle w:val="783"/>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六、其他补充事宜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（一）投标人信用信息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1.信用信息查询渠道为：“信用中国”网（www.creditchina.gov.cn）、“中国政府采购”网（www.ccgp.gov.cn）、江苏政府采购网（www.ccgp-jiangsu.gov.cn）。</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2.信用信息查询截止时点：资格审查结束前。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信用信息查询记录和证据留存的方式：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4.信用信息的使用规则：采购人对供应商信用记录进行甄别，对列入失信被执行人、重大税收违法失信主体、政府采购严重违法失信行为记录名单，拒绝其参与政府采购活动。</w:t>
      </w:r>
      <w:r/>
    </w:p>
    <w:p>
      <w:pPr>
        <w:pStyle w:val="783"/>
        <w:ind w:left="0" w:right="0" w:firstLine="482"/>
        <w:jc w:val="both"/>
        <w:spacing w:before="0" w:after="0" w:line="499" w:lineRule="atLeast"/>
        <w:rPr>
          <w:rFonts w:ascii="FangSong" w:hAnsi="FangSong" w:eastAsia="FangSong" w:cs="FangSong"/>
          <w:b/>
          <w:bCs/>
          <w:color w:val="000000"/>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七、对本次招标提出询问，请按以下方式联系。</w:t>
      </w:r>
      <w:r>
        <w:rPr>
          <w:sz w:val="32"/>
        </w:rPr>
      </w:r>
      <w:r/>
    </w:p>
    <w:p>
      <w:pPr>
        <w:pStyle w:val="783"/>
        <w:ind w:left="0" w:right="0" w:firstLine="482"/>
        <w:jc w:val="both"/>
        <w:spacing w:before="0" w:after="0" w:line="499" w:lineRule="atLeast"/>
        <w:rPr>
          <w:b w:val="0"/>
          <w:bCs w:val="0"/>
          <w:sz w:val="32"/>
          <w:szCs w:val="32"/>
        </w:rPr>
        <w:pBdr>
          <w:top w:val="none" w:color="000000" w:sz="4" w:space="0"/>
          <w:left w:val="none" w:color="000000" w:sz="4" w:space="0"/>
          <w:bottom w:val="none" w:color="000000" w:sz="4" w:space="0"/>
          <w:right w:val="none" w:color="000000" w:sz="4" w:space="0"/>
        </w:pBdr>
      </w:pPr>
      <w:r>
        <w:rPr>
          <w:rFonts w:ascii="FangSong" w:hAnsi="FangSong" w:eastAsia="FangSong" w:cs="FangSong"/>
          <w:b w:val="0"/>
          <w:bCs w:val="0"/>
          <w:color w:val="000000"/>
          <w:sz w:val="24"/>
        </w:rPr>
      </w:r>
      <w:r>
        <w:rPr>
          <w:rFonts w:ascii="FangSong" w:hAnsi="FangSong" w:eastAsia="FangSong" w:cs="FangSong"/>
          <w:b w:val="0"/>
          <w:bCs w:val="0"/>
          <w:color w:val="000000"/>
          <w:sz w:val="24"/>
        </w:rPr>
        <w:t xml:space="preserve">   1.采购人信息</w:t>
      </w:r>
      <w:r>
        <w:rPr>
          <w:b w:val="0"/>
          <w:bCs w:val="0"/>
        </w:rPr>
      </w:r>
      <w:r/>
    </w:p>
    <w:p>
      <w:pPr>
        <w:ind w:left="1079" w:right="0" w:hanging="30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称：宿迁学院</w:t>
      </w:r>
      <w:r/>
    </w:p>
    <w:p>
      <w:pPr>
        <w:ind w:left="1079" w:right="0" w:hanging="30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地址：宿迁市宿城区黄河路399号</w:t>
      </w:r>
      <w:r/>
    </w:p>
    <w:p>
      <w:pPr>
        <w:ind w:left="1079" w:right="0" w:hanging="30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联系人：毛老师、朱老师</w:t>
      </w:r>
      <w:r/>
    </w:p>
    <w:p>
      <w:pPr>
        <w:ind w:left="1079" w:right="0" w:hanging="30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联系方式：0527-84201005</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w:t>
      </w:r>
      <w:r/>
    </w:p>
    <w:p>
      <w:pPr>
        <w:ind w:left="1079" w:right="0" w:hanging="30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称：江苏建科工程咨询有限公司</w:t>
      </w:r>
      <w:r/>
    </w:p>
    <w:p>
      <w:pPr>
        <w:ind w:left="1079" w:right="0" w:hanging="30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地址：宿迁市宿城区华康路55号</w:t>
      </w:r>
      <w:r/>
    </w:p>
    <w:p>
      <w:pPr>
        <w:ind w:left="1079" w:right="0" w:hanging="30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联系人：陈梦帆</w:t>
      </w:r>
      <w:r/>
    </w:p>
    <w:p>
      <w:pPr>
        <w:ind w:left="0" w:right="0" w:firstLine="789"/>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联系方式：18552764394</w:t>
      </w:r>
      <w:r/>
    </w:p>
    <w:p>
      <w:pPr>
        <w:ind w:left="0" w:right="0" w:firstLine="789"/>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3.项目联系方式</w:t>
      </w:r>
      <w:r/>
    </w:p>
    <w:p>
      <w:pPr>
        <w:ind w:left="0" w:right="0" w:firstLine="789"/>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项目联系人：陈梦帆</w:t>
      </w:r>
      <w:r/>
    </w:p>
    <w:p>
      <w:pPr>
        <w:ind w:left="0" w:right="0" w:firstLine="789"/>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电话：18552764394</w:t>
      </w:r>
      <w:r/>
    </w:p>
    <w:p>
      <w:pPr>
        <w:ind w:left="1079" w:hanging="30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hd w:val="nil" w:color="auto"/>
        <w:rPr>
          <w:rFonts w:hint="eastAsia" w:asciiTheme="minorEastAsia" w:hAnsiTheme="minorEastAsia" w:eastAsiaTheme="minorEastAsia" w:cstheme="minorEastAsia"/>
          <w:b w:val="0"/>
          <w:bCs w:val="0"/>
          <w:sz w:val="44"/>
          <w:szCs w:val="44"/>
        </w:rPr>
      </w:pPr>
      <w:r>
        <w:rPr>
          <w:rFonts w:hint="eastAsia" w:asciiTheme="minorEastAsia" w:hAnsiTheme="minorEastAsia" w:eastAsiaTheme="minorEastAsia" w:cstheme="minorEastAsia"/>
          <w:b w:val="0"/>
          <w:bCs w:val="0"/>
          <w:sz w:val="44"/>
          <w:szCs w:val="22"/>
          <w:highlight w:val="none"/>
        </w:rPr>
        <w:br w:type="page" w:clear="all"/>
      </w:r>
      <w:r>
        <w:rPr>
          <w:rFonts w:hint="eastAsia" w:asciiTheme="minorEastAsia" w:hAnsiTheme="minorEastAsia" w:eastAsiaTheme="minorEastAsia" w:cstheme="minorEastAsia"/>
          <w:b w:val="0"/>
          <w:bCs w:val="0"/>
          <w:sz w:val="44"/>
          <w:szCs w:val="22"/>
          <w:highlight w:val="none"/>
        </w:rPr>
      </w:r>
      <w:r/>
    </w:p>
    <w:p>
      <w:pPr>
        <w:pStyle w:val="783"/>
        <w:ind w:firstLine="2358"/>
        <w:spacing w:before="0" w:after="0" w:line="560" w:lineRule="exact"/>
        <w:rPr>
          <w:rFonts w:hint="eastAsia" w:asciiTheme="minorEastAsia" w:hAnsiTheme="minorEastAsia" w:eastAsiaTheme="minorEastAsia" w:cstheme="minorEastAsia"/>
          <w:b w:val="0"/>
          <w:bCs w:val="0"/>
          <w:sz w:val="44"/>
          <w:szCs w:val="44"/>
          <w:highlight w:val="none"/>
        </w:rPr>
      </w:pPr>
      <w:r/>
      <w:bookmarkStart w:id="47" w:name="_Toc120614211"/>
      <w:r>
        <w:rPr>
          <w:rFonts w:hint="eastAsia" w:asciiTheme="minorEastAsia" w:hAnsiTheme="minorEastAsia" w:eastAsiaTheme="minorEastAsia" w:cstheme="minorEastAsia"/>
          <w:b w:val="0"/>
          <w:bCs w:val="0"/>
          <w:sz w:val="44"/>
          <w:szCs w:val="22"/>
        </w:rPr>
        <w:t xml:space="preserve">第二章  </w:t>
      </w:r>
      <w:bookmarkEnd w:id="1"/>
      <w:r/>
      <w:bookmarkEnd w:id="2"/>
      <w:r/>
      <w:bookmarkEnd w:id="3"/>
      <w:r/>
      <w:bookmarkEnd w:id="4"/>
      <w:r/>
      <w:bookmarkEnd w:id="5"/>
      <w:r/>
      <w:bookmarkEnd w:id="47"/>
      <w:r/>
      <w:bookmarkStart w:id="48" w:name="_Toc20823275"/>
      <w:r/>
      <w:bookmarkStart w:id="49" w:name="_Toc120614214"/>
      <w:r/>
      <w:bookmarkStart w:id="50" w:name="_Toc513029203"/>
      <w:r/>
      <w:bookmarkStart w:id="51" w:name="_Toc16938519"/>
      <w:r>
        <w:rPr>
          <w:rFonts w:hint="eastAsia" w:asciiTheme="minorEastAsia" w:hAnsiTheme="minorEastAsia" w:eastAsiaTheme="minorEastAsia" w:cstheme="minorEastAsia"/>
          <w:b w:val="0"/>
          <w:bCs w:val="0"/>
          <w:sz w:val="44"/>
          <w:szCs w:val="22"/>
        </w:rPr>
        <w:t xml:space="preserve">投标人须知</w:t>
      </w:r>
      <w:r/>
    </w:p>
    <w:p>
      <w:pPr>
        <w:pStyle w:val="782"/>
        <w:jc w:val="both"/>
        <w:spacing w:before="0" w:after="120" w:line="520" w:lineRule="exact"/>
        <w:rPr>
          <w:rFonts w:hint="eastAsia" w:asciiTheme="minorEastAsia" w:hAnsiTheme="minorEastAsia" w:eastAsiaTheme="minorEastAsia" w:cstheme="minorEastAsia"/>
          <w:b w:val="0"/>
          <w:bCs w:val="0"/>
          <w:sz w:val="32"/>
          <w:szCs w:val="22"/>
        </w:rPr>
      </w:pPr>
      <w:r/>
      <w:bookmarkStart w:id="52" w:name="_Toc4529"/>
      <w:r>
        <w:rPr>
          <w:rFonts w:hint="eastAsia" w:asciiTheme="minorEastAsia" w:hAnsiTheme="minorEastAsia" w:eastAsiaTheme="minorEastAsia" w:cstheme="minorEastAsia"/>
          <w:b w:val="0"/>
          <w:bCs w:val="0"/>
          <w:sz w:val="32"/>
          <w:szCs w:val="22"/>
        </w:rPr>
        <w:t xml:space="preserve">投标人须知前附表：</w:t>
      </w:r>
      <w:bookmarkEnd w:id="52"/>
      <w:r/>
      <w:r/>
    </w:p>
    <w:tbl>
      <w:tblPr>
        <w:tblStyle w:val="791"/>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Theme="minorEastAsia" w:hAnsiTheme="minorEastAsia" w:eastAsiaTheme="minorEastAsia" w:cstheme="minorEastAsia"/>
                <w:sz w:val="24"/>
                <w:szCs w:val="24"/>
              </w:rPr>
            </w:pPr>
            <w:r/>
            <w:bookmarkStart w:id="53" w:name="_Toc81575154"/>
            <w:r/>
            <w:bookmarkStart w:id="54" w:name="_Toc81575191"/>
            <w:r/>
            <w:bookmarkStart w:id="55" w:name="_Toc29262"/>
            <w:r>
              <w:rPr>
                <w:rFonts w:hint="eastAsia" w:asciiTheme="minorEastAsia" w:hAnsiTheme="minorEastAsia" w:eastAsiaTheme="minorEastAsia" w:cstheme="minorEastAsia"/>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w:t>
            </w:r>
            <w:bookmarkStart w:id="56" w:name="EB9a5853ee094f4f0ea6ec3169265f6f2c"/>
            <w:r>
              <w:rPr>
                <w:rFonts w:hint="eastAsia" w:asciiTheme="minorEastAsia" w:hAnsiTheme="minorEastAsia" w:eastAsiaTheme="minorEastAsia" w:cstheme="minorEastAsia"/>
                <w:sz w:val="24"/>
                <w:szCs w:val="24"/>
              </w:rPr>
              <w:t xml:space="preserve">属性按以下第</w:t>
            </w:r>
            <w:bookmarkEnd w:id="56"/>
            <w:r>
              <w:rPr>
                <w:rFonts w:hint="eastAsia" w:asciiTheme="minorEastAsia" w:hAnsiTheme="minorEastAsia" w:eastAsiaTheme="minorEastAsia" w:cstheme="minorEastAsia"/>
                <w:sz w:val="24"/>
                <w:szCs w:val="24"/>
                <w:u w:val="single"/>
              </w:rPr>
              <w:t xml:space="preserve"> 1.  </w:t>
            </w:r>
            <w:r>
              <w:rPr>
                <w:rFonts w:hint="eastAsia" w:asciiTheme="minorEastAsia" w:hAnsiTheme="minorEastAsia" w:eastAsiaTheme="minorEastAsia" w:cstheme="minorEastAsia"/>
                <w:sz w:val="24"/>
                <w:szCs w:val="24"/>
              </w:rPr>
              <w:t xml:space="preserve">种确定：</w:t>
            </w:r>
            <w:r/>
          </w:p>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1.货物</w:t>
            </w:r>
            <w:bookmarkStart w:id="57" w:name="EBd5c6c026f9674c39b21b31ecd0c1e7fa"/>
            <w:r>
              <w:rPr>
                <w:rFonts w:hint="eastAsia" w:asciiTheme="minorEastAsia" w:hAnsiTheme="minorEastAsia" w:eastAsiaTheme="minorEastAsia" w:cstheme="minorEastAsia"/>
                <w:sz w:val="24"/>
                <w:szCs w:val="24"/>
              </w:rPr>
              <w:t xml:space="preserve">采购；2.</w:t>
            </w:r>
            <w:bookmarkEnd w:id="57"/>
            <w:r>
              <w:rPr>
                <w:rFonts w:hint="eastAsia" w:asciiTheme="minorEastAsia" w:hAnsiTheme="minorEastAsia" w:eastAsiaTheme="minorEastAsia" w:cstheme="minorEastAsia"/>
                <w:sz w:val="24"/>
                <w:szCs w:val="24"/>
              </w:rPr>
              <w:t xml:space="preserve">服务</w:t>
            </w:r>
            <w:bookmarkStart w:id="58" w:name="EBf7d2a4f44ecb4166a93ea852e73be69f"/>
            <w:r>
              <w:rPr>
                <w:rFonts w:hint="eastAsia" w:asciiTheme="minorEastAsia" w:hAnsiTheme="minorEastAsia" w:eastAsiaTheme="minorEastAsia" w:cstheme="minorEastAsia"/>
                <w:sz w:val="24"/>
                <w:szCs w:val="24"/>
              </w:rPr>
              <w:t xml:space="preserve">采购；3.</w:t>
            </w:r>
            <w:bookmarkEnd w:id="58"/>
            <w:r>
              <w:rPr>
                <w:rFonts w:hint="eastAsia" w:asciiTheme="minorEastAsia" w:hAnsiTheme="minorEastAsia" w:eastAsiaTheme="minorEastAsia" w:cstheme="minorEastAsia"/>
                <w:sz w:val="24"/>
                <w:szCs w:val="24"/>
              </w:rPr>
              <w:t xml:space="preserve">工程采购。</w:t>
            </w:r>
            <w:r/>
          </w:p>
        </w:tc>
      </w:tr>
      <w:tr>
        <w:trPr>
          <w:trHeight w:val="525"/>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rPr>
            </w:pPr>
            <w:r/>
            <w:bookmarkStart w:id="59" w:name="EBd40b5fb42f2944a3b45e579ce3941f02"/>
            <w:r/>
            <w:bookmarkEnd w:id="59"/>
            <w:r>
              <w:rPr>
                <w:rFonts w:hint="eastAsia" w:asciiTheme="minorEastAsia" w:hAnsiTheme="minorEastAsia" w:eastAsiaTheme="minorEastAsia" w:cstheme="minorEastAsia"/>
                <w:sz w:val="24"/>
                <w:szCs w:val="24"/>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纸质投标文件共5份，其中：1份正本，4份副本。中标后提供正本扫描件1份。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按投标邀请函“提交投标文件截止时间、开标时间和地点”中要求进行开标。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按以下第</w:t>
            </w:r>
            <w:r>
              <w:rPr>
                <w:rFonts w:hint="eastAsia" w:asciiTheme="minorEastAsia" w:hAnsiTheme="minorEastAsia" w:eastAsiaTheme="minorEastAsia" w:cstheme="minorEastAsia"/>
                <w:sz w:val="24"/>
                <w:szCs w:val="24"/>
                <w:u w:val="single"/>
              </w:rPr>
              <w:t xml:space="preserve">2</w:t>
            </w:r>
            <w:r>
              <w:rPr>
                <w:rFonts w:hint="eastAsia" w:asciiTheme="minorEastAsia" w:hAnsiTheme="minorEastAsia" w:eastAsiaTheme="minorEastAsia" w:cstheme="minorEastAsia"/>
                <w:sz w:val="24"/>
                <w:szCs w:val="24"/>
              </w:rPr>
              <w:t xml:space="preserve">种方式确定：</w:t>
            </w:r>
            <w:r/>
          </w:p>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1.接受进口产品。</w:t>
            </w:r>
            <w:r>
              <w:rPr>
                <w:rFonts w:hint="eastAsia" w:asciiTheme="minorEastAsia" w:hAnsiTheme="minorEastAsia" w:eastAsiaTheme="minorEastAsia" w:cstheme="minorEastAsia"/>
                <w:sz w:val="24"/>
              </w:rPr>
              <w:t xml:space="preserve">应当符合《政府采购进口产品管理办法》（财库〔2007〕119号）、《关于政府采购进口产品管理有关问题的通知》（财办库〔2008〕248号）等相关规定</w:t>
            </w:r>
            <w:r>
              <w:rPr>
                <w:rFonts w:hint="eastAsia" w:asciiTheme="minorEastAsia" w:hAnsiTheme="minorEastAsia" w:eastAsiaTheme="minorEastAsia" w:cstheme="minorEastAsia"/>
                <w:sz w:val="24"/>
                <w:szCs w:val="24"/>
              </w:rPr>
              <w:t xml:space="preserve">；</w:t>
            </w:r>
            <w:r/>
          </w:p>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2.不接受进口产品。</w:t>
            </w:r>
            <w:r/>
          </w:p>
        </w:tc>
      </w:tr>
      <w:tr>
        <w:trPr>
          <w:trHeight w:val="54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具体评标办法详见招标文件第三章评分办法。</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按以下第 </w:t>
            </w:r>
            <w:r>
              <w:rPr>
                <w:rFonts w:hint="eastAsia" w:asciiTheme="minorEastAsia" w:hAnsiTheme="minorEastAsia" w:eastAsiaTheme="minorEastAsia" w:cstheme="minorEastAsia"/>
                <w:sz w:val="24"/>
                <w:szCs w:val="24"/>
                <w:u w:val="single"/>
              </w:rPr>
              <w:t xml:space="preserve">2 </w:t>
            </w:r>
            <w:r>
              <w:rPr>
                <w:rFonts w:hint="eastAsia" w:asciiTheme="minorEastAsia" w:hAnsiTheme="minorEastAsia" w:eastAsiaTheme="minorEastAsia" w:cstheme="minorEastAsia"/>
                <w:sz w:val="24"/>
                <w:szCs w:val="24"/>
              </w:rPr>
              <w:t xml:space="preserve">种方式确定中标人：</w:t>
            </w:r>
            <w:r/>
          </w:p>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1.采购人按规定在评标委员会推荐的中标候选人中确定中标人；</w:t>
            </w:r>
            <w:r/>
          </w:p>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rPr>
            </w:pPr>
            <w:r/>
            <w:bookmarkStart w:id="60" w:name="EBebac1462c5d9459fbda8a75065c2455d"/>
            <w:r>
              <w:rPr>
                <w:rFonts w:hint="eastAsia" w:asciiTheme="minorEastAsia" w:hAnsiTheme="minorEastAsia" w:eastAsiaTheme="minorEastAsia" w:cstheme="minorEastAsia"/>
                <w:sz w:val="24"/>
                <w:szCs w:val="24"/>
              </w:rPr>
              <w:t xml:space="preserve">本项目的非主体、非关键性工作是否允许分包</w:t>
            </w:r>
            <w:bookmarkEnd w:id="60"/>
            <w:r>
              <w:rPr>
                <w:rFonts w:hint="eastAsia" w:asciiTheme="minorEastAsia" w:hAnsiTheme="minorEastAsia" w:eastAsiaTheme="minorEastAsia" w:cstheme="minorEastAsia"/>
                <w:sz w:val="24"/>
                <w:szCs w:val="24"/>
              </w:rPr>
              <w:t xml:space="preserve">按以下第</w:t>
            </w:r>
            <w:r>
              <w:rPr>
                <w:rFonts w:hint="eastAsia" w:asciiTheme="minorEastAsia" w:hAnsiTheme="minorEastAsia" w:eastAsiaTheme="minorEastAsia" w:cstheme="minorEastAsia"/>
                <w:sz w:val="24"/>
                <w:szCs w:val="24"/>
                <w:u w:val="single"/>
              </w:rPr>
              <w:t xml:space="preserve">  2  </w:t>
            </w:r>
            <w:r>
              <w:rPr>
                <w:rFonts w:hint="eastAsia" w:asciiTheme="minorEastAsia" w:hAnsiTheme="minorEastAsia" w:eastAsiaTheme="minorEastAsia" w:cstheme="minorEastAsia"/>
                <w:sz w:val="24"/>
                <w:szCs w:val="24"/>
              </w:rPr>
              <w:t xml:space="preserve">种方式确定：</w:t>
            </w:r>
            <w:r/>
          </w:p>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1.允许分包，</w:t>
            </w:r>
            <w:bookmarkStart w:id="61" w:name="EB512ba06683724173802e2aae54a26079"/>
            <w:r>
              <w:rPr>
                <w:rFonts w:hint="eastAsia" w:asciiTheme="minorEastAsia" w:hAnsiTheme="minorEastAsia" w:eastAsiaTheme="minorEastAsia" w:cstheme="minorEastAsia"/>
                <w:sz w:val="24"/>
                <w:szCs w:val="24"/>
              </w:rPr>
              <w:t xml:space="preserve">允许大中型企业向一家或者多家小微企业分包，分包具体内容、金额或比例：</w:t>
            </w:r>
            <w:bookmarkEnd w:id="61"/>
            <w:r>
              <w:rPr>
                <w:rFonts w:hint="eastAsia" w:asciiTheme="minorEastAsia" w:hAnsiTheme="minorEastAsia" w:eastAsiaTheme="minorEastAsia" w:cstheme="minorEastAsia"/>
                <w:sz w:val="24"/>
                <w:szCs w:val="24"/>
              </w:rPr>
              <w:t xml:space="preserve">无</w:t>
            </w:r>
            <w:r/>
          </w:p>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rPr>
            </w:pPr>
            <w:r/>
            <w:bookmarkStart w:id="62" w:name="EBfe735bb6fc4d4e5e9e350f940db98c5f"/>
            <w:r/>
            <w:bookmarkEnd w:id="62"/>
            <w:r>
              <w:rPr>
                <w:rFonts w:hint="eastAsia" w:asciiTheme="minorEastAsia" w:hAnsiTheme="minorEastAsia" w:eastAsiaTheme="minorEastAsia" w:cstheme="minorEastAsia"/>
                <w:sz w:val="24"/>
                <w:szCs w:val="24"/>
                <w:lang w:val="zh-CN"/>
              </w:rPr>
              <w:t xml:space="preserve">按计价格【2002】1980号文件规定标准的20%计取，评委费据实结算。由中标人支付，可使用数字人民币支付。评委费按实收取。</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bookmarkEnd w:id="53"/>
            <w:r/>
            <w:bookmarkEnd w:id="54"/>
            <w:r/>
            <w:bookmarkEnd w:id="55"/>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1.信用信息查询截止时间：资格审查结束前。由采购人在资格审查现场查询信用信息，网页截屏打印，查询结果留存并归档。</w:t>
            </w:r>
            <w:r/>
          </w:p>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在规定的时间和地点准时参加开标，并在响应文件接收截止时间前，在开标现场提供以下资料：（1）响应文件；（2）法人代表身份证（或被授权人身份证）原件；（3）授权委托书（如有）（4）招标文件规定的其他材料或竞标人认为有必要提交的其他材料。</w:t>
            </w:r>
            <w:r/>
          </w:p>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3.除特别说明外，投标文件均使用A4规格纸张无线胶装方式装订，不得采用活页夹等可随时拆换的方式装订。</w:t>
            </w:r>
            <w:r/>
          </w:p>
        </w:tc>
      </w:tr>
    </w:tbl>
    <w:p>
      <w:pPr>
        <w:pStyle w:val="783"/>
        <w:ind w:firstLine="3312"/>
        <w:spacing w:before="0" w:after="0" w:line="560" w:lineRule="exact"/>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r>
      <w:r/>
    </w:p>
    <w:p>
      <w:pPr>
        <w:pStyle w:val="783"/>
        <w:ind w:firstLine="3312"/>
        <w:spacing w:before="0" w:after="0" w:line="560" w:lineRule="exact"/>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一、总则</w:t>
      </w:r>
      <w:bookmarkEnd w:id="48"/>
      <w:r/>
      <w:bookmarkEnd w:id="49"/>
      <w:r/>
      <w:bookmarkEnd w:id="50"/>
      <w:r/>
      <w:bookmarkEnd w:id="51"/>
      <w:r/>
      <w:r/>
    </w:p>
    <w:p>
      <w:pPr>
        <w:pStyle w:val="784"/>
        <w:ind w:firstLine="420"/>
        <w:spacing w:before="0" w:after="0" w:line="560" w:lineRule="exact"/>
        <w:rPr>
          <w:rFonts w:hint="eastAsia" w:asciiTheme="minorEastAsia" w:hAnsiTheme="minorEastAsia" w:eastAsiaTheme="minorEastAsia" w:cstheme="minorEastAsia"/>
          <w:b w:val="0"/>
          <w:bCs w:val="0"/>
        </w:rPr>
      </w:pPr>
      <w:r/>
      <w:bookmarkStart w:id="63" w:name="_Hlt16619475"/>
      <w:r/>
      <w:bookmarkEnd w:id="63"/>
      <w:r/>
      <w:bookmarkStart w:id="64" w:name="_Toc458694821"/>
      <w:r/>
      <w:bookmarkStart w:id="65" w:name="_Toc16938520"/>
      <w:r/>
      <w:bookmarkStart w:id="66" w:name="_Toc20823276"/>
      <w:r/>
      <w:bookmarkStart w:id="67" w:name="_Toc513029204"/>
      <w:r>
        <w:rPr>
          <w:rFonts w:hint="eastAsia" w:asciiTheme="minorEastAsia" w:hAnsiTheme="minorEastAsia" w:eastAsiaTheme="minorEastAsia" w:cstheme="minorEastAsia"/>
          <w:b w:val="0"/>
          <w:bCs w:val="0"/>
        </w:rPr>
        <w:t xml:space="preserve">1</w:t>
      </w:r>
      <w:bookmarkEnd w:id="64"/>
      <w:r>
        <w:rPr>
          <w:rFonts w:hint="eastAsia" w:asciiTheme="minorEastAsia" w:hAnsiTheme="minorEastAsia" w:eastAsiaTheme="minorEastAsia" w:cstheme="minorEastAsia"/>
          <w:b w:val="0"/>
          <w:bCs w:val="0"/>
        </w:rPr>
        <w:t xml:space="preserve">、招标方式</w:t>
      </w:r>
      <w:bookmarkEnd w:id="65"/>
      <w:r/>
      <w:bookmarkEnd w:id="66"/>
      <w:r/>
      <w:bookmarkEnd w:id="67"/>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本次招标采取公开招标方式，本招标文件仅适用于招标公告中所述项目。</w:t>
      </w:r>
      <w:r/>
    </w:p>
    <w:p>
      <w:pPr>
        <w:pStyle w:val="784"/>
        <w:ind w:firstLine="420"/>
        <w:spacing w:before="0" w:after="0" w:line="560" w:lineRule="exact"/>
        <w:rPr>
          <w:rFonts w:hint="eastAsia" w:asciiTheme="minorEastAsia" w:hAnsiTheme="minorEastAsia" w:eastAsiaTheme="minorEastAsia" w:cstheme="minorEastAsia"/>
          <w:b w:val="0"/>
          <w:bCs w:val="0"/>
        </w:rPr>
      </w:pPr>
      <w:r/>
      <w:bookmarkStart w:id="68" w:name="_Toc513029205"/>
      <w:r/>
      <w:bookmarkStart w:id="69" w:name="_Toc16938521"/>
      <w:r/>
      <w:bookmarkStart w:id="70" w:name="_Toc20823277"/>
      <w:r>
        <w:rPr>
          <w:rFonts w:hint="eastAsia" w:asciiTheme="minorEastAsia" w:hAnsiTheme="minorEastAsia" w:eastAsiaTheme="minorEastAsia" w:cstheme="minorEastAsia"/>
          <w:b w:val="0"/>
          <w:bCs w:val="0"/>
        </w:rPr>
        <w:t xml:space="preserve">2、合格的</w:t>
      </w:r>
      <w:bookmarkEnd w:id="68"/>
      <w:r/>
      <w:bookmarkEnd w:id="69"/>
      <w:r/>
      <w:bookmarkEnd w:id="70"/>
      <w:r>
        <w:rPr>
          <w:rFonts w:hint="eastAsia" w:asciiTheme="minorEastAsia" w:hAnsiTheme="minorEastAsia" w:eastAsiaTheme="minorEastAsia" w:cstheme="minorEastAsia"/>
          <w:b w:val="0"/>
          <w:bCs w:val="0"/>
        </w:rPr>
        <w:t xml:space="preserve">供应商</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2.1满足招标公告中供应商的资格要求的规定。</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 满足本文件实质性要求和条件的规定。</w:t>
      </w:r>
      <w:r/>
    </w:p>
    <w:p>
      <w:pPr>
        <w:pStyle w:val="784"/>
        <w:ind w:firstLine="420"/>
        <w:spacing w:before="0" w:after="0" w:line="560" w:lineRule="exact"/>
        <w:rPr>
          <w:rFonts w:hint="eastAsia" w:asciiTheme="minorEastAsia" w:hAnsiTheme="minorEastAsia" w:eastAsiaTheme="minorEastAsia" w:cstheme="minorEastAsia"/>
          <w:b w:val="0"/>
          <w:bCs w:val="0"/>
        </w:rPr>
      </w:pPr>
      <w:r/>
      <w:bookmarkStart w:id="71" w:name="_Toc20823278"/>
      <w:r/>
      <w:bookmarkStart w:id="72" w:name="_Toc513029206"/>
      <w:r/>
      <w:bookmarkStart w:id="73" w:name="_Toc16938522"/>
      <w:r>
        <w:rPr>
          <w:rFonts w:hint="eastAsia" w:asciiTheme="minorEastAsia" w:hAnsiTheme="minorEastAsia" w:eastAsiaTheme="minorEastAsia" w:cstheme="minorEastAsia"/>
          <w:b w:val="0"/>
          <w:bCs w:val="0"/>
        </w:rPr>
        <w:t xml:space="preserve">3、适用法律</w:t>
      </w:r>
      <w:bookmarkEnd w:id="71"/>
      <w:r/>
      <w:bookmarkEnd w:id="72"/>
      <w:r/>
      <w:bookmarkEnd w:id="73"/>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本次招标及由此产生的合同受中华人民共和国有关的法律法规制约和保护。</w:t>
      </w:r>
      <w:r/>
    </w:p>
    <w:p>
      <w:pPr>
        <w:pStyle w:val="784"/>
        <w:ind w:firstLine="420"/>
        <w:spacing w:before="0" w:after="0" w:line="560" w:lineRule="exact"/>
        <w:rPr>
          <w:rFonts w:hint="eastAsia" w:asciiTheme="minorEastAsia" w:hAnsiTheme="minorEastAsia" w:eastAsiaTheme="minorEastAsia" w:cstheme="minorEastAsia"/>
          <w:b w:val="0"/>
          <w:bCs w:val="0"/>
        </w:rPr>
      </w:pPr>
      <w:r/>
      <w:bookmarkStart w:id="74" w:name="_Toc462564067"/>
      <w:r/>
      <w:bookmarkStart w:id="75" w:name="_Toc20823279"/>
      <w:r/>
      <w:bookmarkStart w:id="76" w:name="_Toc513029207"/>
      <w:r/>
      <w:bookmarkStart w:id="77" w:name="_Toc16938523"/>
      <w:r>
        <w:rPr>
          <w:rFonts w:hint="eastAsia" w:asciiTheme="minorEastAsia" w:hAnsiTheme="minorEastAsia" w:eastAsiaTheme="minorEastAsia" w:cstheme="minorEastAsia"/>
          <w:b w:val="0"/>
          <w:bCs w:val="0"/>
        </w:rPr>
        <w:t xml:space="preserve">4、投标费用</w:t>
      </w:r>
      <w:bookmarkEnd w:id="74"/>
      <w:r/>
      <w:bookmarkEnd w:id="75"/>
      <w:r/>
      <w:bookmarkEnd w:id="76"/>
      <w:r/>
      <w:bookmarkEnd w:id="77"/>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 供应商应自行承担所有与参加投标有关的费用。</w:t>
      </w:r>
      <w:r/>
    </w:p>
    <w:p>
      <w:pPr>
        <w:pStyle w:val="782"/>
        <w:ind w:firstLine="320"/>
        <w:spacing w:before="0" w:after="0" w:line="480" w:lineRule="exact"/>
        <w:rPr>
          <w:rFonts w:hint="eastAsia" w:asciiTheme="minorEastAsia" w:hAnsiTheme="minorEastAsia" w:eastAsiaTheme="minorEastAsia" w:cstheme="minorEastAsia"/>
          <w:b w:val="0"/>
          <w:bCs w:val="0"/>
          <w:sz w:val="32"/>
          <w:szCs w:val="32"/>
        </w:rPr>
      </w:pPr>
      <w:r/>
      <w:bookmarkStart w:id="78" w:name="_Toc29306"/>
      <w:r/>
      <w:bookmarkStart w:id="79" w:name="_Toc81575156"/>
      <w:r/>
      <w:bookmarkStart w:id="80" w:name="_Toc81575193"/>
      <w:r/>
      <w:bookmarkStart w:id="81" w:name="_Toc15995"/>
      <w:r/>
      <w:bookmarkStart w:id="82" w:name="_Toc20823285"/>
      <w:r/>
      <w:bookmarkStart w:id="83" w:name="_Toc120614216"/>
      <w:r/>
      <w:bookmarkStart w:id="84" w:name="_Toc462564072"/>
      <w:r/>
      <w:bookmarkStart w:id="85" w:name="_Toc16938529"/>
      <w:r/>
      <w:bookmarkStart w:id="86" w:name="_Toc513029213"/>
      <w:r>
        <w:rPr>
          <w:rFonts w:hint="eastAsia" w:asciiTheme="minorEastAsia" w:hAnsiTheme="minorEastAsia" w:eastAsiaTheme="minorEastAsia" w:cstheme="minorEastAsia"/>
          <w:b w:val="0"/>
          <w:bCs w:val="0"/>
          <w:sz w:val="32"/>
          <w:szCs w:val="32"/>
        </w:rPr>
        <w:t xml:space="preserve">二、招标文件</w:t>
      </w:r>
      <w:bookmarkEnd w:id="78"/>
      <w:r/>
      <w:bookmarkEnd w:id="79"/>
      <w:r/>
      <w:bookmarkEnd w:id="80"/>
      <w:r/>
      <w:bookmarkEnd w:id="81"/>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5、招标文件构成</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5.1招标文件由以下部分组成：</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第一章：投标邀请；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第二章：投标人须知；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第三章：资格审查及评标办法；</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第五章：合同文本；</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第六章：投标文件格式。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请仔细检查招标文件是否齐全，如有缺漏请立即与代理机构联系解决。</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6、政府采购政策功能落实</w:t>
      </w:r>
      <w:r/>
    </w:p>
    <w:p>
      <w:pPr>
        <w:ind w:firstLine="480"/>
        <w:spacing w:line="48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本项目落实的政府采购政策对应序号为</w:t>
      </w:r>
      <w:r>
        <w:rPr>
          <w:rFonts w:hint="eastAsia" w:asciiTheme="minorEastAsia" w:hAnsiTheme="minorEastAsia" w:eastAsiaTheme="minorEastAsia" w:cstheme="minorEastAsia"/>
          <w:sz w:val="24"/>
          <w:u w:val="single"/>
        </w:rPr>
        <w:t xml:space="preserve"> 6.1、6.2、6.3.1              </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6.1中小企业政策</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本项目按第</w:t>
      </w:r>
      <w:r>
        <w:rPr>
          <w:rFonts w:hint="eastAsia" w:asciiTheme="minorEastAsia" w:hAnsiTheme="minorEastAsia" w:eastAsiaTheme="minorEastAsia" w:cstheme="minorEastAsia"/>
          <w:sz w:val="24"/>
          <w:u w:val="single"/>
        </w:rPr>
        <w:t xml:space="preserve">（2）</w:t>
      </w:r>
      <w:r>
        <w:rPr>
          <w:rFonts w:hint="eastAsia" w:asciiTheme="minorEastAsia" w:hAnsiTheme="minorEastAsia" w:eastAsiaTheme="minorEastAsia" w:cstheme="minorEastAsia"/>
          <w:sz w:val="24"/>
        </w:rPr>
        <w:t xml:space="preserve">种政策落实：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（1）本项目专门面向中小企业（含监狱与戒毒企业、残疾人福利企业）采购。</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（2）对符合规定情形的小微企业报价给予</w:t>
      </w:r>
      <w:r>
        <w:rPr>
          <w:rFonts w:hint="eastAsia" w:asciiTheme="minorEastAsia" w:hAnsiTheme="minorEastAsia" w:eastAsiaTheme="minorEastAsia" w:cstheme="minorEastAsia"/>
          <w:sz w:val="24"/>
          <w:u w:val="single"/>
        </w:rPr>
        <w:t xml:space="preserve">10% </w:t>
      </w:r>
      <w:r>
        <w:rPr>
          <w:rFonts w:hint="eastAsia" w:asciiTheme="minorEastAsia" w:hAnsiTheme="minorEastAsia" w:eastAsiaTheme="minorEastAsia" w:cstheme="minorEastAsia"/>
          <w:sz w:val="24"/>
        </w:rPr>
        <w:t xml:space="preserve">扣除，用扣除后的价格参加评审。</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在货物采购项目中，货物由中小企业制造，即货物由中小企业生产且使用该中小企业商号或者注册商标。</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原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6.2节能产品、环境标志产品</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6.2.2采购人拟采购的产品属于优先采购的节能环保品目清单范围的，按以下条件优先采购：</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采用综合评分法的项目，对提供有效节能环保证书的投标人加分。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采用最低评标价法的项目，同等条件下优先推荐提供有效节能环保证书多的投标人为中标人。</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6.3政府采购需求标准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6.3.1商品包装、快递包装政府采购需求标准（试行）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6.3.2绿色数据中心政府采购需求标准（试行）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6.3.3绿色建材政府采购需求标准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7、招标文件的澄清或修改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7.3投标人应及时获取澄清答疑文件（修改后的招标文件），如投标人未能及时下载澄清答疑文件，造成的相关责任由投标人承担。</w:t>
      </w:r>
      <w:r/>
    </w:p>
    <w:p>
      <w:pPr>
        <w:pStyle w:val="783"/>
        <w:ind w:firstLine="2649"/>
        <w:spacing w:before="0" w:after="0" w:line="560" w:lineRule="exact"/>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r>
      <w:r/>
    </w:p>
    <w:p>
      <w:pPr>
        <w:pStyle w:val="783"/>
        <w:ind w:firstLine="2649"/>
        <w:spacing w:before="0" w:after="0" w:line="560" w:lineRule="exact"/>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三、投标文件的编制</w:t>
      </w:r>
      <w:bookmarkEnd w:id="82"/>
      <w:r/>
      <w:bookmarkEnd w:id="83"/>
      <w:r/>
      <w:bookmarkEnd w:id="84"/>
      <w:r/>
      <w:bookmarkEnd w:id="85"/>
      <w:r/>
      <w:bookmarkEnd w:id="86"/>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8、投标文件的编制要求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8.1投标人应仔细阅读“招标文件”的所有内容，保证所提供的全部资料的真实性、完整性及有效性，以使其投标对“招标文件”作出实质性响应。</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8.2投标文件要求盖章之处，应按要求加盖投标人公章（法人章）。</w:t>
      </w:r>
      <w:r/>
    </w:p>
    <w:p>
      <w:pPr>
        <w:ind w:firstLine="480"/>
        <w:spacing w:line="50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8.3投标文件的格式</w:t>
      </w:r>
      <w:r/>
    </w:p>
    <w:p>
      <w:pPr>
        <w:ind w:firstLine="480"/>
        <w:spacing w:line="50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投标文件包括：正本一份，副本四份。供应商应严格按照供应商须知的要求准备响应文件，每份投标文件封面显著处须清楚地标明“正本”或“副本”字样。响应文件的正本和副本均需打印，一旦正本和副本不符，以正本为准。</w:t>
      </w:r>
      <w:r/>
    </w:p>
    <w:p>
      <w:pPr>
        <w:ind w:firstLine="480"/>
        <w:spacing w:line="50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（2）除对错处做必要修改外，响应文件不得行间插字、涂改或增删，必要的修改处必须有供应商单位法人代表或其授权代表人签字并盖公章。</w:t>
      </w:r>
      <w:r/>
    </w:p>
    <w:p>
      <w:pPr>
        <w:ind w:firstLine="480"/>
        <w:spacing w:line="50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8.4响应文件的密封和装订</w:t>
      </w:r>
      <w:r/>
    </w:p>
    <w:p>
      <w:pPr>
        <w:ind w:firstLine="480"/>
        <w:spacing w:line="50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（1）除特别说明外，全套响应文件的书面部分均使用A4规格纸张无线胶装方式装订，不得采用活页夹等可随时拆换的方式装订。</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2"/>
        </w:rPr>
        <w:t xml:space="preserve">（2）供应商应将全套响应文件密封包装，并加盖供应商公章。密封件外层正面需注明供应商名称、响应项目名称等字样，因标注不清而产生的一切后果由供应商自负。</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9、投标文件构成</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9.1投标文件包括资格证明文件、开标一览表、分项报价表、响应及偏离表、投标函、其他证明文件等部分。投标文件构成资料为非中文时应提供中文译版。</w:t>
      </w:r>
      <w:bookmarkStart w:id="87" w:name="EBc50e2bb832bb43068403b10c1cce6141"/>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招标文件要求提供证书证件等原件复印件的，投标人提供的复印件应是对证书证件等原件通过复印方式进行装订的可被评标委员会识别的相应文件，否则评标委员会可以视其未提供。无论何种原因，即使投标人开标时携带了证书证明资料的原件，但投标文件中未包含相关资料的，评标委员会可以视同其未提供。</w:t>
      </w:r>
      <w:bookmarkEnd w:id="87"/>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10、投标报价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10.1报价为一次报价，本项目不接受备选的投标方案或有选择的报价，只允许有一个报价。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10.2报价注意事项：投标价格一律以人民币计算，以元为单位标注，最多保留至小数点后两位，招标文件有规定的按招标文件执行。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11、投标保证金</w:t>
      </w:r>
      <w:bookmarkStart w:id="88" w:name="EB183a0bf075204c54a4ff090f1aecaaa7"/>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本项目不收取投标保证金。</w:t>
      </w:r>
      <w:bookmarkEnd w:id="88"/>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12、投标有效期</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pStyle w:val="783"/>
        <w:ind w:firstLine="2329"/>
        <w:spacing w:before="0" w:after="0" w:line="560" w:lineRule="exact"/>
        <w:rPr>
          <w:rFonts w:hint="eastAsia" w:asciiTheme="minorEastAsia" w:hAnsiTheme="minorEastAsia" w:eastAsiaTheme="minorEastAsia" w:cstheme="minorEastAsia"/>
          <w:b w:val="0"/>
          <w:bCs w:val="0"/>
        </w:rPr>
      </w:pPr>
      <w:r/>
      <w:bookmarkStart w:id="89" w:name="_Hlt26954852"/>
      <w:r/>
      <w:bookmarkEnd w:id="89"/>
      <w:r/>
      <w:bookmarkStart w:id="90" w:name="_Hlt26954739"/>
      <w:r/>
      <w:bookmarkEnd w:id="90"/>
      <w:r/>
      <w:bookmarkStart w:id="91" w:name="_Toc20823296"/>
      <w:r/>
      <w:bookmarkStart w:id="92" w:name="_Toc16938540"/>
      <w:r/>
      <w:bookmarkStart w:id="93" w:name="_Toc513029224"/>
      <w:r/>
      <w:bookmarkStart w:id="94" w:name="_Toc120614217"/>
      <w:r>
        <w:rPr>
          <w:rFonts w:hint="eastAsia" w:asciiTheme="minorEastAsia" w:hAnsiTheme="minorEastAsia" w:eastAsiaTheme="minorEastAsia" w:cstheme="minorEastAsia"/>
          <w:b w:val="0"/>
          <w:bCs w:val="0"/>
        </w:rPr>
        <w:t xml:space="preserve">四、投标文件的递交</w:t>
      </w:r>
      <w:bookmarkEnd w:id="91"/>
      <w:r/>
      <w:bookmarkEnd w:id="92"/>
      <w:r/>
      <w:bookmarkEnd w:id="93"/>
      <w:r/>
      <w:bookmarkEnd w:id="94"/>
      <w:r/>
      <w:r/>
    </w:p>
    <w:p>
      <w:pPr>
        <w:ind w:firstLine="480"/>
        <w:spacing w:line="480" w:lineRule="exact"/>
        <w:rPr>
          <w:rFonts w:hint="eastAsia" w:asciiTheme="minorEastAsia" w:hAnsiTheme="minorEastAsia" w:eastAsiaTheme="minorEastAsia" w:cstheme="minorEastAsia"/>
          <w:sz w:val="24"/>
        </w:rPr>
      </w:pPr>
      <w:r/>
      <w:bookmarkStart w:id="95" w:name="_Toc20823301"/>
      <w:r/>
      <w:bookmarkStart w:id="96" w:name="_Toc120614218"/>
      <w:r/>
      <w:bookmarkStart w:id="97" w:name="_Toc16938545"/>
      <w:r/>
      <w:bookmarkStart w:id="98" w:name="_Toc513029229"/>
      <w:r>
        <w:rPr>
          <w:rFonts w:hint="eastAsia" w:asciiTheme="minorEastAsia" w:hAnsiTheme="minorEastAsia" w:eastAsiaTheme="minorEastAsia" w:cstheme="minorEastAsia"/>
          <w:sz w:val="24"/>
        </w:rPr>
        <w:t xml:space="preserve">13、投标文件的提交</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13.1投标人应在招标文件规定的投标截止时间前提交投标文件并将投标文件提交至本次开标地点。除招标文件另有规定外，投标人所提交的投标文件不予退还。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13.2投标文件的修改和撤回：在投标截止时间前，投标人可以撤回或重新提交投标文件。投标文件以最终完成提交的为准。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14、投标文件被拒绝接收的情形</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在招标文件规定的投标截止时间后上传的投标文件或对投标报价或其他实质性内容修正的文件。</w:t>
      </w:r>
      <w:r/>
    </w:p>
    <w:p>
      <w:pPr>
        <w:pStyle w:val="783"/>
        <w:ind w:firstLine="2329"/>
        <w:spacing w:before="0" w:after="0" w:line="560" w:lineRule="exact"/>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五、开标与评标</w:t>
      </w:r>
      <w:bookmarkEnd w:id="95"/>
      <w:r/>
      <w:bookmarkEnd w:id="96"/>
      <w:r/>
      <w:bookmarkEnd w:id="97"/>
      <w:r/>
      <w:bookmarkEnd w:id="98"/>
      <w:r/>
      <w:r/>
    </w:p>
    <w:p>
      <w:pPr>
        <w:ind w:firstLine="480"/>
        <w:spacing w:line="480" w:lineRule="exact"/>
        <w:rPr>
          <w:rFonts w:hint="eastAsia" w:asciiTheme="minorEastAsia" w:hAnsiTheme="minorEastAsia" w:eastAsiaTheme="minorEastAsia" w:cstheme="minorEastAsia"/>
          <w:sz w:val="24"/>
        </w:rPr>
      </w:pPr>
      <w:r/>
      <w:bookmarkStart w:id="99" w:name="_Toc120614219"/>
      <w:r/>
      <w:bookmarkStart w:id="100" w:name="_Toc513029235"/>
      <w:r/>
      <w:bookmarkStart w:id="101" w:name="_Toc16938551"/>
      <w:r/>
      <w:bookmarkStart w:id="102" w:name="_Toc20823307"/>
      <w:r>
        <w:rPr>
          <w:rFonts w:hint="eastAsia" w:asciiTheme="minorEastAsia" w:hAnsiTheme="minorEastAsia" w:eastAsiaTheme="minorEastAsia" w:cstheme="minorEastAsia"/>
          <w:sz w:val="24"/>
        </w:rPr>
        <w:t xml:space="preserve">15、开标</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15.1采购代理机构将在招标公告中规定的时间和地点组织公开开标。投标人应当按照招标文件规定，参加开标活动。</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15.2开标仪式由采购代理机构组织。并宣布各投标人名称和投标价格。</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15.3投标人如果对开标过程和开标记录有疑义，应当根据规定现场提出。如开标时未提出的，视同认可开标结果。</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16、评标委员会</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17、评标程序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17.1资格审查</w:t>
      </w:r>
      <w:bookmarkStart w:id="103" w:name="EBa9c0a2c9e523494487594c65b2a92370"/>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开标结束后，采购人依法根据招标文件的规定对投标人的资格证明文件等进行审查。</w:t>
      </w:r>
      <w:bookmarkEnd w:id="103"/>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17.2符合性检查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4" w:name="EB1499356fad43416eb16398733accabf7"/>
      <w:r>
        <w:rPr>
          <w:rFonts w:hint="eastAsia" w:asciiTheme="minorEastAsia" w:hAnsiTheme="minorEastAsia" w:eastAsiaTheme="minorEastAsia" w:cstheme="minorEastAsia"/>
          <w:sz w:val="24"/>
        </w:rPr>
        <w:t xml:space="preserve">所谓重大偏离是指投标人投标文件中所述设备质量、技术规格、数量、交货期、服务等明显不能满足招标文件要求。</w:t>
      </w:r>
      <w:bookmarkEnd w:id="104"/>
      <w:r>
        <w:rPr>
          <w:rFonts w:hint="eastAsia" w:asciiTheme="minorEastAsia" w:hAnsiTheme="minorEastAsia" w:eastAsiaTheme="minorEastAsia" w:cstheme="minorEastAsia"/>
          <w:sz w:val="24"/>
        </w:rPr>
        <w:t xml:space="preserve">重大偏离的认定需经过评标委员会以少数服从多数的原则作出结论。</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17.3未通过资格审查或符合性审查的投标人，将告知未通过资格审查或符合性审查的原因，评标结束后，将不再告知未通过资格审查或符合性审查的原因。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17.5相同品牌产品投标</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17.5.3非单一产品采购项目，采购人确定核心产品，并在招标文件中载明。多家投标人提供的核心产品品牌相同的，按前两款规定处理。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17.6有关问题的澄清</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17.6.1对投标文件中含义不明确、同类问题表述不一致或者有明显文字和计算错误的内容，评标委员会要求投标人作出必要的澄清、说明或者补正。投标人的澄清、说明或者补正应当采用书面形式且不得超出投标文件的范围或者改变投标文件的实质性内容。投标人的澄清、说明或者补正应加盖公章，或者由法定代表人或其授权的代表签章（或签字）。澄清、说明和补正的内容作为投标文件的补充部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17.6.2投标文件报价出现前后不一致的，除招标文件另有规定外，按照下列规定修正：</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①投标文件中开标一览表（报价表）内容与投标文件中相应内容不一致的，以开标一览表（报价表）为准；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②大写金额和小写金额不一致的，以大写金额为准；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③单价金额小数点或者百分比有明显错位的，以开标一览表的总价为准，并修改单价；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④总价金额与按单价汇总金额不一致的，以单价金额计算结果为准。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同时出现两种以上不一致的，按照前款规定的顺序修正。</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17.6.3评标委员会将按上述修正错误的方法调整投标文件中的投标报价，并通过告知投标人，调整后的价格应对投标人具有约束力。投标人不接受修正后的价格，其投标将被拒绝。</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评标过程中，不得去掉报价中的最高报价和最低报价。</w:t>
      </w:r>
      <w:r/>
    </w:p>
    <w:p>
      <w:pPr>
        <w:ind w:firstLine="480"/>
        <w:spacing w:line="48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17.7异常低价投标审查</w:t>
      </w:r>
      <w:r/>
    </w:p>
    <w:p>
      <w:pPr>
        <w:ind w:firstLine="480"/>
        <w:spacing w:line="48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17.7.1评标过程中出现下列情形之一的，评标委员会应当启动异常低价投标审查程序：</w:t>
      </w:r>
      <w:r/>
    </w:p>
    <w:p>
      <w:pPr>
        <w:ind w:firstLine="480"/>
        <w:spacing w:line="48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（1）投标（响应）报价低于全部通过符合性审查供应商投标（响应）报价平均值50%的，即投标（响应）报价&lt;全部通过符合性审查供应商投标（响应）报价平均值X50%；</w:t>
      </w:r>
      <w:r/>
    </w:p>
    <w:p>
      <w:pPr>
        <w:ind w:firstLine="480"/>
        <w:spacing w:line="48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（2）投标（响应）报价低于通过符合性审查的次低报价供应商投标（响应）报价50%的，即投标（响应）报价&lt;通过符合性审查的次低报价供应商投标（响应）报价X50%；</w:t>
      </w:r>
      <w:r/>
    </w:p>
    <w:p>
      <w:pPr>
        <w:ind w:firstLine="480"/>
        <w:spacing w:line="48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（3）投标（响应）报价低于采购项目最高限价45%的，即投标（响应）报价&lt;采购项目最高限价X45%；</w:t>
      </w:r>
      <w:r/>
    </w:p>
    <w:p>
      <w:pPr>
        <w:ind w:firstLine="480"/>
        <w:spacing w:line="48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（4）评审委员会基于专业判断，认为供应商报价过低，有可能影响产品质量或者不能诚信履约的其他情形。</w:t>
      </w:r>
      <w:r/>
    </w:p>
    <w:p>
      <w:pPr>
        <w:ind w:firstLine="480"/>
        <w:spacing w:line="48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相关法律法规对供应商报价有规定的，从其规定。</w:t>
      </w:r>
      <w:r/>
    </w:p>
    <w:p>
      <w:pPr>
        <w:ind w:firstLine="480"/>
        <w:spacing w:line="48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17.7.2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17.7.3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17.7.4评审委员会借助互联网等渠道查询相关信息的，应当严格遵守评审工作纪律，不得实施影响评审公正的行为。</w:t>
      </w:r>
      <w:r/>
    </w:p>
    <w:p>
      <w:pPr>
        <w:ind w:firstLine="480"/>
        <w:spacing w:line="48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17.7.5异常低价投标（响应）审查的启动原因、审查意见和审查结果应当在评审报告中记录，并随供应商提供的相关书面说明及证明材料，以及评审委员会有关互联网浏览、查询历史一并归档。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17.8比较</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评标委员会将按招标文件中规定的评标方法和标准，对符合性检查合格的投标文件进行商务和技术评比。</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17.9推荐中标候选人</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评标委员会按照招标文件中规定的评标方法和标准推荐中标候选人。</w:t>
      </w:r>
      <w:r/>
    </w:p>
    <w:p>
      <w:pPr>
        <w:pStyle w:val="783"/>
        <w:ind w:firstLine="482"/>
        <w:spacing w:before="0" w:after="0" w:line="560" w:lineRule="exact"/>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r>
      <w:r/>
    </w:p>
    <w:p>
      <w:pPr>
        <w:pStyle w:val="783"/>
        <w:ind w:firstLine="320"/>
        <w:spacing w:before="0" w:after="0" w:line="560" w:lineRule="exact"/>
        <w:rPr>
          <w:rFonts w:hint="eastAsia" w:asciiTheme="minorEastAsia" w:hAnsiTheme="minorEastAsia" w:eastAsiaTheme="minorEastAsia" w:cstheme="minorEastAsia"/>
          <w:b w:val="0"/>
          <w:bCs w:val="0"/>
        </w:rPr>
      </w:pPr>
      <w:r/>
      <w:bookmarkStart w:id="105" w:name="_Toc8841"/>
      <w:r/>
      <w:bookmarkStart w:id="106" w:name="_Toc8712"/>
      <w:r/>
      <w:bookmarkStart w:id="107" w:name="_Toc81575159"/>
      <w:r/>
      <w:bookmarkStart w:id="108" w:name="_Toc81575196"/>
      <w:r>
        <w:rPr>
          <w:rFonts w:hint="eastAsia" w:asciiTheme="minorEastAsia" w:hAnsiTheme="minorEastAsia" w:eastAsiaTheme="minorEastAsia" w:cstheme="minorEastAsia"/>
          <w:b w:val="0"/>
          <w:bCs w:val="0"/>
        </w:rPr>
        <w:t xml:space="preserve">六、无效投标、废标、串通投标</w:t>
      </w:r>
      <w:bookmarkEnd w:id="105"/>
      <w:r/>
      <w:bookmarkEnd w:id="106"/>
      <w:r/>
      <w:bookmarkEnd w:id="107"/>
      <w:r/>
      <w:bookmarkEnd w:id="108"/>
      <w:r>
        <w:rPr>
          <w:rFonts w:hint="eastAsia" w:asciiTheme="minorEastAsia" w:hAnsiTheme="minorEastAsia" w:eastAsiaTheme="minorEastAsia" w:cstheme="minorEastAsia"/>
          <w:b w:val="0"/>
          <w:bCs w:val="0"/>
        </w:rPr>
        <w:t xml:space="preserve">及取消中标候选人资格情形</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18、无效投标情形</w:t>
      </w:r>
      <w:r/>
    </w:p>
    <w:p>
      <w:pPr>
        <w:ind w:firstLine="480"/>
        <w:spacing w:line="480" w:lineRule="exact"/>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18.1投标人同一采购包提交两个（含两个）以上不同的投标报价的。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18.2投标人不符合招标文件规定资格要求的或未按规定提交资质证件的。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18.3投标人的报价超过了采购预算或最高限价的。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18.4投标文件未通过符合性审查的。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18.5投标文件出现重大偏离，不符合招标文件中规定的实质性要求的（★部分为实质性要求）。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18.7投标文件签署、盖章、密封不符合招标文件要求的。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18.8投标人有本招标文件规定的恶意串通投标情形的。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18.9投标文件含有采购人不能接受的附加条件的。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18.10其他法律、法规及本招标文件规定的属无效投标的情形。</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19、废标情形</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19.1符合专业条件的投标人或者对招标文件作实质响应的投标人不足三家的。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19.2出现影响采购公正的违法、违规行为的。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19.3因重大变故，采购任务取消的。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19.4评标委员会认定招标文件存在歧义、重大缺陷导致评审工作无法进行的。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19.5在招标文件规定的提交投标文件截止时间提交投标文件的投标人不足3家的。</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20、投标人不足三家情形处理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21、串通投标情形</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有下列情形之一的，属于恶意串通投标：</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21.1供应商直接或间接从采购人或采购代理机构处获得其他供应商的投标情况，并修改其投标文件；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21.2评审活动开始前供应商直接或间接从采购人或采购代理机构处获得评标委员会组成人员情况；</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21.3供应商接受采购人或采购代理机构授意撤换、修改投标文件；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21.4供应商之间协商投标报价、技术方案等投标文件实质性内容；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21.5属于同一集团、协会、商会等组织成员的供应商按照该组织要求协同投标；</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21.6供应商之间事先约定由某一特定供应商中标、成交；</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21.7供应商之间商定部分供应商放弃投标或者放弃中标、成交；</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有下列情形之一的，视为投标人串通投标，其投标无效：</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21.9不同投标人的投标文件由同一单位或者个人编制；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21.10不同投标人委托同一单位或者个人办理投标事宜；</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21.11不同投标人的投标文件载明的项目管理成员或者联系人员为同一人；</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21.12不同投标人的投标文件异常一致或者投标报价呈规律性差异；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21.13不同投标人的投标文件相互混装；</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21.14不同投标人的投标保证金从同一单位或者个人的账户转出。</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w:t>
      </w:r>
      <w:bookmarkStart w:id="109" w:name="OLE_LINK4"/>
      <w:r>
        <w:rPr>
          <w:rFonts w:hint="eastAsia" w:asciiTheme="minorEastAsia" w:hAnsiTheme="minorEastAsia" w:eastAsiaTheme="minorEastAsia" w:cstheme="minorEastAsia"/>
          <w:sz w:val="24"/>
        </w:rPr>
        <w:t xml:space="preserve">取消中标候选人资格情形</w:t>
      </w:r>
      <w:bookmarkEnd w:id="109"/>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22.1提供虚假材料谋取中标的；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22.2采取不正当手段诋毁、排挤其他投标人的；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22.3与采购人、其他投标人或者采购代理机构恶意串通的；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22.4向采购人、采购代理机构行贿或者提供其他不正当利益的；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22.5未在规定时间内与采购人签订采购合同的；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22.6法律、法规规定的其它情况。</w:t>
      </w:r>
      <w:bookmarkEnd w:id="99"/>
      <w:r/>
      <w:bookmarkEnd w:id="100"/>
      <w:r/>
      <w:bookmarkEnd w:id="101"/>
      <w:r/>
      <w:bookmarkEnd w:id="102"/>
      <w:r/>
      <w:r/>
    </w:p>
    <w:p>
      <w:pPr>
        <w:ind w:firstLine="320"/>
        <w:spacing w:line="480" w:lineRule="exact"/>
        <w:rPr>
          <w:rFonts w:hint="eastAsia" w:asciiTheme="minorEastAsia" w:hAnsiTheme="minorEastAsia" w:eastAsiaTheme="minorEastAsia" w:cstheme="minorEastAsia"/>
          <w:sz w:val="32"/>
          <w:szCs w:val="22"/>
        </w:rPr>
        <w:outlineLvl w:val="1"/>
      </w:pPr>
      <w:r>
        <w:rPr>
          <w:rFonts w:hint="eastAsia" w:asciiTheme="minorEastAsia" w:hAnsiTheme="minorEastAsia" w:eastAsiaTheme="minorEastAsia" w:cstheme="minorEastAsia"/>
          <w:sz w:val="32"/>
          <w:szCs w:val="22"/>
        </w:rPr>
      </w:r>
      <w:r/>
    </w:p>
    <w:p>
      <w:pPr>
        <w:ind w:firstLine="320"/>
        <w:jc w:val="center"/>
        <w:spacing w:line="480" w:lineRule="exact"/>
        <w:rPr>
          <w:rFonts w:hint="eastAsia" w:asciiTheme="minorEastAsia" w:hAnsiTheme="minorEastAsia" w:eastAsiaTheme="minorEastAsia" w:cstheme="minorEastAsia"/>
          <w:sz w:val="32"/>
          <w:szCs w:val="22"/>
        </w:rPr>
        <w:outlineLvl w:val="1"/>
      </w:pPr>
      <w:r>
        <w:rPr>
          <w:rFonts w:hint="eastAsia" w:asciiTheme="minorEastAsia" w:hAnsiTheme="minorEastAsia" w:eastAsiaTheme="minorEastAsia" w:cstheme="minorEastAsia"/>
          <w:sz w:val="32"/>
          <w:szCs w:val="22"/>
        </w:rPr>
        <w:t xml:space="preserve">七、中标及合同签订</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23、确定中标人</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23.1采购人应当自收到评审报告之日起5个工作日内在评审报告推荐的中标候选人中按顺序确定中标人。</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23.2中标人确定之日起2个工作日内，采购人、采购代理机构将发布中标结果，中标公告的公告期限为1个工作日。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23.3采购人确定正被列为失信被执行人的投标人为中标人的，中标结果无效。</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24、中标通知书</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24.1在公告中标结果的同时，采购代理机构将向中标人发出中标通知书。</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24.2中标通知书发出后，采购人改变中标结果的，或者中标人放弃中标项目的，应当依法承担法律责任。</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25、授予合同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25.2采购人在自合同签订之日起2个工作日内，将合同在指定的媒体上公告。</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26、履约保证金</w:t>
      </w:r>
      <w:r/>
    </w:p>
    <w:p>
      <w:pPr>
        <w:ind w:firstLine="480"/>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按照以下第</w:t>
      </w:r>
      <w:r>
        <w:rPr>
          <w:rFonts w:hint="eastAsia" w:asciiTheme="minorEastAsia" w:hAnsiTheme="minorEastAsia" w:eastAsiaTheme="minorEastAsia" w:cstheme="minorEastAsia"/>
          <w:sz w:val="24"/>
          <w:u w:val="single"/>
        </w:rPr>
        <w:t xml:space="preserve">（2）</w:t>
      </w:r>
      <w:r>
        <w:rPr>
          <w:rFonts w:hint="eastAsia" w:asciiTheme="minorEastAsia" w:hAnsiTheme="minorEastAsia" w:eastAsiaTheme="minorEastAsia" w:cstheme="minorEastAsia"/>
          <w:sz w:val="24"/>
          <w:lang w:val="zh-CN"/>
        </w:rPr>
        <w:t xml:space="preserve">方式确定履约保证</w:t>
      </w:r>
      <w:r>
        <w:rPr>
          <w:rFonts w:hint="eastAsia" w:asciiTheme="minorEastAsia" w:hAnsiTheme="minorEastAsia" w:eastAsiaTheme="minorEastAsia" w:cstheme="minorEastAsia"/>
          <w:sz w:val="24"/>
        </w:rPr>
        <w:t xml:space="preserve">金</w:t>
      </w:r>
      <w:r>
        <w:rPr>
          <w:rFonts w:hint="eastAsia" w:asciiTheme="minorEastAsia" w:hAnsiTheme="minorEastAsia" w:eastAsiaTheme="minorEastAsia" w:cstheme="minorEastAsia"/>
          <w:sz w:val="24"/>
          <w:lang w:val="zh-CN"/>
        </w:rPr>
        <w:t xml:space="preserve">收取方式。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（1）本项目不收取履约保证金。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（2）本项目收取履约保证金。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26.1履约保证金提交形式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26.2履约保证金提交金额</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按采购合同总价的</w:t>
      </w:r>
      <w:r>
        <w:rPr>
          <w:rFonts w:hint="eastAsia" w:asciiTheme="minorEastAsia" w:hAnsiTheme="minorEastAsia" w:eastAsiaTheme="minorEastAsia" w:cstheme="minorEastAsia"/>
          <w:sz w:val="24"/>
          <w:u w:val="single"/>
        </w:rPr>
        <w:t xml:space="preserve">5 </w:t>
      </w:r>
      <w:r>
        <w:rPr>
          <w:rFonts w:hint="eastAsia" w:asciiTheme="minorEastAsia" w:hAnsiTheme="minorEastAsia" w:eastAsiaTheme="minorEastAsia" w:cstheme="minorEastAsia"/>
          <w:sz w:val="24"/>
        </w:rPr>
        <w:t xml:space="preserve">%提交。</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支持和鼓励投标人使用江苏政府采购电子履约保函（保险）代替缴纳履约保证金，投标人如使用江苏政府采购电子履约保函（保险）的，可按采购合同总价的</w:t>
      </w:r>
      <w:r>
        <w:rPr>
          <w:rFonts w:hint="eastAsia" w:asciiTheme="minorEastAsia" w:hAnsiTheme="minorEastAsia" w:eastAsiaTheme="minorEastAsia" w:cstheme="minorEastAsia"/>
          <w:sz w:val="24"/>
          <w:u w:val="single"/>
        </w:rPr>
        <w:t xml:space="preserve"> 3</w:t>
      </w:r>
      <w:r>
        <w:rPr>
          <w:rFonts w:hint="eastAsia" w:asciiTheme="minorEastAsia" w:hAnsiTheme="minorEastAsia" w:eastAsiaTheme="minorEastAsia" w:cstheme="minorEastAsia"/>
          <w:sz w:val="24"/>
        </w:rPr>
        <w:t xml:space="preserve">%（履约保证金原提交金额的6折）提交。办理流程、偿付等内容见江苏政府采购网“保险保函”模块。</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26.3履约保证金退还方式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26.4履约保证金退还条件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具有验收合格相关证明材料。</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26.5履约保证金退还时间</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采购人收到投标人退付申请后5个工作日内退还。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26.6履约保证金不予退还情形</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26.7逾期退还履约保证金违约责任</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27、线上融资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中标人可凭政府采购合同办理融资贷款，详情见江苏政府采购网“政采贷”专栏。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28、合同履行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28.1政府采购合同订立后，合同各方不得擅自变更、中止或者终止合同。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2"/>
        <w:spacing w:before="0" w:after="0" w:line="520" w:lineRule="exact"/>
        <w:rPr>
          <w:rFonts w:hint="eastAsia" w:asciiTheme="minorEastAsia" w:hAnsiTheme="minorEastAsia" w:eastAsiaTheme="minorEastAsia" w:cstheme="minorEastAsia"/>
          <w:b w:val="0"/>
          <w:bCs w:val="0"/>
          <w:sz w:val="32"/>
          <w:szCs w:val="32"/>
        </w:rPr>
      </w:pPr>
      <w:r/>
      <w:bookmarkStart w:id="110" w:name="_Toc81575199"/>
      <w:r/>
      <w:bookmarkStart w:id="111" w:name="_Toc22084"/>
      <w:r/>
      <w:bookmarkStart w:id="112" w:name="_Toc7550"/>
      <w:r/>
      <w:bookmarkStart w:id="113" w:name="_Toc81575162"/>
      <w:r/>
      <w:r/>
    </w:p>
    <w:p>
      <w:pPr>
        <w:pStyle w:val="782"/>
        <w:spacing w:before="0" w:after="0" w:line="520" w:lineRule="exact"/>
        <w:rPr>
          <w:rFonts w:hint="eastAsia" w:asciiTheme="minorEastAsia" w:hAnsiTheme="minorEastAsia" w:eastAsiaTheme="minorEastAsia" w:cstheme="minorEastAsia"/>
          <w:b w:val="0"/>
          <w:bCs w:val="0"/>
          <w:sz w:val="32"/>
          <w:szCs w:val="32"/>
        </w:rPr>
      </w:pPr>
      <w:r>
        <w:rPr>
          <w:rFonts w:hint="eastAsia" w:asciiTheme="minorEastAsia" w:hAnsiTheme="minorEastAsia" w:eastAsiaTheme="minorEastAsia" w:cstheme="minorEastAsia"/>
          <w:b w:val="0"/>
          <w:bCs w:val="0"/>
          <w:sz w:val="32"/>
          <w:szCs w:val="32"/>
        </w:rPr>
        <w:t xml:space="preserve">八、</w:t>
      </w:r>
      <w:bookmarkEnd w:id="110"/>
      <w:r/>
      <w:bookmarkEnd w:id="111"/>
      <w:r/>
      <w:bookmarkEnd w:id="112"/>
      <w:r/>
      <w:bookmarkEnd w:id="113"/>
      <w:r/>
      <w:bookmarkStart w:id="114" w:name="_Toc12263"/>
      <w:r/>
      <w:bookmarkStart w:id="115" w:name="_Toc31888"/>
      <w:r/>
      <w:bookmarkStart w:id="116" w:name="_Toc81575163"/>
      <w:r/>
      <w:bookmarkStart w:id="117" w:name="_Toc81575200"/>
      <w:r>
        <w:rPr>
          <w:rFonts w:hint="eastAsia" w:asciiTheme="minorEastAsia" w:hAnsiTheme="minorEastAsia" w:eastAsiaTheme="minorEastAsia" w:cstheme="minorEastAsia"/>
          <w:b w:val="0"/>
          <w:bCs w:val="0"/>
          <w:sz w:val="32"/>
          <w:szCs w:val="32"/>
        </w:rPr>
        <w:t xml:space="preserve">质疑与投诉</w:t>
      </w:r>
      <w:bookmarkEnd w:id="114"/>
      <w:r/>
      <w:bookmarkEnd w:id="115"/>
      <w:r/>
      <w:bookmarkEnd w:id="116"/>
      <w:r/>
      <w:bookmarkEnd w:id="117"/>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29、质疑</w:t>
      </w:r>
      <w:r/>
    </w:p>
    <w:p>
      <w:pPr>
        <w:ind w:firstLine="480"/>
        <w:spacing w:line="50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rPr>
        <w:t xml:space="preserve">29.1供应商认为采购文件、采购过程和中标结果使自己的权益受到损害的，可以在知道或者应知其权益受到损害之日起七个工作日内（具体起算时间见29.2），</w:t>
      </w:r>
      <w:r>
        <w:rPr>
          <w:rFonts w:hint="eastAsia" w:asciiTheme="minorEastAsia" w:hAnsiTheme="minorEastAsia" w:eastAsiaTheme="minorEastAsia" w:cstheme="minorEastAsia"/>
          <w:sz w:val="24"/>
          <w:szCs w:val="24"/>
        </w:rPr>
        <w:t xml:space="preserve">以书面形式向采购人或者其委托的采购代理机构提出质疑</w:t>
      </w:r>
      <w:r>
        <w:rPr>
          <w:rFonts w:hint="eastAsia" w:asciiTheme="minorEastAsia" w:hAnsiTheme="minorEastAsia" w:eastAsiaTheme="minorEastAsia" w:cstheme="minorEastAsia"/>
          <w:sz w:val="24"/>
          <w:szCs w:val="22"/>
        </w:rPr>
        <w:t xml:space="preserve">。质疑超出采购机构代理范围的，供应商应当向采购人提出。</w:t>
      </w:r>
      <w:r/>
    </w:p>
    <w:p>
      <w:pPr>
        <w:ind w:firstLine="480"/>
        <w:spacing w:line="50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本项目接收质疑函的方式：</w:t>
      </w:r>
      <w:bookmarkStart w:id="118" w:name="EB56bd2a40e102476eadbb1fc6a9202461"/>
      <w:r>
        <w:rPr>
          <w:rFonts w:hint="eastAsia" w:asciiTheme="minorEastAsia" w:hAnsiTheme="minorEastAsia" w:eastAsiaTheme="minorEastAsia" w:cstheme="minorEastAsia"/>
          <w:sz w:val="24"/>
          <w:szCs w:val="22"/>
        </w:rPr>
        <w:t xml:space="preserve">现场接收或邮寄接收</w:t>
      </w:r>
      <w:bookmarkEnd w:id="118"/>
      <w:r/>
      <w:r/>
    </w:p>
    <w:p>
      <w:pPr>
        <w:ind w:firstLine="480"/>
        <w:spacing w:line="50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联系部门：</w:t>
      </w:r>
      <w:bookmarkStart w:id="119" w:name="EB587bd491a3fd493c8e729d1eaa56203a"/>
      <w:r>
        <w:rPr>
          <w:rFonts w:hint="eastAsia" w:asciiTheme="minorEastAsia" w:hAnsiTheme="minorEastAsia" w:eastAsiaTheme="minorEastAsia" w:cstheme="minorEastAsia"/>
          <w:sz w:val="24"/>
          <w:szCs w:val="24"/>
        </w:rPr>
        <w:t xml:space="preserve">宿迁学院</w:t>
      </w:r>
      <w:r>
        <w:rPr>
          <w:rFonts w:hint="eastAsia" w:asciiTheme="minorEastAsia" w:hAnsiTheme="minorEastAsia" w:eastAsiaTheme="minorEastAsia" w:cstheme="minorEastAsia"/>
          <w:sz w:val="24"/>
          <w:szCs w:val="22"/>
        </w:rPr>
        <w:t xml:space="preserve">/江苏建科工程咨询有限公司</w:t>
      </w:r>
      <w:bookmarkEnd w:id="119"/>
      <w:r/>
      <w:r/>
    </w:p>
    <w:p>
      <w:pPr>
        <w:ind w:firstLine="480"/>
        <w:spacing w:line="50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联系电话：</w:t>
      </w:r>
      <w:bookmarkStart w:id="120" w:name="EB5b41b423f63941cebdd46b3e34fcab34"/>
      <w:r>
        <w:rPr>
          <w:rFonts w:hint="eastAsia" w:asciiTheme="minorEastAsia" w:hAnsiTheme="minorEastAsia" w:eastAsiaTheme="minorEastAsia" w:cstheme="minorEastAsia"/>
          <w:sz w:val="24"/>
          <w:szCs w:val="22"/>
        </w:rPr>
        <w:t xml:space="preserve">毛老师</w:t>
      </w:r>
      <w:r>
        <w:rPr>
          <w:rFonts w:hint="eastAsia" w:asciiTheme="minorEastAsia" w:hAnsiTheme="minorEastAsia" w:eastAsiaTheme="minorEastAsia" w:cstheme="minorEastAsia"/>
          <w:sz w:val="24"/>
          <w:szCs w:val="22"/>
          <w:lang w:eastAsia="zh-CN"/>
        </w:rPr>
        <w:t xml:space="preserve">、</w:t>
      </w:r>
      <w:r>
        <w:rPr>
          <w:rFonts w:hint="eastAsia" w:asciiTheme="minorEastAsia" w:hAnsiTheme="minorEastAsia" w:eastAsiaTheme="minorEastAsia" w:cstheme="minorEastAsia"/>
          <w:sz w:val="24"/>
          <w:szCs w:val="22"/>
          <w:lang w:val="en-US" w:eastAsia="zh-CN"/>
        </w:rPr>
        <w:t xml:space="preserve">朱老师</w:t>
      </w:r>
      <w:r>
        <w:rPr>
          <w:rFonts w:hint="eastAsia" w:asciiTheme="minorEastAsia" w:hAnsiTheme="minorEastAsia" w:eastAsiaTheme="minorEastAsia" w:cstheme="minorEastAsia"/>
          <w:sz w:val="24"/>
          <w:szCs w:val="24"/>
          <w:lang w:val="en-US" w:eastAsia="zh-CN"/>
        </w:rPr>
        <w:t xml:space="preserve">0527-84201005</w:t>
      </w:r>
      <w:r>
        <w:rPr>
          <w:rFonts w:hint="eastAsia" w:asciiTheme="minorEastAsia" w:hAnsiTheme="minorEastAsia" w:eastAsiaTheme="minorEastAsia" w:cstheme="minorEastAsia"/>
          <w:sz w:val="24"/>
          <w:szCs w:val="22"/>
        </w:rPr>
        <w:t xml:space="preserve"> /陈梦帆 18552764394</w:t>
      </w:r>
      <w:bookmarkEnd w:id="120"/>
      <w:r/>
      <w:r/>
    </w:p>
    <w:p>
      <w:pPr>
        <w:ind w:firstLine="480"/>
        <w:spacing w:line="50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通讯地址：</w:t>
      </w:r>
      <w:bookmarkStart w:id="121" w:name="EB572fd27c0a4b41898944b1b4aad84cb2"/>
      <w:r>
        <w:rPr>
          <w:rFonts w:hint="eastAsia" w:asciiTheme="minorEastAsia" w:hAnsiTheme="minorEastAsia" w:eastAsiaTheme="minorEastAsia" w:cstheme="minorEastAsia"/>
          <w:sz w:val="24"/>
          <w:szCs w:val="22"/>
        </w:rPr>
        <w:t xml:space="preserve">宿迁市宿城区黄河路399号 /宿迁市华康路55号</w:t>
      </w:r>
      <w:bookmarkEnd w:id="121"/>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29.2供应商应知其权益受到损害之日，是指：</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（1）对本项目采购文件提出质疑的，为获取采购文件之日或者采购文件公告期限届满之日；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（2）对本项目采购过程提出质疑的，为各采购程序环节结束之日；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（3）对本项目中标结果提出质疑的，为中标结果公告期限届满之日。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29.4供应商提出质疑应当提交质疑函和必要的证明材料。质疑函的必备内容：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（1）供应商的姓名或者名称、地址、邮编、联系人及联系电话；</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（2）质疑项目的名称、编号；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（3）获取采购文件的时间；</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（4）具体、明确的质疑事项和质疑事项相关的请求；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（5）事实依据；</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（6）必要的法律依据；</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（7）提出质疑的日期；</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30、投诉</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质疑供应商对答复不满意或采购人、采购代理机构未在规定时间内作出答复的，可在答复期满后15个工作日内向同级财政部门提起投诉。</w:t>
      </w:r>
      <w:r/>
    </w:p>
    <w:p>
      <w:pPr>
        <w:pStyle w:val="781"/>
        <w:spacing w:before="200"/>
        <w:rPr>
          <w:rFonts w:hint="eastAsia" w:asciiTheme="minorEastAsia" w:hAnsiTheme="minorEastAsia" w:eastAsiaTheme="minorEastAsia" w:cstheme="minorEastAsia"/>
          <w:sz w:val="44"/>
          <w:szCs w:val="44"/>
        </w:rPr>
      </w:pPr>
      <w:r/>
      <w:bookmarkStart w:id="122" w:name="_Toc17996"/>
      <w:r/>
      <w:bookmarkStart w:id="123" w:name="_Toc155086566"/>
      <w:r/>
      <w:bookmarkStart w:id="124" w:name="_Toc104802328"/>
      <w:r/>
      <w:bookmarkStart w:id="125" w:name="_Toc118461986"/>
      <w:r/>
      <w:bookmarkStart w:id="126" w:name="_Hlt16619350"/>
      <w:r/>
      <w:bookmarkStart w:id="127" w:name="_Toc120614244"/>
      <w:r/>
      <w:bookmarkStart w:id="128" w:name="_Toc20823346"/>
      <w:r/>
      <w:bookmarkStart w:id="129" w:name="_Toc16938590"/>
      <w:r/>
      <w:bookmarkStart w:id="130" w:name="_Toc462564139"/>
      <w:r/>
      <w:bookmarkStart w:id="131" w:name="_Toc479757211"/>
      <w:r/>
      <w:r/>
    </w:p>
    <w:p>
      <w:pPr>
        <w:pStyle w:val="781"/>
        <w:spacing w:before="200"/>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pStyle w:val="781"/>
        <w:spacing w:before="200"/>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pStyle w:val="781"/>
        <w:spacing w:before="200"/>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pStyle w:val="781"/>
        <w:spacing w:before="200"/>
        <w:rPr>
          <w:rFonts w:hint="eastAsia" w:asciiTheme="minorEastAsia" w:hAnsiTheme="minorEastAsia" w:eastAsiaTheme="minorEastAsia" w:cstheme="minorEastAsia"/>
        </w:rPr>
      </w:pPr>
      <w:r>
        <w:rPr>
          <w:rFonts w:hint="eastAsia" w:asciiTheme="minorEastAsia" w:hAnsiTheme="minorEastAsia" w:eastAsiaTheme="minorEastAsia" w:cstheme="minorEastAsia"/>
          <w:sz w:val="44"/>
          <w:szCs w:val="44"/>
        </w:rPr>
        <w:t xml:space="preserve">第三章  资格审查及评标</w:t>
      </w:r>
      <w:bookmarkEnd w:id="122"/>
      <w:r>
        <w:rPr>
          <w:rFonts w:hint="eastAsia" w:asciiTheme="minorEastAsia" w:hAnsiTheme="minorEastAsia" w:eastAsiaTheme="minorEastAsia" w:cstheme="minorEastAsia"/>
          <w:sz w:val="44"/>
          <w:szCs w:val="44"/>
        </w:rPr>
        <w:t xml:space="preserve">方法</w:t>
      </w:r>
      <w:r/>
    </w:p>
    <w:p>
      <w:pPr>
        <w:ind w:firstLine="48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一、资格审查</w:t>
      </w:r>
      <w:r/>
    </w:p>
    <w:p>
      <w:pPr>
        <w:ind w:firstLine="48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8"/>
        </w:rPr>
        <w:t xml:space="preserve">资格审查人员按照下列指标对各投标人的资格进行审查，未通过审查的为无效标，不参与评标。</w:t>
      </w:r>
      <w:r/>
    </w:p>
    <w:tbl>
      <w:tblPr>
        <w:tblStyle w:val="79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符合招标文件要求</w:t>
            </w:r>
            <w:r/>
          </w:p>
        </w:tc>
      </w:tr>
    </w:tbl>
    <w:p>
      <w:pPr>
        <w:ind w:firstLine="48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二、符合性审查</w:t>
      </w:r>
      <w:r/>
    </w:p>
    <w:p>
      <w:pPr>
        <w:ind w:firstLine="48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8"/>
        </w:rPr>
        <w:t xml:space="preserve">评标委员会对符合资格的投标人的投标文件进行符合性审查，未通过审查的为无效标，不再参与评审。</w:t>
      </w:r>
      <w:r/>
    </w:p>
    <w:tbl>
      <w:tblPr>
        <w:tblStyle w:val="79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符合招标文件要求</w:t>
            </w:r>
            <w:r/>
          </w:p>
        </w:tc>
      </w:tr>
    </w:tbl>
    <w:p>
      <w:pPr>
        <w:ind w:firstLine="48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三、评标方法</w:t>
      </w:r>
      <w:r/>
    </w:p>
    <w:p>
      <w:pPr>
        <w:ind w:firstLine="48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综合评分保留至小数点后两位。</w:t>
      </w:r>
      <w:r/>
    </w:p>
    <w:p>
      <w:pPr>
        <w:ind w:firstLine="48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评标委员会根据评标后投标人排序推荐中标候选人，并形成评标报告。</w:t>
      </w:r>
      <w:r/>
    </w:p>
    <w:p>
      <w:pPr>
        <w:numPr>
          <w:ilvl w:val="0"/>
          <w:numId w:val="2"/>
        </w:numPr>
        <w:ind w:firstLine="72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评标标准</w:t>
      </w:r>
      <w:bookmarkEnd w:id="123"/>
      <w:r/>
      <w:bookmarkEnd w:id="124"/>
      <w:r/>
      <w:bookmarkEnd w:id="125"/>
      <w:r/>
      <w:r/>
    </w:p>
    <w:tbl>
      <w:tblPr>
        <w:tblStyle w:val="791"/>
        <w:tblW w:w="94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1000"/>
        <w:gridCol w:w="7500"/>
      </w:tblGrid>
      <w:tr>
        <w:trPr>
          <w:jc w:val="center"/>
          <w:trHeight w:val="621"/>
        </w:trPr>
        <w:tc>
          <w:tcPr>
            <w:tcW w:w="960" w:type="dxa"/>
            <w:vAlign w:val="center"/>
            <w:textDirection w:val="lrTb"/>
            <w:noWrap w:val="false"/>
          </w:tcPr>
          <w:p>
            <w:pPr>
              <w:jc w:val="center"/>
              <w:spacing w:line="276"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000" w:type="dxa"/>
            <w:vAlign w:val="center"/>
            <w:textDirection w:val="lrTb"/>
            <w:noWrap w:val="false"/>
          </w:tcPr>
          <w:p>
            <w:pPr>
              <w:jc w:val="center"/>
              <w:spacing w:line="276"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评审因素</w:t>
            </w:r>
            <w:r/>
          </w:p>
        </w:tc>
        <w:tc>
          <w:tcPr>
            <w:tcW w:w="7500" w:type="dxa"/>
            <w:vAlign w:val="center"/>
            <w:textDirection w:val="lrTb"/>
            <w:noWrap w:val="false"/>
          </w:tcPr>
          <w:p>
            <w:pPr>
              <w:jc w:val="left"/>
              <w:spacing w:line="276"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评审标准</w:t>
            </w:r>
            <w:r/>
          </w:p>
        </w:tc>
      </w:tr>
      <w:tr>
        <w:trPr>
          <w:jc w:val="center"/>
          <w:trHeight w:val="621"/>
        </w:trPr>
        <w:tc>
          <w:tcPr>
            <w:tcW w:w="960" w:type="dxa"/>
            <w:vAlign w:val="center"/>
            <w:textDirection w:val="lrTb"/>
            <w:noWrap w:val="false"/>
          </w:tcPr>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W w:w="1000" w:type="dxa"/>
            <w:vAlign w:val="center"/>
            <w:textDirection w:val="lrTb"/>
            <w:noWrap w:val="false"/>
          </w:tcPr>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投标报价</w:t>
            </w:r>
            <w:r/>
          </w:p>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（30分）</w:t>
            </w:r>
            <w:r/>
          </w:p>
        </w:tc>
        <w:tc>
          <w:tcPr>
            <w:tcW w:w="7500" w:type="dxa"/>
            <w:vAlign w:val="center"/>
            <w:textDirection w:val="lrTb"/>
            <w:noWrap w:val="false"/>
          </w:tcPr>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价格分统一采用低价优先法计算，即满足招标文件要求且价格最低的投标报价为评标基准价，其价格分为满分。其他投标人的价格分统一按照下列公式计算：投标报价得分＝（评标基准价/投标报价）×30注：报价得分精确到小数点后两位。</w:t>
            </w:r>
            <w:r/>
          </w:p>
        </w:tc>
      </w:tr>
      <w:tr>
        <w:trPr>
          <w:jc w:val="center"/>
          <w:trHeight w:val="2595"/>
        </w:trPr>
        <w:tc>
          <w:tcPr>
            <w:tcW w:w="960" w:type="dxa"/>
            <w:vAlign w:val="center"/>
            <w:vMerge w:val="restart"/>
            <w:textDirection w:val="lrTb"/>
            <w:noWrap w:val="false"/>
          </w:tcPr>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W w:w="1000" w:type="dxa"/>
            <w:vAlign w:val="center"/>
            <w:textDirection w:val="lrTb"/>
            <w:noWrap w:val="false"/>
          </w:tcPr>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技术响应</w:t>
            </w:r>
            <w:r/>
          </w:p>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（40分）</w:t>
            </w:r>
            <w:r/>
          </w:p>
        </w:tc>
        <w:tc>
          <w:tcPr>
            <w:tcW w:w="7500" w:type="dxa"/>
            <w:textDirection w:val="lrTb"/>
            <w:noWrap w:val="false"/>
          </w:tcPr>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根据投标人所投产品技术性能以及对招标文件中技术要求的逐项响应情况由评委进行评分，投标人所投产品完全满足技术参数要求的得40分。其中：</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“★”指标</w:t>
            </w:r>
            <w:r>
              <w:rPr>
                <w:rFonts w:hint="eastAsia" w:asciiTheme="minorEastAsia" w:hAnsiTheme="minorEastAsia" w:eastAsiaTheme="minorEastAsia" w:cstheme="minorEastAsia"/>
              </w:rPr>
              <w:t xml:space="preserve">为实质性响应部分，不得出现负偏离，否则无效投标；</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标“▲”的为重要技术参数，每有一项未响应或负偏离的扣1分，扣完为止；其他技术参数，每有一项未响应或不满足的扣0.5分，扣完为止；</w:t>
            </w:r>
            <w:r/>
          </w:p>
          <w:p>
            <w:pPr>
              <w:pStyle w:val="792"/>
              <w:ind w:firstLine="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92"/>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注：1、投标人针对本项评分内容在投标文件《技术响应偏离表》中，需详尽真实的逐条列出响应及偏离情况，采购需求中要求提供证明材料的，以证明材料为准；若《技术响应偏离表》填写情况与提供证明材料的内容不一致，以证明材料为准；未按要求提供证明材料</w:t>
            </w:r>
            <w:r>
              <w:rPr>
                <w:rFonts w:hint="eastAsia" w:asciiTheme="minorEastAsia" w:hAnsiTheme="minorEastAsia" w:eastAsiaTheme="minorEastAsia" w:cstheme="minorEastAsia"/>
              </w:rPr>
              <w:t xml:space="preserve">或提供的证明材料与要求不符合的</w:t>
            </w:r>
            <w:r>
              <w:rPr>
                <w:rFonts w:hint="eastAsia" w:asciiTheme="minorEastAsia" w:hAnsiTheme="minorEastAsia" w:eastAsiaTheme="minorEastAsia" w:cstheme="minorEastAsia"/>
              </w:rPr>
              <w:t xml:space="preserve">对应项按负偏离进行处理。</w:t>
            </w:r>
            <w:r/>
          </w:p>
          <w:p>
            <w:pPr>
              <w:pStyle w:val="795"/>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注：重要参数和实质性参数均提供证明材料：</w:t>
            </w:r>
            <w:r/>
          </w:p>
          <w:p>
            <w:pPr>
              <w:pStyle w:val="795"/>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采购需求标“★</w:t>
            </w:r>
            <w:r>
              <w:rPr>
                <w:rFonts w:hint="eastAsia" w:asciiTheme="minorEastAsia" w:hAnsiTheme="minorEastAsia" w:eastAsiaTheme="minorEastAsia" w:cstheme="minorEastAsia"/>
              </w:rPr>
              <w:t xml:space="preserve">”条款为实质性条款，如有负偏离，视为未实质性响应，做无效投标处理。技术参数要求中的“★”条款须有支持材料：包括但不限于检测报告、技术手册、产品彩页等，“▲”号的重要技术条款（参数）投标人需提供包含相关指标项的证明材料（技术要求中明确不需要证明材料的除外），证明材料已经提出明确要求的，以技术要求中证明材料的具体要求为准提供；技术要求对证明材料未作明确要求的，可以使用产品白皮书或第三方机构检验报告或厂家提供的参数证明文件或其他相关证明材料；未按要求提供有效证明材料或证明材料中内容与所填报指标不一致的视为负偏离。</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jc w:val="center"/>
          <w:trHeight w:val="1182"/>
        </w:trPr>
        <w:tc>
          <w:tcPr>
            <w:tcW w:w="960" w:type="dxa"/>
            <w:vAlign w:val="center"/>
            <w:vMerge w:val="continue"/>
            <w:textDirection w:val="lrTb"/>
            <w:noWrap w:val="false"/>
          </w:tcPr>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000" w:type="dxa"/>
            <w:vAlign w:val="center"/>
            <w:textDirection w:val="lrTb"/>
            <w:noWrap w:val="false"/>
          </w:tcPr>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功能演示</w:t>
            </w:r>
            <w:r/>
          </w:p>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（10分）</w:t>
            </w:r>
            <w:r/>
          </w:p>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7500" w:type="dxa"/>
            <w:textDirection w:val="lrTb"/>
            <w:noWrap w:val="false"/>
          </w:tcPr>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供应商提供本项目清单1、高速纹影系统，2、热压缩模拟试验机相关产品技术功能操作演示视频，须包含以下产品功能：</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清单1、高速纹影系统：</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1.5．相机自带机械快门，可以实现自动暗场矫正功能，无需现场手动盖镜头盖做暗场矫正），实现远程关闭机械快门来实现相机的暗场矫正，适配更多应用场景；（提供现场演示：演示内容含：自动暗场矫正功能及远程关闭机械快门来实现相机的暗场矫正功能）</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（2）1.8．机身外部自带录制按钮，可以实现一键快速录制；（提供现场演示：演示内容含：前述功能：一键快速录制）</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1.9．机身尾部带有菜单选择实体旋钮、回放实体按钮，可以相机脱机使用，脱机可以通过playback，trigger和menu旋钮，控制调节相机基本参数；（提供现场演示，演示内容含：前述功能：①菜单选择实体旋钮②回放实体按钮③相机脱机使用④脱机可以通过playback，trigger⑤menu旋钮，控制调节相机基本参数）</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1.10.镜头卡口标配为EF口，支持电动镜头，可实现采集软件进行电动对焦、电动调节光圈；（提供现场演示：演示内容含：前述功能：①镜头卡口标配为EF口②电动镜头③实现采集软件进行电动对焦④电动调节光圈）</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清单2、热压缩模拟试验机：</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(5)17.主机具备高速运行防碰撞功能，投标时需提供高速防碰撞视频视频。</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评委根据设备技术功能是否具备：可实现、完整性、稳定性、及功能实现对应各环节衔接有序流畅性等性能进行打分。</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注：</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前述（1）（2）（3）（4）（5）项功能：每项内容全面具备可实现、完整性、稳定性、及功能实现对应各环节衔接有序流畅性，且视频画面清晰、解读语言专业、各流程环节流畅有序的，得2分/项。内容不全或功能视频不清晰不流畅，解读功能语言模糊，无法完整体现上述功能要求的，该项不得分。</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涉及提供视频演示的，演示内容需包含对应功能的各环节模块、流程节点、实现的具体功能形象及场景，且演示中须语音与视频对应模块、场景、环节、流程匹配，演示流程须表达清晰，内容及环节功能要求与指标参数逐项逐个环节对应吻合，涉及数据的，需在演示中提供数据，单项指标参数演示视频最长不超3分钟，否则不得分。</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3、演示内容需存储在u盘里，u盘需密封（标明投标单位名称），开标现场于投标文件一同递交，开标截止时间后递交的不予接收，不予计分。</w:t>
            </w:r>
            <w:r/>
          </w:p>
        </w:tc>
      </w:tr>
      <w:tr>
        <w:trPr>
          <w:jc w:val="center"/>
          <w:trHeight w:val="621"/>
        </w:trPr>
        <w:tc>
          <w:tcPr>
            <w:tcW w:w="960" w:type="dxa"/>
            <w:vAlign w:val="center"/>
            <w:textDirection w:val="lrTb"/>
            <w:noWrap w:val="false"/>
          </w:tcPr>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W w:w="1000" w:type="dxa"/>
            <w:vAlign w:val="center"/>
            <w:textDirection w:val="lrTb"/>
            <w:noWrap w:val="false"/>
          </w:tcPr>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项目整体实施方案</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（6分）</w:t>
            </w:r>
            <w:r/>
          </w:p>
        </w:tc>
        <w:tc>
          <w:tcPr>
            <w:tcW w:w="7500" w:type="dxa"/>
            <w:textDirection w:val="lrTb"/>
            <w:noWrap w:val="false"/>
          </w:tcPr>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投标人提供项目整体实施方案，含实施内容、计划进度、供货、物流、安装等各节点事务安排、人员专业配置、配套技术服务及项目质量保障措施等。评审委员会结合投标人方案内容进行打分。</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中：方案内容全面、具体，思路清晰，要点明确细致，重难点分析及及解决措施符合项目实际，组织安排合理有序，计划周密，各节点时间环节衔接紧密、人员专业对口、措施详细、技术先进，优于采购需求的，得6分；方案有具体内容，有明确思路及要点，组织安排有序衔接，人员专业对口、有具体措施，得4分；方案内容不全面不具体，思路及要点未能体现衔接流程，措施简略不具体，人员专业不对口，有欠缺，无法实现采购需求，承诺经后期改进优化调整能够满足采购需求的，得2分，没有内容不得分。</w:t>
            </w:r>
            <w:r/>
          </w:p>
        </w:tc>
      </w:tr>
      <w:tr>
        <w:trPr>
          <w:jc w:val="center"/>
          <w:trHeight w:val="621"/>
        </w:trPr>
        <w:tc>
          <w:tcPr>
            <w:tcW w:w="960" w:type="dxa"/>
            <w:vAlign w:val="center"/>
            <w:textDirection w:val="lrTb"/>
            <w:noWrap w:val="false"/>
          </w:tcPr>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W w:w="1000" w:type="dxa"/>
            <w:vAlign w:val="center"/>
            <w:textDirection w:val="lrTb"/>
            <w:noWrap w:val="false"/>
          </w:tcPr>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质量保证方案及措施</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（6分）</w:t>
            </w:r>
            <w:r/>
          </w:p>
        </w:tc>
        <w:tc>
          <w:tcPr>
            <w:tcW w:w="7500" w:type="dxa"/>
            <w:textDirection w:val="lrTb"/>
            <w:noWrap w:val="false"/>
          </w:tcPr>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提供项目质量保证措施方案，含质量管理目标、项目质量保障管理计划、思路，安全管理、质量控制措施、检验检测标准、测试流程、测试技术质量保障，各种紧急、突发情况应急处置方案与措施、问题解决机制及管理流程，项目验收流程及质量保障措施等。评审委员会结合投标人方案内容进行打分。</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其中：方案内容全面具体，思路清晰</w:t>
            </w:r>
            <w:r>
              <w:rPr>
                <w:rFonts w:hint="eastAsia" w:asciiTheme="minorEastAsia" w:hAnsiTheme="minorEastAsia" w:eastAsiaTheme="minorEastAsia" w:cstheme="minorEastAsia"/>
              </w:rPr>
              <w:t xml:space="preserve">，质量管理及控制保障措施针对性强，重点突出，要点明确，措施详细，检测调试要求及标准符合国家行业要求，应急处置及验收机制健全、流程紧密顺畅，质量措施操作性强，符合项目实际，优于采购需求，得6分；方案有具体内容，思路明确，有质量管理及控制保障措施，有要点，检测调试要求及标准符合国家行业要求，有应急处置及验收机制及质量措施，可以实现采购需求，得4分；方案内容不全面不具体，要点不明确，应急处置及验收机制不详细，质量措施笼统，有欠缺，无法实现采购需求，承诺经后期改进优化调整能够满足采购需求的，得2分，没有内容不得分。</w:t>
            </w:r>
            <w:r/>
          </w:p>
        </w:tc>
      </w:tr>
      <w:tr>
        <w:trPr>
          <w:jc w:val="center"/>
          <w:trHeight w:val="621"/>
        </w:trPr>
        <w:tc>
          <w:tcPr>
            <w:tcW w:w="960" w:type="dxa"/>
            <w:vAlign w:val="center"/>
            <w:textDirection w:val="lrTb"/>
            <w:noWrap w:val="false"/>
          </w:tcPr>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W w:w="1000" w:type="dxa"/>
            <w:vAlign w:val="center"/>
            <w:textDirection w:val="lrTb"/>
            <w:noWrap w:val="false"/>
          </w:tcPr>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售后服务方案（6分）</w:t>
            </w:r>
            <w:r/>
          </w:p>
        </w:tc>
        <w:tc>
          <w:tcPr>
            <w:tcW w:w="7500" w:type="dxa"/>
            <w:textDirection w:val="lrTb"/>
            <w:noWrap w:val="false"/>
          </w:tcPr>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提供项目售后服务及培训方案，含售后服务管理体系，提供包含服务范围、响应时间、响应措施，以及质保期满后主要产品、配件优惠等内容与措施，及技术培训方案（包括产品安装、检验、调试、使用和维护、一般故障排除、重大故障应急等方面的培训等内容）与措施，覆盖项目整体服务及售后质保维保期。</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中：方案内容全面、详细，结构严谨，思路清晰，服务措施具体、合理，针对本项目细化制定，要点明确，描述详细且具有针对性，优于采购需求的，得6分，方案有具体内容，针对本项目细化制定，有服务思路、有具体措施，可以实现采购需求的，得4分，方案内容笼统、无法体现针对本项目细化制定，内容欠缺、无法实现采购需求，承诺经后期改进优化调整能够满足采购需求的，得2分，没有内容不得分。</w:t>
            </w:r>
            <w:r/>
          </w:p>
        </w:tc>
      </w:tr>
      <w:tr>
        <w:trPr>
          <w:jc w:val="center"/>
          <w:trHeight w:val="621"/>
        </w:trPr>
        <w:tc>
          <w:tcPr>
            <w:tcW w:w="960" w:type="dxa"/>
            <w:vAlign w:val="center"/>
            <w:textDirection w:val="lrTb"/>
            <w:noWrap w:val="false"/>
          </w:tcPr>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W w:w="1000" w:type="dxa"/>
            <w:vAlign w:val="center"/>
            <w:textDirection w:val="lrTb"/>
            <w:noWrap w:val="false"/>
          </w:tcPr>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业绩</w:t>
            </w:r>
            <w:r/>
          </w:p>
          <w:p>
            <w:pPr>
              <w:jc w:val="center"/>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（2分）</w:t>
            </w:r>
            <w:r/>
          </w:p>
        </w:tc>
        <w:tc>
          <w:tcPr>
            <w:tcW w:w="7500" w:type="dxa"/>
            <w:textDirection w:val="lrTb"/>
            <w:noWrap w:val="false"/>
          </w:tcPr>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1.自2024年 1 月 1 日（以合同签订时间为准）以来供应商承担过类似项目产品业绩的（业绩内容包含本项目核心产品：液质联用仪，光学轮廓仪），每提供一个得0.5分，最高得2分。</w:t>
            </w:r>
            <w:r/>
          </w:p>
          <w:p>
            <w:pPr>
              <w:jc w:val="left"/>
              <w:spacing w:line="27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注：响应文件中须同时提供合同、中标通知书、验收合格证明，提供不全或未提供不得分。</w:t>
            </w:r>
            <w:r/>
          </w:p>
        </w:tc>
      </w:tr>
    </w:tbl>
    <w:p>
      <w:pPr>
        <w:pStyle w:val="800"/>
        <w:jc w:val="center"/>
        <w:spacing w:before="120" w:after="12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44"/>
        </w:rPr>
        <w:br w:type="page" w:clear="all"/>
      </w:r>
      <w:r>
        <w:rPr>
          <w:rFonts w:hint="eastAsia" w:asciiTheme="minorEastAsia" w:hAnsiTheme="minorEastAsia" w:eastAsiaTheme="minorEastAsia" w:cstheme="minorEastAsia"/>
          <w:sz w:val="44"/>
        </w:rPr>
        <w:t xml:space="preserve">第</w:t>
      </w:r>
      <w:bookmarkEnd w:id="126"/>
      <w:r>
        <w:rPr>
          <w:rFonts w:hint="eastAsia" w:asciiTheme="minorEastAsia" w:hAnsiTheme="minorEastAsia" w:eastAsiaTheme="minorEastAsia" w:cstheme="minorEastAsia"/>
          <w:sz w:val="44"/>
        </w:rPr>
        <w:t xml:space="preserve">四章 采购需求</w:t>
      </w:r>
      <w:bookmarkEnd w:id="127"/>
      <w:r/>
      <w:bookmarkEnd w:id="128"/>
      <w:r/>
      <w:bookmarkEnd w:id="129"/>
      <w:r/>
      <w:r/>
    </w:p>
    <w:p>
      <w:pPr>
        <w:ind w:firstLine="480"/>
        <w:spacing w:line="480" w:lineRule="exact"/>
        <w:rPr>
          <w:rFonts w:hint="eastAsia" w:asciiTheme="minorEastAsia" w:hAnsiTheme="minorEastAsia" w:eastAsiaTheme="minorEastAsia" w:cstheme="minorEastAsia"/>
          <w:sz w:val="24"/>
          <w:szCs w:val="24"/>
        </w:rPr>
      </w:pPr>
      <w:r/>
      <w:bookmarkStart w:id="132" w:name="_Toc49090575"/>
      <w:r/>
      <w:bookmarkStart w:id="133" w:name="_Toc26554093"/>
      <w:r>
        <w:rPr>
          <w:rFonts w:hint="eastAsia" w:asciiTheme="minorEastAsia" w:hAnsiTheme="minorEastAsia" w:eastAsiaTheme="minorEastAsia" w:cstheme="minorEastAsia"/>
          <w:sz w:val="24"/>
          <w:szCs w:val="24"/>
        </w:rPr>
        <w:t xml:space="preserve">一、采购标的清单</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1、本项目采购标的对应的中小企业划分标准所属行业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791"/>
        <w:tblW w:w="8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1"/>
        <w:gridCol w:w="945"/>
        <w:gridCol w:w="2939"/>
        <w:gridCol w:w="2933"/>
      </w:tblGrid>
      <w:tr>
        <w:trPr>
          <w:cantSplit/>
          <w:jc w:val="center"/>
        </w:trPr>
        <w:tc>
          <w:tcPr>
            <w:tcW w:w="132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采购包</w:t>
            </w:r>
            <w:r/>
          </w:p>
        </w:tc>
        <w:tc>
          <w:tcPr>
            <w:tcW w:w="945"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2939"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采购标的</w:t>
            </w:r>
            <w:r/>
          </w:p>
        </w:tc>
        <w:tc>
          <w:tcPr>
            <w:tcW w:w="2933" w:type="dxa"/>
            <w:vAlign w:val="center"/>
            <w:textDirection w:val="lrTb"/>
            <w:noWrap w:val="false"/>
          </w:tcPr>
          <w:p>
            <w:pPr>
              <w:ind w:firstLine="480"/>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对应中小企业划分标准所属行业</w:t>
            </w:r>
            <w:r/>
          </w:p>
        </w:tc>
      </w:tr>
      <w:tr>
        <w:trPr>
          <w:cantSplit/>
          <w:jc w:val="center"/>
          <w:trHeight w:val="291"/>
        </w:trPr>
        <w:tc>
          <w:tcPr>
            <w:tcW w:w="1321" w:type="dxa"/>
            <w:textDirection w:val="lrTb"/>
            <w:noWrap w:val="false"/>
          </w:tcPr>
          <w:p>
            <w:pPr>
              <w:jc w:val="left"/>
              <w:spacing w:line="480" w:lineRule="exact"/>
              <w:tabs>
                <w:tab w:val="left" w:pos="202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945" w:type="dxa"/>
            <w:textDirection w:val="lrTb"/>
            <w:noWrap w:val="false"/>
          </w:tcPr>
          <w:p>
            <w:pPr>
              <w:jc w:val="left"/>
              <w:spacing w:line="480" w:lineRule="exact"/>
              <w:tabs>
                <w:tab w:val="left" w:pos="202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2939" w:type="dxa"/>
            <w:textDirection w:val="lrTb"/>
            <w:noWrap w:val="false"/>
          </w:tcPr>
          <w:p>
            <w:pPr>
              <w:jc w:val="left"/>
              <w:spacing w:line="480" w:lineRule="exact"/>
              <w:tabs>
                <w:tab w:val="left" w:pos="202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宿迁学院测量检测仪器设备采购项目</w:t>
            </w:r>
            <w:r/>
          </w:p>
        </w:tc>
        <w:tc>
          <w:tcPr>
            <w:tcW w:w="2933" w:type="dxa"/>
            <w:textDirection w:val="lrTb"/>
            <w:noWrap w:val="false"/>
          </w:tcPr>
          <w:p>
            <w:pPr>
              <w:ind w:firstLine="480"/>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（工业）制造业</w:t>
            </w:r>
            <w:r/>
          </w:p>
        </w:tc>
      </w:tr>
    </w:tbl>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二、技术要求</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技术要求是指对采购标的功能和质量要求，包括性能、材料、结构、外观、安全，或者功能服务内容和标准等。其中</w:t>
      </w:r>
      <w:r>
        <w:rPr>
          <w:rFonts w:hint="eastAsia" w:asciiTheme="minorEastAsia" w:hAnsiTheme="minorEastAsia" w:eastAsiaTheme="minorEastAsia" w:cstheme="minorEastAsia"/>
          <w:sz w:val="24"/>
        </w:rPr>
        <w:t xml:space="preserve">★项条款为实质性要求。</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本项目核心产品为：液质联用仪、</w:t>
      </w:r>
      <w:r>
        <w:rPr>
          <w:rFonts w:hint="eastAsia" w:asciiTheme="minorEastAsia" w:hAnsiTheme="minorEastAsia" w:eastAsiaTheme="minorEastAsia" w:cstheme="minorEastAsia"/>
          <w:sz w:val="24"/>
          <w:szCs w:val="24"/>
        </w:rPr>
        <w:t xml:space="preserve">光学轮廓仪</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（一）项目清单及技术参数要求</w:t>
      </w:r>
      <w:r/>
    </w:p>
    <w:tbl>
      <w:tblPr>
        <w:tblStyle w:val="791"/>
        <w:tblW w:w="9128" w:type="dxa"/>
        <w:tblInd w:w="-97" w:type="dxa"/>
        <w:tblLayout w:type="autofit"/>
        <w:tblCellMar>
          <w:left w:w="108" w:type="dxa"/>
          <w:top w:w="0" w:type="dxa"/>
          <w:right w:w="108" w:type="dxa"/>
          <w:bottom w:w="0" w:type="dxa"/>
        </w:tblCellMar>
        <w:tblLook w:val="04A0" w:firstRow="1" w:lastRow="0" w:firstColumn="1" w:lastColumn="0" w:noHBand="0" w:noVBand="1"/>
      </w:tblPr>
      <w:tblGrid>
        <w:gridCol w:w="864"/>
        <w:gridCol w:w="6004"/>
        <w:gridCol w:w="850"/>
        <w:gridCol w:w="709"/>
        <w:gridCol w:w="701"/>
      </w:tblGrid>
      <w:tr>
        <w:trPr>
          <w:trHeight w:val="170"/>
        </w:trPr>
        <w:tc>
          <w:tcPr>
            <w:gridSpan w:val="5"/>
            <w:tcBorders>
              <w:top w:val="single" w:color="000000" w:sz="4" w:space="0"/>
              <w:left w:val="single" w:color="000000" w:sz="4" w:space="0"/>
              <w:bottom w:val="single" w:color="000000" w:sz="4" w:space="0"/>
              <w:right w:val="single" w:color="000000" w:sz="4" w:space="0"/>
            </w:tcBorders>
            <w:tcW w:w="9128"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sz w:val="24"/>
                <w:szCs w:val="24"/>
              </w:rPr>
              <w:t xml:space="preserve">宿迁学院测量检测仪器设备采购项目清单</w:t>
            </w:r>
            <w:r/>
          </w:p>
        </w:tc>
      </w:tr>
      <w:tr>
        <w:trPr>
          <w:trHeight w:val="170"/>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6004" w:type="dxa"/>
            <w:vAlign w:val="center"/>
            <w:textDirection w:val="lrTb"/>
            <w:noWrap w:val="false"/>
          </w:tcPr>
          <w:p>
            <w:pPr>
              <w:ind w:left="409"/>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采购产品名称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备注</w:t>
            </w:r>
            <w:r/>
          </w:p>
        </w:tc>
      </w:tr>
      <w:tr>
        <w:trPr>
          <w:trHeight w:val="25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004"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高速纹影系统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r>
      <w:tr>
        <w:trPr>
          <w:trHeight w:val="25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004"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光学轮廓仪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r>
      <w:tr>
        <w:trPr>
          <w:trHeight w:val="25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004"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动静态多轴力学测试设备</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r>
      <w:tr>
        <w:trPr>
          <w:trHeight w:val="25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004"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大视场光学跟踪测量仪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r>
      <w:tr>
        <w:trPr>
          <w:trHeight w:val="25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004"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液质联用仪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r>
      <w:tr>
        <w:trPr>
          <w:trHeight w:val="25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004"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锥形量热仪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004"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热压缩模拟试验机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r>
    </w:tbl>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center"/>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清单</w:t>
      </w:r>
      <w:r>
        <w:rPr>
          <w:rFonts w:hint="eastAsia" w:asciiTheme="minorEastAsia" w:hAnsiTheme="minorEastAsia" w:eastAsiaTheme="minorEastAsia" w:cstheme="minorEastAsia"/>
          <w:sz w:val="28"/>
          <w:szCs w:val="28"/>
        </w:rPr>
        <w:t xml:space="preserve">1、高速纹影系统技术参数要求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一、系统主要指标：</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1.1．满幅分辨率1280*1024≥15000FPS，最高帧率≥1000000FPS；（提供设备制造商的原厂产品技术白皮书或官网截图或产品彩页或第三方检测报告证明材料）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1.2．最小曝光时间≤100ns，最小PIV跨帧时间≤300ns；（提供设备制造商的原厂产品技术白皮书或官网截图或产品彩页或第三方检测报告证明材料）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1.3．一体式机身自带高速RAM存储，内存≥90GB；相机内存支持自定义分区，提供≥60个分区；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1.4．设备机身自带外置独立电源开关，机身尾部包含2个一体式电源接口，可以防止其中一路欠压、断电等影响设备稳定运行；</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1.5．相机自带机械快门，可以实现自动暗场矫正功能，无需现场手动盖镜头盖做暗场矫正，实现远程关闭机械快门来实现相机的暗场矫正，适配更多应用场景；</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1.6．机身具备≥2路SDI接口，支持选接监视器时实时画面显示；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1.7．机身数据传输接口为万兆网，向下兼容2.5G网络、千兆网；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1.8．机身外部自带录制按钮，可以实现一键快速录制；</w:t>
      </w:r>
      <w:bookmarkStart w:id="134" w:name="_Hlk221189720"/>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w:t>
      </w:r>
      <w:bookmarkEnd w:id="134"/>
      <w:r>
        <w:rPr>
          <w:rFonts w:hint="eastAsia" w:asciiTheme="minorEastAsia" w:hAnsiTheme="minorEastAsia" w:eastAsiaTheme="minorEastAsia" w:cstheme="minorEastAsia"/>
          <w:sz w:val="24"/>
          <w:szCs w:val="24"/>
        </w:rPr>
        <w:t xml:space="preserve">．机身尾部带有菜单选择实体旋钮、回放实体按钮，可以相机脱机使用，脱机可以通过playback，trigger和menu旋钮，控制调节相机基本参数；</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1.10.镜头卡口标配为EF口，支持电动镜头，可实现采集软件进行电动对焦、电动调节光圈；1.11．有效通光口径：200mm，焦距：2000mm；光轴升降范围：±125mm（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1.12．支持录像、触发、抓拍模式；显示支持实时、回放、本地模式；且抓拍后支持快捷提示悬浮窗，点击打开存储文件夹，便于快速找到文件；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▲1.13．支持低照度模式，且可以选择目标灰度值，方便无补光条件下进行设备调试；（提供设备制造商的原厂产品技术白皮书或官网截图或产品彩页或第三方检测报告证明材料）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1.14．支持LUT调节，支持HDR1-5级调节；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1.15．回放界面支持跳过帧数设置、播放范围设置、播放帧率设置、定位事件帧、定位关键帧、设置关键帧、回放抓拍等功能，支持鼠标指示出显示缩略图；</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 导出界面支持导出范围设置、导出格式选（RHVD/MP4/AVI/BMP/JPG/PNG/TIFF）、播放速率设置、抽帧导出、添加水印等设置；（提供设备制造商官方软件功能截图证明）</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1.17. 光源：采用LED绿光光源，发光尺寸不大于3mm，功率80W，亮度连续可调，电源采用可调稳压电源，可通过串口在PC上进行光源亮度的调节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1.18. 圆形狭缝：φ1-12mm连续可调圆形狭缝；一字狭缝：0-15mm连续可调，可360°旋转；</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1.19. 平面反射镜：镜片直径50mm，镀铝反射镜膜，保护膜，具备俯仰、偏转调节，±3°调节范围，水平360°可调；球面镜：焦距2000mm，直径210mm，厚度20mm，镀铝反射镜膜，保护膜；</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1.20. 处理器基础频率2.4 GHz，全核加速频率 3.55 GHz，三级缓存 384 MB，最大内存容量支持 3 TB，显存16 GB，显存位宽 256 bit，显存核心频率2617 MHz</w:t>
      </w:r>
      <w:r/>
    </w:p>
    <w:p>
      <w:pPr>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8"/>
          <w:szCs w:val="28"/>
        </w:rPr>
        <w:t xml:space="preserve">清单</w:t>
      </w:r>
      <w:r>
        <w:rPr>
          <w:rFonts w:hint="eastAsia" w:asciiTheme="minorEastAsia" w:hAnsiTheme="minorEastAsia" w:eastAsiaTheme="minorEastAsia" w:cstheme="minorEastAsia"/>
          <w:sz w:val="28"/>
          <w:szCs w:val="28"/>
        </w:rPr>
        <w:t xml:space="preserve">2、光学轮廓仪技术参数要求</w:t>
      </w:r>
      <w:r>
        <w:rPr>
          <w:rFonts w:hint="eastAsia" w:asciiTheme="minorEastAsia" w:hAnsiTheme="minorEastAsia" w:eastAsiaTheme="minorEastAsia" w:cstheme="minorEastAsia"/>
          <w:sz w:val="24"/>
          <w:szCs w:val="24"/>
        </w:rPr>
        <w:t xml:space="preserve">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一、基础配置：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1.1测量原理：基于尼普科夫转盘多孔共聚焦原理；（提供设备制造商的原厂产品技术白皮书或官网截图或产品彩页或第三方检测报告证明材料）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1.2光源：白光LED；</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1.3影像系统：≥1024×1024；</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1.4物镜转塔：不低于5孔电动技术功能档次；（提供设备制造商的原厂产品技术白皮书或官网截图或产品彩页或第三方检测报告证明材料）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1.5物镜：5×、10×、20×、50×（APO）；</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1.6XY位移台：行程≥100×100mm，电动控制，配置360°手动旋转盘；</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1.7Z轴行程：100mm，电动控制；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1.8校准模组：5μm台阶高标准块、超光滑标准块；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二、技术规格：</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▲2.1Z向扫描范围≥10mm；（提供设备制造商的原厂产品技术白皮书或官网截图或产品彩页或第三方检测报告证明材料）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2.2系统Z向扫描分辨率≤1nm；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2.3系统水平分辨率≤0.2μm；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2.4台阶高度测量精度≤0.5%；</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2.5台阶高度测量重复性≤12nm；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2.6宽度测量精度≤±2%；</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2.7宽度测量重复性≤40nm；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三、产品功能：</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3D测量功能：设备具备表征微观3D形貌的轮廓尺寸及粗糙度测量功能；</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3.2影像测量功能：支持在实时视窗上直接进行平面轮廓尺寸的影像测量，点、线间的长度</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3.3角度、直径等参数的测量，支持模板快速测量；</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3.4单区域自动测量：单片平面样品或批量样品切换测量点位时，可一键实现条纹自动搜索、扫描范围自动设置、自动测量与自动分析等功能；</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3.5多区域自动测量：支持Mark点定位识别，支持以圆形或方形阵列形式设置的数百多个测量点位，支持每个测量区域的分析模板单独设置或批量设置，支持每个测量区域的扫描范围自动设置；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3.6自动拼接测量；支持方形、圆形、环形和螺旋形式的自动拼接测量功能，配合影像导航功能，可自定义测量区域，单独设置每个小区域是否参与拼接测量，每个测量区域均为自动设置扫描范围、自动亮度调节，支持不低于1000张图像的无缝拼接测量；</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3.7编程测量功能：支持测量和分析同界面操作的软件模块，可预先配置数据处理和分析步骤，结合自动测量功能，实现一键测量；</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3.8数据处理功能：设备具备调整位置、纠正、滤波、提取四大模块的数据处理功能；</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3.9数据分析功能：提供基于ISO4287/ISO25178/GBT3505的粗糙度分析、几何轮廓分析（包含台阶高度的线轮廓自动识别与分析和面轮廓自动识别与分析）、结构分析（不同区域体积数值随基准线变化而自动变化）、频率分析（包含功率谱密度PSD和PSD2）、功能分析等五大分析功能，（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3.10智能轮廓分析功能：具备局部/框选区域/全局范围自动定位最高点/最低点，具备自动生成垂直线、中线、平行线功能，具备轮廓曲线中自动高度分析、自动宽度分析、自动截面积分析等功能，具备相邻波峰、相邻峰谷、相邻波谷之间的自动宽度分析功能（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便捷操作功能：设备配备操纵杆，支持操纵杆进行所有位置轴的操作及速度调节、光源亮度调节、急停等；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数据报表导出：支持word、excel、pdf格式的数据报表导出功能，支持图像、轮廓曲线、数值结果的导出；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3.11软件版本：测量和分析部分均为自主开发，可提供免费的全分析功能版本离线分析软件，支持终生免费升级；（提供设备制造商的原厂产品技术白皮书或官网截图或产品彩页或第三方检测报告证明材料）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环境干扰检测功能：具备0.1nm分辨率的环境干扰振动幅值检测功能，定量检测出仪器受到外界环境干扰幅值，为设备调试和故障排查提供定量依据；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光源安全功能：光源设置无人值守下的自主休眠功能，当检测到设置的时间内未进行操作时光源会自主进入休眠状态，防止光源高亮过热损坏，有效延长光源使用寿命；</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3.12镜头安全功能：软件ZSTOP防撞保护，设置后即以当前位置为位移下限位，不再下移且下移逼近该位置时伴有报警声；设备配备电子传感器，并在镜头处进行了安全防护结构设计，确保当镜头碰撞到样品后触发急停状态，碰撞为弹性碰撞，起到保护镜头和扫描轴的作用，消除人为操作的安全风险。（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center"/>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清单</w:t>
      </w:r>
      <w:r>
        <w:rPr>
          <w:rFonts w:hint="eastAsia" w:asciiTheme="minorEastAsia" w:hAnsiTheme="minorEastAsia" w:eastAsiaTheme="minorEastAsia" w:cstheme="minorEastAsia"/>
          <w:sz w:val="28"/>
          <w:szCs w:val="28"/>
        </w:rPr>
        <w:t xml:space="preserve">3、动静态多轴力学测试设备技术参数要求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包含多轴力加载与测量模块、动态/静态控制器、力-位移采集软件、夹具套装、数据处理终端。具体参数如下：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1.整机精度等级：0.5 级</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2.最大静态试验力：±100 kN</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3.最大动态试验力：±100 kN  ±50kN  ±20kN（配备传感器2*2t，2*5t，2*10t共计6个高标准传感器）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4.力测量范围： 2%～100%</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5.位移测量精度： ≤±0.5%</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6.变形测量精度：≤±0.5%</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7.同轴度： ≤5%</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8.静压支撑作动器有效行程：±75mm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9.试验频率：0.01-70Hz</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10.试验波形：正弦、三角波、斜波、方波、梯形波等。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11.控制方式：位移、负荷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12.油源流量： 63L/min</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13.圆试样夹持范围: Ф5-25mm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14.板试样夹持范围： 0-17mm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15.立柱间距：800mm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16.上下夹头（移动）距离：50-1000mm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17.外形尺寸（W D H ）: 1050、610、2500mm（高度随试验空间调整，误差±2%）</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18.电源: 380V±10%，50Hz, 30kW</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19.具有TEDS自识别功能；拥有分流校准功能。</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20.控制器可扩展接口不少于12个。</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21.可与实验室现有试验机进行通讯，其控制系统能够与实验室现有试验机的控制系统组网，试验数据可以实现共享和分析。</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22.BNC接口:载荷、变形同步输出配套的的DIC系统中，并配合调试。</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23.设备具有数字孪生平台，数字孪生平台可以实现数字大屏显示、远程控制、监控以及设备相关数据的存储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24.热环境箱：-30~300℃，所有夹具均满足热疲劳</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center"/>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清单</w:t>
      </w:r>
      <w:r>
        <w:rPr>
          <w:rFonts w:hint="eastAsia" w:asciiTheme="minorEastAsia" w:hAnsiTheme="minorEastAsia" w:eastAsiaTheme="minorEastAsia" w:cstheme="minorEastAsia"/>
          <w:sz w:val="28"/>
          <w:szCs w:val="28"/>
        </w:rPr>
        <w:t xml:space="preserve">4、大视场光学跟踪测量仪技术参数要求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1、自动化跟踪式扫描系统技术要求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(1)结构形式：应包含双CCD光学跟踪器（以下简称跟踪器）、手持激光球型扫描仪（以下简称扫描仪）组成，整套系统连接简单，安全可靠；</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(2)跟踪器和扫描仪应具有无线传输功能，为保证设备使用安全，扫描仪使用过程中不能有任何线缆连接；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(3)扫描最高精度：不低于0.025mm；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(4)单站体积精度：110m³范围内不低于0.05mm，35m³范围内不低于0.07mm；90m³范围内不低于0.13mm；135m³范围内不低于0.16mm；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(5)扫描速率需不低于6,000,000 次测量/秒；</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(6)分辨率：最高分辨率需达到0.02 mm。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(7)扫描景深：需不低于 800mm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单台设备至少支持以下工作模式完全满足各种使用场景使用，可以实时切换，且各种模式扫描数据在同一坐标系三维数据中，无需后期拼接。（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a.高速扫描：不低于80束三交叉蓝色激光线的高速扫描模式，从各个角度高效扫描，且完全不受扫描方向限制；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b.精细扫描：不低于15束平行蓝色激光超精细扫描模式，能对物体表面的细小特征、孔位孔径、止口边缘进行精准采集；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c.深孔扫描：至少有1束单独蓝色激光深孔扫描模式，能对沟槽、型腔、深孔展开扫描，避免扫描数据出现死角和盲区。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(9)单幅最大扫描面幅800 mm × 700 mm。配套自动化软件，该软件应具有驱动扫描仪、跟踪器、机器人、转台、PLC、检测软件的系统控制能力；</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(10)配套的自动化软件应具有路径规划能力；自动生成的测量路径必须符合实际工业测量可执行性要求，而非仅基于几何理论最优路径。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(11)配套的自动化软件应具有碰撞风险分析，对潜在碰撞、干涉或受限姿态进行风险提示与预警。</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(12)配套的自动化软件应具有支持自动化测量流程的逻辑编排，包括测量、运动、判断及异常处理。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(13)配套的自动化软件应具有软件应支持 Modbus TCP、TCP/IP 等常用工业通讯协议，实现与外部系统的数据交互。</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2、手持数据采集设备参数：</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(1)扫描仪支持无线传输功能，保证设备使用安全，使用中不设线缆连接。（提供设备制造商的原厂产品技术白皮书或官网截图或产品彩页或第三方检测报告证明材料）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(2)设备精度长期稳定可靠，坚固耐用；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(3)扫描最高精度：≤0.02mm；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(4)最高体积精度：0.015 mm + 0.030 mm/m；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(5)扫描速率≥8,200,000次测量/秒；</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(6)分辨率：最高分辨率不低于0.01 mm；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(7)扫描景深：不低于1350mm；（提供设备制造商的原厂产品技术白皮书或官网截图或产品彩页或第三方检测报告证明材料）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(8)激光器数量：≥8；</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单台设备至少同时支持以下工作模式完全满足各种使用场景使用，通过扫描仪实时切换，各种模式扫描数据在同一坐标系三维数据中，无需后期拼接。（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a.高速扫描模式：≥108束四交叉蓝色激光线的高速扫描模式，实现快速从各个角度高效扫描，且完全不受扫描方向限制；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b.精细扫描模式：≥17束平行蓝色激光扫描模式，实现对物体表面的细小特征、孔位孔径、止口边缘精准采集；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c.深孔扫描模式：≥1束单独蓝色激光深孔扫描模式，实现对沟槽、型腔、深孔扫描，避免扫描数据有死角及盲区；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d.红外大范围扫描模式：≥38束红外交叉激光，能够对大型零件，大面幅扫描。</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e.摄影测量模式：大尺度场景应减少累积误差。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(10)单幅最大扫描面幅1440 mm×1000 mm。（提供设备制造商的原厂产品技术白皮书或官网截图或产品彩页或第三方检测报告证明材料）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3、扫描软件要求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(1)投标方提供的扫描软件必须为正版永久授权、功能完整的专业软件；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(2)扫描软件具备智能引导功能，支持用户快速自定义创建工作流程，降低学习难度，提升工作效率，减少人为失误；</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手机端软件，确保数据安全、操作便利，手机端软件与扫描软件为同一品牌厂家产品，无版权问题；有专为手机端设计的显示控制模块，具有显示设备编号、历史使用时间、固件版本、标定时间、PJ数据管理、激光线类型、扫描模式、左右反转等功能。（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center"/>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清单</w:t>
      </w:r>
      <w:r>
        <w:rPr>
          <w:rFonts w:hint="eastAsia" w:asciiTheme="minorEastAsia" w:hAnsiTheme="minorEastAsia" w:eastAsiaTheme="minorEastAsia" w:cstheme="minorEastAsia"/>
          <w:sz w:val="28"/>
          <w:szCs w:val="28"/>
        </w:rPr>
        <w:t xml:space="preserve">5、液质联用仪技术参数要求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1：工作条件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电源电压:220 V±10%</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温度:18℃～28℃</w:t>
      </w:r>
      <w:r/>
    </w:p>
    <w:p>
      <w:pPr>
        <w:numPr>
          <w:ilvl w:val="1"/>
          <w:numId w:val="3"/>
        </w:num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湿度:40%～60%</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2：液相色谱部分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2.1配置要求: 超高效液相色谱主机一套（与质谱主机同一品牌），包含：二元高压输液泵、脱气机、高压混合器、输液泵自动清洗单元、柱温箱、自动进样器、网络化系统控制器；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2.2二元高压梯度系统</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2.2.1流速范围： 0.0001-5.000mL/min，0.1ul/min 步进（提供设备制造商的原厂产品技术白皮书或官网截图或产品彩页或第三方检测报告证明材料）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2.2.2流速准确度： ≤1%</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2.2.3流速精密度： ≤0.062%（提供设备制造商的原厂产品技术白皮书或官网截图或产品彩页或第三方检测报告证明材料）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2.2.4梯度变化步进： 0.1%</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▲2.2.5最高耐压：≥18000ps（提供设备制造商的原厂产品技术白皮书或官网截图或产品彩页或第三方检测报告证明材料）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2.2.6柱塞清洗：标配自动清洗组件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2.2.7组成方式：两台独立高压送液泵构成的二元梯度系统</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2.2.8可压缩性补偿: 自动连续调节，流路独立，可用户自定义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2.2.9梯度设置：0.0-100.0%，最小递增率为0.1%</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2.3在线脱气机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2.3.1真空脱气流路数：≥5路</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 自动进样器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2.4.1样品盘容量：1.5ml样品瓶大于112位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2.4.2进样范围：0.1~50μL</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2.4.3进样准确度：≤±1%</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2.4.4最大耐压：18000psi（提供设备制造商的原厂产品技术白皮书或官网截图或产品彩页或第三方检测报告证明材料）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2.4.5进样精度：0.2 % RSD以下</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▲2.4.6交叉污染：咖啡因0.0015%以下（5µL进样,无清洗）（提供设备制造商的原厂产品技术白皮书或官网截图或产品彩页或第三方检测报告证明材料）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2.4.7 进样速度： 12秒</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2.4.8标配样品控温功能：4-40℃</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2.5柱温箱</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2.5.1 具备制冷和加热功能</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2.5.2控温范围: 温度控制范围:4℃~85℃</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2.5.3控温准确度 ±0. 5℃</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▲2.5.4柱容量：最大实现放置5根4.6* 300mm的色谱柱（提供设备制造商的原厂产品技术白皮书或官网截图或产品彩页或第三方检测报告证明材料）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2.5.5梯度混合器可放入柱温箱内，在柱温箱内进行流动相的预热，更好的温度稳定性可获得更稳定的保留时间。（提供设备制造商的原厂产品技术白皮书或官网截图或产品彩页或第三方检测报告证明材料）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2.5.6采用空气强制循环式，配备高性能热敏电阻、采用两点校温技术，温度更稳定均匀。</w:t>
      </w:r>
      <w:r/>
    </w:p>
    <w:p>
      <w:pPr>
        <w:ind w:firstLine="480"/>
        <w:spacing w:line="480" w:lineRule="exact"/>
        <w:rPr>
          <w:rFonts w:hint="eastAsia" w:asciiTheme="minorEastAsia" w:hAnsiTheme="minorEastAsia" w:eastAsiaTheme="minorEastAsia" w:cstheme="minorEastAsia"/>
          <w:sz w:val="24"/>
          <w:szCs w:val="24"/>
        </w:rPr>
      </w:pPr>
      <w:r/>
      <w:bookmarkStart w:id="135" w:name="_Hlk184579658"/>
      <w:r>
        <w:rPr>
          <w:rFonts w:hint="eastAsia" w:asciiTheme="minorEastAsia" w:hAnsiTheme="minorEastAsia" w:eastAsiaTheme="minorEastAsia" w:cstheme="minorEastAsia"/>
          <w:sz w:val="24"/>
          <w:szCs w:val="24"/>
        </w:rPr>
        <w:t xml:space="preserve">2.6</w:t>
      </w:r>
      <w:bookmarkEnd w:id="135"/>
      <w:r>
        <w:rPr>
          <w:rFonts w:hint="eastAsia" w:asciiTheme="minorEastAsia" w:hAnsiTheme="minorEastAsia" w:eastAsiaTheme="minorEastAsia" w:cstheme="minorEastAsia"/>
          <w:sz w:val="24"/>
          <w:szCs w:val="24"/>
        </w:rPr>
        <w:t xml:space="preserve">灵敏度紫外可见光可变波长检测器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▲2.6.1光源：氘灯和汞灯须同时标配（提供设备制造商的原厂产品技术白皮书或官网截图或产品彩页或第三方检测报告证明材料）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2.6.2 波长范围： 190－700nm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2.6.3波长校正：氘灯自校正；低压汞灯</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2.6.4波长准确度：≤1nm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2.6.5波长精密度： &lt; 0.1nm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2.6.6噪音：±0.25×10</w:t>
      </w:r>
      <w:r>
        <w:rPr>
          <w:rFonts w:hint="eastAsia" w:asciiTheme="minorEastAsia" w:hAnsiTheme="minorEastAsia" w:eastAsiaTheme="minorEastAsia" w:cstheme="minorEastAsia"/>
          <w:sz w:val="24"/>
          <w:szCs w:val="24"/>
          <w:vertAlign w:val="superscript"/>
        </w:rPr>
        <w:t xml:space="preserve">－5</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2.6.7飘移： 1×10</w:t>
      </w:r>
      <w:r>
        <w:rPr>
          <w:rFonts w:hint="eastAsia" w:asciiTheme="minorEastAsia" w:hAnsiTheme="minorEastAsia" w:eastAsiaTheme="minorEastAsia" w:cstheme="minorEastAsia"/>
          <w:sz w:val="24"/>
          <w:szCs w:val="24"/>
          <w:vertAlign w:val="superscript"/>
        </w:rPr>
        <w:t xml:space="preserve">－4</w:t>
      </w:r>
      <w:r>
        <w:rPr>
          <w:rFonts w:hint="eastAsia" w:asciiTheme="minorEastAsia" w:hAnsiTheme="minorEastAsia" w:eastAsiaTheme="minorEastAsia" w:cstheme="minorEastAsia"/>
          <w:sz w:val="24"/>
          <w:szCs w:val="24"/>
        </w:rPr>
        <w:t xml:space="preserve">AU/h</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2.6.8流通池温控：标配温控功能，避免室温波动对灵敏度的影响。（提供设备制造商的原厂产品技术白皮书或官网截图或产品彩页或第三方检测报告证明材料）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2.6.9流通池温设置范围：工作站设置，10℃～48℃（提供设备制造商的原厂产品技术白皮书或官网截图或产品彩页或第三方检测报告证明材料）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2.6.10停泵扫描：可停泵作UV光谱图扫描</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2.6.11波长时间程序：支持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2.6.12双波长检测：支持</w:t>
      </w:r>
      <w:r/>
    </w:p>
    <w:p>
      <w:pPr>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2.6.13比例色谱：支持</w:t>
      </w:r>
      <w:r/>
    </w:p>
    <w:p>
      <w:pPr>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2.7网络型系统控制器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▲2.7.1最多可连接单元： 4个；（提供设备制造商的原厂产品技术白皮书或官网截图或产品彩页或第三方检测报告证明材料）</w:t>
      </w:r>
      <w:r/>
    </w:p>
    <w:p>
      <w:pPr>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2.7.2电源：由输液单元提供；</w:t>
      </w:r>
      <w:r/>
    </w:p>
    <w:p>
      <w:pPr>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2.7.3控制：工作站控制；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▲2.7.4扩展性：可扩展模拟信号板数量不少于 2 个；（提供设备制造商的原厂产品技术白皮书或官网截图或产品彩页或第三方检测报告证明材料）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2.7.5拓展性：可拓展选配印迹测试附件。（提供设备制造商的原厂产品技术白皮书或官网截图或产品彩页或第三方检测报告证明材料）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3：质谱部分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产地：国产</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质量范围m/z：涵盖5-2000 或更宽</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 灵敏度：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3.3.1 ESI源正离子方式：1pg 利血平，MRM（609-&gt;195）,信噪比S/N &gt;350000:1（RMS）</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ESI源正离子方式：利血平，MRM（609-&gt;195），仪器检出限IDL&lt;2fg（提供设备制造商的原厂产品技术白皮书或官网截图或产品彩页或第三方检测报告证明材料）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3.3.2 ESI源负离子方式: 1pg 氯霉素，MRM（321-&gt;152），信噪比&gt;350000:1 (RMS)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ESI源负离子方式：氯霉素，MRM（321-&gt;152），仪器检出限IDL&lt;2fg（提供设备制造商的原厂产品技术白皮书或官网截图或产品彩页或第三方检测报告证明材料）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3.3重复性：氯霉素，进样量50fg，可实现6次重复进样，RSD ≤ 2%</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3.4质谱分辨率（FWHM):样品(利血平)，结果m/z609处FWHM≤ 0.4u（提供设备制造商的原厂产品技术白皮书或官网截图或产品彩页或第三方检测报告证明材料）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3.5质量准确度:样品(利血平)实测值与理论值之间的误差≤ 0.2u（提供设备制造商的原厂产品技术白皮书或官网截图或产品彩页或第三方检测报告证明材料）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3.6定量重复性：分别进样4个硝基呋喃代谢物，进样量1pg，每种连续重复检测6次，RSD＜2% ；（提供设备制造商的原厂产品技术白皮书或官网截图或产品彩页或第三方检测报告证明材料）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3.7质谱扫描速度: 最小步径为0.1u ，大于20000 u/sec（提供设备制造商的原厂产品技术白皮书或官网截图或产品彩页或第三方检测报告证明材料）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▲3.8正负离子切换速度：不超过15ms(不损失灵敏度的情况下)，实现正、负离子同时采集（提供设备制造商的原厂产品技术白皮书或官网截图或产品彩页或第三方检测报告证明材料）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3.9交叉污染cross talk（串扰）： &lt; 0.0005%</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3.10质谱最小延迟时间：不超过1msec</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 质谱MRM最小驻留时间（Dwell Time）：&lt;1msec（提供设备制造商的原厂产品技术白皮书或官网截图或产品彩页或第三方检测报告证明材料）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3.12 MS到MS/MS切换时间：&lt;1msec</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3.13 质量稳定性: ＜0.05u /24hr；</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3.14 MRM通道数量：一次进样，不分时间段，可以至少同时检测30000个MRM离子对，并保证灵敏度和重现性不受损失。</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3.15 MRM通道速度：&gt;500MRM/s, （提供设备制造商的原厂产品技术白皮书或官网截图或产品彩页或第三方检测报告证明材料）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3.16 MRM同步扫描：同步调查扫描在MRM或其它事件的同时，可触发产物离子扫描，同时实现定性定量；能自动按照离子对数目自动优化loop事件。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3.17离子源：</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3.17.1离子源接口: 离子源为独立电喷雾离子源，非复合源配置，具有真空锁定装置，离子源的清洁、维护、切换方便、快速，无需卸除质谱真空系统。（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3.17.2 ESI离子源加热气设计：独立的离子源加热辅助气设计，脱溶剂温度可达650°C，并可针对不同化合物设定不同的分析温度，保证获得最优的离子化效果。</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▲3.17.3可拓展选配同一品牌的原位分析电离源，进一步扩展质谱应用。同一品牌兼容性更好，售后服务更优。（提供设备制造商的原厂产品技术白皮书或官网截图或产品彩页或第三方检测报告证明材料）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3.17.4 一针进样同时分析多组分化合物时，可以针对不同化合物设置不同的ESI离子源接口电压，以保证同时高灵敏度检测各个化合物。无须分组检测，提高分析效率。（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3.18质量分析器：串联四极杆型质量分析器，双曲面全金属钼四极杆，不需要控温即可保证质量准确度的稳定性。</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▲3.18.1 Q1四极杆设计：Q1带有预四极杆和后四极杆用作离子聚焦和抗污染功能，有效降低中性分子引起的背景噪声。具备Q1扫描或Q1选择离子监测SIM功能，可任意设置。（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3.18.2 Q2碰撞室设计：碰撞室采用多极杆超快速碰撞室，实现快速MRM性能，同时采取先进的曲线型加速电势场加碰撞气压控制，同时进行线性高压加速，可有效消除记忆效应和交叉污染。（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3.18.3 Q2碰撞室高压加速技术：在超高速扫描30000u/s的情况下高质量端的信号强度稳中有升，避免了因扫描速度加快造成的质量检测范围狭窄。（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3.18.4 Q3四极杆设计：Q3前端带有预四极杆用作离子聚焦和抗污染功能有效降低中性分子引起的背景噪声。（提供设备制造商的原厂产品技术白皮书或官网截图或产品彩页或第三方检测报告证明材料）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3.19 检测器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3.19.1高灵敏度检测器：离轴连续打拿电子倍增器，动态范围：8×10</w:t>
      </w:r>
      <w:r>
        <w:rPr>
          <w:rFonts w:hint="eastAsia" w:asciiTheme="minorEastAsia" w:hAnsiTheme="minorEastAsia" w:eastAsiaTheme="minorEastAsia" w:cstheme="minorEastAsia"/>
          <w:sz w:val="24"/>
          <w:szCs w:val="24"/>
          <w:vertAlign w:val="superscript"/>
        </w:rPr>
        <w:t xml:space="preserve">6</w:t>
      </w:r>
      <w:r>
        <w:rPr>
          <w:rFonts w:hint="eastAsia" w:asciiTheme="minorEastAsia" w:hAnsiTheme="minorEastAsia" w:eastAsiaTheme="minorEastAsia" w:cstheme="minorEastAsia"/>
          <w:sz w:val="24"/>
          <w:szCs w:val="24"/>
        </w:rPr>
        <w:t xml:space="preserve">，检测器前端采用具备离子聚焦及中性噪音过滤功能的电子透镜设计，可大幅度降低背景噪音、提高离子响应值。</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3.19.2检测器：电子倍增器。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3.20质谱调谐和校正系统：可实现全自动质谱调谐和校正。</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3.21可以与相同品牌天平联机使用以实现最佳定量效果</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3.22提供全中文软件，可自由添加、修改、提取化合物的信息，分析和处理方法。</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质谱软件或数据后处理软件具备智能积分算法技术。峰积分处理时，只需选择要使用的算法和模型，无需设置或调整积分参数。提高数据处理速度，减少人为错误。（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4：配置要求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超高效液相输液泵 2套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4.2高灵敏度紫外可见光可变波长检测器 1套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4.3控温型自动进样器 1套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4.4柱温箱（内置梯度混合器） 1套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4.5网络化系统控制器 1套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4.6三重四极杆质谱联用仪主机 1套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4.7泵油回收组件 1套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4.8全中文版软件1套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4.9通用型色谱柱10套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center"/>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清单</w:t>
      </w:r>
      <w:r>
        <w:rPr>
          <w:rFonts w:hint="eastAsia" w:asciiTheme="minorEastAsia" w:hAnsiTheme="minorEastAsia" w:eastAsiaTheme="minorEastAsia" w:cstheme="minorEastAsia"/>
          <w:sz w:val="28"/>
          <w:szCs w:val="28"/>
        </w:rPr>
        <w:t xml:space="preserve">6、锥形量热仪技术参数要求</w:t>
      </w:r>
      <w:r/>
    </w:p>
    <w:p>
      <w:pPr>
        <w:ind w:firstLine="480"/>
        <w:jc w:val="left"/>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1、全套设备应至少包括符合GB/T16172-2007、ISO5660-1：2015、ASTM E1354-2011等建筑材料热释放速率性能试验设备，仪器可拓展ISO5660-4:2016、ISO5660-5:2020和红外连接；（提供设备制造商的原厂产品技术白皮书或官网截图或产品彩页或第三方检测报告证明材料）</w:t>
      </w:r>
      <w:r/>
    </w:p>
    <w:p>
      <w:pPr>
        <w:ind w:firstLine="480"/>
        <w:jc w:val="left"/>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2、锥形量热仪包括试验装置、校准装置、烟密度测量装置、称重装置、气体分析柜装置、数据采集及标准测试软件组成；</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3、试验装置包含辐射锥、排气系统、采样装置、变频风机装置等；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4、辐射锥额定功率为5000W，由电加热管构成，内外锥壳内填充公称厚度为13mm、公称密度为1000kg/m3的耐热纤维；</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5、辐射锥的辐照度通过3支高质量热电偶控制，热电偶为美国OMEGA，热电偶直径为1.0-1.6mm，采用PID温度控制模式，可通过调节温度，调节热辐射输出辐照度。</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6、辐射锥应能在试样表面提供高达100kW/m2的辐射照度，在暴露试样的正中部分50mm*50mm范围内，辐射照度应均匀，与中心辐射照度偏差不超过±2%；</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7、点火电路采用一个不低于10kV的电火花点火器外部点火，火花塞的点火间隔为3±0.5mm，电火花点火位于试样中心13±2mm位置；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辐射锥装置安放于独立的控制柜上，表面为大理石台面，避免台面的磨损与划伤，该设计避免了风机震动，对于天平装置的干扰；（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9、提供水冷热流计校准，测量范围为0-100kW/m2，辐射接收靶为直径12.5mm的圆形，表面覆有无光泽黑色涂层，发射系数为0.96，并附带循环水冷却装置；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10、甲烷校准流量控制器，量程为0-20L/min，精度是±0.6%读数或±0.1%满量程，在数字模式下的最大量程比可达 1:187,5，反应灵敏，最低为200 msec；</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11、烟密度测量装置由氦氖激光光源及硅光二极管接收装置组成；</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12、氦氖激光光源，波长632.8nm，长时间稳定性：±2% 每8小时，噪音（RMS）: &lt;0.5% (30Hz-10MHz)；</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13、硅光二极管包含主探测器及辅助探测器，线性度＞99.8%，不稳定度＜0.1%；</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14、排气系统由集烟罩、排气风机、孔板流量计、风机的进气及排气管道组成；</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15、集烟罩底部与试样表面距离为210±50mm；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16、节流孔板内径为57±3mm，厚度1.6±0.3mm连接量程为0-500pa高标准微差压传感器，可测量节流孔板前后压差；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17、高质量微压差传感器精度RSS*( 恒温下) ±1.0%FS，非线性度±0.98%FS，迟滞0.1%FS，非重复性0.05%FS，量程为0-500pa；</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18、环状取样器上开有12个直径为2.2mm±0.1mm的孔，孔与气流方向反装。</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19、风机通过变频器调节，可调节流量不低于0.024m3/s；</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20、气体温度采用1.0-1.6mm的高质量OMEGA热电偶测量，安装位置为节流孔板上方100±5mm处。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21、称重装置量程为0-2000g，精度0.1g，内置称重传感器，测试中漂移量低于0.1g；</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22、气体分析柜装置由气体取样装置和分析仪表组成；</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23、独立的测量柜体，避免风机振动，大理石测量台面，平整耐磨耐腐蚀；</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24、气体取样装置包含取样泵、烟尘过滤器、除湿冷阱、水分过滤器等；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25、一体化预处理系统，包含隔膜泵、除水冷凝器、精细过滤器以及组合装置；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26、一级过滤装置采用美国Parker精细过滤器装置，滤芯过滤精度不低于0.5um；</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27、高质量精密过滤器，过滤精度1um，包含湿度报警装置，当样气水分没有除尽，将自动报警，以免导致分析仪的损坏；</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28、隔膜泵，流量率:13L/min，真空度: 700 ㎜Hg，压力: 2.5 bar；</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29、除水冷凝器，采用双极制冷方式，冷却容量90KJ/h，露点稳定度0.1℃，露点静态变化0.1K；</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30、高质量PTFE转子流量计，量程为0-5L/min，1支用于排空，1支用于进气；</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31、高质量顺磁性氧气分析器，量</w:t>
      </w:r>
      <w:r>
        <w:rPr>
          <w:rFonts w:hint="eastAsia" w:asciiTheme="minorEastAsia" w:hAnsiTheme="minorEastAsia" w:eastAsiaTheme="minorEastAsia" w:cstheme="minorEastAsia"/>
          <w:sz w:val="24"/>
          <w:szCs w:val="24"/>
        </w:rPr>
        <w:t xml:space="preserve">程为0-25%，响应时间：4秒，线性偏差：≤0.5% FS，重复性：≤50 ppm O2，灵敏度漂移: ≤ 0.1 vol.% O2/周或≤ 1%测量值/周（非累计），二者中取较小者，检测极限：≤50 ppm O2；高质量非色散红外CO和CO2分析器 CO：0～1％；CO2：0～10％，测量原理：红外吸收，响应时间：2.5秒，线性偏差：≤1% FS，重复性：≤0.5% FS，零漂：≤1% FS/周，检测极限：≤0.5% FS；（提供设备制造商的原厂产品技术白皮书或官网截图或产品彩页或第三方检测报告证明材料）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32、数据采集系统，包含测试软件、日本欧姆龙PLC可编程控制器，数据采集模块（不接受自制采集板卡及模块）。（提供设备制造商的原厂产品技术白皮书或官网截图或产品彩页或第三方检测报告证明材料）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33、工控模块1：8路可独立配置的差分通道; 高抗噪性:1kV浪涌保护电压输入,3KV EFT及8KV ESD保护;抗干扰性强:电源输入端1KV的浪涌保护,3KV EFT,8KV ESD保护;宽电源输入范围:+10～+48VDC;输入范围:+10～+48 VDC;易于监测状态的LED指示灯;支持50HZ/60HZ自动调整滤波参数;支持滤波器自动调谐或滤波器输出；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34、工控模块2：8路不同且可独立配置的差分通道;宽温运行;高抗噪性:1kV浪涌保护电压输入,3KV EFT及8KV ESD保护;宽电源输入范围:+10～+48VDC;易于监测状态的LED指示灯;支持2000VDC HI共模电压;支持单极性和双极性输入;支持+/- 15V输入范围;支持滤波器自动调谐或滤波器输出50Hz/60Hz；（提供设备制造商的原厂产品技术白皮书或官网截图或产品彩页或第三方检测报告证明材料）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35、工控模块：吸入类型：数字量输出，数字量输出：集电极开路40V（200毫安最大负载），12通道，I/O类型：吸入型输出；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36、工控转换器：自动内部RS-485总线监督;自动数据流控制;最高采样速率115.2 kbps;3000 Vdc隔离保护；</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37、模拟信号输出模块(V, Ma), 输出类型: mA, V, 隔离电压: 3000 Vdc, 输出范围: 0～20 mA, 4～20 mA, 0～10 V；</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38、设置为对各个传感器校准模式，包括氧气分析仪、二氧化碳分析仪、一氧化碳分析仪、微压差传感器、烟密度测量系统、称重装置、质量流量控制器的单点或双点校准，以获得最佳线性；</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39、C-系数校准，软件可自动设定C系数测量时的燃气流量，如3KW、4KW或5KW，控制系统自动计算ISO 5660 C系数以及平均C系数，同时可保存记录；</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40、软件可自动生成C-系数日志，便于用户自行查看锥形量热仪历史状态，辨别自己系统的准确性及稳定性；</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41、系统可自行计算氧气分析仪、二氧化碳分析仪、一氧化碳分析仪的延迟时间，便于同步计算使用；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42、状态检查界面，可一目了然的获取仪器的各个传感器部件的工作状态；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43、可记录各个传感器的工作数值，包括微压差传感器、烟囱温度、氧气分析仪、二氧化碳分析仪、一氧化碳分析仪；</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44、报告模板为excel格式，可显示图形及数值模式。</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45、独立的C系数校准报告以及历史数值及曲线，报告信息包含气体分析仪数据、温度数值、压差数值等；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46、测试报告中包含但不限于热释放速率、热释放速率峰值、产烟量、热失重、有限燃烧热等数据；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47、标准测试软件由VB编写，需可对各传感器校准，以及系统校准，投标文件需提供中英文软件操作文件，并提供详细说明，并提供各参数计算公式，并进行技术说明。</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48、控制系统为工业触摸屏电脑，与控制柜结合，采用不小于15寸TFT LCD，分辨率不小于1024×768，高温制程五线电阻式触摸屏，网络接口不少于2个采用Intel82583V10/100/1000Mbps接口，不少于4个RS232/RS485可选串口，接口至少包括：VGA/2GLAN/5USB/4COM/LPT/AUDIO，采用磁耦隔离、浪涌和静电保护，直流9～30V宽压电源输入，具有过流、过压和反接保护措施。（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center"/>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清单</w:t>
      </w:r>
      <w:r>
        <w:rPr>
          <w:rFonts w:hint="eastAsia" w:asciiTheme="minorEastAsia" w:hAnsiTheme="minorEastAsia" w:eastAsiaTheme="minorEastAsia" w:cstheme="minorEastAsia"/>
          <w:sz w:val="28"/>
          <w:szCs w:val="28"/>
        </w:rPr>
        <w:t xml:space="preserve">7、热压缩模拟试验机技术参数要求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（一）主要技术指标</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用于材料模拟不同温度、不同气氛环境下的热力学性能测试，包含热机械加载、快速升温、快速降温冷却耦合试验、高温拉伸试验、高温蠕变试验、真空（充气）高温试验等。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（1）主要技术特点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备快速温变试验功能，极速快升快降温变环境用于模拟材料的应用工况，真实还原材料的服役过程的使用情况。不同试验气氛环境，可以选择大气环境、真空环境、充不同气体的气氛环境等，模拟复杂环境的材料性能试验。可以实现加载、急热/急冷、气氛环境耦合条件下的材料热力学性能测试，评估材料的高温耐用情况。高温、真空条件下材料长时蠕变性能测试。不同温度条件下的高温拉伸、高温压缩等材料性能测试。</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（2）主机技术指标：</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(1)加载载荷范围：不小于0-100KN</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(2)测试精度：不小于±0.5%</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(3)▲最大返回速度：≥1200 mm/min；（提供设备制造商的原厂产品技术白皮书或官网截图或产品彩页或第三方检测报告证明材料）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(4)▲机架轴向刚度： ≥270kN/mm；（提供设备制造商的原厂产品技术白皮书或官网截图或产品彩页或第三方检测报告证明材料）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(5)数据采样速率：不小于2.5Khz</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(6)试验力分辨率：不小于1/600000FS</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(7)变形测量范围：不小于0.4%～100%FS.</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(8)变形测量误差：不大于±0.5%</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(9)▲加载速度调节范围不小于：0.00005～850mm/min（提供设备制造商的原厂产品技术白皮书或官网截图或产品彩页或第三方检测报告证明材料）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(10)▲位移分辨率：不小于0.0092μm（提供设备制造商的原厂产品技术白皮书或官网截图或产品彩页或第三方检测报告证明材料）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(11)高温温度范围：不小于300~1300℃；</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(12)温度分辨度：不小于0.1℃；</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(13)最大加热速率：不小于30℃/s；</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(14)▲高温引伸计标距：不小于25mm，变形量±5mm，使用温度≥1600℃，测试精度不小于0.5级。（提供设备制造商的原厂产品技术白皮书或官网截图或产品彩页或第三方检测报告证明材料）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(15)工作真空：不大于6.67×10-2Pa（抽真空时间≤30min）</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(16)同轴度：不大于5%；</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(17)主机具备高速运行防碰撞功能，投标时需提供高速防碰撞视频视频；设备交付时，需按照500N、1KN和100KN的传感器进行50次防碰撞测试验证设备无损伤。</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▲（二）软件要求（以下每条要求设备制造商的原厂产品技术白皮书或官网截图或产品彩页或第三方检测报告证明材料，提供齐全该“▲”参数得分，未提供或提供不齐不得分）：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(1)软件支持横、竖向自适应布局，支持脱机运行模拟试验；（提供设备制造商的原厂产品技术白皮书或官网截图或产品彩页或第三方检测报告证明材料）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软件支持试验进度可视化显示：采用流程节点方式展示试验进度，高亮显示当前执行节点，并实时呈现总运行时间、控制方式、控制速率和循环次数等关键信息，使用户对试验进程一目了然；（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试验曲线可进行全局或单坐标轴的定位、缩放、平移操作支持添加辅助线等功能，满足用户在曲线分析与结果比对方面的需求；（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(4)软件支持单坐标轴及双Y轴曲线显示，方便用户试验数据进行比对分析；</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软件提供绝对斜线、相对斜线、保持、清零、波形（正弦波、方波、三角波）等多样化步骤模式，支持通过事件触发步骤切换等动作；（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(6)软件支持支持夹具压力的自动设置功能;（提供设备制造商的原厂产品技术白皮书或官网截图或产品彩页或第三方检测报告证明材料）</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（三）高温装置：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（1）温度范围不低于1300℃；</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（2）最高30℃/s的加热和冷却速度，可以实现加载、急热/急冷快速测试要求；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（3）带可拆卸臂和可调流量配置的空气冷却喷嘴,可实现快速冷却；</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（4）有效均温区不小于50㎜；</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（5）装置需带温度控制器和二级温度联锁控制装置；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四．配置功能要求：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（1）100KN主机 一台；</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（2）智能光感交互系统一套；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（3）控制系统一套：满足MTBF 3000小时以上，提供专业第三方出具的检测报告；</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（4）真空高温炉：温度范围：300℃-1300℃；一套；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（5）高温加热装置：温度范围：室温-1300℃；一套；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（6）高温电子引伸计：标距25/50mm（同时兼顾），变形5mm，精度0.5级；一只；</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（7）高温压缩夹具，一套；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（8）高温拉伸夹具，一套；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（9）常温液压夹具及油源，一套；</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（10）试验软件一套：拥有完整的自主知识产权；</w:t>
      </w:r>
      <w:r/>
    </w:p>
    <w:p>
      <w:pPr>
        <w:pStyle w:val="973"/>
        <w:ind w:firstLine="482"/>
        <w:spacing w:line="56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（11）操作系统一套。</w:t>
      </w:r>
      <w:r/>
    </w:p>
    <w:p>
      <w:pPr>
        <w:pStyle w:val="973"/>
        <w:ind w:firstLine="482"/>
        <w:spacing w:line="560" w:lineRule="exac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三、商务要求</w:t>
      </w:r>
      <w:r/>
    </w:p>
    <w:p>
      <w:pPr>
        <w:pStyle w:val="973"/>
        <w:ind w:firstLine="476"/>
        <w:spacing w:line="520" w:lineRule="exact"/>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 xml:space="preserve">（一）概况</w:t>
      </w:r>
      <w:r/>
    </w:p>
    <w:p>
      <w:pPr>
        <w:ind w:firstLine="476"/>
        <w:spacing w:line="520" w:lineRule="exact"/>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 xml:space="preserve">1、项目概况：宿迁学院测量检测仪器设备采购项目，包含：七套设备：</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1、高速纹影系统  2、光学轮廓仪</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 xml:space="preserve">3、动静态多轴力学测试设备 4、大视场光学跟踪测量仪 5、液质联用仪 6、锥形量热仪 7、热压缩模拟试验机。详见对应设备清单技术参数及功能要求。</w:t>
      </w:r>
      <w:r/>
    </w:p>
    <w:p>
      <w:pPr>
        <w:pStyle w:val="973"/>
        <w:ind w:firstLine="476"/>
        <w:spacing w:line="560" w:lineRule="exact"/>
        <w:rPr>
          <w:rFonts w:hint="eastAsia" w:asciiTheme="minorEastAsia" w:hAnsiTheme="minorEastAsia" w:eastAsiaTheme="minorEastAsia" w:cstheme="minorEastAsia"/>
          <w:spacing w:val="-1"/>
          <w:sz w:val="24"/>
          <w:szCs w:val="24"/>
          <w:lang w:val="zh-CN"/>
        </w:rPr>
      </w:pPr>
      <w:r>
        <w:rPr>
          <w:rFonts w:hint="eastAsia" w:asciiTheme="minorEastAsia" w:hAnsiTheme="minorEastAsia" w:eastAsiaTheme="minorEastAsia" w:cstheme="minorEastAsia"/>
          <w:spacing w:val="-1"/>
          <w:sz w:val="24"/>
          <w:szCs w:val="24"/>
        </w:rPr>
        <w:t xml:space="preserve">2、</w:t>
      </w:r>
      <w:r>
        <w:rPr>
          <w:rFonts w:hint="eastAsia" w:asciiTheme="minorEastAsia" w:hAnsiTheme="minorEastAsia" w:eastAsiaTheme="minorEastAsia" w:cstheme="minorEastAsia"/>
          <w:spacing w:val="-1"/>
          <w:sz w:val="24"/>
          <w:szCs w:val="24"/>
          <w:lang w:val="zh-CN"/>
        </w:rPr>
        <w:t xml:space="preserve">合同履行期限：</w:t>
      </w:r>
      <w:r/>
    </w:p>
    <w:p>
      <w:pPr>
        <w:pStyle w:val="973"/>
        <w:ind w:firstLine="480"/>
        <w:spacing w:line="5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合同签订生效之日起，3个月内完成安装调试，达到项目招标预期效果。</w:t>
      </w:r>
      <w:r/>
    </w:p>
    <w:p>
      <w:pPr>
        <w:pStyle w:val="973"/>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3、服务地点：采购人指定地点。</w:t>
      </w:r>
      <w:r/>
    </w:p>
    <w:p>
      <w:pPr>
        <w:pStyle w:val="973"/>
        <w:ind w:firstLine="478"/>
        <w:spacing w:line="560" w:lineRule="exact"/>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 xml:space="preserve">（二）</w:t>
      </w:r>
      <w:r>
        <w:rPr>
          <w:rFonts w:hint="eastAsia" w:asciiTheme="minorEastAsia" w:hAnsiTheme="minorEastAsia" w:eastAsiaTheme="minorEastAsia" w:cstheme="minorEastAsia"/>
          <w:spacing w:val="-1"/>
          <w:sz w:val="24"/>
          <w:szCs w:val="24"/>
          <w:lang w:val="zh-CN"/>
        </w:rPr>
        <w:t xml:space="preserve">付款方式</w:t>
      </w:r>
      <w:r>
        <w:rPr>
          <w:rFonts w:hint="eastAsia" w:asciiTheme="minorEastAsia" w:hAnsiTheme="minorEastAsia" w:eastAsiaTheme="minorEastAsia" w:cstheme="minorEastAsia"/>
          <w:spacing w:val="-1"/>
          <w:sz w:val="24"/>
          <w:szCs w:val="24"/>
        </w:rPr>
        <w:t xml:space="preserve">  </w:t>
      </w:r>
      <w:r/>
    </w:p>
    <w:p>
      <w:pPr>
        <w:ind w:firstLine="480"/>
        <w:spacing w:line="52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预付款：合同金额的</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0%，合同签订后按规定支付；</w:t>
      </w:r>
      <w:r/>
    </w:p>
    <w:p>
      <w:pPr>
        <w:ind w:firstLine="480"/>
        <w:jc w:val="left"/>
        <w:spacing w:line="5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进度款：</w:t>
      </w:r>
      <w:r>
        <w:rPr>
          <w:rFonts w:hint="eastAsia" w:asciiTheme="minorEastAsia" w:hAnsiTheme="minorEastAsia" w:eastAsiaTheme="minorEastAsia" w:cstheme="minorEastAsia"/>
          <w:sz w:val="24"/>
          <w:szCs w:val="24"/>
        </w:rPr>
        <w:t xml:space="preserve">货到安装</w:t>
      </w:r>
      <w:r>
        <w:rPr>
          <w:rFonts w:hint="eastAsia" w:asciiTheme="minorEastAsia" w:hAnsiTheme="minorEastAsia" w:eastAsiaTheme="minorEastAsia" w:cstheme="minorEastAsia"/>
          <w:sz w:val="24"/>
        </w:rPr>
        <w:t xml:space="preserve">调试</w:t>
      </w:r>
      <w:r>
        <w:rPr>
          <w:rFonts w:hint="eastAsia" w:asciiTheme="minorEastAsia" w:hAnsiTheme="minorEastAsia" w:eastAsiaTheme="minorEastAsia" w:cstheme="minorEastAsia"/>
          <w:sz w:val="24"/>
          <w:szCs w:val="24"/>
        </w:rPr>
        <w:t xml:space="preserve">验收合格后15日内付清全款。</w:t>
      </w:r>
      <w:r/>
    </w:p>
    <w:p>
      <w:pPr>
        <w:ind w:firstLine="480"/>
        <w:spacing w:line="52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注：付款前，乙方应</w:t>
      </w:r>
      <w:r>
        <w:rPr>
          <w:rFonts w:hint="eastAsia" w:asciiTheme="minorEastAsia" w:hAnsiTheme="minorEastAsia" w:eastAsiaTheme="minorEastAsia" w:cstheme="minorEastAsia"/>
          <w:sz w:val="24"/>
        </w:rPr>
        <w:t xml:space="preserve">向</w:t>
      </w:r>
      <w:r>
        <w:rPr>
          <w:rFonts w:hint="eastAsia" w:asciiTheme="minorEastAsia" w:hAnsiTheme="minorEastAsia" w:eastAsiaTheme="minorEastAsia" w:cstheme="minorEastAsia"/>
          <w:sz w:val="24"/>
          <w:lang w:val="zh-CN"/>
        </w:rPr>
        <w:t xml:space="preserve">甲方提供符合要求的增值税发票，否则，甲方有权拒绝付款，同时不免除乙方合同履行义务。甲方可从应付款中直接扣除乙方应承担的违约金或其他费用。</w:t>
      </w:r>
      <w:r/>
    </w:p>
    <w:p>
      <w:pPr>
        <w:ind w:firstLine="480"/>
        <w:spacing w:line="52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资金支付的时间:收到供应商发票10个工作日内。</w:t>
      </w:r>
      <w:r/>
    </w:p>
    <w:p>
      <w:pPr>
        <w:ind w:firstLine="480"/>
        <w:spacing w:line="52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资金支付的主体:宿迁学院。</w:t>
      </w:r>
      <w:r/>
    </w:p>
    <w:p>
      <w:pPr>
        <w:ind w:firstLine="480"/>
        <w:spacing w:line="52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资金支付的条件:满足相应阶段的要求，且甲方收到乙方发票。</w:t>
      </w:r>
      <w:r/>
    </w:p>
    <w:p>
      <w:pPr>
        <w:ind w:firstLine="480"/>
        <w:spacing w:line="520" w:lineRule="exact"/>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z w:val="24"/>
        </w:rPr>
        <w:t xml:space="preserve">注：在签订合同时，成交人明确表示无需预付款或者主动要求降低预付款比例的金额，采购人可不适用预付款规定。支付方式可以通过转账或数字人民币等方式。</w:t>
      </w:r>
      <w:r/>
    </w:p>
    <w:p>
      <w:pPr>
        <w:pStyle w:val="986"/>
        <w:ind w:firstLine="480"/>
        <w:spacing w:line="480" w:lineRule="exact"/>
        <w:rPr>
          <w:rFonts w:hint="eastAsia" w:asciiTheme="minorEastAsia" w:hAnsiTheme="minorEastAsia" w:eastAsiaTheme="minorEastAsia" w:cstheme="minorEastAsia"/>
          <w:sz w:val="24"/>
          <w:szCs w:val="24"/>
        </w:rPr>
        <w:outlineLvl w:val="1"/>
      </w:pPr>
      <w:r>
        <w:rPr>
          <w:rFonts w:hint="eastAsia" w:asciiTheme="minorEastAsia" w:hAnsiTheme="minorEastAsia" w:eastAsiaTheme="minorEastAsia" w:cstheme="minorEastAsia"/>
          <w:spacing w:val="-1"/>
          <w:sz w:val="24"/>
          <w:szCs w:val="24"/>
        </w:rPr>
        <w:t xml:space="preserve">4、</w:t>
      </w:r>
      <w:r>
        <w:rPr>
          <w:rFonts w:hint="eastAsia" w:asciiTheme="minorEastAsia" w:hAnsiTheme="minorEastAsia" w:eastAsiaTheme="minorEastAsia" w:cstheme="minorEastAsia"/>
          <w:sz w:val="24"/>
          <w:szCs w:val="24"/>
        </w:rPr>
        <w:t xml:space="preserve">产品质量要求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4.1质量标准：合格。符合遵循国家、行业及地方现行的规范和标准。</w:t>
      </w:r>
      <w:r/>
    </w:p>
    <w:p>
      <w:pPr>
        <w:pStyle w:val="973"/>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★4.2安全要求：</w:t>
      </w:r>
      <w:r/>
    </w:p>
    <w:p>
      <w:pPr>
        <w:pStyle w:val="981"/>
        <w:ind w:firstLine="482"/>
        <w:spacing w:line="5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rPr>
        <w:t xml:space="preserve">所供货物产品，其质量应严格执行国家、行业现行产品合格标准，因项目实施过程中产生的安全事故、人员伤亡、财产损失及因设备运行过程中出现的各类事故及危险事件，投标人负全部责任，并足额承担因此产生相应赔偿、损失及所有费用。</w:t>
      </w:r>
      <w:r>
        <w:rPr>
          <w:rFonts w:hint="eastAsia" w:asciiTheme="minorEastAsia" w:hAnsiTheme="minorEastAsia" w:eastAsiaTheme="minorEastAsia" w:cstheme="minorEastAsia"/>
          <w:color w:val="auto"/>
          <w:szCs w:val="21"/>
        </w:rPr>
        <w:t xml:space="preserve">（前述要求，供应商投标响应时出具承诺，格式自拟，否则视为无效标）。</w:t>
      </w:r>
      <w:r/>
    </w:p>
    <w:p>
      <w:pPr>
        <w:ind w:firstLine="480"/>
        <w:jc w:val="left"/>
        <w:spacing w:line="52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★4.3免费质保期：</w:t>
      </w:r>
      <w:bookmarkStart w:id="136" w:name="OLE_LINK64"/>
      <w:r>
        <w:rPr>
          <w:rFonts w:hint="eastAsia" w:asciiTheme="minorEastAsia" w:hAnsiTheme="minorEastAsia" w:eastAsiaTheme="minorEastAsia" w:cstheme="minorEastAsia"/>
          <w:sz w:val="24"/>
          <w:szCs w:val="24"/>
        </w:rPr>
        <w:t xml:space="preserve">免费质保自验收合格之日起1年</w:t>
      </w:r>
      <w:bookmarkEnd w:id="136"/>
      <w:r>
        <w:rPr>
          <w:rFonts w:hint="eastAsia" w:asciiTheme="minorEastAsia" w:hAnsiTheme="minorEastAsia" w:eastAsiaTheme="minorEastAsia" w:cstheme="minorEastAsia"/>
          <w:sz w:val="24"/>
          <w:szCs w:val="24"/>
        </w:rPr>
        <w:t xml:space="preserve">。（注：且不得低于产品出厂自带质保期）。</w:t>
      </w:r>
      <w:r>
        <w:rPr>
          <w:rFonts w:hint="eastAsia" w:asciiTheme="minorEastAsia" w:hAnsiTheme="minorEastAsia" w:eastAsiaTheme="minorEastAsia" w:cstheme="minorEastAsia"/>
          <w:sz w:val="24"/>
        </w:rPr>
        <w:t xml:space="preserve">（前述要求，供应商投标响应时出具承诺，格式自拟，否则视为无效标）。</w:t>
      </w:r>
      <w:r/>
    </w:p>
    <w:p>
      <w:pPr>
        <w:pStyle w:val="973"/>
        <w:ind w:firstLine="478"/>
        <w:spacing w:line="5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4"/>
        </w:rPr>
        <w:t xml:space="preserve">★4.4中标后提供生产厂家针对本项目的质保函承诺书原件</w:t>
      </w:r>
      <w:r>
        <w:rPr>
          <w:rFonts w:hint="eastAsia" w:asciiTheme="minorEastAsia" w:hAnsiTheme="minorEastAsia" w:eastAsiaTheme="minorEastAsia" w:cstheme="minorEastAsia"/>
          <w:sz w:val="24"/>
          <w:szCs w:val="21"/>
        </w:rPr>
        <w:t xml:space="preserve">（</w:t>
      </w:r>
      <w:r>
        <w:rPr>
          <w:rFonts w:hint="eastAsia" w:asciiTheme="minorEastAsia" w:hAnsiTheme="minorEastAsia" w:eastAsiaTheme="minorEastAsia" w:cstheme="minorEastAsia"/>
          <w:sz w:val="24"/>
        </w:rPr>
        <w:t xml:space="preserve">前述要求，</w:t>
      </w:r>
      <w:r>
        <w:rPr>
          <w:rFonts w:hint="eastAsia" w:asciiTheme="minorEastAsia" w:hAnsiTheme="minorEastAsia" w:eastAsiaTheme="minorEastAsia" w:cstheme="minorEastAsia"/>
          <w:sz w:val="24"/>
          <w:szCs w:val="21"/>
        </w:rPr>
        <w:t xml:space="preserve">供应商投标响应时出具承诺，格式自拟，否则视为无效标）。</w:t>
      </w:r>
      <w:r/>
    </w:p>
    <w:p>
      <w:pPr>
        <w:pStyle w:val="973"/>
        <w:ind w:firstLine="478"/>
        <w:spacing w:line="5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4"/>
        </w:rPr>
        <w:t xml:space="preserve">4.5投标人必须提供符合国家质量检测标准的全新、未使用过的货物（包括所有设备的元器件、零配件、专用工具等），表面无划伤，无碰撞，无任何缺陷隐患，</w:t>
      </w:r>
      <w:r>
        <w:rPr>
          <w:rFonts w:hint="eastAsia" w:asciiTheme="minorEastAsia" w:hAnsiTheme="minorEastAsia" w:eastAsiaTheme="minorEastAsia" w:cstheme="minorEastAsia"/>
          <w:sz w:val="24"/>
          <w:szCs w:val="21"/>
        </w:rPr>
        <w:t xml:space="preserve">在中国境内可依常规安全合法使用，并附有原始厂商的装箱单、完整的技术资料及相应的中文说明等相关资料，必须提供设备的供货配置清单。若中标货物质量不符合招标文件要求，采购人有权拒收货物。</w:t>
      </w:r>
      <w:r/>
    </w:p>
    <w:p>
      <w:pPr>
        <w:pStyle w:val="973"/>
        <w:ind w:firstLine="478"/>
        <w:spacing w:line="5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投标人在交货时必需提供主要产品生产厂家供货证明书。投标人所供货物若与标书上列明的设备的型号、技术指标等不相符，有造假现象的，采购人有权拒收货物，投标人应全额承担由此给采购人带来的损失。</w:t>
      </w:r>
      <w:r/>
    </w:p>
    <w:p>
      <w:pPr>
        <w:pStyle w:val="973"/>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5、</w:t>
      </w:r>
      <w:r>
        <w:rPr>
          <w:rFonts w:hint="eastAsia" w:asciiTheme="minorEastAsia" w:hAnsiTheme="minorEastAsia" w:eastAsiaTheme="minorEastAsia" w:cstheme="minorEastAsia"/>
          <w:sz w:val="24"/>
          <w:szCs w:val="24"/>
        </w:rPr>
        <w:t xml:space="preserve">项目组人员配备：自行配备与本项目相适应的人员。</w:t>
      </w:r>
      <w:r/>
    </w:p>
    <w:p>
      <w:pPr>
        <w:pStyle w:val="973"/>
        <w:ind w:firstLine="476"/>
        <w:spacing w:line="520" w:lineRule="exact"/>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 xml:space="preserve">6、售后服务要求</w:t>
      </w:r>
      <w:r/>
    </w:p>
    <w:p>
      <w:pPr>
        <w:ind w:firstLine="480"/>
        <w:jc w:val="left"/>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6.1投标人对所售出的产品实行三包：售后免费质保免费质保自验收合格之日起1年。即产品在正常使用情况下发生质量问题时，应按使用方的要求，负责对产品实行包修、包换、包退。</w:t>
      </w:r>
      <w:r/>
    </w:p>
    <w:p>
      <w:pPr>
        <w:ind w:firstLine="480"/>
        <w:jc w:val="left"/>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ind w:firstLine="480"/>
        <w:jc w:val="left"/>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售后服务响应：售后服务期内产品发生质量问题，投标人应在接到采购人提出故障通知0.5小时以内响应，4小时内到达现场免费予以排除故障、修复或更换零部件，或启用替代品；如需更换设备或送修，需在2个工作日内解决,涉及安全方面的问题4小时内解决，相关费用包含在本次投标报价内。 </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6.4投标人需提供售后技术支持服务，运行中出现故障接到采购人通知，疑难问题(不危及运行)在24小时内答复；重大问题(危及运行)在2小时内到现场处理或通过网络远程处理完毕；特大问题(系统不能正常运行)在2小时内恢复系统运行，并在24小时内增派技术人员到现场解决，现场予以排除故障、修复或更换零部件，或启用替代品；如需更换设备或送修，在2个工作日内解决；以上费用</w:t>
      </w:r>
      <w:r>
        <w:rPr>
          <w:rFonts w:hint="eastAsia" w:asciiTheme="minorEastAsia" w:hAnsiTheme="minorEastAsia" w:eastAsiaTheme="minorEastAsia" w:cstheme="minorEastAsia"/>
          <w:sz w:val="24"/>
        </w:rPr>
        <w:t xml:space="preserve">全部</w:t>
      </w:r>
      <w:r>
        <w:rPr>
          <w:rFonts w:hint="eastAsia" w:asciiTheme="minorEastAsia" w:hAnsiTheme="minorEastAsia" w:eastAsiaTheme="minorEastAsia" w:cstheme="minorEastAsia"/>
          <w:sz w:val="24"/>
          <w:szCs w:val="24"/>
        </w:rPr>
        <w:t xml:space="preserve">由投标人承担。 </w:t>
      </w:r>
      <w:r/>
    </w:p>
    <w:p>
      <w:pPr>
        <w:ind w:firstLine="480"/>
        <w:jc w:val="left"/>
        <w:spacing w:line="52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★6.5</w:t>
      </w:r>
      <w:r>
        <w:rPr>
          <w:rFonts w:hint="eastAsia" w:asciiTheme="minorEastAsia" w:hAnsiTheme="minorEastAsia" w:eastAsiaTheme="minorEastAsia" w:cstheme="minorEastAsia"/>
          <w:sz w:val="24"/>
          <w:szCs w:val="24"/>
        </w:rPr>
        <w:t xml:space="preserve">其中液质联用仪技术服务：</w:t>
      </w:r>
      <w:r>
        <w:rPr>
          <w:rFonts w:hint="eastAsia" w:asciiTheme="minorEastAsia" w:hAnsiTheme="minorEastAsia" w:eastAsiaTheme="minorEastAsia" w:cstheme="minorEastAsia"/>
          <w:sz w:val="24"/>
        </w:rPr>
        <w:t xml:space="preserve">（以下要求6.5.1、6.5.2 、6.5.3、6.5.4，供应商投标响应时出具承诺，格式自拟，否则视为无效标）</w:t>
      </w:r>
      <w:r/>
    </w:p>
    <w:p>
      <w:pPr>
        <w:pStyle w:val="973"/>
        <w:ind w:firstLine="478"/>
        <w:spacing w:line="5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4"/>
        </w:rPr>
        <w:t xml:space="preserve">6.5.1 中标供应商的所投产品制造商须具备经验丰富的维修工程师和专门的技术应用支持工程师，具备自有的培训中心和应用实验室，</w:t>
      </w:r>
      <w:r>
        <w:rPr>
          <w:rFonts w:hint="eastAsia" w:asciiTheme="minorEastAsia" w:hAnsiTheme="minorEastAsia" w:eastAsiaTheme="minorEastAsia" w:cstheme="minorEastAsia"/>
          <w:sz w:val="24"/>
          <w:szCs w:val="21"/>
        </w:rPr>
        <w:t xml:space="preserve">并向采购人开放技术服务。 </w:t>
      </w:r>
      <w:r/>
    </w:p>
    <w:p>
      <w:pPr>
        <w:ind w:firstLine="480"/>
        <w:jc w:val="left"/>
        <w:spacing w:line="52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6.5.2 中标供应商的所投产品制造商协助采购人进行安装前的准备工作，提供相关的布局图和设计要求，提供实验室建设安装资料并作相应的指导。</w:t>
      </w:r>
      <w:r/>
    </w:p>
    <w:p>
      <w:pPr>
        <w:ind w:firstLine="480"/>
        <w:jc w:val="left"/>
        <w:spacing w:line="52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6.5.3 到货后，中标供应商的所投产品制造商免费提供全面安装工具、并由产品制造商工程师免费安装。仪器安装后，安装工程师为用户进行现场培训。</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6.5.4 中标供应商的所投产品制造商为用户提供2人参加公司举办的仪器培训班（免培训费、食宿费、交通费）。</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注：以上质保期内质保维保质量、</w:t>
      </w:r>
      <w:r>
        <w:rPr>
          <w:rFonts w:hint="eastAsia" w:asciiTheme="minorEastAsia" w:hAnsiTheme="minorEastAsia" w:eastAsiaTheme="minorEastAsia" w:cstheme="minorEastAsia"/>
          <w:sz w:val="24"/>
        </w:rPr>
        <w:t xml:space="preserve">售后服务、技术服务</w:t>
      </w:r>
      <w:r>
        <w:rPr>
          <w:rFonts w:hint="eastAsia" w:asciiTheme="minorEastAsia" w:hAnsiTheme="minorEastAsia" w:eastAsiaTheme="minorEastAsia" w:cstheme="minorEastAsia"/>
          <w:sz w:val="24"/>
          <w:szCs w:val="24"/>
        </w:rPr>
        <w:t xml:space="preserve">及问题故障解决等事务的完成以采购人确认为准。</w:t>
      </w:r>
      <w:r>
        <w:rPr>
          <w:rFonts w:hint="eastAsia" w:asciiTheme="minorEastAsia" w:hAnsiTheme="minorEastAsia" w:eastAsiaTheme="minorEastAsia" w:cstheme="minorEastAsia"/>
          <w:sz w:val="24"/>
        </w:rPr>
        <w:t xml:space="preserve">投标供应商</w:t>
      </w:r>
      <w:r>
        <w:rPr>
          <w:rFonts w:hint="eastAsia" w:asciiTheme="minorEastAsia" w:hAnsiTheme="minorEastAsia" w:eastAsiaTheme="minorEastAsia" w:cstheme="minorEastAsia"/>
          <w:sz w:val="24"/>
          <w:szCs w:val="24"/>
        </w:rPr>
        <w:t xml:space="preserve">未在上述规定时间内履行完成质保及</w:t>
      </w:r>
      <w:r>
        <w:rPr>
          <w:rFonts w:hint="eastAsia" w:asciiTheme="minorEastAsia" w:hAnsiTheme="minorEastAsia" w:eastAsiaTheme="minorEastAsia" w:cstheme="minorEastAsia"/>
          <w:sz w:val="24"/>
        </w:rPr>
        <w:t xml:space="preserve">服务</w:t>
      </w:r>
      <w:r>
        <w:rPr>
          <w:rFonts w:hint="eastAsia" w:asciiTheme="minorEastAsia" w:hAnsiTheme="minorEastAsia" w:eastAsiaTheme="minorEastAsia" w:cstheme="minorEastAsia"/>
          <w:sz w:val="24"/>
          <w:szCs w:val="24"/>
        </w:rPr>
        <w:t xml:space="preserve">责任义务的，采购人可选择委托第三方代为处理，由此产生的费用及损失均由供应商承担，每发生一次，由</w:t>
      </w:r>
      <w:r>
        <w:rPr>
          <w:rFonts w:hint="eastAsia" w:asciiTheme="minorEastAsia" w:hAnsiTheme="minorEastAsia" w:eastAsiaTheme="minorEastAsia" w:cstheme="minorEastAsia"/>
          <w:sz w:val="24"/>
        </w:rPr>
        <w:t xml:space="preserve">投标供应商</w:t>
      </w:r>
      <w:r>
        <w:rPr>
          <w:rFonts w:hint="eastAsia" w:asciiTheme="minorEastAsia" w:hAnsiTheme="minorEastAsia" w:eastAsiaTheme="minorEastAsia" w:cstheme="minorEastAsia"/>
          <w:sz w:val="24"/>
          <w:szCs w:val="24"/>
        </w:rPr>
        <w:t xml:space="preserve">向采购人支付合同总额2%违约金。（采购人可以直接从合同价款中扣除）</w:t>
      </w:r>
      <w:r/>
    </w:p>
    <w:p>
      <w:pPr>
        <w:pStyle w:val="973"/>
        <w:ind w:firstLine="476"/>
        <w:spacing w:line="560" w:lineRule="exact"/>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 xml:space="preserve">（四）项目实施方案</w:t>
      </w:r>
      <w:r/>
    </w:p>
    <w:p>
      <w:pPr>
        <w:pStyle w:val="973"/>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w:t>
      </w:r>
      <w:r>
        <w:rPr>
          <w:rFonts w:hint="eastAsia" w:asciiTheme="minorEastAsia" w:hAnsiTheme="minorEastAsia" w:eastAsiaTheme="minorEastAsia" w:cstheme="minorEastAsia"/>
          <w:sz w:val="24"/>
          <w:szCs w:val="21"/>
        </w:rPr>
        <w:t xml:space="preserve">供应商</w:t>
      </w:r>
      <w:r>
        <w:rPr>
          <w:rFonts w:hint="eastAsia" w:asciiTheme="minorEastAsia" w:hAnsiTheme="minorEastAsia" w:eastAsiaTheme="minorEastAsia" w:cstheme="minorEastAsia"/>
          <w:sz w:val="24"/>
          <w:szCs w:val="24"/>
        </w:rPr>
        <w:t xml:space="preserve">要</w:t>
      </w:r>
      <w:r>
        <w:rPr>
          <w:rFonts w:hint="eastAsia" w:asciiTheme="minorEastAsia" w:hAnsiTheme="minorEastAsia" w:eastAsiaTheme="minorEastAsia" w:cstheme="minorEastAsia"/>
          <w:sz w:val="24"/>
          <w:szCs w:val="24"/>
          <w:lang w:val="zh-CN"/>
        </w:rPr>
        <w:t xml:space="preserve">制定详细</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lang w:val="zh-CN"/>
        </w:rPr>
        <w:t xml:space="preserve">项目</w:t>
      </w:r>
      <w:r>
        <w:rPr>
          <w:rFonts w:hint="eastAsia" w:asciiTheme="minorEastAsia" w:hAnsiTheme="minorEastAsia" w:eastAsiaTheme="minorEastAsia" w:cstheme="minorEastAsia"/>
          <w:sz w:val="24"/>
          <w:szCs w:val="24"/>
        </w:rPr>
        <w:t xml:space="preserve">实施</w:t>
      </w:r>
      <w:r>
        <w:rPr>
          <w:rFonts w:hint="eastAsia" w:asciiTheme="minorEastAsia" w:hAnsiTheme="minorEastAsia" w:eastAsiaTheme="minorEastAsia" w:cstheme="minorEastAsia"/>
          <w:sz w:val="24"/>
          <w:szCs w:val="24"/>
          <w:lang w:val="zh-CN"/>
        </w:rPr>
        <w:t xml:space="preserve">方案</w:t>
      </w:r>
      <w:r>
        <w:rPr>
          <w:rFonts w:hint="eastAsia" w:asciiTheme="minorEastAsia" w:hAnsiTheme="minorEastAsia" w:eastAsiaTheme="minorEastAsia" w:cstheme="minorEastAsia"/>
          <w:sz w:val="24"/>
          <w:szCs w:val="24"/>
        </w:rPr>
        <w:t xml:space="preserve">来完成</w:t>
      </w:r>
      <w:r>
        <w:rPr>
          <w:rFonts w:hint="eastAsia" w:asciiTheme="minorEastAsia" w:hAnsiTheme="minorEastAsia" w:eastAsiaTheme="minorEastAsia" w:cstheme="minorEastAsia"/>
          <w:sz w:val="24"/>
          <w:szCs w:val="24"/>
          <w:lang w:val="zh-CN"/>
        </w:rPr>
        <w:t xml:space="preserve">本项目实际需求，包括</w:t>
      </w:r>
      <w:r>
        <w:rPr>
          <w:rFonts w:hint="eastAsia" w:asciiTheme="minorEastAsia" w:hAnsiTheme="minorEastAsia" w:eastAsiaTheme="minorEastAsia" w:cstheme="minorEastAsia"/>
          <w:sz w:val="24"/>
          <w:szCs w:val="24"/>
        </w:rPr>
        <w:t xml:space="preserve">项目整体实施方案、质量保证方案及措施、售后服务及培训方案等</w:t>
      </w:r>
      <w:r>
        <w:rPr>
          <w:rFonts w:hint="eastAsia" w:asciiTheme="minorEastAsia" w:hAnsiTheme="minorEastAsia" w:eastAsiaTheme="minorEastAsia" w:cstheme="minorEastAsia"/>
          <w:sz w:val="24"/>
          <w:szCs w:val="24"/>
          <w:lang w:val="zh-CN"/>
        </w:rPr>
        <w:t xml:space="preserve">。方案</w:t>
      </w:r>
      <w:r>
        <w:rPr>
          <w:rFonts w:hint="eastAsia" w:asciiTheme="minorEastAsia" w:hAnsiTheme="minorEastAsia" w:eastAsiaTheme="minorEastAsia" w:cstheme="minorEastAsia"/>
          <w:sz w:val="24"/>
          <w:szCs w:val="24"/>
        </w:rPr>
        <w:t xml:space="preserve">总体思路、内容、</w:t>
      </w:r>
      <w:r>
        <w:rPr>
          <w:rFonts w:hint="eastAsia" w:asciiTheme="minorEastAsia" w:hAnsiTheme="minorEastAsia" w:eastAsiaTheme="minorEastAsia" w:cstheme="minorEastAsia"/>
          <w:sz w:val="24"/>
          <w:szCs w:val="24"/>
          <w:lang w:val="zh-CN"/>
        </w:rPr>
        <w:t xml:space="preserve">责任分工、保障措施</w:t>
      </w:r>
      <w:r>
        <w:rPr>
          <w:rFonts w:hint="eastAsia" w:asciiTheme="minorEastAsia" w:hAnsiTheme="minorEastAsia" w:eastAsiaTheme="minorEastAsia" w:cstheme="minorEastAsia"/>
          <w:sz w:val="24"/>
          <w:szCs w:val="24"/>
        </w:rPr>
        <w:t xml:space="preserve">方面</w:t>
      </w:r>
      <w:r>
        <w:rPr>
          <w:rFonts w:hint="eastAsia" w:asciiTheme="minorEastAsia" w:hAnsiTheme="minorEastAsia" w:eastAsiaTheme="minorEastAsia" w:cstheme="minorEastAsia"/>
          <w:sz w:val="24"/>
          <w:szCs w:val="24"/>
          <w:lang w:val="zh-CN"/>
        </w:rPr>
        <w:t xml:space="preserve">，要</w:t>
      </w:r>
      <w:r>
        <w:rPr>
          <w:rFonts w:hint="eastAsia" w:asciiTheme="minorEastAsia" w:hAnsiTheme="minorEastAsia" w:eastAsiaTheme="minorEastAsia" w:cstheme="minorEastAsia"/>
          <w:sz w:val="24"/>
          <w:szCs w:val="24"/>
        </w:rPr>
        <w:t xml:space="preserve">结构严谨，内容完整、详实、明确。在实施期间各阶段工作要清晰、有序，保证在项目实施过程中有序稳步完成。</w:t>
      </w:r>
      <w:r/>
    </w:p>
    <w:p>
      <w:pPr>
        <w:pStyle w:val="973"/>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1、项目整体实施方案</w:t>
      </w:r>
      <w:r/>
    </w:p>
    <w:p>
      <w:pPr>
        <w:pStyle w:val="973"/>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投标人提供本项目整体实施方案，含实施内容、计划进度、供货、物流、安装等各节点事务安排、人员专业配置及职责、配套技术服务及保障措施等。</w:t>
      </w:r>
      <w:r/>
    </w:p>
    <w:p>
      <w:pPr>
        <w:pStyle w:val="973"/>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要求：有具体内容，有实施思路及要点，组织安排有序衔接，有专业人员且职责明确、有具体措施。</w:t>
      </w:r>
      <w:r/>
    </w:p>
    <w:p>
      <w:pPr>
        <w:pStyle w:val="973"/>
        <w:ind w:left="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2、质量保证方案及措施</w:t>
      </w:r>
      <w:r/>
    </w:p>
    <w:p>
      <w:pPr>
        <w:pStyle w:val="973"/>
        <w:ind w:left="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投标人提供质量管理目标及质量控制措施等方案，含质量管理目标、项目质量保</w:t>
      </w:r>
      <w:r/>
    </w:p>
    <w:p>
      <w:pPr>
        <w:pStyle w:val="973"/>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障管理计划、思路，安全管理、质量控制措施、检验检测标准、测试流程、测试技术质量保障，各种紧急、突发情况应急处置方案与措施、问题解决机制及管理流程，项目验收流程及质量保障措施等。</w:t>
      </w:r>
      <w:r/>
    </w:p>
    <w:p>
      <w:pPr>
        <w:pStyle w:val="973"/>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要求：有具体内容，思路明确，有质量管理及控制保障措施，有要点，检测调试要求及标准符合国家行业要求，有应急处置及验收机制及质量措施。</w:t>
      </w:r>
      <w:r/>
    </w:p>
    <w:p>
      <w:pPr>
        <w:pStyle w:val="973"/>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3、售后服务及培训方案 </w:t>
      </w:r>
      <w:r/>
    </w:p>
    <w:p>
      <w:pPr>
        <w:pStyle w:val="973"/>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提供售后服务方案，含售后服务管理体系，提供包含服务范围、响应时间、响应措施，以及质保期满后主要产品、配件优惠等内容与措施，及技术培训方案（包括产品安装、检验、调试、使用和维护、一般故障排除、重大故障应急等方面的培训等内容）与措施等内容，覆盖项目整体服务及售后质保维保期。</w:t>
      </w:r>
      <w:r/>
    </w:p>
    <w:p>
      <w:pPr>
        <w:pStyle w:val="973"/>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要求：有具体内容，针对本项目细化制定，有服务思路、有具体措施，有可操作性。</w:t>
      </w:r>
      <w:r/>
    </w:p>
    <w:p>
      <w:pPr>
        <w:pStyle w:val="973"/>
        <w:ind w:firstLine="482"/>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四、验收要求</w:t>
      </w:r>
      <w:r/>
    </w:p>
    <w:p>
      <w:pPr>
        <w:ind w:firstLine="480"/>
        <w:spacing w:before="120" w:after="120" w:line="520" w:lineRule="exact"/>
        <w:rPr>
          <w:rFonts w:hint="eastAsia" w:asciiTheme="minorEastAsia" w:hAnsiTheme="minorEastAsia" w:eastAsiaTheme="minorEastAsia" w:cstheme="minorEastAsia"/>
          <w:sz w:val="24"/>
          <w:szCs w:val="24"/>
        </w:rPr>
      </w:pPr>
      <w:r/>
      <w:bookmarkStart w:id="137" w:name="OLE_LINK9"/>
      <w:r>
        <w:rPr>
          <w:rFonts w:hint="eastAsia" w:asciiTheme="minorEastAsia" w:hAnsiTheme="minorEastAsia" w:eastAsiaTheme="minorEastAsia" w:cstheme="minorEastAsia"/>
          <w:sz w:val="24"/>
          <w:szCs w:val="24"/>
        </w:rPr>
        <w:t xml:space="preserve">（一） 甲方依法组织履约验收工作。</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（1）质量要求</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合格。符合国家、行业规范及要求、符合项目招标文件及投标响应文件要求。</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（2）验收方案：全面完成本项目服务后，供应商提出申请，采购人按程序组织验收。</w:t>
      </w:r>
      <w:r/>
    </w:p>
    <w:p>
      <w:pPr>
        <w:ind w:firstLine="480"/>
        <w:jc w:val="left"/>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验收主体：宿迁学院。</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验收时间：项目合同履约期结束，满足验收条件情况下，供应商向采购人申请，采购人在接到该申请的3个工作日内，</w:t>
      </w:r>
      <w:r>
        <w:rPr>
          <w:rFonts w:hint="eastAsia" w:asciiTheme="minorEastAsia" w:hAnsiTheme="minorEastAsia" w:eastAsiaTheme="minorEastAsia" w:cstheme="minorEastAsia"/>
          <w:sz w:val="24"/>
          <w:szCs w:val="24"/>
        </w:rPr>
        <w:t xml:space="preserve">组织开展本项目的履约</w:t>
      </w:r>
      <w:r>
        <w:rPr>
          <w:rFonts w:hint="eastAsia" w:asciiTheme="minorEastAsia" w:hAnsiTheme="minorEastAsia" w:eastAsiaTheme="minorEastAsia" w:cstheme="minorEastAsia"/>
          <w:sz w:val="24"/>
          <w:szCs w:val="24"/>
        </w:rPr>
        <w:t xml:space="preserve">验收</w:t>
      </w:r>
      <w:r>
        <w:rPr>
          <w:rFonts w:hint="eastAsia" w:asciiTheme="minorEastAsia" w:hAnsiTheme="minorEastAsia" w:eastAsiaTheme="minorEastAsia" w:cstheme="minorEastAsia"/>
          <w:sz w:val="24"/>
          <w:szCs w:val="24"/>
        </w:rPr>
        <w:t xml:space="preserve">评价，出具履约</w:t>
      </w:r>
      <w:r>
        <w:rPr>
          <w:rFonts w:hint="eastAsia" w:asciiTheme="minorEastAsia" w:hAnsiTheme="minorEastAsia" w:eastAsiaTheme="minorEastAsia" w:cstheme="minorEastAsia"/>
          <w:sz w:val="24"/>
          <w:szCs w:val="24"/>
        </w:rPr>
        <w:t xml:space="preserve">验收</w:t>
      </w:r>
      <w:r>
        <w:rPr>
          <w:rFonts w:hint="eastAsia" w:asciiTheme="minorEastAsia" w:hAnsiTheme="minorEastAsia" w:eastAsiaTheme="minorEastAsia" w:cstheme="minorEastAsia"/>
          <w:sz w:val="24"/>
          <w:szCs w:val="24"/>
        </w:rPr>
        <w:t xml:space="preserve">评价报告；</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验收标准：应符合国家、行业</w:t>
      </w:r>
      <w:r>
        <w:rPr>
          <w:rFonts w:hint="eastAsia" w:asciiTheme="minorEastAsia" w:hAnsiTheme="minorEastAsia" w:eastAsiaTheme="minorEastAsia" w:cstheme="minorEastAsia"/>
          <w:sz w:val="24"/>
          <w:szCs w:val="24"/>
        </w:rPr>
        <w:t xml:space="preserve">规范及要求。</w:t>
      </w:r>
      <w:r>
        <w:rPr>
          <w:rFonts w:hint="eastAsia" w:asciiTheme="minorEastAsia" w:hAnsiTheme="minorEastAsia" w:eastAsiaTheme="minorEastAsia" w:cstheme="minorEastAsia"/>
          <w:sz w:val="24"/>
          <w:szCs w:val="24"/>
        </w:rPr>
        <w:t xml:space="preserve">符合本项目招标文件需求及要求、响应文件及其承诺。（</w:t>
      </w:r>
      <w:r>
        <w:rPr>
          <w:rFonts w:hint="eastAsia" w:asciiTheme="minorEastAsia" w:hAnsiTheme="minorEastAsia" w:eastAsiaTheme="minorEastAsia" w:cstheme="minorEastAsia"/>
          <w:sz w:val="24"/>
          <w:szCs w:val="24"/>
        </w:rPr>
        <w:t xml:space="preserve">需要体现本项目产品功能和技术参数的真实环境检测成果。</w:t>
      </w:r>
      <w:r>
        <w:rPr>
          <w:rFonts w:hint="eastAsia" w:asciiTheme="minorEastAsia" w:hAnsiTheme="minorEastAsia" w:eastAsiaTheme="minorEastAsia" w:cstheme="minorEastAsia"/>
          <w:sz w:val="24"/>
          <w:szCs w:val="24"/>
        </w:rPr>
        <w:t xml:space="preserve">）</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验收内容包括：项目产品产地、货号、规格、数量、外观质量、及设备与产品是否完好、功能技术参数是否齐全符合招标要求等。</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（二）如有必要，甲方邀请参加本项目的其他投标供应商或第三方专业机构及专家参与验收，相关意见将作为验收的参考资料。</w:t>
      </w:r>
      <w:r/>
    </w:p>
    <w:p>
      <w:pPr>
        <w:ind w:firstLine="480"/>
        <w:spacing w:before="120" w:after="120"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before="120" w:after="120"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bookmarkEnd w:id="137"/>
      <w:r/>
      <w:r/>
    </w:p>
    <w:p>
      <w:pPr>
        <w:pStyle w:val="981"/>
        <w:ind w:firstLine="480"/>
        <w:spacing w:line="5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注：</w:t>
      </w:r>
      <w:r/>
    </w:p>
    <w:p>
      <w:pPr>
        <w:pStyle w:val="981"/>
        <w:ind w:firstLine="480"/>
        <w:spacing w:line="5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1、投标人所提供项目服务质量必须符合国家相关标准且必须满足本次采购的要求，如有不合格，造成的损失和后果由</w:t>
      </w:r>
      <w:r>
        <w:rPr>
          <w:rFonts w:hint="eastAsia" w:asciiTheme="minorEastAsia" w:hAnsiTheme="minorEastAsia" w:eastAsiaTheme="minorEastAsia" w:cstheme="minorEastAsia"/>
          <w:color w:val="auto"/>
          <w:szCs w:val="21"/>
        </w:rPr>
        <w:t xml:space="preserve">投标供应商</w:t>
      </w:r>
      <w:r>
        <w:rPr>
          <w:rFonts w:hint="eastAsia" w:asciiTheme="minorEastAsia" w:hAnsiTheme="minorEastAsia" w:eastAsiaTheme="minorEastAsia" w:cstheme="minorEastAsia"/>
          <w:color w:val="auto"/>
        </w:rPr>
        <w:t xml:space="preserve">负全责。</w:t>
      </w:r>
      <w:r/>
    </w:p>
    <w:p>
      <w:pPr>
        <w:pStyle w:val="981"/>
        <w:ind w:firstLine="480"/>
        <w:spacing w:line="5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2、发货前，</w:t>
      </w:r>
      <w:r>
        <w:rPr>
          <w:rFonts w:hint="eastAsia" w:asciiTheme="minorEastAsia" w:hAnsiTheme="minorEastAsia" w:eastAsiaTheme="minorEastAsia" w:cstheme="minorEastAsia"/>
          <w:color w:val="auto"/>
          <w:szCs w:val="21"/>
        </w:rPr>
        <w:t xml:space="preserve">投标供应商</w:t>
      </w:r>
      <w:r>
        <w:rPr>
          <w:rFonts w:hint="eastAsia" w:asciiTheme="minorEastAsia" w:hAnsiTheme="minorEastAsia" w:eastAsiaTheme="minorEastAsia" w:cstheme="minorEastAsia"/>
          <w:color w:val="auto"/>
        </w:rPr>
        <w:t xml:space="preserve">应对该批次货物的质量、规格、性能、数量或重量等进行准确全面检验，并出具一份证明货物符合合同规定的检验合格证明材料（含检验的结果和具体内容），但该证明材料不应视为最终检验。</w:t>
      </w:r>
      <w:r>
        <w:rPr>
          <w:rFonts w:hint="eastAsia" w:asciiTheme="minorEastAsia" w:hAnsiTheme="minorEastAsia" w:eastAsiaTheme="minorEastAsia" w:cstheme="minorEastAsia"/>
          <w:color w:val="auto"/>
          <w:szCs w:val="21"/>
        </w:rPr>
        <w:t xml:space="preserve">采购人有权抽检，</w:t>
      </w:r>
      <w:r>
        <w:rPr>
          <w:rFonts w:hint="eastAsia" w:asciiTheme="minorEastAsia" w:hAnsiTheme="minorEastAsia" w:eastAsiaTheme="minorEastAsia" w:cstheme="minorEastAsia"/>
          <w:color w:val="auto"/>
        </w:rPr>
        <w:t xml:space="preserve">抽检不合格的，要求</w:t>
      </w:r>
      <w:r>
        <w:rPr>
          <w:rFonts w:hint="eastAsia" w:asciiTheme="minorEastAsia" w:hAnsiTheme="minorEastAsia" w:eastAsiaTheme="minorEastAsia" w:cstheme="minorEastAsia"/>
          <w:color w:val="auto"/>
          <w:szCs w:val="21"/>
        </w:rPr>
        <w:t xml:space="preserve">投标供应商</w:t>
      </w:r>
      <w:r>
        <w:rPr>
          <w:rFonts w:hint="eastAsia" w:asciiTheme="minorEastAsia" w:hAnsiTheme="minorEastAsia" w:eastAsiaTheme="minorEastAsia" w:cstheme="minorEastAsia"/>
          <w:color w:val="auto"/>
        </w:rPr>
        <w:t xml:space="preserve">更换合格产品，并同时赔偿因此给采购人带来的损失和责任。且</w:t>
      </w:r>
      <w:r>
        <w:rPr>
          <w:rFonts w:hint="eastAsia" w:asciiTheme="minorEastAsia" w:hAnsiTheme="minorEastAsia" w:eastAsiaTheme="minorEastAsia" w:cstheme="minorEastAsia"/>
          <w:color w:val="auto"/>
          <w:szCs w:val="21"/>
        </w:rPr>
        <w:t xml:space="preserve">投标供应商全面承担该检测费用。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所提供产品为原厂全新正品，品牌、型号、参数与投标文件所投产品一致，否则采购人有权退货。</w:t>
      </w:r>
      <w:r/>
    </w:p>
    <w:p>
      <w:pPr>
        <w:pStyle w:val="981"/>
        <w:ind w:firstLine="480"/>
        <w:spacing w:line="56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3、货物交付后至验收合格前，如存在货物破损、自身材质、规格等质量缺陷，采购人有权要求将货物退场，由此引起的一切后果由供应商全面承担。不能通过验收的，供应商将自行承担全部损失。</w:t>
      </w:r>
      <w:r/>
    </w:p>
    <w:p>
      <w:pPr>
        <w:pStyle w:val="973"/>
        <w:ind w:firstLine="482"/>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五、报价及其它要求：</w:t>
      </w:r>
      <w:r/>
    </w:p>
    <w:p>
      <w:pPr>
        <w:ind w:firstLine="480"/>
        <w:jc w:val="left"/>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1、报价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本项目不接受备选的投标方案或有选择的报价，只允许有一个报价。</w:t>
      </w:r>
      <w:r>
        <w:rPr>
          <w:rFonts w:hint="eastAsia" w:asciiTheme="minorEastAsia" w:hAnsiTheme="minorEastAsia" w:eastAsiaTheme="minorEastAsia" w:cstheme="minorEastAsia"/>
          <w:sz w:val="24"/>
          <w:szCs w:val="24"/>
        </w:rPr>
        <w:t xml:space="preserve">报价内容包括：响应报价应包括货款、专用工具装备、包装、运输装卸、人员劳务、安全及保险(供应商自行考虑)、货到就位、项目涉及的安装、系统调试、检验检测、售后质保维保，以及其他有关项目管理费用、税金等完成本项目所涉及到的一切招标投标相关费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(注:(1)本项目仪器设备与甲方现有系统设备设施的全面适配及兼容等费用含在综合报价内，投标供应商自行勘察现场，自行考虑相关风险，不再另计。</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以上包含但不限于项目履约期安全风险保障等责任及费用，须全面满足项目需求和要求，不足部分，供应商自行补足且视为供应商主动让利，相关风险由供应商自行承担，含在项目综合报价中，不再另行增加。)</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2、投标人报价时应充分考虑所有可能影响到报价的因素，一旦评标结束最终中标，如发生漏、缺、少项，都将被认为是投标人的报价让利行为，损失自负。</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3、报价为完成该项目所涉及到的一切相关费用，采购人不再支付其他任何费用。</w:t>
      </w:r>
      <w:r/>
    </w:p>
    <w:p>
      <w:pPr>
        <w:ind w:firstLine="482"/>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r/>
    </w:p>
    <w:p>
      <w:pPr>
        <w:ind w:firstLine="482"/>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r/>
    </w:p>
    <w:p>
      <w:pPr>
        <w:ind w:firstLine="482"/>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r/>
    </w:p>
    <w:p>
      <w:pPr>
        <w:ind w:firstLine="482"/>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r/>
    </w:p>
    <w:p>
      <w:pPr>
        <w:ind w:firstLine="482"/>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r/>
    </w:p>
    <w:p>
      <w:pPr>
        <w:ind w:firstLine="482"/>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r/>
    </w:p>
    <w:p>
      <w:pPr>
        <w:ind w:firstLine="482"/>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r/>
    </w:p>
    <w:p>
      <w:pPr>
        <w:ind w:firstLine="482"/>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r/>
    </w:p>
    <w:p>
      <w:pPr>
        <w:ind w:firstLine="482"/>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r/>
    </w:p>
    <w:p>
      <w:pPr>
        <w:ind w:firstLine="482"/>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r/>
    </w:p>
    <w:p>
      <w:pPr>
        <w:jc w:val="center"/>
        <w:keepLines/>
        <w:keepNext/>
        <w:spacing w:before="200" w:after="200"/>
        <w:rPr>
          <w:rFonts w:hint="eastAsia" w:asciiTheme="minorEastAsia" w:hAnsiTheme="minorEastAsia" w:eastAsiaTheme="minorEastAsia" w:cstheme="minorEastAsia"/>
          <w:sz w:val="44"/>
          <w:szCs w:val="44"/>
        </w:rPr>
        <w:outlineLvl w:val="0"/>
      </w:pPr>
      <w:r/>
      <w:bookmarkStart w:id="138" w:name="_Toc120614281"/>
      <w:r>
        <w:rPr>
          <w:rFonts w:hint="eastAsia" w:asciiTheme="minorEastAsia" w:hAnsiTheme="minorEastAsia" w:eastAsiaTheme="minorEastAsia" w:cstheme="minorEastAsia"/>
          <w:sz w:val="44"/>
          <w:szCs w:val="44"/>
        </w:rPr>
        <w:t xml:space="preserve">第五章  合同文本</w:t>
      </w:r>
      <w:bookmarkStart w:id="139" w:name="_Toc20823315"/>
      <w:r/>
      <w:bookmarkStart w:id="140" w:name="_Toc513029243"/>
      <w:r/>
      <w:bookmarkStart w:id="141" w:name="_Toc16938559"/>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备注：为推进政府采购标准化建设，规范政府采购合同签订行为，财政部制定了《政府采购货物买卖合同（试行）》，供采购人参考使用。招标文件定稿后该备注删除。</w:t>
      </w:r>
      <w:r/>
    </w:p>
    <w:p>
      <w:pP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rPr>
          <w:rFonts w:hint="eastAsia" w:asciiTheme="minorEastAsia" w:hAnsiTheme="minorEastAsia" w:eastAsiaTheme="minorEastAsia" w:cstheme="minorEastAsia"/>
          <w:spacing w:val="-20"/>
          <w:sz w:val="32"/>
          <w:szCs w:val="32"/>
        </w:rPr>
      </w:pPr>
      <w:r>
        <w:rPr>
          <w:rFonts w:hint="eastAsia" w:asciiTheme="minorEastAsia" w:hAnsiTheme="minorEastAsia" w:eastAsiaTheme="minorEastAsia" w:cstheme="minorEastAsia"/>
          <w:spacing w:val="-20"/>
          <w:sz w:val="32"/>
          <w:szCs w:val="32"/>
        </w:rPr>
      </w:r>
      <w:r/>
    </w:p>
    <w:p>
      <w:pPr>
        <w:jc w:val="center"/>
        <w:rPr>
          <w:rFonts w:hint="eastAsia" w:asciiTheme="minorEastAsia" w:hAnsiTheme="minorEastAsia" w:eastAsiaTheme="minorEastAsia" w:cstheme="minorEastAsia"/>
          <w:spacing w:val="-20"/>
          <w:sz w:val="32"/>
          <w:szCs w:val="32"/>
        </w:rPr>
      </w:pPr>
      <w:r/>
      <w:bookmarkStart w:id="142" w:name="_Hlk187856708"/>
      <w:r/>
      <w:r/>
    </w:p>
    <w:p>
      <w:pPr>
        <w:jc w:val="center"/>
        <w:rPr>
          <w:rFonts w:hint="eastAsia" w:asciiTheme="minorEastAsia" w:hAnsiTheme="minorEastAsia" w:eastAsiaTheme="minorEastAsia" w:cstheme="minorEastAsia"/>
          <w:spacing w:val="-20"/>
          <w:sz w:val="32"/>
          <w:szCs w:val="32"/>
        </w:rPr>
      </w:pPr>
      <w:r>
        <w:rPr>
          <w:rFonts w:hint="eastAsia" w:asciiTheme="minorEastAsia" w:hAnsiTheme="minorEastAsia" w:eastAsiaTheme="minorEastAsia" w:cstheme="minorEastAsia"/>
          <w:spacing w:val="-20"/>
          <w:sz w:val="32"/>
          <w:szCs w:val="32"/>
        </w:rPr>
        <w:t xml:space="preserve">财政部 政府采购货物买卖合同（试行）</w:t>
      </w:r>
      <w:r/>
    </w:p>
    <w:p>
      <w:pPr>
        <w:jc w:val="center"/>
        <w:rPr>
          <w:rFonts w:hint="eastAsia" w:asciiTheme="minorEastAsia" w:hAnsiTheme="minorEastAsia" w:eastAsiaTheme="minorEastAsia" w:cstheme="minorEastAsia"/>
          <w:spacing w:val="-20"/>
          <w:sz w:val="32"/>
          <w:szCs w:val="32"/>
        </w:rPr>
      </w:pPr>
      <w:r>
        <w:rPr>
          <w:rFonts w:hint="eastAsia" w:asciiTheme="minorEastAsia" w:hAnsiTheme="minorEastAsia" w:eastAsiaTheme="minorEastAsia" w:cstheme="minorEastAsia"/>
          <w:spacing w:val="-20"/>
          <w:sz w:val="32"/>
          <w:szCs w:val="32"/>
        </w:rPr>
        <w:t xml:space="preserve">范    本</w:t>
      </w:r>
      <w:r/>
    </w:p>
    <w:p>
      <w:pPr>
        <w:rPr>
          <w:rFonts w:hint="eastAsia" w:asciiTheme="minorEastAsia" w:hAnsiTheme="minorEastAsia" w:eastAsiaTheme="minorEastAsia" w:cstheme="minorEastAsia"/>
          <w:spacing w:val="-20"/>
          <w:sz w:val="40"/>
          <w:szCs w:val="40"/>
        </w:rPr>
      </w:pPr>
      <w:r>
        <w:rPr>
          <w:rFonts w:hint="eastAsia" w:asciiTheme="minorEastAsia" w:hAnsiTheme="minorEastAsia" w:eastAsiaTheme="minorEastAsia" w:cstheme="minorEastAsia"/>
          <w:spacing w:val="-20"/>
          <w:sz w:val="40"/>
          <w:szCs w:val="40"/>
        </w:rPr>
      </w:r>
      <w:r/>
    </w:p>
    <w:p>
      <w:pPr>
        <w:rPr>
          <w:rFonts w:hint="eastAsia" w:asciiTheme="minorEastAsia" w:hAnsiTheme="minorEastAsia" w:eastAsiaTheme="minorEastAsia" w:cstheme="minorEastAsia"/>
          <w:spacing w:val="-20"/>
          <w:sz w:val="40"/>
          <w:szCs w:val="40"/>
        </w:rPr>
      </w:pPr>
      <w:r>
        <w:rPr>
          <w:rFonts w:hint="eastAsia" w:asciiTheme="minorEastAsia" w:hAnsiTheme="minorEastAsia" w:eastAsiaTheme="minorEastAsia" w:cstheme="minorEastAsia"/>
          <w:spacing w:val="-20"/>
          <w:sz w:val="40"/>
          <w:szCs w:val="40"/>
        </w:rPr>
      </w:r>
      <w:r/>
    </w:p>
    <w:p>
      <w:pPr>
        <w:rPr>
          <w:rFonts w:hint="eastAsia" w:asciiTheme="minorEastAsia" w:hAnsiTheme="minorEastAsia" w:eastAsiaTheme="minorEastAsia" w:cstheme="minorEastAsia"/>
          <w:spacing w:val="-20"/>
          <w:sz w:val="40"/>
          <w:szCs w:val="40"/>
        </w:rPr>
      </w:pPr>
      <w:r>
        <w:rPr>
          <w:rFonts w:hint="eastAsia" w:asciiTheme="minorEastAsia" w:hAnsiTheme="minorEastAsia" w:eastAsiaTheme="minorEastAsia" w:cstheme="minorEastAsia"/>
          <w:spacing w:val="-20"/>
          <w:sz w:val="40"/>
          <w:szCs w:val="40"/>
        </w:rPr>
      </w:r>
      <w:r/>
    </w:p>
    <w:p>
      <w:pPr>
        <w:ind w:left="42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w:t>
      </w:r>
      <w:r>
        <w:rPr>
          <w:rFonts w:hint="eastAsia" w:asciiTheme="minorEastAsia" w:hAnsiTheme="minorEastAsia" w:eastAsiaTheme="minorEastAsia" w:cstheme="minorEastAsia"/>
          <w:sz w:val="24"/>
          <w:szCs w:val="24"/>
          <w:u w:val="single"/>
        </w:rPr>
        <w:t xml:space="preserve">宿迁学院测量检测仪器设备采购项目</w:t>
      </w:r>
      <w:r/>
    </w:p>
    <w:p>
      <w:pPr>
        <w:ind w:left="420"/>
        <w:spacing w:line="36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合同编号：</w:t>
      </w:r>
      <w:r>
        <w:rPr>
          <w:rFonts w:hint="eastAsia" w:asciiTheme="minorEastAsia" w:hAnsiTheme="minorEastAsia" w:eastAsiaTheme="minorEastAsia" w:cstheme="minorEastAsia"/>
          <w:sz w:val="28"/>
          <w:szCs w:val="28"/>
          <w:u w:val="single"/>
        </w:rPr>
        <w:t xml:space="preserve">                             </w:t>
      </w:r>
      <w:r/>
    </w:p>
    <w:p>
      <w:pPr>
        <w:ind w:left="42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甲    方：</w:t>
      </w:r>
      <w:r>
        <w:rPr>
          <w:rFonts w:hint="eastAsia" w:asciiTheme="minorEastAsia" w:hAnsiTheme="minorEastAsia" w:eastAsiaTheme="minorEastAsia" w:cstheme="minorEastAsia"/>
          <w:sz w:val="24"/>
          <w:szCs w:val="24"/>
          <w:u w:val="single"/>
        </w:rPr>
        <w:t xml:space="preserve">宿迁学院</w:t>
      </w:r>
      <w:r/>
    </w:p>
    <w:p>
      <w:pPr>
        <w:ind w:left="420"/>
        <w:spacing w:line="36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乙    方：</w:t>
      </w:r>
      <w:r>
        <w:rPr>
          <w:rFonts w:hint="eastAsia" w:asciiTheme="minorEastAsia" w:hAnsiTheme="minorEastAsia" w:eastAsiaTheme="minorEastAsia" w:cstheme="minorEastAsia"/>
          <w:sz w:val="28"/>
          <w:szCs w:val="28"/>
          <w:u w:val="single"/>
        </w:rPr>
        <w:t xml:space="preserve">                             </w:t>
      </w:r>
      <w:r/>
    </w:p>
    <w:p>
      <w:pPr>
        <w:ind w:left="42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签订时间：</w:t>
      </w:r>
      <w:r>
        <w:rPr>
          <w:rFonts w:hint="eastAsia" w:asciiTheme="minorEastAsia" w:hAnsiTheme="minorEastAsia" w:eastAsiaTheme="minorEastAsia" w:cstheme="minorEastAsia"/>
          <w:sz w:val="28"/>
          <w:szCs w:val="28"/>
          <w:u w:val="single"/>
        </w:rPr>
        <w:t xml:space="preserve">                             </w:t>
      </w:r>
      <w:bookmarkEnd w:id="142"/>
      <w:r/>
      <w:r/>
    </w:p>
    <w:p>
      <w:pP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使 用 说 明</w:t>
      </w:r>
      <w:r/>
    </w:p>
    <w:p>
      <w:pPr>
        <w:ind w:firstLine="64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1.本合同标准文本适用于购买现成货物的采购项目，不包括需要供应商定制开发、创新研发的货物采购项目。</w:t>
      </w:r>
      <w:r/>
    </w:p>
    <w:p>
      <w:pPr>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2.本合同标准文本为政府采购货物买卖合同编制提供参考，可以结合采购项目具体情况，对文本作必要的调整修订后使用。</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3.本合同标准文本各条款中，如涉及填写多家供应商、制造商，多种采购标的、分包主要内容等信息的，可根据采购项目具体情况添加信息项。</w:t>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jc w:val="center"/>
        <w:keepLines/>
        <w:keepNext/>
        <w:spacing w:before="260" w:after="260" w:line="400" w:lineRule="exact"/>
        <w:rPr>
          <w:rFonts w:hint="eastAsia" w:asciiTheme="minorEastAsia" w:hAnsiTheme="minorEastAsia" w:eastAsiaTheme="minorEastAsia" w:cstheme="minorEastAsia"/>
          <w:sz w:val="32"/>
          <w:szCs w:val="32"/>
        </w:rPr>
        <w:outlineLvl w:val="1"/>
      </w:pPr>
      <w:r>
        <w:rPr>
          <w:rFonts w:hint="eastAsia" w:asciiTheme="minorEastAsia" w:hAnsiTheme="minorEastAsia" w:eastAsiaTheme="minorEastAsia" w:cstheme="minorEastAsia"/>
          <w:sz w:val="32"/>
          <w:szCs w:val="32"/>
        </w:rPr>
        <w:t xml:space="preserve">第一节 政府采购合同协议书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甲方（全称）：</w:t>
      </w:r>
      <w:r>
        <w:rPr>
          <w:rFonts w:hint="eastAsia" w:asciiTheme="minorEastAsia" w:hAnsiTheme="minorEastAsia" w:eastAsiaTheme="minorEastAsia" w:cstheme="minorEastAsia"/>
          <w:sz w:val="24"/>
          <w:szCs w:val="24"/>
          <w:u w:val="single"/>
        </w:rPr>
        <w:t xml:space="preserve">宿迁学院 </w:t>
      </w:r>
      <w:r>
        <w:rPr>
          <w:rFonts w:hint="eastAsia" w:asciiTheme="minorEastAsia" w:hAnsiTheme="minorEastAsia" w:eastAsiaTheme="minorEastAsia" w:cstheme="minorEastAsia"/>
          <w:sz w:val="24"/>
          <w:szCs w:val="24"/>
        </w:rPr>
        <w:t xml:space="preserve">（采购人、受采购人委托签订合同的单位或采购文件约定的合同甲方）</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乙方（全称）：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（供应商）</w:t>
      </w:r>
      <w:r/>
    </w:p>
    <w:p>
      <w:pPr>
        <w:ind w:firstLine="480"/>
        <w:spacing w:line="400" w:lineRule="exact"/>
        <w:rPr>
          <w:rFonts w:hint="eastAsia" w:asciiTheme="minorEastAsia" w:hAnsiTheme="minorEastAsia" w:eastAsiaTheme="minorEastAsia" w:cstheme="minorEastAsia"/>
          <w:sz w:val="24"/>
          <w:szCs w:val="24"/>
        </w:rPr>
      </w:pPr>
      <w:r/>
      <w:bookmarkStart w:id="143" w:name="_Hlk187832913"/>
      <w:r>
        <w:rPr>
          <w:rFonts w:hint="eastAsia" w:asciiTheme="minorEastAsia" w:hAnsiTheme="minorEastAsia" w:eastAsiaTheme="minorEastAsia" w:cstheme="minorEastAsia"/>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bookmarkEnd w:id="143"/>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项目信息</w:t>
      </w:r>
      <w:r/>
    </w:p>
    <w:p>
      <w:pPr>
        <w:ind w:firstLine="200"/>
        <w:spacing w:line="400" w:lineRule="exact"/>
        <w:rPr>
          <w:rFonts w:hint="eastAsia" w:asciiTheme="minorEastAsia" w:hAnsiTheme="minorEastAsia" w:eastAsiaTheme="minorEastAsia" w:cstheme="minorEastAsia"/>
          <w:sz w:val="24"/>
          <w:szCs w:val="24"/>
          <w:u w:val="single"/>
        </w:rPr>
      </w:pPr>
      <w:r/>
      <w:bookmarkStart w:id="144" w:name="_Hlk187833240"/>
      <w:r>
        <w:rPr>
          <w:rFonts w:hint="eastAsia" w:asciiTheme="minorEastAsia" w:hAnsiTheme="minorEastAsia" w:eastAsiaTheme="minorEastAsia" w:cstheme="minorEastAsia"/>
          <w:sz w:val="24"/>
          <w:szCs w:val="24"/>
        </w:rPr>
        <w:t xml:space="preserve">（1）采购项目名称：</w:t>
      </w:r>
      <w:r>
        <w:rPr>
          <w:rFonts w:hint="eastAsia" w:asciiTheme="minorEastAsia" w:hAnsiTheme="minorEastAsia" w:eastAsiaTheme="minorEastAsia" w:cstheme="minorEastAsia"/>
          <w:sz w:val="24"/>
          <w:szCs w:val="24"/>
          <w:u w:val="single"/>
        </w:rPr>
        <w:t xml:space="preserve">宿迁学院测量检测仪器设备采购项目</w:t>
      </w:r>
      <w:r/>
    </w:p>
    <w:p>
      <w:pPr>
        <w:ind w:firstLine="20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采购项目编号：</w:t>
      </w:r>
      <w:r>
        <w:rPr>
          <w:rFonts w:hint="eastAsia" w:asciiTheme="minorEastAsia" w:hAnsiTheme="minorEastAsia" w:eastAsiaTheme="minorEastAsia" w:cstheme="minorEastAsia"/>
          <w:sz w:val="24"/>
          <w:szCs w:val="24"/>
          <w:u w:val="single"/>
        </w:rPr>
        <w:t xml:space="preserve">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（2）采购计划编号：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（3）项目内容：</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采购标的及数量（台/套/个/架/组等）：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                    规格型号：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（因清单子目及数量较多，详见招标中标清单（作为附件），含数量）</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采购标的的技术要求、商务要求具体见附件。</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涉及信息类产品，请填写该产品关键部件的品牌、型号：</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标的名称：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关键部件：           品牌：         型号：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关键部件：           品牌：         型号：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关键部件：           品牌：         型号：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②涉及车辆采购，请填写是否属于新能源汽车：</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是，《政府采购品目分类目录》底级品目名称：      数量：     金额：      </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（4）政府采购组织形式：</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政府集中采购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部门集中采购  </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分散采购</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（5）政府采购方式：</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公开招标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邀请招标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竞争性谈判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竞争性磋商</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询价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单一来源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框架协议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其他：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（注：在框架协议采购的第二阶段，可选择使用该合同文本）</w:t>
      </w:r>
      <w:r/>
    </w:p>
    <w:p>
      <w:pPr>
        <w:numPr>
          <w:ilvl w:val="0"/>
          <w:numId w:val="4"/>
        </w:num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中标采购标的制造商是否为中小企业：</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    </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若本项目不专门面向中小企业采购，是否给予小微企业评审优惠：</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中标采购标的制造商是否为残疾人福利性单位：</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中标采购标的制造商是否为监狱企业：</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（7）合同是否分包：</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       </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分包主要内容：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分包供应商/制造商名称（如供应商和制造商不同，请分别填写）：</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分包供应商/制造商类型（如果供应商和制造商不同，只填写制造商类型）：</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大型企业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中型企业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小微型企业  </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残疾人福利性单位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监狱企业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其他</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（8）中标（成交）供应商是否为外商投资企业：</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外商投资企业类型：</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全部由外国投资者投资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部分由外国投资者投资</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（9）是否涉及进口产品：</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是，《政府采购品目分类目录》底级品目名称：          金额：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国别：         品牌：         规格型号：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（10）是否涉及节能产品：</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是，《节能产品政府采购品目清单》的底级品目名称：              </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强制采购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优先采购    </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是否涉及环境标志产品：</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是，《环境标志产品政府采购品目清单》的底级品目名称：          </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强制采购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优先采购    </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是否涉及绿色产品：</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是，绿色产品政府采购相关政策确定的底级品目名称：         </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强制采购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优先采购    </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不涉及</w:t>
      </w:r>
      <w:bookmarkEnd w:id="144"/>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1.合同金额</w:t>
      </w:r>
      <w:r/>
    </w:p>
    <w:p>
      <w:pPr>
        <w:ind w:firstLine="480"/>
        <w:spacing w:line="400" w:lineRule="exact"/>
        <w:rPr>
          <w:rFonts w:hint="eastAsia" w:asciiTheme="minorEastAsia" w:hAnsiTheme="minorEastAsia" w:eastAsiaTheme="minorEastAsia" w:cstheme="minorEastAsia"/>
          <w:sz w:val="24"/>
          <w:szCs w:val="24"/>
        </w:rPr>
      </w:pPr>
      <w:r/>
      <w:bookmarkStart w:id="145" w:name="_Hlk187833021"/>
      <w:r>
        <w:rPr>
          <w:rFonts w:hint="eastAsia" w:asciiTheme="minorEastAsia" w:hAnsiTheme="minorEastAsia" w:eastAsiaTheme="minorEastAsia" w:cstheme="minorEastAsia"/>
          <w:sz w:val="24"/>
          <w:szCs w:val="24"/>
        </w:rPr>
        <w:t xml:space="preserve">（1）合同金额小写：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大写：</w:t>
      </w:r>
      <w:r>
        <w:rPr>
          <w:rFonts w:hint="eastAsia" w:asciiTheme="minorEastAsia" w:hAnsiTheme="minorEastAsia" w:eastAsiaTheme="minorEastAsia" w:cstheme="minorEastAsia"/>
          <w:sz w:val="24"/>
          <w:szCs w:val="24"/>
          <w:u w:val="single"/>
        </w:rPr>
        <w:t xml:space="preserve">                     </w:t>
      </w:r>
      <w:bookmarkEnd w:id="145"/>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分包金额（如有）小写：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大写：</w:t>
      </w:r>
      <w:r>
        <w:rPr>
          <w:rFonts w:hint="eastAsia" w:asciiTheme="minorEastAsia" w:hAnsiTheme="minorEastAsia" w:eastAsiaTheme="minorEastAsia" w:cstheme="minorEastAsia"/>
          <w:sz w:val="24"/>
          <w:szCs w:val="24"/>
          <w:u w:val="single"/>
        </w:rPr>
        <w:t xml:space="preserve">                   </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（注：固定单价合同应填写单价和最高限价）</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（2）合同定价方式（采用组合定价方式的，可以勾选多项）：</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cstheme="minorEastAsia"/>
          <w:iCs/>
          <w:sz w:val="24"/>
          <w:szCs w:val="24"/>
        </w:rPr>
        <w:t xml:space="preserve">固定总价 </w:t>
      </w:r>
      <w:r>
        <w:rPr>
          <w:rFonts w:ascii="Wingdings" w:hAnsi="Wingdings" w:eastAsia="Wingdings" w:cs="Wingdings"/>
          <w:iCs/>
          <w:sz w:val="24"/>
          <w:szCs w:val="24"/>
        </w:rPr>
        <w:t xml:space="preserve">¨</w:t>
      </w:r>
      <w:r>
        <w:rPr>
          <w:rFonts w:hint="eastAsia" w:asciiTheme="minorEastAsia" w:hAnsiTheme="minorEastAsia" w:eastAsiaTheme="minorEastAsia" w:cstheme="minorEastAsia"/>
          <w:iCs/>
          <w:sz w:val="24"/>
          <w:szCs w:val="24"/>
        </w:rPr>
        <w:t xml:space="preserve">固定单价 </w:t>
      </w:r>
      <w:r>
        <w:rPr>
          <w:rFonts w:ascii="Wingdings" w:hAnsi="Wingdings" w:eastAsia="Wingdings" w:cs="Wingdings"/>
          <w:iCs/>
          <w:sz w:val="24"/>
          <w:szCs w:val="24"/>
        </w:rPr>
        <w:t xml:space="preserve">¨</w:t>
      </w:r>
      <w:r>
        <w:rPr>
          <w:rFonts w:hint="eastAsia" w:asciiTheme="minorEastAsia" w:hAnsiTheme="minorEastAsia" w:eastAsiaTheme="minorEastAsia" w:cstheme="minorEastAsia"/>
          <w:iCs/>
          <w:sz w:val="24"/>
          <w:szCs w:val="24"/>
        </w:rPr>
        <w:t xml:space="preserve">固定费率 </w:t>
      </w:r>
      <w:r>
        <w:rPr>
          <w:rFonts w:ascii="Wingdings" w:hAnsi="Wingdings" w:eastAsia="Wingdings" w:cs="Wingdings"/>
          <w:iCs/>
          <w:sz w:val="24"/>
          <w:szCs w:val="24"/>
        </w:rPr>
        <w:t xml:space="preserve">¨</w:t>
      </w:r>
      <w:r>
        <w:rPr>
          <w:rFonts w:hint="eastAsia" w:asciiTheme="minorEastAsia" w:hAnsiTheme="minorEastAsia" w:eastAsiaTheme="minorEastAsia" w:cstheme="minorEastAsia"/>
          <w:iCs/>
          <w:sz w:val="24"/>
          <w:szCs w:val="24"/>
        </w:rPr>
        <w:t xml:space="preserve">成本补偿 </w:t>
      </w:r>
      <w:r>
        <w:rPr>
          <w:rFonts w:ascii="Wingdings" w:hAnsi="Wingdings" w:eastAsia="Wingdings" w:cs="Wingdings"/>
          <w:iCs/>
          <w:sz w:val="24"/>
          <w:szCs w:val="24"/>
        </w:rPr>
        <w:t xml:space="preserve">¨</w:t>
      </w:r>
      <w:r>
        <w:rPr>
          <w:rFonts w:hint="eastAsia" w:asciiTheme="minorEastAsia" w:hAnsiTheme="minorEastAsia" w:eastAsiaTheme="minorEastAsia" w:cstheme="minorEastAsia"/>
          <w:iCs/>
          <w:sz w:val="24"/>
          <w:szCs w:val="24"/>
        </w:rPr>
        <w:t xml:space="preserve">绩效激励 </w:t>
      </w:r>
      <w:r>
        <w:rPr>
          <w:rFonts w:ascii="Wingdings" w:hAnsi="Wingdings" w:eastAsia="Wingdings" w:cs="Wingdings"/>
          <w:iCs/>
          <w:sz w:val="24"/>
          <w:szCs w:val="24"/>
        </w:rPr>
        <w:t xml:space="preserve">¨</w:t>
      </w:r>
      <w:r>
        <w:rPr>
          <w:rFonts w:hint="eastAsia" w:asciiTheme="minorEastAsia" w:hAnsiTheme="minorEastAsia" w:eastAsiaTheme="minorEastAsia" w:cstheme="minorEastAsia"/>
          <w:iCs/>
          <w:sz w:val="24"/>
          <w:szCs w:val="24"/>
        </w:rPr>
        <w:t xml:space="preserve">其他</w:t>
      </w:r>
      <w:r>
        <w:rPr>
          <w:rFonts w:hint="eastAsia" w:asciiTheme="minorEastAsia" w:hAnsiTheme="minorEastAsia" w:eastAsiaTheme="minorEastAsia" w:cstheme="minorEastAsia"/>
          <w:sz w:val="24"/>
          <w:szCs w:val="24"/>
          <w:u w:val="single"/>
        </w:rPr>
        <w:t xml:space="preserve">       </w:t>
      </w:r>
      <w:r/>
    </w:p>
    <w:p>
      <w:pPr>
        <w:contextualSpacing/>
        <w:ind w:firstLine="480"/>
        <w:jc w:val="left"/>
        <w:spacing w:line="400" w:lineRule="exact"/>
        <w:widowControl/>
        <w:rPr>
          <w:rFonts w:hint="eastAsia" w:asciiTheme="minorEastAsia" w:hAnsiTheme="minorEastAsia" w:eastAsiaTheme="minorEastAsia" w:cstheme="minorEastAsia"/>
          <w:sz w:val="24"/>
          <w:szCs w:val="24"/>
          <w:lang w:bidi="en-US"/>
        </w:rPr>
      </w:pPr>
      <w:r>
        <w:rPr>
          <w:rFonts w:hint="eastAsia" w:asciiTheme="minorEastAsia" w:hAnsiTheme="minorEastAsia" w:eastAsiaTheme="minorEastAsia" w:cstheme="minorEastAsia"/>
          <w:sz w:val="24"/>
          <w:szCs w:val="24"/>
          <w:lang w:bidi="en-US"/>
        </w:rPr>
        <w:t xml:space="preserve">（3）付款方式（按项目实际勾选填写）：</w:t>
      </w:r>
      <w:r/>
    </w:p>
    <w:p>
      <w:pPr>
        <w:ind w:firstLine="480"/>
        <w:spacing w:line="400" w:lineRule="exact"/>
        <w:rPr>
          <w:rFonts w:hint="eastAsia" w:asciiTheme="minorEastAsia" w:hAnsiTheme="minorEastAsia" w:eastAsiaTheme="minorEastAsia" w:cstheme="minorEastAsia"/>
          <w:sz w:val="24"/>
          <w:szCs w:val="24"/>
          <w:u w:val="single"/>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全额付款：</w:t>
      </w:r>
      <w:r>
        <w:rPr>
          <w:rFonts w:hint="eastAsia" w:asciiTheme="minorEastAsia" w:hAnsiTheme="minorEastAsia" w:eastAsiaTheme="minorEastAsia" w:cstheme="minorEastAsia"/>
          <w:sz w:val="24"/>
          <w:szCs w:val="24"/>
          <w:u w:val="single"/>
        </w:rPr>
        <w:t xml:space="preserve">（应明确一次性支付合同款项的条件）                    </w:t>
      </w:r>
      <w:r/>
    </w:p>
    <w:p>
      <w:pPr>
        <w:ind w:firstLine="480"/>
        <w:spacing w:line="400" w:lineRule="exact"/>
        <w:rPr>
          <w:rFonts w:hint="eastAsia" w:asciiTheme="minorEastAsia" w:hAnsiTheme="minorEastAsia" w:eastAsiaTheme="minorEastAsia" w:cstheme="minorEastAsia"/>
          <w:sz w:val="24"/>
          <w:lang w:val="zh-CN"/>
        </w:rPr>
      </w:pP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分期付款：</w:t>
      </w:r>
      <w:bookmarkStart w:id="146" w:name="_Hlk187834001"/>
      <w:r>
        <w:rPr>
          <w:rFonts w:hint="eastAsia" w:asciiTheme="minorEastAsia" w:hAnsiTheme="minorEastAsia" w:eastAsiaTheme="minorEastAsia" w:cstheme="minorEastAsia"/>
          <w:sz w:val="24"/>
          <w:szCs w:val="24"/>
        </w:rPr>
        <w:t xml:space="preserve">（应明确分期支付合同款项的各期比例和支付条件，各期支付条件应与分期履约验收情况挂钩）</w:t>
      </w:r>
      <w:bookmarkEnd w:id="146"/>
      <w:r/>
      <w:r/>
    </w:p>
    <w:p>
      <w:pPr>
        <w:ind w:firstLine="480"/>
        <w:spacing w:line="52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预付款：合同金额的</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0%，合同签订后按规定支付；</w:t>
      </w:r>
      <w:r/>
    </w:p>
    <w:p>
      <w:pPr>
        <w:ind w:firstLine="480"/>
        <w:spacing w:line="5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进度款：货到安装验收合格后15日内付清全款。</w:t>
      </w:r>
      <w:r/>
    </w:p>
    <w:p>
      <w:pPr>
        <w:ind w:firstLine="480"/>
        <w:spacing w:line="52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注：付款前，乙方应</w:t>
      </w:r>
      <w:r>
        <w:rPr>
          <w:rFonts w:hint="eastAsia" w:asciiTheme="minorEastAsia" w:hAnsiTheme="minorEastAsia" w:eastAsiaTheme="minorEastAsia" w:cstheme="minorEastAsia"/>
          <w:sz w:val="24"/>
        </w:rPr>
        <w:t xml:space="preserve">向</w:t>
      </w:r>
      <w:r>
        <w:rPr>
          <w:rFonts w:hint="eastAsia" w:asciiTheme="minorEastAsia" w:hAnsiTheme="minorEastAsia" w:eastAsiaTheme="minorEastAsia" w:cstheme="minorEastAsia"/>
          <w:sz w:val="24"/>
          <w:lang w:val="zh-CN"/>
        </w:rPr>
        <w:t xml:space="preserve">甲方提供符合要求的增值税发票，否则，甲方有权拒绝付款，同时不免除乙方合同履行义务。甲方可从应付款中直接扣除乙方应承担的违约金或其他费用。</w:t>
      </w:r>
      <w:r/>
    </w:p>
    <w:p>
      <w:pPr>
        <w:ind w:firstLine="480"/>
        <w:spacing w:line="52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r>
      <w:r/>
    </w:p>
    <w:p>
      <w:pPr>
        <w:ind w:firstLine="480"/>
        <w:spacing w:line="52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注：付款前，乙方应</w:t>
      </w:r>
      <w:r>
        <w:rPr>
          <w:rFonts w:hint="eastAsia" w:asciiTheme="minorEastAsia" w:hAnsiTheme="minorEastAsia" w:eastAsiaTheme="minorEastAsia" w:cstheme="minorEastAsia"/>
          <w:sz w:val="24"/>
        </w:rPr>
        <w:t xml:space="preserve">向</w:t>
      </w:r>
      <w:r>
        <w:rPr>
          <w:rFonts w:hint="eastAsia" w:asciiTheme="minorEastAsia" w:hAnsiTheme="minorEastAsia" w:eastAsiaTheme="minorEastAsia" w:cstheme="minorEastAsia"/>
          <w:sz w:val="24"/>
          <w:lang w:val="zh-CN"/>
        </w:rPr>
        <w:t xml:space="preserve">甲方提供符合要求的增值税发票，否则，甲方有权拒绝付款，同时不免除乙方合同履行义务。甲方可从应付款中直接扣除乙方应承担的违约金或其他费用。</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（备注：根据《关于进一步提高政府采购透明度和采购效率相关事项的通知》（财办库〔2023〕243号）规定，对于有预付安排的合同，鼓励采购人将合同预付款比例提高到30%以上。</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于满足合同约定支付条件的，采购人原则上应当自收到发票后10个工作日内将资金支付到合同约定的供应商账户，鼓励采购人完善内部流程，自收到发票后1个工作日内完成资金支付事宜。招标文件定稿后该备注删除。）</w:t>
      </w:r>
      <w:r/>
    </w:p>
    <w:p>
      <w:pPr>
        <w:ind w:firstLine="480"/>
        <w:spacing w:line="400" w:lineRule="exact"/>
        <w:rPr>
          <w:rFonts w:hint="eastAsia" w:asciiTheme="minorEastAsia" w:hAnsiTheme="minorEastAsia" w:eastAsiaTheme="minorEastAsia" w:cstheme="minorEastAsia"/>
          <w:sz w:val="24"/>
          <w:szCs w:val="24"/>
          <w:u w:val="single"/>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成本补偿：</w:t>
      </w:r>
      <w:r>
        <w:rPr>
          <w:rFonts w:hint="eastAsia" w:asciiTheme="minorEastAsia" w:hAnsiTheme="minorEastAsia" w:eastAsiaTheme="minorEastAsia" w:cstheme="minorEastAsia"/>
          <w:sz w:val="24"/>
          <w:szCs w:val="24"/>
          <w:u w:val="single"/>
        </w:rPr>
        <w:t xml:space="preserve">      （应明确按照成本补偿方式的支付方式和支付条件）</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绩效激励：</w:t>
      </w:r>
      <w:r>
        <w:rPr>
          <w:rFonts w:hint="eastAsia" w:asciiTheme="minorEastAsia" w:hAnsiTheme="minorEastAsia" w:eastAsiaTheme="minorEastAsia" w:cstheme="minorEastAsia"/>
          <w:sz w:val="24"/>
          <w:szCs w:val="24"/>
          <w:u w:val="single"/>
        </w:rPr>
        <w:t xml:space="preserve">      （应明确按照绩效激励方式的支付方式和支付条件）   </w:t>
      </w:r>
      <w:r/>
    </w:p>
    <w:p>
      <w:pPr>
        <w:ind w:left="482"/>
        <w:spacing w:line="400" w:lineRule="exact"/>
        <w:rPr>
          <w:rFonts w:hint="eastAsia" w:asciiTheme="minorEastAsia" w:hAnsiTheme="minorEastAsia" w:eastAsiaTheme="minorEastAsia" w:cstheme="minorEastAsia"/>
          <w:sz w:val="24"/>
          <w:szCs w:val="24"/>
          <w:u w:val="single"/>
        </w:rPr>
      </w:pPr>
      <w:r/>
      <w:bookmarkStart w:id="147" w:name="_Hlk187834132"/>
      <w:r>
        <w:rPr>
          <w:rFonts w:hint="eastAsia" w:asciiTheme="minorEastAsia" w:hAnsiTheme="minorEastAsia" w:eastAsiaTheme="minorEastAsia" w:cstheme="minorEastAsia"/>
          <w:sz w:val="24"/>
          <w:szCs w:val="24"/>
        </w:rPr>
        <w:t xml:space="preserve">2.合同履行</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（1）起始日期：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日，完成日期：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（2）履约地点：</w:t>
      </w:r>
      <w:r>
        <w:rPr>
          <w:rFonts w:hint="eastAsia" w:asciiTheme="minorEastAsia" w:hAnsiTheme="minorEastAsia" w:eastAsiaTheme="minorEastAsia" w:cstheme="minorEastAsia"/>
          <w:sz w:val="24"/>
          <w:szCs w:val="24"/>
          <w:u w:val="single"/>
        </w:rPr>
        <w:t xml:space="preserve">                             </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（3）履约担保：</w:t>
      </w:r>
      <w:bookmarkStart w:id="148" w:name="_Hlk187834600"/>
      <w:r>
        <w:rPr>
          <w:rFonts w:hint="eastAsia" w:asciiTheme="minorEastAsia" w:hAnsiTheme="minorEastAsia" w:eastAsiaTheme="minorEastAsia" w:cstheme="minorEastAsia"/>
          <w:sz w:val="24"/>
          <w:szCs w:val="24"/>
        </w:rPr>
        <w:t xml:space="preserve">是否收取履约保证金：</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bookmarkEnd w:id="148"/>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按采购合同总价的</w:t>
      </w:r>
      <w:r>
        <w:rPr>
          <w:rFonts w:hint="eastAsia" w:asciiTheme="minorEastAsia" w:hAnsiTheme="minorEastAsia" w:eastAsiaTheme="minorEastAsia" w:cstheme="minorEastAsia"/>
          <w:sz w:val="24"/>
          <w:u w:val="single"/>
        </w:rPr>
        <w:t xml:space="preserve">5 </w:t>
      </w:r>
      <w:r>
        <w:rPr>
          <w:rFonts w:hint="eastAsia" w:asciiTheme="minorEastAsia" w:hAnsiTheme="minorEastAsia" w:eastAsiaTheme="minorEastAsia" w:cstheme="minorEastAsia"/>
          <w:sz w:val="24"/>
        </w:rPr>
        <w:t xml:space="preserve">%提交。</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支持和鼓励投标人使用江苏政府采购电子履约保函（保险）代替缴纳履约保证金，投标人如使用江苏政府采购电子履约保函（保险）的，可按采购合同总价的</w:t>
      </w:r>
      <w:r>
        <w:rPr>
          <w:rFonts w:hint="eastAsia" w:asciiTheme="minorEastAsia" w:hAnsiTheme="minorEastAsia" w:eastAsiaTheme="minorEastAsia" w:cstheme="minorEastAsia"/>
          <w:sz w:val="24"/>
          <w:u w:val="single"/>
        </w:rPr>
        <w:t xml:space="preserve"> 3</w:t>
      </w:r>
      <w:r>
        <w:rPr>
          <w:rFonts w:hint="eastAsia" w:asciiTheme="minorEastAsia" w:hAnsiTheme="minorEastAsia" w:eastAsiaTheme="minorEastAsia" w:cstheme="minorEastAsia"/>
          <w:sz w:val="24"/>
        </w:rPr>
        <w:t xml:space="preserve"> %（履约保证金原提交金额的6折）提交。办理流程、偿付等内容见江苏政府采购网“保险保函”模块。</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2.1履约保证金退还方式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2.2履约保证金退还条件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具有验收合格相关证明材料。</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2.3履约保证金退还时间</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采购人收到投标人退付申请后5个工作日内退还。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2.4履约保证金不予退还情形</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2.5逾期退还履约保证金违约责任</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（4）分期履行要求：</w:t>
      </w:r>
      <w:r>
        <w:rPr>
          <w:rFonts w:hint="eastAsia" w:asciiTheme="minorEastAsia" w:hAnsiTheme="minorEastAsia" w:eastAsiaTheme="minorEastAsia" w:cstheme="minorEastAsia"/>
          <w:sz w:val="24"/>
          <w:szCs w:val="24"/>
          <w:u w:val="single"/>
        </w:rPr>
        <w:t xml:space="preserve">                                                     </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（5）风险处置措施和替代方案：</w:t>
      </w:r>
      <w:r>
        <w:rPr>
          <w:rFonts w:hint="eastAsia" w:asciiTheme="minorEastAsia" w:hAnsiTheme="minorEastAsia" w:eastAsiaTheme="minorEastAsia" w:cstheme="minorEastAsia"/>
          <w:sz w:val="24"/>
          <w:szCs w:val="24"/>
          <w:u w:val="single"/>
        </w:rPr>
        <w:t xml:space="preserve">                                           </w:t>
      </w:r>
      <w:bookmarkEnd w:id="147"/>
      <w:r/>
      <w:r/>
    </w:p>
    <w:p>
      <w:pPr>
        <w:ind w:left="482"/>
        <w:spacing w:line="400" w:lineRule="exact"/>
        <w:rPr>
          <w:rFonts w:hint="eastAsia" w:asciiTheme="minorEastAsia" w:hAnsiTheme="minorEastAsia" w:eastAsiaTheme="minorEastAsia" w:cstheme="minorEastAsia"/>
          <w:sz w:val="24"/>
          <w:szCs w:val="24"/>
        </w:rPr>
      </w:pPr>
      <w:r/>
      <w:bookmarkStart w:id="149" w:name="_Hlk187834828"/>
      <w:r>
        <w:rPr>
          <w:rFonts w:hint="eastAsia" w:asciiTheme="minorEastAsia" w:hAnsiTheme="minorEastAsia" w:eastAsiaTheme="minorEastAsia" w:cstheme="minorEastAsia"/>
          <w:sz w:val="24"/>
          <w:szCs w:val="24"/>
        </w:rPr>
        <w:t xml:space="preserve">3.合同验收</w:t>
      </w:r>
      <w:r/>
    </w:p>
    <w:p>
      <w:pPr>
        <w:numPr>
          <w:ilvl w:val="0"/>
          <w:numId w:val="5"/>
        </w:num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验收组织方式：</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自行组织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委托第三方组织</w:t>
      </w:r>
      <w:r/>
    </w:p>
    <w:p>
      <w:pPr>
        <w:ind w:left="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主体：</w:t>
      </w:r>
      <w:r>
        <w:rPr>
          <w:rFonts w:hint="eastAsia" w:asciiTheme="minorEastAsia" w:hAnsiTheme="minorEastAsia" w:eastAsiaTheme="minorEastAsia" w:cstheme="minorEastAsia"/>
          <w:sz w:val="24"/>
          <w:szCs w:val="24"/>
          <w:u w:val="single"/>
        </w:rPr>
        <w:t xml:space="preserve">                  </w:t>
      </w:r>
      <w:r/>
    </w:p>
    <w:p>
      <w:pPr>
        <w:ind w:left="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是否邀请本项目的其他供应商参加验收：</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  </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是否邀请专家参加验收：</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是否邀请服务对象参加验收：</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是否邀请第三方检测机构参加验收：</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是否进行抽查检测：</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是，抽查比例：</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是否存在破坏性检测：</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w:t>
      </w:r>
      <w:r>
        <w:rPr>
          <w:rFonts w:hint="eastAsia" w:asciiTheme="minorEastAsia" w:hAnsiTheme="minorEastAsia" w:eastAsiaTheme="minorEastAsia" w:cstheme="minorEastAsia"/>
          <w:sz w:val="24"/>
          <w:szCs w:val="24"/>
          <w:u w:val="single"/>
        </w:rPr>
        <w:t xml:space="preserve">（应明确对被破坏的检测产品的处理方式）</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验收组织的其他事项：</w:t>
      </w:r>
      <w:r>
        <w:rPr>
          <w:rFonts w:hint="eastAsia" w:asciiTheme="minorEastAsia" w:hAnsiTheme="minorEastAsia" w:eastAsiaTheme="minorEastAsia" w:cstheme="minorEastAsia"/>
          <w:sz w:val="24"/>
          <w:szCs w:val="24"/>
          <w:u w:val="single"/>
        </w:rPr>
        <w:t xml:space="preserve">                </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（2）履约验收时间：</w:t>
      </w:r>
      <w:r>
        <w:rPr>
          <w:rFonts w:hint="eastAsia" w:asciiTheme="minorEastAsia" w:hAnsiTheme="minorEastAsia" w:eastAsiaTheme="minorEastAsia" w:cstheme="minorEastAsia"/>
          <w:sz w:val="24"/>
          <w:szCs w:val="24"/>
          <w:u w:val="single"/>
        </w:rPr>
        <w:t xml:space="preserve">（计划于何时验收/供应商提出验收申请之日起3个工作日内组织验收）</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（3）履约验收方式：</w:t>
      </w:r>
      <w:r/>
    </w:p>
    <w:p>
      <w:pPr>
        <w:ind w:firstLine="480"/>
        <w:spacing w:line="400" w:lineRule="exact"/>
        <w:rPr>
          <w:rFonts w:hint="eastAsia" w:asciiTheme="minorEastAsia" w:hAnsiTheme="minorEastAsia" w:eastAsiaTheme="minorEastAsia" w:cs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一次性验收 </w:t>
      </w:r>
      <w:r/>
    </w:p>
    <w:p>
      <w:pPr>
        <w:ind w:firstLine="480"/>
        <w:spacing w:line="400" w:lineRule="exact"/>
        <w:rPr>
          <w:rFonts w:hint="eastAsia" w:asciiTheme="minorEastAsia" w:hAnsiTheme="minorEastAsia" w:eastAsiaTheme="minorEastAsia" w:cstheme="minorEastAsia"/>
          <w:sz w:val="24"/>
          <w:szCs w:val="24"/>
          <w:u w:val="single"/>
        </w:rPr>
      </w:pP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分期/分项验收：</w:t>
      </w:r>
      <w:r>
        <w:rPr>
          <w:rFonts w:hint="eastAsia" w:asciiTheme="minorEastAsia" w:hAnsiTheme="minorEastAsia" w:eastAsiaTheme="minorEastAsia" w:cstheme="minorEastAsia"/>
          <w:sz w:val="24"/>
          <w:szCs w:val="24"/>
          <w:u w:val="single"/>
        </w:rPr>
        <w:t xml:space="preserve">（应明确分期/分项验收的工作安排）</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（4）履约验收程序：</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履约验收条件达到时，采购人在5个工作日内启动履约验收工作，并向供应商发出《政府采购履约验收通知单》</w:t>
      </w:r>
      <w:r>
        <w:rPr>
          <w:rFonts w:hint="eastAsia" w:asciiTheme="minorEastAsia" w:hAnsiTheme="minorEastAsia" w:eastAsiaTheme="minorEastAsia" w:cstheme="minorEastAsia"/>
          <w:sz w:val="24"/>
          <w:szCs w:val="24"/>
          <w:u w:val="single"/>
        </w:rPr>
        <w:t xml:space="preserve">。</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验收小组制定验收工作实施方案，按照方案开展验收；履约验收工作结束后，验收小组应形成书面验收意见。</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采购人、供应商对验收小组出具的验收意见进行确认，并形成政府采购履约验收书，验收书格式见江苏省财政厅印发的《政府采购履约验收书参考样本》。</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（5）履约验收的内容：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项目产品产地、货号、规格、数量、外观质量、及设备与产品是否完好、功能是否齐全符合招标要求等。</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（6）履约验收标准：</w:t>
      </w:r>
      <w:r>
        <w:rPr>
          <w:rFonts w:hint="eastAsia" w:asciiTheme="minorEastAsia" w:hAnsiTheme="minorEastAsia" w:eastAsiaTheme="minorEastAsia" w:cstheme="minorEastAsia"/>
          <w:sz w:val="24"/>
          <w:szCs w:val="24"/>
        </w:rPr>
        <w:t xml:space="preserve">应符合国家、行业</w:t>
      </w:r>
      <w:r>
        <w:rPr>
          <w:rFonts w:hint="eastAsia" w:asciiTheme="minorEastAsia" w:hAnsiTheme="minorEastAsia" w:eastAsiaTheme="minorEastAsia" w:cstheme="minorEastAsia"/>
          <w:sz w:val="24"/>
          <w:szCs w:val="24"/>
        </w:rPr>
        <w:t xml:space="preserve">规范及要求。</w:t>
      </w:r>
      <w:r>
        <w:rPr>
          <w:rFonts w:hint="eastAsia" w:asciiTheme="minorEastAsia" w:hAnsiTheme="minorEastAsia" w:eastAsiaTheme="minorEastAsia" w:cstheme="minorEastAsia"/>
          <w:sz w:val="24"/>
          <w:szCs w:val="24"/>
        </w:rPr>
        <w:t xml:space="preserve">符合本项目招标文件需求及要求、响应文件及其承诺。</w:t>
      </w:r>
      <w:r>
        <w:rPr>
          <w:rFonts w:hint="eastAsia" w:asciiTheme="minorEastAsia" w:hAnsiTheme="minorEastAsia" w:eastAsiaTheme="minorEastAsia" w:cstheme="minorEastAsia"/>
          <w:sz w:val="24"/>
          <w:szCs w:val="24"/>
          <w:u w:val="single"/>
        </w:rPr>
        <w:t xml:space="preserve"> </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否</w:t>
      </w:r>
      <w:r/>
    </w:p>
    <w:p>
      <w:pPr>
        <w:ind w:firstLine="480"/>
        <w:spacing w:line="4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（8）履约验收其他事项：其他全面</w:t>
      </w:r>
      <w:r>
        <w:rPr>
          <w:rFonts w:hint="eastAsia" w:asciiTheme="minorEastAsia" w:hAnsiTheme="minorEastAsia" w:eastAsiaTheme="minorEastAsia" w:cstheme="minorEastAsia"/>
          <w:sz w:val="24"/>
          <w:szCs w:val="24"/>
          <w:u w:val="single"/>
        </w:rPr>
        <w:t xml:space="preserve">服从甲方安排。          </w:t>
      </w:r>
      <w:r/>
    </w:p>
    <w:p>
      <w:pPr>
        <w:ind w:left="48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4.组成合同的文件</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如下述文件之间有任何抵触、矛盾或歧义，应按以下顺序解释：</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（1）政府采购合同协议书及其变更、补充协议</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（2）政府采购合同专用条款</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（3）政府采购合同通用条款</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（4）中标通知书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（5）投标文件</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（6）采购文件</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（7）有关技术文件，图纸</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rPr>
        <w:t xml:space="preserve">国家法律、行政法规和规章制度规定或合同约定的作为合同组成部分的其他文件</w:t>
      </w:r>
      <w:r/>
    </w:p>
    <w:p>
      <w:pPr>
        <w:ind w:left="48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5.合同生效</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本合同自</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生效。</w:t>
      </w:r>
      <w:r/>
    </w:p>
    <w:p>
      <w:pPr>
        <w:ind w:left="48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6.合同份数</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本合同一式</w:t>
      </w:r>
      <w:r>
        <w:rPr>
          <w:rFonts w:hint="eastAsia" w:asciiTheme="minorEastAsia" w:hAnsiTheme="minorEastAsia" w:eastAsiaTheme="minorEastAsia" w:cstheme="minorEastAsia"/>
          <w:sz w:val="24"/>
          <w:szCs w:val="24"/>
          <w:u w:val="single"/>
        </w:rPr>
        <w:t xml:space="preserve"> 陆</w:t>
      </w:r>
      <w:r>
        <w:rPr>
          <w:rFonts w:hint="eastAsia" w:asciiTheme="minorEastAsia" w:hAnsiTheme="minorEastAsia" w:eastAsiaTheme="minorEastAsia" w:cstheme="minorEastAsia"/>
          <w:sz w:val="24"/>
          <w:szCs w:val="24"/>
        </w:rPr>
        <w:t xml:space="preserve">份，甲方执</w:t>
      </w:r>
      <w:r>
        <w:rPr>
          <w:rFonts w:hint="eastAsia" w:asciiTheme="minorEastAsia" w:hAnsiTheme="minorEastAsia" w:eastAsiaTheme="minorEastAsia" w:cstheme="minorEastAsia"/>
          <w:sz w:val="24"/>
          <w:szCs w:val="24"/>
          <w:u w:val="single"/>
        </w:rPr>
        <w:t xml:space="preserve"> 叁</w:t>
      </w:r>
      <w:r>
        <w:rPr>
          <w:rFonts w:hint="eastAsia" w:asciiTheme="minorEastAsia" w:hAnsiTheme="minorEastAsia" w:eastAsiaTheme="minorEastAsia" w:cstheme="minorEastAsia"/>
          <w:sz w:val="24"/>
          <w:szCs w:val="24"/>
        </w:rPr>
        <w:t xml:space="preserve">份，乙方执</w:t>
      </w:r>
      <w:r>
        <w:rPr>
          <w:rFonts w:hint="eastAsia" w:asciiTheme="minorEastAsia" w:hAnsiTheme="minorEastAsia" w:eastAsiaTheme="minorEastAsia" w:cstheme="minorEastAsia"/>
          <w:sz w:val="24"/>
          <w:szCs w:val="24"/>
          <w:u w:val="single"/>
        </w:rPr>
        <w:t xml:space="preserve"> 叁 </w:t>
      </w:r>
      <w:r>
        <w:rPr>
          <w:rFonts w:hint="eastAsia" w:asciiTheme="minorEastAsia" w:hAnsiTheme="minorEastAsia" w:eastAsiaTheme="minorEastAsia" w:cstheme="minorEastAsia"/>
          <w:sz w:val="24"/>
          <w:szCs w:val="24"/>
        </w:rPr>
        <w:t xml:space="preserve">份。</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合同订立时间：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合同订立地点：</w:t>
      </w:r>
      <w:r>
        <w:rPr>
          <w:rFonts w:hint="eastAsia" w:asciiTheme="minorEastAsia" w:hAnsiTheme="minorEastAsia" w:eastAsiaTheme="minorEastAsia" w:cstheme="minorEastAsia"/>
          <w:sz w:val="24"/>
          <w:szCs w:val="24"/>
          <w:u w:val="single"/>
        </w:rPr>
        <w:t xml:space="preserve">                           </w:t>
      </w:r>
      <w:bookmarkEnd w:id="149"/>
      <w:r/>
      <w:r/>
    </w:p>
    <w:p>
      <w:pPr>
        <w:ind w:firstLine="480"/>
        <w:spacing w:line="400" w:lineRule="exact"/>
        <w:rPr>
          <w:rFonts w:hint="eastAsia" w:asciiTheme="minorEastAsia" w:hAnsiTheme="minorEastAsia" w:eastAsiaTheme="minorEastAsia" w:cstheme="minorEastAsia"/>
          <w:sz w:val="24"/>
          <w:szCs w:val="24"/>
        </w:rPr>
      </w:pPr>
      <w:r/>
      <w:bookmarkStart w:id="150" w:name="_Hlk187835227"/>
      <w:r>
        <w:rPr>
          <w:rFonts w:hint="eastAsia" w:asciiTheme="minorEastAsia" w:hAnsiTheme="minorEastAsia" w:eastAsiaTheme="minorEastAsia" w:cstheme="minorEastAsia"/>
          <w:sz w:val="24"/>
          <w:szCs w:val="24"/>
        </w:rPr>
        <w:t xml:space="preserve">附件：具体标的及其技术要求和商务要求、联合协议、分包意向协议等</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791"/>
        <w:tblW w:w="9035"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甲方（采购人、受采购人委托签订合同的单位或采购文件约定的合同甲方）</w:t>
            </w:r>
            <w:r/>
          </w:p>
        </w:tc>
        <w:tc>
          <w:tcPr>
            <w:gridSpan w:val="2"/>
            <w:tcBorders>
              <w:left w:val="single" w:color="auto" w:sz="2" w:space="0"/>
              <w:bottom w:val="single" w:color="auto" w:sz="2" w:space="0"/>
            </w:tcBorders>
            <w:tcW w:w="4406"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单位名称（公章或合同章）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p>
            <w:pPr>
              <w:ind w:firstLine="115"/>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或其委托代理人（签章）</w:t>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或其委托代理人（签章）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拥有者性别</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住  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住  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 系 人</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通信地址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邮政编码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电子邮箱</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统一社会信用代码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开户名称</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开户银行</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银行账号</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586"/>
        </w:trPr>
        <w:tc>
          <w:tcPr>
            <w:gridSpan w:val="4"/>
            <w:tcBorders>
              <w:top w:val="single" w:color="auto" w:sz="2" w:space="0"/>
            </w:tcBorders>
            <w:tcW w:w="9035" w:type="dxa"/>
            <w:vAlign w:val="center"/>
            <w:textDirection w:val="lrTb"/>
            <w:noWrap w:val="false"/>
          </w:tcPr>
          <w:p>
            <w:pPr>
              <w:ind w:firstLine="225"/>
              <w:spacing w:before="120" w:line="36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z w:val="24"/>
                <w:szCs w:val="24"/>
              </w:rPr>
              <w:t xml:space="preserve">注：涉及联合体或其他合同主体的信息应按上表格式加列。</w:t>
            </w:r>
            <w:bookmarkEnd w:id="150"/>
            <w:r/>
            <w:r/>
          </w:p>
        </w:tc>
      </w:tr>
    </w:tbl>
    <w:p>
      <w:pPr>
        <w:jc w:val="center"/>
        <w:keepLines/>
        <w:keepNext/>
        <w:spacing w:before="120" w:after="260" w:line="413" w:lineRule="auto"/>
        <w:rPr>
          <w:rFonts w:hint="eastAsia" w:asciiTheme="minorEastAsia" w:hAnsiTheme="minorEastAsia" w:eastAsiaTheme="minorEastAsia" w:cstheme="minorEastAsia"/>
          <w:sz w:val="28"/>
          <w:szCs w:val="28"/>
        </w:rPr>
        <w:outlineLvl w:val="1"/>
      </w:pPr>
      <w:r>
        <w:rPr>
          <w:rFonts w:hint="eastAsia" w:asciiTheme="minorEastAsia" w:hAnsiTheme="minorEastAsia" w:eastAsiaTheme="minorEastAsia" w:cstheme="minorEastAsia"/>
          <w:sz w:val="28"/>
          <w:szCs w:val="28"/>
        </w:rPr>
      </w:r>
      <w:r/>
    </w:p>
    <w:p>
      <w:pPr>
        <w:jc w:val="center"/>
        <w:keepLines/>
        <w:keepNext/>
        <w:spacing w:before="120" w:after="260" w:line="413" w:lineRule="auto"/>
        <w:rPr>
          <w:rFonts w:hint="eastAsia" w:asciiTheme="minorEastAsia" w:hAnsiTheme="minorEastAsia" w:eastAsiaTheme="minorEastAsia" w:cstheme="minorEastAsia"/>
          <w:sz w:val="32"/>
          <w:szCs w:val="32"/>
        </w:rPr>
        <w:outlineLvl w:val="1"/>
      </w:pPr>
      <w:r>
        <w:rPr>
          <w:rFonts w:hint="eastAsia" w:asciiTheme="minorEastAsia" w:hAnsiTheme="minorEastAsia" w:eastAsiaTheme="minorEastAsia" w:cstheme="minorEastAsia"/>
          <w:sz w:val="32"/>
          <w:szCs w:val="32"/>
        </w:rPr>
        <w:t xml:space="preserve">第二节 政府采购合同通用条款</w:t>
      </w:r>
      <w:r/>
    </w:p>
    <w:p>
      <w:pPr>
        <w:ind w:firstLine="480"/>
        <w:spacing w:line="400" w:lineRule="exact"/>
        <w:tabs>
          <w:tab w:val="left" w:pos="8820" w:leader="none"/>
          <w:tab w:val="left" w:pos="9345" w:leader="none"/>
          <w:tab w:val="left" w:pos="976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定义</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1.1合同当事人</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（1）采购人（以下称甲方）是指使用财政性资金，通过政府采购方式向供应商购买货物及其相关服务的国家机关、事业单位、团体组织。</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（2）供应商（以下称乙方）是指参加政府采购活动并且中标，向采购人提供合同约定的货物及其相关服务的法人、非法人组织或者自然人。</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（3）其他合同主体是指除采购人和供应商以外，依法参与合同缔结或履行，享有权利、承担义务的合同当事人。</w:t>
      </w:r>
      <w:r/>
    </w:p>
    <w:p>
      <w:pPr>
        <w:ind w:firstLine="480"/>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1.2本合同下列术语应解释为：</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系指合同当事人意思表示达成一致的任何协议，包括签署的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（3）“货物”系指乙方根据本合同规定须向甲方提供的各种形态和种类的物品，包括原材料、设备、产品（包括软件）及相关的其备品备件、工具、手册及其他技术资料和材料等。</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480"/>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（7）其他术语解释，见【政府采购合同专用条款】。</w:t>
      </w:r>
      <w:r/>
    </w:p>
    <w:p>
      <w:pPr>
        <w:numPr>
          <w:ilvl w:val="0"/>
          <w:numId w:val="6"/>
        </w:num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合同标的及金额</w:t>
      </w:r>
      <w:r/>
    </w:p>
    <w:p>
      <w:pPr>
        <w:ind w:firstLine="480"/>
        <w:spacing w:line="400" w:lineRule="exact"/>
        <w:rPr>
          <w:rFonts w:hint="eastAsia" w:asciiTheme="minorEastAsia" w:hAnsiTheme="minorEastAsia" w:eastAsiaTheme="minorEastAsia" w:cstheme="minorEastAsia"/>
          <w:i/>
          <w:iCs/>
          <w:sz w:val="24"/>
          <w:szCs w:val="24"/>
        </w:rPr>
      </w:pPr>
      <w:r>
        <w:rPr>
          <w:rFonts w:hint="eastAsia" w:asciiTheme="minorEastAsia" w:hAnsiTheme="minorEastAsia" w:eastAsiaTheme="minorEastAsia" w:cstheme="minorEastAsia"/>
          <w:sz w:val="24"/>
          <w:szCs w:val="24"/>
        </w:rPr>
        <w:t xml:space="preserve">2.1 合同标的及金额应与中标（成交）结果一致。乙方为履行本合同而发生的所有费用均应包含在合同价款中，甲方不再另行支付其他任何费用。</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履行合同的时间、地点和方式</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乙方应当在约定的时间、地点，按照约定方式履行合同。</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甲方的权利和义务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 甲方有权要求乙方对缺陷部分予以修复，并按合同约定享有货物保修及其他合同约定的权利。</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4.4 甲方应当按照合同约定及时对交付的货物进行验收，未在【政府采购合同专用条款】约定的期限内对乙方履约提出任何异议或者向乙方作出任何说明的，视为验收通过。</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4.5 甲方应当根据合同约定及时向乙方支付合同价款，不得以内部人员变更、履行内部付款流程等为由，拒绝或迟延支付。</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4.6 国家法律法规规定及【政府采购合同专用条款】约定应由甲方承担的其他义务和责任。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 乙方的权利和义务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签署合同后，乙方应确定项目负责人（或项目联系人），负责与本合同有关的事务。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5.3乙方有权根据合同约定向甲方收取合同价款。</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5.4国家法律法规规定及【政府采购合同专用条款】约定应由乙方承担的其他义务和责任。</w:t>
      </w:r>
      <w:r/>
    </w:p>
    <w:p>
      <w:pPr>
        <w:numPr>
          <w:ilvl w:val="0"/>
          <w:numId w:val="7"/>
        </w:num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合同履行</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甲乙双方应当按照【政府采购合同专用条款】约定顺序履行合同义务；如果没有先后顺序的，应当同时履行。</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 货物包装、运输、保险和交付要求</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 除【政府采购合同专用条款】另有约定外，乙方负责办理将货物运抵本合同规定的交货地点，并装卸、交付至甲方的一切运输事项，相关费用应包含在合同价款中。</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 货物保险要求按【政府采购合同专用条款】规定执行。</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7.5 乙方在运输到达之前应提前通知甲方，并提示货物运输装卸的注意事项，甲方配合乙方做好货物的接收工作。</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7.6 如因包装、运输问题导致货物损毁、丢失或者品质下降，甲方有权要求降价、换货、拒收部分或整批货物，由此产生的费用和损失，均由乙方承担。</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 质量标准和保证</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8.1 质量标准</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（2）采用中华人民共和国法定计量单位。</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（3）乙方所提供的货物应符合国家有关安全、环保、卫生的规定。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 保证</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（2）在质量保证期内所发现的缺陷，甲方应尽快以书面形式通知乙方。</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（3）乙方收到通知后，应在【政府采购合同专用条款】规定的响应时间内以合理的速度免费维修或更换有缺陷的货物或部件。</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（5）乙方在约定的时间内未能弥补缺陷，甲方可采取必要的补救措施，但其风险和费用将由乙方承担，甲方根据合同约定对乙方行使的其他权利不受影响。</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 权利瑕疵担保</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 乙方保证对其出售的货物享有合法的权利。</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9.2 乙方保证在交付的货物上不存在抵押权等担保物权。</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9.3 如甲方使用上述货物构成对第三人侵权的，则由乙方承担全部责任。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 知识产权保护</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保密义务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合同价款支付</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合同价款支付按照国库集中支付制度及财政管理相关规定执行。</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 履约保证金</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乙方应当以支票、汇票、本票或者金融机构、担保机构出具的保函等非现金形式提交。</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 售后服务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除项目不涉及或采购活动中明确约定无须承担外，乙方还应提供下列服务：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（1）货物的现场移动、安装、调试、启动监督及技术支持；</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（2）提供货物组装和维修所需的专用工具和辅助材料；</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（3）在【政府采购合同专用条款】约定的期限内对所有的货物实施运行监督、维修，但前提条件是该服务并不能免除乙方在质量保证期内所承担的义务；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（4）在制造商所在地或指定现场就货物的安装、启动、运营、维护、废弃处置等对甲方操作人员进行培训；</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（5）依照法律、行政法规的规定或者按照【政府采购合同专用条款】约定，货物在有效使用年限届满后应予回收的，乙方有自行或委托第三人对货物予以回收的义务；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（6）【政府采购合同专用条款】规定由乙方提供的其他服务。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乙方提供的售后服务的费用已包含在合同价款中，甲方不再另行支付。</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 违约责任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15.1质量瑕疵的违约责任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乙方提供的产品不符合合同约定的质量标准或存在产品质量缺陷，甲方有权要求乙方根据【政府采购合同专用条款】要求及时修理、重作、更换，并承担由此给甲方造成的损失。</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15.2 迟延交货的违约责任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15.3 迟延支付的违约责任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甲方存在迟延支付乙方合同款项的，应当承担【政府采购合同专用条款】规定的逾期付款利息。</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15.4其他违约责任根据项目实际需要按【政府采购合同专用条款】规定执行。</w:t>
      </w:r>
      <w:r/>
    </w:p>
    <w:p>
      <w:pPr>
        <w:numPr>
          <w:ilvl w:val="0"/>
          <w:numId w:val="8"/>
        </w:num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合同变更、中止与终止</w:t>
      </w:r>
      <w:r/>
    </w:p>
    <w:p>
      <w:pPr>
        <w:ind w:left="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16.1合同的变更</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16.2合同的中止</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（1）合同履行过程中因供应商就采购文件、采购过程或结果提起投诉的，甲方认为有必要的，可以中止合同的履行。</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（2）合同履行过程中，如果乙方出现以下情形之一的：</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（4）甲方不得以行政区划调整、政府换届、机构或者职能调整以及相关责任人更替为由中止合同。</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16.3合同的终止</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（1）合同因有效期限届满而终止；</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（2）乙方未按合同约定履行，构成根本性违约的，甲方有权终止合同，并追究乙方的违约责任。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16.4 </w:t>
      </w:r>
      <w:r>
        <w:rPr>
          <w:rFonts w:hint="eastAsia" w:asciiTheme="minorEastAsia" w:hAnsiTheme="minorEastAsia" w:eastAsiaTheme="minorEastAsia" w:cstheme="minorEastAsia"/>
          <w:sz w:val="24"/>
          <w:szCs w:val="24"/>
        </w:rPr>
        <w:t xml:space="preserve">涉及国家利益、社会公共利益的情形</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 合同分包</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 乙方不得将合同转包给其他供应商。涉及合同分包的，乙方应根据采购文件和投标（响应）文件规定进行合同分包。</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17.2 乙方执行政府采购政策向中小企业依法分包的，乙方应当按采购文件和投标（响应）文件签订分包意向协议，分包意向协议属于本合同组成部分。</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 不可抗力</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18.1 不可抗力是指合同双方不能预见、不能避免且不能克服的客观情况。</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18.2 任何一方对由于不可抗力造成的部分或全部不能履行合同不承担违约责任。但迟延履行后发生不可抗力的，不能免除责任。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 解决争议的方法</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19.3 如甲乙双方有争议的事项不影响合同其他部分的履行，在争议解决期间，合同其他部分应当继续履行。</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 政府采购政策</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 </w:t>
      </w:r>
      <w:r>
        <w:rPr>
          <w:rFonts w:hint="eastAsia" w:asciiTheme="minorEastAsia" w:hAnsiTheme="minorEastAsia" w:eastAsiaTheme="minorEastAsia" w:cstheme="minorEastAsia"/>
          <w:sz w:val="24"/>
          <w:szCs w:val="24"/>
          <w:lang w:val="en-GB"/>
        </w:rPr>
        <w:t xml:space="preserve">本合同按照规定执行政府采购政策。</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 本合同依法执行政府采购政策的方式和内容，属于合同履约验收的范围。甲乙双方</w:t>
      </w:r>
      <w:r>
        <w:rPr>
          <w:rFonts w:hint="eastAsia" w:asciiTheme="minorEastAsia" w:hAnsiTheme="minorEastAsia" w:eastAsiaTheme="minorEastAsia" w:cstheme="minorEastAsia"/>
          <w:sz w:val="24"/>
          <w:szCs w:val="24"/>
          <w:lang w:val="en-GB"/>
        </w:rPr>
        <w:t xml:space="preserve">未按规定要求执行政府采购政策造成损失的</w:t>
      </w:r>
      <w:r>
        <w:rPr>
          <w:rFonts w:hint="eastAsia" w:asciiTheme="minorEastAsia" w:hAnsiTheme="minorEastAsia" w:eastAsiaTheme="minorEastAsia" w:cstheme="minorEastAsia"/>
          <w:sz w:val="24"/>
          <w:szCs w:val="24"/>
        </w:rPr>
        <w:t xml:space="preserve">，有过错的一方应当承担赔偿责任，双方都有过错的，各自承担相应的责任。</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法律适用</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 本合同的订立、生效、解释、履行及与本合同有关的争议解决，均适用法律、行政法规。</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本合同条款与法律、行政法规的强制性规定不一致的，双方当事人应按照法律、行政法规的强制性规定修改本合同的相关条款。</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通知</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22.3本合同一方给另一方的通知均应采用书面形式，传真或快递送到本合同中规定的对方的地址和办理签收手续。</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22.4通知以送达之日或通知书中规定的生效之日起生效，两者中以较迟之日为准。</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23.合同未尽事项</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23.1合同未尽事项见【政府采购合同专用条款】。</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23.2 合同附件与合同正文具有同等的法律效力。</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bookmarkEnd w:id="139"/>
      <w:r/>
      <w:bookmarkEnd w:id="140"/>
      <w:r/>
      <w:bookmarkEnd w:id="141"/>
      <w:r/>
      <w:r/>
    </w:p>
    <w:p>
      <w:pPr>
        <w:jc w:val="center"/>
        <w:keepLines/>
        <w:keepNext/>
        <w:spacing w:before="260" w:after="260" w:line="413" w:lineRule="auto"/>
        <w:rPr>
          <w:rFonts w:hint="eastAsia" w:asciiTheme="minorEastAsia" w:hAnsiTheme="minorEastAsia" w:eastAsiaTheme="minorEastAsia" w:cstheme="minorEastAsia"/>
          <w:sz w:val="32"/>
          <w:szCs w:val="32"/>
        </w:rPr>
        <w:outlineLvl w:val="1"/>
      </w:pPr>
      <w:r>
        <w:rPr>
          <w:rFonts w:hint="eastAsia" w:asciiTheme="minorEastAsia" w:hAnsiTheme="minorEastAsia" w:eastAsiaTheme="minorEastAsia" w:cstheme="minorEastAsia"/>
          <w:sz w:val="32"/>
          <w:szCs w:val="32"/>
        </w:rPr>
      </w:r>
      <w:r/>
    </w:p>
    <w:p>
      <w:pPr>
        <w:jc w:val="center"/>
        <w:keepLines/>
        <w:keepNext/>
        <w:spacing w:before="260" w:after="260" w:line="413" w:lineRule="auto"/>
        <w:rPr>
          <w:rFonts w:hint="eastAsia" w:asciiTheme="minorEastAsia" w:hAnsiTheme="minorEastAsia" w:eastAsiaTheme="minorEastAsia" w:cstheme="minorEastAsia"/>
          <w:sz w:val="32"/>
          <w:szCs w:val="32"/>
        </w:rPr>
        <w:outlineLvl w:val="1"/>
      </w:pPr>
      <w:r>
        <w:rPr>
          <w:rFonts w:hint="eastAsia" w:asciiTheme="minorEastAsia" w:hAnsiTheme="minorEastAsia" w:eastAsiaTheme="minorEastAsia" w:cstheme="minorEastAsia"/>
          <w:sz w:val="32"/>
          <w:szCs w:val="32"/>
        </w:rPr>
        <w:t xml:space="preserve">第三节 政府采购合同专用条款</w:t>
      </w:r>
      <w:r/>
    </w:p>
    <w:tbl>
      <w:tblPr>
        <w:tblStyle w:val="79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第1.2（6）项</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联合体具体要求</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r>
      <w:tr>
        <w:trPr>
          <w:trHeight w:val="604"/>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第1.2（7）项</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其他术语解释</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r>
      <w:tr>
        <w:trPr>
          <w:trHeight w:val="736"/>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第4.4款</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履约验收中甲方提出异议或作出说明的期限</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项目合同履约期结束，满足验收条件情况下，供应商向采购人申请，采购人在接到该申请的3个工作日内，组织开展本项目的履约验收评价，出具履约验收评价报告；</w:t>
            </w:r>
            <w:r/>
          </w:p>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第4.6款</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约定甲方承担的其他义务和责任</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r>
      <w:tr>
        <w:trPr>
          <w:trHeight w:val="736"/>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rPr>
              <w:t xml:space="preserve">第5.4款</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约定乙方承担的其他义务和责任</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全面满足并响应采购需求全部内容及要求（详见招标文件采购需求）、及投标承诺和所有投标响应内容（详见投标文件）。</w:t>
            </w:r>
            <w:r/>
          </w:p>
        </w:tc>
      </w:tr>
      <w:tr>
        <w:trPr>
          <w:trHeight w:val="736"/>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第6.1款</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履行合同义务的顺序</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同时履行。</w:t>
            </w:r>
            <w:r/>
          </w:p>
        </w:tc>
      </w:tr>
      <w:tr>
        <w:trPr>
          <w:trHeight w:val="667"/>
        </w:trPr>
        <w:tc>
          <w:tcPr>
            <w:tcW w:w="1607" w:type="dxa"/>
            <w:vAlign w:val="center"/>
            <w:vMerge w:val="restart"/>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第7.1款</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包装特殊要求</w:t>
            </w:r>
            <w:r/>
          </w:p>
        </w:tc>
        <w:tc>
          <w:tcPr>
            <w:tcW w:w="5170" w:type="dxa"/>
            <w:vAlign w:val="center"/>
            <w:textDirection w:val="lrTb"/>
            <w:noWrap w:val="false"/>
          </w:tcPr>
          <w:p>
            <w:pP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rPr>
              <w:t xml:space="preserve">全面满足并响应采购需求全部内容及要求（详见招标文件采购需求）、及投标承诺和所有投标响应内容（详见投标文件）。</w:t>
            </w:r>
            <w:r/>
          </w:p>
        </w:tc>
      </w:tr>
      <w:tr>
        <w:trPr>
          <w:trHeight w:val="667"/>
        </w:trPr>
        <w:tc>
          <w:tcPr>
            <w:tcW w:w="1607" w:type="dxa"/>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指定现场</w:t>
            </w:r>
            <w:r/>
          </w:p>
        </w:tc>
        <w:tc>
          <w:tcPr>
            <w:tcW w:w="5170" w:type="dxa"/>
            <w:vAlign w:val="center"/>
            <w:textDirection w:val="lrTb"/>
            <w:noWrap w:val="false"/>
          </w:tcPr>
          <w:p>
            <w:pP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全面服从甲方要求及安排。</w:t>
            </w:r>
            <w:r/>
          </w:p>
        </w:tc>
      </w:tr>
      <w:tr>
        <w:trPr>
          <w:trHeight w:val="772"/>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第7.2款</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运输特殊要求</w:t>
            </w:r>
            <w:r/>
          </w:p>
        </w:tc>
        <w:tc>
          <w:tcPr>
            <w:tcW w:w="5170" w:type="dxa"/>
            <w:vAlign w:val="center"/>
            <w:textDirection w:val="lrTb"/>
            <w:noWrap w:val="false"/>
          </w:tcPr>
          <w:p>
            <w:pP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同上述</w:t>
            </w:r>
            <w:r>
              <w:rPr>
                <w:rFonts w:hint="eastAsia" w:asciiTheme="minorEastAsia" w:hAnsiTheme="minorEastAsia" w:eastAsiaTheme="minorEastAsia" w:cstheme="minorEastAsia"/>
              </w:rPr>
              <w:t xml:space="preserve">第二节第7.1款专用条款</w:t>
            </w:r>
            <w:r/>
          </w:p>
        </w:tc>
      </w:tr>
      <w:tr>
        <w:trPr>
          <w:trHeight w:val="667"/>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第7.3款</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保险要求</w:t>
            </w:r>
            <w:r/>
          </w:p>
        </w:tc>
        <w:tc>
          <w:tcPr>
            <w:tcW w:w="5170" w:type="dxa"/>
            <w:vAlign w:val="center"/>
            <w:textDirection w:val="lrTb"/>
            <w:noWrap w:val="false"/>
          </w:tcPr>
          <w:p>
            <w:pP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乙方全面负责全面承担本项目质量保险事务及责任、及本项目实施过程中所有安全事务及责任（含费用），该费用含在合同价中。</w:t>
            </w:r>
            <w:r/>
          </w:p>
        </w:tc>
      </w:tr>
      <w:tr>
        <w:trPr>
          <w:trHeight w:val="736"/>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第8.2（1）项</w:t>
            </w:r>
            <w:r/>
          </w:p>
        </w:tc>
        <w:tc>
          <w:tcPr>
            <w:tcW w:w="1742"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质量保证期</w:t>
            </w:r>
            <w:r/>
          </w:p>
        </w:tc>
        <w:tc>
          <w:tcPr>
            <w:tcW w:w="517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质保期：免费质保自验收合格之日起1年。（注：且不得低于产品出厂自带质保期）。</w:t>
            </w:r>
            <w:r/>
          </w:p>
        </w:tc>
      </w:tr>
      <w:tr>
        <w:trPr>
          <w:trHeight w:val="736"/>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第8.2（3）项</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货物质量缺陷</w:t>
            </w:r>
            <w:r/>
          </w:p>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响应时间</w:t>
            </w:r>
            <w:r/>
          </w:p>
        </w:tc>
        <w:tc>
          <w:tcPr>
            <w:tcW w:w="517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详见招标文件采购需求6、售后服务要求全部</w:t>
            </w:r>
            <w:r/>
          </w:p>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spacing w:line="400" w:lineRule="exact"/>
              <w:rPr>
                <w:rFonts w:hint="eastAsia"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第11.1款</w:t>
            </w:r>
            <w:r/>
          </w:p>
        </w:tc>
        <w:tc>
          <w:tcPr>
            <w:tcW w:w="1742"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其他应当保密的信息</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详见招标文件</w:t>
            </w:r>
            <w:r/>
          </w:p>
        </w:tc>
      </w:tr>
      <w:tr>
        <w:trPr>
          <w:trHeight w:val="697"/>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第12.2款</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合同价款支付时间</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同第一节 政府采购合同协议书分期付款条款</w:t>
            </w:r>
            <w:r/>
          </w:p>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697"/>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第13.2款</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履约保证金不予退还的情形</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详见合同</w:t>
            </w:r>
            <w:r/>
          </w:p>
        </w:tc>
      </w:tr>
      <w:tr>
        <w:trPr>
          <w:trHeight w:val="736"/>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第13.3款</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履约保证金退还时间及逾期退还的违约金</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详见合同</w:t>
            </w:r>
            <w:r/>
          </w:p>
        </w:tc>
      </w:tr>
      <w:tr>
        <w:trPr>
          <w:trHeight w:val="784"/>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第14.1（3）项</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运行监督、维修期限</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详见招标文件采购需求</w:t>
            </w:r>
            <w:r/>
          </w:p>
        </w:tc>
      </w:tr>
      <w:tr>
        <w:trPr>
          <w:trHeight w:val="784"/>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第14.1（5）项</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货物回收的约定</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第14.1（6）项</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乙方提供的其他服务</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全面满足并响应采购需求全部内容及要求（详见招标文件采购需求）、及投标承诺和所有投标响应内容（详见投标文件）。</w:t>
            </w:r>
            <w:r/>
          </w:p>
        </w:tc>
      </w:tr>
      <w:tr>
        <w:trPr>
          <w:trHeight w:val="736"/>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第15.1款</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修理、重作、更换相关具体规定</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全面满足并响应采购需求全部内容及要求（详见招标文件采购需求）、及投标承诺和所有投标响应内容（详见投标文件）。</w:t>
            </w:r>
            <w:r/>
          </w:p>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1、乙方应按招标文件规定的货物性能、技术要求、质量标准向甲方提供未经使用的全新产品。</w:t>
            </w:r>
            <w:r/>
          </w:p>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2、乙方提供的货物在质量期内因货物本身的质量问题发生故障，乙方应负责免费更换。对达不到技术要求者，根据实际情况，经双方协商，可按以下办法处理：</w:t>
            </w:r>
            <w:r/>
          </w:p>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⑴更换：由乙方承担所发生的全部费用。</w:t>
            </w:r>
            <w:r/>
          </w:p>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⑵退货处理：乙方应退还甲方支付的合同款，同时应承担由此产生的全部费用（包括但不限于运输、保险、检验、货款利息及银行手续费等）。</w:t>
            </w:r>
            <w:r/>
          </w:p>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售后服务期内产品发生质量问题，投标人应在接到采购人提出故障通知0.5小时以内响应，4小时内到达现场免费予以排除故障、修复或更换零部件，或启用替代品；如需更换设备或送修，需在2个工作日内解决,涉及安全方面的问题4小时内解决，相关费用包含在本次投标报价内。</w:t>
            </w:r>
            <w:r/>
          </w:p>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4、在质保期内，乙方应对货物及服务出现的质量及安全问题负责处理解决并承担一切费用。</w:t>
            </w:r>
            <w:r/>
          </w:p>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需提供售后技术支持服务，运行中出现故障接到采购人通知，疑难问题(不危及运行)在24小时内答复；重大问题(危及运行)在2小时内到现场处理或通过网络远程处理完毕；特大问题(系统不能正常运行)在2小时内恢复系统运行，并在24小时内增派技术人员到现场解决，现场予以排除故障、修复或更换零部件，或启用替代品；如需更换设备或送修，在2个工作日内解决；以上费用全部由投标人承担。 </w:t>
            </w:r>
            <w:r/>
          </w:p>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注：以上质保期内质保服务质量及问题故障解决等事务的完成以采购人确认为准。投标人未在上述规定时间内履行完成质保维保责任义务的，采购人可选择委托第三方代为处理，由此产生的费用及损失均由供应商承担，每发生一次，由投标人向采购人支付合同总额2%违约金。（采购人可以直接从合同价款中扣除）</w:t>
            </w:r>
            <w:r/>
          </w:p>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5、上述的货物免费保修自验收合格之日起1年。（自交货验收合格之日起计），因人为因素出现的故障不在保修范围内。超过保修期的机器设备，终生维修，维修时只收部件成本费。</w:t>
            </w:r>
            <w:r/>
          </w:p>
        </w:tc>
      </w:tr>
      <w:tr>
        <w:trPr>
          <w:trHeight w:val="736"/>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第15.2（2）项</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迟延交货赔偿费</w:t>
            </w:r>
            <w:r/>
          </w:p>
        </w:tc>
        <w:tc>
          <w:tcPr>
            <w:tcW w:w="5170" w:type="dxa"/>
            <w:vAlign w:val="center"/>
            <w:textDirection w:val="lrTb"/>
            <w:noWrap w:val="false"/>
          </w:tcPr>
          <w:p>
            <w:pPr>
              <w:numPr>
                <w:ilvl w:val="0"/>
                <w:numId w:val="9"/>
              </w:num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lang w:val="zh-CN"/>
              </w:rPr>
              <w:t xml:space="preserve">乙方未</w:t>
            </w:r>
            <w:r>
              <w:rPr>
                <w:rFonts w:hint="eastAsia" w:asciiTheme="minorEastAsia" w:hAnsiTheme="minorEastAsia" w:eastAsiaTheme="minorEastAsia" w:cstheme="minorEastAsia"/>
              </w:rPr>
              <w:t xml:space="preserve">按约定期限</w:t>
            </w:r>
            <w:r>
              <w:rPr>
                <w:rFonts w:hint="eastAsia" w:asciiTheme="minorEastAsia" w:hAnsiTheme="minorEastAsia" w:eastAsiaTheme="minorEastAsia" w:cstheme="minorEastAsia"/>
                <w:lang w:val="zh-CN"/>
              </w:rPr>
              <w:t xml:space="preserve">提供服务</w:t>
            </w:r>
            <w:r>
              <w:rPr>
                <w:rFonts w:hint="eastAsia" w:asciiTheme="minorEastAsia" w:hAnsiTheme="minorEastAsia" w:eastAsiaTheme="minorEastAsia" w:cstheme="minorEastAsia"/>
              </w:rPr>
              <w:t xml:space="preserve">及货物（产品）</w:t>
            </w:r>
            <w:r>
              <w:rPr>
                <w:rFonts w:hint="eastAsia" w:asciiTheme="minorEastAsia" w:hAnsiTheme="minorEastAsia" w:eastAsiaTheme="minorEastAsia" w:cstheme="minorEastAsia"/>
                <w:lang w:val="zh-CN"/>
              </w:rPr>
              <w:t xml:space="preserve">的，</w:t>
            </w:r>
            <w:r>
              <w:rPr>
                <w:rFonts w:hint="eastAsia" w:asciiTheme="minorEastAsia" w:hAnsiTheme="minorEastAsia" w:eastAsiaTheme="minorEastAsia" w:cstheme="minorEastAsia"/>
              </w:rPr>
              <w:t xml:space="preserve">每逾期一日</w:t>
            </w:r>
            <w:r>
              <w:rPr>
                <w:rFonts w:hint="eastAsia" w:asciiTheme="minorEastAsia" w:hAnsiTheme="minorEastAsia" w:eastAsiaTheme="minorEastAsia" w:cstheme="minorEastAsia"/>
                <w:lang w:val="zh-CN"/>
              </w:rPr>
              <w:t xml:space="preserve">，</w:t>
            </w:r>
            <w:r>
              <w:rPr>
                <w:rFonts w:hint="eastAsia" w:asciiTheme="minorEastAsia" w:hAnsiTheme="minorEastAsia" w:eastAsiaTheme="minorEastAsia" w:cstheme="minorEastAsia"/>
              </w:rPr>
              <w:t xml:space="preserve">由乙方</w:t>
            </w:r>
            <w:r>
              <w:rPr>
                <w:rFonts w:hint="eastAsia" w:asciiTheme="minorEastAsia" w:hAnsiTheme="minorEastAsia" w:eastAsiaTheme="minorEastAsia" w:cstheme="minorEastAsia"/>
                <w:lang w:val="zh-CN"/>
              </w:rPr>
              <w:t xml:space="preserve">按</w:t>
            </w:r>
            <w:r>
              <w:rPr>
                <w:rFonts w:hint="eastAsia" w:asciiTheme="minorEastAsia" w:hAnsiTheme="minorEastAsia" w:eastAsiaTheme="minorEastAsia" w:cstheme="minorEastAsia"/>
              </w:rPr>
              <w:t xml:space="preserve">10000元/日标准</w:t>
            </w:r>
            <w:r>
              <w:rPr>
                <w:rFonts w:hint="eastAsia" w:asciiTheme="minorEastAsia" w:hAnsiTheme="minorEastAsia" w:eastAsiaTheme="minorEastAsia" w:cstheme="minorEastAsia"/>
                <w:lang w:val="zh-CN"/>
              </w:rPr>
              <w:t xml:space="preserve">向甲方支付违约金，</w:t>
            </w:r>
            <w:r>
              <w:rPr>
                <w:rFonts w:hint="eastAsia" w:asciiTheme="minorEastAsia" w:hAnsiTheme="minorEastAsia" w:eastAsiaTheme="minorEastAsia" w:cstheme="minorEastAsia"/>
              </w:rPr>
              <w:t xml:space="preserve">如乙方逾期履行达15日，甲方有权单方解除合同，解除合同的通知自送达乙方时生效。甲方选择解除合同的，乙方须返还已付款项，并按合同总价</w:t>
            </w:r>
            <w:r/>
          </w:p>
          <w:p>
            <w:pPr>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30%支付违约金</w:t>
            </w:r>
            <w:r>
              <w:rPr>
                <w:rFonts w:hint="eastAsia" w:asciiTheme="minorEastAsia" w:hAnsiTheme="minorEastAsia" w:eastAsiaTheme="minorEastAsia" w:cstheme="minorEastAsia"/>
                <w:lang w:val="zh-CN"/>
              </w:rPr>
              <w:t xml:space="preserve">。</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非因甲方原因，乙方未全面履行本合同的约定或其他义务的，甲方有权要求其继续履行或解除合同。甲方要求继续履行的，乙方应支付合同总价10%违约金；甲方选择解除本合同的或乙方仍未全面履行的，甲方均有权解除本合同，乙方须返还已付款项，乙方应支付合同总价30%的违约金。不足弥补甲方损失的，仍需赔偿。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u w:val="single"/>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第15.3款</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逾期付款利息</w:t>
            </w:r>
            <w:r/>
          </w:p>
        </w:tc>
        <w:tc>
          <w:tcPr>
            <w:tcW w:w="5170" w:type="dxa"/>
            <w:vAlign w:val="center"/>
            <w:textDirection w:val="lrTb"/>
            <w:noWrap w:val="false"/>
          </w:tcPr>
          <w:p>
            <w:pPr>
              <w:jc w:val="left"/>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乙方未按本合同约定提供售后服务的，应按合同总价10%向甲方支付违约金，并承担非乙方提供的售后服务产生的所有费用。</w:t>
            </w:r>
            <w:r/>
          </w:p>
          <w:p>
            <w:pPr>
              <w:jc w:val="left"/>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560" w:lineRule="exact"/>
              <w:rPr>
                <w:rFonts w:hint="eastAsia" w:asciiTheme="minorEastAsia" w:hAnsiTheme="minorEastAsia" w:eastAsiaTheme="minorEastAsia" w:cstheme="minorEastAsia"/>
                <w:iCs/>
              </w:rPr>
            </w:pPr>
            <w:r>
              <w:rPr>
                <w:rFonts w:hint="eastAsia" w:asciiTheme="minorEastAsia" w:hAnsiTheme="minorEastAsia" w:eastAsiaTheme="minorEastAsia" w:cstheme="minorEastAsia"/>
                <w:iCs/>
              </w:rPr>
              <w:t xml:space="preserve">因本合同及合同有关事项发生的争议，</w:t>
            </w:r>
            <w:r>
              <w:rPr>
                <w:rFonts w:hint="eastAsia" w:asciiTheme="minorEastAsia" w:hAnsiTheme="minorEastAsia" w:eastAsiaTheme="minorEastAsia" w:cstheme="minorEastAsia"/>
              </w:rPr>
              <w:t xml:space="preserve">应通过友好协商解决。如协商不成由</w:t>
            </w:r>
            <w:r>
              <w:rPr>
                <w:rFonts w:hint="eastAsia" w:asciiTheme="minorEastAsia" w:hAnsiTheme="minorEastAsia" w:eastAsiaTheme="minorEastAsia" w:cstheme="minorEastAsia"/>
                <w:iCs/>
              </w:rPr>
              <w:t xml:space="preserve">按下列第</w:t>
            </w:r>
            <w:r>
              <w:rPr>
                <w:rFonts w:hint="eastAsia" w:asciiTheme="minorEastAsia" w:hAnsiTheme="minorEastAsia" w:eastAsiaTheme="minorEastAsia" w:cstheme="minorEastAsia"/>
                <w:iCs/>
                <w:u w:val="single"/>
              </w:rPr>
              <w:t xml:space="preserve">   </w:t>
            </w:r>
            <w:r>
              <w:rPr>
                <w:rFonts w:hint="eastAsia" w:asciiTheme="minorEastAsia" w:hAnsiTheme="minorEastAsia" w:eastAsiaTheme="minorEastAsia" w:cstheme="minorEastAsia"/>
                <w:iCs/>
              </w:rPr>
              <w:t xml:space="preserve">种方式解决：</w:t>
            </w:r>
            <w:r/>
          </w:p>
          <w:p>
            <w:pPr>
              <w:jc w:val="left"/>
              <w:spacing w:line="400" w:lineRule="exact"/>
              <w:rPr>
                <w:rFonts w:hint="eastAsia" w:asciiTheme="minorEastAsia" w:hAnsiTheme="minorEastAsia" w:eastAsiaTheme="minorEastAsia" w:cstheme="minorEastAsia"/>
                <w:iCs/>
              </w:rPr>
            </w:pPr>
            <w:r>
              <w:rPr>
                <w:rFonts w:hint="eastAsia" w:asciiTheme="minorEastAsia" w:hAnsiTheme="minorEastAsia" w:eastAsiaTheme="minorEastAsia" w:cstheme="minorEastAsia"/>
                <w:iCs/>
              </w:rPr>
              <w:t xml:space="preserve">（1）向</w:t>
            </w:r>
            <w:r>
              <w:rPr>
                <w:rFonts w:hint="eastAsia" w:asciiTheme="minorEastAsia" w:hAnsiTheme="minorEastAsia" w:eastAsiaTheme="minorEastAsia" w:cstheme="minorEastAsia"/>
                <w:iCs/>
                <w:u w:val="single"/>
              </w:rPr>
              <w:t xml:space="preserve">                    </w:t>
            </w:r>
            <w:r>
              <w:rPr>
                <w:rFonts w:hint="eastAsia" w:asciiTheme="minorEastAsia" w:hAnsiTheme="minorEastAsia" w:eastAsiaTheme="minorEastAsia" w:cstheme="minorEastAsia"/>
                <w:iCs/>
              </w:rPr>
              <w:t xml:space="preserve">仲裁委员会申请仲裁，仲裁地点为</w:t>
            </w:r>
            <w:r>
              <w:rPr>
                <w:rFonts w:hint="eastAsia" w:asciiTheme="minorEastAsia" w:hAnsiTheme="minorEastAsia" w:eastAsiaTheme="minorEastAsia" w:cstheme="minorEastAsia"/>
                <w:iCs/>
                <w:u w:val="single"/>
              </w:rPr>
              <w:t xml:space="preserve">           </w:t>
            </w:r>
            <w:r>
              <w:rPr>
                <w:rFonts w:hint="eastAsia" w:asciiTheme="minorEastAsia" w:hAnsiTheme="minorEastAsia" w:eastAsiaTheme="minorEastAsia" w:cstheme="minorEastAsia"/>
                <w:iCs/>
              </w:rPr>
              <w:t xml:space="preserve">；</w:t>
            </w:r>
            <w:r/>
          </w:p>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Cs/>
              </w:rPr>
              <w:t xml:space="preserve">（2）向甲方</w:t>
            </w:r>
            <w:r>
              <w:rPr>
                <w:rFonts w:hint="eastAsia" w:asciiTheme="minorEastAsia" w:hAnsiTheme="minorEastAsia" w:eastAsiaTheme="minorEastAsia" w:cstheme="minorEastAsia"/>
                <w:iCs/>
                <w:u w:val="single"/>
              </w:rPr>
              <w:t xml:space="preserve"> </w:t>
            </w:r>
            <w:r>
              <w:rPr>
                <w:rFonts w:hint="eastAsia" w:asciiTheme="minorEastAsia" w:hAnsiTheme="minorEastAsia" w:eastAsiaTheme="minorEastAsia" w:cstheme="minorEastAsia"/>
                <w:iCs/>
              </w:rPr>
              <w:t xml:space="preserve">住所地 人民法院起诉。</w:t>
            </w:r>
            <w:r/>
          </w:p>
          <w:p>
            <w:pPr>
              <w:jc w:val="left"/>
              <w:rPr>
                <w:rFonts w:hint="eastAsia" w:asciiTheme="minorEastAsia" w:hAnsiTheme="minorEastAsia" w:eastAsiaTheme="minorEastAsia" w:cstheme="minorEastAsia"/>
                <w:iCs/>
              </w:rPr>
            </w:pPr>
            <w:r>
              <w:rPr>
                <w:rFonts w:hint="eastAsia" w:asciiTheme="minorEastAsia" w:hAnsiTheme="minorEastAsia" w:eastAsiaTheme="minorEastAsia" w:cstheme="minorEastAsia"/>
                <w:iCs/>
              </w:rPr>
            </w:r>
            <w:r/>
          </w:p>
        </w:tc>
      </w:tr>
      <w:tr>
        <w:trPr>
          <w:trHeight w:val="770"/>
        </w:trPr>
        <w:tc>
          <w:tcPr>
            <w:tcW w:w="1607"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第二节</w:t>
            </w:r>
            <w:r/>
          </w:p>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第23.1款</w:t>
            </w:r>
            <w:r/>
          </w:p>
        </w:tc>
        <w:tc>
          <w:tcPr>
            <w:tcW w:w="1742"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其他专用条款</w:t>
            </w:r>
            <w:r/>
          </w:p>
        </w:tc>
        <w:tc>
          <w:tcPr>
            <w:tcW w:w="5170" w:type="dxa"/>
            <w:vAlign w:val="center"/>
            <w:textDirection w:val="lrTb"/>
            <w:noWrap w:val="false"/>
          </w:tcPr>
          <w:p>
            <w:pPr>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双方协商。</w:t>
            </w:r>
            <w:r/>
          </w:p>
        </w:tc>
      </w:tr>
    </w:tbl>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80"/>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r>
      <w:bookmarkEnd w:id="130"/>
      <w:r/>
      <w:bookmarkEnd w:id="131"/>
      <w:r/>
      <w:bookmarkEnd w:id="132"/>
      <w:r/>
      <w:bookmarkEnd w:id="133"/>
      <w:r/>
      <w:bookmarkEnd w:id="138"/>
      <w:r/>
      <w:r/>
    </w:p>
    <w:p>
      <w:pPr>
        <w:jc w:val="center"/>
        <w:keepLines/>
        <w:keepNext/>
        <w:pageBreakBefore/>
        <w:rPr>
          <w:rFonts w:hint="eastAsia" w:asciiTheme="minorEastAsia" w:hAnsiTheme="minorEastAsia" w:eastAsiaTheme="minorEastAsia" w:cstheme="minorEastAsia"/>
          <w:sz w:val="44"/>
          <w:szCs w:val="44"/>
        </w:rPr>
        <w:outlineLvl w:val="0"/>
      </w:pPr>
      <w:r/>
      <w:bookmarkStart w:id="151" w:name="_Toc81575207"/>
      <w:r/>
      <w:bookmarkStart w:id="152" w:name="_Toc12937"/>
      <w:r/>
      <w:bookmarkStart w:id="153" w:name="_Toc81575170"/>
      <w:r/>
      <w:bookmarkStart w:id="154" w:name="_Toc9003"/>
      <w:r/>
      <w:bookmarkStart w:id="155" w:name="_Toc19649"/>
      <w:r/>
      <w:bookmarkStart w:id="156" w:name="_Toc22853"/>
      <w:r>
        <w:rPr>
          <w:rFonts w:hint="eastAsia" w:asciiTheme="minorEastAsia" w:hAnsiTheme="minorEastAsia" w:eastAsiaTheme="minorEastAsia" w:cstheme="minorEastAsia"/>
          <w:sz w:val="44"/>
          <w:szCs w:val="44"/>
        </w:rPr>
        <w:t xml:space="preserve">第六章  投标文件格式</w:t>
      </w:r>
      <w:bookmarkEnd w:id="151"/>
      <w:r/>
      <w:bookmarkEnd w:id="152"/>
      <w:r/>
      <w:bookmarkEnd w:id="153"/>
      <w:r/>
      <w:bookmarkEnd w:id="154"/>
      <w:r/>
      <w:bookmarkEnd w:id="155"/>
      <w:r/>
      <w:bookmarkEnd w:id="156"/>
      <w:r/>
      <w:r/>
    </w:p>
    <w:p>
      <w:pPr>
        <w:rPr>
          <w:rFonts w:hint="eastAsia" w:asciiTheme="minorEastAsia" w:hAnsiTheme="minorEastAsia" w:eastAsiaTheme="minorEastAsia" w:cstheme="minorEastAsia"/>
        </w:rPr>
      </w:pPr>
      <w:r/>
      <w:bookmarkStart w:id="157" w:name="EB819316f773b24a75aef829f9b72900c0"/>
      <w:r/>
      <w:r/>
    </w:p>
    <w:p>
      <w:pPr>
        <w:rPr>
          <w:rFonts w:hint="eastAsia" w:asciiTheme="minorEastAsia" w:hAnsiTheme="minorEastAsia" w:eastAsiaTheme="minorEastAsia" w:cstheme="minorEastAsia"/>
          <w:sz w:val="72"/>
        </w:rPr>
      </w:pPr>
      <w:r/>
      <w:bookmarkStart w:id="158" w:name="_Toc15716"/>
      <w:r/>
      <w:r/>
    </w:p>
    <w:p>
      <w:pPr>
        <w:rPr>
          <w:rFonts w:hint="eastAsia" w:asciiTheme="minorEastAsia" w:hAnsiTheme="minorEastAsia" w:eastAsiaTheme="minorEastAsia" w:cstheme="minorEastAsia"/>
          <w:sz w:val="72"/>
        </w:rPr>
      </w:pPr>
      <w:r>
        <w:rPr>
          <w:rFonts w:hint="eastAsia" w:asciiTheme="minorEastAsia" w:hAnsiTheme="minorEastAsia" w:eastAsiaTheme="minorEastAsia" w:cstheme="minorEastAsia"/>
          <w:sz w:val="72"/>
        </w:rPr>
      </w:r>
      <w:r/>
    </w:p>
    <w:p>
      <w:pPr>
        <w:rPr>
          <w:rFonts w:hint="eastAsia" w:asciiTheme="minorEastAsia" w:hAnsiTheme="minorEastAsia" w:eastAsiaTheme="minorEastAsia" w:cstheme="minorEastAsia"/>
          <w:sz w:val="72"/>
        </w:rPr>
      </w:pPr>
      <w:r>
        <w:rPr>
          <w:rFonts w:hint="eastAsia" w:asciiTheme="minorEastAsia" w:hAnsiTheme="minorEastAsia" w:eastAsiaTheme="minorEastAsia" w:cstheme="minorEastAsia"/>
          <w:sz w:val="72"/>
        </w:rPr>
      </w:r>
      <w:r/>
    </w:p>
    <w:p>
      <w:pPr>
        <w:jc w:val="center"/>
        <w:rPr>
          <w:rFonts w:hint="eastAsia" w:asciiTheme="minorEastAsia" w:hAnsiTheme="minorEastAsia" w:eastAsiaTheme="minorEastAsia" w:cstheme="minorEastAsia"/>
          <w:sz w:val="72"/>
        </w:rPr>
      </w:pPr>
      <w:r>
        <w:rPr>
          <w:rFonts w:hint="eastAsia" w:asciiTheme="minorEastAsia" w:hAnsiTheme="minorEastAsia" w:eastAsiaTheme="minorEastAsia" w:cstheme="minorEastAsia"/>
          <w:sz w:val="72"/>
        </w:rPr>
        <w:t xml:space="preserve">投  标  文  件</w:t>
      </w:r>
      <w:r/>
    </w:p>
    <w:p>
      <w:pPr>
        <w:jc w:val="center"/>
        <w:rPr>
          <w:rFonts w:hint="eastAsia" w:asciiTheme="minorEastAsia" w:hAnsiTheme="minorEastAsia" w:eastAsiaTheme="minorEastAsia" w:cstheme="minorEastAsia"/>
          <w:sz w:val="72"/>
        </w:rPr>
      </w:pPr>
      <w:r>
        <w:rPr>
          <w:rFonts w:hint="eastAsia" w:asciiTheme="minorEastAsia" w:hAnsiTheme="minorEastAsia" w:eastAsiaTheme="minorEastAsia" w:cstheme="minorEastAsia"/>
          <w:sz w:val="72"/>
        </w:rPr>
      </w:r>
      <w:r/>
    </w:p>
    <w:p>
      <w:pPr>
        <w:jc w:val="center"/>
        <w:rPr>
          <w:rFonts w:hint="eastAsia" w:asciiTheme="minorEastAsia" w:hAnsiTheme="minorEastAsia" w:eastAsiaTheme="minorEastAsia" w:cstheme="minorEastAsia"/>
          <w:sz w:val="72"/>
        </w:rPr>
      </w:pPr>
      <w:r>
        <w:rPr>
          <w:rFonts w:hint="eastAsia" w:asciiTheme="minorEastAsia" w:hAnsiTheme="minorEastAsia" w:eastAsiaTheme="minorEastAsia" w:cstheme="minorEastAsia"/>
          <w:sz w:val="72"/>
        </w:rPr>
      </w:r>
      <w:r/>
    </w:p>
    <w:p>
      <w:pPr>
        <w:jc w:val="center"/>
        <w:rPr>
          <w:rFonts w:hint="eastAsia" w:asciiTheme="minorEastAsia" w:hAnsiTheme="minorEastAsia" w:eastAsiaTheme="minorEastAsia" w:cstheme="minorEastAsia"/>
          <w:sz w:val="72"/>
        </w:rPr>
      </w:pPr>
      <w:r>
        <w:rPr>
          <w:rFonts w:hint="eastAsia" w:asciiTheme="minorEastAsia" w:hAnsiTheme="minorEastAsia" w:eastAsiaTheme="minorEastAsia" w:cstheme="minorEastAsia"/>
          <w:sz w:val="72"/>
        </w:rPr>
      </w:r>
      <w:r/>
    </w:p>
    <w:p>
      <w:pPr>
        <w:jc w:val="center"/>
        <w:rPr>
          <w:rFonts w:hint="eastAsia" w:asciiTheme="minorEastAsia" w:hAnsiTheme="minorEastAsia" w:eastAsiaTheme="minorEastAsia" w:cstheme="minorEastAsia"/>
          <w:sz w:val="72"/>
        </w:rPr>
      </w:pPr>
      <w:r>
        <w:rPr>
          <w:rFonts w:hint="eastAsia" w:asciiTheme="minorEastAsia" w:hAnsiTheme="minorEastAsia" w:eastAsiaTheme="minorEastAsia" w:cstheme="minorEastAsia"/>
          <w:sz w:val="72"/>
        </w:rPr>
      </w:r>
      <w:r/>
    </w:p>
    <w:p>
      <w:pPr>
        <w:jc w:val="center"/>
        <w:rPr>
          <w:rFonts w:hint="eastAsia" w:asciiTheme="minorEastAsia" w:hAnsiTheme="minorEastAsia" w:eastAsiaTheme="minorEastAsia" w:cstheme="minorEastAsia"/>
          <w:sz w:val="72"/>
        </w:rPr>
      </w:pPr>
      <w:r>
        <w:rPr>
          <w:rFonts w:hint="eastAsia" w:asciiTheme="minorEastAsia" w:hAnsiTheme="minorEastAsia" w:eastAsiaTheme="minorEastAsia" w:cstheme="minorEastAsia"/>
          <w:sz w:val="72"/>
        </w:rPr>
      </w:r>
      <w:r/>
    </w:p>
    <w:p>
      <w:pPr>
        <w:jc w:val="center"/>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sz w:val="36"/>
        </w:rPr>
      </w:r>
      <w:r/>
    </w:p>
    <w:p>
      <w:pPr>
        <w:jc w:val="center"/>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sz w:val="36"/>
        </w:rPr>
      </w:r>
      <w:r/>
    </w:p>
    <w:p>
      <w:pPr>
        <w:jc w:val="center"/>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sz w:val="36"/>
        </w:rPr>
      </w:r>
      <w:r/>
    </w:p>
    <w:p>
      <w:pPr>
        <w:ind w:firstLine="1084"/>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sz w:val="36"/>
        </w:rPr>
        <w:t xml:space="preserve">项 目 名 称：</w:t>
      </w:r>
      <w:r>
        <w:rPr>
          <w:rFonts w:hint="eastAsia" w:asciiTheme="minorEastAsia" w:hAnsiTheme="minorEastAsia" w:eastAsiaTheme="minorEastAsia" w:cstheme="minorEastAsia"/>
          <w:sz w:val="36"/>
          <w:u w:val="single"/>
        </w:rPr>
        <w:t xml:space="preserve">               </w:t>
      </w:r>
      <w:r/>
    </w:p>
    <w:p>
      <w:pPr>
        <w:ind w:firstLine="1084"/>
        <w:rPr>
          <w:rFonts w:hint="eastAsia" w:asciiTheme="minorEastAsia" w:hAnsiTheme="minorEastAsia" w:eastAsiaTheme="minorEastAsia" w:cstheme="minorEastAsia"/>
          <w:sz w:val="36"/>
          <w:u w:val="single"/>
        </w:rPr>
      </w:pPr>
      <w:r>
        <w:rPr>
          <w:rFonts w:hint="eastAsia" w:asciiTheme="minorEastAsia" w:hAnsiTheme="minorEastAsia" w:eastAsiaTheme="minorEastAsia" w:cstheme="minorEastAsia"/>
          <w:sz w:val="36"/>
        </w:rPr>
        <w:t xml:space="preserve">项 目 编 号：</w:t>
      </w:r>
      <w:r>
        <w:rPr>
          <w:rFonts w:hint="eastAsia" w:asciiTheme="minorEastAsia" w:hAnsiTheme="minorEastAsia" w:eastAsiaTheme="minorEastAsia" w:cstheme="minorEastAsia"/>
          <w:sz w:val="36"/>
          <w:u w:val="single"/>
        </w:rPr>
        <w:t xml:space="preserve">               </w:t>
      </w:r>
      <w:r/>
    </w:p>
    <w:p>
      <w:pPr>
        <w:rPr>
          <w:rFonts w:hint="eastAsia" w:asciiTheme="minorEastAsia" w:hAnsiTheme="minorEastAsia" w:eastAsiaTheme="minorEastAsia" w:cstheme="minorEastAsia"/>
          <w:sz w:val="36"/>
          <w:u w:val="single"/>
        </w:rPr>
      </w:pPr>
      <w:r>
        <w:rPr>
          <w:rFonts w:hint="eastAsia" w:asciiTheme="minorEastAsia" w:hAnsiTheme="minorEastAsia" w:eastAsiaTheme="minorEastAsia" w:cstheme="minorEastAsia"/>
          <w:sz w:val="36"/>
        </w:rPr>
        <w:t xml:space="preserve">      投标人名称 ：</w:t>
      </w:r>
      <w:r>
        <w:rPr>
          <w:rFonts w:hint="eastAsia" w:asciiTheme="minorEastAsia" w:hAnsiTheme="minorEastAsia" w:eastAsiaTheme="minorEastAsia" w:cstheme="minorEastAsia"/>
          <w:sz w:val="36"/>
          <w:u w:val="single"/>
        </w:rPr>
        <w:t xml:space="preserve">（公章）</w:t>
      </w:r>
      <w:r/>
    </w:p>
    <w:p>
      <w:pPr>
        <w:rPr>
          <w:rFonts w:hint="eastAsia" w:asciiTheme="minorEastAsia" w:hAnsiTheme="minorEastAsia" w:eastAsiaTheme="minorEastAsia" w:cstheme="minorEastAsia"/>
          <w:sz w:val="36"/>
          <w:u w:val="single"/>
        </w:rPr>
      </w:pPr>
      <w:r>
        <w:rPr>
          <w:rFonts w:hint="eastAsia" w:asciiTheme="minorEastAsia" w:hAnsiTheme="minorEastAsia" w:eastAsiaTheme="minorEastAsia" w:cstheme="minorEastAsia"/>
          <w:sz w:val="36"/>
        </w:rPr>
        <w:t xml:space="preserve">      日      期 ：</w:t>
      </w:r>
      <w:r>
        <w:rPr>
          <w:rFonts w:hint="eastAsia" w:asciiTheme="minorEastAsia" w:hAnsiTheme="minorEastAsia" w:eastAsiaTheme="minorEastAsia" w:cstheme="minorEastAsia"/>
          <w:sz w:val="36"/>
          <w:u w:val="single"/>
        </w:rPr>
        <w:t xml:space="preserve">               </w:t>
      </w:r>
      <w:bookmarkEnd w:id="158"/>
      <w:r/>
      <w:r/>
    </w:p>
    <w:p>
      <w:pPr>
        <w:pStyle w:val="984"/>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84"/>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84"/>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84"/>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84"/>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84"/>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157"/>
      <w:r/>
      <w:r/>
    </w:p>
    <w:p>
      <w:pPr>
        <w:pStyle w:val="984"/>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84"/>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4"/>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投标文件目录</w:t>
      </w:r>
      <w:r/>
    </w:p>
    <w:p>
      <w:pPr>
        <w:pStyle w:val="984"/>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一、投标函</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二、投标人资质</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三、法人授权书</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四、开标一览表</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五、分项报价表</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六、中小企业或残疾人福利性单位声明函</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七、关于符合本国产品标准的声明函</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八、技术响应偏离表（技术参数响应）</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九、项目组人员</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十、企业业绩</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十一、投标所需其他材料</w:t>
      </w:r>
      <w:r/>
    </w:p>
    <w:p>
      <w:pPr>
        <w:pStyle w:val="993"/>
        <w:ind w:left="210"/>
        <w:rPr>
          <w:rFonts w:hint="eastAsia" w:asciiTheme="minorEastAsia" w:hAnsiTheme="minorEastAsia" w:eastAsiaTheme="minorEastAsia" w:cstheme="minorEastAsia"/>
          <w:b w:val="0"/>
          <w:szCs w:val="32"/>
        </w:rPr>
        <w:outlineLvl w:val="1"/>
      </w:pPr>
      <w:r/>
      <w:bookmarkStart w:id="159" w:name="_Toc20577"/>
      <w:r/>
      <w:bookmarkStart w:id="160" w:name="_Toc26005"/>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4"/>
        <w:rPr>
          <w:rFonts w:hint="eastAsia" w:asciiTheme="minorEastAsia" w:hAnsiTheme="minorEastAsia" w:eastAsiaTheme="minorEastAsia" w:cstheme="minorEastAsia"/>
          <w:b w:val="0"/>
        </w:rPr>
        <w:outlineLvl w:val="1"/>
      </w:pPr>
      <w:r/>
      <w:bookmarkStart w:id="161" w:name="_Toc8978"/>
      <w:r>
        <w:rPr>
          <w:rFonts w:hint="eastAsia" w:asciiTheme="minorEastAsia" w:hAnsiTheme="minorEastAsia" w:eastAsiaTheme="minorEastAsia" w:cstheme="minorEastAsia"/>
          <w:b w:val="0"/>
        </w:rPr>
        <w:t xml:space="preserve">一、投标函</w:t>
      </w:r>
      <w:bookmarkEnd w:id="159"/>
      <w:r/>
      <w:bookmarkEnd w:id="160"/>
      <w:r/>
      <w:bookmarkEnd w:id="161"/>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投标函</w:t>
      </w:r>
      <w:r/>
    </w:p>
    <w:p>
      <w:pPr>
        <w:pStyle w:val="985"/>
        <w:jc w:val="left"/>
        <w:spacing w:line="5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（采购单位名称）：</w:t>
      </w:r>
      <w:r/>
    </w:p>
    <w:p>
      <w:pPr>
        <w:pStyle w:val="98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根据已收到的项目编号为</w:t>
      </w:r>
      <w:r>
        <w:rPr>
          <w:rFonts w:hint="eastAsia" w:asciiTheme="minorEastAsia" w:hAnsiTheme="minorEastAsia" w:eastAsiaTheme="minorEastAsia" w:cstheme="minorEastAsia"/>
          <w:sz w:val="24"/>
          <w:szCs w:val="24"/>
          <w:u w:val="single"/>
        </w:rPr>
        <w:t xml:space="preserve">（项目编号）</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（项目名称）</w:t>
      </w:r>
      <w:r>
        <w:rPr>
          <w:rFonts w:hint="eastAsia" w:asciiTheme="minorEastAsia" w:hAnsiTheme="minorEastAsia" w:eastAsiaTheme="minorEastAsia" w:cstheme="minorEastAsia"/>
          <w:sz w:val="24"/>
          <w:szCs w:val="24"/>
        </w:rPr>
        <w:t xml:space="preserve">的招标文件，我方在参加本项目招投标活动中，特作出如下承诺：</w:t>
      </w:r>
      <w:r/>
    </w:p>
    <w:p>
      <w:pPr>
        <w:pStyle w:val="985"/>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一、我方</w:t>
      </w:r>
      <w:r>
        <w:rPr>
          <w:rFonts w:hint="eastAsia" w:asciiTheme="minorEastAsia" w:hAnsiTheme="minorEastAsia" w:eastAsiaTheme="minorEastAsia" w:cstheme="minorEastAsia"/>
          <w:sz w:val="24"/>
        </w:rPr>
        <w:t xml:space="preserve">具备《中华人民共和国政府采购法》第二十二条第一款规定的6项条件；</w:t>
      </w:r>
      <w:r/>
    </w:p>
    <w:p>
      <w:pPr>
        <w:pStyle w:val="98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8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三、我方按招标文件要求提交投标文件，响应招标文件规定的投标有效期；</w:t>
      </w:r>
      <w:r/>
    </w:p>
    <w:p>
      <w:pPr>
        <w:pStyle w:val="98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四、如果我方的投标文件被接受，我方将按《中华人民共和国民法典（第三编合同）》及其他有关法律、法规的规定，按期、按质、按量交付采购单位，全面做到履约守信；</w:t>
      </w:r>
      <w:r/>
    </w:p>
    <w:p>
      <w:pPr>
        <w:pStyle w:val="98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五、我方若违背本声明及承诺约定，经查实，自愿接受采购人及相关主管部门相应的规定处理，并依法承担相应的法律责任。</w:t>
      </w:r>
      <w:r/>
    </w:p>
    <w:p>
      <w:pPr>
        <w:pStyle w:val="98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六、我方同意采购人、采购代理机构将本函上网公开。</w:t>
      </w:r>
      <w:r/>
    </w:p>
    <w:p>
      <w:pPr>
        <w:pStyle w:val="98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85"/>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8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投标人名称：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（公章）</w:t>
      </w:r>
      <w:r/>
    </w:p>
    <w:p>
      <w:pPr>
        <w:pStyle w:val="985"/>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85"/>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4"/>
        <w:rPr>
          <w:rFonts w:hint="eastAsia" w:asciiTheme="minorEastAsia" w:hAnsiTheme="minorEastAsia" w:eastAsiaTheme="minorEastAsia" w:cstheme="minorEastAsia"/>
          <w:b w:val="0"/>
        </w:rPr>
        <w:outlineLvl w:val="1"/>
      </w:pPr>
      <w:r/>
      <w:bookmarkStart w:id="162" w:name="_Toc15099"/>
      <w:r>
        <w:rPr>
          <w:rFonts w:hint="eastAsia" w:asciiTheme="minorEastAsia" w:hAnsiTheme="minorEastAsia" w:eastAsiaTheme="minorEastAsia" w:cstheme="minorEastAsia"/>
          <w:b w:val="0"/>
        </w:rPr>
        <w:t xml:space="preserve">二、投标人资质</w:t>
      </w:r>
      <w:bookmarkEnd w:id="162"/>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按招标文件要求提供相应资质证书</w:t>
      </w:r>
      <w:r/>
    </w:p>
    <w:p>
      <w:pPr>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rPr>
        <w:br w:type="page" w:clear="all"/>
      </w:r>
      <w:bookmarkStart w:id="163" w:name="_Toc29506"/>
      <w:r/>
      <w:bookmarkStart w:id="164" w:name="_Toc3680"/>
      <w:r/>
      <w:bookmarkStart w:id="165" w:name="_Toc27409"/>
      <w:r>
        <w:rPr>
          <w:rFonts w:hint="eastAsia" w:asciiTheme="minorEastAsia" w:hAnsiTheme="minorEastAsia" w:eastAsiaTheme="minorEastAsia" w:cstheme="minorEastAsia"/>
          <w:sz w:val="32"/>
          <w:szCs w:val="24"/>
        </w:rPr>
        <w:t xml:space="preserve">三、</w:t>
      </w:r>
      <w:bookmarkEnd w:id="163"/>
      <w:r/>
      <w:bookmarkEnd w:id="164"/>
      <w:r>
        <w:rPr>
          <w:rFonts w:hint="eastAsia" w:asciiTheme="minorEastAsia" w:hAnsiTheme="minorEastAsia" w:eastAsiaTheme="minorEastAsia" w:cstheme="minorEastAsia"/>
          <w:sz w:val="32"/>
          <w:szCs w:val="24"/>
        </w:rPr>
        <w:t xml:space="preserve">法人授权书</w:t>
      </w:r>
      <w:bookmarkEnd w:id="165"/>
      <w:r/>
      <w:r/>
    </w:p>
    <w:p>
      <w:pPr>
        <w:pStyle w:val="985"/>
        <w:jc w:val="center"/>
        <w:rPr>
          <w:rFonts w:hint="eastAsia" w:asciiTheme="minorEastAsia" w:hAnsiTheme="minorEastAsia" w:eastAsiaTheme="minorEastAsia" w:cstheme="minorEastAsia"/>
          <w:sz w:val="32"/>
          <w:szCs w:val="32"/>
        </w:rPr>
      </w:pPr>
      <w:r/>
      <w:bookmarkStart w:id="166" w:name="OLE_LINK6"/>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法人授权书</w:t>
      </w:r>
      <w:bookmarkEnd w:id="166"/>
      <w:r/>
      <w:r/>
    </w:p>
    <w:p>
      <w:pPr>
        <w:pStyle w:val="1005"/>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本授权书声明：____________（投标人名称）授权________________（被授权人的姓名）为我方就</w:t>
      </w:r>
      <w:r>
        <w:rPr>
          <w:rFonts w:hint="eastAsia" w:asciiTheme="minorEastAsia" w:hAnsiTheme="minorEastAsia" w:eastAsiaTheme="minorEastAsia" w:cstheme="minorEastAsia"/>
          <w:sz w:val="24"/>
          <w:szCs w:val="24"/>
          <w:u w:val="single"/>
        </w:rPr>
        <w:t xml:space="preserve">（项目编号）</w:t>
      </w:r>
      <w:r>
        <w:rPr>
          <w:rFonts w:hint="eastAsia" w:asciiTheme="minorEastAsia" w:hAnsiTheme="minorEastAsia" w:eastAsiaTheme="minorEastAsia" w:cstheme="minorEastAsia"/>
          <w:sz w:val="24"/>
          <w:szCs w:val="24"/>
        </w:rPr>
        <w:t xml:space="preserve">号</w:t>
      </w:r>
      <w:r>
        <w:rPr>
          <w:rFonts w:hint="eastAsia" w:asciiTheme="minorEastAsia" w:hAnsiTheme="minorEastAsia" w:eastAsiaTheme="minorEastAsia" w:cstheme="minorEastAsia"/>
          <w:sz w:val="24"/>
          <w:szCs w:val="24"/>
          <w:u w:val="single"/>
        </w:rPr>
        <w:t xml:space="preserve">          （项目名称）           项目</w:t>
      </w:r>
      <w:r>
        <w:rPr>
          <w:rFonts w:hint="eastAsia" w:asciiTheme="minorEastAsia" w:hAnsiTheme="minorEastAsia" w:eastAsiaTheme="minorEastAsia" w:cstheme="minorEastAsia"/>
          <w:sz w:val="24"/>
          <w:szCs w:val="24"/>
        </w:rPr>
        <w:t xml:space="preserve">采购活动的合法代理人，以本单位名义全权处理一切与该项目采购有关的事务。</w:t>
      </w:r>
      <w:r/>
    </w:p>
    <w:p>
      <w:pPr>
        <w:pStyle w:val="1005"/>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pStyle w:val="1005"/>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（附法人及被授权人身份证正反面加盖投标人公章）</w:t>
      </w:r>
      <w:r/>
    </w:p>
    <w:p>
      <w:pPr>
        <w:pStyle w:val="1005"/>
        <w:ind w:firstLine="482"/>
        <w:spacing w:line="48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被授权人身份证号码：</w:t>
      </w:r>
      <w:r>
        <w:rPr>
          <w:rFonts w:hint="eastAsia" w:asciiTheme="minorEastAsia" w:hAnsiTheme="minorEastAsia" w:eastAsiaTheme="minorEastAsia" w:cstheme="minorEastAsia"/>
          <w:sz w:val="24"/>
          <w:szCs w:val="24"/>
          <w:u w:val="single"/>
        </w:rPr>
        <w:t xml:space="preserve">                             </w:t>
      </w:r>
      <w:r/>
    </w:p>
    <w:p>
      <w:pPr>
        <w:pStyle w:val="1005"/>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被授权人联系电话：（手机）</w:t>
      </w:r>
      <w:r>
        <w:rPr>
          <w:rFonts w:hint="eastAsia" w:asciiTheme="minorEastAsia" w:hAnsiTheme="minorEastAsia" w:eastAsiaTheme="minorEastAsia" w:cstheme="minorEastAsia"/>
          <w:sz w:val="24"/>
          <w:szCs w:val="24"/>
          <w:u w:val="single"/>
        </w:rPr>
        <w:t xml:space="preserve">                          </w:t>
      </w:r>
      <w:r/>
    </w:p>
    <w:p>
      <w:pPr>
        <w:pStyle w:val="1005"/>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（公章）</w:t>
      </w:r>
      <w:r/>
    </w:p>
    <w:p>
      <w:pPr>
        <w:pStyle w:val="1005"/>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rPr>
          <w:rFonts w:hint="eastAsia" w:asciiTheme="minorEastAsia" w:hAnsiTheme="minorEastAsia" w:eastAsiaTheme="minorEastAsia" w:cstheme="minorEastAsia"/>
          <w:sz w:val="24"/>
          <w:szCs w:val="24"/>
          <w:u w:val="single"/>
        </w:rPr>
        <w:t xml:space="preserve">                                         </w:t>
      </w:r>
      <w:r/>
    </w:p>
    <w:p>
      <w:pPr>
        <w:pStyle w:val="1005"/>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w:t>
      </w:r>
      <w:bookmarkStart w:id="167" w:name="_Hlt26955070"/>
      <w:r/>
      <w:bookmarkEnd w:id="167"/>
      <w:r/>
      <w:bookmarkStart w:id="168" w:name="_Hlt26671380"/>
      <w:r/>
      <w:bookmarkEnd w:id="168"/>
      <w:r/>
      <w:bookmarkStart w:id="169" w:name="_格式3__银行出具的资信证明"/>
      <w:r/>
      <w:bookmarkEnd w:id="169"/>
      <w:r>
        <w:rPr>
          <w:rFonts w:hint="eastAsia" w:asciiTheme="minorEastAsia" w:hAnsiTheme="minorEastAsia" w:eastAsiaTheme="minorEastAsia" w:cstheme="minorEastAsia"/>
          <w:sz w:val="24"/>
          <w:szCs w:val="24"/>
          <w:u w:val="single"/>
        </w:rPr>
        <w:t xml:space="preserve">                                         </w:t>
      </w:r>
      <w:r/>
    </w:p>
    <w:p>
      <w:pPr>
        <w:pStyle w:val="1006"/>
        <w:ind w:firstLine="629"/>
        <w:spacing w:line="7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07"/>
        <w:rPr>
          <w:rFonts w:hint="eastAsia" w:asciiTheme="minorEastAsia" w:hAnsiTheme="minorEastAsia" w:eastAsiaTheme="minorEastAsia" w:cstheme="minorEastAsia"/>
          <w:b w:val="0"/>
        </w:rPr>
        <w:outlineLvl w:val="1"/>
      </w:pPr>
      <w:r>
        <w:rPr>
          <w:rFonts w:hint="eastAsia" w:asciiTheme="minorEastAsia" w:hAnsiTheme="minorEastAsia" w:eastAsiaTheme="minorEastAsia" w:cstheme="minorEastAsia"/>
          <w:b w:val="0"/>
        </w:rPr>
        <w:br w:type="page" w:clear="all"/>
      </w:r>
      <w:bookmarkStart w:id="170" w:name="_Toc13550"/>
      <w:r/>
      <w:bookmarkStart w:id="171" w:name="_Toc27199"/>
      <w:r/>
      <w:bookmarkStart w:id="172" w:name="_Toc30543"/>
      <w:r>
        <w:rPr>
          <w:rFonts w:hint="eastAsia" w:asciiTheme="minorEastAsia" w:hAnsiTheme="minorEastAsia" w:eastAsiaTheme="minorEastAsia" w:cstheme="minorEastAsia"/>
          <w:b w:val="0"/>
        </w:rPr>
        <w:t xml:space="preserve">四、开标一览表</w:t>
      </w:r>
      <w:bookmarkEnd w:id="170"/>
      <w:r/>
      <w:bookmarkEnd w:id="171"/>
      <w:r/>
      <w:bookmarkEnd w:id="172"/>
      <w:r/>
      <w:r/>
    </w:p>
    <w:p>
      <w:pPr>
        <w:pStyle w:val="100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采购项目名称：</w:t>
      </w:r>
      <w:r/>
    </w:p>
    <w:p>
      <w:pP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采购项目编号： </w:t>
      </w:r>
      <w:r/>
    </w:p>
    <w:tbl>
      <w:tblPr>
        <w:tblStyle w:val="818"/>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9"/>
      </w:tblGrid>
      <w:tr>
        <w:trPr/>
        <w:tc>
          <w:tcPr>
            <w:tcW w:w="9169" w:type="dxa"/>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投标总报价</w:t>
            </w:r>
            <w:r/>
          </w:p>
        </w:tc>
      </w:tr>
      <w:tr>
        <w:trPr/>
        <w:tc>
          <w:tcPr>
            <w:tcW w:w="9169" w:type="dxa"/>
            <w:textDirection w:val="lrTb"/>
            <w:noWrap w:val="false"/>
          </w:tcPr>
          <w:p>
            <w:pP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总价（小写）：          （人民币：元）</w:t>
            </w:r>
            <w:r/>
          </w:p>
        </w:tc>
      </w:tr>
      <w:tr>
        <w:trPr/>
        <w:tc>
          <w:tcPr>
            <w:tcW w:w="9169" w:type="dxa"/>
            <w:textDirection w:val="lrTb"/>
            <w:noWrap w:val="false"/>
          </w:tcPr>
          <w:p>
            <w:pP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总价（大写）：</w:t>
            </w:r>
            <w:r>
              <w:rPr>
                <w:rStyle w:val="1009"/>
                <w:rFonts w:hint="eastAsia" w:asciiTheme="minorEastAsia" w:hAnsiTheme="minorEastAsia" w:eastAsiaTheme="minorEastAsia" w:cstheme="minorEastAsia"/>
                <w:sz w:val="24"/>
                <w:szCs w:val="24"/>
              </w:rPr>
              <w:t xml:space="preserve">金额大写</w:t>
            </w:r>
            <w:r>
              <w:rPr>
                <w:rFonts w:hint="eastAsia" w:asciiTheme="minorEastAsia" w:hAnsiTheme="minorEastAsia" w:eastAsiaTheme="minorEastAsia" w:cstheme="minorEastAsia"/>
                <w:sz w:val="24"/>
                <w:szCs w:val="24"/>
              </w:rPr>
              <w:t xml:space="preserve"> （人民币：元）</w:t>
            </w:r>
            <w:r/>
          </w:p>
        </w:tc>
      </w:tr>
    </w:tbl>
    <w:p>
      <w:pP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8"/>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投标人(公章)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4"/>
        </w:rPr>
      </w:pPr>
      <w:r/>
      <w:bookmarkStart w:id="173" w:name="_Toc12113"/>
      <w:r>
        <w:rPr>
          <w:rFonts w:hint="eastAsia" w:asciiTheme="minorEastAsia" w:hAnsiTheme="minorEastAsia" w:eastAsiaTheme="minorEastAsia" w:cstheme="minorEastAsia"/>
          <w:sz w:val="24"/>
        </w:rPr>
        <w:t xml:space="preserve">日期：     年     月     日</w:t>
      </w:r>
      <w:bookmarkEnd w:id="173"/>
      <w:r/>
      <w:r/>
    </w:p>
    <w:p>
      <w:pPr>
        <w:pStyle w:val="1010"/>
        <w:rPr>
          <w:rFonts w:hint="eastAsia" w:asciiTheme="minorEastAsia" w:hAnsiTheme="minorEastAsia" w:eastAsiaTheme="minorEastAsia" w:cstheme="minorEastAsia"/>
          <w:b w:val="0"/>
        </w:rPr>
        <w:outlineLvl w:val="1"/>
      </w:pPr>
      <w:r>
        <w:rPr>
          <w:rFonts w:hint="eastAsia" w:asciiTheme="minorEastAsia" w:hAnsiTheme="minorEastAsia" w:eastAsiaTheme="minorEastAsia" w:cstheme="minorEastAsia"/>
          <w:b w:val="0"/>
        </w:rPr>
        <w:br w:type="page" w:clear="all"/>
      </w:r>
      <w:bookmarkStart w:id="174" w:name="_Toc956"/>
      <w:r/>
      <w:bookmarkStart w:id="175" w:name="_Toc26543"/>
      <w:r/>
      <w:bookmarkStart w:id="176" w:name="_Toc12614"/>
      <w:r>
        <w:rPr>
          <w:rFonts w:hint="eastAsia" w:asciiTheme="minorEastAsia" w:hAnsiTheme="minorEastAsia" w:eastAsiaTheme="minorEastAsia" w:cstheme="minorEastAsia"/>
          <w:b w:val="0"/>
        </w:rPr>
        <w:t xml:space="preserve">五、</w:t>
      </w:r>
      <w:bookmarkEnd w:id="174"/>
      <w:r/>
      <w:bookmarkEnd w:id="175"/>
      <w:r>
        <w:rPr>
          <w:rFonts w:hint="eastAsia" w:asciiTheme="minorEastAsia" w:hAnsiTheme="minorEastAsia" w:eastAsiaTheme="minorEastAsia" w:cstheme="minorEastAsia"/>
          <w:b w:val="0"/>
        </w:rPr>
        <w:t xml:space="preserve">分项报价表</w:t>
      </w:r>
      <w:bookmarkEnd w:id="176"/>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分项报价表</w:t>
      </w:r>
      <w:r/>
    </w:p>
    <w:p>
      <w:pPr>
        <w:pStyle w:val="985"/>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32"/>
          <w:szCs w:val="32"/>
        </w:rPr>
        <w:t xml:space="preserve">（货物类）</w:t>
      </w:r>
      <w:r/>
    </w:p>
    <w:tbl>
      <w:tblPr>
        <w:tblStyle w:val="791"/>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05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w:t>
            </w:r>
            <w:r/>
          </w:p>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tcW w:w="814"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w:t>
            </w:r>
            <w:r/>
          </w:p>
        </w:tc>
        <w:tc>
          <w:tcPr>
            <w:tcW w:w="107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规格</w:t>
            </w:r>
            <w:r/>
          </w:p>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型号</w:t>
            </w:r>
            <w:r/>
          </w:p>
        </w:tc>
        <w:tc>
          <w:tcPr>
            <w:tcW w:w="1617"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制造商名称</w:t>
            </w:r>
            <w:r/>
          </w:p>
        </w:tc>
        <w:tc>
          <w:tcPr>
            <w:tcW w:w="1233"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产地</w:t>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93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tcW w:w="1136"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05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14"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7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3"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3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6"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96"/>
        </w:trPr>
        <w:tc>
          <w:tcPr>
            <w:tcW w:w="500"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05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14"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7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3" w:type="dxa"/>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r>
            <w:r/>
          </w:p>
        </w:tc>
        <w:tc>
          <w:tcPr>
            <w:tcW w:w="93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6"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724"/>
        </w:trPr>
        <w:tc>
          <w:tcPr>
            <w:tcW w:w="500"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05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14"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7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3" w:type="dxa"/>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3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6"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00"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105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14"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7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3" w:type="dxa"/>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3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6"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77"/>
        </w:trPr>
        <w:tc>
          <w:tcPr>
            <w:tcW w:w="500"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105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814"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7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3" w:type="dxa"/>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3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6"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77"/>
        </w:trPr>
        <w:tc>
          <w:tcPr>
            <w:tcW w:w="500"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5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14"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7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3" w:type="dxa"/>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21"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932"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6" w:type="dxa"/>
            <w:vAlign w:val="center"/>
            <w:textDirection w:val="lrTb"/>
            <w:noWrap w:val="false"/>
          </w:tcPr>
          <w:p>
            <w:pPr>
              <w:jc w:val="cente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77"/>
        </w:trPr>
        <w:tc>
          <w:tcPr>
            <w:gridSpan w:val="3"/>
            <w:tcW w:w="2366" w:type="dxa"/>
            <w:vAlign w:val="center"/>
            <w:textDirection w:val="lrTb"/>
            <w:noWrap w:val="false"/>
          </w:tcPr>
          <w:p>
            <w:pPr>
              <w:pStyle w:val="1011"/>
              <w:jc w:val="center"/>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8"/>
                <w:szCs w:val="28"/>
              </w:rPr>
              <w:t xml:space="preserve">投标总报价</w:t>
            </w:r>
            <w:r/>
          </w:p>
        </w:tc>
        <w:tc>
          <w:tcPr>
            <w:gridSpan w:val="6"/>
            <w:tcW w:w="6911" w:type="dxa"/>
            <w:vAlign w:val="center"/>
            <w:textDirection w:val="lrTb"/>
            <w:noWrap w:val="false"/>
          </w:tcPr>
          <w:p>
            <w:pPr>
              <w:pStyle w:val="1011"/>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r/>
          </w:p>
          <w:p>
            <w:pPr>
              <w:pStyle w:val="1011"/>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人民币（大写）：</w:t>
            </w:r>
            <w:r>
              <w:rPr>
                <w:rFonts w:hint="eastAsia" w:asciiTheme="minorEastAsia" w:hAnsiTheme="minorEastAsia" w:eastAsiaTheme="minorEastAsia" w:cstheme="minorEastAsia"/>
                <w:sz w:val="24"/>
                <w:u w:val="single"/>
              </w:rPr>
              <w:t xml:space="preserve">      仟     </w:t>
            </w:r>
            <w:r>
              <w:rPr>
                <w:rFonts w:hint="eastAsia" w:asciiTheme="minorEastAsia" w:hAnsiTheme="minorEastAsia" w:eastAsiaTheme="minorEastAsia" w:cstheme="minorEastAsia"/>
                <w:sz w:val="24"/>
              </w:rPr>
              <w:t xml:space="preserve">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拾</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万</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拾</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元</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角</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分</w:t>
            </w:r>
            <w:r/>
          </w:p>
        </w:tc>
      </w:tr>
    </w:tbl>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备注：1、“投标总报价”数额应当与“开标一览表”中“投标总报价”数额一致。</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rPr>
        <w:t xml:space="preserve">“投标报价”应包括：</w:t>
      </w:r>
      <w:r>
        <w:rPr>
          <w:rFonts w:hint="eastAsia" w:asciiTheme="minorEastAsia" w:hAnsiTheme="minorEastAsia" w:eastAsiaTheme="minorEastAsia" w:cstheme="minorEastAsia"/>
          <w:sz w:val="24"/>
          <w:szCs w:val="24"/>
        </w:rPr>
        <w:t xml:space="preserve">响应报价应包括货款、专用工具装备、包装、运输、装卸、人员劳务、安全及保险（供应商自行考虑）、货到就位、项目涉及的安装、系统集成、调试、检验检测、售后质保维保，</w:t>
      </w:r>
      <w:r>
        <w:rPr>
          <w:rFonts w:hint="eastAsia" w:asciiTheme="minorEastAsia" w:hAnsiTheme="minorEastAsia" w:eastAsiaTheme="minorEastAsia" w:cstheme="minorEastAsia"/>
          <w:sz w:val="24"/>
        </w:rPr>
        <w:t xml:space="preserve">以及其他有关项目管理费用、税金等完成本项目所涉及到的一切招标投标相关费用</w:t>
      </w:r>
      <w:r>
        <w:rPr>
          <w:rFonts w:hint="eastAsia" w:asciiTheme="minorEastAsia" w:hAnsiTheme="minorEastAsia" w:eastAsiaTheme="minorEastAsia" w:cstheme="minorEastAsia"/>
          <w:sz w:val="24"/>
          <w:szCs w:val="24"/>
        </w:rPr>
        <w:t xml:space="preserve">。</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（注：（1）本项目仪器设备与甲方现有系统设备设施的全面适配及兼容等费用含在综合报价内，投标供应商自行勘察现场，自行考虑相关风险，不再另计。</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以上包含但不限于项目履约期安全风险保障等责任及费用，须全面满足项目需求和要求，不足部分，供应商自行补足且视为供应商主动让利，相关风险由供应商自行承担，含在项目综合报价中，不再另行增加。）</w:t>
      </w:r>
      <w:r/>
    </w:p>
    <w:p>
      <w:pPr>
        <w:ind w:firstLine="480"/>
        <w:jc w:val="left"/>
        <w:spacing w:line="44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投标人报价时应充分考虑所有可能影响到报价的因素，一旦评标结束最终中标，如发生漏、缺、少项，都将被认为是投标人的报价让利行为，损失自负。</w:t>
      </w:r>
      <w:r/>
    </w:p>
    <w:p>
      <w:pPr>
        <w:ind w:firstLine="480"/>
        <w:jc w:val="left"/>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szCs w:val="24"/>
        </w:rPr>
        <w:t xml:space="preserve">报价为完成该项目所涉及到的一切相关费用，采购人不再支付其他任何费用。</w:t>
      </w:r>
      <w:r/>
    </w:p>
    <w:p>
      <w:pPr>
        <w:pStyle w:val="985"/>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93"/>
        <w:rPr>
          <w:rFonts w:hint="eastAsia" w:asciiTheme="minorEastAsia" w:hAnsiTheme="minorEastAsia" w:eastAsiaTheme="minorEastAsia" w:cstheme="minorEastAsia"/>
          <w:b w:val="0"/>
        </w:rPr>
        <w:outlineLvl w:val="1"/>
      </w:pPr>
      <w:r/>
      <w:bookmarkStart w:id="177" w:name="_Toc2747"/>
      <w:r/>
      <w:bookmarkStart w:id="178" w:name="_Toc21129"/>
      <w:r/>
      <w:bookmarkStart w:id="179" w:name="_Toc17418"/>
      <w:r>
        <w:rPr>
          <w:rFonts w:hint="eastAsia" w:asciiTheme="minorEastAsia" w:hAnsiTheme="minorEastAsia" w:eastAsiaTheme="minorEastAsia" w:cstheme="minorEastAsia"/>
          <w:b w:val="0"/>
        </w:rPr>
        <w:t xml:space="preserve">六、中小企业或残疾人福利性单位声明函</w:t>
      </w:r>
      <w:bookmarkEnd w:id="177"/>
      <w:r/>
      <w:bookmarkEnd w:id="178"/>
      <w:r/>
      <w:bookmarkEnd w:id="179"/>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中小微企业声明函</w:t>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（货物类项目）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4"/>
          <w:szCs w:val="24"/>
          <w:u w:val="single"/>
        </w:rPr>
        <w:t xml:space="preserve"> 单位名称  </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（项目名称） </w:t>
      </w:r>
      <w:r>
        <w:rPr>
          <w:rFonts w:hint="eastAsia" w:asciiTheme="minorEastAsia" w:hAnsiTheme="minorEastAsia" w:eastAsiaTheme="minorEastAsia" w:cstheme="minorEastAsia"/>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（投标人填写招标文件中明确的所属行业）</w:t>
      </w:r>
      <w:r>
        <w:rPr>
          <w:rFonts w:hint="eastAsia" w:asciiTheme="minorEastAsia" w:hAnsiTheme="minorEastAsia" w:eastAsiaTheme="minorEastAsia" w:cstheme="minorEastAsia"/>
          <w:sz w:val="24"/>
          <w:szCs w:val="24"/>
        </w:rPr>
        <w:t xml:space="preserve">行业；投标产品制造商为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（□中型企业 □小型企业 □微型企业）；</w:t>
      </w:r>
      <w:r/>
    </w:p>
    <w:p>
      <w:pPr>
        <w:ind w:firstLine="480"/>
        <w:spacing w:line="48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（投标人填写招标文件中明确的所属行业）</w:t>
      </w:r>
      <w:r>
        <w:rPr>
          <w:rFonts w:hint="eastAsia" w:asciiTheme="minorEastAsia" w:hAnsiTheme="minorEastAsia" w:eastAsiaTheme="minorEastAsia" w:cstheme="minorEastAsia"/>
          <w:sz w:val="24"/>
          <w:szCs w:val="24"/>
        </w:rPr>
        <w:t xml:space="preserve">行业；投标产品制造商为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（□中型企业 □小型企业 □微型企业）；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right="72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180" w:firstLine="360"/>
        <w:jc w:val="righ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企业名称（公章）：</w:t>
      </w:r>
      <w:r/>
    </w:p>
    <w:p>
      <w:pPr>
        <w:ind w:right="180" w:firstLine="360"/>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  期：</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备注：1.从业人员、营业收入、资产总额填报上一年度数据，无上一年度数据的新成立企业可不填报。</w:t>
      </w:r>
      <w:r/>
    </w:p>
    <w:p>
      <w:pPr>
        <w:ind w:firstLine="480"/>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85"/>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4"/>
          <w:szCs w:val="24"/>
        </w:rPr>
        <w:br w:type="page" w:clear="all"/>
      </w:r>
      <w:r>
        <w:rPr>
          <w:rFonts w:hint="eastAsia" w:asciiTheme="minorEastAsia" w:hAnsiTheme="minorEastAsia" w:eastAsiaTheme="minorEastAsia" w:cstheme="minorEastAsia"/>
          <w:sz w:val="32"/>
          <w:szCs w:val="32"/>
        </w:rPr>
        <w:t xml:space="preserve">残疾人福利性单位声明函</w:t>
      </w:r>
      <w:r/>
    </w:p>
    <w:p>
      <w:pPr>
        <w:pStyle w:val="991"/>
        <w:spacing w:line="588" w:lineRule="exact"/>
        <w:rPr>
          <w:rFonts w:hint="eastAsia" w:asciiTheme="minorEastAsia" w:hAnsiTheme="minorEastAsia" w:eastAsiaTheme="minorEastAsia" w:cstheme="minorEastAsia"/>
          <w:spacing w:val="6"/>
          <w:sz w:val="30"/>
          <w:szCs w:val="30"/>
        </w:rPr>
      </w:pPr>
      <w:r>
        <w:rPr>
          <w:rFonts w:hint="eastAsia" w:asciiTheme="minorEastAsia" w:hAnsiTheme="minorEastAsia" w:eastAsiaTheme="minorEastAsia" w:cstheme="minorEastAsia"/>
          <w:spacing w:val="6"/>
          <w:sz w:val="30"/>
          <w:szCs w:val="30"/>
        </w:rPr>
      </w:r>
      <w:r/>
    </w:p>
    <w:p>
      <w:pPr>
        <w:pStyle w:val="1017"/>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sz w:val="24"/>
          <w:szCs w:val="24"/>
          <w:u w:val="single"/>
        </w:rPr>
        <w:t xml:space="preserve">单位名称）</w:t>
      </w:r>
      <w:r>
        <w:rPr>
          <w:rFonts w:hint="eastAsia" w:asciiTheme="minorEastAsia" w:hAnsiTheme="minorEastAsia" w:eastAsiaTheme="minorEastAsia" w:cstheme="minorEastAsia"/>
          <w:sz w:val="24"/>
        </w:rPr>
        <w:t xml:space="preserve">的</w:t>
      </w:r>
      <w:r>
        <w:rPr>
          <w:rFonts w:hint="eastAsia" w:asciiTheme="minorEastAsia" w:hAnsiTheme="minorEastAsia" w:eastAsiaTheme="minorEastAsia" w:cstheme="minorEastAsia"/>
          <w:sz w:val="24"/>
          <w:u w:val="single"/>
        </w:rPr>
        <w:t xml:space="preserve">（项目名称） </w:t>
      </w:r>
      <w:r>
        <w:rPr>
          <w:rFonts w:hint="eastAsia" w:asciiTheme="minorEastAsia" w:hAnsiTheme="minorEastAsia" w:eastAsiaTheme="minorEastAsia" w:cstheme="minorEastAsia"/>
          <w:sz w:val="24"/>
        </w:rPr>
        <w:t xml:space="preserve">采购活动提供本单位制造的货物（由本单位承担工程/提供服务），或者提供其他残疾人福利性单位制造的货物（不包括使用非残疾人福利性单位注册商标的货物）。</w:t>
      </w:r>
      <w:r/>
    </w:p>
    <w:p>
      <w:pPr>
        <w:pStyle w:val="1017"/>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pStyle w:val="1018"/>
        <w:ind w:firstLine="3810"/>
        <w:spacing w:line="500" w:lineRule="exac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r>
      <w:r/>
    </w:p>
    <w:p>
      <w:pPr>
        <w:pStyle w:val="1018"/>
        <w:ind w:firstLine="3629"/>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18"/>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szCs w:val="24"/>
        </w:rPr>
        <w:t xml:space="preserve">公章</w:t>
      </w:r>
      <w:r>
        <w:rPr>
          <w:rFonts w:hint="eastAsia" w:asciiTheme="minorEastAsia" w:hAnsiTheme="minorEastAsia" w:eastAsiaTheme="minorEastAsia" w:cstheme="minorEastAsia"/>
          <w:sz w:val="24"/>
        </w:rPr>
        <w:t xml:space="preserve">）</w:t>
      </w:r>
      <w:r/>
    </w:p>
    <w:p>
      <w:pPr>
        <w:pStyle w:val="990"/>
        <w:ind w:firstLine="480"/>
        <w:jc w:val="left"/>
        <w:spacing w:line="50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日期：  年  月  日</w:t>
      </w:r>
      <w:r/>
    </w:p>
    <w:p>
      <w:pPr>
        <w:pStyle w:val="991"/>
        <w:ind w:right="1560" w:firstLine="480"/>
        <w:jc w:val="center"/>
        <w:spacing w:line="588" w:lineRule="exact"/>
        <w:tabs>
          <w:tab w:val="left" w:pos="48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9"/>
        <w:ind w:left="357" w:firstLine="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7"/>
        <w:ind w:firstLine="44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备注：1.非残疾人福利性单位不需提供此函。</w:t>
      </w:r>
      <w:r/>
    </w:p>
    <w:p>
      <w:pPr>
        <w:pStyle w:val="1017"/>
        <w:ind w:firstLine="44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7"/>
        <w:ind w:firstLine="44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7"/>
        <w:ind w:firstLine="44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7"/>
        <w:ind w:firstLine="44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7"/>
        <w:ind w:firstLine="44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7"/>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7"/>
        <w:ind w:firstLine="44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7"/>
        <w:ind w:firstLine="44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7"/>
        <w:ind w:firstLine="44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7"/>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7"/>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7"/>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44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spacing w:line="44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七、关于符合本国产品标准的声明函</w:t>
      </w:r>
      <w:r/>
    </w:p>
    <w:p>
      <w:pPr>
        <w:jc w:val="center"/>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jc w:val="center"/>
        <w:widowControl/>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关于符合本国产品标准的声明函</w:t>
      </w:r>
      <w:r/>
    </w:p>
    <w:p>
      <w:pPr>
        <w:ind w:firstLine="48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407670</wp:posOffset>
                </wp:positionH>
                <wp:positionV relativeFrom="paragraph">
                  <wp:posOffset>781050</wp:posOffset>
                </wp:positionV>
                <wp:extent cx="643890"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643890"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3360;o:allowoverlap:true;o:allowincell:true;mso-position-horizontal-relative:text;margin-left:32.1pt;mso-position-horizontal:absolute;mso-position-vertical-relative:text;margin-top:61.5pt;mso-position-vertical:absolute;width:50.7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4874895</wp:posOffset>
                </wp:positionH>
                <wp:positionV relativeFrom="paragraph">
                  <wp:posOffset>419100</wp:posOffset>
                </wp:positionV>
                <wp:extent cx="643890" cy="11112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43890" cy="1111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383.8pt;mso-position-horizontal:absolute;mso-position-vertical-relative:text;margin-top:33.0pt;mso-position-vertical:absolute;width:50.7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4331970</wp:posOffset>
                </wp:positionH>
                <wp:positionV relativeFrom="paragraph">
                  <wp:posOffset>771525</wp:posOffset>
                </wp:positionV>
                <wp:extent cx="615315" cy="1016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15315" cy="1016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341.1pt;mso-position-horizontal:absolute;mso-position-vertical-relative:text;margin-top:60.8pt;mso-position-vertical:absolute;width:48.4pt;height:8.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2960370</wp:posOffset>
                </wp:positionH>
                <wp:positionV relativeFrom="paragraph">
                  <wp:posOffset>762000</wp:posOffset>
                </wp:positionV>
                <wp:extent cx="681990" cy="1016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81990" cy="1016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text;margin-left:233.1pt;mso-position-horizontal:absolute;mso-position-vertical-relative:text;margin-top:60.0pt;mso-position-vertical:absolute;width:53.7pt;height:8.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3627120</wp:posOffset>
                </wp:positionH>
                <wp:positionV relativeFrom="paragraph">
                  <wp:posOffset>438150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285.6pt;mso-position-horizontal:absolute;mso-position-vertical-relative:text;margin-top:3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wp:posOffset>
                </wp:positionH>
                <wp:positionV relativeFrom="paragraph">
                  <wp:posOffset>476250</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1pt;mso-position-horizontal:absolute;mso-position-vertical-relative:text;margin-top:37.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5322570</wp:posOffset>
                </wp:positionH>
                <wp:positionV relativeFrom="paragraph">
                  <wp:posOffset>152400</wp:posOffset>
                </wp:positionV>
                <wp:extent cx="510540"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10540"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419.1pt;mso-position-horizontal:absolute;mso-position-vertical-relative:text;margin-top:12.0pt;mso-position-vertical:absolute;width:40.2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rPr>
        <w:t xml:space="preserve">产品名称1</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4"/>
          <w:szCs w:val="24"/>
          <w:shd w:val="clear" w:color="auto" w:fill="ffffff"/>
          <w:vertAlign w:val="superscript"/>
        </w:rPr>
        <w:t xml:space="preserve">1</w:t>
      </w:r>
      <w:r>
        <w:rPr>
          <w:rFonts w:hint="eastAsia" w:asciiTheme="minorEastAsia" w:hAnsiTheme="minorEastAsia" w:eastAsiaTheme="minorEastAsia" w:cstheme="minorEastAsia"/>
          <w:sz w:val="28"/>
          <w:szCs w:val="28"/>
        </w:rPr>
        <w:t xml:space="preserve">，生产厂为（</w:t>
      </w:r>
      <w:r>
        <w:rPr>
          <w:rFonts w:hint="eastAsia" w:asciiTheme="minorEastAsia" w:hAnsiTheme="minorEastAsia" w:eastAsiaTheme="minorEastAsia" w:cstheme="minorEastAsia"/>
          <w:sz w:val="28"/>
          <w:szCs w:val="28"/>
          <w:u w:val="single"/>
        </w:rPr>
        <w:t xml:space="preserve">厂名</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4"/>
          <w:szCs w:val="24"/>
          <w:shd w:val="clear" w:color="auto" w:fill="ffffff"/>
          <w:vertAlign w:val="superscript"/>
        </w:rPr>
        <w:t xml:space="preserve">2</w:t>
      </w:r>
      <w:r>
        <w:rPr>
          <w:rFonts w:hint="eastAsia" w:asciiTheme="minorEastAsia" w:hAnsiTheme="minorEastAsia" w:eastAsiaTheme="minorEastAsia" w:cstheme="minorEastAsia"/>
          <w:sz w:val="28"/>
          <w:szCs w:val="28"/>
        </w:rPr>
        <w:t xml:space="preserve">，厂址为（</w:t>
      </w:r>
      <w:r>
        <w:rPr>
          <w:rFonts w:hint="eastAsia" w:asciiTheme="minorEastAsia" w:hAnsiTheme="minorEastAsia" w:eastAsiaTheme="minorEastAsia" w:cstheme="minorEastAsia"/>
          <w:sz w:val="28"/>
          <w:szCs w:val="28"/>
          <w:u w:val="single"/>
        </w:rPr>
        <w:t xml:space="preserve">生产厂址</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产品名称1</w:t>
      </w:r>
      <w:r>
        <w:rPr>
          <w:rFonts w:hint="eastAsia" w:asciiTheme="minorEastAsia" w:hAnsiTheme="minorEastAsia" w:eastAsiaTheme="minorEastAsia" w:cstheme="minorEastAsia"/>
          <w:sz w:val="28"/>
          <w:szCs w:val="28"/>
        </w:rPr>
        <w:t xml:space="preserve">）的中国境内生产的组件成本占比≥（</w:t>
      </w:r>
      <w:r>
        <w:rPr>
          <w:rFonts w:hint="eastAsia" w:asciiTheme="minorEastAsia" w:hAnsiTheme="minorEastAsia" w:eastAsiaTheme="minorEastAsia" w:cstheme="minorEastAsia"/>
          <w:sz w:val="28"/>
          <w:szCs w:val="28"/>
          <w:u w:val="single"/>
        </w:rPr>
        <w:t xml:space="preserve">规定比例</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4"/>
          <w:szCs w:val="24"/>
          <w:shd w:val="clear" w:color="auto" w:fill="ffffff"/>
          <w:vertAlign w:val="superscript"/>
        </w:rPr>
        <w:t xml:space="preserve">3</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产品名称1</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rPr>
        <w:t xml:space="preserve">关键组件</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4"/>
          <w:szCs w:val="24"/>
          <w:shd w:val="clear" w:color="auto" w:fill="ffffff"/>
          <w:vertAlign w:val="superscript"/>
        </w:rPr>
        <w:t xml:space="preserve">4</w:t>
      </w:r>
      <w:r>
        <w:rPr>
          <w:rFonts w:hint="eastAsia" w:asciiTheme="minorEastAsia" w:hAnsiTheme="minorEastAsia" w:eastAsiaTheme="minorEastAsia" w:cstheme="minorEastAsia"/>
          <w:sz w:val="28"/>
          <w:szCs w:val="28"/>
        </w:rPr>
        <w:t xml:space="preserve">在中国境内生产。（</w:t>
      </w:r>
      <w:r>
        <w:rPr>
          <w:rFonts w:hint="eastAsia" w:asciiTheme="minorEastAsia" w:hAnsiTheme="minorEastAsia" w:eastAsiaTheme="minorEastAsia" w:cstheme="minorEastAsia"/>
          <w:sz w:val="28"/>
          <w:szCs w:val="28"/>
          <w:u w:val="single"/>
        </w:rPr>
        <w:t xml:space="preserve">产品名称1</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rPr>
        <w:t xml:space="preserve">关键工序</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4"/>
          <w:szCs w:val="24"/>
          <w:shd w:val="clear" w:color="auto" w:fill="ffffff"/>
          <w:vertAlign w:val="superscript"/>
        </w:rPr>
        <w:t xml:space="preserve">5</w:t>
      </w:r>
      <w:r>
        <w:rPr>
          <w:rFonts w:hint="eastAsia" w:asciiTheme="minorEastAsia" w:hAnsiTheme="minorEastAsia" w:eastAsiaTheme="minorEastAsia" w:cstheme="minorEastAsia"/>
          <w:sz w:val="28"/>
          <w:szCs w:val="28"/>
        </w:rPr>
        <w:t xml:space="preserve">在中国境内完成。</w:t>
      </w:r>
      <w:r/>
    </w:p>
    <w:p>
      <w:pPr>
        <w:ind w:firstLine="48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4265295</wp:posOffset>
                </wp:positionH>
                <wp:positionV relativeFrom="paragraph">
                  <wp:posOffset>758825</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3600;o:allowoverlap:true;o:allowincell:true;mso-position-horizontal-relative:text;margin-left:335.8pt;mso-position-horizontal:absolute;mso-position-vertical-relative:text;margin-top:59.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2950845</wp:posOffset>
                </wp:positionH>
                <wp:positionV relativeFrom="paragraph">
                  <wp:posOffset>768350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2576;o:allowoverlap:true;o:allowincell:true;mso-position-horizontal-relative:text;margin-left:232.3pt;mso-position-horizontal:absolute;mso-position-vertical-relative:text;margin-top:60.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474345</wp:posOffset>
                </wp:positionH>
                <wp:positionV relativeFrom="paragraph">
                  <wp:posOffset>768350</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1552;o:allowoverlap:true;o:allowincell:true;mso-position-horizontal-relative:text;margin-left:37.4pt;mso-position-horizontal:absolute;mso-position-vertical-relative:text;margin-top:60.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4855845</wp:posOffset>
                </wp:positionH>
                <wp:positionV relativeFrom="paragraph">
                  <wp:posOffset>444500</wp:posOffset>
                </wp:positionV>
                <wp:extent cx="577215" cy="9207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382.3pt;mso-position-horizontal:absolute;mso-position-vertical-relative:text;margin-top:35.0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3608070</wp:posOffset>
                </wp:positionH>
                <wp:positionV relativeFrom="paragraph">
                  <wp:posOffset>482600</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284.1pt;mso-position-horizontal:absolute;mso-position-vertical-relative:text;margin-top:38.0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-30479</wp:posOffset>
                </wp:positionH>
                <wp:positionV relativeFrom="paragraph">
                  <wp:posOffset>492125</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2.4pt;mso-position-horizontal:absolute;mso-position-vertical-relative:text;margin-top:38.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5274945</wp:posOffset>
                </wp:positionH>
                <wp:positionV relativeFrom="paragraph">
                  <wp:posOffset>168275</wp:posOffset>
                </wp:positionV>
                <wp:extent cx="577215" cy="920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5408;o:allowoverlap:true;o:allowincell:true;mso-position-horizontal-relative:text;margin-left:415.3pt;mso-position-horizontal:absolute;mso-position-vertical-relative:text;margin-top:13.2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u w:val="single"/>
        </w:rPr>
        <w:t xml:space="preserve">产品名称2</w:t>
      </w:r>
      <w:r>
        <w:rPr>
          <w:rFonts w:hint="eastAsia" w:asciiTheme="minorEastAsia" w:hAnsiTheme="minorEastAsia" w:eastAsiaTheme="minorEastAsia" w:cstheme="minorEastAsia"/>
          <w:sz w:val="28"/>
          <w:szCs w:val="28"/>
        </w:rPr>
        <w:t xml:space="preserve">），生产厂为（</w:t>
      </w:r>
      <w:r>
        <w:rPr>
          <w:rFonts w:hint="eastAsia" w:asciiTheme="minorEastAsia" w:hAnsiTheme="minorEastAsia" w:eastAsiaTheme="minorEastAsia" w:cstheme="minorEastAsia"/>
          <w:sz w:val="28"/>
          <w:szCs w:val="28"/>
          <w:u w:val="single"/>
        </w:rPr>
        <w:t xml:space="preserve">厂名</w:t>
      </w:r>
      <w:r>
        <w:rPr>
          <w:rFonts w:hint="eastAsia" w:asciiTheme="minorEastAsia" w:hAnsiTheme="minorEastAsia" w:eastAsiaTheme="minorEastAsia" w:cstheme="minorEastAsia"/>
          <w:sz w:val="28"/>
          <w:szCs w:val="28"/>
        </w:rPr>
        <w:t xml:space="preserve">），厂址为（</w:t>
      </w:r>
      <w:r>
        <w:rPr>
          <w:rFonts w:hint="eastAsia" w:asciiTheme="minorEastAsia" w:hAnsiTheme="minorEastAsia" w:eastAsiaTheme="minorEastAsia" w:cstheme="minorEastAsia"/>
          <w:sz w:val="28"/>
          <w:szCs w:val="28"/>
          <w:u w:val="single"/>
        </w:rPr>
        <w:t xml:space="preserve">生产厂址</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Cs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3989070</wp:posOffset>
                </wp:positionH>
                <wp:positionV relativeFrom="paragraph">
                  <wp:posOffset>-631824</wp:posOffset>
                </wp:positionV>
                <wp:extent cx="577215" cy="920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6432;o:allowoverlap:true;o:allowincell:true;mso-position-horizontal-relative:text;margin-left:314.1pt;mso-position-horizontal:absolute;mso-position-vertical-relative:text;margin-top:-49.7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sz w:val="28"/>
          <w:szCs w:val="28"/>
          <w:u w:val="single"/>
        </w:rPr>
        <w:t xml:space="preserve">产品名称2</w:t>
      </w:r>
      <w:r>
        <w:rPr>
          <w:rFonts w:hint="eastAsia" w:asciiTheme="minorEastAsia" w:hAnsiTheme="minorEastAsia" w:eastAsiaTheme="minorEastAsia" w:cstheme="minorEastAsia"/>
          <w:sz w:val="28"/>
          <w:szCs w:val="28"/>
        </w:rPr>
        <w:t xml:space="preserve">）的中国境内生产的组件成本占比≥（</w:t>
      </w:r>
      <w:r>
        <w:rPr>
          <w:rFonts w:hint="eastAsia" w:asciiTheme="minorEastAsia" w:hAnsiTheme="minorEastAsia" w:eastAsiaTheme="minorEastAsia" w:cstheme="minorEastAsia"/>
          <w:sz w:val="28"/>
          <w:szCs w:val="28"/>
          <w:u w:val="single"/>
        </w:rPr>
        <w:t xml:space="preserve">规定比例</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产品名称2</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rPr>
        <w:t xml:space="preserve">关键组件</w:t>
      </w:r>
      <w:r>
        <w:rPr>
          <w:rFonts w:hint="eastAsia" w:asciiTheme="minorEastAsia" w:hAnsiTheme="minorEastAsia" w:eastAsiaTheme="minorEastAsia" w:cstheme="minorEastAsia"/>
          <w:sz w:val="28"/>
          <w:szCs w:val="28"/>
        </w:rPr>
        <w:t xml:space="preserve">）在中国境内生产。（</w:t>
      </w:r>
      <w:r>
        <w:rPr>
          <w:rFonts w:hint="eastAsia" w:asciiTheme="minorEastAsia" w:hAnsiTheme="minorEastAsia" w:eastAsiaTheme="minorEastAsia" w:cstheme="minorEastAsia"/>
          <w:sz w:val="28"/>
          <w:szCs w:val="28"/>
          <w:u w:val="single"/>
        </w:rPr>
        <w:t xml:space="preserve">产品名称2</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rPr>
        <w:t xml:space="preserve">关键工序</w:t>
      </w:r>
      <w:r>
        <w:rPr>
          <w:rFonts w:hint="eastAsia" w:asciiTheme="minorEastAsia" w:hAnsiTheme="minorEastAsia" w:eastAsiaTheme="minorEastAsia" w:cstheme="minorEastAsia"/>
          <w:sz w:val="28"/>
          <w:szCs w:val="28"/>
        </w:rPr>
        <w:t xml:space="preserve">）在中国境内完成。</w:t>
      </w:r>
      <w:r/>
    </w:p>
    <w:p>
      <w:pPr>
        <w:ind w:firstLine="48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w:t>
      </w:r>
      <w:r/>
    </w:p>
    <w:p>
      <w:pPr>
        <w:ind w:firstLine="480"/>
        <w:jc w:val="left"/>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本公司（单位）对上述声明内容的真实性负责。如有虚假，愿承担相应法律责任。</w:t>
      </w:r>
      <w:r/>
    </w:p>
    <w:p>
      <w:pPr>
        <w:ind w:firstLine="480"/>
        <w:jc w:val="left"/>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80"/>
        <w:jc w:val="right"/>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公司（单位）名称（盖章）：      </w:t>
      </w:r>
      <w:r/>
    </w:p>
    <w:p>
      <w:pPr>
        <w:ind w:firstLine="480"/>
        <w:jc w:val="right"/>
        <w:spacing w:line="5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　　　　　年　　月　日   </w:t>
      </w:r>
      <w:r/>
    </w:p>
    <w:p>
      <w:pPr>
        <w:spacing w:before="30" w:after="3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hd w:val="clear" w:color="auto" w:fill="ffffff"/>
        </w:rPr>
        <w:t xml:space="preserve">_________________________________</w:t>
      </w:r>
      <w:r/>
    </w:p>
    <w:p>
      <w:pPr>
        <w:spacing w:before="30" w:after="30" w:line="0" w:lineRule="atLeas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 </w:t>
      </w:r>
      <w:r/>
    </w:p>
    <w:p>
      <w:pPr>
        <w:spacing w:before="30" w:after="3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1.产品如有型号，请在“产品名称”栏一并填写。</w:t>
      </w:r>
      <w:r/>
    </w:p>
    <w:p>
      <w:pP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2.生产厂名与厂址应与生产厂营业执照载明的相关信息保持一致。</w:t>
      </w:r>
      <w:r/>
    </w:p>
    <w:p>
      <w:pP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3.该产品的中国境内生产的组件成本占比相关要求实施前，“规定比例”栏可不填，下同。</w:t>
      </w:r>
      <w:r/>
    </w:p>
    <w:p>
      <w:pP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4.该产品的关键组件要求实施前，“关键组件”栏可不填，下同。</w:t>
      </w:r>
      <w:r/>
    </w:p>
    <w:p>
      <w:pP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5.该产品的关键工序要求实施前，“关键工序”栏可不填，下同。</w:t>
      </w:r>
      <w:r/>
    </w:p>
    <w:p>
      <w:pP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6.用斜线划除的地方无需填写。</w:t>
      </w:r>
      <w:r/>
    </w:p>
    <w:p>
      <w:pPr>
        <w:pStyle w:val="782"/>
        <w:jc w:val="both"/>
        <w:spacing w:before="0" w:after="0" w:line="520" w:lineRule="exact"/>
        <w:rPr>
          <w:rFonts w:hint="eastAsia" w:asciiTheme="minorEastAsia" w:hAnsiTheme="minorEastAsia" w:eastAsiaTheme="minorEastAsia" w:cstheme="minorEastAsia"/>
          <w:b w:val="0"/>
          <w:bCs w:val="0"/>
          <w:sz w:val="32"/>
          <w:szCs w:val="24"/>
        </w:rPr>
      </w:pPr>
      <w:r>
        <w:rPr>
          <w:rFonts w:hint="eastAsia" w:asciiTheme="minorEastAsia" w:hAnsiTheme="minorEastAsia" w:eastAsiaTheme="minorEastAsia" w:cstheme="minorEastAsia"/>
          <w:b w:val="0"/>
          <w:bCs w:val="0"/>
          <w:sz w:val="32"/>
          <w:szCs w:val="24"/>
        </w:rPr>
      </w:r>
      <w:r/>
    </w:p>
    <w:p>
      <w:pPr>
        <w:pStyle w:val="782"/>
        <w:jc w:val="both"/>
        <w:spacing w:before="0" w:after="0" w:line="520" w:lineRule="exact"/>
        <w:rPr>
          <w:rFonts w:hint="eastAsia" w:asciiTheme="minorEastAsia" w:hAnsiTheme="minorEastAsia" w:eastAsiaTheme="minorEastAsia" w:cstheme="minorEastAsia"/>
          <w:b w:val="0"/>
          <w:bCs w:val="0"/>
          <w:sz w:val="32"/>
          <w:szCs w:val="24"/>
        </w:rPr>
      </w:pPr>
      <w:r>
        <w:rPr>
          <w:rFonts w:hint="eastAsia" w:asciiTheme="minorEastAsia" w:hAnsiTheme="minorEastAsia" w:eastAsiaTheme="minorEastAsia" w:cstheme="minorEastAsia"/>
          <w:b w:val="0"/>
          <w:bCs w:val="0"/>
          <w:sz w:val="32"/>
          <w:szCs w:val="24"/>
        </w:rPr>
      </w:r>
      <w:r/>
    </w:p>
    <w:p>
      <w:pPr>
        <w:pStyle w:val="782"/>
        <w:jc w:val="both"/>
        <w:spacing w:before="0" w:after="0" w:line="520" w:lineRule="exact"/>
        <w:rPr>
          <w:rFonts w:hint="eastAsia" w:asciiTheme="minorEastAsia" w:hAnsiTheme="minorEastAsia" w:eastAsiaTheme="minorEastAsia" w:cstheme="minorEastAsia"/>
          <w:b w:val="0"/>
          <w:bCs w:val="0"/>
          <w:sz w:val="32"/>
          <w:szCs w:val="24"/>
        </w:rPr>
      </w:pPr>
      <w:r>
        <w:rPr>
          <w:rFonts w:hint="eastAsia" w:asciiTheme="minorEastAsia" w:hAnsiTheme="minorEastAsia" w:eastAsiaTheme="minorEastAsia" w:cstheme="minorEastAsia"/>
          <w:b w:val="0"/>
          <w:bCs w:val="0"/>
          <w:sz w:val="32"/>
          <w:szCs w:val="24"/>
        </w:rPr>
        <w:t xml:space="preserve">八、技术响应偏离表（技术参数响应）</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91"/>
        <w:tblW w:w="9286" w:type="dxa"/>
        <w:tblInd w:w="-117" w:type="dxa"/>
        <w:tblLayout w:type="fixed"/>
        <w:tblCellMar>
          <w:left w:w="108" w:type="dxa"/>
          <w:top w:w="0" w:type="dxa"/>
          <w:right w:w="108" w:type="dxa"/>
          <w:bottom w:w="0" w:type="dxa"/>
        </w:tblCellMar>
        <w:tblLook w:val="04A0" w:firstRow="1" w:lastRow="0" w:firstColumn="1" w:lastColumn="0" w:noHBand="0" w:noVBand="1"/>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W w:w="2756" w:type="dxa"/>
            <w:vAlign w:val="center"/>
            <w:textDirection w:val="lrTb"/>
            <w:noWrap w:val="false"/>
          </w:tcPr>
          <w:p>
            <w:pPr>
              <w:jc w:val="center"/>
              <w:spacing w:before="100"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58" w:type="dxa"/>
            <w:vAlign w:val="center"/>
            <w:textDirection w:val="lrTb"/>
            <w:noWrap w:val="false"/>
          </w:tcPr>
          <w:p>
            <w:pPr>
              <w:jc w:val="center"/>
              <w:spacing w:before="100"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75" w:type="dxa"/>
            <w:vAlign w:val="center"/>
            <w:textDirection w:val="lrTb"/>
            <w:noWrap w:val="false"/>
          </w:tcPr>
          <w:p>
            <w:pPr>
              <w:jc w:val="center"/>
              <w:spacing w:before="100" w:line="40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t xml:space="preserve">偏离情况</w:t>
            </w:r>
            <w:r/>
          </w:p>
          <w:p>
            <w:pPr>
              <w:jc w:val="center"/>
              <w:spacing w:before="100" w:line="40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t xml:space="preserve">（</w:t>
            </w:r>
            <w:r>
              <w:rPr>
                <w:rFonts w:hint="eastAsia" w:asciiTheme="minorEastAsia" w:hAnsiTheme="minorEastAsia" w:eastAsiaTheme="minorEastAsia" w:cstheme="minorEastAsia"/>
                <w:sz w:val="24"/>
              </w:rPr>
              <w:t xml:space="preserve">正偏离、负偏离、无偏离</w:t>
            </w:r>
            <w:r>
              <w:rPr>
                <w:rFonts w:hint="eastAsia" w:asciiTheme="minorEastAsia" w:hAnsiTheme="minorEastAsia" w:eastAsiaTheme="minorEastAsia" w:cstheme="minorEastAsia"/>
                <w:sz w:val="28"/>
              </w:rPr>
              <w:t xml:space="preserve">）</w:t>
            </w:r>
            <w:r/>
          </w:p>
        </w:tc>
        <w:tc>
          <w:tcPr>
            <w:tcBorders>
              <w:top w:val="single" w:color="000000" w:sz="8" w:space="0"/>
              <w:left w:val="none" w:color="000000" w:sz="4" w:space="0"/>
              <w:bottom w:val="single" w:color="000000" w:sz="8" w:space="0"/>
              <w:right w:val="single" w:color="000000" w:sz="8" w:space="0"/>
            </w:tcBorders>
            <w:tcW w:w="2197" w:type="dxa"/>
            <w:vAlign w:val="center"/>
            <w:textDirection w:val="lrTb"/>
            <w:noWrap w:val="false"/>
          </w:tcPr>
          <w:p>
            <w:pPr>
              <w:jc w:val="center"/>
              <w:spacing w:before="100" w:line="559" w:lineRule="atLeas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 </w:t>
            </w:r>
            <w:r/>
          </w:p>
        </w:tc>
      </w:tr>
    </w:tbl>
    <w:p>
      <w:pPr>
        <w:jc w:val="right"/>
        <w:spacing w:line="559"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单位名称：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（公章）</w:t>
      </w:r>
      <w:r/>
    </w:p>
    <w:p>
      <w:pPr>
        <w:pStyle w:val="814"/>
        <w:ind w:firstLine="480"/>
        <w:jc w:val="both"/>
        <w:spacing w:before="0" w:beforeAutospacing="0" w:after="0" w:afterAutospacing="0" w:line="400" w:lineRule="exact"/>
        <w:widowControl w:val="off"/>
        <w:rPr>
          <w:rFonts w:hint="eastAsia" w:asciiTheme="minorEastAsia" w:hAnsiTheme="minorEastAsia" w:eastAsiaTheme="minorEastAsia" w:cstheme="minorEastAsia"/>
          <w:szCs w:val="28"/>
        </w:rPr>
      </w:pPr>
      <w:r>
        <w:rPr>
          <w:rFonts w:hint="eastAsia" w:asciiTheme="minorEastAsia" w:hAnsiTheme="minorEastAsia" w:eastAsiaTheme="minorEastAsia" w:cstheme="minorEastAsia"/>
          <w:szCs w:val="28"/>
        </w:rPr>
      </w:r>
      <w:r/>
    </w:p>
    <w:p>
      <w:pPr>
        <w:pStyle w:val="814"/>
        <w:ind w:firstLine="480"/>
        <w:jc w:val="both"/>
        <w:spacing w:before="0" w:beforeAutospacing="0" w:after="0" w:afterAutospacing="0" w:line="400" w:lineRule="exact"/>
        <w:widowControl w:val="off"/>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8"/>
        </w:rPr>
        <w:t xml:space="preserve">备注：1</w:t>
      </w:r>
      <w:bookmarkStart w:id="180" w:name="_Hlk187934629"/>
      <w:r>
        <w:rPr>
          <w:rFonts w:hint="eastAsia" w:asciiTheme="minorEastAsia" w:hAnsiTheme="minorEastAsia" w:eastAsiaTheme="minorEastAsia" w:cstheme="minorEastAsia"/>
          <w:szCs w:val="28"/>
        </w:rPr>
        <w:t xml:space="preserve">.</w:t>
      </w:r>
      <w:r>
        <w:rPr>
          <w:rFonts w:hint="eastAsia" w:asciiTheme="minorEastAsia" w:hAnsiTheme="minorEastAsia" w:eastAsiaTheme="minorEastAsia" w:cstheme="minorEastAsia"/>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pStyle w:val="814"/>
        <w:ind w:firstLine="480"/>
        <w:jc w:val="both"/>
        <w:spacing w:before="0" w:beforeAutospacing="0" w:after="0" w:afterAutospacing="0" w:line="4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8"/>
        </w:rPr>
        <w:t xml:space="preserve">2.对采购需求的其它非实质性要求，投标人按所投产品情况在此表中详细列出偏离情况（包括正偏离、负偏离、无偏离）并说明理由；</w:t>
      </w:r>
      <w:r>
        <w:rPr>
          <w:rFonts w:hint="eastAsia" w:asciiTheme="minorEastAsia" w:hAnsiTheme="minorEastAsia" w:eastAsiaTheme="minorEastAsia" w:cstheme="minorEastAsia"/>
          <w:szCs w:val="21"/>
        </w:rPr>
        <w:t xml:space="preserve">采购需求中要求提供证明材料的，以证明材料为准，未提供证明材料或提供的证明材料与要求不符合的，视为负偏离；</w:t>
      </w:r>
      <w:r/>
    </w:p>
    <w:p>
      <w:pPr>
        <w:pStyle w:val="814"/>
        <w:ind w:firstLine="480"/>
        <w:jc w:val="both"/>
        <w:spacing w:before="0" w:beforeAutospacing="0" w:after="0" w:afterAutospacing="0" w:line="4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采购需求中未要求提供证明材料的，以《技术响应偏离表》为准。投标人需详尽真实的逐条列出响应及偏离情况，未按要求提供证明材料或未在响应偏离表中列明偏离情况的对应项按负偏离进行扣分处理。</w:t>
      </w:r>
      <w:r/>
    </w:p>
    <w:p>
      <w:pPr>
        <w:pStyle w:val="814"/>
        <w:ind w:firstLine="480"/>
        <w:jc w:val="both"/>
        <w:spacing w:before="0" w:beforeAutospacing="0" w:after="0" w:afterAutospacing="0" w:line="400" w:lineRule="exact"/>
        <w:widowControl w:val="off"/>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r>
      <w:r/>
    </w:p>
    <w:p>
      <w:pPr>
        <w:spacing w:line="40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r>
      <w:bookmarkEnd w:id="180"/>
      <w:r/>
      <w:r/>
    </w:p>
    <w:p>
      <w:pPr>
        <w:pStyle w:val="782"/>
        <w:jc w:val="both"/>
        <w:spacing w:before="0" w:after="0" w:line="520" w:lineRule="exact"/>
        <w:rPr>
          <w:rFonts w:hint="eastAsia" w:asciiTheme="minorEastAsia" w:hAnsiTheme="minorEastAsia" w:eastAsiaTheme="minorEastAsia" w:cstheme="minorEastAsia"/>
          <w:b w:val="0"/>
          <w:bCs w:val="0"/>
          <w:sz w:val="32"/>
          <w:szCs w:val="24"/>
        </w:rPr>
      </w:pPr>
      <w:r/>
      <w:bookmarkStart w:id="181" w:name="_Toc15871"/>
      <w:r/>
      <w:bookmarkStart w:id="182" w:name="_Toc25337"/>
      <w:r/>
      <w:r/>
    </w:p>
    <w:p>
      <w:pPr>
        <w:pStyle w:val="782"/>
        <w:jc w:val="both"/>
        <w:spacing w:before="0" w:after="0" w:line="520" w:lineRule="exact"/>
        <w:rPr>
          <w:rFonts w:hint="eastAsia" w:asciiTheme="minorEastAsia" w:hAnsiTheme="minorEastAsia" w:eastAsiaTheme="minorEastAsia" w:cstheme="minorEastAsia"/>
          <w:b w:val="0"/>
          <w:bCs w:val="0"/>
          <w:sz w:val="32"/>
          <w:szCs w:val="24"/>
        </w:rPr>
      </w:pPr>
      <w:r>
        <w:rPr>
          <w:rFonts w:hint="eastAsia" w:asciiTheme="minorEastAsia" w:hAnsiTheme="minorEastAsia" w:eastAsiaTheme="minorEastAsia" w:cstheme="minorEastAsia"/>
          <w:b w:val="0"/>
          <w:bCs w:val="0"/>
          <w:sz w:val="32"/>
          <w:szCs w:val="24"/>
        </w:rPr>
        <w:t xml:space="preserve">九、项目组人员</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91"/>
        <w:tblpPr w:horzAnchor="margin" w:tblpXSpec="center" w:vertAnchor="text" w:tblpY="74" w:leftFromText="180" w:topFromText="0" w:rightFromText="180" w:bottomFromText="0"/>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jc w:val="center"/>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4"/>
              <w:jc w:val="center"/>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jc w:val="center"/>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280"/>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jc w:val="center"/>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0"/>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4"/>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bl>
    <w:p>
      <w:pPr>
        <w:ind w:firstLine="210"/>
        <w:spacing w:line="48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注：如投标人中标，项目组成员按本表承诺人员操作，不得随意更换。按采购文件要求附相关人员证书。</w:t>
      </w:r>
      <w:bookmarkStart w:id="183" w:name="_格式2__法定代表人授权书"/>
      <w:r/>
      <w:bookmarkEnd w:id="183"/>
      <w:r/>
      <w:r/>
    </w:p>
    <w:p>
      <w:pPr>
        <w:ind w:firstLine="21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21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3"/>
        <w:ind w:left="210"/>
        <w:rPr>
          <w:rFonts w:hint="eastAsia" w:asciiTheme="minorEastAsia" w:hAnsiTheme="minorEastAsia" w:eastAsiaTheme="minorEastAsia" w:cstheme="minorEastAsia"/>
          <w:b w:val="0"/>
          <w:szCs w:val="32"/>
        </w:rPr>
        <w:outlineLvl w:val="1"/>
      </w:pPr>
      <w:r>
        <w:rPr>
          <w:rFonts w:hint="eastAsia" w:asciiTheme="minorEastAsia" w:hAnsiTheme="minorEastAsia" w:eastAsiaTheme="minorEastAsia" w:cstheme="minorEastAsia"/>
          <w:b w:val="0"/>
          <w:szCs w:val="32"/>
        </w:rPr>
        <w:br w:type="page" w:clear="all"/>
      </w:r>
      <w:r>
        <w:rPr>
          <w:rFonts w:hint="eastAsia" w:asciiTheme="minorEastAsia" w:hAnsiTheme="minorEastAsia" w:eastAsiaTheme="minorEastAsia" w:cstheme="minorEastAsia"/>
          <w:b w:val="0"/>
          <w:szCs w:val="32"/>
        </w:rPr>
        <w:t xml:space="preserve">十、企业业绩</w:t>
      </w:r>
      <w:bookmarkEnd w:id="181"/>
      <w:r/>
      <w:bookmarkEnd w:id="182"/>
      <w:r/>
      <w:r/>
    </w:p>
    <w:p>
      <w:pPr>
        <w:pStyle w:val="996"/>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96"/>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投标人</w:t>
      </w:r>
      <w:bookmarkStart w:id="184" w:name="_Hlk187935031"/>
      <w:r>
        <w:rPr>
          <w:rFonts w:hint="eastAsia" w:asciiTheme="minorEastAsia" w:hAnsiTheme="minorEastAsia" w:eastAsiaTheme="minorEastAsia" w:cstheme="minorEastAsia"/>
          <w:sz w:val="32"/>
          <w:szCs w:val="32"/>
        </w:rPr>
        <w:t xml:space="preserve">自</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 xml:space="preserve">年</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 xml:space="preserve">月</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 xml:space="preserve">日以来承担</w:t>
      </w:r>
      <w:r/>
    </w:p>
    <w:p>
      <w:pPr>
        <w:pStyle w:val="996"/>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类似项目业绩一览表</w:t>
      </w:r>
      <w:bookmarkEnd w:id="184"/>
      <w:r/>
      <w:r/>
    </w:p>
    <w:tbl>
      <w:tblPr>
        <w:tblStyle w:val="79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97"/>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序号</w:t>
            </w:r>
            <w:r/>
          </w:p>
        </w:tc>
        <w:tc>
          <w:tcPr>
            <w:tcW w:w="3827"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w:t>
            </w:r>
            <w:r/>
          </w:p>
        </w:tc>
        <w:tc>
          <w:tcPr>
            <w:tcW w:w="2433"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采购单位</w:t>
            </w:r>
            <w:r/>
          </w:p>
        </w:tc>
        <w:tc>
          <w:tcPr>
            <w:tcW w:w="1395"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服务主要内容</w:t>
            </w:r>
            <w:r/>
          </w:p>
        </w:tc>
      </w:tr>
      <w:tr>
        <w:trPr>
          <w:jc w:val="center"/>
          <w:trHeight w:val="1510"/>
        </w:trPr>
        <w:tc>
          <w:tcPr>
            <w:tcW w:w="1229" w:type="dxa"/>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10"/>
        </w:trPr>
        <w:tc>
          <w:tcPr>
            <w:tcW w:w="1229" w:type="dxa"/>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10"/>
        </w:trPr>
        <w:tc>
          <w:tcPr>
            <w:tcW w:w="1229" w:type="dxa"/>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25"/>
        </w:trPr>
        <w:tc>
          <w:tcPr>
            <w:tcW w:w="1229" w:type="dxa"/>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997"/>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bl>
    <w:p>
      <w:pPr>
        <w:pStyle w:val="996"/>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注：请填写此表，并按要求提交业绩资料原件复印件加盖投标人公章。</w:t>
      </w:r>
      <w:r/>
    </w:p>
    <w:p>
      <w:pPr>
        <w:spacing w:line="480" w:lineRule="exact"/>
        <w:rPr>
          <w:rFonts w:hint="eastAsia" w:asciiTheme="minorEastAsia" w:hAnsiTheme="minorEastAsia" w:eastAsiaTheme="minorEastAsia" w:cstheme="minorEastAsia"/>
          <w:szCs w:val="32"/>
        </w:rPr>
        <w:outlineLvl w:val="1"/>
      </w:pPr>
      <w:r>
        <w:rPr>
          <w:rFonts w:hint="eastAsia" w:asciiTheme="minorEastAsia" w:hAnsiTheme="minorEastAsia" w:eastAsiaTheme="minorEastAsia" w:cstheme="minorEastAsia"/>
        </w:rPr>
        <w:br w:type="page" w:clear="all"/>
      </w:r>
      <w:bookmarkStart w:id="185" w:name="_Toc9275"/>
      <w:r/>
      <w:bookmarkStart w:id="186" w:name="_Toc26048"/>
      <w:r>
        <w:rPr>
          <w:rFonts w:hint="eastAsia" w:asciiTheme="minorEastAsia" w:hAnsiTheme="minorEastAsia" w:eastAsiaTheme="minorEastAsia" w:cstheme="minorEastAsia"/>
          <w:sz w:val="32"/>
          <w:szCs w:val="32"/>
        </w:rPr>
        <w:t xml:space="preserve">十一、投标所需其他材料</w:t>
      </w:r>
      <w:bookmarkEnd w:id="185"/>
      <w:r/>
      <w:bookmarkEnd w:id="186"/>
      <w:r/>
      <w:r/>
    </w:p>
    <w:p>
      <w:pPr>
        <w:pStyle w:val="999"/>
        <w:ind w:firstLine="42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请在此文档中增加投标所需其他相关内容（包括评分办法、采购需求中涉及的证件证明及其它投标人认为有必要提供的资料），如没有请将此空文档上传。</w:t>
      </w:r>
      <w:r/>
    </w:p>
    <w:p>
      <w:pPr>
        <w:ind w:firstLine="480"/>
        <w:jc w:val="left"/>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567"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
    <w:panose1 w:val="02010609060101010101"/>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4"/>
                            <w:rPr>
                              <w:rStyle w:val="820"/>
                              <w:rFonts w:hint="eastAsia" w:ascii="宋体" w:hAnsi="宋体"/>
                            </w:rPr>
                          </w:pPr>
                          <w:r>
                            <w:rPr>
                              <w:rFonts w:ascii="宋体" w:hAnsi="宋体"/>
                            </w:rPr>
                            <w:fldChar w:fldCharType="begin"/>
                          </w:r>
                          <w:r>
                            <w:rPr>
                              <w:rStyle w:val="820"/>
                              <w:rFonts w:ascii="宋体" w:hAnsi="宋体"/>
                            </w:rPr>
                            <w:instrText xml:space="preserve">PAGE  </w:instrText>
                          </w:r>
                          <w:r>
                            <w:rPr>
                              <w:rFonts w:ascii="宋体" w:hAnsi="宋体"/>
                            </w:rPr>
                            <w:fldChar w:fldCharType="separate"/>
                          </w:r>
                          <w:r>
                            <w:rPr>
                              <w:rFonts w:ascii="宋体" w:hAnsi="宋体"/>
                            </w:rPr>
                            <w:t xml:space="preserve">78</w:t>
                          </w:r>
                          <w:r>
                            <w:rPr>
                              <w:rFonts w:ascii="宋体" w:hAnsi="宋体"/>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4"/>
                      <w:rPr>
                        <w:rStyle w:val="820"/>
                        <w:rFonts w:hint="eastAsia" w:ascii="宋体" w:hAnsi="宋体"/>
                      </w:rPr>
                    </w:pPr>
                    <w:r>
                      <w:rPr>
                        <w:rFonts w:ascii="宋体" w:hAnsi="宋体"/>
                      </w:rPr>
                      <w:fldChar w:fldCharType="begin"/>
                    </w:r>
                    <w:r>
                      <w:rPr>
                        <w:rStyle w:val="820"/>
                        <w:rFonts w:ascii="宋体" w:hAnsi="宋体"/>
                      </w:rPr>
                      <w:instrText xml:space="preserve">PAGE  </w:instrText>
                    </w:r>
                    <w:r>
                      <w:rPr>
                        <w:rFonts w:ascii="宋体" w:hAnsi="宋体"/>
                      </w:rPr>
                      <w:fldChar w:fldCharType="separate"/>
                    </w:r>
                    <w:r>
                      <w:rPr>
                        <w:rFonts w:ascii="宋体" w:hAnsi="宋体"/>
                      </w:rPr>
                      <w:t xml:space="preserve">78</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rPr>
        <w:rStyle w:val="820"/>
      </w:rPr>
      <w:framePr w:wrap="around" w:vAnchor="text" w:hAnchor="margin" w:xAlign="center" w:y="1"/>
    </w:pPr>
    <w:r>
      <w:fldChar w:fldCharType="begin"/>
    </w:r>
    <w:r>
      <w:rPr>
        <w:rStyle w:val="820"/>
      </w:rPr>
      <w:instrText xml:space="preserve">PAGE  </w:instrText>
    </w:r>
    <w:r>
      <w:fldChar w:fldCharType="separate"/>
    </w:r>
    <w:r>
      <w:rPr>
        <w:rStyle w:val="820"/>
      </w:rPr>
      <w:t xml:space="preserve">1</w:t>
    </w:r>
    <w:r>
      <w:fldChar w:fldCharType="end"/>
    </w:r>
    <w:r/>
  </w:p>
  <w:p>
    <w:pPr>
      <w:pStyle w:val="8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4"/>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4"/>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3"/>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7"/>
  </w:num>
  <w:num w:numId="4">
    <w:abstractNumId w:val="6"/>
  </w:num>
  <w:num w:numId="5">
    <w:abstractNumId w:val="4"/>
  </w:num>
  <w:num w:numId="6">
    <w:abstractNumId w:val="3"/>
  </w:num>
  <w:num w:numId="7">
    <w:abstractNumId w:val="2"/>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5 Char"/>
    <w:basedOn w:val="790"/>
    <w:link w:val="785"/>
    <w:uiPriority w:val="9"/>
    <w:rPr>
      <w:rFonts w:ascii="Arial" w:hAnsi="Arial" w:eastAsia="Arial" w:cs="Arial"/>
      <w:b/>
      <w:bCs/>
      <w:sz w:val="24"/>
      <w:szCs w:val="24"/>
    </w:rPr>
  </w:style>
  <w:style w:type="character" w:styleId="750">
    <w:name w:val="Heading 6 Char"/>
    <w:basedOn w:val="790"/>
    <w:link w:val="786"/>
    <w:uiPriority w:val="9"/>
    <w:rPr>
      <w:rFonts w:ascii="Arial" w:hAnsi="Arial" w:eastAsia="Arial" w:cs="Arial"/>
      <w:b/>
      <w:bCs/>
      <w:sz w:val="22"/>
      <w:szCs w:val="22"/>
    </w:rPr>
  </w:style>
  <w:style w:type="character" w:styleId="751">
    <w:name w:val="Heading 7 Char"/>
    <w:basedOn w:val="790"/>
    <w:link w:val="787"/>
    <w:uiPriority w:val="9"/>
    <w:rPr>
      <w:rFonts w:ascii="Arial" w:hAnsi="Arial" w:eastAsia="Arial" w:cs="Arial"/>
      <w:b/>
      <w:bCs/>
      <w:i/>
      <w:iCs/>
      <w:sz w:val="22"/>
      <w:szCs w:val="22"/>
    </w:rPr>
  </w:style>
  <w:style w:type="character" w:styleId="752">
    <w:name w:val="Heading 8 Char"/>
    <w:basedOn w:val="790"/>
    <w:link w:val="788"/>
    <w:uiPriority w:val="9"/>
    <w:rPr>
      <w:rFonts w:ascii="Arial" w:hAnsi="Arial" w:eastAsia="Arial" w:cs="Arial"/>
      <w:i/>
      <w:iCs/>
      <w:sz w:val="22"/>
      <w:szCs w:val="22"/>
    </w:rPr>
  </w:style>
  <w:style w:type="character" w:styleId="753">
    <w:name w:val="Heading 9 Char"/>
    <w:basedOn w:val="790"/>
    <w:link w:val="789"/>
    <w:uiPriority w:val="9"/>
    <w:rPr>
      <w:rFonts w:ascii="Arial" w:hAnsi="Arial" w:eastAsia="Arial" w:cs="Arial"/>
      <w:i/>
      <w:iCs/>
      <w:sz w:val="21"/>
      <w:szCs w:val="21"/>
    </w:rPr>
  </w:style>
  <w:style w:type="character" w:styleId="754">
    <w:name w:val="Title Char"/>
    <w:basedOn w:val="790"/>
    <w:link w:val="815"/>
    <w:uiPriority w:val="10"/>
    <w:rPr>
      <w:sz w:val="48"/>
      <w:szCs w:val="48"/>
    </w:rPr>
  </w:style>
  <w:style w:type="character" w:styleId="755">
    <w:name w:val="Subtitle Char"/>
    <w:basedOn w:val="790"/>
    <w:link w:val="808"/>
    <w:uiPriority w:val="11"/>
    <w:rPr>
      <w:sz w:val="24"/>
      <w:szCs w:val="24"/>
    </w:rPr>
  </w:style>
  <w:style w:type="character" w:styleId="756">
    <w:name w:val="Quote Char"/>
    <w:link w:val="837"/>
    <w:uiPriority w:val="29"/>
    <w:rPr>
      <w:i/>
    </w:rPr>
  </w:style>
  <w:style w:type="character" w:styleId="757">
    <w:name w:val="Intense Quote Char"/>
    <w:link w:val="839"/>
    <w:uiPriority w:val="30"/>
    <w:rPr>
      <w:i/>
    </w:rPr>
  </w:style>
  <w:style w:type="table" w:styleId="758">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7">
    <w:name w:val="Footnote Text Char"/>
    <w:link w:val="809"/>
    <w:uiPriority w:val="99"/>
    <w:rPr>
      <w:sz w:val="18"/>
    </w:rPr>
  </w:style>
  <w:style w:type="character" w:styleId="778">
    <w:name w:val="Endnote Text Char"/>
    <w:link w:val="802"/>
    <w:uiPriority w:val="99"/>
    <w:rPr>
      <w:sz w:val="20"/>
    </w:rPr>
  </w:style>
  <w:style w:type="paragraph" w:styleId="779">
    <w:name w:val="TOC Heading"/>
    <w:uiPriority w:val="39"/>
    <w:unhideWhenUsed/>
  </w:style>
  <w:style w:type="paragraph" w:styleId="78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81">
    <w:name w:val="Heading 1"/>
    <w:basedOn w:val="780"/>
    <w:next w:val="780"/>
    <w:uiPriority w:val="0"/>
    <w:qFormat/>
    <w:pPr>
      <w:jc w:val="center"/>
      <w:keepNext/>
      <w:outlineLvl w:val="0"/>
    </w:pPr>
    <w:rPr>
      <w:rFonts w:ascii="楷体_GB2312" w:eastAsia="楷体_GB2312"/>
      <w:sz w:val="28"/>
      <w:szCs w:val="28"/>
    </w:rPr>
  </w:style>
  <w:style w:type="paragraph" w:styleId="782">
    <w:name w:val="Heading 2"/>
    <w:basedOn w:val="780"/>
    <w:next w:val="7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3">
    <w:name w:val="Heading 3"/>
    <w:basedOn w:val="780"/>
    <w:next w:val="792"/>
    <w:uiPriority w:val="0"/>
    <w:qFormat/>
    <w:pPr>
      <w:keepLines/>
      <w:keepNext/>
      <w:spacing w:before="260" w:after="260" w:line="416" w:lineRule="auto"/>
      <w:outlineLvl w:val="2"/>
    </w:pPr>
    <w:rPr>
      <w:b/>
      <w:bCs/>
      <w:sz w:val="32"/>
      <w:szCs w:val="32"/>
    </w:rPr>
  </w:style>
  <w:style w:type="paragraph" w:styleId="784">
    <w:name w:val="Heading 4"/>
    <w:basedOn w:val="780"/>
    <w:next w:val="780"/>
    <w:uiPriority w:val="0"/>
    <w:qFormat/>
    <w:pPr>
      <w:keepLines/>
      <w:keepNext/>
      <w:spacing w:before="280" w:after="290" w:line="376" w:lineRule="auto"/>
      <w:outlineLvl w:val="3"/>
    </w:pPr>
    <w:rPr>
      <w:rFonts w:ascii="Arial" w:hAnsi="Arial" w:eastAsia="黑体" w:cs="Arial"/>
      <w:b/>
      <w:bCs/>
      <w:sz w:val="28"/>
      <w:szCs w:val="28"/>
    </w:rPr>
  </w:style>
  <w:style w:type="paragraph" w:styleId="785">
    <w:name w:val="Heading 5"/>
    <w:basedOn w:val="780"/>
    <w:next w:val="780"/>
    <w:link w:val="828"/>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29"/>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31"/>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32"/>
    <w:uiPriority w:val="9"/>
    <w:unhideWhenUsed/>
    <w:qFormat/>
    <w:pPr>
      <w:keepLines/>
      <w:keepNext/>
      <w:spacing w:before="320" w:after="200"/>
      <w:outlineLvl w:val="8"/>
    </w:pPr>
    <w:rPr>
      <w:rFonts w:ascii="Arial" w:hAnsi="Arial" w:eastAsia="Arial" w:cs="Arial"/>
      <w:i/>
      <w:iCs/>
    </w:rPr>
  </w:style>
  <w:style w:type="character" w:styleId="790" w:default="1">
    <w:name w:val="Default Paragraph Font"/>
    <w:uiPriority w:val="1"/>
    <w:semiHidden/>
    <w:unhideWhenUsed/>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Normal Indent"/>
    <w:basedOn w:val="780"/>
    <w:uiPriority w:val="0"/>
    <w:qFormat/>
    <w:pPr>
      <w:ind w:firstLine="420"/>
    </w:pPr>
  </w:style>
  <w:style w:type="paragraph" w:styleId="793">
    <w:name w:val="toc 7"/>
    <w:basedOn w:val="780"/>
    <w:next w:val="780"/>
    <w:uiPriority w:val="39"/>
    <w:unhideWhenUsed/>
    <w:qFormat/>
    <w:pPr>
      <w:ind w:left="1701"/>
      <w:spacing w:after="57"/>
    </w:pPr>
  </w:style>
  <w:style w:type="paragraph" w:styleId="794">
    <w:name w:val="Caption"/>
    <w:basedOn w:val="780"/>
    <w:next w:val="780"/>
    <w:uiPriority w:val="35"/>
    <w:semiHidden/>
    <w:unhideWhenUsed/>
    <w:qFormat/>
    <w:pPr>
      <w:spacing w:line="276" w:lineRule="auto"/>
    </w:pPr>
    <w:rPr>
      <w:b/>
      <w:bCs/>
      <w:color w:val="4874cb" w:themeColor="accent1"/>
      <w:sz w:val="18"/>
      <w:szCs w:val="18"/>
    </w:rPr>
  </w:style>
  <w:style w:type="paragraph" w:styleId="795">
    <w:name w:val="annotation text"/>
    <w:basedOn w:val="780"/>
    <w:link w:val="1021"/>
    <w:uiPriority w:val="99"/>
    <w:semiHidden/>
    <w:unhideWhenUsed/>
    <w:qFormat/>
    <w:pPr>
      <w:jc w:val="left"/>
    </w:pPr>
  </w:style>
  <w:style w:type="paragraph" w:styleId="796">
    <w:name w:val="Body Text"/>
    <w:uiPriority w:val="0"/>
    <w:semiHidden/>
    <w:qFormat/>
    <w:pPr>
      <w:jc w:val="both"/>
      <w:widowControl w:val="off"/>
    </w:pPr>
    <w:rPr>
      <w:rFonts w:ascii="仿宋" w:hAnsi="仿宋" w:eastAsia="仿宋" w:cs="仿宋"/>
      <w:sz w:val="32"/>
      <w:szCs w:val="32"/>
      <w:lang w:val="en-US" w:eastAsia="en-US" w:bidi="ar-SA"/>
    </w:rPr>
  </w:style>
  <w:style w:type="paragraph" w:styleId="797">
    <w:name w:val="Body Text Indent"/>
    <w:basedOn w:val="780"/>
    <w:uiPriority w:val="0"/>
    <w:qFormat/>
    <w:pPr>
      <w:ind w:firstLine="645"/>
    </w:pPr>
    <w:rPr>
      <w:rFonts w:ascii="楷体_GB2312" w:eastAsia="楷体_GB2312"/>
      <w:sz w:val="32"/>
      <w:szCs w:val="32"/>
    </w:rPr>
  </w:style>
  <w:style w:type="paragraph" w:styleId="798">
    <w:name w:val="toc 5"/>
    <w:basedOn w:val="780"/>
    <w:next w:val="780"/>
    <w:uiPriority w:val="39"/>
    <w:unhideWhenUsed/>
    <w:qFormat/>
    <w:pPr>
      <w:ind w:left="1134"/>
      <w:spacing w:after="57"/>
    </w:pPr>
  </w:style>
  <w:style w:type="paragraph" w:styleId="799">
    <w:name w:val="toc 3"/>
    <w:basedOn w:val="780"/>
    <w:next w:val="780"/>
    <w:uiPriority w:val="39"/>
    <w:unhideWhenUsed/>
    <w:qFormat/>
    <w:pPr>
      <w:ind w:left="567"/>
      <w:spacing w:after="57"/>
    </w:pPr>
  </w:style>
  <w:style w:type="paragraph" w:styleId="800">
    <w:name w:val="Plain Text"/>
    <w:basedOn w:val="780"/>
    <w:uiPriority w:val="0"/>
    <w:qFormat/>
    <w:rPr>
      <w:rFonts w:ascii="宋体" w:hAnsi="Courier New" w:cs="Courier New"/>
    </w:rPr>
  </w:style>
  <w:style w:type="paragraph" w:styleId="801">
    <w:name w:val="toc 8"/>
    <w:basedOn w:val="780"/>
    <w:next w:val="780"/>
    <w:uiPriority w:val="39"/>
    <w:unhideWhenUsed/>
    <w:qFormat/>
    <w:pPr>
      <w:ind w:left="1984"/>
      <w:spacing w:after="57"/>
    </w:pPr>
  </w:style>
  <w:style w:type="paragraph" w:styleId="802">
    <w:name w:val="endnote text"/>
    <w:basedOn w:val="780"/>
    <w:link w:val="970"/>
    <w:uiPriority w:val="99"/>
    <w:semiHidden/>
    <w:unhideWhenUsed/>
    <w:qFormat/>
    <w:rPr>
      <w:sz w:val="20"/>
    </w:rPr>
  </w:style>
  <w:style w:type="paragraph" w:styleId="803">
    <w:name w:val="Balloon Text"/>
    <w:basedOn w:val="780"/>
    <w:link w:val="1023"/>
    <w:uiPriority w:val="99"/>
    <w:semiHidden/>
    <w:unhideWhenUsed/>
    <w:qFormat/>
    <w:rPr>
      <w:sz w:val="18"/>
      <w:szCs w:val="18"/>
    </w:rPr>
  </w:style>
  <w:style w:type="paragraph" w:styleId="804">
    <w:name w:val="Footer"/>
    <w:basedOn w:val="780"/>
    <w:uiPriority w:val="0"/>
    <w:qFormat/>
    <w:pPr>
      <w:jc w:val="left"/>
      <w:tabs>
        <w:tab w:val="center" w:pos="4153" w:leader="none"/>
        <w:tab w:val="right" w:pos="8306" w:leader="none"/>
      </w:tabs>
    </w:pPr>
    <w:rPr>
      <w:sz w:val="18"/>
      <w:szCs w:val="18"/>
    </w:rPr>
  </w:style>
  <w:style w:type="paragraph" w:styleId="805">
    <w:name w:val="Header"/>
    <w:basedOn w:val="780"/>
    <w:uiPriority w:val="0"/>
    <w:qFormat/>
    <w:pPr>
      <w:jc w:val="center"/>
      <w:tabs>
        <w:tab w:val="center" w:pos="4153" w:leader="none"/>
        <w:tab w:val="right" w:pos="8306" w:leader="none"/>
      </w:tabs>
      <w:pBdr>
        <w:bottom w:val="single" w:color="auto" w:sz="6" w:space="1"/>
      </w:pBdr>
    </w:pPr>
    <w:rPr>
      <w:sz w:val="18"/>
      <w:szCs w:val="18"/>
    </w:rPr>
  </w:style>
  <w:style w:type="paragraph" w:styleId="806">
    <w:name w:val="toc 1"/>
    <w:basedOn w:val="780"/>
    <w:next w:val="780"/>
    <w:uiPriority w:val="0"/>
    <w:semiHidden/>
    <w:qFormat/>
    <w:pPr>
      <w:jc w:val="left"/>
      <w:spacing w:before="120" w:after="120" w:line="400" w:lineRule="exact"/>
      <w:tabs>
        <w:tab w:val="right" w:pos="8720" w:leader="dot"/>
      </w:tabs>
    </w:pPr>
    <w:rPr>
      <w:rFonts w:ascii="宋体" w:hAnsi="宋体"/>
      <w:caps/>
      <w:sz w:val="24"/>
      <w:szCs w:val="24"/>
    </w:rPr>
  </w:style>
  <w:style w:type="paragraph" w:styleId="807">
    <w:name w:val="toc 4"/>
    <w:basedOn w:val="780"/>
    <w:next w:val="780"/>
    <w:uiPriority w:val="39"/>
    <w:unhideWhenUsed/>
    <w:qFormat/>
    <w:pPr>
      <w:ind w:left="850"/>
      <w:spacing w:after="57"/>
    </w:pPr>
  </w:style>
  <w:style w:type="paragraph" w:styleId="808">
    <w:name w:val="Subtitle"/>
    <w:basedOn w:val="780"/>
    <w:next w:val="780"/>
    <w:link w:val="836"/>
    <w:uiPriority w:val="11"/>
    <w:qFormat/>
    <w:pPr>
      <w:spacing w:before="200" w:after="200"/>
    </w:pPr>
    <w:rPr>
      <w:sz w:val="24"/>
      <w:szCs w:val="24"/>
    </w:rPr>
  </w:style>
  <w:style w:type="paragraph" w:styleId="809">
    <w:name w:val="footnote text"/>
    <w:basedOn w:val="780"/>
    <w:link w:val="969"/>
    <w:uiPriority w:val="99"/>
    <w:semiHidden/>
    <w:unhideWhenUsed/>
    <w:qFormat/>
    <w:pPr>
      <w:spacing w:after="40"/>
    </w:pPr>
    <w:rPr>
      <w:sz w:val="18"/>
    </w:rPr>
  </w:style>
  <w:style w:type="paragraph" w:styleId="810">
    <w:name w:val="toc 6"/>
    <w:basedOn w:val="780"/>
    <w:next w:val="780"/>
    <w:uiPriority w:val="39"/>
    <w:unhideWhenUsed/>
    <w:qFormat/>
    <w:pPr>
      <w:ind w:left="1417"/>
      <w:spacing w:after="57"/>
    </w:pPr>
  </w:style>
  <w:style w:type="paragraph" w:styleId="811">
    <w:name w:val="table of figures"/>
    <w:basedOn w:val="780"/>
    <w:next w:val="780"/>
    <w:uiPriority w:val="99"/>
    <w:unhideWhenUsed/>
    <w:qFormat/>
  </w:style>
  <w:style w:type="paragraph" w:styleId="812">
    <w:name w:val="toc 2"/>
    <w:basedOn w:val="780"/>
    <w:next w:val="780"/>
    <w:uiPriority w:val="39"/>
    <w:unhideWhenUsed/>
    <w:qFormat/>
    <w:pPr>
      <w:ind w:left="283"/>
      <w:spacing w:after="57"/>
    </w:pPr>
  </w:style>
  <w:style w:type="paragraph" w:styleId="813">
    <w:name w:val="toc 9"/>
    <w:basedOn w:val="780"/>
    <w:next w:val="780"/>
    <w:uiPriority w:val="39"/>
    <w:unhideWhenUsed/>
    <w:qFormat/>
    <w:pPr>
      <w:ind w:left="2268"/>
      <w:spacing w:after="57"/>
    </w:pPr>
  </w:style>
  <w:style w:type="paragraph" w:styleId="814">
    <w:name w:val="Normal (Web)"/>
    <w:basedOn w:val="780"/>
    <w:uiPriority w:val="99"/>
    <w:qFormat/>
    <w:pPr>
      <w:jc w:val="left"/>
      <w:spacing w:before="100" w:beforeAutospacing="1" w:after="100" w:afterAutospacing="1"/>
      <w:widowControl/>
    </w:pPr>
    <w:rPr>
      <w:rFonts w:ascii="宋体" w:hAnsi="宋体" w:cs="宋体"/>
      <w:sz w:val="24"/>
      <w:szCs w:val="24"/>
    </w:rPr>
  </w:style>
  <w:style w:type="paragraph" w:styleId="815">
    <w:name w:val="Title"/>
    <w:basedOn w:val="780"/>
    <w:next w:val="780"/>
    <w:link w:val="835"/>
    <w:uiPriority w:val="10"/>
    <w:qFormat/>
    <w:pPr>
      <w:contextualSpacing/>
      <w:spacing w:before="300" w:after="200"/>
    </w:pPr>
    <w:rPr>
      <w:sz w:val="48"/>
      <w:szCs w:val="48"/>
    </w:rPr>
  </w:style>
  <w:style w:type="paragraph" w:styleId="816">
    <w:name w:val="annotation subject"/>
    <w:basedOn w:val="795"/>
    <w:next w:val="795"/>
    <w:link w:val="1022"/>
    <w:uiPriority w:val="99"/>
    <w:semiHidden/>
    <w:unhideWhenUsed/>
    <w:qFormat/>
    <w:rPr>
      <w:b/>
      <w:bCs/>
    </w:rPr>
  </w:style>
  <w:style w:type="paragraph" w:styleId="817">
    <w:name w:val="Body Text First Indent 2"/>
    <w:basedOn w:val="797"/>
    <w:next w:val="780"/>
    <w:uiPriority w:val="0"/>
    <w:qFormat/>
    <w:pPr>
      <w:ind w:firstLine="420"/>
      <w:spacing w:line="360" w:lineRule="auto"/>
    </w:pPr>
    <w:rPr>
      <w:rFonts w:ascii="宋体" w:hAnsi="宋体" w:eastAsia="宋体"/>
      <w:sz w:val="21"/>
      <w:szCs w:val="20"/>
    </w:rPr>
  </w:style>
  <w:style w:type="table" w:styleId="818">
    <w:name w:val="Table Grid"/>
    <w:basedOn w:val="7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endnote reference"/>
    <w:basedOn w:val="790"/>
    <w:uiPriority w:val="99"/>
    <w:semiHidden/>
    <w:unhideWhenUsed/>
    <w:qFormat/>
    <w:rPr>
      <w:vertAlign w:val="superscript"/>
    </w:rPr>
  </w:style>
  <w:style w:type="character" w:styleId="820">
    <w:name w:val="page number"/>
    <w:uiPriority w:val="0"/>
    <w:qFormat/>
  </w:style>
  <w:style w:type="character" w:styleId="821">
    <w:name w:val="Hyperlink"/>
    <w:uiPriority w:val="99"/>
    <w:unhideWhenUsed/>
    <w:qFormat/>
    <w:rPr>
      <w:color w:val="0026e5" w:themeColor="hyperlink"/>
      <w:u w:val="single"/>
    </w:rPr>
  </w:style>
  <w:style w:type="character" w:styleId="822">
    <w:name w:val="annotation reference"/>
    <w:basedOn w:val="790"/>
    <w:uiPriority w:val="99"/>
    <w:semiHidden/>
    <w:unhideWhenUsed/>
    <w:qFormat/>
    <w:rPr>
      <w:sz w:val="21"/>
      <w:szCs w:val="21"/>
    </w:rPr>
  </w:style>
  <w:style w:type="character" w:styleId="823">
    <w:name w:val="footnote reference"/>
    <w:basedOn w:val="790"/>
    <w:uiPriority w:val="99"/>
    <w:unhideWhenUsed/>
    <w:qFormat/>
    <w:rPr>
      <w:vertAlign w:val="superscript"/>
    </w:rPr>
  </w:style>
  <w:style w:type="character" w:styleId="824" w:customStyle="1">
    <w:name w:val="Heading 1 Char"/>
    <w:basedOn w:val="790"/>
    <w:uiPriority w:val="9"/>
    <w:qFormat/>
    <w:rPr>
      <w:rFonts w:ascii="Arial" w:hAnsi="Arial" w:eastAsia="Arial" w:cs="Arial"/>
      <w:sz w:val="40"/>
      <w:szCs w:val="40"/>
    </w:rPr>
  </w:style>
  <w:style w:type="character" w:styleId="825" w:customStyle="1">
    <w:name w:val="Heading 2 Char"/>
    <w:basedOn w:val="790"/>
    <w:uiPriority w:val="9"/>
    <w:qFormat/>
    <w:rPr>
      <w:rFonts w:ascii="Arial" w:hAnsi="Arial" w:eastAsia="Arial" w:cs="Arial"/>
      <w:sz w:val="34"/>
    </w:rPr>
  </w:style>
  <w:style w:type="character" w:styleId="826" w:customStyle="1">
    <w:name w:val="Heading 3 Char"/>
    <w:basedOn w:val="790"/>
    <w:uiPriority w:val="9"/>
    <w:qFormat/>
    <w:rPr>
      <w:rFonts w:ascii="Arial" w:hAnsi="Arial" w:eastAsia="Arial" w:cs="Arial"/>
      <w:sz w:val="30"/>
      <w:szCs w:val="30"/>
    </w:rPr>
  </w:style>
  <w:style w:type="character" w:styleId="827" w:customStyle="1">
    <w:name w:val="Heading 4 Char"/>
    <w:basedOn w:val="790"/>
    <w:uiPriority w:val="9"/>
    <w:qFormat/>
    <w:rPr>
      <w:rFonts w:ascii="Arial" w:hAnsi="Arial" w:eastAsia="Arial" w:cs="Arial"/>
      <w:b/>
      <w:bCs/>
      <w:sz w:val="26"/>
      <w:szCs w:val="26"/>
    </w:rPr>
  </w:style>
  <w:style w:type="character" w:styleId="828" w:customStyle="1">
    <w:name w:val="标题 5 字符"/>
    <w:basedOn w:val="790"/>
    <w:link w:val="785"/>
    <w:uiPriority w:val="9"/>
    <w:qFormat/>
    <w:rPr>
      <w:rFonts w:ascii="Arial" w:hAnsi="Arial" w:eastAsia="Arial" w:cs="Arial"/>
      <w:b/>
      <w:bCs/>
      <w:sz w:val="24"/>
      <w:szCs w:val="24"/>
    </w:rPr>
  </w:style>
  <w:style w:type="character" w:styleId="829" w:customStyle="1">
    <w:name w:val="标题 6 字符"/>
    <w:basedOn w:val="790"/>
    <w:link w:val="786"/>
    <w:uiPriority w:val="9"/>
    <w:qFormat/>
    <w:rPr>
      <w:rFonts w:ascii="Arial" w:hAnsi="Arial" w:eastAsia="Arial" w:cs="Arial"/>
      <w:b/>
      <w:bCs/>
      <w:sz w:val="22"/>
      <w:szCs w:val="22"/>
    </w:rPr>
  </w:style>
  <w:style w:type="character" w:styleId="830" w:customStyle="1">
    <w:name w:val="标题 7 字符"/>
    <w:basedOn w:val="790"/>
    <w:link w:val="787"/>
    <w:uiPriority w:val="9"/>
    <w:qFormat/>
    <w:rPr>
      <w:rFonts w:ascii="Arial" w:hAnsi="Arial" w:eastAsia="Arial" w:cs="Arial"/>
      <w:b/>
      <w:bCs/>
      <w:i/>
      <w:iCs/>
      <w:sz w:val="22"/>
      <w:szCs w:val="22"/>
    </w:rPr>
  </w:style>
  <w:style w:type="character" w:styleId="831" w:customStyle="1">
    <w:name w:val="标题 8 字符"/>
    <w:basedOn w:val="790"/>
    <w:link w:val="788"/>
    <w:uiPriority w:val="9"/>
    <w:qFormat/>
    <w:rPr>
      <w:rFonts w:ascii="Arial" w:hAnsi="Arial" w:eastAsia="Arial" w:cs="Arial"/>
      <w:i/>
      <w:iCs/>
      <w:sz w:val="22"/>
      <w:szCs w:val="22"/>
    </w:rPr>
  </w:style>
  <w:style w:type="character" w:styleId="832" w:customStyle="1">
    <w:name w:val="标题 9 字符"/>
    <w:basedOn w:val="790"/>
    <w:link w:val="789"/>
    <w:uiPriority w:val="9"/>
    <w:qFormat/>
    <w:rPr>
      <w:rFonts w:ascii="Arial" w:hAnsi="Arial" w:eastAsia="Arial" w:cs="Arial"/>
      <w:i/>
      <w:iCs/>
      <w:sz w:val="21"/>
      <w:szCs w:val="21"/>
    </w:rPr>
  </w:style>
  <w:style w:type="paragraph" w:styleId="833">
    <w:name w:val="List Paragraph"/>
    <w:basedOn w:val="780"/>
    <w:uiPriority w:val="34"/>
    <w:qFormat/>
    <w:pPr>
      <w:contextualSpacing/>
      <w:ind w:left="720"/>
    </w:pPr>
  </w:style>
  <w:style w:type="paragraph" w:styleId="834">
    <w:name w:val="No Spacing"/>
    <w:uiPriority w:val="1"/>
    <w:qFormat/>
    <w:rPr>
      <w:rFonts w:asciiTheme="minorHAnsi" w:hAnsiTheme="minorHAnsi" w:eastAsiaTheme="minorEastAsia" w:cstheme="minorBidi"/>
      <w:lang w:val="en-US" w:eastAsia="zh-CN" w:bidi="ar-SA"/>
    </w:rPr>
  </w:style>
  <w:style w:type="character" w:styleId="835" w:customStyle="1">
    <w:name w:val="标题 字符"/>
    <w:basedOn w:val="790"/>
    <w:link w:val="815"/>
    <w:uiPriority w:val="10"/>
    <w:qFormat/>
    <w:rPr>
      <w:sz w:val="48"/>
      <w:szCs w:val="48"/>
    </w:rPr>
  </w:style>
  <w:style w:type="character" w:styleId="836" w:customStyle="1">
    <w:name w:val="副标题 字符"/>
    <w:basedOn w:val="790"/>
    <w:link w:val="808"/>
    <w:uiPriority w:val="11"/>
    <w:qFormat/>
    <w:rPr>
      <w:sz w:val="24"/>
      <w:szCs w:val="24"/>
    </w:rPr>
  </w:style>
  <w:style w:type="paragraph" w:styleId="837">
    <w:name w:val="Quote"/>
    <w:basedOn w:val="780"/>
    <w:next w:val="780"/>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80"/>
    <w:next w:val="780"/>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Header Char"/>
    <w:basedOn w:val="790"/>
    <w:uiPriority w:val="99"/>
    <w:qFormat/>
  </w:style>
  <w:style w:type="character" w:styleId="842" w:customStyle="1">
    <w:name w:val="Footer Char"/>
    <w:basedOn w:val="790"/>
    <w:uiPriority w:val="99"/>
    <w:qFormat/>
  </w:style>
  <w:style w:type="character" w:styleId="843" w:customStyle="1">
    <w:name w:val="Caption Char"/>
    <w:uiPriority w:val="99"/>
    <w:qFormat/>
  </w:style>
  <w:style w:type="table" w:styleId="844" w:customStyle="1">
    <w:name w:val="Table Grid Light"/>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5" w:customStyle="1">
    <w:name w:val="无格式表格 11"/>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21"/>
    <w:basedOn w:val="7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31"/>
    <w:basedOn w:val="7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无格式表格 41"/>
    <w:basedOn w:val="7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无格式表格 51"/>
    <w:basedOn w:val="7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网格表 1 浅色1"/>
    <w:basedOn w:val="7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9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9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9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9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9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9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7" w:customStyle="1">
    <w:name w:val="网格表 21"/>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9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9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9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9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9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9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4" w:customStyle="1">
    <w:name w:val="网格表 31"/>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9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9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9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9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9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9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basedOn w:val="7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9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3" w:customStyle="1">
    <w:name w:val="Grid Table 4 - Accent 2"/>
    <w:basedOn w:val="79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4" w:customStyle="1">
    <w:name w:val="Grid Table 4 - Accent 3"/>
    <w:basedOn w:val="79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5" w:customStyle="1">
    <w:name w:val="Grid Table 4 - Accent 4"/>
    <w:basedOn w:val="79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6" w:customStyle="1">
    <w:name w:val="Grid Table 4 - Accent 5"/>
    <w:basedOn w:val="79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7" w:customStyle="1">
    <w:name w:val="Grid Table 4 - Accent 6"/>
    <w:basedOn w:val="79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8" w:customStyle="1">
    <w:name w:val="网格表 5 深色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0" w:customStyle="1">
    <w:name w:val="Grid Table 5 Dark - Accent 2"/>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1" w:customStyle="1">
    <w:name w:val="Grid Table 5 Dark - Accent 3"/>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2" w:customStyle="1">
    <w:name w:val="Grid Table 5 Dark- Accent 4"/>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3" w:customStyle="1">
    <w:name w:val="Grid Table 5 Dark - Accent 5"/>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4" w:customStyle="1">
    <w:name w:val="Grid Table 5 Dark - Accent 6"/>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5" w:customStyle="1">
    <w:name w:val="网格表 6 彩色1"/>
    <w:basedOn w:val="7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86" w:customStyle="1">
    <w:name w:val="Grid Table 6 Colorful - Accent 1"/>
    <w:basedOn w:val="79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887" w:customStyle="1">
    <w:name w:val="Grid Table 6 Colorful - Accent 2"/>
    <w:basedOn w:val="79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888" w:customStyle="1">
    <w:name w:val="Grid Table 6 Colorful - Accent 3"/>
    <w:basedOn w:val="79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3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89" w:customStyle="1">
    <w:name w:val="Grid Table 6 Colorful - Accent 4"/>
    <w:basedOn w:val="79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890" w:customStyle="1">
    <w:name w:val="Grid Table 6 Colorful - Accent 5"/>
    <w:basedOn w:val="79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891" w:customStyle="1">
    <w:name w:val="Grid Table 6 Colorful - Accent 6"/>
    <w:basedOn w:val="79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892" w:customStyle="1">
    <w:name w:val="网格表 7 彩色1"/>
    <w:basedOn w:val="7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9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9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9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9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9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9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9" w:customStyle="1">
    <w:name w:val="清单表 1 浅色1"/>
    <w:basedOn w:val="7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9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9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9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9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9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9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6" w:customStyle="1">
    <w:name w:val="清单表 21"/>
    <w:basedOn w:val="7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9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8" w:customStyle="1">
    <w:name w:val="List Table 2 - Accent 2"/>
    <w:basedOn w:val="79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9" w:customStyle="1">
    <w:name w:val="List Table 2 - Accent 3"/>
    <w:basedOn w:val="79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0" w:customStyle="1">
    <w:name w:val="List Table 2 - Accent 4"/>
    <w:basedOn w:val="79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1" w:customStyle="1">
    <w:name w:val="List Table 2 - Accent 5"/>
    <w:basedOn w:val="79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2" w:customStyle="1">
    <w:name w:val="List Table 2 - Accent 6"/>
    <w:basedOn w:val="79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3" w:customStyle="1">
    <w:name w:val="清单表 3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9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5" w:customStyle="1">
    <w:name w:val="List Table 3 - Accent 2"/>
    <w:basedOn w:val="79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9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9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9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9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0" w:customStyle="1">
    <w:name w:val="清单表 4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9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2" w:customStyle="1">
    <w:name w:val="List Table 4 - Accent 2"/>
    <w:basedOn w:val="79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3" w:customStyle="1">
    <w:name w:val="List Table 4 - Accent 3"/>
    <w:basedOn w:val="79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4" w:customStyle="1">
    <w:name w:val="List Table 4 - Accent 4"/>
    <w:basedOn w:val="79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5" w:customStyle="1">
    <w:name w:val="List Table 4 - Accent 5"/>
    <w:basedOn w:val="79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6" w:customStyle="1">
    <w:name w:val="List Table 4 - Accent 6"/>
    <w:basedOn w:val="79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7" w:customStyle="1">
    <w:name w:val="清单表 5 深色1"/>
    <w:basedOn w:val="7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8" w:customStyle="1">
    <w:name w:val="List Table 5 Dark - Accent 1"/>
    <w:basedOn w:val="79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29" w:customStyle="1">
    <w:name w:val="List Table 5 Dark - Accent 2"/>
    <w:basedOn w:val="79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930" w:customStyle="1">
    <w:name w:val="List Table 5 Dark - Accent 3"/>
    <w:basedOn w:val="79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931" w:customStyle="1">
    <w:name w:val="List Table 5 Dark - Accent 4"/>
    <w:basedOn w:val="79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32" w:customStyle="1">
    <w:name w:val="List Table 5 Dark - Accent 5"/>
    <w:basedOn w:val="79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933" w:customStyle="1">
    <w:name w:val="List Table 5 Dark - Accent 6"/>
    <w:basedOn w:val="79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934" w:customStyle="1">
    <w:name w:val="清单表 6 彩色1"/>
    <w:basedOn w:val="7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5" w:customStyle="1">
    <w:name w:val="List Table 6 Colorful - Accent 1"/>
    <w:basedOn w:val="79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6" w:customStyle="1">
    <w:name w:val="List Table 6 Colorful - Accent 2"/>
    <w:basedOn w:val="79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937" w:customStyle="1">
    <w:name w:val="List Table 6 Colorful - Accent 3"/>
    <w:basedOn w:val="79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938" w:customStyle="1">
    <w:name w:val="List Table 6 Colorful - Accent 4"/>
    <w:basedOn w:val="79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939" w:customStyle="1">
    <w:name w:val="List Table 6 Colorful - Accent 5"/>
    <w:basedOn w:val="79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940" w:customStyle="1">
    <w:name w:val="List Table 6 Colorful - Accent 6"/>
    <w:basedOn w:val="79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941" w:customStyle="1">
    <w:name w:val="清单表 7 彩色1"/>
    <w:basedOn w:val="791"/>
    <w:uiPriority w:val="99"/>
    <w:qFormat/>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9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91"/>
    <w:uiPriority w:val="99"/>
    <w:qFormat/>
    <w:tblPr>
      <w:tblBorders>
        <w:right w:val="single" w:color="F4B483" w:themeColor="accent2" w:themeTint="97" w:sz="4" w:space="0"/>
      </w:tblBorders>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91"/>
    <w:uiPriority w:val="99"/>
    <w:qFormat/>
    <w:tblPr>
      <w:tblBorders>
        <w:right w:val="single" w:color="FDD961" w:themeColor="accent3" w:themeTint="98" w:sz="4" w:space="0"/>
      </w:tblBorders>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91"/>
    <w:uiPriority w:val="99"/>
    <w:qFormat/>
    <w:tblPr>
      <w:tblBorders>
        <w:right w:val="single" w:color="ABD78C" w:themeColor="accent4" w:themeTint="9A" w:sz="4" w:space="0"/>
      </w:tblBorders>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91"/>
    <w:uiPriority w:val="99"/>
    <w:qFormat/>
    <w:tblPr>
      <w:tblBorders>
        <w:right w:val="single" w:color="7CDED6" w:themeColor="accent5" w:themeTint="9A" w:sz="4" w:space="0"/>
      </w:tblBorders>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91"/>
    <w:uiPriority w:val="99"/>
    <w:qFormat/>
    <w:tblPr>
      <w:tblBorders>
        <w:right w:val="single" w:color="EF949F" w:themeColor="accent6" w:themeTint="98" w:sz="4" w:space="0"/>
      </w:tblBorders>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0" w:customStyle="1">
    <w:name w:val="Lined - Accent 2"/>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1" w:customStyle="1">
    <w:name w:val="Lined - Accent 3"/>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2" w:customStyle="1">
    <w:name w:val="Lined - Accent 4"/>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3" w:customStyle="1">
    <w:name w:val="Lined - Accent 5"/>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4" w:customStyle="1">
    <w:name w:val="Lined - Accent 6"/>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5" w:customStyle="1">
    <w:name w:val="Bordered &amp; Lined - Accent"/>
    <w:basedOn w:val="7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9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7" w:customStyle="1">
    <w:name w:val="Bordered &amp; Lined - Accent 2"/>
    <w:basedOn w:val="79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8" w:customStyle="1">
    <w:name w:val="Bordered &amp; Lined - Accent 3"/>
    <w:basedOn w:val="79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9" w:customStyle="1">
    <w:name w:val="Bordered &amp; Lined - Accent 4"/>
    <w:basedOn w:val="79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0" w:customStyle="1">
    <w:name w:val="Bordered &amp; Lined - Accent 5"/>
    <w:basedOn w:val="79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1" w:customStyle="1">
    <w:name w:val="Bordered &amp; Lined - Accent 6"/>
    <w:basedOn w:val="79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2" w:customStyle="1">
    <w:name w:val="Bordered"/>
    <w:basedOn w:val="7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9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4" w:customStyle="1">
    <w:name w:val="Bordered - Accent 2"/>
    <w:basedOn w:val="79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5" w:customStyle="1">
    <w:name w:val="Bordered - Accent 3"/>
    <w:basedOn w:val="79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6" w:customStyle="1">
    <w:name w:val="Bordered - Accent 4"/>
    <w:basedOn w:val="79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7" w:customStyle="1">
    <w:name w:val="Bordered - Accent 5"/>
    <w:basedOn w:val="79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8" w:customStyle="1">
    <w:name w:val="Bordered - Accent 6"/>
    <w:basedOn w:val="79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9" w:customStyle="1">
    <w:name w:val="脚注文本 字符"/>
    <w:link w:val="809"/>
    <w:uiPriority w:val="99"/>
    <w:qFormat/>
    <w:rPr>
      <w:sz w:val="18"/>
    </w:rPr>
  </w:style>
  <w:style w:type="character" w:styleId="970" w:customStyle="1">
    <w:name w:val="尾注文本 字符"/>
    <w:link w:val="802"/>
    <w:uiPriority w:val="99"/>
    <w:qFormat/>
    <w:rPr>
      <w:sz w:val="20"/>
    </w:rPr>
  </w:style>
  <w:style w:type="paragraph" w:styleId="971" w:customStyle="1">
    <w:name w:val="TOC 标题1"/>
    <w:uiPriority w:val="39"/>
    <w:unhideWhenUsed/>
    <w:qFormat/>
    <w:rPr>
      <w:rFonts w:asciiTheme="minorHAnsi" w:hAnsiTheme="minorHAnsi" w:eastAsiaTheme="minorEastAsia" w:cstheme="minorBidi"/>
      <w:lang w:val="en-US" w:eastAsia="zh-CN" w:bidi="ar-SA"/>
    </w:rPr>
  </w:style>
  <w:style w:type="paragraph" w:styleId="972"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973" w:customStyle="1">
    <w:name w:val="正文_3_0_0_0"/>
    <w:uiPriority w:val="0"/>
    <w:qFormat/>
    <w:pPr>
      <w:jc w:val="both"/>
      <w:widowControl w:val="off"/>
    </w:pPr>
    <w:rPr>
      <w:rFonts w:ascii="Calibri" w:hAnsi="Calibri" w:eastAsia="宋体" w:cs="Times New Roman"/>
      <w:sz w:val="21"/>
      <w:szCs w:val="22"/>
      <w:lang w:val="en-US" w:eastAsia="zh-CN" w:bidi="ar-SA"/>
    </w:rPr>
  </w:style>
  <w:style w:type="paragraph" w:styleId="974" w:customStyle="1">
    <w:name w:val="正文空2字"/>
    <w:basedOn w:val="975"/>
    <w:uiPriority w:val="99"/>
    <w:qFormat/>
    <w:pPr>
      <w:ind w:firstLine="640"/>
      <w:spacing w:line="560" w:lineRule="exact"/>
      <w:widowControl w:val="off"/>
    </w:pPr>
    <w:rPr>
      <w:rFonts w:ascii="仿宋_GB2312" w:hAnsi="仿宋_GB2312" w:cs="仿宋_GB2312"/>
      <w:lang w:val="zh-TW"/>
    </w:rPr>
  </w:style>
  <w:style w:type="paragraph" w:styleId="975" w:customStyle="1">
    <w:name w:val="左对齐正文"/>
    <w:uiPriority w:val="99"/>
    <w:qFormat/>
    <w:rPr>
      <w:rFonts w:ascii="Calibri" w:hAnsi="Calibri" w:eastAsia="仿宋_GB2312" w:cs="Calibri"/>
      <w:sz w:val="32"/>
      <w:szCs w:val="32"/>
      <w:lang w:val="en-US" w:eastAsia="zh-CN" w:bidi="ar-SA"/>
    </w:rPr>
  </w:style>
  <w:style w:type="paragraph" w:styleId="976" w:customStyle="1">
    <w:name w:val="首行缩进"/>
    <w:basedOn w:val="780"/>
    <w:uiPriority w:val="0"/>
    <w:qFormat/>
    <w:pPr>
      <w:ind w:firstLine="480"/>
    </w:pPr>
    <w:rPr>
      <w:lang w:val="zh-CN"/>
    </w:rPr>
  </w:style>
  <w:style w:type="paragraph" w:styleId="977" w:customStyle="1">
    <w:name w:val="正文_16_0_0"/>
    <w:next w:val="978"/>
    <w:uiPriority w:val="0"/>
    <w:qFormat/>
    <w:pPr>
      <w:jc w:val="both"/>
      <w:widowControl w:val="off"/>
    </w:pPr>
    <w:rPr>
      <w:rFonts w:ascii="Calibri" w:hAnsi="Calibri" w:eastAsia="宋体" w:cs="Times New Roman"/>
      <w:sz w:val="21"/>
      <w:szCs w:val="22"/>
      <w:lang w:val="en-US" w:eastAsia="zh-CN" w:bidi="ar-SA"/>
    </w:rPr>
  </w:style>
  <w:style w:type="paragraph" w:styleId="978"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979" w:customStyle="1">
    <w:name w:val="Normal_19_0_0"/>
    <w:next w:val="780"/>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980"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981" w:customStyle="1">
    <w:name w:val="Default_1"/>
    <w:uiPriority w:val="0"/>
    <w:qFormat/>
    <w:pPr>
      <w:widowControl w:val="off"/>
    </w:pPr>
    <w:rPr>
      <w:rFonts w:ascii="宋体" w:hAnsi="Times New Roman" w:eastAsia="宋体" w:cs="宋体"/>
      <w:color w:val="000000"/>
      <w:sz w:val="24"/>
      <w:szCs w:val="24"/>
      <w:lang w:val="en-US" w:eastAsia="zh-CN" w:bidi="ar-SA"/>
    </w:rPr>
  </w:style>
  <w:style w:type="paragraph" w:styleId="982"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983" w:customStyle="1">
    <w:name w:val="索引 41"/>
    <w:basedOn w:val="780"/>
    <w:next w:val="780"/>
    <w:uiPriority w:val="0"/>
    <w:semiHidden/>
    <w:qFormat/>
    <w:pPr>
      <w:ind w:left="1260"/>
    </w:pPr>
    <w:rPr>
      <w:rFonts w:ascii="Calibri" w:hAnsi="Calibri" w:eastAsia="Calibri" w:cs="宋体"/>
      <w:sz w:val="20"/>
      <w:lang w:val="zh-CN"/>
    </w:rPr>
  </w:style>
  <w:style w:type="paragraph" w:styleId="984" w:customStyle="1">
    <w:name w:val="Normal_1_2"/>
    <w:uiPriority w:val="0"/>
    <w:qFormat/>
    <w:rPr>
      <w:rFonts w:ascii="Times New Roman" w:hAnsi="Times New Roman" w:eastAsia="Times New Roman" w:cs="Times New Roman"/>
      <w:sz w:val="24"/>
      <w:szCs w:val="24"/>
      <w:lang w:val="en-US" w:eastAsia="zh-CN" w:bidi="ar-SA"/>
    </w:rPr>
  </w:style>
  <w:style w:type="paragraph" w:styleId="985"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87" w:customStyle="1">
    <w:name w:val="正文_0_3"/>
    <w:uiPriority w:val="0"/>
    <w:qFormat/>
    <w:pPr>
      <w:jc w:val="both"/>
      <w:widowControl w:val="off"/>
    </w:pPr>
    <w:rPr>
      <w:rFonts w:ascii="Calibri" w:hAnsi="Calibri" w:eastAsia="宋体" w:cs="Times New Roman"/>
      <w:sz w:val="21"/>
      <w:szCs w:val="22"/>
      <w:lang w:val="en-US" w:eastAsia="zh-CN" w:bidi="ar-SA"/>
    </w:rPr>
  </w:style>
  <w:style w:type="paragraph" w:styleId="988" w:customStyle="1">
    <w:name w:val="正文首行缩进1"/>
    <w:basedOn w:val="989"/>
    <w:uiPriority w:val="0"/>
    <w:qFormat/>
    <w:pPr>
      <w:ind w:firstLine="100"/>
      <w:spacing w:after="120" w:line="240" w:lineRule="auto"/>
    </w:pPr>
    <w:rPr>
      <w:rFonts w:ascii="Times New Roman" w:eastAsia="宋体"/>
      <w:sz w:val="21"/>
    </w:rPr>
  </w:style>
  <w:style w:type="paragraph" w:styleId="989" w:customStyle="1">
    <w:name w:val="正文文本1"/>
    <w:basedOn w:val="780"/>
    <w:next w:val="988"/>
    <w:uiPriority w:val="0"/>
    <w:qFormat/>
    <w:pPr>
      <w:spacing w:line="60" w:lineRule="auto"/>
    </w:pPr>
    <w:rPr>
      <w:rFonts w:ascii="仿宋_GB2312" w:eastAsia="仿宋_GB2312"/>
      <w:sz w:val="32"/>
    </w:rPr>
  </w:style>
  <w:style w:type="paragraph" w:styleId="990"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991"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992" w:customStyle="1">
    <w:name w:val="正文文本12"/>
    <w:basedOn w:val="780"/>
    <w:uiPriority w:val="1"/>
    <w:qFormat/>
    <w:pPr>
      <w:ind w:left="120"/>
    </w:pPr>
    <w:rPr>
      <w:rFonts w:ascii="宋体" w:hAnsi="宋体" w:cs="宋体"/>
      <w:lang w:val="zh-CN" w:bidi="zh-CN"/>
    </w:rPr>
  </w:style>
  <w:style w:type="paragraph" w:styleId="993" w:customStyle="1">
    <w:name w:val="Normal_18_0"/>
    <w:uiPriority w:val="0"/>
    <w:qFormat/>
    <w:rPr>
      <w:rFonts w:ascii="黑体" w:hAnsi="黑体" w:eastAsia="黑体" w:cs="黑体"/>
      <w:b/>
      <w:sz w:val="32"/>
      <w:szCs w:val="24"/>
      <w:lang w:val="en-US" w:eastAsia="zh-CN" w:bidi="ar-SA"/>
    </w:rPr>
  </w:style>
  <w:style w:type="paragraph" w:styleId="994" w:customStyle="1">
    <w:name w:val="正文_12_0_0_0_0"/>
    <w:basedOn w:val="780"/>
    <w:uiPriority w:val="0"/>
    <w:qFormat/>
    <w:rPr>
      <w:szCs w:val="24"/>
    </w:rPr>
  </w:style>
  <w:style w:type="paragraph" w:styleId="995"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9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9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98" w:customStyle="1">
    <w:name w:val="Normal_20"/>
    <w:uiPriority w:val="0"/>
    <w:qFormat/>
    <w:rPr>
      <w:rFonts w:ascii="黑体" w:hAnsi="黑体" w:eastAsia="黑体" w:cs="黑体"/>
      <w:b/>
      <w:sz w:val="32"/>
      <w:szCs w:val="24"/>
      <w:lang w:val="en-US" w:eastAsia="zh-CN" w:bidi="ar-SA"/>
    </w:rPr>
  </w:style>
  <w:style w:type="paragraph" w:styleId="99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00"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01" w:customStyle="1">
    <w:name w:val="纯文本_0_0"/>
    <w:basedOn w:val="1000"/>
    <w:uiPriority w:val="0"/>
    <w:unhideWhenUsed/>
    <w:qFormat/>
    <w:rPr>
      <w:rFonts w:ascii="宋体" w:hAnsi="Courier New"/>
      <w:szCs w:val="21"/>
    </w:rPr>
  </w:style>
  <w:style w:type="paragraph" w:styleId="1002"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003" w:customStyle="1">
    <w:name w:val="Normal_19"/>
    <w:uiPriority w:val="0"/>
    <w:qFormat/>
    <w:rPr>
      <w:rFonts w:ascii="黑体" w:hAnsi="黑体" w:eastAsia="黑体" w:cs="黑体"/>
      <w:b/>
      <w:sz w:val="32"/>
      <w:szCs w:val="24"/>
      <w:lang w:val="en-US" w:eastAsia="zh-CN" w:bidi="ar-SA"/>
    </w:rPr>
  </w:style>
  <w:style w:type="paragraph" w:styleId="1004" w:customStyle="1">
    <w:name w:val="Normal_4_0"/>
    <w:uiPriority w:val="0"/>
    <w:qFormat/>
    <w:rPr>
      <w:rFonts w:ascii="黑体" w:hAnsi="黑体" w:eastAsia="黑体" w:cs="黑体"/>
      <w:b/>
      <w:sz w:val="32"/>
      <w:szCs w:val="24"/>
      <w:lang w:val="en-US" w:eastAsia="zh-CN" w:bidi="ar-SA"/>
    </w:rPr>
  </w:style>
  <w:style w:type="paragraph" w:styleId="1005" w:customStyle="1">
    <w:name w:val="Char"/>
    <w:basedOn w:val="780"/>
    <w:uiPriority w:val="0"/>
    <w:qFormat/>
    <w:pPr>
      <w:ind w:firstLine="200"/>
      <w:tabs>
        <w:tab w:val="left" w:pos="360" w:leader="none"/>
      </w:tabs>
    </w:pPr>
    <w:rPr>
      <w:sz w:val="28"/>
      <w:szCs w:val="30"/>
    </w:rPr>
  </w:style>
  <w:style w:type="paragraph" w:styleId="100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07" w:customStyle="1">
    <w:name w:val="Normal_7_0"/>
    <w:uiPriority w:val="0"/>
    <w:qFormat/>
    <w:rPr>
      <w:rFonts w:ascii="黑体" w:hAnsi="黑体" w:eastAsia="黑体" w:cs="黑体"/>
      <w:b/>
      <w:sz w:val="32"/>
      <w:szCs w:val="24"/>
      <w:lang w:val="en-US" w:eastAsia="zh-CN" w:bidi="ar-SA"/>
    </w:rPr>
  </w:style>
  <w:style w:type="paragraph" w:styleId="1008" w:customStyle="1">
    <w:name w:val="Normal_8_0"/>
    <w:uiPriority w:val="0"/>
    <w:qFormat/>
    <w:rPr>
      <w:rFonts w:ascii="Times New Roman" w:hAnsi="Times New Roman" w:eastAsia="Times New Roman" w:cs="Times New Roman"/>
      <w:sz w:val="24"/>
      <w:szCs w:val="24"/>
      <w:lang w:val="en-US" w:eastAsia="zh-CN" w:bidi="ar-SA"/>
    </w:rPr>
  </w:style>
  <w:style w:type="character" w:styleId="1009" w:customStyle="1">
    <w:name w:val="custom-tag-placeholder-class"/>
    <w:uiPriority w:val="0"/>
    <w:qFormat/>
  </w:style>
  <w:style w:type="paragraph" w:styleId="1010" w:customStyle="1">
    <w:name w:val="Normal_10_0"/>
    <w:uiPriority w:val="0"/>
    <w:qFormat/>
    <w:rPr>
      <w:rFonts w:ascii="黑体" w:hAnsi="黑体" w:eastAsia="黑体" w:cs="黑体"/>
      <w:b/>
      <w:sz w:val="32"/>
      <w:szCs w:val="24"/>
      <w:lang w:val="en-US" w:eastAsia="zh-CN" w:bidi="ar-SA"/>
    </w:rPr>
  </w:style>
  <w:style w:type="paragraph" w:styleId="1011"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12" w:customStyle="1">
    <w:name w:val="正文_3"/>
    <w:next w:val="1013"/>
    <w:uiPriority w:val="0"/>
    <w:qFormat/>
    <w:pPr>
      <w:jc w:val="both"/>
      <w:widowControl w:val="off"/>
    </w:pPr>
    <w:rPr>
      <w:rFonts w:ascii="Calibri" w:hAnsi="Calibri" w:eastAsia="宋体" w:cs="Times New Roman"/>
      <w:sz w:val="21"/>
      <w:szCs w:val="22"/>
      <w:lang w:val="en-US" w:eastAsia="zh-CN" w:bidi="ar-SA"/>
    </w:rPr>
  </w:style>
  <w:style w:type="paragraph" w:styleId="1013" w:customStyle="1">
    <w:name w:val="正文首行缩进 2_1"/>
    <w:basedOn w:val="1014"/>
    <w:next w:val="1016"/>
    <w:uiPriority w:val="0"/>
    <w:qFormat/>
    <w:pPr>
      <w:ind w:left="200" w:firstLine="200"/>
      <w:spacing w:after="120"/>
    </w:pPr>
    <w:rPr>
      <w:rFonts w:ascii="Times New Roman"/>
      <w:szCs w:val="24"/>
    </w:rPr>
  </w:style>
  <w:style w:type="paragraph" w:styleId="1014" w:customStyle="1">
    <w:name w:val="正文文本缩进_1"/>
    <w:basedOn w:val="1015"/>
    <w:next w:val="1013"/>
    <w:uiPriority w:val="0"/>
    <w:qFormat/>
    <w:pPr>
      <w:ind w:firstLine="225"/>
    </w:pPr>
    <w:rPr>
      <w:rFonts w:ascii="仿宋_GB2312" w:eastAsia="仿宋_GB2312"/>
      <w:sz w:val="32"/>
    </w:rPr>
  </w:style>
  <w:style w:type="paragraph" w:styleId="1015" w:customStyle="1">
    <w:name w:val="正文_18"/>
    <w:next w:val="1014"/>
    <w:uiPriority w:val="0"/>
    <w:qFormat/>
    <w:pPr>
      <w:jc w:val="both"/>
      <w:widowControl w:val="off"/>
    </w:pPr>
    <w:rPr>
      <w:rFonts w:ascii="Calibri" w:hAnsi="Calibri" w:eastAsia="宋体" w:cs="Times New Roman"/>
      <w:sz w:val="21"/>
      <w:szCs w:val="22"/>
      <w:lang w:val="en-US" w:eastAsia="zh-CN" w:bidi="ar-SA"/>
    </w:rPr>
  </w:style>
  <w:style w:type="paragraph" w:styleId="1016" w:customStyle="1">
    <w:name w:val="xl53_0"/>
    <w:next w:val="1012"/>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01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1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19" w:customStyle="1">
    <w:name w:val="列出段落_2"/>
    <w:basedOn w:val="991"/>
    <w:uiPriority w:val="34"/>
    <w:qFormat/>
    <w:pPr>
      <w:ind w:firstLine="420"/>
    </w:pPr>
  </w:style>
  <w:style w:type="paragraph" w:styleId="1020" w:customStyle="1">
    <w:name w:val="普通(网站)11"/>
    <w:basedOn w:val="780"/>
    <w:uiPriority w:val="99"/>
    <w:qFormat/>
    <w:rPr>
      <w:sz w:val="24"/>
    </w:rPr>
  </w:style>
  <w:style w:type="character" w:styleId="1021" w:customStyle="1">
    <w:name w:val="批注文字 字符"/>
    <w:basedOn w:val="790"/>
    <w:link w:val="795"/>
    <w:uiPriority w:val="99"/>
    <w:semiHidden/>
    <w:qFormat/>
    <w:rPr>
      <w:sz w:val="21"/>
      <w:szCs w:val="21"/>
    </w:rPr>
  </w:style>
  <w:style w:type="character" w:styleId="1022" w:customStyle="1">
    <w:name w:val="批注主题 字符"/>
    <w:basedOn w:val="1021"/>
    <w:link w:val="816"/>
    <w:uiPriority w:val="0"/>
    <w:qFormat/>
    <w:rPr>
      <w:sz w:val="21"/>
      <w:szCs w:val="21"/>
    </w:rPr>
  </w:style>
  <w:style w:type="character" w:styleId="1023" w:customStyle="1">
    <w:name w:val="批注框文本 字符"/>
    <w:basedOn w:val="790"/>
    <w:link w:val="803"/>
    <w:uiPriority w:val="99"/>
    <w:semiHidden/>
    <w:qFormat/>
    <w:rPr>
      <w:sz w:val="18"/>
      <w:szCs w:val="18"/>
    </w:rPr>
  </w:style>
  <w:style w:type="paragraph" w:styleId="1024"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5"/>
    <customShpInfo spid="_x0000_s1026"/>
    <customShpInfo spid="_x0000_s2050"/>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4754BA-894B-4E63-9AE6-D5062A9DF1F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陈梦帆</cp:lastModifiedBy>
  <cp:revision>13</cp:revision>
  <dcterms:created xsi:type="dcterms:W3CDTF">2024-12-26T04:04:00Z</dcterms:created>
  <dcterms:modified xsi:type="dcterms:W3CDTF">2026-03-27T07:34:54Z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676BD7338D9548C6A498F4ECF6FE55A1_13</vt:lpwstr>
  </property>
  <property fmtid="{D5CDD505-2E9C-101B-9397-08002B2CF9AE}" pid="4" name="KSOTemplateDocerSaveRecord">
    <vt:lpwstr>eyJoZGlkIjoiZGY5NjY0NDliNzZhNjNkN2Y0MGFmMWQwZDIyZDFjODgiLCJ1c2VySWQiOiIxOTQ5NzAzNjMifQ==</vt:lpwstr>
  </property>
</Properties>
</file>