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b/>
          <w:sz w:val="32"/>
          <w:szCs w:val="32"/>
          <w:highlight w:val="none"/>
        </w:rPr>
      </w:r>
      <w:r/>
    </w:p>
    <w:p>
      <w:pPr>
        <w:jc w:val="center"/>
        <w:rPr>
          <w:b/>
          <w:sz w:val="36"/>
          <w:szCs w:val="36"/>
          <w:highlight w:val="none"/>
        </w:rPr>
      </w:pPr>
      <w:r>
        <w:rPr>
          <w:b/>
          <w:sz w:val="36"/>
          <w:szCs w:val="36"/>
          <w:highlight w:val="none"/>
        </w:rPr>
      </w:r>
      <w:r/>
    </w:p>
    <w:p>
      <w:pPr>
        <w:pStyle w:val="895"/>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895"/>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895"/>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如皋市第二轮生物多样性本底调查</w:t>
      </w:r>
      <w:r/>
    </w:p>
    <w:p>
      <w:pPr>
        <w:pStyle w:val="895"/>
        <w:spacing w:line="240" w:lineRule="auto"/>
        <w:rPr>
          <w:b/>
          <w:bCs/>
          <w:sz w:val="32"/>
          <w:highlight w:val="none"/>
          <w:u w:val="single"/>
        </w:rPr>
      </w:pPr>
      <w:r>
        <w:rPr>
          <w:rFonts w:hint="eastAsia"/>
          <w:b/>
          <w:bCs/>
          <w:sz w:val="32"/>
          <w:highlight w:val="none"/>
        </w:rPr>
        <w:t xml:space="preserve">项目编号：JSZC-320682-JSJW-C2026-0012</w:t>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0"/>
        <w:jc w:val="center"/>
        <w:spacing w:line="240" w:lineRule="auto"/>
        <w:rPr>
          <w:b/>
          <w:bCs/>
          <w:sz w:val="32"/>
          <w:highlight w:val="none"/>
        </w:rPr>
      </w:pPr>
      <w:r>
        <w:rPr>
          <w:b/>
          <w:bCs/>
          <w:sz w:val="32"/>
          <w:highlight w:val="none"/>
        </w:rPr>
      </w:r>
      <w:r/>
    </w:p>
    <w:p>
      <w:pPr>
        <w:pStyle w:val="895"/>
        <w:ind w:firstLine="851"/>
        <w:spacing w:line="240" w:lineRule="auto"/>
        <w:rPr>
          <w:b/>
          <w:bCs/>
          <w:sz w:val="32"/>
          <w:highlight w:val="none"/>
          <w:u w:val="single"/>
        </w:rPr>
      </w:pPr>
      <w:r>
        <w:rPr>
          <w:rFonts w:hint="eastAsia"/>
          <w:b/>
          <w:bCs/>
          <w:sz w:val="32"/>
          <w:highlight w:val="none"/>
        </w:rPr>
        <w:t xml:space="preserve">采购人名称：南通市如皋生态环境局</w:t>
      </w:r>
      <w:r/>
    </w:p>
    <w:p>
      <w:pPr>
        <w:pStyle w:val="895"/>
        <w:ind w:firstLine="851"/>
        <w:spacing w:line="240" w:lineRule="auto"/>
        <w:rPr>
          <w:b/>
          <w:bCs/>
          <w:sz w:val="32"/>
          <w:highlight w:val="none"/>
          <w:u w:val="single"/>
        </w:rPr>
      </w:pPr>
      <w:r>
        <w:rPr>
          <w:rFonts w:hint="eastAsia"/>
          <w:b/>
          <w:bCs/>
          <w:sz w:val="32"/>
          <w:highlight w:val="none"/>
        </w:rPr>
        <w:t xml:space="preserve">采购代理机构名称：江苏建威建设管理有限公司</w:t>
      </w:r>
      <w:r/>
    </w:p>
    <w:p>
      <w:pPr>
        <w:pStyle w:val="895"/>
        <w:ind w:firstLine="0"/>
        <w:jc w:val="center"/>
        <w:spacing w:before="0" w:after="0" w:line="460" w:lineRule="exact"/>
        <w:rPr>
          <w:rFonts w:ascii="方正小标宋简体" w:eastAsia="方正小标宋简体"/>
          <w:bCs/>
          <w:sz w:val="32"/>
          <w:szCs w:val="32"/>
          <w:highlight w:val="none"/>
        </w:rPr>
      </w:pPr>
      <w:r>
        <w:rPr>
          <w:rFonts w:hint="eastAsia"/>
          <w:b/>
          <w:bCs/>
          <w:sz w:val="32"/>
          <w:highlight w:val="none"/>
          <w:lang w:val="en-US" w:eastAsia="zh-CN"/>
        </w:rPr>
        <w:t xml:space="preserve"> 2026</w:t>
      </w:r>
      <w:r>
        <w:rPr>
          <w:rFonts w:hint="eastAsia"/>
          <w:b/>
          <w:bCs/>
          <w:sz w:val="32"/>
          <w:highlight w:val="none"/>
        </w:rPr>
        <w:t xml:space="preserve">年</w:t>
      </w:r>
      <w:r>
        <w:rPr>
          <w:rFonts w:hint="eastAsia"/>
          <w:b/>
          <w:bCs/>
          <w:sz w:val="32"/>
          <w:highlight w:val="none"/>
          <w:lang w:val="en-US" w:eastAsia="zh-CN"/>
        </w:rPr>
        <w:t xml:space="preserve"> 04</w:t>
      </w:r>
      <w:r>
        <w:rPr>
          <w:rFonts w:hint="eastAsia"/>
          <w:b/>
          <w:bCs/>
          <w:sz w:val="32"/>
          <w:highlight w:val="none"/>
        </w:rPr>
        <w:t xml:space="preserve">月</w:t>
      </w:r>
      <w:r>
        <w:rPr>
          <w:rFonts w:hint="eastAsia"/>
          <w:b/>
          <w:bCs/>
          <w:sz w:val="32"/>
          <w:highlight w:val="none"/>
          <w:lang w:val="en-US" w:eastAsia="zh-CN"/>
        </w:rPr>
        <w:t xml:space="preserve">02</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第1章 竞争性磋商公告</w:t>
      </w:r>
      <w:r/>
    </w:p>
    <w:p>
      <w:pPr>
        <w:pStyle w:val="870"/>
        <w:ind w:firstLine="560"/>
        <w:spacing w:after="0" w:line="460" w:lineRule="exact"/>
        <w:rPr>
          <w:rFonts w:ascii="黑体" w:hAnsi="黑体" w:eastAsia="黑体"/>
          <w:sz w:val="28"/>
          <w:szCs w:val="28"/>
          <w:highlight w:val="none"/>
        </w:rPr>
      </w:pPr>
      <w:r/>
      <w:bookmarkStart w:id="0" w:name="_Toc28359012"/>
      <w:r/>
      <w:bookmarkStart w:id="1" w:name="_Toc28359089"/>
      <w:r/>
      <w:bookmarkStart w:id="2" w:name="_Toc35393798"/>
      <w:r/>
      <w:bookmarkStart w:id="3" w:name="_Toc3539362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1.项目名称：如皋市第二轮生物多样性本底调查</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2.项目编号：JSZC-320682-JSJW-C2026-0012</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3.预算金额：179万元</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4.最高限价：179万元</w:t>
      </w:r>
      <w:r/>
    </w:p>
    <w:p>
      <w:pPr>
        <w:ind w:firstLine="56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5.采购需求：详见第三章。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6.合同履行期限：自合同签订之日起至2027年10月30日。</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7.本项目是否接受进口产品：</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9.本项目是否专门面向中小企业采购：是。</w:t>
      </w:r>
      <w:r/>
    </w:p>
    <w:p>
      <w:pPr>
        <w:ind w:firstLine="560"/>
        <w:spacing w:line="46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10.项目类型：服务。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11.项目所属行业：其</w:t>
      </w:r>
      <w:r>
        <w:rPr>
          <w:rFonts w:ascii="仿宋" w:hAnsi="仿宋" w:eastAsia="仿宋"/>
          <w:sz w:val="28"/>
          <w:szCs w:val="28"/>
          <w:highlight w:val="none"/>
        </w:rPr>
        <w:t xml:space="preserve">他未列明行业。</w:t>
      </w:r>
      <w:r/>
    </w:p>
    <w:p>
      <w:pPr>
        <w:pStyle w:val="870"/>
        <w:ind w:firstLine="560"/>
        <w:spacing w:after="0" w:line="460" w:lineRule="exact"/>
        <w:rPr>
          <w:rFonts w:ascii="黑体" w:hAnsi="黑体" w:eastAsia="黑体"/>
          <w:sz w:val="28"/>
          <w:szCs w:val="28"/>
          <w:highlight w:val="none"/>
        </w:rPr>
      </w:pPr>
      <w:r/>
      <w:bookmarkStart w:id="5" w:name="_Toc35393630"/>
      <w:r/>
      <w:bookmarkStart w:id="6" w:name="_Toc28359090"/>
      <w:r/>
      <w:bookmarkStart w:id="7" w:name="_Toc28359013"/>
      <w:r/>
      <w:bookmarkStart w:id="8" w:name="_Toc35393799"/>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76"/>
        <w:ind w:firstLine="560"/>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46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76"/>
        <w:ind w:firstLine="482"/>
        <w:spacing w:before="0" w:beforeAutospacing="0" w:after="0" w:afterAutospacing="0" w:line="46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76"/>
        <w:ind w:firstLine="482"/>
        <w:spacing w:before="0" w:beforeAutospacing="0" w:after="0" w:afterAutospacing="0" w:line="46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76"/>
        <w:ind w:firstLine="482"/>
        <w:spacing w:before="0" w:beforeAutospacing="0" w:after="0" w:afterAutospacing="0" w:line="46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76"/>
        <w:ind w:firstLine="567"/>
        <w:spacing w:before="0" w:beforeAutospacing="0" w:after="0" w:afterAutospacing="0" w:line="46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460" w:lineRule="exact"/>
        <w:rPr>
          <w:rFonts w:ascii="仿宋" w:hAnsi="仿宋" w:eastAsia="仿宋"/>
          <w:iCs/>
          <w:sz w:val="28"/>
          <w:szCs w:val="28"/>
          <w:highlight w:val="none"/>
        </w:rPr>
      </w:pPr>
      <w:r>
        <w:rPr>
          <w:rFonts w:hint="eastAsia" w:ascii="仿宋" w:hAnsi="仿宋" w:eastAsia="仿宋"/>
          <w:sz w:val="28"/>
          <w:szCs w:val="28"/>
          <w:highlight w:val="none"/>
        </w:rPr>
        <w:t xml:space="preserve">4.本项目的特定资格要求：</w:t>
      </w:r>
      <w:r>
        <w:rPr>
          <w:rFonts w:hint="eastAsia" w:ascii="仿宋" w:hAnsi="仿宋" w:eastAsia="仿宋"/>
          <w:iCs/>
          <w:sz w:val="28"/>
          <w:szCs w:val="28"/>
          <w:highlight w:val="none"/>
        </w:rPr>
        <w:t xml:space="preserve">专门面向中小企业采购的，须提供《中小企业声明函》。</w:t>
      </w:r>
      <w:r/>
    </w:p>
    <w:p>
      <w:pPr>
        <w:pStyle w:val="876"/>
        <w:ind w:firstLine="567"/>
        <w:spacing w:before="0" w:beforeAutospacing="0" w:after="0" w:afterAutospacing="0" w:line="46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46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0"/>
        <w:ind w:firstLine="560"/>
        <w:spacing w:after="0" w:line="46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宋体"/>
          <w:sz w:val="28"/>
          <w:szCs w:val="28"/>
          <w:highlight w:val="none"/>
          <w:lang w:val="en-US" w:eastAsia="zh-CN"/>
        </w:rPr>
        <w:t xml:space="preserve">自磋商文件公告发布</w:t>
      </w:r>
      <w:r>
        <w:rPr>
          <w:rFonts w:hint="eastAsia" w:ascii="仿宋" w:hAnsi="仿宋" w:eastAsia="仿宋" w:cs="宋体"/>
          <w:sz w:val="28"/>
          <w:szCs w:val="28"/>
          <w:highlight w:val="none"/>
        </w:rPr>
        <w:t xml:space="preserve">至2026年</w:t>
      </w:r>
      <w:r>
        <w:rPr>
          <w:rFonts w:hint="eastAsia" w:ascii="仿宋" w:hAnsi="仿宋" w:eastAsia="仿宋" w:cs="宋体"/>
          <w:sz w:val="28"/>
          <w:szCs w:val="28"/>
          <w:highlight w:val="none"/>
          <w:lang w:val="en-US" w:eastAsia="zh-CN"/>
        </w:rPr>
        <w:t xml:space="preserve">04</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13</w:t>
      </w:r>
      <w:r>
        <w:rPr>
          <w:rFonts w:hint="eastAsia" w:ascii="仿宋" w:hAnsi="仿宋" w:eastAsia="仿宋" w:cs="宋体"/>
          <w:sz w:val="28"/>
          <w:szCs w:val="28"/>
          <w:highlight w:val="none"/>
        </w:rPr>
        <w:t xml:space="preserve">日。</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870"/>
        <w:ind w:firstLine="560"/>
        <w:spacing w:after="0" w:line="460" w:lineRule="exact"/>
        <w:rPr>
          <w:rFonts w:ascii="黑体" w:hAnsi="黑体" w:eastAsia="黑体"/>
          <w:sz w:val="28"/>
          <w:szCs w:val="28"/>
          <w:highlight w:val="none"/>
        </w:rPr>
      </w:pPr>
      <w:r/>
      <w:bookmarkStart w:id="13" w:name="_Toc28359092"/>
      <w:r/>
      <w:bookmarkStart w:id="14" w:name="_Toc28359015"/>
      <w:r/>
      <w:bookmarkStart w:id="15" w:name="_Toc35393801"/>
      <w:r/>
      <w:bookmarkStart w:id="16" w:name="_Toc35393632"/>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4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截止时间：2026</w:t>
      </w:r>
      <w:r>
        <w:rPr>
          <w:rFonts w:hint="eastAsia" w:ascii="仿宋" w:hAnsi="仿宋" w:eastAsia="仿宋"/>
          <w:bCs/>
          <w:sz w:val="28"/>
          <w:szCs w:val="28"/>
          <w:highlight w:val="none"/>
        </w:rPr>
        <w:t xml:space="preserve">年</w:t>
      </w:r>
      <w:r>
        <w:rPr>
          <w:rFonts w:hint="eastAsia" w:ascii="仿宋" w:hAnsi="仿宋" w:eastAsia="仿宋" w:cs="宋体"/>
          <w:sz w:val="28"/>
          <w:szCs w:val="28"/>
          <w:highlight w:val="none"/>
          <w:lang w:val="en-US" w:eastAsia="zh-CN"/>
        </w:rPr>
        <w:t xml:space="preserve">04</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13</w:t>
      </w:r>
      <w:r>
        <w:rPr>
          <w:rFonts w:hint="eastAsia" w:ascii="仿宋" w:hAnsi="仿宋" w:eastAsia="仿宋" w:cs="宋体"/>
          <w:sz w:val="28"/>
          <w:szCs w:val="28"/>
          <w:highlight w:val="none"/>
        </w:rPr>
        <w:t xml:space="preserve">日</w:t>
      </w:r>
      <w:r>
        <w:rPr>
          <w:rFonts w:hint="eastAsia" w:ascii="仿宋" w:hAnsi="仿宋" w:eastAsia="仿宋" w:cs="宋体"/>
          <w:sz w:val="28"/>
          <w:szCs w:val="28"/>
          <w:highlight w:val="none"/>
          <w:lang w:val="en-US" w:eastAsia="zh-CN"/>
        </w:rPr>
        <w:t xml:space="preserve">09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开启时间：2026</w:t>
      </w:r>
      <w:r>
        <w:rPr>
          <w:rFonts w:hint="eastAsia" w:ascii="仿宋" w:hAnsi="仿宋" w:eastAsia="仿宋"/>
          <w:bCs/>
          <w:sz w:val="28"/>
          <w:szCs w:val="28"/>
          <w:highlight w:val="none"/>
        </w:rPr>
        <w:t xml:space="preserve">年</w:t>
      </w:r>
      <w:r>
        <w:rPr>
          <w:rFonts w:hint="eastAsia" w:ascii="仿宋" w:hAnsi="仿宋" w:eastAsia="仿宋" w:cs="宋体"/>
          <w:sz w:val="28"/>
          <w:szCs w:val="28"/>
          <w:highlight w:val="none"/>
          <w:lang w:val="en-US" w:eastAsia="zh-CN"/>
        </w:rPr>
        <w:t xml:space="preserve">04</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13</w:t>
      </w:r>
      <w:r>
        <w:rPr>
          <w:rFonts w:hint="eastAsia" w:ascii="仿宋" w:hAnsi="仿宋" w:eastAsia="仿宋" w:cs="宋体"/>
          <w:sz w:val="28"/>
          <w:szCs w:val="28"/>
          <w:highlight w:val="none"/>
        </w:rPr>
        <w:t xml:space="preserve">日</w:t>
      </w:r>
      <w:r>
        <w:rPr>
          <w:rFonts w:hint="eastAsia" w:ascii="仿宋" w:hAnsi="仿宋" w:eastAsia="仿宋" w:cs="宋体"/>
          <w:sz w:val="28"/>
          <w:szCs w:val="28"/>
          <w:highlight w:val="none"/>
          <w:lang w:val="en-US" w:eastAsia="zh-CN"/>
        </w:rPr>
        <w:t xml:space="preserve">09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870"/>
        <w:ind w:firstLine="560"/>
        <w:spacing w:after="0" w:line="460" w:lineRule="exact"/>
        <w:rPr>
          <w:rFonts w:ascii="黑体" w:hAnsi="黑体" w:eastAsia="黑体"/>
          <w:sz w:val="28"/>
          <w:szCs w:val="28"/>
          <w:highlight w:val="none"/>
        </w:rPr>
      </w:pPr>
      <w:r/>
      <w:bookmarkStart w:id="17" w:name="_Toc28359094"/>
      <w:r/>
      <w:bookmarkStart w:id="18" w:name="_Toc35393634"/>
      <w:r/>
      <w:bookmarkStart w:id="19" w:name="_Toc28359017"/>
      <w:r/>
      <w:bookmarkStart w:id="20" w:name="_Toc35393803"/>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870"/>
        <w:ind w:firstLine="560"/>
        <w:spacing w:after="0" w:line="46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46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w:t>
      </w:r>
      <w:r>
        <w:rPr>
          <w:rFonts w:hint="eastAsia" w:ascii="仿宋" w:hAnsi="仿宋" w:eastAsia="仿宋"/>
          <w:bCs/>
          <w:sz w:val="28"/>
          <w:szCs w:val="28"/>
          <w:highlight w:val="none"/>
        </w:rPr>
        <w:t xml:space="preserve">《江苏省政府采购管理交易系统（苏采云）供应商操作指南》</w:t>
      </w:r>
      <w:r>
        <w:rPr>
          <w:rFonts w:hint="eastAsia" w:ascii="仿宋" w:hAnsi="仿宋" w:eastAsia="仿宋"/>
          <w:sz w:val="28"/>
          <w:szCs w:val="28"/>
          <w:highlight w:val="none"/>
        </w:rPr>
        <w:t xml:space="preserve">，特别</w:t>
      </w:r>
      <w:r>
        <w:rPr>
          <w:rFonts w:hint="eastAsia" w:ascii="仿宋" w:hAnsi="仿宋" w:eastAsia="仿宋" w:cs="宋体"/>
          <w:bCs/>
          <w:sz w:val="28"/>
          <w:szCs w:val="28"/>
          <w:highlight w:val="none"/>
        </w:rPr>
        <w:t xml:space="preserve">注意以下事项：</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81"/>
          <w:rFonts w:ascii="仿宋" w:hAnsi="仿宋" w:eastAsia="仿宋" w:cs="宋体"/>
          <w:bCs/>
          <w:sz w:val="28"/>
          <w:szCs w:val="28"/>
          <w:highlight w:val="none"/>
        </w:rPr>
        <w:t xml:space="preserve">http://jsxcmm.com/help/gys.html</w:t>
      </w:r>
      <w:r>
        <w:rPr>
          <w:rStyle w:val="881"/>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46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46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46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70"/>
        <w:ind w:firstLine="560"/>
        <w:spacing w:after="0" w:line="460" w:lineRule="exact"/>
        <w:rPr>
          <w:rFonts w:ascii="黑体" w:hAnsi="黑体" w:eastAsia="黑体"/>
          <w:sz w:val="28"/>
          <w:szCs w:val="28"/>
          <w:highlight w:val="none"/>
        </w:rPr>
      </w:pPr>
      <w:r/>
      <w:bookmarkStart w:id="23" w:name="_Toc28359018"/>
      <w:r/>
      <w:bookmarkStart w:id="24" w:name="_Toc35393805"/>
      <w:r/>
      <w:bookmarkStart w:id="25" w:name="_Toc28359095"/>
      <w:r/>
      <w:bookmarkStart w:id="26" w:name="_Toc35393636"/>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460" w:lineRule="exact"/>
        <w:rPr>
          <w:rFonts w:ascii="仿宋" w:hAnsi="仿宋" w:eastAsia="仿宋" w:cs="宋体"/>
          <w:sz w:val="28"/>
          <w:szCs w:val="28"/>
          <w:highlight w:val="none"/>
        </w:rPr>
      </w:pPr>
      <w:r/>
      <w:bookmarkStart w:id="27" w:name="_Toc28359019"/>
      <w:r/>
      <w:bookmarkStart w:id="28" w:name="_Toc35393806"/>
      <w:r/>
      <w:bookmarkStart w:id="29" w:name="_Toc28359096"/>
      <w:r/>
      <w:bookmarkStart w:id="30" w:name="_Toc35393637"/>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名    称：南通市如皋生态环境局</w:t>
      </w:r>
      <w:r/>
    </w:p>
    <w:p>
      <w:pPr>
        <w:ind w:left="1129" w:hanging="35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highlight w:val="none"/>
        </w:rPr>
        <w:fldChar w:fldCharType="begin"/>
      </w:r>
      <w:r>
        <w:rPr>
          <w:highlight w:val="none"/>
        </w:rPr>
        <w:instrText xml:space="preserve"> HYPERLINK "https://cn.bing.com/maps?&amp;mepi=0~~Embedded~Address_Link&amp;ty=18&amp;q=%E5%8D%97%E9%80%9A%E5%B8%82%E5%A6%82%E7%9A%8B%E7%94%9F%E6%80%81%E7%8E%AF%E5%A2%83%E5%B1%80&amp;ss=ypid.YN406</w:instrText>
      </w:r>
      <w:r>
        <w:rPr>
          <w:highlight w:val="none"/>
        </w:rPr>
        <w:instrText xml:space="preserve">7x10144586286332189718&amp;ppois=32.36720657348633_120.55784606933594_%E5%8D%97%E9%80%9A%E5%B8%82%E5%A6%82%E7%9A%8B%E7%94%9F%E6%80%81%E7%8E%AF%E5%A2%83%E5%B1%80_YN4067x10144586286332189718~&amp;cp=pcv2dwv1cv4k&amp;v=2&amp;sV=1&amp;FORM=MPSRPL" \t "https://cn.bing.com/_blank" </w:instrText>
      </w:r>
      <w:r>
        <w:rPr>
          <w:highlight w:val="none"/>
        </w:rPr>
        <w:fldChar w:fldCharType="separate"/>
      </w:r>
      <w:r>
        <w:rPr>
          <w:rFonts w:ascii="仿宋" w:hAnsi="仿宋" w:eastAsia="仿宋"/>
          <w:sz w:val="28"/>
          <w:szCs w:val="28"/>
          <w:highlight w:val="none"/>
        </w:rPr>
        <w:t xml:space="preserve">江苏省南通市如皋市解放西路12号</w:t>
      </w:r>
      <w:r>
        <w:rPr>
          <w:rFonts w:ascii="仿宋" w:hAnsi="仿宋" w:eastAsia="仿宋"/>
          <w:sz w:val="28"/>
          <w:szCs w:val="28"/>
          <w:highlight w:val="none"/>
        </w:rPr>
        <w:fldChar w:fldCharType="end"/>
      </w:r>
      <w:r>
        <w:rPr>
          <w:rFonts w:ascii="仿宋" w:hAnsi="仿宋" w:eastAsia="仿宋"/>
          <w:sz w:val="28"/>
          <w:szCs w:val="28"/>
          <w:highlight w:val="none"/>
        </w:rPr>
        <w:t xml:space="preserve"> </w:t>
      </w:r>
      <w:r/>
    </w:p>
    <w:p>
      <w:pPr>
        <w:ind w:left="1129" w:hanging="35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eastAsia="zh-CN"/>
        </w:rPr>
        <w:t xml:space="preserve">王新疆</w:t>
      </w:r>
      <w:r>
        <w:rPr>
          <w:rFonts w:hint="eastAsia" w:ascii="仿宋" w:hAnsi="仿宋" w:eastAsia="仿宋"/>
          <w:sz w:val="28"/>
          <w:szCs w:val="28"/>
          <w:highlight w:val="none"/>
        </w:rPr>
        <w:t xml:space="preserve">            </w:t>
      </w:r>
      <w:r/>
    </w:p>
    <w:p>
      <w:pPr>
        <w:ind w:left="1129" w:hanging="35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项目经办人联系方式：18251355872　　　　　　　　 　　　 </w:t>
      </w:r>
      <w:r/>
    </w:p>
    <w:p>
      <w:pPr>
        <w:ind w:firstLine="540"/>
        <w:spacing w:line="460" w:lineRule="exact"/>
        <w:rPr>
          <w:rFonts w:ascii="仿宋" w:hAnsi="仿宋" w:eastAsia="仿宋" w:cs="宋体"/>
          <w:sz w:val="28"/>
          <w:szCs w:val="28"/>
          <w:highlight w:val="none"/>
        </w:rPr>
      </w:pPr>
      <w:r/>
      <w:bookmarkStart w:id="31" w:name="_Toc35393638"/>
      <w:r/>
      <w:bookmarkStart w:id="32" w:name="_Toc28359020"/>
      <w:r/>
      <w:bookmarkStart w:id="33" w:name="_Toc28359097"/>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名称：江苏建威建设管理有限公司　</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址：如皋市如城街道益寿南路186号御墅园1幢商务区1号</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项目经办人姓名：谢楠楠</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项目经办人联系方式：15962935048</w:t>
      </w:r>
      <w:r/>
    </w:p>
    <w:p>
      <w:pPr>
        <w:keepLines w:val="0"/>
        <w:keepNext w:val="0"/>
        <w:pageBreakBefore w:val="0"/>
        <w:spacing w:line="440" w:lineRule="exact"/>
        <w:widowControl w:val="off"/>
        <w:rPr>
          <w:rFonts w:ascii="仿宋" w:hAnsi="仿宋" w:eastAsia="仿宋"/>
          <w:b/>
          <w:sz w:val="28"/>
          <w:szCs w:val="28"/>
          <w:highlight w:val="none"/>
        </w:rPr>
      </w:pPr>
      <w:r>
        <w:rPr>
          <w:rFonts w:ascii="仿宋" w:hAnsi="仿宋" w:eastAsia="仿宋"/>
          <w:b/>
          <w:sz w:val="28"/>
          <w:szCs w:val="28"/>
          <w:highlight w:val="none"/>
        </w:rPr>
      </w:r>
      <w:r/>
    </w:p>
    <w:p>
      <w:pPr>
        <w:keepLines w:val="0"/>
        <w:keepNext w:val="0"/>
        <w:pageBreakBefore w:val="0"/>
        <w:spacing w:line="440" w:lineRule="exact"/>
        <w:widowControl w:val="off"/>
        <w:rPr>
          <w:rFonts w:ascii="仿宋" w:hAnsi="仿宋" w:eastAsia="仿宋"/>
          <w:b/>
          <w:sz w:val="28"/>
          <w:szCs w:val="28"/>
          <w:highlight w:val="none"/>
        </w:rPr>
      </w:pPr>
      <w:r>
        <w:rPr>
          <w:rFonts w:ascii="仿宋" w:hAnsi="仿宋" w:eastAsia="仿宋"/>
          <w:b/>
          <w:sz w:val="28"/>
          <w:szCs w:val="28"/>
          <w:highlight w:val="none"/>
        </w:rPr>
        <w:t xml:space="preserve">附件:</w:t>
      </w:r>
      <w:r/>
    </w:p>
    <w:p>
      <w:pPr>
        <w:keepLines w:val="0"/>
        <w:keepNext w:val="0"/>
        <w:pageBreakBefore w:val="0"/>
        <w:spacing w:line="44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1.南通市政府采购线上合同信用融资政策告知函</w:t>
      </w:r>
      <w:r/>
    </w:p>
    <w:p>
      <w:pPr>
        <w:keepLines w:val="0"/>
        <w:keepNext w:val="0"/>
        <w:pageBreakBefore w:val="0"/>
        <w:spacing w:line="44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895"/>
        <w:ind w:firstLine="0"/>
        <w:keepLines w:val="0"/>
        <w:keepNext w:val="0"/>
        <w:pageBreakBefore w:val="0"/>
        <w:spacing w:before="0" w:after="0" w:line="44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895"/>
        <w:ind w:firstLine="0"/>
        <w:jc w:val="center"/>
        <w:spacing w:before="0" w:after="0" w:line="460" w:lineRule="exact"/>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第2章 磋商须知</w:t>
      </w:r>
      <w:r/>
    </w:p>
    <w:p>
      <w:pPr>
        <w:ind w:firstLine="548"/>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46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46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46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460" w:lineRule="exact"/>
        <w:rPr>
          <w:rFonts w:ascii="仿宋" w:hAnsi="仿宋" w:eastAsia="仿宋"/>
          <w:sz w:val="28"/>
          <w:szCs w:val="28"/>
          <w:highlight w:val="none"/>
        </w:rPr>
      </w:pPr>
      <w:r>
        <w:rPr>
          <w:rFonts w:hint="eastAsia" w:ascii="仿宋" w:hAnsi="仿宋" w:eastAsia="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spacing w:line="4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46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46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投诉书</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46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46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46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11.1 采购代理服务费收取标准：采购代理服务费以成交价为基数，代理费用按照</w:t>
      </w:r>
      <w:r>
        <w:rPr>
          <w:rFonts w:ascii="仿宋" w:hAnsi="仿宋" w:eastAsia="仿宋"/>
          <w:sz w:val="28"/>
          <w:szCs w:val="28"/>
          <w:highlight w:val="none"/>
        </w:rPr>
        <w:t xml:space="preserve">《江苏省政府采购代理服务收费指导意见》（苏政采协</w:t>
      </w:r>
      <w:r>
        <w:rPr>
          <w:rFonts w:hint="eastAsia" w:ascii="仿宋" w:hAnsi="仿宋" w:eastAsia="仿宋"/>
          <w:sz w:val="28"/>
          <w:szCs w:val="28"/>
          <w:highlight w:val="none"/>
        </w:rPr>
        <w:t xml:space="preserve">〔</w:t>
      </w:r>
      <w:r>
        <w:rPr>
          <w:rFonts w:ascii="仿宋" w:hAnsi="仿宋" w:eastAsia="仿宋"/>
          <w:sz w:val="28"/>
          <w:szCs w:val="28"/>
          <w:highlight w:val="none"/>
        </w:rPr>
        <w:t xml:space="preserve">2024</w:t>
      </w:r>
      <w:r>
        <w:rPr>
          <w:rFonts w:hint="eastAsia" w:ascii="仿宋" w:hAnsi="仿宋" w:eastAsia="仿宋"/>
          <w:sz w:val="28"/>
          <w:szCs w:val="28"/>
          <w:highlight w:val="none"/>
        </w:rPr>
        <w:t xml:space="preserve">〕</w:t>
      </w:r>
      <w:r>
        <w:rPr>
          <w:rFonts w:ascii="仿宋" w:hAnsi="仿宋" w:eastAsia="仿宋"/>
          <w:sz w:val="28"/>
          <w:szCs w:val="28"/>
          <w:highlight w:val="none"/>
        </w:rPr>
        <w:t xml:space="preserve">20号）</w:t>
      </w:r>
      <w:r>
        <w:rPr>
          <w:rFonts w:hint="eastAsia" w:ascii="仿宋" w:hAnsi="仿宋" w:eastAsia="仿宋"/>
          <w:sz w:val="28"/>
          <w:szCs w:val="28"/>
          <w:highlight w:val="none"/>
        </w:rPr>
        <w:t xml:space="preserve">*80%计取，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打</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折，打折后政府采购项目代理费不足叁仟按叁仟元计取，由成交人承担。</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460" w:lineRule="exact"/>
        <w:rPr>
          <w:rFonts w:ascii="仿宋" w:hAnsi="仿宋" w:eastAsia="仿宋" w:cs="仿宋"/>
          <w:sz w:val="28"/>
          <w:szCs w:val="28"/>
          <w:highlight w:val="none"/>
        </w:rPr>
      </w:pPr>
      <w:r/>
      <w:bookmarkStart w:id="35" w:name="_Toc10470"/>
      <w:r>
        <w:rPr>
          <w:rFonts w:hint="eastAsia" w:ascii="仿宋" w:hAnsi="仿宋" w:eastAsia="仿宋" w:cs="仿宋"/>
          <w:sz w:val="28"/>
          <w:szCs w:val="28"/>
          <w:highlight w:val="none"/>
        </w:rPr>
        <w:t xml:space="preserve">（1）收款单位名称为：江苏建威建设管理有限公司如皋分公司；</w:t>
      </w:r>
      <w:r/>
    </w:p>
    <w:p>
      <w:pPr>
        <w:ind w:firstLine="560"/>
        <w:spacing w:line="460" w:lineRule="exact"/>
        <w:rPr>
          <w:highlight w:val="none"/>
        </w:rPr>
      </w:pPr>
      <w:r>
        <w:rPr>
          <w:rFonts w:hint="eastAsia" w:ascii="仿宋" w:hAnsi="仿宋" w:eastAsia="仿宋" w:cs="仿宋"/>
          <w:sz w:val="28"/>
          <w:szCs w:val="28"/>
          <w:highlight w:val="none"/>
        </w:rPr>
        <w:t xml:space="preserve">（2）账户号码：</w:t>
      </w:r>
      <w:r>
        <w:rPr>
          <w:rFonts w:hint="eastAsia" w:ascii="仿宋" w:hAnsi="仿宋" w:eastAsia="仿宋"/>
          <w:sz w:val="28"/>
          <w:szCs w:val="28"/>
          <w:highlight w:val="none"/>
        </w:rPr>
        <w:t xml:space="preserve">50380188000109368</w:t>
      </w:r>
      <w:r>
        <w:rPr>
          <w:rFonts w:hint="eastAsia" w:ascii="仿宋" w:hAnsi="仿宋" w:eastAsia="仿宋" w:cs="仿宋"/>
          <w:sz w:val="28"/>
          <w:szCs w:val="28"/>
          <w:highlight w:val="none"/>
        </w:rPr>
        <w:t xml:space="preserve">；</w:t>
      </w:r>
      <w:r/>
    </w:p>
    <w:p>
      <w:pPr>
        <w:ind w:firstLine="560"/>
        <w:spacing w:line="460" w:lineRule="exact"/>
        <w:rPr>
          <w:rFonts w:eastAsia="仿宋"/>
          <w:highlight w:val="none"/>
        </w:rPr>
      </w:pPr>
      <w:r>
        <w:rPr>
          <w:rFonts w:hint="eastAsia" w:ascii="仿宋" w:hAnsi="仿宋" w:eastAsia="仿宋" w:cs="仿宋"/>
          <w:sz w:val="28"/>
          <w:szCs w:val="28"/>
          <w:highlight w:val="none"/>
        </w:rPr>
        <w:t xml:space="preserve">（3）开户行：</w:t>
      </w:r>
      <w:r>
        <w:rPr>
          <w:rFonts w:hint="eastAsia" w:ascii="仿宋" w:hAnsi="仿宋" w:eastAsia="仿宋"/>
          <w:sz w:val="28"/>
          <w:szCs w:val="28"/>
          <w:highlight w:val="none"/>
        </w:rPr>
        <w:t xml:space="preserve">江苏银行如皋支行。</w:t>
      </w:r>
      <w:bookmarkEnd w:id="35"/>
      <w:r/>
      <w:r/>
    </w:p>
    <w:p>
      <w:pPr>
        <w:pStyle w:val="860"/>
        <w:rPr>
          <w:highlight w:val="none"/>
        </w:rPr>
      </w:pPr>
      <w:r>
        <w:rPr>
          <w:rFonts w:ascii="方正小标宋简体" w:eastAsia="方正小标宋简体"/>
          <w:highlight w:val="none"/>
        </w:rPr>
        <w:br w:type="page" w:clear="all"/>
      </w:r>
      <w:bookmarkEnd w:id="4"/>
      <w:r/>
      <w:r/>
    </w:p>
    <w:p>
      <w:pPr>
        <w:pStyle w:val="895"/>
        <w:ind w:firstLine="0"/>
        <w:jc w:val="center"/>
        <w:spacing w:before="0" w:after="0" w:line="460" w:lineRule="exact"/>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第3章 采购需求</w:t>
      </w:r>
      <w:r/>
    </w:p>
    <w:p>
      <w:pPr>
        <w:ind w:firstLine="562"/>
        <w:jc w:val="center"/>
        <w:spacing w:line="46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95"/>
        <w:ind w:firstLine="562"/>
        <w:spacing w:before="0" w:after="0" w:line="460" w:lineRule="exact"/>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460" w:lineRule="exact"/>
        <w:rPr>
          <w:rFonts w:eastAsia="仿宋_GB2312" w:cs="仿宋_GB2312"/>
          <w:sz w:val="32"/>
          <w:szCs w:val="32"/>
          <w:highlight w:val="none"/>
        </w:rPr>
      </w:pPr>
      <w:r>
        <w:rPr>
          <w:rFonts w:hint="eastAsia" w:ascii="仿宋" w:hAnsi="仿宋" w:eastAsia="仿宋"/>
          <w:sz w:val="28"/>
          <w:szCs w:val="28"/>
          <w:highlight w:val="none"/>
        </w:rPr>
        <w:t xml:space="preserve">如皋市第二轮生物多样性本底调查服务项目</w:t>
      </w:r>
      <w:r/>
    </w:p>
    <w:p>
      <w:pPr>
        <w:numPr>
          <w:ilvl w:val="0"/>
          <w:numId w:val="1"/>
        </w:num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采购内容</w:t>
      </w:r>
      <w:r/>
    </w:p>
    <w:p>
      <w:pPr>
        <w:ind w:firstLine="560"/>
        <w:spacing w:line="4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依据《生物多样性观测技术导则》系列文件和《关于开展生物多样性本底调查试点工作的通知》（苏环办〔2017〕315号）及其附件的相关调查技术规定，如皋市全域生物多样性重点、热点样区，系统开展生物多样性本底调查工作。</w:t>
      </w:r>
      <w:r/>
    </w:p>
    <w:p>
      <w:pPr>
        <w:numPr>
          <w:ilvl w:val="0"/>
          <w:numId w:val="1"/>
        </w:num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服务要求</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（一）服务内容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依据《省生态环境厅关于印发《江苏省新一轮生物多样性调查工作方案》的通知》</w:t>
      </w:r>
      <w:bookmarkStart w:id="36" w:name="_Hlk225008251"/>
      <w:r>
        <w:rPr>
          <w:rFonts w:hint="eastAsia" w:ascii="仿宋" w:hAnsi="仿宋" w:eastAsia="仿宋"/>
          <w:sz w:val="28"/>
          <w:szCs w:val="28"/>
          <w:highlight w:val="none"/>
        </w:rPr>
        <w:t xml:space="preserve">《江苏省新一轮生物多样性本底调查技术要求（试行）》</w:t>
      </w:r>
      <w:bookmarkEnd w:id="36"/>
      <w:r>
        <w:rPr>
          <w:rFonts w:hint="eastAsia" w:ascii="仿宋" w:hAnsi="仿宋" w:eastAsia="仿宋"/>
          <w:sz w:val="28"/>
          <w:szCs w:val="28"/>
          <w:highlight w:val="none"/>
        </w:rPr>
        <w:t xml:space="preserve">等调查要求，组织开展如皋市新一轮生物多样性本底调查工作，调查内容包括生态系统多样性和物种多样性。生态系统多样性方面，综合运用遥感解译、无人机技术与现场勘查等方法，掌握生态</w:t>
      </w:r>
      <w:r>
        <w:rPr>
          <w:rFonts w:hint="eastAsia" w:ascii="仿宋" w:hAnsi="仿宋" w:eastAsia="仿宋"/>
          <w:sz w:val="28"/>
          <w:szCs w:val="28"/>
          <w:highlight w:val="none"/>
        </w:rPr>
        <w:t xml:space="preserve">系统类型、面积、组成和分布特征等现状和变化情况；物种多样性方面，聚焦7大类群：大型真菌、地衣和苔藓、陆生维管植物、陆生脊椎动物（两栖动物、爬行动物、鸟类、哺乳动物）、陆生昆虫、大中型土壤动物、淡水水生生物（鱼类、底栖动物、浮游动物、浮游植物、着生藻类、水生维管植物），采用经典形态学、环境DNA、人工智能识别等技术，通过实地调查摸清各类群的种类组成、数量、分布状况、保护现状、受威胁现状等。配合做好上级主管部门有关的质量控制、重要成果科普宣传、522国际生物多样性日（2026、2027年度）科普活动等技术工作。</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（二）提交成果</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1.《如皋市生物多样性本底调查实施方案》；</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2.《如皋市生物多样性本底调查与编目工作报告》；</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3.《如皋市生物多样性本底调查与编目技术报告》；</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4.《如皋市生物多样性本底调查与编目数据报告》；</w:t>
      </w:r>
      <w:r/>
    </w:p>
    <w:p>
      <w:pPr>
        <w:ind w:firstLine="560"/>
        <w:spacing w:line="4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5.如皋市野外调查相关成果数据，包括物种电子标本、工作照片、生境照片、调查轨迹、结果数据表、现场调查记录表，以上数据需满足《江苏省新一轮生物多样性本底调查技术要求（试行）》质量要求。</w:t>
      </w:r>
      <w:r/>
    </w:p>
    <w:p>
      <w:pPr>
        <w:pStyle w:val="876"/>
        <w:ind w:firstLine="567"/>
        <w:spacing w:before="0" w:beforeAutospacing="0" w:after="0" w:afterAutospacing="0" w:line="500" w:lineRule="exact"/>
        <w:shd w:val="clear" w:color="auto" w:fill="ffffff"/>
        <w:rPr>
          <w:rFonts w:hint="default" w:ascii="仿宋" w:hAnsi="仿宋" w:eastAsia="仿宋"/>
          <w:b/>
          <w:bCs/>
          <w:sz w:val="28"/>
          <w:szCs w:val="28"/>
          <w:highlight w:val="none"/>
          <w:lang w:val="en-US" w:eastAsia="zh-CN"/>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三）基本设备要求：</w:t>
      </w:r>
      <w:r/>
    </w:p>
    <w:tbl>
      <w:tblPr>
        <w:tblStyle w:val="877"/>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3484"/>
        <w:gridCol w:w="1532"/>
        <w:gridCol w:w="2871"/>
      </w:tblGrid>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序号</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设备名称</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数量</w:t>
            </w:r>
            <w:r/>
          </w:p>
        </w:tc>
        <w:tc>
          <w:tcPr>
            <w:tcW w:w="149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备注</w:t>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1</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无人机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2</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红外相机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5台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微单相机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lang w:eastAsia="zh-CN"/>
              </w:rPr>
            </w:pPr>
            <w:r>
              <w:rPr>
                <w:rFonts w:hint="eastAsia" w:ascii="仿宋" w:hAnsi="仿宋" w:eastAsia="仿宋" w:cs="Times New Roman"/>
                <w:b/>
                <w:bCs/>
                <w:sz w:val="28"/>
                <w:szCs w:val="28"/>
                <w:highlight w:val="none"/>
                <w:lang w:eastAsia="zh-CN"/>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4</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单筒或双筒望远镜</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5台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5</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显微镜</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6台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6</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声纹采集仪</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1台</w:t>
            </w:r>
            <w:r/>
          </w:p>
        </w:tc>
        <w:tc>
          <w:tcPr>
            <w:tcW w:w="149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带有自动降噪功能，有声音时触发录制</w:t>
            </w:r>
            <w:r/>
          </w:p>
        </w:tc>
      </w:tr>
    </w:tbl>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设备方面：①如供应商为设备制造商的须提供库存设备清单；②如供应商为非设备制造商的需提供以下证明材料：已经购买设备的须提供购置发票或采购合同扫描件；已经租赁的，提供租赁合同扫描件和租赁费支付证明材料；③暂未购买或租赁的须提供承诺书，承诺成交后提供上述设备服务于本项目。</w:t>
      </w:r>
      <w:r/>
    </w:p>
    <w:p>
      <w:pPr>
        <w:ind w:firstLine="562"/>
        <w:jc w:val="left"/>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（四）技术要求：</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①具备鸟类人工智能识别观测技术。</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②具备江苏省生物多样性物种名录数据库，涵盖鸟类、陆生维管、陆生脊椎、陆生昆虫、水生生物等。</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③具备对物种的数据统计管理能力，能按照调查地点、调查时间、调查类别等多种方式统计。</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注：提供设备、证书、实操界面等相关证明材料上传，未按要求提供不得分。</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四、服务标准</w:t>
      </w:r>
      <w:r/>
    </w:p>
    <w:p>
      <w:pPr>
        <w:ind w:firstLine="560"/>
        <w:spacing w:line="460" w:lineRule="exact"/>
        <w:rPr>
          <w:rFonts w:ascii="仿宋" w:hAnsi="仿宋" w:eastAsia="仿宋"/>
          <w:sz w:val="28"/>
          <w:szCs w:val="28"/>
          <w:highlight w:val="none"/>
        </w:rPr>
      </w:pPr>
      <w:r/>
      <w:bookmarkStart w:id="37" w:name="_Toc206675388"/>
      <w:r>
        <w:rPr>
          <w:rFonts w:hint="eastAsia" w:ascii="仿宋" w:hAnsi="仿宋" w:eastAsia="仿宋"/>
          <w:sz w:val="28"/>
          <w:szCs w:val="28"/>
          <w:highlight w:val="none"/>
        </w:rPr>
        <w:t xml:space="preserve">（一）工作</w:t>
      </w:r>
      <w:bookmarkEnd w:id="37"/>
      <w:r>
        <w:rPr>
          <w:rFonts w:hint="eastAsia" w:ascii="仿宋" w:hAnsi="仿宋" w:eastAsia="仿宋"/>
          <w:sz w:val="28"/>
          <w:szCs w:val="28"/>
          <w:highlight w:val="none"/>
        </w:rPr>
        <w:t xml:space="preserve">开展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1.工作小组：为加强项目的组织实施和管理，保障项目质量，成立项目实施工作组、质量管理领导小组、专家技术组等，负责项目具体实施、技术指导和报告编写工作。</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工作保障：响应供应商应负责保障项目正常开展的所有条件和涉及费用。包含且不限于以下几项：野外调查、实验室样品处理及物种鉴定分析、数据汇总和分析、报告编制、专家咨询、会议等涉及的人员、软硬件和各项建设维护费用。</w:t>
      </w:r>
      <w:r/>
    </w:p>
    <w:p>
      <w:pPr>
        <w:ind w:firstLine="560"/>
        <w:spacing w:line="460" w:lineRule="exact"/>
        <w:rPr>
          <w:rFonts w:ascii="仿宋" w:hAnsi="仿宋" w:eastAsia="仿宋"/>
          <w:sz w:val="28"/>
          <w:szCs w:val="28"/>
          <w:highlight w:val="none"/>
        </w:rPr>
      </w:pPr>
      <w:r/>
      <w:bookmarkStart w:id="38" w:name="_Toc206675389"/>
      <w:r>
        <w:rPr>
          <w:rFonts w:hint="eastAsia" w:ascii="仿宋" w:hAnsi="仿宋" w:eastAsia="仿宋"/>
          <w:sz w:val="28"/>
          <w:szCs w:val="28"/>
          <w:highlight w:val="none"/>
        </w:rPr>
        <w:t xml:space="preserve">（二）时间安排</w:t>
      </w:r>
      <w:bookmarkEnd w:id="38"/>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第一时段：实施方案和资料收集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一是根据国家、江苏省最新的技术规范、标准和要求，制定完善的本底调查实施方案，调查方案应满足江苏省生态环境厅最新要求。二是根据工作方案启动调查摸底工作，排定详细工作计划，启动前期野外勘察工作。对如皋市第一轮生物多样性本底调查数据成果进行汇集梳理，形成本底基准数据成果。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第二时段：野外调查阶段</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按照实施方案和技术规范选择合适的时间组织开展野生维管植物、大型哺乳动物、鸟类、两栖爬行类、大型真菌、地衣苔藓、土壤大型动物等类群及生物多样性传统知识的野外调查工作。同步开展智慧观测设备安装。</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1.陆生维管植物调查：调查时间为春、夏、秋季，全面调查野生维管植物，调查次数不少于3次。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2.大型哺乳动物调查：调查时间为常年观测，设置不少于1年的红外相机观测周期。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3.鸟类调查：调查时间为每年的繁殖期、越冬期和迁徙期，具体设置时间为每年的春夏之交、冬季、秋季，调查次数不少于9次。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4.两栖类调查：调查时间分别在每年的繁殖期和非繁殖期进行调查，调查次数不少于3次。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5.爬行类调查：调查时间分别在繁殖前（3-4月）、繁殖期（5-6月）和繁殖后（8-9月）进行，调查次数不少于3次。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6.陆生昆虫调查时间分别在昆虫成虫的发生盛期，春、夏、秋三季各一次。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7.淡水水生生物调查集中于春季和秋季，调查次数不少于2次。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8.大型真菌以夏季和秋季为主，调查次数不少于3次。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9.地衣和苔藓在夏季或秋季，调查次数不少于2次。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10.土壤大型动物在夏季和秋季，各调查1次，共2次。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11.生物多样性传统知识调查主要开展1次整体调查，针对调查结果梳理后进行补充调查1~2次。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第三时段：数据整理及报告编制阶段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完成生物多样性本底调查成果报告的编制和评审验收工作。</w:t>
      </w:r>
      <w:r/>
    </w:p>
    <w:p>
      <w:pPr>
        <w:ind w:firstLine="560"/>
        <w:spacing w:line="460" w:lineRule="exact"/>
        <w:rPr>
          <w:rFonts w:ascii="仿宋" w:hAnsi="仿宋" w:eastAsia="仿宋"/>
          <w:sz w:val="28"/>
          <w:szCs w:val="28"/>
          <w:highlight w:val="none"/>
        </w:rPr>
      </w:pPr>
      <w:r/>
      <w:bookmarkStart w:id="39" w:name="_Toc206675390"/>
      <w:r>
        <w:rPr>
          <w:rFonts w:hint="eastAsia" w:ascii="仿宋" w:hAnsi="仿宋" w:eastAsia="仿宋"/>
          <w:sz w:val="28"/>
          <w:szCs w:val="28"/>
          <w:highlight w:val="none"/>
        </w:rPr>
        <w:t xml:space="preserve">（三）成果提交</w:t>
      </w:r>
      <w:bookmarkEnd w:id="39"/>
      <w:r/>
      <w:r/>
    </w:p>
    <w:p>
      <w:pPr>
        <w:ind w:firstLine="560"/>
        <w:spacing w:line="460" w:lineRule="exact"/>
        <w:rPr>
          <w:rFonts w:ascii="仿宋" w:hAnsi="仿宋" w:eastAsia="仿宋"/>
          <w:sz w:val="28"/>
          <w:szCs w:val="28"/>
          <w:highlight w:val="none"/>
        </w:rPr>
      </w:pPr>
      <w:r/>
      <w:bookmarkStart w:id="40" w:name="_Toc206675391"/>
      <w:r>
        <w:rPr>
          <w:rFonts w:hint="eastAsia" w:ascii="仿宋" w:hAnsi="仿宋" w:eastAsia="仿宋"/>
          <w:sz w:val="28"/>
          <w:szCs w:val="28"/>
          <w:highlight w:val="none"/>
        </w:rPr>
        <w:t xml:space="preserve">1.调查报告编制</w:t>
      </w:r>
      <w:bookmarkEnd w:id="40"/>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基于本项目实施开展的前期资料收集整合和野外样方、样线等调查和监测数据编制项目调查报告，报告主要围绕以下框架及要点开展编制工作：</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（1）项目背景分析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分析项目调查背景，调查现状，调查目标，分析调查过程中涉及的重点问题。</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（2）项目实施概况与过程内容编制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分析项目的基本情况，如项目调查对象，调查内容，调查人员概况，调查分工，调查的时间地点，调查范围，调查经过以及涉及的技术参数等。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（3）项目调查主体技术成果编制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详细说明调查过程中收集到的历史资料和野外调查所得的数据材料，并对调查数据进行分析，得出调查结论。</w:t>
      </w:r>
      <w:r/>
    </w:p>
    <w:p>
      <w:pPr>
        <w:ind w:firstLine="560"/>
        <w:spacing w:line="460" w:lineRule="exact"/>
        <w:rPr>
          <w:rFonts w:ascii="仿宋" w:hAnsi="仿宋" w:eastAsia="仿宋"/>
          <w:sz w:val="28"/>
          <w:szCs w:val="28"/>
          <w:highlight w:val="none"/>
        </w:rPr>
      </w:pPr>
      <w:r/>
      <w:bookmarkStart w:id="41" w:name="_Toc206675392"/>
      <w:r>
        <w:rPr>
          <w:rFonts w:hint="eastAsia" w:ascii="仿宋" w:hAnsi="仿宋" w:eastAsia="仿宋"/>
          <w:sz w:val="28"/>
          <w:szCs w:val="28"/>
          <w:highlight w:val="none"/>
        </w:rPr>
        <w:t xml:space="preserve">2.纸质文本提交</w:t>
      </w:r>
      <w:bookmarkEnd w:id="41"/>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依据项目要求，本次调查结束后将提供如下文本成果：</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针对如皋市生物多样性本底调查，主要成果如下：</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（1）《如皋市生物多样性本底调查实施方案》</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（2）《如皋市生物多样性本底调查与编目工作报告》</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（3）《如皋市生物多样性本底调查与编目技术报告》</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（4）《如皋市生物多样性本底调查与编目数据报告》</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数据和报告提交的纸质盖章件及电子文档（报告为word文档，数据为excel表格，生物多样性专题地图在符合《江苏省县级行政单元生物多样性本底调查与编目调查要求》及江苏省生态环境厅最新要求的地理坐标系和ArcGIS shape 图层要求外，还需支持国家和省最新建设应用标准）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本项目开展所有数据成果版权属采购人所有。</w:t>
      </w:r>
      <w:r/>
    </w:p>
    <w:p>
      <w:pPr>
        <w:ind w:firstLine="560"/>
        <w:spacing w:line="460" w:lineRule="exact"/>
        <w:rPr>
          <w:rFonts w:ascii="黑体" w:hAnsi="黑体" w:eastAsia="黑体"/>
          <w:color w:val="ff0000"/>
          <w:sz w:val="28"/>
          <w:szCs w:val="28"/>
          <w:highlight w:val="none"/>
        </w:rPr>
      </w:pPr>
      <w:r>
        <w:rPr>
          <w:rFonts w:hint="eastAsia" w:ascii="黑体" w:hAnsi="黑体" w:eastAsia="黑体"/>
          <w:sz w:val="28"/>
          <w:szCs w:val="28"/>
          <w:highlight w:val="none"/>
        </w:rPr>
        <w:t xml:space="preserve">五、交货或者服务期限和地点</w:t>
      </w:r>
      <w:r/>
    </w:p>
    <w:p>
      <w:pPr>
        <w:ind w:firstLine="560"/>
        <w:spacing w:line="46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交货或者服务期限：自合同签订之日起至2027年10月30日。</w:t>
      </w:r>
      <w:r/>
    </w:p>
    <w:p>
      <w:pPr>
        <w:ind w:firstLine="560"/>
        <w:spacing w:line="46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地点：根据采购人要求</w:t>
      </w:r>
      <w:r/>
    </w:p>
    <w:p>
      <w:pPr>
        <w:ind w:firstLine="560"/>
        <w:spacing w:line="460" w:lineRule="exact"/>
        <w:rPr>
          <w:sz w:val="24"/>
          <w:highlight w:val="none"/>
        </w:rPr>
        <w:outlineLvl w:val="0"/>
      </w:pPr>
      <w:r>
        <w:rPr>
          <w:rFonts w:hint="eastAsia" w:ascii="黑体" w:hAnsi="黑体" w:eastAsia="黑体"/>
          <w:sz w:val="28"/>
          <w:szCs w:val="28"/>
          <w:highlight w:val="none"/>
        </w:rPr>
        <w:t xml:space="preserve">六、考核方案</w:t>
      </w:r>
      <w:r/>
    </w:p>
    <w:p>
      <w:pPr>
        <w:pStyle w:val="904"/>
        <w:ind w:firstLine="560"/>
        <w:jc w:val="both"/>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成果内容符合相关政策文件及采购人的采购要求。</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七、验收方案</w:t>
      </w:r>
      <w:r/>
    </w:p>
    <w:p>
      <w:pPr>
        <w:ind w:firstLine="560"/>
        <w:spacing w:line="46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采购人根据国家有关规定、招标文件、响应文件以及合同约定的内容组织验收。</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八、付款方式</w:t>
      </w:r>
      <w:r/>
    </w:p>
    <w:p>
      <w:pPr>
        <w:ind w:firstLine="560"/>
        <w:spacing w:line="460" w:lineRule="exact"/>
        <w:rPr>
          <w:rFonts w:ascii="仿宋" w:hAnsi="仿宋" w:eastAsia="仿宋"/>
          <w:color w:val="ff0000"/>
          <w:sz w:val="28"/>
          <w:szCs w:val="28"/>
          <w:highlight w:val="none"/>
        </w:rPr>
        <w:outlineLvl w:val="0"/>
      </w:pPr>
      <w:r>
        <w:rPr>
          <w:rFonts w:hint="eastAsia" w:ascii="仿宋" w:hAnsi="仿宋" w:eastAsia="仿宋"/>
          <w:sz w:val="28"/>
          <w:szCs w:val="28"/>
          <w:highlight w:val="none"/>
        </w:rPr>
        <w:t xml:space="preserve">合同签订后支付合同金额的30%，提交中期进展报告后支付合同金额的40%，完成全部工作经验收通过后付清余款</w:t>
      </w:r>
      <w:r>
        <w:rPr>
          <w:rFonts w:hint="eastAsia" w:eastAsia="仿宋_GB2312" w:cs="仿宋_GB2312"/>
          <w:sz w:val="32"/>
          <w:szCs w:val="32"/>
          <w:highlight w:val="none"/>
        </w:rPr>
        <w:t xml:space="preserve">。</w:t>
      </w:r>
      <w:r/>
    </w:p>
    <w:p>
      <w:pPr>
        <w:ind w:firstLine="560"/>
        <w:spacing w:line="460" w:lineRule="exact"/>
        <w:rPr>
          <w:rFonts w:ascii="仿宋" w:hAnsi="仿宋" w:eastAsia="仿宋"/>
          <w:sz w:val="28"/>
          <w:szCs w:val="28"/>
          <w:highlight w:val="none"/>
        </w:rPr>
        <w:outlineLvl w:val="1"/>
      </w:pPr>
      <w:r/>
      <w:bookmarkStart w:id="42" w:name="_Toc16238"/>
      <w:r>
        <w:rPr>
          <w:rFonts w:hint="eastAsia" w:ascii="黑体" w:hAnsi="黑体" w:eastAsia="黑体"/>
          <w:sz w:val="28"/>
          <w:szCs w:val="28"/>
          <w:highlight w:val="none"/>
        </w:rPr>
        <w:t xml:space="preserve">九、报价要求</w:t>
      </w:r>
      <w:bookmarkEnd w:id="42"/>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人民币报价，报价</w:t>
      </w:r>
      <w:r>
        <w:rPr>
          <w:rFonts w:ascii="仿宋" w:hAnsi="仿宋" w:eastAsia="仿宋"/>
          <w:sz w:val="28"/>
          <w:szCs w:val="28"/>
          <w:highlight w:val="none"/>
        </w:rPr>
        <w:t xml:space="preserve">包含服务期内的人员经费、办公经费、差旅、住宿、专家评审费、税金、采购代理服务等一切与本项目相关的费用。</w:t>
      </w:r>
      <w:r/>
    </w:p>
    <w:p>
      <w:pPr>
        <w:ind w:firstLine="560"/>
        <w:jc w:val="left"/>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供应商应充分了解本项目特点，报价中应充分考虑到一切风险及不可预见性费用，报价中视为已包含此部分因素。报价在合同期内不随市场价格的变化及政策的改变因素而调整。</w:t>
      </w:r>
      <w:r/>
    </w:p>
    <w:p>
      <w:pPr>
        <w:pStyle w:val="8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第4章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项目名称：如皋市第二轮生物多样性本底调查</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项目编号：JSZC-320682-JSJW-C2026-0012</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甲方：南通市如皋生态环境局</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pPr>
      <w:r>
        <w:rPr>
          <w:rFonts w:hint="eastAsia" w:ascii="仿宋" w:hAnsi="仿宋" w:eastAsia="仿宋"/>
          <w:sz w:val="24"/>
          <w:highlight w:val="none"/>
        </w:rPr>
        <w:t xml:space="preserve">（如皋市第二轮生物多样性本底调查）（JSZC-320682-JSJW-C2026-0012）委托（江苏建威建设管理有限公司）进行了政府采购。按照评委会评审推荐、甲方确定乙方为成交单位。现甲乙双方协商同意签订本合同。</w:t>
      </w:r>
      <w:r/>
    </w:p>
    <w:p>
      <w:pPr>
        <w:numPr>
          <w:ilvl w:val="0"/>
          <w:numId w:val="2"/>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1.（JSZC-320682-JSJW-C2026-0012）采购文件；</w:t>
      </w:r>
      <w:r/>
    </w:p>
    <w:p>
      <w:pPr>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4.（××号）中标（成交）通知书；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ascii="仿宋" w:hAnsi="仿宋" w:eastAsia="仿宋"/>
          <w:sz w:val="24"/>
          <w:highlight w:val="none"/>
        </w:rPr>
      </w:pPr>
      <w:r>
        <w:rPr>
          <w:rFonts w:hint="eastAsia" w:ascii="仿宋" w:hAnsi="仿宋" w:eastAsia="仿宋"/>
          <w:sz w:val="24"/>
          <w:highlight w:val="none"/>
        </w:rPr>
        <w:t xml:space="preserve">服务名称：详见合同附件中《服务一览表》  </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本合同执行期内因工作量变化而引起的服务费用的变动，在双方事先协商一致的前提下签订补充合同，但因此而增加的服务费用不得超过原成交金额的10%。</w:t>
      </w:r>
      <w:r/>
    </w:p>
    <w:p>
      <w:pPr>
        <w:numPr>
          <w:ilvl w:val="0"/>
          <w:numId w:val="3"/>
        </w:numPr>
        <w:ind w:left="482"/>
        <w:rPr>
          <w:rFonts w:ascii="仿宋" w:hAnsi="仿宋" w:eastAsia="仿宋"/>
          <w:b/>
          <w:sz w:val="24"/>
          <w:highlight w:val="none"/>
        </w:rPr>
      </w:pPr>
      <w:r>
        <w:rPr>
          <w:rFonts w:hint="eastAsia" w:ascii="仿宋" w:hAnsi="仿宋" w:eastAsia="仿宋"/>
          <w:b/>
          <w:sz w:val="24"/>
          <w:highlight w:val="none"/>
        </w:rPr>
        <w:t xml:space="preserve">服务要求</w:t>
      </w:r>
      <w:r/>
    </w:p>
    <w:p>
      <w:pPr>
        <w:ind w:firstLine="480"/>
        <w:rPr>
          <w:rFonts w:ascii="仿宋" w:hAnsi="仿宋" w:eastAsia="仿宋"/>
          <w:sz w:val="24"/>
          <w:highlight w:val="none"/>
        </w:rPr>
      </w:pPr>
      <w:r>
        <w:rPr>
          <w:rFonts w:hint="eastAsia" w:ascii="仿宋" w:hAnsi="仿宋" w:eastAsia="仿宋"/>
          <w:sz w:val="24"/>
          <w:highlight w:val="none"/>
        </w:rPr>
        <w:t xml:space="preserve">（一）服务内容</w:t>
      </w:r>
      <w:r/>
    </w:p>
    <w:p>
      <w:pPr>
        <w:ind w:firstLine="480"/>
        <w:rPr>
          <w:rFonts w:ascii="仿宋" w:hAnsi="仿宋" w:eastAsia="仿宋"/>
          <w:sz w:val="28"/>
          <w:szCs w:val="28"/>
          <w:highlight w:val="none"/>
        </w:rPr>
      </w:pPr>
      <w:r>
        <w:rPr>
          <w:rFonts w:hint="eastAsia" w:ascii="仿宋" w:hAnsi="仿宋" w:eastAsia="仿宋"/>
          <w:sz w:val="24"/>
          <w:highlight w:val="none"/>
        </w:rPr>
        <w:t xml:space="preserve">依据《省生态环境厅关于印发《江苏省新一轮生物多样性调查工作方案》的通知》《江苏省新一轮生物多样性本底调查技术要求（试行）》等调查要求，组织开展如皋市新一轮生物多样性本底调查工作，调查内容包括生态系统多样性和物种多样性。生态系统多样性方面，综合运用遥感解译、无人机技术与现场勘查等方法，掌握生态</w:t>
      </w:r>
      <w:r>
        <w:rPr>
          <w:rFonts w:hint="eastAsia" w:ascii="仿宋" w:hAnsi="仿宋" w:eastAsia="仿宋"/>
          <w:sz w:val="24"/>
          <w:highlight w:val="none"/>
        </w:rPr>
        <w:t xml:space="preserve">系统类型、面积、组成和分布特征等现状和变化情况；物种多样性方面，聚焦7大类群：大型真菌、地衣和苔藓、陆生维管植物、陆生脊椎动物（两栖动物、爬行动物、鸟类、哺乳动物）、陆生昆虫、大中型土壤动物、淡水水生生物（鱼类、底栖动物、浮游动物、浮游植物、着生藻类、水生维管植物），采用经典形态学、环境DNA、人工智能识别等技术，通过实地调查摸清各类群的种类组成、数量、分布状况、保护现状、受威胁现状等。配合做好上级主管部门有关的质量控制、重要成果科普宣传、522国际生物多样性日（2026、2027年度）科普活动等技术工作。</w:t>
      </w:r>
      <w:r/>
    </w:p>
    <w:p>
      <w:pPr>
        <w:ind w:firstLine="480"/>
        <w:rPr>
          <w:rFonts w:ascii="仿宋" w:hAnsi="仿宋" w:eastAsia="仿宋"/>
          <w:sz w:val="24"/>
          <w:highlight w:val="none"/>
        </w:rPr>
      </w:pPr>
      <w:r>
        <w:rPr>
          <w:rFonts w:hint="eastAsia" w:ascii="仿宋" w:hAnsi="仿宋" w:eastAsia="仿宋"/>
          <w:sz w:val="24"/>
          <w:highlight w:val="none"/>
        </w:rPr>
        <w:t xml:space="preserve">（二）提交成果</w:t>
      </w:r>
      <w:r/>
    </w:p>
    <w:p>
      <w:pPr>
        <w:ind w:firstLine="480"/>
        <w:rPr>
          <w:rFonts w:ascii="仿宋" w:hAnsi="仿宋" w:eastAsia="仿宋"/>
          <w:sz w:val="24"/>
          <w:highlight w:val="none"/>
        </w:rPr>
      </w:pPr>
      <w:r>
        <w:rPr>
          <w:rFonts w:hint="eastAsia" w:ascii="仿宋" w:hAnsi="仿宋" w:eastAsia="仿宋"/>
          <w:sz w:val="24"/>
          <w:highlight w:val="none"/>
        </w:rPr>
        <w:t xml:space="preserve">1.《如皋市生物多样性本底调查实施方案》；</w:t>
      </w:r>
      <w:r/>
    </w:p>
    <w:p>
      <w:pPr>
        <w:ind w:firstLine="480"/>
        <w:rPr>
          <w:rFonts w:ascii="仿宋" w:hAnsi="仿宋" w:eastAsia="仿宋"/>
          <w:sz w:val="24"/>
          <w:highlight w:val="none"/>
        </w:rPr>
      </w:pPr>
      <w:r>
        <w:rPr>
          <w:rFonts w:hint="eastAsia" w:ascii="仿宋" w:hAnsi="仿宋" w:eastAsia="仿宋"/>
          <w:sz w:val="24"/>
          <w:highlight w:val="none"/>
        </w:rPr>
        <w:t xml:space="preserve">2.《如皋市生物多样性本底调查与编目工作报告》；</w:t>
      </w:r>
      <w:r/>
    </w:p>
    <w:p>
      <w:pPr>
        <w:ind w:firstLine="480"/>
        <w:rPr>
          <w:rFonts w:ascii="仿宋" w:hAnsi="仿宋" w:eastAsia="仿宋"/>
          <w:sz w:val="24"/>
          <w:highlight w:val="none"/>
        </w:rPr>
      </w:pPr>
      <w:r>
        <w:rPr>
          <w:rFonts w:hint="eastAsia" w:ascii="仿宋" w:hAnsi="仿宋" w:eastAsia="仿宋"/>
          <w:sz w:val="24"/>
          <w:highlight w:val="none"/>
        </w:rPr>
        <w:t xml:space="preserve">3.《如皋市生物多样性本底调查与编目技术报告》；</w:t>
      </w:r>
      <w:r/>
    </w:p>
    <w:p>
      <w:pPr>
        <w:ind w:firstLine="480"/>
        <w:rPr>
          <w:rFonts w:ascii="仿宋" w:hAnsi="仿宋" w:eastAsia="仿宋"/>
          <w:sz w:val="24"/>
          <w:highlight w:val="none"/>
        </w:rPr>
      </w:pPr>
      <w:r>
        <w:rPr>
          <w:rFonts w:hint="eastAsia" w:ascii="仿宋" w:hAnsi="仿宋" w:eastAsia="仿宋"/>
          <w:sz w:val="24"/>
          <w:highlight w:val="none"/>
        </w:rPr>
        <w:t xml:space="preserve">4.《如皋市生物多样性本底调查与编目数据报告》；</w:t>
      </w:r>
      <w:r/>
    </w:p>
    <w:p>
      <w:pPr>
        <w:ind w:firstLine="480"/>
        <w:rPr>
          <w:rFonts w:ascii="仿宋" w:hAnsi="仿宋" w:eastAsia="仿宋"/>
          <w:sz w:val="24"/>
          <w:highlight w:val="none"/>
        </w:rPr>
      </w:pPr>
      <w:r>
        <w:rPr>
          <w:rFonts w:hint="eastAsia" w:ascii="仿宋" w:hAnsi="仿宋" w:eastAsia="仿宋"/>
          <w:sz w:val="24"/>
          <w:highlight w:val="none"/>
        </w:rPr>
        <w:t xml:space="preserve">5.如皋市野外调查相关成果数据，包括物种电子标本、工作照片、生境照片、调查轨迹、结果数据表、现场调查记录表，以上数据需满足《江苏省新一轮生物多样性本底调查技术要求（试行）》质量要求。</w:t>
      </w:r>
      <w:r/>
    </w:p>
    <w:p>
      <w:pPr>
        <w:numPr>
          <w:ilvl w:val="0"/>
          <w:numId w:val="3"/>
        </w:numPr>
        <w:ind w:left="482"/>
        <w:rPr>
          <w:rFonts w:ascii="仿宋" w:hAnsi="仿宋" w:eastAsia="仿宋"/>
          <w:b/>
          <w:sz w:val="24"/>
          <w:highlight w:val="none"/>
        </w:rPr>
      </w:pPr>
      <w:r>
        <w:rPr>
          <w:rFonts w:hint="eastAsia" w:ascii="仿宋" w:hAnsi="仿宋" w:eastAsia="仿宋"/>
          <w:b/>
          <w:sz w:val="24"/>
          <w:highlight w:val="none"/>
        </w:rPr>
        <w:t xml:space="preserve">服务标准</w:t>
      </w:r>
      <w:r/>
    </w:p>
    <w:p>
      <w:pPr>
        <w:ind w:firstLine="480"/>
        <w:rPr>
          <w:rFonts w:ascii="仿宋" w:hAnsi="仿宋" w:eastAsia="仿宋"/>
          <w:sz w:val="24"/>
          <w:highlight w:val="none"/>
        </w:rPr>
      </w:pPr>
      <w:r>
        <w:rPr>
          <w:rFonts w:hint="eastAsia" w:ascii="仿宋" w:hAnsi="仿宋" w:eastAsia="仿宋"/>
          <w:sz w:val="24"/>
          <w:highlight w:val="none"/>
        </w:rPr>
        <w:t xml:space="preserve">（一）工作开展</w:t>
      </w:r>
      <w:r/>
    </w:p>
    <w:p>
      <w:pPr>
        <w:ind w:firstLine="480"/>
        <w:rPr>
          <w:rFonts w:ascii="仿宋" w:hAnsi="仿宋" w:eastAsia="仿宋"/>
          <w:sz w:val="24"/>
          <w:highlight w:val="none"/>
        </w:rPr>
      </w:pPr>
      <w:r>
        <w:rPr>
          <w:rFonts w:hint="eastAsia" w:ascii="仿宋" w:hAnsi="仿宋" w:eastAsia="仿宋"/>
          <w:sz w:val="24"/>
          <w:highlight w:val="none"/>
        </w:rPr>
        <w:t xml:space="preserve">1.工作小组：为加强项目的组织实施和管理，保障项目质量，成立项目实施工作组、质量管理领导小组、专家技术组等，负责项目具体实施、技术指导和报告编写工作。</w:t>
      </w:r>
      <w:r/>
    </w:p>
    <w:p>
      <w:pPr>
        <w:ind w:firstLine="480"/>
        <w:rPr>
          <w:rFonts w:ascii="仿宋" w:hAnsi="仿宋" w:eastAsia="仿宋"/>
          <w:sz w:val="24"/>
          <w:highlight w:val="none"/>
        </w:rPr>
      </w:pPr>
      <w:r>
        <w:rPr>
          <w:rFonts w:hint="eastAsia" w:ascii="仿宋" w:hAnsi="仿宋" w:eastAsia="仿宋"/>
          <w:sz w:val="24"/>
          <w:highlight w:val="none"/>
        </w:rPr>
        <w:t xml:space="preserve">2.工作保障：乙方应负责保障项目正常开展的所有条件和涉及费用。包含且不限于以下几项：野外调查、实验室样品处理及物种鉴定分析、数据汇总和分析、报告编制、专家咨询、会议等涉及的人员、软硬件和各项建设维护费用。</w:t>
      </w:r>
      <w:r/>
    </w:p>
    <w:p>
      <w:pPr>
        <w:ind w:firstLine="480"/>
        <w:rPr>
          <w:rFonts w:ascii="仿宋" w:hAnsi="仿宋" w:eastAsia="仿宋"/>
          <w:sz w:val="24"/>
          <w:highlight w:val="none"/>
        </w:rPr>
      </w:pPr>
      <w:r>
        <w:rPr>
          <w:rFonts w:hint="eastAsia" w:ascii="仿宋" w:hAnsi="仿宋" w:eastAsia="仿宋"/>
          <w:sz w:val="24"/>
          <w:highlight w:val="none"/>
        </w:rPr>
        <w:t xml:space="preserve">（二）时间安排</w:t>
      </w:r>
      <w:r/>
    </w:p>
    <w:p>
      <w:pPr>
        <w:ind w:firstLine="480"/>
        <w:rPr>
          <w:rFonts w:ascii="仿宋" w:hAnsi="仿宋" w:eastAsia="仿宋"/>
          <w:sz w:val="24"/>
          <w:highlight w:val="none"/>
        </w:rPr>
      </w:pPr>
      <w:r>
        <w:rPr>
          <w:rFonts w:hint="eastAsia" w:ascii="仿宋" w:hAnsi="仿宋" w:eastAsia="仿宋"/>
          <w:sz w:val="24"/>
          <w:highlight w:val="none"/>
        </w:rPr>
        <w:t xml:space="preserve">第一时段：实施方案和资料收集</w:t>
      </w:r>
      <w:r/>
    </w:p>
    <w:p>
      <w:pPr>
        <w:ind w:firstLine="480"/>
        <w:rPr>
          <w:rFonts w:ascii="仿宋" w:hAnsi="仿宋" w:eastAsia="仿宋"/>
          <w:sz w:val="24"/>
          <w:highlight w:val="none"/>
        </w:rPr>
      </w:pPr>
      <w:r>
        <w:rPr>
          <w:rFonts w:hint="eastAsia" w:ascii="仿宋" w:hAnsi="仿宋" w:eastAsia="仿宋"/>
          <w:sz w:val="24"/>
          <w:highlight w:val="none"/>
        </w:rPr>
        <w:t xml:space="preserve">一是根据国家、江苏省最新的技术规范、标准和要求，制定完善的本底调查实施方案，调查方案应满足江苏省生态环境厅最新要求。二是根据工作方案启动调查摸底工作，排定详细工作计划，启动前期野外勘察工作。对如皋市第一轮生物多样性本底调查数据成果进行汇集梳理，形成本底基准数据成果。 </w:t>
      </w:r>
      <w:r/>
    </w:p>
    <w:p>
      <w:pPr>
        <w:ind w:firstLine="480"/>
        <w:rPr>
          <w:rFonts w:ascii="仿宋" w:hAnsi="仿宋" w:eastAsia="仿宋"/>
          <w:sz w:val="24"/>
          <w:highlight w:val="none"/>
        </w:rPr>
      </w:pPr>
      <w:r>
        <w:rPr>
          <w:rFonts w:hint="eastAsia" w:ascii="仿宋" w:hAnsi="仿宋" w:eastAsia="仿宋"/>
          <w:sz w:val="24"/>
          <w:highlight w:val="none"/>
        </w:rPr>
        <w:t xml:space="preserve">第二时段：野外调查阶段</w:t>
      </w:r>
      <w:r/>
    </w:p>
    <w:p>
      <w:pPr>
        <w:ind w:firstLine="480"/>
        <w:rPr>
          <w:rFonts w:ascii="仿宋" w:hAnsi="仿宋" w:eastAsia="仿宋"/>
          <w:sz w:val="24"/>
          <w:highlight w:val="none"/>
        </w:rPr>
      </w:pPr>
      <w:r>
        <w:rPr>
          <w:rFonts w:hint="eastAsia" w:ascii="仿宋" w:hAnsi="仿宋" w:eastAsia="仿宋"/>
          <w:sz w:val="24"/>
          <w:highlight w:val="none"/>
        </w:rPr>
        <w:t xml:space="preserve">按照实施方案和技术规范选择合适的时间组织开展野生维管植物、大型哺乳动物、鸟类、两栖爬行类、大型真菌、地衣苔藓、土壤大型动物等类群及生物多样性传统知识的野外调查工作。同步开展智慧观测设备安装。</w:t>
      </w:r>
      <w:r/>
    </w:p>
    <w:p>
      <w:pPr>
        <w:ind w:firstLine="480"/>
        <w:rPr>
          <w:rFonts w:ascii="仿宋" w:hAnsi="仿宋" w:eastAsia="仿宋"/>
          <w:sz w:val="24"/>
          <w:highlight w:val="none"/>
        </w:rPr>
      </w:pPr>
      <w:r>
        <w:rPr>
          <w:rFonts w:hint="eastAsia" w:ascii="仿宋" w:hAnsi="仿宋" w:eastAsia="仿宋"/>
          <w:sz w:val="24"/>
          <w:highlight w:val="none"/>
        </w:rPr>
        <w:t xml:space="preserve">1.陆生维管植物调查：调查时间为春、夏、秋季，全面调查野生维管植物，调查次数不少于3次。 </w:t>
      </w:r>
      <w:r/>
    </w:p>
    <w:p>
      <w:pPr>
        <w:ind w:firstLine="480"/>
        <w:rPr>
          <w:rFonts w:ascii="仿宋" w:hAnsi="仿宋" w:eastAsia="仿宋"/>
          <w:sz w:val="24"/>
          <w:highlight w:val="none"/>
        </w:rPr>
      </w:pPr>
      <w:r>
        <w:rPr>
          <w:rFonts w:hint="eastAsia" w:ascii="仿宋" w:hAnsi="仿宋" w:eastAsia="仿宋"/>
          <w:sz w:val="24"/>
          <w:highlight w:val="none"/>
        </w:rPr>
        <w:t xml:space="preserve">2.大型哺乳动物调查：调查时间为常年观测，设置不少于1年的红外相机观测周期。 </w:t>
      </w:r>
      <w:r/>
    </w:p>
    <w:p>
      <w:pPr>
        <w:ind w:firstLine="480"/>
        <w:rPr>
          <w:rFonts w:ascii="仿宋" w:hAnsi="仿宋" w:eastAsia="仿宋"/>
          <w:sz w:val="24"/>
          <w:highlight w:val="none"/>
        </w:rPr>
      </w:pPr>
      <w:r>
        <w:rPr>
          <w:rFonts w:hint="eastAsia" w:ascii="仿宋" w:hAnsi="仿宋" w:eastAsia="仿宋"/>
          <w:sz w:val="24"/>
          <w:highlight w:val="none"/>
        </w:rPr>
        <w:t xml:space="preserve">3.鸟类调查：调查时间为每年的繁殖期、越冬期和迁徙期，具体设置时间为每年的春夏之交、冬季、秋季，调查次数不少于9次。 </w:t>
      </w:r>
      <w:r/>
    </w:p>
    <w:p>
      <w:pPr>
        <w:ind w:firstLine="480"/>
        <w:rPr>
          <w:rFonts w:ascii="仿宋" w:hAnsi="仿宋" w:eastAsia="仿宋"/>
          <w:sz w:val="24"/>
          <w:highlight w:val="none"/>
        </w:rPr>
      </w:pPr>
      <w:r>
        <w:rPr>
          <w:rFonts w:hint="eastAsia" w:ascii="仿宋" w:hAnsi="仿宋" w:eastAsia="仿宋"/>
          <w:sz w:val="24"/>
          <w:highlight w:val="none"/>
        </w:rPr>
        <w:t xml:space="preserve">4.两栖类调查：调查时间分别在每年的繁殖期和非繁殖期进行调查，调查次数不少于3次。</w:t>
      </w:r>
      <w:r/>
    </w:p>
    <w:p>
      <w:pPr>
        <w:ind w:firstLine="480"/>
        <w:rPr>
          <w:rFonts w:ascii="仿宋" w:hAnsi="仿宋" w:eastAsia="仿宋"/>
          <w:sz w:val="24"/>
          <w:highlight w:val="none"/>
        </w:rPr>
      </w:pPr>
      <w:r>
        <w:rPr>
          <w:rFonts w:hint="eastAsia" w:ascii="仿宋" w:hAnsi="仿宋" w:eastAsia="仿宋"/>
          <w:sz w:val="24"/>
          <w:highlight w:val="none"/>
        </w:rPr>
        <w:t xml:space="preserve">5.爬行类调查：调查时间分别在繁殖前（3-4月）、繁殖期（5-6月）和繁殖后（8-9月）进行，调查次数不少于3次。</w:t>
      </w:r>
      <w:r/>
    </w:p>
    <w:p>
      <w:pPr>
        <w:ind w:firstLine="480"/>
        <w:rPr>
          <w:rFonts w:ascii="仿宋" w:hAnsi="仿宋" w:eastAsia="仿宋"/>
          <w:sz w:val="24"/>
          <w:highlight w:val="none"/>
        </w:rPr>
      </w:pPr>
      <w:r>
        <w:rPr>
          <w:rFonts w:hint="eastAsia" w:ascii="仿宋" w:hAnsi="仿宋" w:eastAsia="仿宋"/>
          <w:sz w:val="24"/>
          <w:highlight w:val="none"/>
        </w:rPr>
        <w:t xml:space="preserve">6.陆生昆虫调查时间分别在昆虫成虫的发生盛期，春、夏、秋三季各一次。</w:t>
      </w:r>
      <w:r/>
    </w:p>
    <w:p>
      <w:pPr>
        <w:ind w:firstLine="480"/>
        <w:rPr>
          <w:rFonts w:ascii="仿宋" w:hAnsi="仿宋" w:eastAsia="仿宋"/>
          <w:sz w:val="24"/>
          <w:highlight w:val="none"/>
        </w:rPr>
      </w:pPr>
      <w:r>
        <w:rPr>
          <w:rFonts w:hint="eastAsia" w:ascii="仿宋" w:hAnsi="仿宋" w:eastAsia="仿宋"/>
          <w:sz w:val="24"/>
          <w:highlight w:val="none"/>
        </w:rPr>
        <w:t xml:space="preserve">7.淡水水生生物调查集中于春季和秋季，调查次数不少于2次。</w:t>
      </w:r>
      <w:r/>
    </w:p>
    <w:p>
      <w:pPr>
        <w:ind w:firstLine="480"/>
        <w:rPr>
          <w:rFonts w:ascii="仿宋" w:hAnsi="仿宋" w:eastAsia="仿宋"/>
          <w:sz w:val="24"/>
          <w:highlight w:val="none"/>
        </w:rPr>
      </w:pPr>
      <w:r>
        <w:rPr>
          <w:rFonts w:hint="eastAsia" w:ascii="仿宋" w:hAnsi="仿宋" w:eastAsia="仿宋"/>
          <w:sz w:val="24"/>
          <w:highlight w:val="none"/>
        </w:rPr>
        <w:t xml:space="preserve">8.大型真菌以夏季和秋季为主，调查次数不少于3次。</w:t>
      </w:r>
      <w:r/>
    </w:p>
    <w:p>
      <w:pPr>
        <w:ind w:firstLine="480"/>
        <w:rPr>
          <w:rFonts w:ascii="仿宋" w:hAnsi="仿宋" w:eastAsia="仿宋"/>
          <w:sz w:val="24"/>
          <w:highlight w:val="none"/>
        </w:rPr>
      </w:pPr>
      <w:r>
        <w:rPr>
          <w:rFonts w:hint="eastAsia" w:ascii="仿宋" w:hAnsi="仿宋" w:eastAsia="仿宋"/>
          <w:sz w:val="24"/>
          <w:highlight w:val="none"/>
        </w:rPr>
        <w:t xml:space="preserve">9.地衣和苔藓在夏季或秋季，调查次数不少于2次。</w:t>
      </w:r>
      <w:r/>
    </w:p>
    <w:p>
      <w:pPr>
        <w:ind w:firstLine="480"/>
        <w:rPr>
          <w:rFonts w:ascii="仿宋" w:hAnsi="仿宋" w:eastAsia="仿宋"/>
          <w:sz w:val="24"/>
          <w:highlight w:val="none"/>
        </w:rPr>
      </w:pPr>
      <w:r>
        <w:rPr>
          <w:rFonts w:hint="eastAsia" w:ascii="仿宋" w:hAnsi="仿宋" w:eastAsia="仿宋"/>
          <w:sz w:val="24"/>
          <w:highlight w:val="none"/>
        </w:rPr>
        <w:t xml:space="preserve">10.土壤大型动物在夏季和秋季，各调查1次，共2次。</w:t>
      </w:r>
      <w:r/>
    </w:p>
    <w:p>
      <w:pPr>
        <w:ind w:firstLine="480"/>
        <w:rPr>
          <w:rFonts w:ascii="仿宋" w:hAnsi="仿宋" w:eastAsia="仿宋"/>
          <w:sz w:val="24"/>
          <w:highlight w:val="none"/>
        </w:rPr>
      </w:pPr>
      <w:r>
        <w:rPr>
          <w:rFonts w:hint="eastAsia" w:ascii="仿宋" w:hAnsi="仿宋" w:eastAsia="仿宋"/>
          <w:sz w:val="24"/>
          <w:highlight w:val="none"/>
        </w:rPr>
        <w:t xml:space="preserve">11.生物多样性传统知识调查主要开展1次整体调查，针对调查结果梳理后进行补充调查1~2次。</w:t>
      </w:r>
      <w:r/>
    </w:p>
    <w:p>
      <w:pPr>
        <w:ind w:firstLine="480"/>
        <w:rPr>
          <w:rFonts w:ascii="仿宋" w:hAnsi="仿宋" w:eastAsia="仿宋"/>
          <w:sz w:val="24"/>
          <w:highlight w:val="none"/>
        </w:rPr>
      </w:pPr>
      <w:r>
        <w:rPr>
          <w:rFonts w:hint="eastAsia" w:ascii="仿宋" w:hAnsi="仿宋" w:eastAsia="仿宋"/>
          <w:sz w:val="24"/>
          <w:highlight w:val="none"/>
        </w:rPr>
        <w:t xml:space="preserve">第三时段：数据整理及报告编制阶段  </w:t>
      </w:r>
      <w:r/>
    </w:p>
    <w:p>
      <w:pPr>
        <w:ind w:firstLine="480"/>
        <w:rPr>
          <w:rFonts w:ascii="仿宋" w:hAnsi="仿宋" w:eastAsia="仿宋"/>
          <w:sz w:val="24"/>
          <w:highlight w:val="none"/>
        </w:rPr>
      </w:pPr>
      <w:r>
        <w:rPr>
          <w:rFonts w:hint="eastAsia" w:ascii="仿宋" w:hAnsi="仿宋" w:eastAsia="仿宋"/>
          <w:sz w:val="24"/>
          <w:highlight w:val="none"/>
        </w:rPr>
        <w:t xml:space="preserve">完成生物多样性本底调查成果报告的编制和评审验收工作。</w:t>
      </w:r>
      <w:r/>
    </w:p>
    <w:p>
      <w:pPr>
        <w:ind w:firstLine="480"/>
        <w:rPr>
          <w:rFonts w:ascii="仿宋" w:hAnsi="仿宋" w:eastAsia="仿宋"/>
          <w:sz w:val="24"/>
          <w:highlight w:val="none"/>
        </w:rPr>
      </w:pPr>
      <w:r>
        <w:rPr>
          <w:rFonts w:hint="eastAsia" w:ascii="仿宋" w:hAnsi="仿宋" w:eastAsia="仿宋"/>
          <w:sz w:val="24"/>
          <w:highlight w:val="none"/>
        </w:rPr>
        <w:t xml:space="preserve">（三）成果提交</w:t>
      </w:r>
      <w:r/>
    </w:p>
    <w:p>
      <w:pPr>
        <w:ind w:firstLine="480"/>
        <w:rPr>
          <w:rFonts w:ascii="仿宋" w:hAnsi="仿宋" w:eastAsia="仿宋"/>
          <w:sz w:val="24"/>
          <w:highlight w:val="none"/>
        </w:rPr>
      </w:pPr>
      <w:r>
        <w:rPr>
          <w:rFonts w:hint="eastAsia" w:ascii="仿宋" w:hAnsi="仿宋" w:eastAsia="仿宋"/>
          <w:sz w:val="24"/>
          <w:highlight w:val="none"/>
        </w:rPr>
        <w:t xml:space="preserve">1.调查报告编制</w:t>
      </w:r>
      <w:r/>
    </w:p>
    <w:p>
      <w:pPr>
        <w:ind w:firstLine="480"/>
        <w:rPr>
          <w:rFonts w:ascii="仿宋" w:hAnsi="仿宋" w:eastAsia="仿宋"/>
          <w:sz w:val="24"/>
          <w:highlight w:val="none"/>
        </w:rPr>
      </w:pPr>
      <w:r>
        <w:rPr>
          <w:rFonts w:hint="eastAsia" w:ascii="仿宋" w:hAnsi="仿宋" w:eastAsia="仿宋"/>
          <w:sz w:val="24"/>
          <w:highlight w:val="none"/>
        </w:rPr>
        <w:t xml:space="preserve">基于本项目实施开展的前期资料收集整合和野外样方、样线等调查和监测数据编制项目调查报告，报告主要围绕以下框架及要点开展编制工作：</w:t>
      </w:r>
      <w:r/>
    </w:p>
    <w:p>
      <w:pPr>
        <w:ind w:firstLine="480"/>
        <w:rPr>
          <w:rFonts w:ascii="仿宋" w:hAnsi="仿宋" w:eastAsia="仿宋"/>
          <w:sz w:val="24"/>
          <w:highlight w:val="none"/>
        </w:rPr>
      </w:pPr>
      <w:r>
        <w:rPr>
          <w:rFonts w:hint="eastAsia" w:ascii="仿宋" w:hAnsi="仿宋" w:eastAsia="仿宋"/>
          <w:sz w:val="24"/>
          <w:highlight w:val="none"/>
        </w:rPr>
        <w:t xml:space="preserve">（1）项目背景分析</w:t>
      </w:r>
      <w:r/>
    </w:p>
    <w:p>
      <w:pPr>
        <w:ind w:firstLine="480"/>
        <w:rPr>
          <w:rFonts w:ascii="仿宋" w:hAnsi="仿宋" w:eastAsia="仿宋"/>
          <w:sz w:val="24"/>
          <w:highlight w:val="none"/>
        </w:rPr>
      </w:pPr>
      <w:r>
        <w:rPr>
          <w:rFonts w:hint="eastAsia" w:ascii="仿宋" w:hAnsi="仿宋" w:eastAsia="仿宋"/>
          <w:sz w:val="24"/>
          <w:highlight w:val="none"/>
        </w:rPr>
        <w:t xml:space="preserve">分析项目调查背景，调查现状，调查目标，分析调查过程中涉及的重点问题。</w:t>
      </w:r>
      <w:r/>
    </w:p>
    <w:p>
      <w:pPr>
        <w:ind w:firstLine="480"/>
        <w:rPr>
          <w:rFonts w:ascii="仿宋" w:hAnsi="仿宋" w:eastAsia="仿宋"/>
          <w:sz w:val="24"/>
          <w:highlight w:val="none"/>
        </w:rPr>
      </w:pPr>
      <w:r>
        <w:rPr>
          <w:rFonts w:hint="eastAsia" w:ascii="仿宋" w:hAnsi="仿宋" w:eastAsia="仿宋"/>
          <w:sz w:val="24"/>
          <w:highlight w:val="none"/>
        </w:rPr>
        <w:t xml:space="preserve">（2）项目实施概况与过程内容编制</w:t>
      </w:r>
      <w:r/>
    </w:p>
    <w:p>
      <w:pPr>
        <w:ind w:firstLine="480"/>
        <w:rPr>
          <w:rFonts w:ascii="仿宋" w:hAnsi="仿宋" w:eastAsia="仿宋"/>
          <w:sz w:val="24"/>
          <w:highlight w:val="none"/>
        </w:rPr>
      </w:pPr>
      <w:r>
        <w:rPr>
          <w:rFonts w:hint="eastAsia" w:ascii="仿宋" w:hAnsi="仿宋" w:eastAsia="仿宋"/>
          <w:sz w:val="24"/>
          <w:highlight w:val="none"/>
        </w:rPr>
        <w:t xml:space="preserve">分析项目的基本情况，如项目调查对象，调查内容，调查人员概况，调查分工，调查的时间地点，调查范围，调查经过以及涉及的技术参数等。</w:t>
      </w:r>
      <w:r/>
    </w:p>
    <w:p>
      <w:pPr>
        <w:ind w:firstLine="480"/>
        <w:rPr>
          <w:rFonts w:ascii="仿宋" w:hAnsi="仿宋" w:eastAsia="仿宋"/>
          <w:sz w:val="24"/>
          <w:highlight w:val="none"/>
        </w:rPr>
      </w:pPr>
      <w:r>
        <w:rPr>
          <w:rFonts w:hint="eastAsia" w:ascii="仿宋" w:hAnsi="仿宋" w:eastAsia="仿宋"/>
          <w:sz w:val="24"/>
          <w:highlight w:val="none"/>
        </w:rPr>
        <w:t xml:space="preserve">（3）项目调查主体技术成果编制</w:t>
      </w:r>
      <w:r/>
    </w:p>
    <w:p>
      <w:pPr>
        <w:ind w:firstLine="480"/>
        <w:rPr>
          <w:rFonts w:ascii="仿宋" w:hAnsi="仿宋" w:eastAsia="仿宋"/>
          <w:sz w:val="24"/>
          <w:highlight w:val="none"/>
        </w:rPr>
      </w:pPr>
      <w:r>
        <w:rPr>
          <w:rFonts w:hint="eastAsia" w:ascii="仿宋" w:hAnsi="仿宋" w:eastAsia="仿宋"/>
          <w:sz w:val="24"/>
          <w:highlight w:val="none"/>
        </w:rPr>
        <w:t xml:space="preserve">详细说明调查过程中收集到的历史资料和野外调查所得的数据材料，并对调查数据进行分析，得出调查结论。</w:t>
      </w:r>
      <w:r/>
    </w:p>
    <w:p>
      <w:pPr>
        <w:ind w:firstLine="480"/>
        <w:rPr>
          <w:rFonts w:ascii="仿宋" w:hAnsi="仿宋" w:eastAsia="仿宋"/>
          <w:sz w:val="24"/>
          <w:highlight w:val="none"/>
        </w:rPr>
      </w:pPr>
      <w:r>
        <w:rPr>
          <w:rFonts w:hint="eastAsia" w:ascii="仿宋" w:hAnsi="仿宋" w:eastAsia="仿宋"/>
          <w:sz w:val="24"/>
          <w:highlight w:val="none"/>
        </w:rPr>
        <w:t xml:space="preserve">2.纸质文本提交</w:t>
      </w:r>
      <w:r/>
    </w:p>
    <w:p>
      <w:pPr>
        <w:ind w:firstLine="480"/>
        <w:rPr>
          <w:rFonts w:ascii="仿宋" w:hAnsi="仿宋" w:eastAsia="仿宋"/>
          <w:sz w:val="24"/>
          <w:highlight w:val="none"/>
        </w:rPr>
      </w:pPr>
      <w:r>
        <w:rPr>
          <w:rFonts w:hint="eastAsia" w:ascii="仿宋" w:hAnsi="仿宋" w:eastAsia="仿宋"/>
          <w:sz w:val="24"/>
          <w:highlight w:val="none"/>
        </w:rPr>
        <w:t xml:space="preserve">依据项目要求，本次调查结束后将提供如下文本成果：</w:t>
      </w:r>
      <w:r/>
    </w:p>
    <w:p>
      <w:pPr>
        <w:ind w:firstLine="480"/>
        <w:rPr>
          <w:rFonts w:ascii="仿宋" w:hAnsi="仿宋" w:eastAsia="仿宋"/>
          <w:sz w:val="24"/>
          <w:highlight w:val="none"/>
        </w:rPr>
      </w:pPr>
      <w:r>
        <w:rPr>
          <w:rFonts w:hint="eastAsia" w:ascii="仿宋" w:hAnsi="仿宋" w:eastAsia="仿宋"/>
          <w:sz w:val="24"/>
          <w:highlight w:val="none"/>
        </w:rPr>
        <w:t xml:space="preserve">针对如皋市生物多样性本底调查，主要成果如下：</w:t>
      </w:r>
      <w:r/>
    </w:p>
    <w:p>
      <w:pPr>
        <w:ind w:firstLine="480"/>
        <w:rPr>
          <w:rFonts w:ascii="仿宋" w:hAnsi="仿宋" w:eastAsia="仿宋"/>
          <w:sz w:val="24"/>
          <w:highlight w:val="none"/>
        </w:rPr>
      </w:pPr>
      <w:r>
        <w:rPr>
          <w:rFonts w:hint="eastAsia" w:ascii="仿宋" w:hAnsi="仿宋" w:eastAsia="仿宋"/>
          <w:sz w:val="24"/>
          <w:highlight w:val="none"/>
        </w:rPr>
        <w:t xml:space="preserve">（1）《如皋市生物多样性本底调查实施方案》</w:t>
      </w:r>
      <w:r/>
    </w:p>
    <w:p>
      <w:pPr>
        <w:ind w:firstLine="480"/>
        <w:rPr>
          <w:rFonts w:ascii="仿宋" w:hAnsi="仿宋" w:eastAsia="仿宋"/>
          <w:sz w:val="24"/>
          <w:highlight w:val="none"/>
        </w:rPr>
      </w:pPr>
      <w:r>
        <w:rPr>
          <w:rFonts w:hint="eastAsia" w:ascii="仿宋" w:hAnsi="仿宋" w:eastAsia="仿宋"/>
          <w:sz w:val="24"/>
          <w:highlight w:val="none"/>
        </w:rPr>
        <w:t xml:space="preserve">（2）《如皋市生物多样性本底调查与编目工作报告》</w:t>
      </w:r>
      <w:r/>
    </w:p>
    <w:p>
      <w:pPr>
        <w:ind w:firstLine="480"/>
        <w:rPr>
          <w:rFonts w:ascii="仿宋" w:hAnsi="仿宋" w:eastAsia="仿宋"/>
          <w:sz w:val="24"/>
          <w:highlight w:val="none"/>
        </w:rPr>
      </w:pPr>
      <w:r>
        <w:rPr>
          <w:rFonts w:hint="eastAsia" w:ascii="仿宋" w:hAnsi="仿宋" w:eastAsia="仿宋"/>
          <w:sz w:val="24"/>
          <w:highlight w:val="none"/>
        </w:rPr>
        <w:t xml:space="preserve">（3）《如皋市生物多样性本底调查与编目技术报告》</w:t>
      </w:r>
      <w:r/>
    </w:p>
    <w:p>
      <w:pPr>
        <w:ind w:firstLine="480"/>
        <w:rPr>
          <w:rFonts w:ascii="仿宋" w:hAnsi="仿宋" w:eastAsia="仿宋"/>
          <w:sz w:val="24"/>
          <w:highlight w:val="none"/>
        </w:rPr>
      </w:pPr>
      <w:r>
        <w:rPr>
          <w:rFonts w:hint="eastAsia" w:ascii="仿宋" w:hAnsi="仿宋" w:eastAsia="仿宋"/>
          <w:sz w:val="24"/>
          <w:highlight w:val="none"/>
        </w:rPr>
        <w:t xml:space="preserve">（4）《如皋市生物多样性本底调查与编目数据报告》</w:t>
      </w:r>
      <w:r/>
    </w:p>
    <w:p>
      <w:pPr>
        <w:ind w:firstLine="480"/>
        <w:rPr>
          <w:rFonts w:ascii="仿宋" w:hAnsi="仿宋" w:eastAsia="仿宋"/>
          <w:sz w:val="24"/>
          <w:highlight w:val="none"/>
        </w:rPr>
      </w:pPr>
      <w:r>
        <w:rPr>
          <w:rFonts w:hint="eastAsia" w:ascii="仿宋" w:hAnsi="仿宋" w:eastAsia="仿宋"/>
          <w:sz w:val="24"/>
          <w:highlight w:val="none"/>
        </w:rPr>
        <w:t xml:space="preserve">数据和报告提交的纸质盖章件及电子文档（报告为word文档，数据为excel表格，生物多样性专题地图在符合《江苏省县级行政单元生物多样性本底调查与编目调查要求》及江苏省生态环境厅最新要求的地理坐标系和ArcGIS shape 图层要求外，还需支持国家和省最新建设应用标准）</w:t>
      </w:r>
      <w:r/>
    </w:p>
    <w:p>
      <w:pPr>
        <w:ind w:firstLine="480"/>
        <w:rPr>
          <w:rFonts w:ascii="仿宋" w:hAnsi="仿宋" w:eastAsia="仿宋"/>
          <w:sz w:val="24"/>
          <w:highlight w:val="none"/>
        </w:rPr>
      </w:pPr>
      <w:r>
        <w:rPr>
          <w:rFonts w:hint="eastAsia" w:ascii="仿宋" w:hAnsi="仿宋" w:eastAsia="仿宋"/>
          <w:sz w:val="24"/>
          <w:highlight w:val="none"/>
        </w:rPr>
        <w:t xml:space="preserve">本项目开展所有数据成果版权属甲方所有。</w:t>
      </w:r>
      <w:r/>
    </w:p>
    <w:p>
      <w:pPr>
        <w:numPr>
          <w:ilvl w:val="0"/>
          <w:numId w:val="3"/>
        </w:numPr>
        <w:ind w:left="482"/>
        <w:rPr>
          <w:rFonts w:ascii="仿宋" w:hAnsi="仿宋" w:eastAsia="仿宋"/>
          <w:b/>
          <w:sz w:val="24"/>
          <w:highlight w:val="none"/>
        </w:rPr>
      </w:pPr>
      <w:r>
        <w:rPr>
          <w:rFonts w:hint="eastAsia" w:ascii="仿宋" w:hAnsi="仿宋" w:eastAsia="仿宋"/>
          <w:b/>
          <w:sz w:val="24"/>
          <w:highlight w:val="none"/>
        </w:rPr>
        <w:t xml:space="preserve">权利义务和质量保证</w:t>
      </w:r>
      <w:r/>
    </w:p>
    <w:p>
      <w:pPr>
        <w:ind w:firstLine="480"/>
        <w:jc w:val="left"/>
        <w:widowControl/>
        <w:tabs>
          <w:tab w:val="left" w:pos="0" w:leader="none"/>
        </w:tabs>
        <w:rPr>
          <w:rFonts w:ascii="仿宋" w:hAnsi="仿宋" w:eastAsia="仿宋"/>
          <w:sz w:val="24"/>
          <w:highlight w:val="none"/>
        </w:rPr>
      </w:pPr>
      <w:r>
        <w:rPr>
          <w:rFonts w:hint="eastAsia" w:ascii="仿宋" w:hAnsi="仿宋" w:eastAsia="仿宋"/>
          <w:sz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2.乙方保证所提供的服务或其任何一部分均不会侵犯任何第三方的专利权、商标权或著作权。</w:t>
      </w:r>
      <w:r>
        <w:rPr>
          <w:rFonts w:ascii="仿宋" w:hAnsi="仿宋" w:eastAsia="仿宋"/>
          <w:sz w:val="24"/>
          <w:highlight w:val="none"/>
        </w:rPr>
        <w:t xml:space="preserve">一旦出现侵权，</w:t>
      </w:r>
      <w:r>
        <w:rPr>
          <w:rFonts w:hint="eastAsia" w:ascii="仿宋" w:hAnsi="仿宋" w:eastAsia="仿宋"/>
          <w:sz w:val="24"/>
          <w:highlight w:val="none"/>
        </w:rPr>
        <w:t xml:space="preserve">索赔或诉讼</w:t>
      </w:r>
      <w:r>
        <w:rPr>
          <w:rFonts w:ascii="仿宋" w:hAnsi="仿宋" w:eastAsia="仿宋"/>
          <w:sz w:val="24"/>
          <w:highlight w:val="none"/>
        </w:rPr>
        <w:t xml:space="preserve">，乙方应承担全部责任。</w:t>
      </w:r>
      <w:r>
        <w:rPr>
          <w:rFonts w:hint="eastAsia" w:ascii="仿宋" w:hAnsi="仿宋" w:eastAsia="仿宋"/>
          <w:sz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第七条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3.付款方式：合同签订后支付合同金额的30%，提交中期进展报告后支付合同金额的40%，完成全部工作经验收通过后付清余款。</w:t>
      </w:r>
      <w:r/>
    </w:p>
    <w:p>
      <w:pPr>
        <w:ind w:left="482"/>
        <w:rPr>
          <w:rFonts w:ascii="仿宋" w:hAnsi="仿宋" w:eastAsia="仿宋"/>
          <w:b/>
          <w:sz w:val="24"/>
          <w:highlight w:val="none"/>
        </w:rPr>
      </w:pPr>
      <w:r>
        <w:rPr>
          <w:rFonts w:hint="eastAsia" w:ascii="仿宋" w:hAnsi="仿宋" w:eastAsia="仿宋"/>
          <w:b/>
          <w:sz w:val="24"/>
          <w:highlight w:val="none"/>
        </w:rPr>
        <w:t xml:space="preserve">第八条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1.服务期限：自合同签订之日起至2027年10月30日。</w:t>
      </w:r>
      <w:r/>
    </w:p>
    <w:p>
      <w:pPr>
        <w:ind w:firstLine="720"/>
        <w:rPr>
          <w:rFonts w:ascii="仿宋" w:hAnsi="仿宋" w:eastAsia="仿宋"/>
          <w:sz w:val="24"/>
          <w:highlight w:val="none"/>
        </w:rPr>
      </w:pPr>
      <w:r>
        <w:rPr>
          <w:rFonts w:hint="eastAsia" w:ascii="仿宋" w:hAnsi="仿宋" w:eastAsia="仿宋"/>
          <w:sz w:val="24"/>
          <w:highlight w:val="none"/>
        </w:rPr>
        <w:t xml:space="preserve">服务地点：根据甲方要求。</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ind w:firstLine="480"/>
        <w:jc w:val="left"/>
        <w:widowControl/>
        <w:tabs>
          <w:tab w:val="left" w:pos="0" w:leader="none"/>
        </w:tabs>
        <w:rPr>
          <w:rFonts w:ascii="仿宋" w:hAnsi="仿宋" w:eastAsia="仿宋"/>
          <w:sz w:val="24"/>
          <w:highlight w:val="none"/>
        </w:rPr>
      </w:pPr>
      <w:r>
        <w:rPr>
          <w:rFonts w:hint="eastAsia" w:ascii="仿宋" w:hAnsi="仿宋" w:eastAsia="仿宋"/>
          <w:sz w:val="24"/>
          <w:highlight w:val="none"/>
        </w:rPr>
        <w:t xml:space="preserve">2.乙方应对提供的服务成果作出全面自查和整理，并列出清单，作为甲方验收和使用的服务条件依据，清单应随提供的服务成果交给甲方。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0"/>
        <w:rPr>
          <w:rFonts w:ascii="仿宋" w:hAnsi="仿宋" w:eastAsia="仿宋"/>
          <w:sz w:val="24"/>
          <w:highlight w:val="none"/>
        </w:rPr>
      </w:pPr>
      <w:r>
        <w:rPr>
          <w:rFonts w:hint="eastAsia" w:ascii="仿宋" w:hAnsi="仿宋" w:eastAsia="仿宋"/>
          <w:sz w:val="24"/>
          <w:highlight w:val="none"/>
        </w:rPr>
        <w:t xml:space="preserve">4.甲方根据国家有关规定、招标文件、响应文件以及合同约定的内容组织验收。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第九条  考核方案</w:t>
      </w:r>
      <w:r/>
    </w:p>
    <w:p>
      <w:pPr>
        <w:ind w:firstLine="480"/>
        <w:rPr>
          <w:rFonts w:ascii="仿宋" w:hAnsi="仿宋" w:eastAsia="仿宋"/>
          <w:sz w:val="24"/>
          <w:highlight w:val="none"/>
        </w:rPr>
      </w:pPr>
      <w:r>
        <w:rPr>
          <w:rFonts w:hint="eastAsia" w:ascii="仿宋" w:hAnsi="仿宋" w:eastAsia="仿宋"/>
          <w:sz w:val="24"/>
          <w:highlight w:val="none"/>
        </w:rPr>
        <w:t xml:space="preserve">成果内容符合相关政策文件及甲方的采购要求。</w:t>
      </w:r>
      <w:r/>
    </w:p>
    <w:p>
      <w:pPr>
        <w:ind w:left="482"/>
        <w:rPr>
          <w:rFonts w:ascii="仿宋" w:hAnsi="仿宋" w:eastAsia="仿宋"/>
          <w:b/>
          <w:sz w:val="24"/>
          <w:highlight w:val="none"/>
        </w:rPr>
      </w:pPr>
      <w:r>
        <w:rPr>
          <w:rFonts w:hint="eastAsia" w:ascii="仿宋" w:hAnsi="仿宋" w:eastAsia="仿宋"/>
          <w:b/>
          <w:sz w:val="24"/>
          <w:highlight w:val="none"/>
        </w:rPr>
        <w:t xml:space="preserve">第十条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pPr>
      <w:r>
        <w:rPr>
          <w:rFonts w:hint="eastAsia" w:ascii="仿宋" w:hAnsi="仿宋" w:eastAsia="仿宋"/>
          <w:b/>
          <w:sz w:val="24"/>
          <w:highlight w:val="none"/>
        </w:rPr>
        <w:t xml:space="preserve">第十一条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第十二条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第十四条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 ％的违约金。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第十五条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第十六条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3.经协商不能解决的争议，双方可选择以下第种方式解决：</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向南通市有管辖权的法院提起诉讼；</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第十七条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8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pPr>
      <w:r>
        <w:rPr>
          <w:rFonts w:ascii="仿宋_GB2312" w:hAnsi="宋体" w:eastAsia="仿宋_GB2312"/>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W w:w="1270"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服务名称</w:t>
            </w:r>
            <w:r/>
          </w:p>
        </w:tc>
        <w:tc>
          <w:tcPr>
            <w:tcW w:w="2574"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服务内容</w:t>
            </w:r>
            <w:r/>
          </w:p>
        </w:tc>
        <w:tc>
          <w:tcPr>
            <w:tcW w:w="494"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计量单位</w:t>
            </w:r>
            <w:r/>
          </w:p>
        </w:tc>
        <w:tc>
          <w:tcPr>
            <w:tcW w:w="494"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工作量</w:t>
            </w:r>
            <w:r/>
          </w:p>
        </w:tc>
        <w:tc>
          <w:tcPr>
            <w:tcW w:w="856"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单 价</w:t>
            </w:r>
            <w:r/>
          </w:p>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（元）</w:t>
            </w:r>
            <w:r/>
          </w:p>
        </w:tc>
        <w:tc>
          <w:tcPr>
            <w:tcW w:w="903"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总 价</w:t>
            </w:r>
            <w:r/>
          </w:p>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（元）</w:t>
            </w:r>
            <w:r/>
          </w:p>
        </w:tc>
        <w:tc>
          <w:tcPr>
            <w:tcW w:w="1232" w:type="dxa"/>
            <w:vAlign w:val="center"/>
            <w:textDirection w:val="lrTb"/>
            <w:noWrap w:val="false"/>
          </w:tcPr>
          <w:p>
            <w:pPr>
              <w:jc w:val="center"/>
              <w:widowControl/>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（视明细项目加行）</w:t>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center"/>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257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494"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856"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gridSpan w:val="4"/>
            <w:tcW w:w="4418"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易耗品</w:t>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gridSpan w:val="4"/>
            <w:tcW w:w="4418"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专用工具</w:t>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gridSpan w:val="4"/>
            <w:tcW w:w="4418"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调试费</w:t>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gridSpan w:val="4"/>
            <w:tcW w:w="4418"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培训费</w:t>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70"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gridSpan w:val="4"/>
            <w:tcW w:w="4418"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其他</w:t>
            </w:r>
            <w:r/>
          </w:p>
        </w:tc>
        <w:tc>
          <w:tcPr>
            <w:tcW w:w="903"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c>
          <w:tcPr>
            <w:tcW w:w="1232" w:type="dxa"/>
            <w:textDirection w:val="lrTb"/>
            <w:noWrap w:val="false"/>
          </w:tcPr>
          <w:p>
            <w:pPr>
              <w:jc w:val="left"/>
              <w:widowControl/>
              <w:rPr>
                <w:rFonts w:ascii="仿宋" w:hAnsi="仿宋" w:eastAsia="仿宋"/>
                <w:color w:val="000000"/>
                <w:sz w:val="24"/>
                <w:highlight w:val="none"/>
              </w:rPr>
            </w:pPr>
            <w:r>
              <w:rPr>
                <w:rFonts w:ascii="仿宋" w:hAnsi="仿宋" w:eastAsia="仿宋"/>
                <w:color w:val="000000"/>
                <w:sz w:val="24"/>
                <w:highlight w:val="none"/>
              </w:rPr>
            </w:r>
            <w:r/>
          </w:p>
        </w:tc>
      </w:tr>
      <w:tr>
        <w:trPr>
          <w:cantSplit/>
          <w:jc w:val="center"/>
        </w:trPr>
        <w:tc>
          <w:tcPr>
            <w:gridSpan w:val="8"/>
            <w:tcW w:w="8522" w:type="dxa"/>
            <w:textDirection w:val="lrTb"/>
            <w:noWrap w:val="false"/>
          </w:tcPr>
          <w:p>
            <w:pPr>
              <w:jc w:val="left"/>
              <w:widowControl/>
              <w:rPr>
                <w:rFonts w:ascii="仿宋" w:hAnsi="仿宋" w:eastAsia="仿宋"/>
                <w:color w:val="000000"/>
                <w:sz w:val="24"/>
                <w:highlight w:val="none"/>
              </w:rPr>
            </w:pPr>
            <w:r>
              <w:rPr>
                <w:rFonts w:hint="eastAsia" w:ascii="仿宋" w:hAnsi="仿宋" w:eastAsia="仿宋"/>
                <w:color w:val="000000"/>
                <w:sz w:val="24"/>
                <w:highlight w:val="none"/>
              </w:rPr>
              <w:t xml:space="preserve">大写：                                           合同价：      元</w:t>
            </w:r>
            <w:r/>
          </w:p>
        </w:tc>
      </w:tr>
    </w:tbl>
    <w:p>
      <w:pPr>
        <w:pStyle w:val="895"/>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pStyle w:val="895"/>
        <w:ind w:firstLine="0"/>
        <w:jc w:val="center"/>
        <w:spacing w:before="0" w:after="0" w:line="460" w:lineRule="exact"/>
        <w:rPr>
          <w:b/>
          <w:highlight w:val="none"/>
        </w:rPr>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第5章 评审标准和方法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864"/>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190"/>
        <w:gridCol w:w="1190"/>
        <w:gridCol w:w="713"/>
        <w:gridCol w:w="6299"/>
      </w:tblGrid>
      <w:tr>
        <w:trPr>
          <w:jc w:val="center"/>
          <w:trHeight w:val="510"/>
        </w:trPr>
        <w:tc>
          <w:tcPr>
            <w:tcBorders>
              <w:top w:val="single" w:color="auto" w:sz="4" w:space="0"/>
              <w:left w:val="single" w:color="auto" w:sz="4" w:space="0"/>
              <w:right w:val="single" w:color="auto" w:sz="4" w:space="0"/>
            </w:tcBorders>
            <w:tcW w:w="358" w:type="pct"/>
            <w:vAlign w:val="center"/>
            <w:textDirection w:val="lrTb"/>
            <w:noWrap w:val="false"/>
          </w:tcPr>
          <w:p>
            <w:pPr>
              <w:jc w:val="center"/>
              <w:spacing w:line="420" w:lineRule="exact"/>
              <w:rPr>
                <w:rFonts w:eastAsia="仿宋_GB2312" w:cs="仿宋_GB2312"/>
                <w:b/>
                <w:bCs/>
                <w:sz w:val="24"/>
                <w:highlight w:val="none"/>
              </w:rPr>
            </w:pPr>
            <w:r>
              <w:rPr>
                <w:rFonts w:hint="eastAsia" w:eastAsia="仿宋_GB2312" w:cs="仿宋_GB2312"/>
                <w:b/>
                <w:bCs/>
                <w:sz w:val="24"/>
                <w:highlight w:val="none"/>
              </w:rPr>
              <w:t xml:space="preserve">序号</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spacing w:line="420" w:lineRule="exact"/>
              <w:rPr>
                <w:rFonts w:eastAsia="仿宋_GB2312" w:cs="仿宋_GB2312"/>
                <w:b/>
                <w:bCs/>
                <w:sz w:val="24"/>
                <w:highlight w:val="none"/>
              </w:rPr>
            </w:pPr>
            <w:r>
              <w:rPr>
                <w:rFonts w:hint="eastAsia" w:eastAsia="仿宋_GB2312" w:cs="仿宋_GB2312"/>
                <w:b/>
                <w:bCs/>
                <w:sz w:val="24"/>
                <w:highlight w:val="none"/>
              </w:rPr>
              <w:t xml:space="preserve">评审内容</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spacing w:line="420" w:lineRule="exact"/>
              <w:rPr>
                <w:rFonts w:eastAsia="仿宋_GB2312" w:cs="仿宋_GB2312"/>
                <w:b/>
                <w:bCs/>
                <w:sz w:val="24"/>
                <w:highlight w:val="none"/>
              </w:rPr>
            </w:pPr>
            <w:r>
              <w:rPr>
                <w:rFonts w:hint="eastAsia" w:eastAsia="仿宋_GB2312" w:cs="仿宋_GB2312"/>
                <w:b/>
                <w:bCs/>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20" w:lineRule="exact"/>
              <w:rPr>
                <w:rFonts w:eastAsia="仿宋_GB2312" w:cs="仿宋_GB2312"/>
                <w:b/>
                <w:bCs/>
                <w:sz w:val="24"/>
                <w:highlight w:val="none"/>
              </w:rPr>
            </w:pPr>
            <w:r>
              <w:rPr>
                <w:rFonts w:hint="eastAsia" w:eastAsia="仿宋_GB2312" w:cs="仿宋_GB2312"/>
                <w:b/>
                <w:bCs/>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center"/>
              <w:spacing w:line="420" w:lineRule="exact"/>
              <w:rPr>
                <w:rFonts w:eastAsia="仿宋_GB2312" w:cs="仿宋_GB2312"/>
                <w:b/>
                <w:bCs/>
                <w:sz w:val="24"/>
                <w:highlight w:val="none"/>
              </w:rPr>
            </w:pPr>
            <w:r>
              <w:rPr>
                <w:rFonts w:hint="eastAsia" w:eastAsia="仿宋_GB2312" w:cs="仿宋_GB2312"/>
                <w:b/>
                <w:bCs/>
                <w:sz w:val="24"/>
                <w:highlight w:val="none"/>
              </w:rPr>
              <w:t xml:space="preserve">评审标准</w:t>
            </w:r>
            <w:r/>
          </w:p>
        </w:tc>
      </w:tr>
      <w:tr>
        <w:trPr>
          <w:jc w:val="center"/>
          <w:trHeight w:val="90"/>
        </w:trPr>
        <w:tc>
          <w:tcPr>
            <w:tcBorders>
              <w:top w:val="single" w:color="auto" w:sz="4" w:space="0"/>
              <w:left w:val="single" w:color="auto" w:sz="4" w:space="0"/>
              <w:right w:val="single" w:color="auto" w:sz="4" w:space="0"/>
            </w:tcBorders>
            <w:tcW w:w="358" w:type="pct"/>
            <w:vAlign w:val="center"/>
            <w:vMerge w:val="restart"/>
            <w:textDirection w:val="lrTb"/>
            <w:noWrap w:val="false"/>
          </w:tcPr>
          <w:p>
            <w:pPr>
              <w:jc w:val="center"/>
              <w:spacing w:line="420" w:lineRule="exact"/>
              <w:rPr>
                <w:rFonts w:eastAsia="仿宋_GB2312" w:cs="仿宋_GB2312"/>
                <w:sz w:val="24"/>
                <w:highlight w:val="none"/>
              </w:rPr>
            </w:pPr>
            <w:r>
              <w:rPr>
                <w:rFonts w:hint="eastAsia" w:eastAsia="仿宋_GB2312" w:cs="仿宋_GB2312"/>
                <w:sz w:val="24"/>
                <w:highlight w:val="none"/>
              </w:rPr>
              <w:t xml:space="preserve">1</w:t>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技术方案</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需求理解</w:t>
            </w:r>
            <w:r/>
          </w:p>
        </w:tc>
        <w:tc>
          <w:tcPr>
            <w:tcBorders>
              <w:top w:val="single" w:color="auto" w:sz="4" w:space="0"/>
              <w:left w:val="single" w:color="auto" w:sz="4" w:space="0"/>
              <w:right w:val="single" w:color="auto" w:sz="4" w:space="0"/>
            </w:tcBorders>
            <w:tcW w:w="352"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bCs/>
                <w:sz w:val="24"/>
                <w:highlight w:val="none"/>
              </w:rPr>
              <w:t xml:space="preserve">包括：①对本项目开展背景</w:t>
            </w:r>
            <w:r>
              <w:rPr>
                <w:rFonts w:hint="eastAsia" w:ascii="仿宋" w:hAnsi="仿宋" w:eastAsia="仿宋" w:cs="仿宋"/>
                <w:color w:val="000000"/>
                <w:sz w:val="24"/>
                <w:highlight w:val="none"/>
              </w:rPr>
              <w:t xml:space="preserve">现状；</w:t>
            </w:r>
            <w:r>
              <w:rPr>
                <w:rFonts w:hint="eastAsia" w:ascii="仿宋" w:hAnsi="仿宋" w:eastAsia="仿宋" w:cs="仿宋"/>
                <w:bCs/>
                <w:sz w:val="24"/>
                <w:highlight w:val="none"/>
              </w:rPr>
              <w:t xml:space="preserve">②</w:t>
            </w:r>
            <w:r>
              <w:rPr>
                <w:rFonts w:hint="eastAsia" w:ascii="仿宋" w:hAnsi="仿宋" w:eastAsia="仿宋" w:cs="仿宋"/>
                <w:color w:val="000000"/>
                <w:sz w:val="24"/>
                <w:highlight w:val="none"/>
              </w:rPr>
              <w:t xml:space="preserve">调查内容；</w:t>
            </w:r>
            <w:r>
              <w:rPr>
                <w:rFonts w:hint="eastAsia" w:ascii="仿宋" w:hAnsi="仿宋" w:eastAsia="仿宋" w:cs="仿宋"/>
                <w:bCs/>
                <w:sz w:val="24"/>
                <w:highlight w:val="none"/>
              </w:rPr>
              <w:t xml:space="preserve">③</w:t>
            </w:r>
            <w:r>
              <w:rPr>
                <w:rFonts w:hint="eastAsia" w:ascii="仿宋" w:hAnsi="仿宋" w:eastAsia="仿宋" w:cs="仿宋"/>
                <w:color w:val="000000"/>
                <w:sz w:val="24"/>
                <w:highlight w:val="none"/>
              </w:rPr>
              <w:t xml:space="preserve">调查思路及相关技术规范等方面理解，能详细掌握研究区域基本情况，且重难点阐述清晰合理。</w:t>
            </w:r>
            <w:r/>
          </w:p>
          <w:p>
            <w:pPr>
              <w:rPr>
                <w:rFonts w:ascii="仿宋" w:hAnsi="仿宋" w:eastAsia="仿宋" w:cs="仿宋"/>
                <w:bCs/>
                <w:sz w:val="24"/>
                <w:highlight w:val="none"/>
              </w:rPr>
            </w:pPr>
            <w:r>
              <w:rPr>
                <w:rFonts w:hint="eastAsia" w:ascii="仿宋" w:hAnsi="仿宋" w:eastAsia="仿宋" w:cs="仿宋"/>
                <w:bCs/>
                <w:sz w:val="24"/>
                <w:highlight w:val="none"/>
              </w:rPr>
              <w:t xml:space="preserve">上述3方面内容中每缺少一项内容扣1分，每有一处内容存在缺陷或不足的扣0.5分，扣完为止。 （本项最高得3分）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jc w:val="left"/>
              <w:rPr>
                <w:rFonts w:ascii="仿宋" w:hAnsi="仿宋" w:eastAsia="仿宋" w:cs="仿宋"/>
                <w:color w:val="000000"/>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2862"/>
        </w:trPr>
        <w:tc>
          <w:tcPr>
            <w:tcBorders>
              <w:left w:val="single" w:color="auto" w:sz="4" w:space="0"/>
              <w:right w:val="single" w:color="auto" w:sz="4" w:space="0"/>
            </w:tcBorders>
            <w:tcW w:w="358" w:type="pct"/>
            <w:vAlign w:val="center"/>
            <w:vMerge w:val="continue"/>
            <w:textDirection w:val="lrTb"/>
            <w:noWrap w:val="false"/>
          </w:tcPr>
          <w:p>
            <w:pPr>
              <w:jc w:val="center"/>
              <w:spacing w:line="42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tcBorders>
              <w:left w:val="single" w:color="auto" w:sz="4" w:space="0"/>
              <w:right w:val="single" w:color="auto" w:sz="4" w:space="0"/>
            </w:tcBorders>
            <w:tcW w:w="588"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实施方案</w:t>
            </w:r>
            <w:r/>
          </w:p>
        </w:tc>
        <w:tc>
          <w:tcPr>
            <w:tcBorders>
              <w:left w:val="single" w:color="auto" w:sz="4" w:space="0"/>
              <w:right w:val="single" w:color="auto" w:sz="4" w:space="0"/>
            </w:tcBorders>
            <w:tcW w:w="352"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包括：①调查区域划分；②前期准备事项；③野外调查安排；</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 4 \* GB3 \* MERGEFORMAT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④</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数据分析及资料整理；</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 5 \* GB3 \* MERGEFORMAT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⑤</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生物多样性综合评价。</w:t>
            </w:r>
            <w:r/>
          </w:p>
          <w:p>
            <w:pPr>
              <w:rPr>
                <w:rFonts w:ascii="仿宋" w:hAnsi="仿宋" w:eastAsia="仿宋" w:cs="仿宋"/>
                <w:bCs/>
                <w:sz w:val="24"/>
                <w:highlight w:val="none"/>
              </w:rPr>
            </w:pPr>
            <w:r>
              <w:rPr>
                <w:rFonts w:hint="eastAsia" w:ascii="仿宋" w:hAnsi="仿宋" w:eastAsia="仿宋" w:cs="仿宋"/>
                <w:bCs/>
                <w:sz w:val="24"/>
                <w:highlight w:val="none"/>
              </w:rPr>
              <w:t xml:space="preserve">上述5方面内容中每缺少一项内容扣2分，每有一处内容存在缺陷或不足的扣0.5分，扣完为止。（本项最高得10分） </w:t>
            </w:r>
            <w:r/>
          </w:p>
          <w:p>
            <w:pPr>
              <w:rPr>
                <w:highlight w:val="none"/>
              </w:rPr>
            </w:pPr>
            <w:r>
              <w:rPr>
                <w:rFonts w:hint="eastAsia" w:ascii="仿宋" w:hAnsi="仿宋" w:eastAsia="仿宋" w:cs="仿宋"/>
                <w:bCs/>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05"/>
        </w:trPr>
        <w:tc>
          <w:tcPr>
            <w:tcBorders>
              <w:left w:val="single" w:color="auto" w:sz="4" w:space="0"/>
              <w:right w:val="single" w:color="auto" w:sz="4" w:space="0"/>
            </w:tcBorders>
            <w:tcW w:w="358" w:type="pct"/>
            <w:vAlign w:val="center"/>
            <w:vMerge w:val="continue"/>
            <w:textDirection w:val="lrTb"/>
            <w:noWrap w:val="false"/>
          </w:tcPr>
          <w:p>
            <w:pPr>
              <w:jc w:val="center"/>
              <w:spacing w:line="42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tcBorders>
              <w:left w:val="single" w:color="auto" w:sz="4" w:space="0"/>
              <w:right w:val="single" w:color="auto" w:sz="4" w:space="0"/>
            </w:tcBorders>
            <w:tcW w:w="588"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bCs/>
                <w:sz w:val="24"/>
                <w:highlight w:val="none"/>
              </w:rPr>
              <w:t xml:space="preserve">重难点分析和对策措施</w:t>
            </w:r>
            <w:r/>
          </w:p>
        </w:tc>
        <w:tc>
          <w:tcPr>
            <w:tcBorders>
              <w:left w:val="single" w:color="auto" w:sz="4" w:space="0"/>
              <w:right w:val="single" w:color="auto" w:sz="4" w:space="0"/>
            </w:tcBorders>
            <w:tcW w:w="352"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包括：①本次涉及的重难点；②对策措施。</w:t>
            </w:r>
            <w:r/>
          </w:p>
          <w:p>
            <w:pPr>
              <w:rPr>
                <w:rFonts w:ascii="仿宋" w:hAnsi="仿宋" w:eastAsia="仿宋" w:cs="仿宋"/>
                <w:bCs/>
                <w:sz w:val="24"/>
                <w:highlight w:val="none"/>
              </w:rPr>
            </w:pPr>
            <w:r>
              <w:rPr>
                <w:rFonts w:hint="eastAsia" w:ascii="仿宋" w:hAnsi="仿宋" w:eastAsia="仿宋" w:cs="仿宋"/>
                <w:bCs/>
                <w:sz w:val="24"/>
                <w:highlight w:val="none"/>
              </w:rPr>
              <w:t xml:space="preserve">上述2方面内容中每缺少一项内容扣2分，每有一处内容存在缺陷或不足的扣0.5分，扣完为止。(本项最多得4分)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jc w:val="left"/>
              <w:rPr>
                <w:rFonts w:ascii="仿宋" w:hAnsi="仿宋" w:eastAsia="仿宋" w:cs="仿宋"/>
                <w:color w:val="000000"/>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05"/>
        </w:trPr>
        <w:tc>
          <w:tcPr>
            <w:tcBorders>
              <w:left w:val="single" w:color="auto" w:sz="4" w:space="0"/>
              <w:right w:val="single" w:color="auto" w:sz="4" w:space="0"/>
            </w:tcBorders>
            <w:tcW w:w="358" w:type="pct"/>
            <w:vAlign w:val="center"/>
            <w:vMerge w:val="continue"/>
            <w:textDirection w:val="lrTb"/>
            <w:noWrap w:val="false"/>
          </w:tcPr>
          <w:p>
            <w:pPr>
              <w:jc w:val="center"/>
              <w:spacing w:line="42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auto" w:fill="auto"/>
            <w:tcBorders>
              <w:left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bCs/>
                <w:sz w:val="24"/>
                <w:highlight w:val="none"/>
              </w:rPr>
              <w:t xml:space="preserve">质量保证措施、进度保障措施及后续服务</w:t>
            </w:r>
            <w:r/>
          </w:p>
        </w:tc>
        <w:tc>
          <w:tcPr>
            <w:shd w:val="clear" w:color="auto" w:fill="auto"/>
            <w:tcBorders>
              <w:left w:val="single" w:color="auto" w:sz="4" w:space="0"/>
              <w:right w:val="single" w:color="auto" w:sz="4" w:space="0"/>
            </w:tcBorders>
            <w:tcW w:w="352"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bCs/>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包括①质量保证措施；②进度保障措施；③后续服务。</w:t>
            </w:r>
            <w:r/>
          </w:p>
          <w:p>
            <w:pPr>
              <w:rPr>
                <w:rFonts w:ascii="仿宋" w:hAnsi="仿宋" w:eastAsia="仿宋" w:cs="仿宋"/>
                <w:bCs/>
                <w:sz w:val="24"/>
                <w:highlight w:val="none"/>
              </w:rPr>
            </w:pPr>
            <w:r>
              <w:rPr>
                <w:rFonts w:hint="eastAsia" w:ascii="仿宋" w:hAnsi="仿宋" w:eastAsia="仿宋" w:cs="仿宋"/>
                <w:bCs/>
                <w:sz w:val="24"/>
                <w:highlight w:val="none"/>
              </w:rPr>
              <w:t xml:space="preserve">上述3方面内容中每缺少一项内容扣1分，每有一处内容存在缺陷或不足的扣0.5分，扣完为止。(本项最多得3分)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rPr>
                <w:rFonts w:ascii="仿宋" w:hAnsi="仿宋" w:eastAsia="仿宋" w:cs="仿宋"/>
                <w:color w:val="000000"/>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766"/>
        </w:trPr>
        <w:tc>
          <w:tcPr>
            <w:tcBorders>
              <w:top w:val="single" w:color="auto" w:sz="4" w:space="0"/>
              <w:left w:val="single" w:color="auto" w:sz="4" w:space="0"/>
              <w:right w:val="single" w:color="auto" w:sz="4" w:space="0"/>
            </w:tcBorders>
            <w:tcW w:w="358" w:type="pct"/>
            <w:vAlign w:val="center"/>
            <w:vMerge w:val="restart"/>
            <w:textDirection w:val="lrTb"/>
            <w:noWrap w:val="false"/>
          </w:tcPr>
          <w:p>
            <w:pPr>
              <w:jc w:val="center"/>
              <w:spacing w:line="360" w:lineRule="exact"/>
              <w:rPr>
                <w:rFonts w:eastAsia="仿宋_GB2312" w:cs="仿宋_GB2312"/>
                <w:sz w:val="24"/>
                <w:highlight w:val="none"/>
              </w:rPr>
            </w:pPr>
            <w:r>
              <w:rPr>
                <w:rFonts w:hint="eastAsia" w:eastAsia="仿宋_GB2312" w:cs="仿宋_GB2312"/>
                <w:sz w:val="24"/>
                <w:highlight w:val="none"/>
              </w:rPr>
              <w:t xml:space="preserve">2</w:t>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专业能力</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bCs/>
                <w:sz w:val="24"/>
                <w:highlight w:val="none"/>
              </w:rPr>
              <w:t xml:space="preserve">企业实力</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numPr>
                <w:ilvl w:val="0"/>
                <w:numId w:val="4"/>
              </w:num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供应商具有质量管理体系、环境管理体系、职业健康安全管理体系、知识产权管理体系认证证书的，每有一项得1分，本项最高得4分。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2.供应商具有乙级及以上测绘资质（专业类别包括测绘航空摄影）的，每有一项得2分，本项最高得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3.供应商须持有有效的检验检测机构资质认定（CMA）证书（认证类别包括生物相关），得2分。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4.供应商生物多样性调查相关项目获设区市级及以上行业主管部门颁发的表彰的，得3分 ；获县区市级及以上行业主管部门颁发的表彰的，得1分 。</w:t>
            </w:r>
            <w:r/>
          </w:p>
        </w:tc>
      </w:tr>
      <w:tr>
        <w:trPr>
          <w:jc w:val="center"/>
          <w:trHeight w:val="1035"/>
        </w:trPr>
        <w:tc>
          <w:tcPr>
            <w:tcBorders>
              <w:left w:val="single" w:color="auto" w:sz="4" w:space="0"/>
              <w:right w:val="single" w:color="auto" w:sz="4" w:space="0"/>
            </w:tcBorders>
            <w:tcW w:w="35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1.项目负责人具备生态环境、林业相关专业类研究员级或教授级高级工程师（正高）职称证书的，得2分；项目主要负责人具有生态环境、林业相关专业类高级工程师（副高）职称的，得1分。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2.项目负责人获得过设区市级及以上生态环境部门颁发的生态监测培训证书的得3分。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注：提供职称及证书原件扫描件上传，</w:t>
            </w:r>
            <w:r>
              <w:rPr>
                <w:rFonts w:hint="eastAsia" w:ascii="仿宋" w:hAnsi="仿宋" w:eastAsia="仿宋" w:cs="仿宋"/>
                <w:bCs/>
                <w:sz w:val="24"/>
                <w:highlight w:val="none"/>
              </w:rPr>
              <w:t xml:space="preserve">并提供响应文件提交截止日前近3个月内任意1个月响应供应商为其缴纳社保的证明；新成立企业距响应文件提交截止日期不足30日的，可不提供缴纳社保的证明（以新办企业营业执照发放日期为准）。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3.项目负责人自2022年1月1日以来承担过类似生物多样性调查相关业绩并担任项目负责人的，得3分。（提供合同原件扫描件上传，如合同中无法体现的，需提供加盖合同甲方公章的证明材料。）</w:t>
            </w:r>
            <w:r/>
          </w:p>
        </w:tc>
      </w:tr>
      <w:tr>
        <w:trPr>
          <w:jc w:val="center"/>
          <w:trHeight w:val="1035"/>
        </w:trPr>
        <w:tc>
          <w:tcPr>
            <w:tcBorders>
              <w:left w:val="single" w:color="auto" w:sz="4" w:space="0"/>
              <w:right w:val="single" w:color="auto" w:sz="4" w:space="0"/>
            </w:tcBorders>
            <w:tcW w:w="35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1.项目组成员（除项目负责人外至少5人</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不满足5人不得分</w:t>
            </w:r>
            <w:r>
              <w:rPr>
                <w:rFonts w:hint="eastAsia" w:ascii="仿宋" w:hAnsi="仿宋" w:eastAsia="仿宋" w:cs="仿宋"/>
                <w:bCs/>
                <w:sz w:val="24"/>
                <w:highlight w:val="none"/>
              </w:rPr>
              <w:t xml:space="preserve">）具有野生动植物保护与利用、自然保护区、生态学、环境监测、动物学、植物学、生物安全、遥感科学与技术等专业副高级及以上职称的，每有一人得1分；具有野生动植物保护与利用、自然保护区、生态学、环境监测、动物学、植物学、生物安全、遥感科学与技术等专业的中级职称及以上的，每有一人得0.5分；本项最高得9分。（需满足项目组最低人数要求，否则不得分）</w:t>
            </w:r>
            <w:bookmarkStart w:id="46" w:name="_GoBack"/>
            <w:r/>
            <w:bookmarkEnd w:id="46"/>
            <w:r/>
            <w:r/>
          </w:p>
          <w:p>
            <w:pPr>
              <w:jc w:val="left"/>
              <w:rPr>
                <w:rFonts w:eastAsia="仿宋_GB2312" w:cs="仿宋_GB2312"/>
                <w:sz w:val="24"/>
                <w:highlight w:val="none"/>
              </w:rPr>
            </w:pPr>
            <w:r>
              <w:rPr>
                <w:rFonts w:hint="eastAsia" w:ascii="仿宋" w:hAnsi="仿宋" w:eastAsia="仿宋" w:cs="仿宋"/>
                <w:bCs/>
                <w:sz w:val="24"/>
                <w:highlight w:val="none"/>
              </w:rPr>
              <w:t xml:space="preserve">注：提供职称证书扫描件上传，并提供响应文件提交截止日前近3个月内任意1个月响应供应商为其缴纳社保的证明；新成立企业距响应文件提交截止日期不足30日的，可不提供缴纳社保的证明（以新办企业营业执照发放日期为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2.项目组成员获得过具有设区市级及以上生态环境部门颁发的</w:t>
            </w:r>
            <w:r>
              <w:rPr>
                <w:rFonts w:hint="eastAsia" w:ascii="仿宋" w:hAnsi="仿宋" w:eastAsia="仿宋" w:cs="仿宋"/>
                <w:bCs/>
                <w:sz w:val="24"/>
                <w:highlight w:val="none"/>
                <w:lang w:val="en-US" w:eastAsia="zh-CN"/>
              </w:rPr>
              <w:t xml:space="preserve">表彰的</w:t>
            </w:r>
            <w:r>
              <w:rPr>
                <w:rFonts w:hint="eastAsia" w:ascii="仿宋" w:hAnsi="仿宋" w:eastAsia="仿宋" w:cs="仿宋"/>
                <w:bCs/>
                <w:sz w:val="24"/>
                <w:highlight w:val="none"/>
              </w:rPr>
              <w:t xml:space="preserve">的，每有一人得1分；县市级及以上生态环境部门颁发的</w:t>
            </w:r>
            <w:r>
              <w:rPr>
                <w:rFonts w:hint="eastAsia" w:ascii="仿宋" w:hAnsi="仿宋" w:eastAsia="仿宋" w:cs="仿宋"/>
                <w:bCs/>
                <w:sz w:val="24"/>
                <w:highlight w:val="none"/>
                <w:lang w:val="en-US" w:eastAsia="zh-CN"/>
              </w:rPr>
              <w:t xml:space="preserve">表彰</w:t>
            </w:r>
            <w:r>
              <w:rPr>
                <w:rFonts w:hint="eastAsia" w:ascii="仿宋" w:hAnsi="仿宋" w:eastAsia="仿宋" w:cs="仿宋"/>
                <w:bCs/>
                <w:sz w:val="24"/>
                <w:highlight w:val="none"/>
              </w:rPr>
              <w:t xml:space="preserve">的，每有一人得0.5分；本项最高得3分。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注：提供证书扫描件上传，并提供响应文件提交截止日前近3个月内任意1个月响应供应商为其缴纳社保的证明；新成立企业距响应文件提交截止日期不足30日的，可不提供缴纳社保的证明（以新办企业营业执照发放日期为准）。</w:t>
            </w:r>
            <w:r/>
          </w:p>
        </w:tc>
      </w:tr>
      <w:tr>
        <w:trPr>
          <w:jc w:val="center"/>
          <w:trHeight w:val="680"/>
        </w:trPr>
        <w:tc>
          <w:tcPr>
            <w:tcBorders>
              <w:left w:val="single" w:color="auto" w:sz="4" w:space="0"/>
              <w:right w:val="single" w:color="auto" w:sz="4" w:space="0"/>
            </w:tcBorders>
            <w:tcW w:w="35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仪器设备情况</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1.供应商</w:t>
            </w:r>
            <w:r>
              <w:rPr>
                <w:rFonts w:hint="eastAsia" w:ascii="仿宋" w:hAnsi="仿宋" w:eastAsia="仿宋" w:cs="仿宋"/>
                <w:bCs/>
                <w:sz w:val="24"/>
                <w:highlight w:val="none"/>
                <w:lang w:val="en-US" w:eastAsia="zh-CN"/>
              </w:rPr>
              <w:t xml:space="preserve">拥有</w:t>
            </w:r>
            <w:r>
              <w:rPr>
                <w:rFonts w:hint="eastAsia" w:ascii="仿宋" w:hAnsi="仿宋" w:eastAsia="仿宋" w:cs="仿宋"/>
                <w:bCs/>
                <w:sz w:val="24"/>
                <w:highlight w:val="none"/>
              </w:rPr>
              <w:t xml:space="preserve">无人机、红外相机、声纹采集仪数量</w:t>
            </w:r>
            <w:r>
              <w:rPr>
                <w:rFonts w:hint="eastAsia" w:ascii="仿宋" w:hAnsi="仿宋" w:eastAsia="仿宋" w:cs="仿宋"/>
                <w:bCs/>
                <w:sz w:val="24"/>
                <w:highlight w:val="none"/>
                <w:lang w:val="en-US" w:eastAsia="zh-CN"/>
              </w:rPr>
              <w:t xml:space="preserve">在项目需求中基本设备要求的</w:t>
            </w:r>
            <w:r>
              <w:rPr>
                <w:rFonts w:hint="eastAsia" w:ascii="仿宋" w:hAnsi="仿宋" w:eastAsia="仿宋" w:cs="仿宋"/>
                <w:bCs/>
                <w:sz w:val="24"/>
                <w:highlight w:val="none"/>
              </w:rPr>
              <w:t xml:space="preserve">每多1台，加</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分/台；不满足最低数量要求的，不得分。本项最高得</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2.供应商具备环境DNA核酸扩增系统、高通量核酸提取仪的，每有1台得</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分，本项最高得</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注：响应文件中需提供相关设备清单、发票原件扫描件或购置合同原件扫描件等证明材料上传。</w:t>
            </w:r>
            <w:r/>
          </w:p>
        </w:tc>
      </w:tr>
      <w:tr>
        <w:trPr>
          <w:jc w:val="center"/>
          <w:trHeight w:val="1040"/>
        </w:trPr>
        <w:tc>
          <w:tcPr>
            <w:tcBorders>
              <w:left w:val="single" w:color="auto" w:sz="4" w:space="0"/>
              <w:right w:val="single" w:color="auto" w:sz="4" w:space="0"/>
            </w:tcBorders>
            <w:tcW w:w="35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供应商自2022年1月1日以来（以合同签订日期为准），承担过类似生物多样性调查项目业绩的，</w:t>
            </w:r>
            <w:r>
              <w:rPr>
                <w:rFonts w:hint="eastAsia" w:ascii="仿宋" w:hAnsi="仿宋" w:eastAsia="仿宋" w:cs="仿宋"/>
                <w:color w:val="000000"/>
                <w:sz w:val="24"/>
                <w:highlight w:val="none"/>
              </w:rPr>
              <w:t xml:space="preserve">每有1个得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分，本项最高得</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注：提供合同原件扫描件上传，未提供不得分。</w:t>
            </w:r>
            <w:r/>
          </w:p>
        </w:tc>
      </w:tr>
      <w:tr>
        <w:trPr>
          <w:jc w:val="center"/>
          <w:trHeight w:val="1695"/>
        </w:trPr>
        <w:tc>
          <w:tcPr>
            <w:tcBorders>
              <w:left w:val="single" w:color="auto" w:sz="4" w:space="0"/>
              <w:right w:val="single" w:color="auto" w:sz="4" w:space="0"/>
            </w:tcBorders>
            <w:tcW w:w="35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360" w:lineRule="exact"/>
              <w:rPr>
                <w:rFonts w:eastAsia="仿宋_GB2312" w:cs="仿宋_GB2312"/>
                <w:sz w:val="24"/>
                <w:highlight w:val="none"/>
              </w:rPr>
            </w:pPr>
            <w:r>
              <w:rPr>
                <w:rFonts w:eastAsia="仿宋_GB2312" w:cs="仿宋_GB2312"/>
                <w:sz w:val="24"/>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1.供应商作出实质性承诺，包括严格按照相关技术规范开展生物多样性调查、严格遵守保密规定等内容的，得2分；未作出实质性承诺的，不得分，承诺函格式自拟，加盖响应供应商公章。</w:t>
            </w:r>
            <w:r/>
          </w:p>
        </w:tc>
      </w:tr>
      <w:tr>
        <w:trPr>
          <w:jc w:val="center"/>
          <w:trHeight w:val="1340"/>
        </w:trPr>
        <w:tc>
          <w:tcPr>
            <w:tcBorders>
              <w:left w:val="single" w:color="auto" w:sz="4" w:space="0"/>
              <w:right w:val="single" w:color="auto" w:sz="4" w:space="0"/>
            </w:tcBorders>
            <w:tcW w:w="358" w:type="pct"/>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3</w:t>
            </w:r>
            <w:r/>
          </w:p>
        </w:tc>
        <w:tc>
          <w:tcPr>
            <w:tcBorders>
              <w:left w:val="single" w:color="auto" w:sz="4" w:space="0"/>
              <w:right w:val="single" w:color="auto" w:sz="4" w:space="0"/>
            </w:tcBorders>
            <w:tcW w:w="588" w:type="pct"/>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价格</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spacing w:line="400" w:lineRule="exact"/>
              <w:rPr>
                <w:rFonts w:eastAsia="仿宋_GB2312" w:cs="仿宋_GB2312"/>
                <w:sz w:val="24"/>
                <w:highlight w:val="none"/>
              </w:rPr>
            </w:pPr>
            <w:r>
              <w:rPr>
                <w:rFonts w:hint="eastAsia" w:ascii="仿宋" w:hAnsi="仿宋" w:eastAsia="仿宋" w:cs="仿宋"/>
                <w:sz w:val="24"/>
                <w:highlight w:val="none"/>
              </w:rPr>
              <w:t xml:space="preserve">价格分</w:t>
            </w:r>
            <w:r/>
          </w:p>
        </w:tc>
        <w:tc>
          <w:tcPr>
            <w:tcBorders>
              <w:top w:val="single" w:color="auto" w:sz="4" w:space="0"/>
              <w:left w:val="single" w:color="auto" w:sz="4" w:space="0"/>
              <w:right w:val="single" w:color="auto" w:sz="4" w:space="0"/>
            </w:tcBorders>
            <w:tcW w:w="352" w:type="pct"/>
            <w:vAlign w:val="center"/>
            <w:textDirection w:val="lrTb"/>
            <w:noWrap w:val="false"/>
          </w:tcPr>
          <w:p>
            <w:pPr>
              <w:jc w:val="center"/>
              <w:widowControl/>
              <w:rPr>
                <w:rFonts w:eastAsia="仿宋_GB2312" w:cs="仿宋_GB2312"/>
                <w:sz w:val="24"/>
                <w:highlight w:val="none"/>
              </w:rPr>
            </w:pPr>
            <w:r>
              <w:rPr>
                <w:rFonts w:hint="eastAsia" w:ascii="仿宋" w:hAnsi="仿宋" w:eastAsia="仿宋" w:cs="仿宋"/>
                <w:sz w:val="24"/>
                <w:highlight w:val="none"/>
              </w:rPr>
              <w:t xml:space="preserve">20</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价格分应当采用低价优先法计算，即满足磋商文件要求且最后报价最低的供应商的价格为磋商基准价，其价格分为满分。其他响应供应商的价格分统一按照下列公式计算：</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磋商报价得分=(磋商基准价／最后磋商报价)×价格分分值</w:t>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pStyle w:val="8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第6章 竞争性磋商响应文件组成</w:t>
      </w:r>
      <w:r/>
    </w:p>
    <w:p>
      <w:pPr>
        <w:pStyle w:val="8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87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7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ff0000"/>
          <w:sz w:val="28"/>
          <w:szCs w:val="28"/>
          <w:highlight w:val="none"/>
        </w:rPr>
        <w:t xml:space="preserve">（法定代表人参加磋商采购活动的，无需提供）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7"/>
        <w:ind w:firstLine="480"/>
        <w:spacing w:line="500" w:lineRule="exact"/>
        <w:rPr>
          <w:rFonts w:ascii="仿宋" w:hAnsi="仿宋" w:eastAsia="仿宋"/>
          <w:color w:val="auto"/>
          <w:sz w:val="28"/>
          <w:szCs w:val="28"/>
          <w:highlight w:val="none"/>
        </w:rPr>
      </w:pPr>
      <w:r/>
      <w:bookmarkStart w:id="43" w:name="_Hlt26955070"/>
      <w:r/>
      <w:bookmarkEnd w:id="43"/>
      <w:r/>
      <w:bookmarkStart w:id="44" w:name="_Hlt26671380"/>
      <w:r/>
      <w:bookmarkEnd w:id="44"/>
      <w:r/>
      <w:bookmarkStart w:id="45" w:name="_格式3__银行出具的资信证明"/>
      <w:r/>
      <w:bookmarkEnd w:id="45"/>
      <w:r/>
      <w:r/>
    </w:p>
    <w:p>
      <w:pPr>
        <w:pStyle w:val="867"/>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867"/>
        <w:ind w:firstLine="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67"/>
        <w:ind w:firstLine="490"/>
        <w:spacing w:line="500" w:lineRule="exact"/>
        <w:rPr>
          <w:rFonts w:ascii="宋体" w:hAnsi="宋体"/>
          <w:sz w:val="24"/>
          <w:highlight w:val="none"/>
        </w:rPr>
      </w:pPr>
      <w:r>
        <w:rPr>
          <w:rFonts w:hint="eastAsia" w:ascii="仿宋" w:hAnsi="仿宋" w:eastAsia="仿宋"/>
          <w:sz w:val="28"/>
          <w:szCs w:val="28"/>
          <w:highlight w:val="none"/>
        </w:rPr>
        <w:t xml:space="preserve">代理人身份证复印件</w:t>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hint="eastAsia" w:ascii="仿宋" w:hAnsi="仿宋" w:eastAsia="仿宋"/>
          <w:sz w:val="24"/>
          <w:highlight w:val="none"/>
        </w:rPr>
        <w:t xml:space="preserve">注：供应商的法定代表人参加竞争性磋商活动的，须在响应文件中提供法定代表人身份证明和身份证复印件；委托代理人参加竞争性磋商活动的，还须在响应文件中提供法定代表人的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4"/>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bCs/>
          <w:sz w:val="24"/>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项目名称</w:t>
      </w:r>
      <w:r>
        <w:rPr>
          <w:rFonts w:hint="eastAsia" w:ascii="仿宋" w:hAnsi="仿宋" w:eastAsia="仿宋"/>
          <w:color w:val="auto"/>
          <w:sz w:val="28"/>
          <w:szCs w:val="28"/>
          <w:highlight w:val="none"/>
        </w:rPr>
        <w:t xml:space="preserve">（项目编号：*****）竞争性磋商文件，正式授权下述签字人_________ (姓名和职务)代表我方______________（供应商的名称），全权处理本次项目磋商采购的有关事宜。</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sz w:val="28"/>
          <w:szCs w:val="28"/>
          <w:highlight w:val="none"/>
        </w:rPr>
        <w:t xml:space="preserve">其他资格证明材料</w:t>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tbl>
      <w:tblPr>
        <w:tblStyle w:val="864"/>
        <w:tblW w:w="5407" w:type="pct"/>
        <w:tblInd w:w="-73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794"/>
        <w:gridCol w:w="840"/>
        <w:gridCol w:w="795"/>
        <w:gridCol w:w="4920"/>
        <w:gridCol w:w="1545"/>
        <w:gridCol w:w="746"/>
      </w:tblGrid>
      <w:tr>
        <w:trPr>
          <w:trHeight w:val="602"/>
        </w:trPr>
        <w:tc>
          <w:tcPr>
            <w:tcBorders>
              <w:top w:val="single" w:color="auto" w:sz="12"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79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评审内容</w:t>
            </w:r>
            <w:r/>
          </w:p>
        </w:tc>
        <w:tc>
          <w:tcPr>
            <w:tcBorders>
              <w:top w:val="single" w:color="auto" w:sz="12"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492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54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74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134"/>
        </w:trPr>
        <w:tc>
          <w:tcPr>
            <w:tcBorders>
              <w:top w:val="single" w:color="auto" w:sz="6" w:space="0"/>
              <w:left w:val="single" w:color="auto" w:sz="12" w:space="0"/>
              <w:bottom w:val="single" w:color="auto" w:sz="6" w:space="0"/>
              <w:right w:val="single" w:color="auto" w:sz="6" w:space="0"/>
            </w:tcBorders>
            <w:tcW w:w="709" w:type="dxa"/>
            <w:vAlign w:val="center"/>
            <w:vMerge w:val="restart"/>
            <w:textDirection w:val="lrTb"/>
            <w:noWrap w:val="false"/>
          </w:tcPr>
          <w:p>
            <w:pPr>
              <w:jc w:val="center"/>
              <w:spacing w:line="420" w:lineRule="exact"/>
              <w:rPr>
                <w:rFonts w:ascii="仿宋" w:hAnsi="仿宋" w:eastAsia="仿宋"/>
                <w:sz w:val="24"/>
                <w:highlight w:val="none"/>
              </w:rPr>
            </w:pPr>
            <w:r>
              <w:rPr>
                <w:rFonts w:hint="eastAsia" w:eastAsia="仿宋_GB2312" w:cs="仿宋_GB2312"/>
                <w:sz w:val="24"/>
                <w:highlight w:val="none"/>
              </w:rPr>
              <w:t xml:space="preserve">1</w:t>
            </w:r>
            <w:r/>
          </w:p>
        </w:tc>
        <w:tc>
          <w:tcPr>
            <w:tcBorders>
              <w:top w:val="single" w:color="auto" w:sz="6" w:space="0"/>
              <w:left w:val="single" w:color="auto" w:sz="6" w:space="0"/>
              <w:bottom w:val="single" w:color="auto" w:sz="6" w:space="0"/>
              <w:right w:val="single" w:color="auto" w:sz="6" w:space="0"/>
            </w:tcBorders>
            <w:tcW w:w="794"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技术方案</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需求理解</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3</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bCs/>
                <w:sz w:val="24"/>
                <w:highlight w:val="none"/>
              </w:rPr>
              <w:t xml:space="preserve">包括：①对本项目开展背景</w:t>
            </w:r>
            <w:r>
              <w:rPr>
                <w:rFonts w:hint="eastAsia" w:ascii="仿宋" w:hAnsi="仿宋" w:eastAsia="仿宋" w:cs="仿宋"/>
                <w:color w:val="000000"/>
                <w:sz w:val="24"/>
                <w:highlight w:val="none"/>
              </w:rPr>
              <w:t xml:space="preserve">现状；</w:t>
            </w:r>
            <w:r>
              <w:rPr>
                <w:rFonts w:hint="eastAsia" w:ascii="仿宋" w:hAnsi="仿宋" w:eastAsia="仿宋" w:cs="仿宋"/>
                <w:bCs/>
                <w:sz w:val="24"/>
                <w:highlight w:val="none"/>
              </w:rPr>
              <w:t xml:space="preserve">②</w:t>
            </w:r>
            <w:r>
              <w:rPr>
                <w:rFonts w:hint="eastAsia" w:ascii="仿宋" w:hAnsi="仿宋" w:eastAsia="仿宋" w:cs="仿宋"/>
                <w:color w:val="000000"/>
                <w:sz w:val="24"/>
                <w:highlight w:val="none"/>
              </w:rPr>
              <w:t xml:space="preserve">调查内容；</w:t>
            </w:r>
            <w:r>
              <w:rPr>
                <w:rFonts w:hint="eastAsia" w:ascii="仿宋" w:hAnsi="仿宋" w:eastAsia="仿宋" w:cs="仿宋"/>
                <w:bCs/>
                <w:sz w:val="24"/>
                <w:highlight w:val="none"/>
              </w:rPr>
              <w:t xml:space="preserve">③</w:t>
            </w:r>
            <w:r>
              <w:rPr>
                <w:rFonts w:hint="eastAsia" w:ascii="仿宋" w:hAnsi="仿宋" w:eastAsia="仿宋" w:cs="仿宋"/>
                <w:color w:val="000000"/>
                <w:sz w:val="24"/>
                <w:highlight w:val="none"/>
              </w:rPr>
              <w:t xml:space="preserve">调查思路及相关技术规范等方面理解，能详细掌握研究区域基本情况，且重难点阐述清晰合理。</w:t>
            </w:r>
            <w:r/>
          </w:p>
          <w:p>
            <w:pPr>
              <w:rPr>
                <w:rFonts w:ascii="仿宋" w:hAnsi="仿宋" w:eastAsia="仿宋" w:cs="仿宋"/>
                <w:bCs/>
                <w:sz w:val="24"/>
                <w:highlight w:val="none"/>
              </w:rPr>
            </w:pPr>
            <w:r>
              <w:rPr>
                <w:rFonts w:hint="eastAsia" w:ascii="仿宋" w:hAnsi="仿宋" w:eastAsia="仿宋" w:cs="仿宋"/>
                <w:bCs/>
                <w:sz w:val="24"/>
                <w:highlight w:val="none"/>
              </w:rPr>
              <w:t xml:space="preserve">上述3方面内容中每缺少一项内容扣1分，每有一处内容存在缺陷或不足的扣0.5分，扣完为止。 （本项最高得3分）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jc w:val="left"/>
              <w:rPr>
                <w:rFonts w:ascii="仿宋" w:hAnsi="仿宋" w:eastAsia="仿宋"/>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343"/>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42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10</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包括：①调查区域划分；②前期准备事项；③野外调查安排；</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 4 \* GB3 \* MERGEFORMAT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④</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数据分析及资料整理；</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 5 \* GB3 \* MERGEFORMAT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⑤</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生物多样性综合评价。</w:t>
            </w:r>
            <w:r/>
          </w:p>
          <w:p>
            <w:pPr>
              <w:rPr>
                <w:rFonts w:ascii="仿宋" w:hAnsi="仿宋" w:eastAsia="仿宋" w:cs="仿宋"/>
                <w:bCs/>
                <w:sz w:val="24"/>
                <w:highlight w:val="none"/>
              </w:rPr>
            </w:pPr>
            <w:r>
              <w:rPr>
                <w:rFonts w:hint="eastAsia" w:ascii="仿宋" w:hAnsi="仿宋" w:eastAsia="仿宋" w:cs="仿宋"/>
                <w:bCs/>
                <w:sz w:val="24"/>
                <w:highlight w:val="none"/>
              </w:rPr>
              <w:t xml:space="preserve">上述5方面内容中每缺少一项内容扣2分，每有一处内容存在缺陷或不足的扣0.5分，扣完为止。（本项最高得10分） </w:t>
            </w:r>
            <w:r/>
          </w:p>
          <w:p>
            <w:pPr>
              <w:rPr>
                <w:rFonts w:ascii="仿宋" w:hAnsi="仿宋" w:eastAsia="仿宋"/>
                <w:sz w:val="24"/>
                <w:highlight w:val="none"/>
              </w:rPr>
            </w:pPr>
            <w:r>
              <w:rPr>
                <w:rFonts w:hint="eastAsia" w:ascii="仿宋" w:hAnsi="仿宋" w:eastAsia="仿宋" w:cs="仿宋"/>
                <w:bCs/>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2985"/>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42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left"/>
              <w:rPr>
                <w:rFonts w:ascii="仿宋" w:hAnsi="仿宋" w:eastAsia="仿宋"/>
                <w:sz w:val="24"/>
                <w:highlight w:val="none"/>
              </w:rPr>
            </w:pPr>
            <w:r>
              <w:rPr>
                <w:rFonts w:hint="eastAsia" w:ascii="仿宋" w:hAnsi="仿宋" w:eastAsia="仿宋" w:cs="仿宋"/>
                <w:bCs/>
                <w:sz w:val="24"/>
                <w:highlight w:val="none"/>
              </w:rPr>
              <w:t xml:space="preserve">重难点分析和对策措施</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4</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包括：①本次涉及的重难点；②对策措施。</w:t>
            </w:r>
            <w:r/>
          </w:p>
          <w:p>
            <w:pPr>
              <w:rPr>
                <w:rFonts w:ascii="仿宋" w:hAnsi="仿宋" w:eastAsia="仿宋" w:cs="仿宋"/>
                <w:bCs/>
                <w:sz w:val="24"/>
                <w:highlight w:val="none"/>
              </w:rPr>
            </w:pPr>
            <w:r>
              <w:rPr>
                <w:rFonts w:hint="eastAsia" w:ascii="仿宋" w:hAnsi="仿宋" w:eastAsia="仿宋" w:cs="仿宋"/>
                <w:bCs/>
                <w:sz w:val="24"/>
                <w:highlight w:val="none"/>
              </w:rPr>
              <w:t xml:space="preserve">上述2方面内容中每缺少一项内容扣2分，每有一处内容存在缺陷或不足的扣0.5分，扣完为止。(本项最多得4分)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jc w:val="left"/>
              <w:rPr>
                <w:rFonts w:ascii="仿宋" w:hAnsi="仿宋" w:eastAsia="仿宋"/>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3181"/>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42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bCs/>
                <w:sz w:val="24"/>
                <w:highlight w:val="none"/>
              </w:rPr>
              <w:t xml:space="preserve">质量保证措施、进度保障措施及后续服务</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bCs/>
                <w:sz w:val="24"/>
                <w:highlight w:val="none"/>
              </w:rPr>
              <w:t xml:space="preserve">3</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仿宋" w:hAnsi="仿宋" w:eastAsia="仿宋" w:cs="仿宋"/>
                <w:bCs/>
                <w:sz w:val="24"/>
                <w:highlight w:val="none"/>
              </w:rPr>
            </w:pPr>
            <w:r>
              <w:rPr>
                <w:rFonts w:hint="eastAsia" w:ascii="仿宋" w:hAnsi="仿宋" w:eastAsia="仿宋" w:cs="仿宋"/>
                <w:bCs/>
                <w:sz w:val="24"/>
                <w:highlight w:val="none"/>
              </w:rPr>
              <w:t xml:space="preserve">包括①质量保证措施；②进度保障措施；③后续服务。</w:t>
            </w:r>
            <w:r/>
          </w:p>
          <w:p>
            <w:pPr>
              <w:rPr>
                <w:rFonts w:ascii="仿宋" w:hAnsi="仿宋" w:eastAsia="仿宋" w:cs="仿宋"/>
                <w:bCs/>
                <w:sz w:val="24"/>
                <w:highlight w:val="none"/>
              </w:rPr>
            </w:pPr>
            <w:r>
              <w:rPr>
                <w:rFonts w:hint="eastAsia" w:ascii="仿宋" w:hAnsi="仿宋" w:eastAsia="仿宋" w:cs="仿宋"/>
                <w:bCs/>
                <w:sz w:val="24"/>
                <w:highlight w:val="none"/>
              </w:rPr>
              <w:t xml:space="preserve">上述3方面内容中每缺少一项内容扣1分，每有一处内容存在缺陷或不足的扣0.5分，扣完为止。(本项最多得3分)</w:t>
            </w:r>
            <w:r/>
          </w:p>
          <w:p>
            <w:pPr>
              <w:rPr>
                <w:rFonts w:ascii="仿宋" w:hAnsi="仿宋" w:eastAsia="仿宋" w:cs="仿宋"/>
                <w:bCs/>
                <w:sz w:val="24"/>
                <w:highlight w:val="none"/>
              </w:rPr>
            </w:pPr>
            <w:r>
              <w:rPr>
                <w:rFonts w:hint="eastAsia" w:ascii="仿宋" w:hAnsi="仿宋" w:eastAsia="仿宋" w:cs="仿宋"/>
                <w:bCs/>
                <w:sz w:val="24"/>
                <w:highlight w:val="none"/>
              </w:rPr>
              <w:t xml:space="preserve">注：实施方案内容存在缺陷或不足是指以下任意一种情形：</w:t>
            </w:r>
            <w:r/>
          </w:p>
          <w:p>
            <w:pPr>
              <w:rPr>
                <w:rFonts w:ascii="仿宋" w:hAnsi="仿宋" w:eastAsia="仿宋"/>
                <w:sz w:val="24"/>
                <w:highlight w:val="none"/>
              </w:rPr>
            </w:pPr>
            <w:r>
              <w:rPr>
                <w:rFonts w:hint="eastAsia" w:ascii="仿宋" w:hAnsi="仿宋" w:eastAsia="仿宋" w:cs="仿宋"/>
                <w:bCs/>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38"/>
        </w:trPr>
        <w:tc>
          <w:tcPr>
            <w:tcBorders>
              <w:top w:val="single" w:color="auto" w:sz="6" w:space="0"/>
              <w:left w:val="single" w:color="auto" w:sz="12" w:space="0"/>
              <w:bottom w:val="single" w:color="auto" w:sz="6" w:space="0"/>
              <w:right w:val="single" w:color="auto" w:sz="6" w:space="0"/>
            </w:tcBorders>
            <w:tcW w:w="709" w:type="dxa"/>
            <w:vAlign w:val="center"/>
            <w:vMerge w:val="restart"/>
            <w:textDirection w:val="lrTb"/>
            <w:noWrap w:val="false"/>
          </w:tcPr>
          <w:p>
            <w:pPr>
              <w:jc w:val="center"/>
              <w:spacing w:line="360" w:lineRule="exact"/>
              <w:rPr>
                <w:rFonts w:ascii="仿宋" w:hAnsi="仿宋" w:eastAsia="仿宋"/>
                <w:sz w:val="24"/>
                <w:highlight w:val="none"/>
              </w:rPr>
            </w:pPr>
            <w:r>
              <w:rPr>
                <w:rFonts w:hint="eastAsia" w:eastAsia="仿宋_GB2312" w:cs="仿宋_GB2312"/>
                <w:sz w:val="24"/>
                <w:highlight w:val="none"/>
              </w:rPr>
              <w:t xml:space="preserve">2</w:t>
            </w:r>
            <w:r/>
          </w:p>
        </w:tc>
        <w:tc>
          <w:tcPr>
            <w:tcBorders>
              <w:top w:val="single" w:color="auto" w:sz="6" w:space="0"/>
              <w:left w:val="single" w:color="auto" w:sz="6" w:space="0"/>
              <w:bottom w:val="single" w:color="auto" w:sz="6" w:space="0"/>
              <w:right w:val="single" w:color="auto" w:sz="6" w:space="0"/>
            </w:tcBorders>
            <w:tcW w:w="794" w:type="dxa"/>
            <w:vAlign w:val="center"/>
            <w:vMerge w:val="restart"/>
            <w:textDirection w:val="lrTb"/>
            <w:noWrap w:val="false"/>
          </w:tcPr>
          <w:p>
            <w:pPr>
              <w:jc w:val="left"/>
              <w:rPr>
                <w:rFonts w:ascii="仿宋" w:hAnsi="仿宋" w:eastAsia="仿宋"/>
                <w:sz w:val="24"/>
                <w:highlight w:val="none"/>
              </w:rPr>
            </w:pPr>
            <w:r>
              <w:rPr>
                <w:rFonts w:hint="eastAsia" w:ascii="仿宋" w:hAnsi="仿宋" w:eastAsia="仿宋" w:cs="仿宋"/>
                <w:color w:val="000000"/>
                <w:sz w:val="24"/>
                <w:highlight w:val="none"/>
              </w:rPr>
              <w:t xml:space="preserve">专业能力 </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left"/>
              <w:rPr>
                <w:rFonts w:ascii="仿宋" w:hAnsi="仿宋" w:eastAsia="仿宋"/>
                <w:sz w:val="24"/>
                <w:highlight w:val="none"/>
              </w:rPr>
            </w:pPr>
            <w:r>
              <w:rPr>
                <w:rFonts w:hint="eastAsia" w:ascii="仿宋" w:hAnsi="仿宋" w:eastAsia="仿宋" w:cs="仿宋"/>
                <w:bCs/>
                <w:sz w:val="24"/>
                <w:highlight w:val="none"/>
              </w:rPr>
              <w:t xml:space="preserve">企业实力</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numPr>
                <w:ilvl w:val="0"/>
                <w:numId w:val="4"/>
              </w:num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供应商具有质量管理体系、环境管理体系、职业健康安全管理体系、知识产权管理体系认证证书的，每有一项得1分，本项最高得4分。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2.供应商具有乙级及以上测绘资质（专业类别包括测绘航空摄影）的，每有一项得2分，本项最高得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3.供应商须持有有效的检验检测机构资质认定（CMA）证书（认证类别包括生物相关），得2分。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注：提供证书原件扫描件上传。</w:t>
            </w:r>
            <w:r/>
          </w:p>
          <w:p>
            <w:pPr>
              <w:jc w:val="left"/>
              <w:rPr>
                <w:rFonts w:ascii="仿宋" w:hAnsi="仿宋" w:eastAsia="仿宋"/>
                <w:sz w:val="24"/>
                <w:highlight w:val="none"/>
              </w:rPr>
            </w:pPr>
            <w:r>
              <w:rPr>
                <w:rFonts w:hint="eastAsia" w:ascii="仿宋" w:hAnsi="仿宋" w:eastAsia="仿宋" w:cs="仿宋"/>
                <w:color w:val="000000"/>
                <w:sz w:val="24"/>
                <w:highlight w:val="none"/>
              </w:rPr>
              <w:t xml:space="preserve">4.供应商生物多样性调查相关项目获设区市级及以上行业主管部门颁发的表彰的，得3分 ；获县区市级及以上行业主管部门颁发的表彰的，得1分 。</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878"/>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left"/>
              <w:rPr>
                <w:rFonts w:ascii="仿宋" w:hAnsi="仿宋" w:eastAsia="仿宋"/>
                <w:sz w:val="24"/>
                <w:highlight w:val="none"/>
              </w:rPr>
            </w:pPr>
            <w:r>
              <w:rPr>
                <w:rFonts w:hint="eastAsia" w:ascii="仿宋" w:hAnsi="仿宋" w:eastAsia="仿宋" w:cs="仿宋"/>
                <w:color w:val="000000"/>
                <w:sz w:val="24"/>
                <w:highlight w:val="none"/>
              </w:rPr>
              <w:t xml:space="preserve">项目负责人</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8</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1.项目负责人具备生态环境、林业相关专业类研究员级或教授级高级工程师（正高）职称证书的，得2分；项目主要负责人具有生态环境、林业相关专业类高级工程师（副高）职称的，得1分。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2.项目负责人获得过设区市级及以上生态环境部门颁发的生态监测培训证书的得3分。</w:t>
            </w:r>
            <w:r/>
          </w:p>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注：提供职称及证书原件扫描件上传，</w:t>
            </w:r>
            <w:r>
              <w:rPr>
                <w:rFonts w:hint="eastAsia" w:ascii="仿宋" w:hAnsi="仿宋" w:eastAsia="仿宋" w:cs="仿宋"/>
                <w:bCs/>
                <w:sz w:val="24"/>
                <w:highlight w:val="none"/>
              </w:rPr>
              <w:t xml:space="preserve">并提供响应文件提交截止日前近3个月内任意1个月响应供应商为其缴纳社保的证明；新成立企业距响应文件提交截止日期不足30日的，可不提供缴纳社保的证明（以新办企业营业执照发放日期为准）。</w:t>
            </w:r>
            <w:r/>
          </w:p>
          <w:p>
            <w:pPr>
              <w:jc w:val="left"/>
              <w:rPr>
                <w:rFonts w:ascii="仿宋" w:hAnsi="仿宋" w:eastAsia="仿宋"/>
                <w:sz w:val="24"/>
                <w:highlight w:val="none"/>
              </w:rPr>
            </w:pPr>
            <w:r>
              <w:rPr>
                <w:rFonts w:hint="eastAsia" w:ascii="仿宋" w:hAnsi="仿宋" w:eastAsia="仿宋" w:cs="仿宋"/>
                <w:color w:val="000000"/>
                <w:sz w:val="24"/>
                <w:highlight w:val="none"/>
              </w:rPr>
              <w:t xml:space="preserve">3.项目负责人自2022年1月1日以来承担过类似生物多样性调查相关业绩并担任项目负责人的，得3分。（提供合同原件扫描件上传，如合同中无法体现的，需提供加盖合同甲方公章的证明材料。）</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1290"/>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项目组成员</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bCs/>
                <w:sz w:val="24"/>
                <w:highlight w:val="none"/>
              </w:rPr>
              <w:t xml:space="preserve">12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1.项目组成员（除项目负责人外至少5人</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不满足5人不得分</w:t>
            </w:r>
            <w:r>
              <w:rPr>
                <w:rFonts w:hint="eastAsia" w:ascii="仿宋" w:hAnsi="仿宋" w:eastAsia="仿宋" w:cs="仿宋"/>
                <w:bCs/>
                <w:sz w:val="24"/>
                <w:highlight w:val="none"/>
              </w:rPr>
              <w:t xml:space="preserve">）具有野生动植物保护与利用、自然保护区、生态学、环境监测、动物学、植物学、生物安全、遥感科学与技术等专业副高级及以上职称的，每有一人得1分；具有野生动植物保护与利用、自然保护区、生态学、环境监测、动物学、植物学、生物安全、遥感科学与技术等专业的中级职称及以上的，每有一人得0.5分；本项最高得9分。（需满足项目组最低人数要求，否则不得分）</w:t>
            </w:r>
            <w:r/>
          </w:p>
          <w:p>
            <w:pPr>
              <w:jc w:val="left"/>
              <w:rPr>
                <w:rFonts w:eastAsia="仿宋_GB2312" w:cs="仿宋_GB2312"/>
                <w:sz w:val="24"/>
                <w:highlight w:val="none"/>
              </w:rPr>
            </w:pPr>
            <w:r>
              <w:rPr>
                <w:rFonts w:hint="eastAsia" w:ascii="仿宋" w:hAnsi="仿宋" w:eastAsia="仿宋" w:cs="仿宋"/>
                <w:bCs/>
                <w:sz w:val="24"/>
                <w:highlight w:val="none"/>
              </w:rPr>
              <w:t xml:space="preserve">注：提供职称证书扫描件上传，并提供响应文件提交截止日前近3个月内任意1个月响应供应商为其缴纳社保的证明；新成立企业距响应文件提交截止日期不足30日的，可不提供缴纳社保的证明（以新办企业营业执照发放日期为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2.项目组成员获得过具有设区市级及以上生态环境部门颁发的</w:t>
            </w:r>
            <w:r>
              <w:rPr>
                <w:rFonts w:hint="eastAsia" w:ascii="仿宋" w:hAnsi="仿宋" w:eastAsia="仿宋" w:cs="仿宋"/>
                <w:bCs/>
                <w:sz w:val="24"/>
                <w:highlight w:val="none"/>
                <w:lang w:val="en-US" w:eastAsia="zh-CN"/>
              </w:rPr>
              <w:t xml:space="preserve">表彰的</w:t>
            </w:r>
            <w:r>
              <w:rPr>
                <w:rFonts w:hint="eastAsia" w:ascii="仿宋" w:hAnsi="仿宋" w:eastAsia="仿宋" w:cs="仿宋"/>
                <w:bCs/>
                <w:sz w:val="24"/>
                <w:highlight w:val="none"/>
              </w:rPr>
              <w:t xml:space="preserve">的，每有一人得1分；县市级及以上生态环境部门颁发的</w:t>
            </w:r>
            <w:r>
              <w:rPr>
                <w:rFonts w:hint="eastAsia" w:ascii="仿宋" w:hAnsi="仿宋" w:eastAsia="仿宋" w:cs="仿宋"/>
                <w:bCs/>
                <w:sz w:val="24"/>
                <w:highlight w:val="none"/>
                <w:lang w:val="en-US" w:eastAsia="zh-CN"/>
              </w:rPr>
              <w:t xml:space="preserve">表彰</w:t>
            </w:r>
            <w:r>
              <w:rPr>
                <w:rFonts w:hint="eastAsia" w:ascii="仿宋" w:hAnsi="仿宋" w:eastAsia="仿宋" w:cs="仿宋"/>
                <w:bCs/>
                <w:sz w:val="24"/>
                <w:highlight w:val="none"/>
              </w:rPr>
              <w:t xml:space="preserve">的，每有一人得0.5分；本项最高得3分。</w:t>
            </w:r>
            <w:r/>
          </w:p>
          <w:p>
            <w:pPr>
              <w:jc w:val="left"/>
              <w:rPr>
                <w:rFonts w:ascii="仿宋" w:hAnsi="仿宋" w:eastAsia="仿宋"/>
                <w:sz w:val="24"/>
                <w:highlight w:val="none"/>
              </w:rPr>
            </w:pPr>
            <w:r>
              <w:rPr>
                <w:rFonts w:hint="eastAsia" w:ascii="仿宋" w:hAnsi="仿宋" w:eastAsia="仿宋" w:cs="仿宋"/>
                <w:bCs/>
                <w:sz w:val="24"/>
                <w:highlight w:val="none"/>
              </w:rPr>
              <w:t xml:space="preserve">注：提供证书扫描件上传，并提供响应文件提交截止日前近3个月内任意1个月响应供应商为其缴纳社保的证明；新成立企业距响应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260"/>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仪器设备情况</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bCs/>
                <w:sz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cs="仿宋"/>
                <w:bCs/>
                <w:sz w:val="24"/>
                <w:highlight w:val="none"/>
              </w:rPr>
            </w:pPr>
            <w:r>
              <w:rPr>
                <w:rFonts w:hint="eastAsia" w:ascii="仿宋" w:hAnsi="仿宋" w:eastAsia="仿宋" w:cs="仿宋"/>
                <w:bCs/>
                <w:sz w:val="24"/>
                <w:highlight w:val="none"/>
              </w:rPr>
              <w:t xml:space="preserve">1.供应商</w:t>
            </w:r>
            <w:r>
              <w:rPr>
                <w:rFonts w:hint="eastAsia" w:ascii="仿宋" w:hAnsi="仿宋" w:eastAsia="仿宋" w:cs="仿宋"/>
                <w:bCs/>
                <w:sz w:val="24"/>
                <w:highlight w:val="none"/>
                <w:lang w:val="en-US" w:eastAsia="zh-CN"/>
              </w:rPr>
              <w:t xml:space="preserve">拥有</w:t>
            </w:r>
            <w:r>
              <w:rPr>
                <w:rFonts w:hint="eastAsia" w:ascii="仿宋" w:hAnsi="仿宋" w:eastAsia="仿宋" w:cs="仿宋"/>
                <w:bCs/>
                <w:sz w:val="24"/>
                <w:highlight w:val="none"/>
              </w:rPr>
              <w:t xml:space="preserve">无人机、红外相机、声纹采集仪数量</w:t>
            </w:r>
            <w:r>
              <w:rPr>
                <w:rFonts w:hint="eastAsia" w:ascii="仿宋" w:hAnsi="仿宋" w:eastAsia="仿宋" w:cs="仿宋"/>
                <w:bCs/>
                <w:sz w:val="24"/>
                <w:highlight w:val="none"/>
                <w:lang w:val="en-US" w:eastAsia="zh-CN"/>
              </w:rPr>
              <w:t xml:space="preserve">在项目需求中基本设备要求的</w:t>
            </w:r>
            <w:r>
              <w:rPr>
                <w:rFonts w:hint="eastAsia" w:ascii="仿宋" w:hAnsi="仿宋" w:eastAsia="仿宋" w:cs="仿宋"/>
                <w:bCs/>
                <w:sz w:val="24"/>
                <w:highlight w:val="none"/>
              </w:rPr>
              <w:t xml:space="preserve">每多1台，加</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分/台；不满足最低数量要求的，不得分。本项最高得</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分。</w:t>
            </w:r>
            <w:r/>
          </w:p>
          <w:p>
            <w:pPr>
              <w:jc w:val="left"/>
              <w:rPr>
                <w:rFonts w:ascii="仿宋" w:hAnsi="仿宋" w:eastAsia="仿宋" w:cs="仿宋"/>
                <w:bCs/>
                <w:sz w:val="24"/>
                <w:highlight w:val="none"/>
              </w:rPr>
            </w:pPr>
            <w:r>
              <w:rPr>
                <w:rFonts w:hint="eastAsia" w:ascii="仿宋" w:hAnsi="仿宋" w:eastAsia="仿宋" w:cs="仿宋"/>
                <w:bCs/>
                <w:sz w:val="24"/>
                <w:highlight w:val="none"/>
              </w:rPr>
              <w:t xml:space="preserve">2.供应商具备环境DNA核酸扩增系统、高通量核酸提取仪的，每有1台得</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分，本项最高得</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分。</w:t>
            </w:r>
            <w:r/>
          </w:p>
          <w:p>
            <w:pPr>
              <w:jc w:val="left"/>
              <w:rPr>
                <w:rFonts w:ascii="仿宋" w:hAnsi="仿宋" w:eastAsia="仿宋"/>
                <w:sz w:val="24"/>
                <w:highlight w:val="none"/>
              </w:rPr>
            </w:pPr>
            <w:r>
              <w:rPr>
                <w:rFonts w:hint="eastAsia" w:ascii="仿宋" w:hAnsi="仿宋" w:eastAsia="仿宋" w:cs="仿宋"/>
                <w:bCs/>
                <w:sz w:val="24"/>
                <w:highlight w:val="none"/>
              </w:rPr>
              <w:t xml:space="preserve">注：响应文件中需提供相关设备清单、发票原件扫描件或购置合同原件扫描件等证明材料上传。</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1060"/>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业绩</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供应商自2022年1月1日以来（以合同签订日期为准），承担过类似生物多样性调查项目业绩的，每有1个得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分，本项最高得</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w:t>
            </w:r>
            <w:r/>
          </w:p>
          <w:p>
            <w:pPr>
              <w:jc w:val="left"/>
              <w:rPr>
                <w:rFonts w:ascii="仿宋" w:hAnsi="仿宋" w:eastAsia="仿宋"/>
                <w:sz w:val="24"/>
                <w:highlight w:val="none"/>
              </w:rPr>
            </w:pPr>
            <w:r>
              <w:rPr>
                <w:rFonts w:hint="eastAsia" w:ascii="仿宋" w:hAnsi="仿宋" w:eastAsia="仿宋" w:cs="仿宋"/>
                <w:color w:val="000000"/>
                <w:sz w:val="24"/>
                <w:highlight w:val="none"/>
              </w:rPr>
              <w:t xml:space="preserve">注：提供合同原件扫描件上传，未提供不得分。</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1071"/>
        </w:trPr>
        <w:tc>
          <w:tcPr>
            <w:tcBorders>
              <w:top w:val="single" w:color="auto" w:sz="6" w:space="0"/>
              <w:left w:val="single" w:color="auto" w:sz="12" w:space="0"/>
              <w:bottom w:val="single" w:color="auto" w:sz="6" w:space="0"/>
              <w:right w:val="single" w:color="auto" w:sz="6" w:space="0"/>
            </w:tcBorders>
            <w:tcW w:w="709"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94" w:type="dxa"/>
            <w:vAlign w:val="center"/>
            <w:vMerge w:val="continue"/>
            <w:textDirection w:val="lrTb"/>
            <w:noWrap w:val="false"/>
          </w:tcPr>
          <w:p>
            <w:pPr>
              <w:jc w:val="center"/>
              <w:spacing w:line="360" w:lineRule="exact"/>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left"/>
              <w:rPr>
                <w:rFonts w:ascii="仿宋" w:hAnsi="仿宋" w:eastAsia="仿宋"/>
                <w:sz w:val="24"/>
                <w:highlight w:val="none"/>
              </w:rPr>
            </w:pPr>
            <w:r>
              <w:rPr>
                <w:rFonts w:hint="eastAsia" w:ascii="仿宋" w:hAnsi="仿宋" w:eastAsia="仿宋" w:cs="仿宋"/>
                <w:color w:val="000000"/>
                <w:sz w:val="24"/>
                <w:highlight w:val="none"/>
              </w:rPr>
              <w:t xml:space="preserve">履约能力</w:t>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left"/>
              <w:rPr>
                <w:rFonts w:ascii="仿宋" w:hAnsi="仿宋" w:eastAsia="仿宋"/>
                <w:sz w:val="24"/>
                <w:highlight w:val="none"/>
              </w:rPr>
            </w:pPr>
            <w:r>
              <w:rPr>
                <w:rFonts w:hint="eastAsia" w:ascii="仿宋" w:hAnsi="仿宋" w:eastAsia="仿宋" w:cs="仿宋"/>
                <w:color w:val="000000"/>
                <w:sz w:val="24"/>
                <w:highlight w:val="none"/>
              </w:rPr>
              <w:t xml:space="preserve">1.供应商作出实质性承诺，包括严格按照相关技术规范开展生物多样性调查、严格遵守保密规定等内容的，得2分；未作出实质性承诺的，不得分，承诺函格式自拟，加盖响应供应商公章。</w:t>
            </w:r>
            <w:r/>
          </w:p>
        </w:tc>
        <w:tc>
          <w:tcPr>
            <w:tcBorders>
              <w:top w:val="single" w:color="auto" w:sz="6" w:space="0"/>
              <w:left w:val="single" w:color="auto" w:sz="6" w:space="0"/>
              <w:bottom w:val="single" w:color="auto" w:sz="6" w:space="0"/>
              <w:right w:val="single" w:color="auto" w:sz="6" w:space="0"/>
            </w:tcBorders>
            <w:tcW w:w="154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（二）符合技术要求或者服务要求的相关证明材料</w:t>
      </w:r>
      <w:r/>
    </w:p>
    <w:p>
      <w:pPr>
        <w:pStyle w:val="876"/>
        <w:ind w:firstLine="567"/>
        <w:spacing w:before="0" w:beforeAutospacing="0" w:after="0" w:afterAutospacing="0" w:line="500" w:lineRule="exact"/>
        <w:shd w:val="clear" w:color="auto" w:fill="ffffff"/>
        <w:rPr>
          <w:rFonts w:hint="default" w:ascii="仿宋" w:hAnsi="仿宋" w:eastAsia="仿宋"/>
          <w:b/>
          <w:bCs/>
          <w:sz w:val="28"/>
          <w:szCs w:val="28"/>
          <w:highlight w:val="none"/>
          <w:lang w:val="en-US" w:eastAsia="zh-CN"/>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1）基本设备要求：</w:t>
      </w:r>
      <w:r/>
    </w:p>
    <w:tbl>
      <w:tblPr>
        <w:tblStyle w:val="877"/>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3484"/>
        <w:gridCol w:w="1532"/>
        <w:gridCol w:w="2871"/>
      </w:tblGrid>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序号</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设备名称</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数量</w:t>
            </w:r>
            <w:r/>
          </w:p>
        </w:tc>
        <w:tc>
          <w:tcPr>
            <w:tcW w:w="149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备注</w:t>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1</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无人机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2</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红外相机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5台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微单相机</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lang w:eastAsia="zh-CN"/>
              </w:rPr>
            </w:pPr>
            <w:r>
              <w:rPr>
                <w:rFonts w:hint="eastAsia" w:ascii="仿宋" w:hAnsi="仿宋" w:eastAsia="仿宋" w:cs="Times New Roman"/>
                <w:b/>
                <w:bCs/>
                <w:sz w:val="28"/>
                <w:szCs w:val="28"/>
                <w:highlight w:val="none"/>
                <w:lang w:eastAsia="zh-CN"/>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4</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单筒或双筒望远镜</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5台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5</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显微镜</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6台</w:t>
            </w:r>
            <w:r/>
          </w:p>
        </w:tc>
        <w:tc>
          <w:tcPr>
            <w:tcW w:w="1499" w:type="pct"/>
            <w:vAlign w:val="center"/>
            <w:textDirection w:val="lrTb"/>
            <w:noWrap w:val="false"/>
          </w:tcPr>
          <w:p>
            <w:pPr>
              <w:ind w:firstLine="562"/>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r>
            <w:r/>
          </w:p>
        </w:tc>
      </w:tr>
      <w:tr>
        <w:trPr>
          <w:jc w:val="center"/>
          <w:trHeight w:val="387"/>
        </w:trPr>
        <w:tc>
          <w:tcPr>
            <w:tcW w:w="880" w:type="pct"/>
            <w:vAlign w:val="center"/>
            <w:textDirection w:val="lrTb"/>
            <w:noWrap w:val="false"/>
          </w:tcPr>
          <w:p>
            <w:pPr>
              <w:jc w:val="center"/>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6</w:t>
            </w:r>
            <w:r/>
          </w:p>
        </w:tc>
        <w:tc>
          <w:tcPr>
            <w:tcW w:w="181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声纹采集仪</w:t>
            </w:r>
            <w:r/>
          </w:p>
        </w:tc>
        <w:tc>
          <w:tcPr>
            <w:tcW w:w="800"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1台</w:t>
            </w:r>
            <w:r/>
          </w:p>
        </w:tc>
        <w:tc>
          <w:tcPr>
            <w:tcW w:w="1499" w:type="pct"/>
            <w:vAlign w:val="center"/>
            <w:textDirection w:val="lrTb"/>
            <w:noWrap w:val="false"/>
          </w:tcPr>
          <w:p>
            <w:pPr>
              <w:jc w:val="center"/>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带有自动降噪功能，有声音时触发录制</w:t>
            </w:r>
            <w:r/>
          </w:p>
        </w:tc>
      </w:tr>
    </w:tbl>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设备方面：①如供应商为设备制造商的须提供库存设备清单；②如供应商为非设备制造商的需提供以下证明材料：已经购买设备的须提供购置发票或采购合同扫描件；已经租赁的，提供租赁合同扫描件和租赁费支付证明材料；③暂未购买或租赁的须提供承诺书，承诺成交后提供上述设备服务于本项目。</w:t>
      </w:r>
      <w:r/>
    </w:p>
    <w:p>
      <w:pPr>
        <w:ind w:firstLine="562"/>
        <w:jc w:val="left"/>
        <w:spacing w:line="46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（2）技术要求：</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①具备鸟类人工智能识别观测技术。</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②具备江苏省生物多样性物种名录数据库，涵盖鸟类、陆生维管、陆生脊椎、陆生昆虫、水生生物等。</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③具备对物种的数据统计管理能力，能按照调查地点、调查时间、调查类别等多种方式统计。</w:t>
      </w:r>
      <w:r/>
    </w:p>
    <w:p>
      <w:pPr>
        <w:ind w:firstLine="562"/>
        <w:jc w:val="left"/>
        <w:spacing w:line="46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注：提供设备、证书、实操界面等相关证明材料上传，未按要求提供不得分。</w:t>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86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42"/>
        <w:gridCol w:w="3510"/>
        <w:gridCol w:w="1484"/>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自合同签订之日起至2027年10月30日。 </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根据采购人要求</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考核方案</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成果内容符合相关政策文件及采购人的采购要求。</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采购人根据国家有关规定、招标文件、响应文件以及合同约定的内容组织验收。</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合同签订后支付合同金额的30%，提交中期进展报告后支付合同金额的40%，完成全部工作经验收通过后付清余款。</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人民币报价，报价包含服务期内的人员经费、办公经费、差旅、住宿、专家评审费、税金、采购代理服务等一切与本项目相关的费用。 </w:t>
            </w:r>
            <w:r/>
          </w:p>
          <w:p>
            <w:pPr>
              <w:rPr>
                <w:rFonts w:ascii="仿宋" w:hAnsi="仿宋" w:eastAsia="仿宋"/>
                <w:sz w:val="24"/>
                <w:highlight w:val="none"/>
              </w:rPr>
            </w:pPr>
            <w:r>
              <w:rPr>
                <w:rFonts w:hint="eastAsia" w:ascii="仿宋" w:hAnsi="仿宋" w:eastAsia="仿宋"/>
                <w:sz w:val="24"/>
                <w:highlight w:val="none"/>
              </w:rPr>
              <w:t xml:space="preserve">供应商应充分了解本项目特点，报价中应充分考虑到一切风险及不可预见性费用，报价中视为已包含此部分因素。报价在合同期内不随市场价格的变化及政策的改变因素而调整。</w:t>
            </w:r>
            <w:r/>
          </w:p>
        </w:tc>
        <w:tc>
          <w:tcPr>
            <w:tcBorders>
              <w:top w:val="single" w:color="auto" w:sz="4" w:space="0"/>
              <w:left w:val="single" w:color="auto" w:sz="4" w:space="0"/>
              <w:bottom w:val="single" w:color="auto" w:sz="4" w:space="0"/>
              <w:right w:val="single" w:color="auto" w:sz="4" w:space="0"/>
            </w:tcBorders>
            <w:tcW w:w="148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86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Cs/>
          <w:sz w:val="32"/>
          <w:szCs w:val="32"/>
          <w:highlight w:val="none"/>
          <w:u w:val="single"/>
        </w:rPr>
        <w:t xml:space="preserve">南通市如皋生态环境局</w:t>
      </w:r>
      <w:r>
        <w:rPr>
          <w:rFonts w:hint="eastAsia" w:ascii="仿宋" w:hAnsi="仿宋" w:eastAsia="仿宋"/>
          <w:sz w:val="32"/>
          <w:szCs w:val="32"/>
          <w:highlight w:val="none"/>
        </w:rPr>
        <w:t xml:space="preserve">的</w:t>
      </w:r>
      <w:r>
        <w:rPr>
          <w:rFonts w:hint="eastAsia" w:ascii="仿宋" w:hAnsi="仿宋" w:eastAsia="仿宋"/>
          <w:iCs/>
          <w:sz w:val="32"/>
          <w:szCs w:val="32"/>
          <w:highlight w:val="none"/>
          <w:u w:val="single"/>
        </w:rPr>
        <w:t xml:space="preserve">如皋市第二轮生物多样性本底调查</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Cs/>
          <w:sz w:val="32"/>
          <w:szCs w:val="32"/>
          <w:highlight w:val="none"/>
          <w:u w:val="single"/>
        </w:rPr>
        <w:t xml:space="preserve">如皋市第二轮生物多样性本底调查</w:t>
      </w:r>
      <w:r>
        <w:rPr>
          <w:rFonts w:hint="eastAsia" w:ascii="仿宋" w:hAnsi="仿宋" w:eastAsia="仿宋"/>
          <w:sz w:val="32"/>
          <w:szCs w:val="32"/>
          <w:highlight w:val="none"/>
        </w:rPr>
        <w:t xml:space="preserve">，属于</w:t>
      </w:r>
      <w:r>
        <w:rPr>
          <w:rFonts w:hint="eastAsia" w:ascii="仿宋" w:hAnsi="仿宋" w:eastAsia="仿宋"/>
          <w:iCs/>
          <w:sz w:val="32"/>
          <w:szCs w:val="32"/>
          <w:highlight w:val="none"/>
          <w:u w:val="single"/>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right="560"/>
        <w:spacing w:line="500" w:lineRule="exact"/>
        <w:rPr>
          <w:rFonts w:ascii="仿宋" w:hAnsi="仿宋" w:eastAsia="仿宋"/>
          <w:sz w:val="28"/>
          <w:szCs w:val="28"/>
          <w:highlight w:val="none"/>
        </w:rP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仿宋" w:hAnsi="仿宋" w:eastAsia="仿宋"/>
          <w:sz w:val="28"/>
          <w:szCs w:val="28"/>
          <w:highlight w:val="none"/>
        </w:rPr>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36</w:t>
    </w:r>
    <w:r>
      <w:fldChar w:fldCharType="end"/>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79"/>
      </w:rPr>
      <w:framePr w:wrap="around" w:vAnchor="text" w:hAnchor="margin" w:xAlign="center" w:y="1"/>
    </w:pPr>
    <w:r>
      <w:fldChar w:fldCharType="begin"/>
    </w:r>
    <w:r>
      <w:rPr>
        <w:rStyle w:val="879"/>
      </w:rPr>
      <w:instrText xml:space="preserve">PAGE  </w:instrTex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863"/>
    <w:link w:val="859"/>
    <w:uiPriority w:val="9"/>
    <w:rPr>
      <w:rFonts w:ascii="Arial" w:hAnsi="Arial" w:eastAsia="Arial" w:cs="Arial"/>
      <w:sz w:val="40"/>
      <w:szCs w:val="40"/>
    </w:rPr>
  </w:style>
  <w:style w:type="character" w:styleId="690">
    <w:name w:val="Heading 2 Char"/>
    <w:basedOn w:val="863"/>
    <w:link w:val="860"/>
    <w:uiPriority w:val="9"/>
    <w:rPr>
      <w:rFonts w:ascii="Arial" w:hAnsi="Arial" w:eastAsia="Arial" w:cs="Arial"/>
      <w:sz w:val="34"/>
    </w:rPr>
  </w:style>
  <w:style w:type="character" w:styleId="691">
    <w:name w:val="Heading 3 Char"/>
    <w:basedOn w:val="863"/>
    <w:link w:val="861"/>
    <w:uiPriority w:val="9"/>
    <w:rPr>
      <w:rFonts w:ascii="Arial" w:hAnsi="Arial" w:eastAsia="Arial" w:cs="Arial"/>
      <w:sz w:val="30"/>
      <w:szCs w:val="30"/>
    </w:rPr>
  </w:style>
  <w:style w:type="character" w:styleId="692">
    <w:name w:val="Heading 4 Char"/>
    <w:basedOn w:val="863"/>
    <w:link w:val="862"/>
    <w:uiPriority w:val="9"/>
    <w:rPr>
      <w:rFonts w:ascii="Arial" w:hAnsi="Arial" w:eastAsia="Arial" w:cs="Arial"/>
      <w:b/>
      <w:bCs/>
      <w:sz w:val="26"/>
      <w:szCs w:val="26"/>
    </w:rPr>
  </w:style>
  <w:style w:type="paragraph" w:styleId="693">
    <w:name w:val="Heading 5"/>
    <w:basedOn w:val="858"/>
    <w:next w:val="858"/>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3"/>
    <w:link w:val="693"/>
    <w:uiPriority w:val="9"/>
    <w:rPr>
      <w:rFonts w:ascii="Arial" w:hAnsi="Arial" w:eastAsia="Arial" w:cs="Arial"/>
      <w:b/>
      <w:bCs/>
      <w:sz w:val="24"/>
      <w:szCs w:val="24"/>
    </w:rPr>
  </w:style>
  <w:style w:type="paragraph" w:styleId="695">
    <w:name w:val="Heading 6"/>
    <w:basedOn w:val="858"/>
    <w:next w:val="858"/>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3"/>
    <w:link w:val="695"/>
    <w:uiPriority w:val="9"/>
    <w:rPr>
      <w:rFonts w:ascii="Arial" w:hAnsi="Arial" w:eastAsia="Arial" w:cs="Arial"/>
      <w:b/>
      <w:bCs/>
      <w:sz w:val="22"/>
      <w:szCs w:val="22"/>
    </w:rPr>
  </w:style>
  <w:style w:type="paragraph" w:styleId="697">
    <w:name w:val="Heading 7"/>
    <w:basedOn w:val="858"/>
    <w:next w:val="858"/>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3"/>
    <w:link w:val="697"/>
    <w:uiPriority w:val="9"/>
    <w:rPr>
      <w:rFonts w:ascii="Arial" w:hAnsi="Arial" w:eastAsia="Arial" w:cs="Arial"/>
      <w:b/>
      <w:bCs/>
      <w:i/>
      <w:iCs/>
      <w:sz w:val="22"/>
      <w:szCs w:val="22"/>
    </w:rPr>
  </w:style>
  <w:style w:type="paragraph" w:styleId="699">
    <w:name w:val="Heading 8"/>
    <w:basedOn w:val="858"/>
    <w:next w:val="858"/>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3"/>
    <w:link w:val="699"/>
    <w:uiPriority w:val="9"/>
    <w:rPr>
      <w:rFonts w:ascii="Arial" w:hAnsi="Arial" w:eastAsia="Arial" w:cs="Arial"/>
      <w:i/>
      <w:iCs/>
      <w:sz w:val="22"/>
      <w:szCs w:val="22"/>
    </w:rPr>
  </w:style>
  <w:style w:type="paragraph" w:styleId="701">
    <w:name w:val="Heading 9"/>
    <w:basedOn w:val="858"/>
    <w:next w:val="858"/>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3"/>
    <w:link w:val="701"/>
    <w:uiPriority w:val="9"/>
    <w:rPr>
      <w:rFonts w:ascii="Arial" w:hAnsi="Arial" w:eastAsia="Arial" w:cs="Arial"/>
      <w:i/>
      <w:iCs/>
      <w:sz w:val="21"/>
      <w:szCs w:val="21"/>
    </w:rPr>
  </w:style>
  <w:style w:type="paragraph" w:styleId="703">
    <w:name w:val="List Paragraph"/>
    <w:basedOn w:val="858"/>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58"/>
    <w:next w:val="858"/>
    <w:link w:val="706"/>
    <w:uiPriority w:val="10"/>
    <w:qFormat/>
    <w:pPr>
      <w:contextualSpacing/>
      <w:spacing w:before="300" w:after="200"/>
    </w:pPr>
    <w:rPr>
      <w:sz w:val="48"/>
      <w:szCs w:val="48"/>
    </w:rPr>
  </w:style>
  <w:style w:type="character" w:styleId="706">
    <w:name w:val="Title Char"/>
    <w:basedOn w:val="863"/>
    <w:link w:val="705"/>
    <w:uiPriority w:val="10"/>
    <w:rPr>
      <w:sz w:val="48"/>
      <w:szCs w:val="48"/>
    </w:rPr>
  </w:style>
  <w:style w:type="paragraph" w:styleId="707">
    <w:name w:val="Subtitle"/>
    <w:basedOn w:val="858"/>
    <w:next w:val="858"/>
    <w:link w:val="708"/>
    <w:uiPriority w:val="11"/>
    <w:qFormat/>
    <w:pPr>
      <w:spacing w:before="200" w:after="200"/>
    </w:pPr>
    <w:rPr>
      <w:sz w:val="24"/>
      <w:szCs w:val="24"/>
    </w:rPr>
  </w:style>
  <w:style w:type="character" w:styleId="708">
    <w:name w:val="Subtitle Char"/>
    <w:basedOn w:val="863"/>
    <w:link w:val="707"/>
    <w:uiPriority w:val="11"/>
    <w:rPr>
      <w:sz w:val="24"/>
      <w:szCs w:val="24"/>
    </w:rPr>
  </w:style>
  <w:style w:type="paragraph" w:styleId="709">
    <w:name w:val="Quote"/>
    <w:basedOn w:val="858"/>
    <w:next w:val="858"/>
    <w:link w:val="710"/>
    <w:uiPriority w:val="29"/>
    <w:qFormat/>
    <w:pPr>
      <w:ind w:left="720" w:right="720"/>
    </w:pPr>
    <w:rPr>
      <w:i/>
    </w:rPr>
  </w:style>
  <w:style w:type="character" w:styleId="710">
    <w:name w:val="Quote Char"/>
    <w:link w:val="709"/>
    <w:uiPriority w:val="29"/>
    <w:rPr>
      <w:i/>
    </w:rPr>
  </w:style>
  <w:style w:type="paragraph" w:styleId="711">
    <w:name w:val="Intense Quote"/>
    <w:basedOn w:val="858"/>
    <w:next w:val="8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3"/>
    <w:link w:val="874"/>
    <w:uiPriority w:val="99"/>
  </w:style>
  <w:style w:type="character" w:styleId="714">
    <w:name w:val="Footer Char"/>
    <w:basedOn w:val="863"/>
    <w:link w:val="873"/>
    <w:uiPriority w:val="99"/>
  </w:style>
  <w:style w:type="paragraph" w:styleId="715">
    <w:name w:val="Caption"/>
    <w:basedOn w:val="858"/>
    <w:next w:val="858"/>
    <w:uiPriority w:val="35"/>
    <w:semiHidden/>
    <w:unhideWhenUsed/>
    <w:qFormat/>
    <w:pPr>
      <w:spacing w:line="276" w:lineRule="auto"/>
    </w:pPr>
    <w:rPr>
      <w:b/>
      <w:bCs/>
      <w:color w:val="4f81bd" w:themeColor="accent1"/>
      <w:sz w:val="18"/>
      <w:szCs w:val="18"/>
    </w:rPr>
  </w:style>
  <w:style w:type="character" w:styleId="716">
    <w:name w:val="Caption Char"/>
    <w:basedOn w:val="715"/>
    <w:link w:val="873"/>
    <w:uiPriority w:val="99"/>
  </w:style>
  <w:style w:type="table" w:styleId="717">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65"/>
    <w:uiPriority w:val="99"/>
    <w:rPr>
      <w:sz w:val="18"/>
    </w:rPr>
  </w:style>
  <w:style w:type="character" w:styleId="843">
    <w:name w:val="footnote reference"/>
    <w:basedOn w:val="863"/>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3"/>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uiPriority w:val="0"/>
    <w:qFormat/>
    <w:pPr>
      <w:keepLines/>
      <w:keepNext/>
      <w:spacing w:before="340" w:after="330" w:line="578" w:lineRule="auto"/>
      <w:outlineLvl w:val="0"/>
    </w:pPr>
    <w:rPr>
      <w:b/>
      <w:bCs/>
      <w:sz w:val="44"/>
      <w:szCs w:val="44"/>
    </w:rPr>
  </w:style>
  <w:style w:type="paragraph" w:styleId="860">
    <w:name w:val="Heading 2"/>
    <w:basedOn w:val="858"/>
    <w:next w:val="858"/>
    <w:link w:val="901"/>
    <w:uiPriority w:val="0"/>
    <w:qFormat/>
    <w:pPr>
      <w:keepLines/>
      <w:keepNext/>
      <w:spacing w:before="260" w:after="260" w:line="416" w:lineRule="auto"/>
      <w:outlineLvl w:val="1"/>
    </w:pPr>
    <w:rPr>
      <w:rFonts w:ascii="Arial" w:hAnsi="Arial" w:eastAsia="黑体"/>
      <w:b/>
      <w:bCs/>
      <w:sz w:val="32"/>
      <w:szCs w:val="32"/>
    </w:rPr>
  </w:style>
  <w:style w:type="paragraph" w:styleId="861">
    <w:name w:val="Heading 3"/>
    <w:basedOn w:val="858"/>
    <w:next w:val="867"/>
    <w:link w:val="886"/>
    <w:uiPriority w:val="0"/>
    <w:qFormat/>
    <w:pPr>
      <w:keepLines/>
      <w:keepNext/>
      <w:spacing w:before="260" w:after="260" w:line="416" w:lineRule="auto"/>
      <w:outlineLvl w:val="2"/>
    </w:pPr>
    <w:rPr>
      <w:b/>
      <w:sz w:val="32"/>
      <w:szCs w:val="20"/>
    </w:rPr>
  </w:style>
  <w:style w:type="paragraph" w:styleId="862">
    <w:name w:val="Heading 4"/>
    <w:basedOn w:val="858"/>
    <w:next w:val="858"/>
    <w:link w:val="887"/>
    <w:uiPriority w:val="0"/>
    <w:qFormat/>
    <w:pPr>
      <w:keepLines/>
      <w:keepNext/>
      <w:spacing w:before="280" w:after="290" w:line="376" w:lineRule="auto"/>
      <w:outlineLvl w:val="3"/>
    </w:pPr>
    <w:rPr>
      <w:rFonts w:ascii="Arial" w:hAnsi="Arial" w:eastAsia="黑体"/>
      <w:b/>
      <w:bCs/>
      <w:sz w:val="28"/>
      <w:szCs w:val="28"/>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footnote text"/>
    <w:basedOn w:val="858"/>
    <w:next w:val="866"/>
    <w:uiPriority w:val="99"/>
    <w:unhideWhenUsed/>
    <w:qFormat/>
    <w:pPr>
      <w:jc w:val="left"/>
    </w:pPr>
    <w:rPr>
      <w:sz w:val="18"/>
      <w:szCs w:val="18"/>
    </w:rPr>
  </w:style>
  <w:style w:type="paragraph" w:styleId="866">
    <w:name w:val="index 5"/>
    <w:basedOn w:val="858"/>
    <w:next w:val="858"/>
    <w:uiPriority w:val="0"/>
    <w:qFormat/>
    <w:pPr>
      <w:ind w:left="800"/>
    </w:pPr>
  </w:style>
  <w:style w:type="paragraph" w:styleId="867">
    <w:name w:val="Normal Indent"/>
    <w:basedOn w:val="858"/>
    <w:link w:val="892"/>
    <w:uiPriority w:val="0"/>
    <w:qFormat/>
    <w:pPr>
      <w:ind w:firstLine="420"/>
    </w:pPr>
  </w:style>
  <w:style w:type="paragraph" w:styleId="868">
    <w:name w:val="Document Map"/>
    <w:basedOn w:val="858"/>
    <w:uiPriority w:val="0"/>
    <w:semiHidden/>
    <w:qFormat/>
    <w:pPr>
      <w:shd w:val="clear" w:color="auto" w:fill="000080"/>
    </w:pPr>
  </w:style>
  <w:style w:type="paragraph" w:styleId="869">
    <w:name w:val="Body Text Indent"/>
    <w:basedOn w:val="858"/>
    <w:uiPriority w:val="0"/>
    <w:qFormat/>
    <w:pPr>
      <w:ind w:left="420"/>
      <w:spacing w:after="120"/>
    </w:pPr>
  </w:style>
  <w:style w:type="paragraph" w:styleId="870">
    <w:name w:val="Plain Text"/>
    <w:basedOn w:val="858"/>
    <w:link w:val="891"/>
    <w:uiPriority w:val="0"/>
    <w:qFormat/>
    <w:pPr>
      <w:jc w:val="left"/>
      <w:spacing w:after="200" w:line="252" w:lineRule="auto"/>
      <w:widowControl/>
    </w:pPr>
    <w:rPr>
      <w:rFonts w:ascii="宋体" w:hAnsi="Courier New"/>
      <w:szCs w:val="20"/>
    </w:rPr>
  </w:style>
  <w:style w:type="paragraph" w:styleId="871">
    <w:name w:val="Date"/>
    <w:basedOn w:val="858"/>
    <w:next w:val="858"/>
    <w:link w:val="882"/>
    <w:uiPriority w:val="0"/>
    <w:qFormat/>
    <w:rPr>
      <w:sz w:val="24"/>
      <w:szCs w:val="20"/>
    </w:rPr>
  </w:style>
  <w:style w:type="paragraph" w:styleId="872">
    <w:name w:val="Balloon Text"/>
    <w:basedOn w:val="858"/>
    <w:link w:val="884"/>
    <w:uiPriority w:val="0"/>
    <w:qFormat/>
    <w:rPr>
      <w:sz w:val="18"/>
      <w:szCs w:val="18"/>
    </w:rPr>
  </w:style>
  <w:style w:type="paragraph" w:styleId="873">
    <w:name w:val="Footer"/>
    <w:basedOn w:val="858"/>
    <w:uiPriority w:val="0"/>
    <w:qFormat/>
    <w:pPr>
      <w:jc w:val="left"/>
      <w:tabs>
        <w:tab w:val="center" w:pos="4153" w:leader="none"/>
        <w:tab w:val="right" w:pos="8306" w:leader="none"/>
      </w:tabs>
    </w:pPr>
    <w:rPr>
      <w:sz w:val="18"/>
      <w:szCs w:val="18"/>
    </w:rPr>
  </w:style>
  <w:style w:type="paragraph" w:styleId="874">
    <w:name w:val="Header"/>
    <w:basedOn w:val="858"/>
    <w:link w:val="893"/>
    <w:uiPriority w:val="99"/>
    <w:qFormat/>
    <w:pPr>
      <w:jc w:val="center"/>
      <w:tabs>
        <w:tab w:val="center" w:pos="4153" w:leader="none"/>
        <w:tab w:val="right" w:pos="8306" w:leader="none"/>
      </w:tabs>
      <w:pBdr>
        <w:bottom w:val="single" w:color="auto" w:sz="6" w:space="1"/>
      </w:pBdr>
    </w:pPr>
    <w:rPr>
      <w:sz w:val="18"/>
      <w:szCs w:val="18"/>
    </w:rPr>
  </w:style>
  <w:style w:type="paragraph" w:styleId="875">
    <w:name w:val="Body Text Indent 3"/>
    <w:basedOn w:val="858"/>
    <w:link w:val="883"/>
    <w:uiPriority w:val="0"/>
    <w:qFormat/>
    <w:pPr>
      <w:ind w:left="420"/>
      <w:spacing w:after="120"/>
    </w:pPr>
    <w:rPr>
      <w:sz w:val="16"/>
      <w:szCs w:val="16"/>
    </w:rPr>
  </w:style>
  <w:style w:type="paragraph" w:styleId="876">
    <w:name w:val="Normal (Web)"/>
    <w:basedOn w:val="858"/>
    <w:uiPriority w:val="99"/>
    <w:unhideWhenUsed/>
    <w:qFormat/>
    <w:pPr>
      <w:jc w:val="left"/>
      <w:spacing w:before="100" w:beforeAutospacing="1" w:after="100" w:afterAutospacing="1"/>
      <w:widowControl/>
    </w:pPr>
    <w:rPr>
      <w:rFonts w:ascii="宋体" w:hAnsi="宋体" w:cs="宋体"/>
      <w:sz w:val="24"/>
    </w:rPr>
  </w:style>
  <w:style w:type="table" w:styleId="877">
    <w:name w:val="Table Grid"/>
    <w:basedOn w:val="8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63"/>
    <w:uiPriority w:val="22"/>
    <w:qFormat/>
    <w:rPr>
      <w:b/>
      <w:bCs/>
    </w:rPr>
  </w:style>
  <w:style w:type="character" w:styleId="879">
    <w:name w:val="page number"/>
    <w:basedOn w:val="863"/>
    <w:uiPriority w:val="0"/>
    <w:qFormat/>
  </w:style>
  <w:style w:type="character" w:styleId="880">
    <w:name w:val="Emphasis"/>
    <w:basedOn w:val="863"/>
    <w:uiPriority w:val="20"/>
    <w:qFormat/>
    <w:rPr>
      <w:i/>
      <w:iCs/>
    </w:rPr>
  </w:style>
  <w:style w:type="character" w:styleId="881">
    <w:name w:val="Hyperlink"/>
    <w:basedOn w:val="863"/>
    <w:uiPriority w:val="0"/>
    <w:qFormat/>
    <w:rPr>
      <w:color w:val="0000ff"/>
      <w:u w:val="single"/>
    </w:rPr>
  </w:style>
  <w:style w:type="character" w:styleId="882" w:customStyle="1">
    <w:name w:val="日期 Char"/>
    <w:basedOn w:val="863"/>
    <w:link w:val="871"/>
    <w:uiPriority w:val="0"/>
    <w:qFormat/>
    <w:rPr>
      <w:sz w:val="24"/>
    </w:rPr>
  </w:style>
  <w:style w:type="character" w:styleId="883" w:customStyle="1">
    <w:name w:val="正文文本缩进 3 Char"/>
    <w:basedOn w:val="863"/>
    <w:link w:val="875"/>
    <w:uiPriority w:val="0"/>
    <w:qFormat/>
    <w:rPr>
      <w:sz w:val="16"/>
      <w:szCs w:val="16"/>
    </w:rPr>
  </w:style>
  <w:style w:type="character" w:styleId="884" w:customStyle="1">
    <w:name w:val="批注框文本 Char"/>
    <w:basedOn w:val="863"/>
    <w:link w:val="872"/>
    <w:uiPriority w:val="0"/>
    <w:qFormat/>
    <w:rPr>
      <w:sz w:val="18"/>
      <w:szCs w:val="18"/>
    </w:rPr>
  </w:style>
  <w:style w:type="character" w:styleId="885" w:customStyle="1">
    <w:name w:val="纯文本 Char"/>
    <w:uiPriority w:val="99"/>
    <w:qFormat/>
    <w:rPr>
      <w:rFonts w:ascii="宋体" w:hAnsi="Courier New"/>
      <w:sz w:val="21"/>
    </w:rPr>
  </w:style>
  <w:style w:type="character" w:styleId="886" w:customStyle="1">
    <w:name w:val="标题 3 Char"/>
    <w:basedOn w:val="863"/>
    <w:link w:val="861"/>
    <w:uiPriority w:val="0"/>
    <w:qFormat/>
    <w:rPr>
      <w:b/>
      <w:sz w:val="32"/>
    </w:rPr>
  </w:style>
  <w:style w:type="character" w:styleId="887" w:customStyle="1">
    <w:name w:val="标题 4 Char"/>
    <w:basedOn w:val="863"/>
    <w:link w:val="862"/>
    <w:uiPriority w:val="0"/>
    <w:qFormat/>
    <w:rPr>
      <w:rFonts w:ascii="Arial" w:hAnsi="Arial" w:eastAsia="黑体"/>
      <w:b/>
      <w:bCs/>
      <w:sz w:val="28"/>
      <w:szCs w:val="28"/>
    </w:rPr>
  </w:style>
  <w:style w:type="character" w:styleId="888" w:customStyle="1">
    <w:name w:val="正文缩进2格 Char"/>
    <w:link w:val="889"/>
    <w:uiPriority w:val="0"/>
    <w:qFormat/>
    <w:rPr>
      <w:rFonts w:ascii="仿宋_GB2312" w:hAnsi="宋体" w:eastAsia="仿宋_GB2312"/>
      <w:sz w:val="31"/>
      <w:szCs w:val="28"/>
      <w:lang w:bidi="ar-SA"/>
    </w:rPr>
  </w:style>
  <w:style w:type="paragraph" w:styleId="889" w:customStyle="1">
    <w:name w:val="正文缩进2格"/>
    <w:basedOn w:val="858"/>
    <w:link w:val="888"/>
    <w:uiPriority w:val="0"/>
    <w:qFormat/>
    <w:pPr>
      <w:ind w:firstLine="639"/>
      <w:spacing w:line="600" w:lineRule="exact"/>
    </w:pPr>
    <w:rPr>
      <w:rFonts w:ascii="仿宋_GB2312" w:hAnsi="宋体" w:eastAsia="仿宋_GB2312"/>
      <w:sz w:val="31"/>
      <w:szCs w:val="28"/>
    </w:rPr>
  </w:style>
  <w:style w:type="character" w:styleId="890" w:customStyle="1">
    <w:name w:val="纯文本 Char2"/>
    <w:basedOn w:val="863"/>
    <w:uiPriority w:val="0"/>
    <w:qFormat/>
    <w:rPr>
      <w:rFonts w:ascii="宋体" w:hAnsi="Courier New" w:eastAsia="宋体"/>
      <w:sz w:val="24"/>
      <w:lang w:val="en-US" w:eastAsia="zh-CN" w:bidi="ar-SA"/>
    </w:rPr>
  </w:style>
  <w:style w:type="character" w:styleId="891" w:customStyle="1">
    <w:name w:val="纯文本 Char1"/>
    <w:basedOn w:val="863"/>
    <w:link w:val="870"/>
    <w:uiPriority w:val="0"/>
    <w:qFormat/>
    <w:rPr>
      <w:rFonts w:ascii="宋体" w:hAnsi="Courier New" w:cs="Courier New"/>
      <w:sz w:val="21"/>
      <w:szCs w:val="21"/>
    </w:rPr>
  </w:style>
  <w:style w:type="character" w:styleId="892" w:customStyle="1">
    <w:name w:val="正文缩进 Char"/>
    <w:link w:val="867"/>
    <w:uiPriority w:val="0"/>
    <w:qFormat/>
    <w:rPr>
      <w:rFonts w:eastAsia="宋体"/>
      <w:sz w:val="21"/>
      <w:szCs w:val="24"/>
      <w:lang w:val="en-US" w:eastAsia="zh-CN" w:bidi="ar-SA"/>
    </w:rPr>
  </w:style>
  <w:style w:type="character" w:styleId="893" w:customStyle="1">
    <w:name w:val="页眉 Char"/>
    <w:link w:val="874"/>
    <w:uiPriority w:val="99"/>
    <w:qFormat/>
    <w:rPr>
      <w:sz w:val="18"/>
      <w:szCs w:val="18"/>
    </w:rPr>
  </w:style>
  <w:style w:type="paragraph" w:styleId="894" w:customStyle="1">
    <w:name w:val="Char"/>
    <w:basedOn w:val="868"/>
    <w:uiPriority w:val="0"/>
    <w:qFormat/>
    <w:rPr>
      <w:rFonts w:ascii="Tahoma" w:hAnsi="Tahoma"/>
      <w:sz w:val="24"/>
    </w:rPr>
  </w:style>
  <w:style w:type="paragraph" w:styleId="895" w:customStyle="1">
    <w:name w:val="普通正文"/>
    <w:basedOn w:val="858"/>
    <w:uiPriority w:val="0"/>
    <w:qFormat/>
    <w:pPr>
      <w:ind w:firstLine="480"/>
      <w:jc w:val="left"/>
      <w:spacing w:before="120" w:after="120" w:line="360" w:lineRule="auto"/>
    </w:pPr>
    <w:rPr>
      <w:rFonts w:ascii="Arial" w:hAnsi="Arial"/>
      <w:sz w:val="24"/>
    </w:rPr>
  </w:style>
  <w:style w:type="paragraph" w:styleId="896" w:customStyle="1">
    <w:name w:val="msonormalcxspmiddle"/>
    <w:basedOn w:val="858"/>
    <w:uiPriority w:val="0"/>
    <w:qFormat/>
    <w:pPr>
      <w:jc w:val="left"/>
      <w:spacing w:before="100" w:beforeAutospacing="1" w:after="100" w:afterAutospacing="1"/>
      <w:widowControl/>
    </w:pPr>
    <w:rPr>
      <w:rFonts w:ascii="宋体" w:hAnsi="宋体" w:cs="宋体"/>
      <w:sz w:val="24"/>
    </w:rPr>
  </w:style>
  <w:style w:type="paragraph" w:styleId="897" w:customStyle="1">
    <w:name w:val="Char1"/>
    <w:basedOn w:val="858"/>
    <w:uiPriority w:val="0"/>
    <w:qFormat/>
    <w:pPr>
      <w:tabs>
        <w:tab w:val="left" w:pos="360" w:leader="none"/>
      </w:tabs>
    </w:pPr>
    <w:rPr>
      <w:color w:val="000000"/>
      <w:sz w:val="24"/>
    </w:rPr>
  </w:style>
  <w:style w:type="paragraph" w:styleId="898" w:customStyle="1">
    <w:name w:val="Char Char Char Char"/>
    <w:basedOn w:val="868"/>
    <w:uiPriority w:val="0"/>
    <w:qFormat/>
    <w:pPr>
      <w:spacing w:line="360" w:lineRule="auto"/>
    </w:pPr>
    <w:rPr>
      <w:szCs w:val="20"/>
    </w:rPr>
  </w:style>
  <w:style w:type="character" w:styleId="899" w:customStyle="1">
    <w:name w:val="p0 Char"/>
    <w:link w:val="900"/>
    <w:uiPriority w:val="0"/>
    <w:qFormat/>
    <w:rPr>
      <w:sz w:val="21"/>
      <w:szCs w:val="21"/>
    </w:rPr>
  </w:style>
  <w:style w:type="paragraph" w:styleId="900" w:customStyle="1">
    <w:name w:val="p0"/>
    <w:basedOn w:val="858"/>
    <w:link w:val="899"/>
    <w:uiPriority w:val="0"/>
    <w:qFormat/>
    <w:pPr>
      <w:widowControl/>
    </w:pPr>
    <w:rPr>
      <w:szCs w:val="21"/>
    </w:rPr>
  </w:style>
  <w:style w:type="character" w:styleId="901" w:customStyle="1">
    <w:name w:val="标题 2 Char"/>
    <w:link w:val="860"/>
    <w:uiPriority w:val="0"/>
    <w:qFormat/>
    <w:rPr>
      <w:rFonts w:ascii="Arial" w:hAnsi="Arial" w:eastAsia="黑体"/>
      <w:b/>
      <w:bCs/>
      <w:sz w:val="32"/>
      <w:szCs w:val="32"/>
    </w:rPr>
  </w:style>
  <w:style w:type="paragraph" w:styleId="902" w:customStyle="1">
    <w:name w:val="列出段落11"/>
    <w:uiPriority w:val="0"/>
    <w:qFormat/>
    <w:pPr>
      <w:ind w:firstLine="420"/>
      <w:jc w:val="both"/>
      <w:widowControl w:val="off"/>
    </w:pPr>
    <w:rPr>
      <w:rFonts w:ascii="Calibri" w:hAnsi="Calibri" w:eastAsia="宋体" w:cs="Times New Roman"/>
      <w:sz w:val="24"/>
      <w:lang w:val="en-US" w:eastAsia="zh-CN" w:bidi="ar-SA"/>
    </w:rPr>
  </w:style>
  <w:style w:type="paragraph" w:styleId="903"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paragraph" w:styleId="904" w:customStyle="1">
    <w:name w:val="Normal_0"/>
    <w:uiPriority w:val="0"/>
    <w:qFormat/>
    <w:rPr>
      <w:rFonts w:ascii="Times New Roman" w:hAnsi="Times New Roman" w:eastAsia="Times New Roman" w:cs="Times New Roman"/>
      <w:sz w:val="24"/>
      <w:szCs w:val="24"/>
      <w:lang w:val="en-US" w:eastAsia="zh-CN" w:bidi="ar-SA"/>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谢楠楠</cp:lastModifiedBy>
  <cp:revision>5</cp:revision>
  <dcterms:created xsi:type="dcterms:W3CDTF">2026-03-30T03:16:00Z</dcterms:created>
  <dcterms:modified xsi:type="dcterms:W3CDTF">2026-04-02T02:58:41Z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223EBB38B2734A8F8FD33E4D1A9AA865_13</vt:lpwstr>
  </property>
  <property fmtid="{D5CDD505-2E9C-101B-9397-08002B2CF9AE}" pid="4" name="KSOTemplateDocerSaveRecord">
    <vt:lpwstr>eyJoZGlkIjoiZTNiMzYyMDlmZmY5MTg5OGNmODhlNDNmYWEwMjQzNDkiLCJ1c2VySWQiOiIzNzUwMTY1MzgifQ==</vt:lpwstr>
  </property>
</Properties>
</file>