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JSZC-320206-JZCG-G2026-0016</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阳山镇人民政府大院、职工服务中心、文体站及综治中心物业管理服务采购项目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三月</w:t>
      </w:r>
      <w:r/>
    </w:p>
    <w:p>
      <w:pPr>
        <w:ind w:firstLine="960"/>
        <w:rPr>
          <w:rStyle w:val="957"/>
          <w:rFonts w:eastAsia="黑体"/>
          <w:bCs/>
          <w:color w:val="auto"/>
          <w:sz w:val="48"/>
          <w:highlight w:val="none"/>
        </w:rPr>
      </w:pPr>
      <w:r>
        <w:rPr>
          <w:rFonts w:eastAsia="黑体"/>
          <w:bCs/>
          <w:color w:val="auto"/>
          <w:sz w:val="48"/>
          <w:highlight w:val="none"/>
        </w:rPr>
      </w:r>
      <w:r/>
    </w:p>
    <w:p>
      <w:pPr>
        <w:ind w:firstLine="960"/>
        <w:rPr>
          <w:rStyle w:val="957"/>
          <w:rFonts w:eastAsia="黑体"/>
          <w:bCs/>
          <w:color w:val="auto"/>
          <w:sz w:val="48"/>
          <w:highlight w:val="none"/>
        </w:rPr>
      </w:pPr>
      <w:r>
        <w:rPr>
          <w:rFonts w:eastAsia="黑体"/>
          <w:bCs/>
          <w:color w:val="auto"/>
          <w:sz w:val="48"/>
          <w:highlight w:val="none"/>
        </w:rPr>
      </w:r>
      <w:r/>
    </w:p>
    <w:p>
      <w:pPr>
        <w:ind w:firstLine="960"/>
        <w:rPr>
          <w:rStyle w:val="957"/>
          <w:rFonts w:eastAsia="黑体"/>
          <w:bCs/>
          <w:color w:val="auto"/>
          <w:sz w:val="48"/>
          <w:highlight w:val="none"/>
        </w:rPr>
        <w:sectPr>
          <w:headerReference w:type="default" r:id="rId9"/>
          <w:footerReference w:type="default" r:id="rId11"/>
          <w:footerReference w:type="even" r:id="rId12"/>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957"/>
          <w:rFonts w:eastAsia="黑体"/>
          <w:bCs/>
          <w:color w:val="auto"/>
          <w:sz w:val="48"/>
          <w:highlight w:val="none"/>
        </w:rPr>
      </w:pPr>
      <w:r>
        <w:rPr>
          <w:rStyle w:val="957"/>
          <w:rFonts w:hint="eastAsia" w:eastAsia="黑体"/>
          <w:bCs/>
          <w:color w:val="auto"/>
          <w:sz w:val="48"/>
          <w:highlight w:val="none"/>
        </w:rPr>
        <w:t xml:space="preserve">目</w:t>
      </w:r>
      <w:r>
        <w:rPr>
          <w:rStyle w:val="957"/>
          <w:rFonts w:eastAsia="黑体"/>
          <w:bCs/>
          <w:color w:val="auto"/>
          <w:sz w:val="48"/>
          <w:highlight w:val="none"/>
        </w:rPr>
        <w:t xml:space="preserve">     </w:t>
      </w:r>
      <w:r>
        <w:rPr>
          <w:rStyle w:val="957"/>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38"/>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59"/>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rPr>
        <w:t xml:space="preserve">3</w:t>
      </w:r>
      <w:r>
        <w:rPr>
          <w:rFonts w:hint="eastAsia" w:ascii="宋体" w:hAnsi="宋体"/>
          <w:color w:val="auto"/>
          <w:sz w:val="32"/>
          <w:szCs w:val="32"/>
          <w:highlight w:val="none"/>
        </w:rPr>
        <w:fldChar w:fldCharType="end"/>
      </w:r>
      <w:r/>
    </w:p>
    <w:p>
      <w:pPr>
        <w:pStyle w:val="938"/>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59"/>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rPr>
        <w:t xml:space="preserve">6</w:t>
      </w:r>
      <w:r>
        <w:rPr>
          <w:rFonts w:hint="eastAsia" w:ascii="宋体" w:hAnsi="宋体"/>
          <w:color w:val="auto"/>
          <w:sz w:val="32"/>
          <w:szCs w:val="32"/>
          <w:highlight w:val="none"/>
        </w:rPr>
        <w:fldChar w:fldCharType="end"/>
      </w:r>
      <w:r/>
    </w:p>
    <w:p>
      <w:pPr>
        <w:pStyle w:val="938"/>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59"/>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59"/>
          <w:rFonts w:hint="eastAsia" w:ascii="宋体" w:hAnsi="宋体"/>
          <w:color w:val="auto"/>
          <w:sz w:val="32"/>
          <w:szCs w:val="32"/>
          <w:highlight w:val="none"/>
        </w:rPr>
        <w:t xml:space="preserve">1</w:t>
      </w:r>
      <w:r>
        <w:rPr>
          <w:rStyle w:val="959"/>
          <w:rFonts w:hint="eastAsia" w:ascii="宋体" w:hAnsi="宋体"/>
          <w:color w:val="auto"/>
          <w:sz w:val="32"/>
          <w:szCs w:val="32"/>
          <w:highlight w:val="none"/>
          <w:lang w:val="en-US" w:eastAsia="zh-CN"/>
        </w:rPr>
        <w:t xml:space="preserve">9</w:t>
      </w:r>
      <w:r/>
    </w:p>
    <w:p>
      <w:pPr>
        <w:pStyle w:val="93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59"/>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59"/>
          <w:rFonts w:hint="eastAsia" w:ascii="宋体" w:hAnsi="宋体"/>
          <w:color w:val="auto"/>
          <w:sz w:val="32"/>
          <w:szCs w:val="32"/>
          <w:highlight w:val="none"/>
          <w:lang w:val="en-US" w:eastAsia="zh-CN"/>
        </w:rPr>
        <w:t xml:space="preserve">31</w:t>
      </w:r>
      <w:r/>
    </w:p>
    <w:p>
      <w:pPr>
        <w:pStyle w:val="93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59"/>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59"/>
          <w:rFonts w:hint="eastAsia" w:ascii="宋体" w:hAnsi="宋体"/>
          <w:color w:val="auto"/>
          <w:sz w:val="32"/>
          <w:szCs w:val="32"/>
          <w:highlight w:val="none"/>
          <w:lang w:val="en-US" w:eastAsia="zh-CN"/>
        </w:rPr>
        <w:t xml:space="preserve">36</w:t>
      </w:r>
      <w:r/>
    </w:p>
    <w:p>
      <w:pPr>
        <w:pStyle w:val="938"/>
        <w:ind w:firstLine="480"/>
        <w:spacing w:line="720" w:lineRule="auto"/>
        <w:tabs>
          <w:tab w:val="right" w:pos="9911" w:leader="dot"/>
        </w:tabs>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59"/>
          <w:rFonts w:hint="eastAsia" w:ascii="宋体" w:hAnsi="宋体"/>
          <w:color w:val="auto"/>
          <w:sz w:val="32"/>
          <w:szCs w:val="32"/>
          <w:highlight w:val="none"/>
        </w:rPr>
        <w:t xml:space="preserve">六</w:t>
      </w:r>
      <w:r>
        <w:rPr>
          <w:rStyle w:val="959"/>
          <w:rFonts w:ascii="宋体" w:hAnsi="宋体"/>
          <w:color w:val="auto"/>
          <w:sz w:val="32"/>
          <w:szCs w:val="32"/>
          <w:highlight w:val="none"/>
        </w:rPr>
        <w:t xml:space="preserve">.</w:t>
      </w:r>
      <w:r>
        <w:rPr>
          <w:rStyle w:val="959"/>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59"/>
          <w:rFonts w:hint="eastAsia" w:ascii="宋体" w:hAnsi="宋体" w:eastAsia="黑体"/>
          <w:color w:val="auto"/>
          <w:sz w:val="32"/>
          <w:szCs w:val="32"/>
          <w:highlight w:val="none"/>
          <w:lang w:val="en-US" w:eastAsia="zh-CN"/>
        </w:rPr>
        <w:t xml:space="preserve">43</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906"/>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无锡市惠山区阳山镇人民政府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镇人民政府大院、职工服务中心、文体站及综治中心物业管理服务项目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阳山镇人民政府大院、职工服务中心、文体站及综治中心物业管理服务采购项目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JSZC-320206-JZCG-G2026-0016</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default" w:ascii="宋体" w:hAnsi="宋体" w:eastAsia="宋体"/>
          <w:sz w:val="24"/>
        </w:rPr>
        <w:t xml:space="preserve">465.039879</w:t>
      </w:r>
      <w:r>
        <w:rPr>
          <w:rFonts w:hint="eastAsia" w:ascii="宋体" w:hAnsi="宋体"/>
          <w:bCs/>
          <w:color w:val="auto"/>
          <w:sz w:val="24"/>
          <w:szCs w:val="24"/>
          <w:highlight w:val="none"/>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default" w:ascii="宋体" w:hAnsi="宋体" w:eastAsia="宋体"/>
          <w:sz w:val="24"/>
        </w:rPr>
        <w:t xml:space="preserve">465.039879</w:t>
      </w:r>
      <w:r>
        <w:rPr>
          <w:rFonts w:hint="eastAsia" w:ascii="宋体" w:hAnsi="宋体"/>
          <w:bCs/>
          <w:color w:val="auto"/>
          <w:sz w:val="24"/>
          <w:szCs w:val="24"/>
          <w:highlight w:val="none"/>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无锡市惠山区阳山镇人民政府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8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无锡市惠山区阳山镇人民政府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址：无锡市惠山区人民西路10号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人：蔡婉琳</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13812532200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06"/>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62"/>
        <w:ind w:left="0" w:firstLine="643"/>
        <w:keepLines w:val="0"/>
        <w:keepNext w:val="0"/>
        <w:spacing w:before="0" w:after="0"/>
        <w:rPr>
          <w:color w:val="auto"/>
          <w:szCs w:val="32"/>
          <w:highlight w:val="none"/>
        </w:rPr>
      </w:pPr>
      <w:r/>
      <w:bookmarkStart w:id="5" w:name="_Toc513029203"/>
      <w:r/>
      <w:bookmarkStart w:id="6" w:name="_Toc20823275"/>
      <w:r/>
      <w:bookmarkStart w:id="7" w:name="_Toc16938519"/>
      <w:r/>
      <w:bookmarkStart w:id="8" w:name="_Toc120614214"/>
      <w:r>
        <w:rPr>
          <w:rFonts w:hint="eastAsia"/>
          <w:color w:val="auto"/>
          <w:szCs w:val="32"/>
          <w:highlight w:val="none"/>
        </w:rPr>
        <w:t xml:space="preserve">一、总则</w:t>
      </w:r>
      <w:bookmarkEnd w:id="5"/>
      <w:r/>
      <w:bookmarkEnd w:id="6"/>
      <w:r/>
      <w:bookmarkEnd w:id="7"/>
      <w:r/>
      <w:bookmarkEnd w:id="8"/>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513029205"/>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16938522"/>
      <w:r/>
      <w:bookmarkStart w:id="18" w:name="_Toc20823278"/>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513029207"/>
      <w:r/>
      <w:bookmarkStart w:id="20" w:name="_Toc462564067"/>
      <w:r/>
      <w:bookmarkStart w:id="21" w:name="_Toc16938523"/>
      <w:r/>
      <w:bookmarkStart w:id="22" w:name="_Toc20823279"/>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62"/>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513029209"/>
      <w:r/>
      <w:bookmarkStart w:id="25" w:name="_Toc20823281"/>
      <w:r/>
      <w:bookmarkStart w:id="26" w:name="_Toc16938525"/>
      <w:r>
        <w:rPr>
          <w:rFonts w:hint="eastAsia"/>
          <w:i w:val="0"/>
          <w:iCs w:val="0"/>
          <w:color w:val="auto"/>
          <w:sz w:val="32"/>
          <w:szCs w:val="32"/>
          <w:highlight w:val="none"/>
        </w:rPr>
        <w:t xml:space="preserve">二、招标文件</w:t>
      </w:r>
      <w:bookmarkEnd w:id="23"/>
      <w:r/>
      <w:bookmarkEnd w:id="24"/>
      <w:r/>
      <w:bookmarkEnd w:id="25"/>
      <w:r/>
      <w:bookmarkEnd w:id="26"/>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462564070"/>
      <w:r/>
      <w:bookmarkStart w:id="33" w:name="_Toc20823283"/>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513029212"/>
      <w:r/>
      <w:bookmarkStart w:id="35" w:name="_Toc20823284"/>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2"/>
        <w:jc w:val="center"/>
        <w:keepLines w:val="0"/>
        <w:keepNext w:val="0"/>
        <w:spacing w:before="0" w:after="0" w:line="500" w:lineRule="exact"/>
        <w:rPr>
          <w:rFonts w:hint="eastAsia"/>
          <w:i w:val="0"/>
          <w:iCs w:val="0"/>
          <w:color w:val="auto"/>
          <w:sz w:val="32"/>
          <w:szCs w:val="32"/>
          <w:highlight w:val="none"/>
        </w:rPr>
      </w:pPr>
      <w:r/>
      <w:bookmarkStart w:id="38" w:name="_Toc20823285"/>
      <w:r/>
      <w:bookmarkStart w:id="39" w:name="_Toc462564072"/>
      <w:r/>
      <w:bookmarkStart w:id="40" w:name="_Toc120614216"/>
      <w:r/>
      <w:bookmarkStart w:id="41" w:name="_Toc16938529"/>
      <w:r/>
      <w:bookmarkStart w:id="42" w:name="_Toc513029213"/>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3" w:name="_Toc20823286"/>
      <w:r/>
      <w:bookmarkStart w:id="44" w:name="_Toc16938530"/>
      <w:r/>
      <w:bookmarkStart w:id="45" w:name="_Toc513029214"/>
      <w:r/>
      <w:bookmarkStart w:id="46" w:name="_Toc462564073"/>
      <w:r>
        <w:rPr>
          <w:rFonts w:hint="eastAsia" w:ascii="宋体" w:hAnsi="宋体" w:eastAsia="宋体"/>
          <w:bCs w:val="0"/>
          <w:i w:val="0"/>
          <w:iCs w:val="0"/>
          <w:color w:val="auto"/>
          <w:sz w:val="24"/>
          <w:szCs w:val="24"/>
          <w:highlight w:val="none"/>
        </w:rPr>
        <w:t xml:space="preserve">9.投标文件的语言及度量衡单位</w:t>
      </w:r>
      <w:bookmarkEnd w:id="43"/>
      <w:r/>
      <w:bookmarkEnd w:id="44"/>
      <w:r/>
      <w:bookmarkEnd w:id="45"/>
      <w:r/>
      <w:bookmarkEnd w:id="46"/>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9.1</w:t>
      </w:r>
      <w:r>
        <w:rPr>
          <w:rFonts w:hint="eastAsia" w:ascii="宋体" w:hAnsi="宋体"/>
          <w:i w:val="0"/>
          <w:iCs w:val="0"/>
          <w:color w:val="auto"/>
          <w:sz w:val="24"/>
          <w:szCs w:val="24"/>
          <w:highlight w:val="none"/>
        </w:rPr>
        <w:t xml:space="preserve">投标人提交的投标文件以及投标人与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就有关投标的所有来往通知、函件和文件均应使用</w:t>
      </w:r>
      <w:r>
        <w:rPr>
          <w:rFonts w:hint="eastAsia" w:ascii="宋体" w:hAnsi="宋体"/>
          <w:bCs/>
          <w:i w:val="0"/>
          <w:iCs w:val="0"/>
          <w:color w:val="auto"/>
          <w:sz w:val="24"/>
          <w:szCs w:val="24"/>
          <w:highlight w:val="none"/>
        </w:rPr>
        <w:t xml:space="preserve">简体中文（规格、型号辅助符号例外）</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9.2</w:t>
      </w:r>
      <w:r>
        <w:rPr>
          <w:rFonts w:hint="eastAsia" w:ascii="宋体" w:hAnsi="宋体"/>
          <w:i w:val="0"/>
          <w:iCs w:val="0"/>
          <w:color w:val="auto"/>
          <w:sz w:val="24"/>
          <w:szCs w:val="24"/>
          <w:highlight w:val="none"/>
        </w:rPr>
        <w:t xml:space="preserve">除技术性能另有规定外，投标文件所使用的度量衡单位，均须采用国家法定计量单位。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9.8在评分标准中除了投标报价外，还须包含明标（商务部分）和暗标（技术部分）两大部分，其暗标编制要求如下：</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（1）技术部分不得更改，不得在其中涂改、标注或做任何可以辨认投标人及所属人员身份的名称、印章、商标等标记；</w:t>
      </w:r>
      <w:r/>
    </w:p>
    <w:p>
      <w:pPr>
        <w:ind w:firstLine="480"/>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（3）不得有其他体现投标人身份的内容。</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10.2投标人所</w:t>
      </w:r>
      <w:r>
        <w:rPr>
          <w:rFonts w:hint="eastAsia" w:ascii="宋体" w:hAnsi="宋体"/>
          <w:i w:val="0"/>
          <w:iCs w:val="0"/>
          <w:color w:val="auto"/>
          <w:sz w:val="24"/>
          <w:szCs w:val="24"/>
          <w:highlight w:val="none"/>
          <w:lang w:eastAsia="zh-CN"/>
        </w:rPr>
        <w:t xml:space="preserve">需</w:t>
      </w:r>
      <w:r>
        <w:rPr>
          <w:rFonts w:hint="eastAsia" w:ascii="宋体" w:hAnsi="宋体"/>
          <w:i w:val="0"/>
          <w:iCs w:val="0"/>
          <w:color w:val="auto"/>
          <w:sz w:val="24"/>
          <w:szCs w:val="24"/>
          <w:highlight w:val="none"/>
        </w:rPr>
        <w:t xml:space="preserve">提供的相关证明文件和要求以及投标文件的部分格式要求，详见第六章《投标文件内容与格式》。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10.3如标书制作工具中格式和内容与招标文件不一致的，请以招标文件为准。</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47" w:name="_Hlt26670360"/>
      <w:r/>
      <w:bookmarkEnd w:id="47"/>
      <w:r/>
      <w:bookmarkStart w:id="48" w:name="_Hlt26668975"/>
      <w:r/>
      <w:bookmarkEnd w:id="48"/>
      <w:r/>
      <w:bookmarkStart w:id="49" w:name="_Hlt26954838"/>
      <w:r/>
      <w:bookmarkEnd w:id="49"/>
      <w:r/>
      <w:bookmarkStart w:id="50" w:name="_Toc14577357"/>
      <w:r/>
      <w:bookmarkStart w:id="51" w:name="_Toc49090509"/>
      <w:r/>
      <w:bookmarkStart w:id="52" w:name="_Toc513029219"/>
      <w:r/>
      <w:bookmarkStart w:id="53" w:name="_Toc49090507"/>
      <w:r/>
      <w:bookmarkStart w:id="54" w:name="_Toc14577354"/>
      <w:r/>
      <w:bookmarkStart w:id="55" w:name="_Toc513029216"/>
      <w:r>
        <w:rPr>
          <w:rFonts w:hint="eastAsia" w:ascii="宋体" w:hAnsi="宋体" w:eastAsia="宋体"/>
          <w:bCs w:val="0"/>
          <w:i w:val="0"/>
          <w:iCs w:val="0"/>
          <w:color w:val="auto"/>
          <w:sz w:val="24"/>
          <w:szCs w:val="24"/>
          <w:highlight w:val="none"/>
        </w:rPr>
        <w:t xml:space="preserve">11.证明投标人及投标标的符合招标文件规定的文件</w:t>
      </w:r>
      <w:bookmarkEnd w:id="50"/>
      <w:r/>
      <w:bookmarkEnd w:id="51"/>
      <w:r/>
      <w:bookmarkEnd w:id="52"/>
      <w:r/>
      <w:bookmarkEnd w:id="53"/>
      <w:bookmarkEnd w:id="54"/>
      <w:bookmarkEnd w:id="55"/>
      <w:r/>
    </w:p>
    <w:p>
      <w:pPr>
        <w:ind w:firstLine="480"/>
        <w:spacing w:line="500" w:lineRule="exact"/>
        <w:rPr>
          <w:rFonts w:hint="eastAsia" w:ascii="宋体" w:hAnsi="宋体"/>
          <w:bCs/>
          <w:i w:val="0"/>
          <w:iCs w:val="0"/>
          <w:color w:val="auto"/>
          <w:sz w:val="24"/>
          <w:szCs w:val="24"/>
          <w:highlight w:val="none"/>
        </w:rPr>
      </w:pPr>
      <w:r/>
      <w:bookmarkStart w:id="56" w:name="_Toc49090508"/>
      <w:r/>
      <w:bookmarkStart w:id="57"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8" w:name="_Toc49090510"/>
      <w:r/>
      <w:bookmarkStart w:id="59"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58"/>
      <w:bookmarkEnd w:id="59"/>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56"/>
      <w:r/>
      <w:bookmarkEnd w:id="57"/>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0" w:name="_Hlt26954840"/>
      <w:r/>
      <w:bookmarkEnd w:id="60"/>
      <w:r>
        <w:rPr>
          <w:rFonts w:hint="eastAsia" w:ascii="宋体" w:hAnsi="宋体"/>
          <w:i w:val="0"/>
          <w:iCs w:val="0"/>
          <w:color w:val="auto"/>
          <w:sz w:val="24"/>
          <w:szCs w:val="24"/>
          <w:highlight w:val="none"/>
        </w:rPr>
        <w:t xml:space="preserve">标人应按照招标文件规定格式填报</w:t>
      </w:r>
      <w:bookmarkStart w:id="61" w:name="_Hlt26670399"/>
      <w:r/>
      <w:bookmarkEnd w:id="61"/>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Hlt26954848"/>
      <w:r/>
      <w:bookmarkEnd w:id="62"/>
      <w:r/>
      <w:bookmarkStart w:id="63" w:name="_Hlt26954731"/>
      <w:r/>
      <w:bookmarkEnd w:id="63"/>
      <w:r/>
      <w:bookmarkStart w:id="64" w:name="_Hlt26670425"/>
      <w:r/>
      <w:bookmarkEnd w:id="64"/>
      <w:r/>
      <w:bookmarkStart w:id="65" w:name="_Hlt26954844"/>
      <w:r/>
      <w:bookmarkEnd w:id="65"/>
      <w:r/>
      <w:bookmarkStart w:id="66" w:name="_Hlt26954846"/>
      <w:r/>
      <w:bookmarkEnd w:id="66"/>
      <w:r/>
      <w:bookmarkStart w:id="67" w:name="_Hlt26670482"/>
      <w:r/>
      <w:bookmarkEnd w:id="67"/>
      <w:r/>
      <w:bookmarkStart w:id="68" w:name="_Hlt26670486"/>
      <w:r/>
      <w:bookmarkEnd w:id="68"/>
      <w:r/>
      <w:bookmarkStart w:id="69" w:name="_Hlt26954842"/>
      <w:r/>
      <w:bookmarkEnd w:id="69"/>
      <w:r/>
      <w:bookmarkStart w:id="70" w:name="_Hlt26668983"/>
      <w:r/>
      <w:bookmarkEnd w:id="70"/>
      <w:r/>
      <w:bookmarkStart w:id="71" w:name="_Hlt26670403"/>
      <w:r/>
      <w:bookmarkEnd w:id="71"/>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2" w:name="_Hlt26954850"/>
      <w:r/>
      <w:bookmarkEnd w:id="72"/>
      <w:r/>
      <w:bookmarkStart w:id="73" w:name="_Hlt26670489"/>
      <w:r/>
      <w:bookmarkEnd w:id="73"/>
      <w:r/>
      <w:bookmarkStart w:id="74" w:name="_Hlt26954734"/>
      <w:r/>
      <w:bookmarkEnd w:id="74"/>
      <w:r/>
      <w:bookmarkStart w:id="75" w:name="_Toc14577360"/>
      <w:r/>
      <w:bookmarkStart w:id="76" w:name="_Toc49090511"/>
      <w:r>
        <w:rPr>
          <w:rFonts w:hint="eastAsia" w:ascii="宋体" w:hAnsi="宋体" w:eastAsia="宋体"/>
          <w:bCs w:val="0"/>
          <w:i w:val="0"/>
          <w:iCs w:val="0"/>
          <w:color w:val="auto"/>
          <w:sz w:val="24"/>
          <w:szCs w:val="24"/>
          <w:highlight w:val="none"/>
        </w:rPr>
        <w:t xml:space="preserve">15.投标有效期</w:t>
      </w:r>
      <w:bookmarkEnd w:id="75"/>
      <w:r/>
      <w:bookmarkEnd w:id="76"/>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62"/>
        <w:jc w:val="center"/>
        <w:keepLines w:val="0"/>
        <w:keepNext w:val="0"/>
        <w:spacing w:before="0" w:after="0" w:line="500" w:lineRule="exact"/>
        <w:rPr>
          <w:rFonts w:hint="eastAsia"/>
          <w:i w:val="0"/>
          <w:iCs w:val="0"/>
          <w:color w:val="auto"/>
          <w:sz w:val="32"/>
          <w:szCs w:val="32"/>
          <w:highlight w:val="none"/>
        </w:rPr>
      </w:pPr>
      <w:r/>
      <w:bookmarkStart w:id="77" w:name="_Hlt26954852"/>
      <w:r/>
      <w:bookmarkEnd w:id="77"/>
      <w:r/>
      <w:bookmarkStart w:id="78" w:name="_Hlt26954739"/>
      <w:r/>
      <w:bookmarkEnd w:id="78"/>
      <w:r/>
      <w:bookmarkStart w:id="79" w:name="_Toc120614217"/>
      <w:r/>
      <w:bookmarkStart w:id="80" w:name="_Toc20823296"/>
      <w:r/>
      <w:bookmarkStart w:id="81" w:name="_Toc16938540"/>
      <w:r/>
      <w:bookmarkStart w:id="82" w:name="_Toc513029224"/>
      <w:r>
        <w:rPr>
          <w:rFonts w:hint="eastAsia"/>
          <w:i w:val="0"/>
          <w:iCs w:val="0"/>
          <w:color w:val="auto"/>
          <w:sz w:val="32"/>
          <w:szCs w:val="32"/>
          <w:highlight w:val="none"/>
        </w:rPr>
        <w:t xml:space="preserve">四、投标文件的递交</w:t>
      </w:r>
      <w:bookmarkEnd w:id="79"/>
      <w:r/>
      <w:bookmarkEnd w:id="80"/>
      <w:r/>
      <w:bookmarkEnd w:id="81"/>
      <w:r/>
      <w:bookmarkEnd w:id="82"/>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3" w:name="_Toc462564084"/>
      <w:r/>
      <w:bookmarkStart w:id="84" w:name="_Toc16938541"/>
      <w:r/>
      <w:bookmarkStart w:id="85" w:name="_Toc20823297"/>
      <w:r/>
      <w:bookmarkStart w:id="86" w:name="_Toc513029225"/>
      <w:r>
        <w:rPr>
          <w:rFonts w:hint="eastAsia" w:ascii="宋体" w:hAnsi="宋体" w:eastAsia="宋体"/>
          <w:bCs w:val="0"/>
          <w:i w:val="0"/>
          <w:iCs w:val="0"/>
          <w:color w:val="auto"/>
          <w:sz w:val="24"/>
          <w:szCs w:val="24"/>
          <w:highlight w:val="none"/>
        </w:rPr>
        <w:t xml:space="preserve">17.投标文件</w:t>
      </w:r>
      <w:bookmarkEnd w:id="83"/>
      <w:r/>
      <w:bookmarkEnd w:id="84"/>
      <w:r/>
      <w:bookmarkEnd w:id="85"/>
      <w:r/>
      <w:bookmarkEnd w:id="86"/>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95"/>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87" w:name="_Toc513029226"/>
      <w:r/>
      <w:bookmarkStart w:id="88" w:name="_Toc16938542"/>
      <w:r/>
      <w:bookmarkStart w:id="89" w:name="_Toc20823298"/>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87"/>
      <w:r/>
      <w:bookmarkEnd w:id="88"/>
      <w:r/>
      <w:bookmarkEnd w:id="89"/>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0" w:name="_Toc16938543"/>
      <w:r/>
      <w:bookmarkStart w:id="91" w:name="_Toc513029227"/>
      <w:r/>
      <w:bookmarkStart w:id="92" w:name="_Toc20823299"/>
      <w:r>
        <w:rPr>
          <w:rFonts w:hint="eastAsia" w:ascii="宋体" w:hAnsi="宋体" w:eastAsia="宋体"/>
          <w:bCs w:val="0"/>
          <w:i w:val="0"/>
          <w:iCs w:val="0"/>
          <w:color w:val="auto"/>
          <w:sz w:val="24"/>
          <w:szCs w:val="24"/>
          <w:highlight w:val="none"/>
        </w:rPr>
        <w:t xml:space="preserve">19.投标文件</w:t>
      </w:r>
      <w:bookmarkEnd w:id="90"/>
      <w:r/>
      <w:bookmarkEnd w:id="91"/>
      <w:r/>
      <w:bookmarkEnd w:id="92"/>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3" w:name="_Toc16938544"/>
      <w:r/>
      <w:bookmarkStart w:id="94" w:name="_Toc513029228"/>
      <w:r/>
      <w:bookmarkStart w:id="95" w:name="_Toc20823300"/>
      <w:r>
        <w:rPr>
          <w:rFonts w:hint="eastAsia" w:ascii="宋体" w:hAnsi="宋体" w:eastAsia="宋体"/>
          <w:bCs w:val="0"/>
          <w:i w:val="0"/>
          <w:iCs w:val="0"/>
          <w:color w:val="auto"/>
          <w:sz w:val="24"/>
          <w:szCs w:val="24"/>
          <w:highlight w:val="none"/>
        </w:rPr>
        <w:t xml:space="preserve">20.投标文件的撤回和修改</w:t>
      </w:r>
      <w:bookmarkEnd w:id="93"/>
      <w:r/>
      <w:bookmarkEnd w:id="94"/>
      <w:r/>
      <w:bookmarkEnd w:id="95"/>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62"/>
        <w:jc w:val="center"/>
        <w:keepLines w:val="0"/>
        <w:keepNext w:val="0"/>
        <w:spacing w:before="0" w:after="0" w:line="500" w:lineRule="exact"/>
        <w:rPr>
          <w:rFonts w:hint="eastAsia"/>
          <w:i w:val="0"/>
          <w:iCs w:val="0"/>
          <w:color w:val="auto"/>
          <w:sz w:val="32"/>
          <w:szCs w:val="32"/>
          <w:highlight w:val="none"/>
        </w:rPr>
      </w:pPr>
      <w:r/>
      <w:bookmarkStart w:id="96" w:name="_Toc20823301"/>
      <w:r/>
      <w:bookmarkStart w:id="97" w:name="_Toc16938545"/>
      <w:r/>
      <w:bookmarkStart w:id="98" w:name="_Toc120614218"/>
      <w:r/>
      <w:bookmarkStart w:id="99" w:name="_Toc513029229"/>
      <w:r>
        <w:rPr>
          <w:rFonts w:hint="eastAsia"/>
          <w:i w:val="0"/>
          <w:iCs w:val="0"/>
          <w:color w:val="auto"/>
          <w:sz w:val="32"/>
          <w:szCs w:val="32"/>
          <w:highlight w:val="none"/>
        </w:rPr>
        <w:t xml:space="preserve">五、开标与评标</w:t>
      </w:r>
      <w:bookmarkEnd w:id="96"/>
      <w:r/>
      <w:bookmarkEnd w:id="97"/>
      <w:r/>
      <w:bookmarkEnd w:id="98"/>
      <w:r/>
      <w:bookmarkEnd w:id="99"/>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0" w:name="_Toc16938546"/>
      <w:r/>
      <w:bookmarkStart w:id="101" w:name="_Toc513029230"/>
      <w:r/>
      <w:bookmarkStart w:id="102" w:name="_Toc20823302"/>
      <w:r>
        <w:rPr>
          <w:rFonts w:hint="eastAsia" w:ascii="宋体" w:hAnsi="宋体" w:eastAsia="宋体"/>
          <w:bCs w:val="0"/>
          <w:i w:val="0"/>
          <w:iCs w:val="0"/>
          <w:color w:val="auto"/>
          <w:sz w:val="24"/>
          <w:szCs w:val="24"/>
          <w:highlight w:val="none"/>
        </w:rPr>
        <w:t xml:space="preserve">21.开标</w:t>
      </w:r>
      <w:bookmarkEnd w:id="100"/>
      <w:r/>
      <w:bookmarkEnd w:id="101"/>
      <w:r/>
      <w:bookmarkEnd w:id="102"/>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3" w:name="_Toc513029231"/>
      <w:r/>
      <w:bookmarkStart w:id="104" w:name="_Toc16938547"/>
      <w:r/>
      <w:bookmarkStart w:id="105" w:name="_Toc20823303"/>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3"/>
      <w:bookmarkEnd w:id="104"/>
      <w:bookmarkEnd w:id="105"/>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6" w:name="_Toc20823304"/>
      <w:r/>
      <w:bookmarkStart w:id="107" w:name="_Toc16938548"/>
      <w:r/>
      <w:bookmarkStart w:id="108" w:name="_Toc513029232"/>
      <w:r>
        <w:rPr>
          <w:rFonts w:hint="eastAsia" w:ascii="宋体" w:hAnsi="宋体" w:eastAsia="宋体"/>
          <w:bCs w:val="0"/>
          <w:i w:val="0"/>
          <w:iCs w:val="0"/>
          <w:color w:val="auto"/>
          <w:sz w:val="24"/>
          <w:szCs w:val="24"/>
          <w:highlight w:val="none"/>
        </w:rPr>
        <w:t xml:space="preserve">24.投标文件的澄清</w:t>
      </w:r>
      <w:bookmarkEnd w:id="106"/>
      <w:r/>
      <w:bookmarkEnd w:id="107"/>
      <w:r/>
      <w:bookmarkEnd w:id="108"/>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9" w:name="_Toc16938549"/>
      <w:r/>
      <w:bookmarkStart w:id="110" w:name="_Toc20823305"/>
      <w:r/>
      <w:bookmarkStart w:id="111" w:name="_Toc513029233"/>
      <w:r>
        <w:rPr>
          <w:rFonts w:hint="eastAsia" w:ascii="宋体" w:hAnsi="宋体" w:eastAsia="宋体"/>
          <w:bCs w:val="0"/>
          <w:i w:val="0"/>
          <w:iCs w:val="0"/>
          <w:color w:val="auto"/>
          <w:sz w:val="24"/>
          <w:szCs w:val="24"/>
          <w:highlight w:val="none"/>
        </w:rPr>
        <w:t xml:space="preserve">25.对投标文件的初审</w:t>
      </w:r>
      <w:bookmarkEnd w:id="109"/>
      <w:r/>
      <w:bookmarkEnd w:id="110"/>
      <w:r/>
      <w:bookmarkEnd w:id="111"/>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2" w:name="_Toc16938550"/>
      <w:r/>
      <w:bookmarkStart w:id="113" w:name="_Toc513029234"/>
      <w:r/>
      <w:bookmarkStart w:id="114" w:name="_Toc20823306"/>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2"/>
      <w:r/>
      <w:bookmarkEnd w:id="113"/>
      <w:r/>
      <w:bookmarkEnd w:id="114"/>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5" w:name="_Toc20823307"/>
      <w:r/>
      <w:bookmarkStart w:id="116" w:name="_Toc513029235"/>
      <w:r/>
      <w:bookmarkStart w:id="117"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sz w:val="24"/>
          <w:szCs w:val="24"/>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 1.24投标系统中不同投标人的MAC地址一致或标书制作工具客户端标识码一致的。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62"/>
        <w:jc w:val="center"/>
        <w:keepLines w:val="0"/>
        <w:keepNext w:val="0"/>
        <w:spacing w:before="0" w:after="0" w:line="500" w:lineRule="exact"/>
        <w:rPr>
          <w:rFonts w:hint="eastAsia"/>
          <w:i w:val="0"/>
          <w:iCs w:val="0"/>
          <w:color w:val="auto"/>
          <w:sz w:val="32"/>
          <w:szCs w:val="32"/>
          <w:highlight w:val="none"/>
        </w:rPr>
      </w:pPr>
      <w:r/>
      <w:bookmarkStart w:id="118" w:name="_Toc120614219"/>
      <w:r>
        <w:rPr>
          <w:rFonts w:hint="eastAsia"/>
          <w:i w:val="0"/>
          <w:iCs w:val="0"/>
          <w:color w:val="auto"/>
          <w:sz w:val="32"/>
          <w:szCs w:val="32"/>
          <w:highlight w:val="none"/>
        </w:rPr>
        <w:t xml:space="preserve">六、</w:t>
      </w:r>
      <w:bookmarkEnd w:id="115"/>
      <w:r/>
      <w:bookmarkEnd w:id="116"/>
      <w:r/>
      <w:bookmarkEnd w:id="117"/>
      <w:r>
        <w:rPr>
          <w:rFonts w:hint="eastAsia"/>
          <w:i w:val="0"/>
          <w:iCs w:val="0"/>
          <w:color w:val="auto"/>
          <w:sz w:val="32"/>
          <w:szCs w:val="32"/>
          <w:highlight w:val="none"/>
        </w:rPr>
        <w:t xml:space="preserve">定标</w:t>
      </w:r>
      <w:bookmarkEnd w:id="118"/>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9" w:name="_Toc513029238"/>
      <w:r/>
      <w:bookmarkStart w:id="120" w:name="_Toc20823310"/>
      <w:r/>
      <w:bookmarkStart w:id="121" w:name="_Toc16938554"/>
      <w:r>
        <w:rPr>
          <w:rFonts w:hint="eastAsia" w:ascii="宋体" w:hAnsi="宋体" w:eastAsia="宋体"/>
          <w:bCs w:val="0"/>
          <w:i w:val="0"/>
          <w:iCs w:val="0"/>
          <w:color w:val="auto"/>
          <w:sz w:val="24"/>
          <w:szCs w:val="24"/>
          <w:highlight w:val="none"/>
        </w:rPr>
        <w:t xml:space="preserve">27、</w:t>
      </w:r>
      <w:bookmarkEnd w:id="119"/>
      <w:r>
        <w:rPr>
          <w:rFonts w:hint="eastAsia" w:ascii="宋体" w:hAnsi="宋体" w:eastAsia="宋体"/>
          <w:bCs w:val="0"/>
          <w:i w:val="0"/>
          <w:iCs w:val="0"/>
          <w:color w:val="auto"/>
          <w:sz w:val="24"/>
          <w:szCs w:val="24"/>
          <w:highlight w:val="none"/>
        </w:rPr>
        <w:t xml:space="preserve">确定</w:t>
      </w:r>
      <w:bookmarkEnd w:id="120"/>
      <w:r/>
      <w:bookmarkEnd w:id="121"/>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2"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2"/>
        <w:jc w:val="center"/>
        <w:keepLines w:val="0"/>
        <w:keepNext w:val="0"/>
        <w:spacing w:before="0" w:after="0" w:line="500" w:lineRule="exact"/>
        <w:rPr>
          <w:rFonts w:hint="eastAsia"/>
          <w:i w:val="0"/>
          <w:iCs w:val="0"/>
          <w:color w:val="auto"/>
          <w:sz w:val="32"/>
          <w:szCs w:val="32"/>
          <w:highlight w:val="none"/>
        </w:rPr>
      </w:pPr>
      <w:r/>
      <w:bookmarkStart w:id="123" w:name="_Toc120614220"/>
      <w:r/>
      <w:bookmarkStart w:id="124" w:name="_Toc20823308"/>
      <w:r/>
      <w:bookmarkStart w:id="125" w:name="_Toc513029236"/>
      <w:r/>
      <w:bookmarkStart w:id="126" w:name="_Toc16938552"/>
      <w:r>
        <w:rPr>
          <w:rFonts w:hint="eastAsia"/>
          <w:i w:val="0"/>
          <w:iCs w:val="0"/>
          <w:color w:val="auto"/>
          <w:sz w:val="32"/>
          <w:szCs w:val="32"/>
          <w:highlight w:val="none"/>
        </w:rPr>
        <w:t xml:space="preserve">七、授予合同</w:t>
      </w:r>
      <w:bookmarkEnd w:id="123"/>
      <w:r/>
      <w:bookmarkEnd w:id="124"/>
      <w:bookmarkEnd w:id="125"/>
      <w:bookmarkEnd w:id="126"/>
      <w:r/>
    </w:p>
    <w:p>
      <w:pPr>
        <w:pStyle w:val="108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06"/>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投标供应商所投内容必须满足以下要求，不得有负偏离。</w:t>
      </w:r>
      <w:r/>
    </w:p>
    <w:p>
      <w:pPr>
        <w:ind w:firstLine="482"/>
        <w:jc w:val="left"/>
        <w:spacing w:line="440" w:lineRule="exact"/>
        <w:rPr>
          <w:rFonts w:ascii="宋体" w:hAnsi="宋体"/>
          <w:b/>
          <w:bCs/>
          <w:color w:val="000000" w:themeColor="text1"/>
          <w:sz w:val="24"/>
          <w14:textFill>
            <w14:solidFill>
              <w14:schemeClr w14:val="tx1"/>
            </w14:solidFill>
          </w14:textFill>
        </w:rPr>
      </w:pPr>
      <w:r/>
      <w:bookmarkStart w:id="127" w:name="_Toc36414913"/>
      <w:r/>
      <w:bookmarkStart w:id="128" w:name="_Toc39873222"/>
      <w:r/>
      <w:bookmarkStart w:id="129" w:name="_Toc49115870"/>
      <w:r>
        <w:rPr>
          <w:rFonts w:hint="eastAsia" w:ascii="宋体" w:hAnsi="宋体"/>
          <w:b/>
          <w:bCs/>
          <w:color w:val="000000" w:themeColor="text1"/>
          <w:sz w:val="24"/>
          <w14:textFill>
            <w14:solidFill>
              <w14:schemeClr w14:val="tx1"/>
            </w14:solidFill>
          </w14:textFill>
        </w:rPr>
        <w:t xml:space="preserve">一、本项目采购标的概况、服务期、质量标准及其他要求：</w:t>
      </w:r>
      <w:bookmarkEnd w:id="127"/>
      <w:r/>
      <w:bookmarkEnd w:id="128"/>
      <w:r/>
      <w:bookmarkEnd w:id="129"/>
      <w:r/>
      <w:r/>
    </w:p>
    <w:p>
      <w:pPr>
        <w:ind w:firstLine="482"/>
        <w:spacing w:line="440" w:lineRule="exact"/>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1.项目编号：</w:t>
      </w:r>
      <w:r>
        <w:rPr>
          <w:rFonts w:hint="eastAsia" w:ascii="宋体" w:hAnsi="宋体"/>
          <w:color w:val="000000" w:themeColor="text1"/>
          <w:sz w:val="24"/>
          <w14:textFill>
            <w14:solidFill>
              <w14:schemeClr w14:val="tx1"/>
            </w14:solidFill>
          </w14:textFill>
        </w:rPr>
        <w:t xml:space="preserve">JSZC-320206-JZCG-G2026- </w:t>
      </w:r>
      <w:r/>
    </w:p>
    <w:p>
      <w:pPr>
        <w:ind w:firstLine="482"/>
        <w:jc w:val="left"/>
        <w:spacing w:line="440" w:lineRule="exact"/>
        <w:rPr>
          <w:rFonts w:hint="eastAsia" w:ascii="宋体" w:hAnsi="宋体"/>
          <w:color w:val="000000" w:themeColor="text1"/>
          <w:sz w:val="24"/>
          <w14:textFill>
            <w14:solidFill>
              <w14:schemeClr w14:val="tx1"/>
            </w14:solidFill>
          </w14:textFill>
        </w:rPr>
      </w:pPr>
      <w:r/>
      <w:bookmarkStart w:id="130" w:name="_Hlk37847209"/>
      <w:r>
        <w:rPr>
          <w:rFonts w:ascii="宋体" w:hAnsi="宋体"/>
          <w:b/>
          <w:bCs/>
          <w:color w:val="000000" w:themeColor="text1"/>
          <w:sz w:val="24"/>
          <w14:textFill>
            <w14:solidFill>
              <w14:schemeClr w14:val="tx1"/>
            </w14:solidFill>
          </w14:textFill>
        </w:rPr>
        <w:t xml:space="preserve">2</w:t>
      </w:r>
      <w:r>
        <w:rPr>
          <w:rFonts w:hint="eastAsia" w:ascii="宋体" w:hAnsi="宋体"/>
          <w:b/>
          <w:bCs/>
          <w:color w:val="000000" w:themeColor="text1"/>
          <w:sz w:val="24"/>
          <w14:textFill>
            <w14:solidFill>
              <w14:schemeClr w14:val="tx1"/>
            </w14:solidFill>
          </w14:textFill>
        </w:rPr>
        <w:t xml:space="preserve">.项目名称</w:t>
      </w:r>
      <w:bookmarkEnd w:id="130"/>
      <w:r>
        <w:rPr>
          <w:rFonts w:hint="eastAsia" w:ascii="宋体" w:hAnsi="宋体"/>
          <w:b/>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阳山镇人民政府大院、职工服务中心、文体站及综治中心物业管理服务采购项目</w:t>
      </w:r>
      <w:r/>
    </w:p>
    <w:p>
      <w:pPr>
        <w:ind w:firstLine="482"/>
        <w:jc w:val="left"/>
        <w:spacing w:line="440" w:lineRule="exact"/>
        <w:rPr>
          <w:rFonts w:ascii="宋体" w:hAnsi="宋体" w:cs="宋体"/>
          <w:color w:val="auto"/>
          <w:sz w:val="24"/>
          <w:szCs w:val="24"/>
          <w:highlight w:val="none"/>
        </w:rPr>
      </w:pPr>
      <w:r>
        <w:rPr>
          <w:rFonts w:hint="eastAsia" w:ascii="宋体" w:hAnsi="宋体"/>
          <w:b/>
          <w:bCs/>
          <w:color w:val="000000" w:themeColor="text1"/>
          <w:sz w:val="24"/>
          <w:lang w:val="en-US" w:eastAsia="zh-CN"/>
          <w14:textFill>
            <w14:solidFill>
              <w14:schemeClr w14:val="tx1"/>
            </w14:solidFill>
          </w14:textFill>
        </w:rPr>
        <w:t xml:space="preserve">3</w:t>
      </w:r>
      <w:r>
        <w:rPr>
          <w:rFonts w:hint="eastAsia" w:ascii="宋体" w:hAnsi="宋体"/>
          <w:b/>
          <w:bCs/>
          <w:color w:val="000000" w:themeColor="text1"/>
          <w:sz w:val="24"/>
          <w14:textFill>
            <w14:solidFill>
              <w14:schemeClr w14:val="tx1"/>
            </w14:solidFill>
          </w14:textFill>
        </w:rPr>
        <w:t xml:space="preserve">.项目概况：</w:t>
      </w:r>
      <w:r>
        <w:rPr>
          <w:rFonts w:hint="eastAsia" w:ascii="宋体" w:hAnsi="宋体"/>
          <w:color w:val="000000" w:themeColor="text1"/>
          <w:sz w:val="24"/>
          <w14:textFill>
            <w14:solidFill>
              <w14:schemeClr w14:val="tx1"/>
            </w14:solidFill>
          </w14:textFill>
        </w:rPr>
        <w:t xml:space="preserve">本次采购项目为阳山镇人民政府大院、职工服务中心、文体站及综治中心物业管理服务采购项目，主要内容为无锡市惠山区阳山镇人民政府隶属的机关大楼1号楼、2号楼、3号楼、5号楼公共区域内保洁、会务、保安、客房</w:t>
      </w:r>
      <w:r>
        <w:rPr>
          <w:rFonts w:hint="eastAsia" w:ascii="宋体" w:hAnsi="宋体"/>
          <w:color w:val="000000" w:themeColor="text1"/>
          <w:sz w:val="24"/>
          <w:highlight w:val="none"/>
          <w14:textFill>
            <w14:solidFill>
              <w14:schemeClr w14:val="tx1"/>
            </w14:solidFill>
          </w14:textFill>
        </w:rPr>
        <w:t xml:space="preserve">、定期设施设备巡检及小维修服务；阳山职工服务中心（含阳山综合管理服务指挥中心）、文体站的保洁服务以及综治中心的保安、保洁服务。</w:t>
      </w:r>
      <w:r>
        <w:rPr>
          <w:rFonts w:hint="eastAsia" w:ascii="宋体" w:hAnsi="宋体" w:cs="宋体"/>
          <w:sz w:val="24"/>
          <w:szCs w:val="24"/>
          <w:highlight w:val="none"/>
        </w:rPr>
        <w:t xml:space="preserve">基本情况和管理要求如下：</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（1）阳山镇人民政府机关大楼：位于惠山区阳山镇人民西路12号。包含1号楼（4.5层）、2号楼（4层）、3号楼（2层）、5号楼（3层）及室外停车场、前后通道，服务面积合计：21287.61平方米。</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（2）职工服务中心（</w:t>
      </w:r>
      <w:r>
        <w:rPr>
          <w:rFonts w:hint="eastAsia" w:ascii="宋体" w:hAnsi="宋体"/>
          <w:bCs/>
          <w:color w:val="auto"/>
          <w:sz w:val="24"/>
          <w:szCs w:val="24"/>
          <w:highlight w:val="none"/>
        </w:rPr>
        <w:t xml:space="preserve">含阳山综合管理服务指挥中心</w:t>
      </w:r>
      <w:r>
        <w:rPr>
          <w:rFonts w:hint="eastAsia" w:ascii="宋体" w:hAnsi="宋体" w:cs="宋体"/>
          <w:color w:val="auto"/>
          <w:sz w:val="24"/>
          <w:szCs w:val="24"/>
          <w:highlight w:val="none"/>
        </w:rPr>
        <w:t xml:space="preserve">）：位于阳山镇东方路7号，</w:t>
      </w:r>
      <w:r>
        <w:rPr>
          <w:rFonts w:hint="eastAsia" w:ascii="宋体" w:hAnsi="宋体"/>
          <w:bCs/>
          <w:color w:val="auto"/>
          <w:sz w:val="24"/>
          <w:szCs w:val="24"/>
          <w:highlight w:val="none"/>
        </w:rPr>
        <w:t xml:space="preserve">指挥中心</w:t>
      </w:r>
      <w:r>
        <w:rPr>
          <w:rFonts w:hint="eastAsia" w:ascii="宋体" w:hAnsi="宋体" w:cs="宋体"/>
          <w:color w:val="auto"/>
          <w:sz w:val="24"/>
          <w:szCs w:val="24"/>
          <w:highlight w:val="none"/>
        </w:rPr>
        <w:t xml:space="preserve">（2层）及办公楼（5层），服务面积3320.65平方米。</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（3）文体站：位于阳山镇东方路7号，办公楼（5层），服务面积2315.67平方米。</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（4）综治中心：位于惠山区阳山镇胜利路64号，办公楼（3层）及内部庭院，服务面积2331平方米。</w:t>
      </w:r>
      <w:r/>
    </w:p>
    <w:p>
      <w:pPr>
        <w:ind w:firstLine="482"/>
        <w:jc w:val="left"/>
        <w:spacing w:line="440" w:lineRule="exact"/>
        <w:rPr>
          <w:rFonts w:ascii="宋体" w:hAnsi="宋体"/>
          <w:color w:val="auto"/>
          <w:sz w:val="24"/>
          <w:highlight w:val="none"/>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.服务期：</w:t>
      </w:r>
      <w:r>
        <w:rPr>
          <w:rFonts w:hint="eastAsia" w:ascii="宋体" w:hAnsi="宋体"/>
          <w:color w:val="auto"/>
          <w:sz w:val="24"/>
          <w:highlight w:val="none"/>
        </w:rPr>
        <w:t xml:space="preserve">三年（具体起始日期以合同签订日期为准）。</w:t>
      </w:r>
      <w:r/>
    </w:p>
    <w:p>
      <w:pPr>
        <w:ind w:firstLine="482"/>
        <w:jc w:val="left"/>
        <w:spacing w:line="440" w:lineRule="exact"/>
        <w:rPr>
          <w:rFonts w:ascii="宋体" w:hAnsi="宋体"/>
          <w:bCs/>
          <w:color w:val="auto"/>
          <w:sz w:val="24"/>
          <w:szCs w:val="24"/>
          <w:highlight w:val="none"/>
        </w:rPr>
      </w:pP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.质量要求：</w:t>
      </w:r>
      <w:r>
        <w:rPr>
          <w:rFonts w:hint="eastAsia" w:ascii="宋体" w:hAnsi="宋体"/>
          <w:color w:val="auto"/>
          <w:sz w:val="24"/>
          <w:highlight w:val="none"/>
        </w:rPr>
        <w:t xml:space="preserve">符合国家标准、行业标准和企业标准（标准不一致的，以严格的标准为准），并满足采购人的项目需求及考核要求。</w:t>
      </w:r>
      <w:bookmarkStart w:id="131" w:name="_Hlk91494316"/>
      <w:r/>
      <w:r/>
    </w:p>
    <w:p>
      <w:pPr>
        <w:ind w:firstLine="482"/>
        <w:spacing w:after="5" w:line="440" w:lineRule="exact"/>
        <w:rPr>
          <w:rFonts w:hint="eastAsia" w:ascii="宋体" w:hAnsi="宋体"/>
          <w:color w:val="auto"/>
          <w:sz w:val="24"/>
          <w:highlight w:val="none"/>
        </w:rPr>
      </w:pPr>
      <w:r/>
      <w:bookmarkStart w:id="132" w:name="_Hlk117440022"/>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.项目实施地点：</w:t>
      </w:r>
      <w:r>
        <w:rPr>
          <w:rFonts w:hint="eastAsia" w:ascii="宋体" w:hAnsi="宋体"/>
          <w:color w:val="auto"/>
          <w:sz w:val="24"/>
          <w:highlight w:val="none"/>
        </w:rPr>
        <w:t xml:space="preserve">无锡市惠山区阳山镇。</w:t>
      </w:r>
      <w:bookmarkEnd w:id="131"/>
      <w:bookmarkEnd w:id="132"/>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二、人员配置及素质要求</w:t>
      </w:r>
      <w:r/>
    </w:p>
    <w:p>
      <w:pPr>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具体要求如下：</w:t>
      </w:r>
      <w:r/>
    </w:p>
    <w:p>
      <w:pPr>
        <w:numPr>
          <w:ilvl w:val="0"/>
          <w:numId w:val="4"/>
        </w:num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人员配置数量：28人。其中项目负责人1人，包含在总人数内，对所有区域进行统筹管理服务，具体如下：</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1、阳山镇人民政府机关大楼：23人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项目负责人：1人；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保洁人员：11人；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会务人员：4人；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客房保洁人员：1人；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5）保安人员：6人（含行政审批中心1人）。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2、职工服务中心（含阳山综合管理服务指挥中心）：2人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保洁人员：2人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3、文体站：1人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保洁人员：1人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4、综治中心：2人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保洁人员：1人；</w:t>
      </w:r>
      <w:r/>
    </w:p>
    <w:p>
      <w:pPr>
        <w:ind w:firstLine="480"/>
        <w:spacing w:line="440" w:lineRule="exact"/>
        <w:tabs>
          <w:tab w:val="left" w:pos="312"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保安人员：1人。</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（二）</w:t>
      </w:r>
      <w:r>
        <w:rPr>
          <w:rFonts w:hint="eastAsia" w:ascii="宋体" w:hAnsi="宋体" w:cs="宋体"/>
          <w:bCs/>
          <w:color w:val="auto"/>
          <w:sz w:val="24"/>
          <w:szCs w:val="24"/>
          <w:highlight w:val="none"/>
        </w:rPr>
        <w:t xml:space="preserve">人员素质要求</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项目负责人：年龄50周岁（含）以下，大专（含）以上学历，综合素质好，责任心强，负责主要日常协调工作，并全面负责本区域环境卫生、治安维护等物业管理服务工作，具有较强的业务管理经验和工作协调能力。</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（2）保洁人员：年龄55周岁以下，初中（含）以上学历，身体健康，工作认真负责，能够吃苦耐劳，有团队协作精神。在工作期间严格作业规范，按照规定着装，严格执行相关管理条例。</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（3）会务人员：年龄40周岁以下，政历清白，身体健康，形象气质佳，高中（含）以上学历，工作责任心强，具有亲和力，细致耐心，能吃苦耐劳。</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（4）客房保洁人员：年龄45周岁以下，政历清白，身体健康，形象气质佳，高中（含）以上学历，工作责任心强，具有亲和力，细致耐心，能吃苦耐劳。</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（5）保安人员：门岗年龄55周岁以下，身高170cm以上；行政审批中心保安年龄50周岁以下。其余人员年龄62周岁以下。在本市有固定住处，政历清白，身体健康，工作认真负责并定期接受培训，退伍军人优先。</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三、物业管理服务范围及内容</w:t>
      </w:r>
      <w:r/>
    </w:p>
    <w:p>
      <w:pPr>
        <w:ind w:firstLine="241"/>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（一）阳山镇人民政府机关大楼：</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1、保洁服务</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（1）负责区域内1号楼、2号楼、3号楼、5号楼公共区域（通道，过道，楼梯，卫生间）及会议室、接待室、部分领导办公室保洁及环境消杀服务工作。</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（2）负责服务区域内的会议服务（茶水供应、会议室消杀等）。</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（3）负责区域内外场保洁清扫及室外垃圾桶的清洁消毒、雨水地沟的清理工作。</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2、秩序维护服务</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（1）负责区域内24小时全天候公共秩序管理、各类车辆进出交通引导、外来车辆的管控及车辆正常停放秩序工作。包括安全巡视、门岗值勤、安全监控、人员登记和突发事件处理等。</w:t>
      </w:r>
      <w:r/>
    </w:p>
    <w:p>
      <w:pPr>
        <w:ind w:firstLine="424"/>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（2）做好各项安全巡查工作，发现安全隐患及时告知采购人相关负责人，第一时间消除安全隐患。</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3、会务服务</w:t>
      </w:r>
      <w:r/>
    </w:p>
    <w:p>
      <w:pPr>
        <w:ind w:firstLine="480"/>
        <w:spacing w:line="440" w:lineRule="exact"/>
        <w:tabs>
          <w:tab w:val="left" w:pos="0" w:leader="none"/>
        </w:tabs>
        <w:rPr>
          <w:rFonts w:ascii="宋体" w:hAnsi="宋体" w:cs="宋体"/>
          <w:color w:val="auto"/>
          <w:sz w:val="24"/>
          <w:szCs w:val="24"/>
          <w:highlight w:val="none"/>
        </w:rPr>
      </w:pPr>
      <w:r>
        <w:rPr>
          <w:rFonts w:hint="eastAsia" w:ascii="宋体" w:hAnsi="宋体" w:cs="宋体"/>
          <w:bCs/>
          <w:color w:val="auto"/>
          <w:sz w:val="24"/>
          <w:highlight w:val="none"/>
        </w:rPr>
        <w:t xml:space="preserve">负责各项会议的会前布置、会中服务及会后的整理工作。</w:t>
      </w:r>
      <w:r/>
    </w:p>
    <w:p>
      <w:pPr>
        <w:numPr>
          <w:ilvl w:val="0"/>
          <w:numId w:val="5"/>
        </w:num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客房服务</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负责1号楼主楼3F、4F值班室客房清洁服务工作。</w:t>
      </w:r>
      <w:r/>
    </w:p>
    <w:p>
      <w:pPr>
        <w:ind w:firstLine="480"/>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5、定期设施设备巡检及小维修服务</w:t>
      </w:r>
      <w:r>
        <w:rPr>
          <w:rFonts w:hint="eastAsia" w:ascii="宋体" w:hAnsi="宋体" w:cs="宋体"/>
          <w:bCs/>
          <w:color w:val="auto"/>
          <w:sz w:val="24"/>
          <w:szCs w:val="24"/>
          <w:highlight w:val="none"/>
          <w:lang w:eastAsia="zh-CN"/>
        </w:rPr>
        <w:t xml:space="preserve">。</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（二）职工服务中心（含阳山综合管理服务指挥中心）</w:t>
      </w:r>
      <w:r/>
    </w:p>
    <w:p>
      <w:pPr>
        <w:ind w:firstLine="480"/>
        <w:spacing w:line="440" w:lineRule="exact"/>
        <w:widowControl/>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保洁服务</w:t>
      </w:r>
      <w:r/>
    </w:p>
    <w:p>
      <w:pPr>
        <w:ind w:firstLine="424"/>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（1）负责公共区域内</w:t>
      </w:r>
      <w:r>
        <w:rPr>
          <w:rFonts w:hint="eastAsia" w:ascii="宋体" w:hAnsi="宋体" w:cs="宋体"/>
          <w:bCs/>
          <w:color w:val="auto"/>
          <w:sz w:val="24"/>
          <w:szCs w:val="24"/>
          <w:highlight w:val="none"/>
        </w:rPr>
        <w:t xml:space="preserve">（含阳山综合管理服务指挥中心）</w:t>
      </w:r>
      <w:r>
        <w:rPr>
          <w:rFonts w:hint="eastAsia" w:ascii="宋体" w:hAnsi="宋体" w:cs="宋体"/>
          <w:color w:val="auto"/>
          <w:sz w:val="24"/>
          <w:szCs w:val="24"/>
          <w:highlight w:val="none"/>
        </w:rPr>
        <w:t xml:space="preserve">的日常保洁服务工作</w:t>
      </w:r>
      <w:r>
        <w:rPr>
          <w:rFonts w:hint="eastAsia" w:ascii="宋体" w:hAnsi="宋体" w:cs="宋体"/>
          <w:bCs/>
          <w:color w:val="auto"/>
          <w:sz w:val="24"/>
          <w:szCs w:val="24"/>
          <w:highlight w:val="none"/>
        </w:rPr>
        <w:t xml:space="preserve">及会议室、接待室、部分领导办公室保洁及环境消杀服务工作。</w:t>
      </w:r>
      <w:r/>
    </w:p>
    <w:p>
      <w:pPr>
        <w:ind w:left="420"/>
        <w:spacing w:line="440" w:lineRule="exact"/>
        <w:widowControl/>
        <w:rPr>
          <w:rFonts w:ascii="宋体" w:hAnsi="宋体" w:cs="宋体"/>
          <w:bCs/>
          <w:color w:val="auto"/>
          <w:sz w:val="24"/>
          <w:szCs w:val="24"/>
          <w:highlight w:val="none"/>
        </w:rPr>
        <w:outlineLvl w:val="3"/>
      </w:pPr>
      <w:r>
        <w:rPr>
          <w:rFonts w:hint="eastAsia" w:ascii="宋体" w:hAnsi="宋体" w:cs="宋体"/>
          <w:color w:val="auto"/>
          <w:sz w:val="24"/>
          <w:szCs w:val="24"/>
          <w:highlight w:val="none"/>
        </w:rPr>
        <w:t xml:space="preserve">（2）根据采购人要求兼带的会议保障服务。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（三）文体站</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保洁服务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（1）负责</w:t>
      </w:r>
      <w:r>
        <w:rPr>
          <w:rFonts w:hint="eastAsia" w:ascii="宋体" w:hAnsi="宋体" w:cs="宋体"/>
          <w:color w:val="auto"/>
          <w:sz w:val="24"/>
          <w:szCs w:val="24"/>
          <w:highlight w:val="none"/>
        </w:rPr>
        <w:t xml:space="preserve">公共区域内</w:t>
      </w:r>
      <w:r>
        <w:rPr>
          <w:rFonts w:hint="eastAsia" w:ascii="宋体" w:hAnsi="宋体" w:cs="宋体"/>
          <w:color w:val="auto"/>
          <w:sz w:val="24"/>
          <w:szCs w:val="24"/>
          <w:highlight w:val="none"/>
        </w:rPr>
        <w:t xml:space="preserve">办公室、会议室、通道、楼梯、卫生间</w:t>
      </w:r>
      <w:r>
        <w:rPr>
          <w:rFonts w:hint="eastAsia" w:ascii="宋体" w:hAnsi="宋体" w:cs="宋体"/>
          <w:color w:val="auto"/>
          <w:sz w:val="24"/>
          <w:szCs w:val="24"/>
          <w:highlight w:val="none"/>
        </w:rPr>
        <w:t xml:space="preserve">的日常保洁</w:t>
      </w:r>
      <w:r>
        <w:rPr>
          <w:rFonts w:hint="eastAsia" w:ascii="宋体" w:hAnsi="宋体" w:cs="宋体"/>
          <w:bCs/>
          <w:color w:val="auto"/>
          <w:sz w:val="24"/>
          <w:szCs w:val="24"/>
          <w:highlight w:val="none"/>
        </w:rPr>
        <w:t xml:space="preserve">及环境消杀</w:t>
      </w:r>
      <w:r>
        <w:rPr>
          <w:rFonts w:hint="eastAsia" w:ascii="宋体" w:hAnsi="宋体" w:cs="宋体"/>
          <w:color w:val="auto"/>
          <w:sz w:val="24"/>
          <w:szCs w:val="24"/>
          <w:highlight w:val="none"/>
        </w:rPr>
        <w:t xml:space="preserve">服务工作</w:t>
      </w:r>
      <w:r>
        <w:rPr>
          <w:rFonts w:hint="eastAsia" w:ascii="宋体" w:hAnsi="宋体" w:cs="宋体"/>
          <w:color w:val="auto"/>
          <w:sz w:val="24"/>
          <w:szCs w:val="24"/>
          <w:highlight w:val="none"/>
        </w:rPr>
        <w:t xml:space="preserve">。</w:t>
      </w:r>
      <w:r/>
    </w:p>
    <w:p>
      <w:pPr>
        <w:ind w:left="420"/>
        <w:spacing w:line="440" w:lineRule="exact"/>
        <w:widowControl/>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根据采购人要求兼带的会议保障服务。</w:t>
      </w:r>
      <w:r/>
    </w:p>
    <w:p>
      <w:pPr>
        <w:ind w:firstLine="2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（四）综治中心：</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1、保洁服务</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区域内</w:t>
      </w:r>
      <w:r>
        <w:rPr>
          <w:rFonts w:hint="eastAsia" w:ascii="宋体" w:hAnsi="宋体" w:cs="宋体"/>
          <w:color w:val="auto"/>
          <w:sz w:val="24"/>
          <w:szCs w:val="24"/>
          <w:highlight w:val="none"/>
        </w:rPr>
        <w:t xml:space="preserve">一楼服务大厅、二楼办公室、会议室、通道、楼梯以及四个卫生间保洁服务。</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2、秩序维护</w:t>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（1）负责区域内24小时全天候公共秩序管理、各类车辆进出交通引导、外来车辆的管控及车辆正常停放秩序工作。包括安全巡视、门岗值勤、安全监控、人员登记和突发事件处理等。</w:t>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（2）做好各项安全巡查工作，发现安全隐患及时告知甲方相关负责人，第一时间消除安全隐患。</w:t>
      </w:r>
      <w:r/>
    </w:p>
    <w:p>
      <w:pPr>
        <w:ind w:firstLine="424"/>
        <w:jc w:val="left"/>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（3）早晨做好前、后院内保洁清扫工作。</w:t>
      </w:r>
      <w:r/>
    </w:p>
    <w:p>
      <w:pPr>
        <w:numPr>
          <w:ilvl w:val="0"/>
          <w:numId w:val="6"/>
        </w:num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物业服务具体标准及要求</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（一）项目负责人</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1、能够充分调动全体员工的积极性，善于管理、善于沟通。负责每月对员工考评，建立员工工作手册，每日登记工作内容、事项及完成情况。</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2、负责员工的培训教育及人事管理工作（招聘、任用、调动、辞退等），配合采购人完成其他突发性工作。</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3、能够虚心接受采购人领导的监督、建议、评价，并对工作进行有效的改进。</w:t>
      </w:r>
      <w:r/>
    </w:p>
    <w:p>
      <w:pPr>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4、积极配合采购人其他工作或活动的顺利展开。    </w:t>
      </w:r>
      <w:r/>
    </w:p>
    <w:p>
      <w:pPr>
        <w:ind w:firstLine="480"/>
        <w:spacing w:line="440" w:lineRule="exact"/>
        <w:widowControl w:val="off"/>
        <w:rPr>
          <w:rFonts w:ascii="宋体" w:hAnsi="宋体" w:cs="宋体"/>
          <w:bCs/>
          <w:i/>
          <w:iCs/>
          <w:color w:val="auto"/>
          <w:sz w:val="24"/>
          <w:szCs w:val="24"/>
          <w:highlight w:val="none"/>
        </w:rPr>
      </w:pPr>
      <w:r>
        <w:rPr>
          <w:rFonts w:hint="eastAsia" w:ascii="宋体" w:hAnsi="宋体" w:cs="宋体"/>
          <w:bCs/>
          <w:color w:val="auto"/>
          <w:sz w:val="24"/>
          <w:szCs w:val="24"/>
          <w:highlight w:val="none"/>
        </w:rPr>
        <w:t xml:space="preserve">5、积极应对各类突发事件，妥善处理服务对象的投诉。</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（二）卫生保洁服务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1、根据采购人有关卫生保洁要求标准：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（1）制定完善的保洁工作细则，明确所需材料、检查方法等，并严格执行。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（2）建立卫生清洁检查制度。</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（3）保持辖区内、外公共场所的清洁卫生。</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2、具体要求及标准：</w:t>
      </w:r>
      <w:r/>
    </w:p>
    <w:p>
      <w:pPr>
        <w:ind w:firstLine="480"/>
        <w:spacing w:line="440" w:lineRule="exact"/>
        <w:widowControl/>
        <w:tabs>
          <w:tab w:val="left" w:pos="0"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（1）保洁员统一着装，规范管理。</w:t>
      </w:r>
      <w:r/>
    </w:p>
    <w:p>
      <w:pPr>
        <w:ind w:firstLine="480"/>
        <w:spacing w:line="440" w:lineRule="exact"/>
        <w:widowControl/>
        <w:tabs>
          <w:tab w:val="left" w:pos="0"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（2）单位标志、公共图形符号标识、标志，公共区域座椅，每周擦抹一次。</w:t>
      </w:r>
      <w:r/>
    </w:p>
    <w:p>
      <w:pPr>
        <w:ind w:firstLine="480"/>
        <w:spacing w:line="440" w:lineRule="exact"/>
        <w:widowControl/>
        <w:tabs>
          <w:tab w:val="left" w:pos="0"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（3）每天清理外场室内产生的各类垃圾，每日清理垃圾一次以上；窖井、明沟、垃圾箱（房）夏季每周卫生消毒一次，冬季每月消毒一次。</w:t>
      </w:r>
      <w:r/>
    </w:p>
    <w:p>
      <w:pPr>
        <w:ind w:firstLine="480"/>
        <w:spacing w:line="440" w:lineRule="exact"/>
        <w:widowControl/>
        <w:tabs>
          <w:tab w:val="left" w:pos="0"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（4）会议室、接待室等定期保洁结合使用后立即保洁；做好大型活动、会议、重要接待任务等的突击保洁及会务服务工作。</w:t>
      </w:r>
      <w:r/>
    </w:p>
    <w:p>
      <w:pPr>
        <w:ind w:firstLine="470"/>
        <w:spacing w:line="440" w:lineRule="exact"/>
        <w:widowControl/>
        <w:rPr>
          <w:rFonts w:ascii="宋体" w:hAnsi="宋体" w:cs="宋体"/>
          <w:color w:val="auto"/>
          <w:sz w:val="24"/>
          <w:szCs w:val="24"/>
          <w:highlight w:val="none"/>
        </w:rPr>
        <w:outlineLvl w:val="3"/>
      </w:pPr>
      <w:r>
        <w:rPr>
          <w:rFonts w:hint="eastAsia" w:ascii="宋体" w:hAnsi="宋体" w:cs="宋体"/>
          <w:bCs/>
          <w:color w:val="auto"/>
          <w:sz w:val="24"/>
          <w:szCs w:val="24"/>
          <w:highlight w:val="none"/>
        </w:rPr>
        <w:t xml:space="preserve">总体要求：</w:t>
      </w:r>
      <w:r>
        <w:rPr>
          <w:rFonts w:hint="eastAsia" w:ascii="宋体" w:hAnsi="宋体" w:cs="宋体"/>
          <w:color w:val="auto"/>
          <w:sz w:val="24"/>
          <w:szCs w:val="24"/>
          <w:highlight w:val="none"/>
        </w:rPr>
        <w:t xml:space="preserve">本区域内（含地面、内墙及内侧门窗，立柱，墙面，吊顶板，隔板玻璃，楼梯，扶手，盆景，装饰，消防箱，标识标志，照明，公共座椅等公共设施），应保持完整，整齐、有效、平整、无破损、无划痕、无裂痕、无脱落、无污迹、无灰尘、无蛛网，无异味、干净、明亮。大理石地面、各室内地毯、地板应进行日常专业维护保养；地面保持清洁、明亮；走廊两边墙面无灰尘；工作服务台及隔板玻璃保持整齐、光亮、无灰尘、无手印；标识标志、盆景保持光亮无灰尘；空调出风口保持畅通、光亮无灰尘，立柱保持光亮无灰尘；公共座椅保持整齐、无灰尘、无污迹、完好。</w:t>
      </w:r>
      <w:r/>
    </w:p>
    <w:p>
      <w:pPr>
        <w:ind w:firstLine="480"/>
        <w:spacing w:line="440" w:lineRule="exact"/>
        <w:widowControl/>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根据上述要求、具体应做到：</w:t>
      </w:r>
      <w:r/>
    </w:p>
    <w:p>
      <w:pPr>
        <w:ind w:firstLine="480"/>
        <w:spacing w:line="440" w:lineRule="exact"/>
        <w:widowControl/>
        <w:tabs>
          <w:tab w:val="left" w:pos="786"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1）各类会议室茶具等确保干净、卫生、明亮、无手印、无划痕、无破损、摆放整齐，同时确保茶水供应。</w:t>
      </w:r>
      <w:r/>
    </w:p>
    <w:p>
      <w:pPr>
        <w:ind w:firstLine="480"/>
        <w:spacing w:line="440" w:lineRule="exact"/>
        <w:widowControl/>
        <w:tabs>
          <w:tab w:val="left" w:pos="786"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2）各会议当天用后保洁。</w:t>
      </w:r>
      <w:r/>
    </w:p>
    <w:p>
      <w:pPr>
        <w:ind w:firstLine="480"/>
        <w:spacing w:line="440" w:lineRule="exact"/>
        <w:widowControl/>
        <w:tabs>
          <w:tab w:val="left" w:pos="786"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3）公共区域地面、楼梯、工作服务台每天擦拖擦抹一次以上。</w:t>
      </w:r>
      <w:r/>
    </w:p>
    <w:p>
      <w:pPr>
        <w:ind w:firstLine="480"/>
        <w:spacing w:line="440" w:lineRule="exact"/>
        <w:widowControl/>
        <w:tabs>
          <w:tab w:val="left" w:pos="786" w:leader="none"/>
        </w:tabs>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4）大楼内侧门窗，隔板玻璃、消防箱、盆景、照明（2米以下）立柱2米以下、公共座椅以及沿壁凹凸槽边隔日擦抹无灰尘。</w:t>
      </w:r>
      <w:r/>
    </w:p>
    <w:p>
      <w:pPr>
        <w:ind w:firstLine="480"/>
        <w:spacing w:line="440" w:lineRule="exact"/>
        <w:widowControl/>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与此同时，保洁人员在工作时段内处于巡视检查状态，循环保洁，按总体要求保持环境整洁。</w:t>
      </w:r>
      <w:r/>
    </w:p>
    <w:p>
      <w:pPr>
        <w:spacing w:line="440" w:lineRule="exact"/>
        <w:widowControl/>
        <w:rPr>
          <w:rFonts w:ascii="宋体" w:hAnsi="宋体" w:cs="宋体"/>
          <w:color w:val="auto"/>
          <w:sz w:val="24"/>
          <w:szCs w:val="24"/>
          <w:highlight w:val="none"/>
        </w:rPr>
        <w:outlineLvl w:val="3"/>
      </w:pPr>
      <w:r>
        <w:rPr>
          <w:rFonts w:hint="eastAsia" w:ascii="宋体" w:hAnsi="宋体" w:cs="宋体"/>
          <w:bCs/>
          <w:color w:val="auto"/>
          <w:sz w:val="24"/>
          <w:szCs w:val="24"/>
          <w:highlight w:val="none"/>
        </w:rPr>
        <w:t xml:space="preserve">   （5）消防楼梯、电梯轿厢：</w:t>
      </w:r>
      <w:r>
        <w:rPr>
          <w:rFonts w:hint="eastAsia" w:ascii="宋体" w:hAnsi="宋体" w:cs="宋体"/>
          <w:color w:val="auto"/>
          <w:sz w:val="24"/>
          <w:szCs w:val="24"/>
          <w:highlight w:val="none"/>
        </w:rPr>
        <w:t xml:space="preserve">保持清洁，无灰尘，电梯门壁、轿厢四壁每天擦抹1次，每月上光打蜡1次，电梯操作板每日卫生消毒1次。</w:t>
      </w:r>
      <w:r/>
    </w:p>
    <w:p>
      <w:pPr>
        <w:spacing w:line="4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   （6）公共卫生间：</w:t>
      </w:r>
      <w:r>
        <w:rPr>
          <w:rFonts w:hint="eastAsia" w:ascii="宋体" w:hAnsi="宋体" w:cs="宋体"/>
          <w:color w:val="auto"/>
          <w:sz w:val="24"/>
          <w:szCs w:val="24"/>
          <w:highlight w:val="none"/>
        </w:rPr>
        <w:t xml:space="preserve">茶水废弃物桶每天擦抹、清倒2次以上。卫生间四壁及厕位箱厅每日擦抹1次，门窗每日擦抹1次，地面每天擦拖2次以上；大小便器具每日擦抹1次，并每天消毒1次。</w:t>
      </w:r>
      <w:r/>
    </w:p>
    <w:p>
      <w:pPr>
        <w:ind w:firstLine="240"/>
        <w:spacing w:line="440" w:lineRule="exact"/>
        <w:widowControl/>
        <w:rPr>
          <w:rFonts w:ascii="宋体" w:hAnsi="宋体" w:cs="宋体"/>
          <w:color w:val="auto"/>
          <w:sz w:val="24"/>
          <w:szCs w:val="24"/>
          <w:highlight w:val="none"/>
        </w:rPr>
        <w:outlineLvl w:val="3"/>
      </w:pPr>
      <w:r>
        <w:rPr>
          <w:rFonts w:hint="eastAsia" w:ascii="宋体" w:hAnsi="宋体" w:cs="宋体"/>
          <w:bCs/>
          <w:color w:val="auto"/>
          <w:sz w:val="24"/>
          <w:szCs w:val="24"/>
          <w:highlight w:val="none"/>
        </w:rPr>
        <w:t xml:space="preserve">（7）设备清洁要求：</w:t>
      </w:r>
      <w:r>
        <w:rPr>
          <w:rFonts w:hint="eastAsia" w:ascii="宋体" w:hAnsi="宋体" w:cs="宋体"/>
          <w:color w:val="auto"/>
          <w:sz w:val="24"/>
          <w:szCs w:val="24"/>
          <w:highlight w:val="none"/>
        </w:rPr>
        <w:t xml:space="preserve">应按专业标准，保持设备整洁，无油渍和污迹，明亮和干净，设备运行间整洁、干净、无污渍和杂物，无蛛网。</w:t>
      </w:r>
      <w:r/>
    </w:p>
    <w:p>
      <w:pPr>
        <w:pStyle w:val="744"/>
        <w:ind w:left="0" w:firstLine="480"/>
        <w:spacing w:line="440" w:lineRule="exact"/>
        <w:rPr>
          <w:color w:val="auto"/>
          <w:highlight w:val="none"/>
        </w:rPr>
      </w:pPr>
      <w:r>
        <w:rPr>
          <w:rFonts w:hint="eastAsia" w:cs="宋体"/>
          <w:color w:val="auto"/>
          <w:sz w:val="24"/>
          <w:szCs w:val="24"/>
          <w:highlight w:val="none"/>
          <w:lang w:val="en-US"/>
        </w:rPr>
        <w:t xml:space="preserve">工作时间：</w:t>
      </w:r>
      <w:r>
        <w:rPr>
          <w:rFonts w:hint="eastAsia" w:ascii="宋体" w:hAnsi="宋体" w:cs="宋体"/>
          <w:color w:val="auto"/>
          <w:sz w:val="24"/>
          <w:szCs w:val="24"/>
          <w:highlight w:val="none"/>
          <w:lang w:val="en-US"/>
        </w:rPr>
        <w:t xml:space="preserve">7:00-17:00，做六休一。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（三）秩序维护服务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1、保安管理标准：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保安人员对辖区内进行全天候保安值勤，确保辖区内正常办公秩序；做好消防器材的维护，对违法违纪行为要及时处理；各类突发事件的应急处置。</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2、具体要求：</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（1）能处理和应对辖区公共秩序维护工作，能正确使用各类消防、物防、技防器械和设备，能够熟悉、掌握各类刑事、治安案件及各类灾害事故的应急预案。</w:t>
      </w:r>
      <w:r/>
    </w:p>
    <w:p>
      <w:pPr>
        <w:numPr>
          <w:ilvl w:val="0"/>
          <w:numId w:val="7"/>
        </w:num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负责辖区门口的车辆正常秩序，引导车辆进出和行驶，并保持良好的礼仪形象。</w:t>
      </w:r>
      <w:r/>
    </w:p>
    <w:p>
      <w:pPr>
        <w:ind w:firstLine="480"/>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各辖区出入口和门卫24小时值班看守，并有详细的交接班记录，对外来车辆及人员必须做好询问、登记。</w:t>
      </w:r>
      <w:r/>
    </w:p>
    <w:p>
      <w:pP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（4）负责辖区内邮件、报纸的收发等工作。</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（5）对进入辖区的车辆要进行管控和疏导，保持出入口环境整洁、有序，道路畅通，不出现拥堵现象。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（6）对进入大楼的大型物件出入要先询问调查并做好记录。</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（7）做好辖区内的安全巡逻工作，按要求定时巡更，并做好详细记录。</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（8）上岗时统一佩戴标志，穿戴统一制服，装备佩戴规范，仪容仪表规范整齐，值班时立姿挺直，不倚不靠。</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（9）确保辖区内不出现任何警情，如出现警情，采购人将根据双方权利和义务的相关条款履行合同。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（10）定期组织及安排消防检查，建立义务消防队，抓好消防训练。</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（11）发现安全隐患或火灾苗头等能及时上报或采取相关应急处理工作，尽可能地降低损失。</w:t>
      </w:r>
      <w:r/>
    </w:p>
    <w:p>
      <w:pPr>
        <w:ind w:firstLine="480"/>
        <w:spacing w:line="440" w:lineRule="exact"/>
        <w:rPr>
          <w:rFonts w:ascii="宋体" w:hAnsi="宋体" w:cs="宋体"/>
          <w:b/>
          <w:color w:val="auto"/>
          <w:sz w:val="24"/>
          <w:szCs w:val="24"/>
          <w:highlight w:val="none"/>
        </w:rPr>
      </w:pPr>
      <w:r>
        <w:rPr>
          <w:rFonts w:hint="eastAsia" w:ascii="宋体" w:hAnsi="宋体" w:cs="宋体"/>
          <w:bCs/>
          <w:color w:val="auto"/>
          <w:sz w:val="24"/>
          <w:szCs w:val="24"/>
          <w:highlight w:val="none"/>
        </w:rPr>
        <w:t xml:space="preserve">（12）保持保安员内部之间以及保安与各部门的通信畅通，在遇到异常情况或紧急求助时，保安需及时赶到现场采取相应措施控制局面。</w:t>
      </w:r>
      <w:r/>
    </w:p>
    <w:p>
      <w:pPr>
        <w:pStyle w:val="744"/>
        <w:ind w:left="0" w:firstLine="480"/>
        <w:spacing w:line="440" w:lineRule="exact"/>
        <w:rPr>
          <w:color w:val="auto"/>
          <w:highlight w:val="none"/>
        </w:rPr>
      </w:pPr>
      <w:r>
        <w:rPr>
          <w:rFonts w:hint="eastAsia" w:cs="宋体"/>
          <w:color w:val="auto"/>
          <w:sz w:val="24"/>
          <w:szCs w:val="24"/>
          <w:highlight w:val="none"/>
          <w:lang w:val="en-US"/>
        </w:rPr>
        <w:t xml:space="preserve">工作时间：</w:t>
      </w:r>
      <w:r>
        <w:rPr>
          <w:rFonts w:hint="eastAsia" w:ascii="宋体" w:hAnsi="宋体" w:cs="宋体"/>
          <w:color w:val="auto"/>
          <w:sz w:val="24"/>
          <w:szCs w:val="24"/>
          <w:highlight w:val="none"/>
          <w:lang w:val="en-US"/>
        </w:rPr>
        <w:t xml:space="preserve">24小时轮班制，三班二运转。</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（四）客房服务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1、管理标准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客房内地面无灰尘，窗明几净，房间无异味，所有区域做到不留死角，常检查、常清理。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2、具体要求</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（1）每日进行布草更换，保持干净整洁。</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（2）茶具和玻璃器皿用洗洁精清洗，并在消毒柜消毒。</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（3）客用洗澡拖鞋每天用84消毒液消毒。</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（4）窗帘不定期检查，出现灰尘时及时清洗，并注意不要损坏。</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（5）卫生洁具等使用正常。</w:t>
      </w:r>
      <w:r/>
    </w:p>
    <w:p>
      <w:pPr>
        <w:ind w:left="420"/>
        <w:spacing w:line="440" w:lineRule="exact"/>
        <w:rPr>
          <w:rFonts w:ascii="宋体" w:hAnsi="宋体" w:cs="宋体"/>
          <w:color w:val="auto"/>
          <w:sz w:val="24"/>
          <w:highlight w:val="none"/>
        </w:rPr>
      </w:pPr>
      <w:r>
        <w:rPr>
          <w:rFonts w:hint="eastAsia" w:ascii="宋体" w:hAnsi="宋体" w:cs="宋体"/>
          <w:color w:val="auto"/>
          <w:sz w:val="24"/>
          <w:highlight w:val="none"/>
        </w:rPr>
        <w:t xml:space="preserve">（6）领导房间日常用品配备齐全摆放整齐。</w:t>
      </w:r>
      <w:r/>
    </w:p>
    <w:p>
      <w:pPr>
        <w:pStyle w:val="744"/>
        <w:ind w:left="0" w:firstLine="480"/>
        <w:spacing w:line="440" w:lineRule="exact"/>
        <w:rPr>
          <w:color w:val="auto"/>
          <w:highlight w:val="none"/>
        </w:rPr>
      </w:pPr>
      <w:r>
        <w:rPr>
          <w:rFonts w:hint="eastAsia" w:cs="宋体"/>
          <w:color w:val="auto"/>
          <w:sz w:val="24"/>
          <w:szCs w:val="24"/>
          <w:highlight w:val="none"/>
          <w:lang w:val="en-US"/>
        </w:rPr>
        <w:t xml:space="preserve">工作时间：</w:t>
      </w:r>
      <w:r>
        <w:rPr>
          <w:rFonts w:hint="eastAsia" w:ascii="宋体" w:hAnsi="宋体" w:cs="宋体"/>
          <w:color w:val="auto"/>
          <w:sz w:val="24"/>
          <w:szCs w:val="24"/>
          <w:highlight w:val="none"/>
          <w:lang w:val="en-US"/>
        </w:rPr>
        <w:t xml:space="preserve">7:00-17:00，做六休一。</w:t>
      </w:r>
      <w:r/>
    </w:p>
    <w:p>
      <w:pPr>
        <w:numPr>
          <w:ilvl w:val="0"/>
          <w:numId w:val="8"/>
        </w:numPr>
        <w:ind w:left="42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会务服务</w:t>
      </w:r>
      <w:r/>
    </w:p>
    <w:p>
      <w:pPr>
        <w:pStyle w:val="731"/>
        <w:numPr>
          <w:ilvl w:val="0"/>
          <w:numId w:val="9"/>
        </w:numPr>
        <w:ind w:firstLine="480"/>
        <w:spacing w:line="440" w:lineRule="exact"/>
        <w:rPr>
          <w:color w:val="auto"/>
          <w:sz w:val="24"/>
          <w:szCs w:val="24"/>
          <w:highlight w:val="none"/>
        </w:rPr>
      </w:pPr>
      <w:r>
        <w:rPr>
          <w:rFonts w:hint="eastAsia"/>
          <w:color w:val="auto"/>
          <w:sz w:val="24"/>
          <w:szCs w:val="24"/>
          <w:highlight w:val="none"/>
        </w:rPr>
        <w:t xml:space="preserve">管理服务标准</w:t>
      </w:r>
      <w:r/>
    </w:p>
    <w:p>
      <w:pPr>
        <w:pStyle w:val="731"/>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做好各项会议的会前布置、会中服务及会后的整理工作。满足采购人各项服务需求。</w:t>
      </w:r>
      <w:r/>
    </w:p>
    <w:p>
      <w:pPr>
        <w:pStyle w:val="731"/>
        <w:numPr>
          <w:ilvl w:val="0"/>
          <w:numId w:val="9"/>
        </w:numPr>
        <w:ind w:firstLine="480"/>
        <w:spacing w:line="440" w:lineRule="exact"/>
        <w:rPr>
          <w:color w:val="auto"/>
          <w:sz w:val="24"/>
          <w:szCs w:val="24"/>
          <w:highlight w:val="none"/>
        </w:rPr>
      </w:pPr>
      <w:r>
        <w:rPr>
          <w:rFonts w:hint="eastAsia"/>
          <w:color w:val="auto"/>
          <w:sz w:val="24"/>
          <w:szCs w:val="24"/>
          <w:highlight w:val="none"/>
        </w:rPr>
        <w:t xml:space="preserve">具体要求</w:t>
      </w:r>
      <w:r/>
    </w:p>
    <w:p>
      <w:pPr>
        <w:pStyle w:val="731"/>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（1）按要求将会议需用的设备准备到位。如需调试好相关设备如麦克风、投影仪、激光笔、会议资料等，并确保其正常使用。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（2）会务人员需在会议开始前半小时内将各项准备工作做到位。如：开窗通风、开启灯、根据温度开启空调或风机、备好充足开水；调试音响，灵活控制。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（3）根据要求，将会议指示牌放在特定位置。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（4）检查会议现场是否符合要求。如：桌面，地面要整洁，照明灯正常开启，各种用具干净、齐全，会议使用物件摆放符合标准。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（5）对于一级会议，服务员需在会议开始提前半个小时，精神饱满地在门口迎候。 </w:t>
      </w:r>
      <w:r/>
    </w:p>
    <w:p>
      <w:pPr>
        <w:pStyle w:val="744"/>
        <w:ind w:left="0" w:firstLine="480"/>
        <w:spacing w:line="440" w:lineRule="exact"/>
        <w:rPr>
          <w:rFonts w:ascii="宋体" w:hAnsi="宋体" w:cs="宋体"/>
          <w:bCs/>
          <w:color w:val="auto"/>
          <w:sz w:val="24"/>
          <w:szCs w:val="24"/>
          <w:highlight w:val="none"/>
        </w:rPr>
      </w:pPr>
      <w:r>
        <w:rPr>
          <w:rFonts w:hint="eastAsia" w:cs="宋体"/>
          <w:color w:val="auto"/>
          <w:sz w:val="24"/>
          <w:szCs w:val="24"/>
          <w:highlight w:val="none"/>
          <w:lang w:val="en-US"/>
        </w:rPr>
        <w:t xml:space="preserve">工作时间：</w:t>
      </w:r>
      <w:r>
        <w:rPr>
          <w:rFonts w:hint="eastAsia" w:ascii="宋体" w:hAnsi="宋体" w:cs="宋体"/>
          <w:color w:val="auto"/>
          <w:sz w:val="24"/>
          <w:szCs w:val="24"/>
          <w:highlight w:val="none"/>
          <w:lang w:val="en-US"/>
        </w:rPr>
        <w:t xml:space="preserve">7:00-17:00，做六休一。</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五、日常管理事项说明</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1、派驻人员工资待遇需符合国家、省、市相关政策，符合无锡市最低工资标准且必须缴纳个人社保费，且必须签订正式的劳动合同。</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2、中标供应商入驻前应提供派驻人员相关详细信息以供审核，派驻人员的实际到岗人员的准确情况不得低于投标文件响应的90%比例。</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3、在日后服务过程中，凡涉及更换人员的，投标供应商应严格按照派驻服务人员要求严把进</w:t>
      </w:r>
      <w:r>
        <w:rPr>
          <w:rFonts w:hint="eastAsia" w:ascii="宋体" w:hAnsi="宋体" w:cs="宋体"/>
          <w:color w:val="auto"/>
          <w:sz w:val="24"/>
          <w:szCs w:val="24"/>
          <w:highlight w:val="none"/>
          <w:lang w:eastAsia="zh-CN"/>
        </w:rPr>
        <w:t xml:space="preserve">入</w:t>
      </w:r>
      <w:bookmarkStart w:id="141" w:name="_GoBack"/>
      <w:r/>
      <w:bookmarkEnd w:id="141"/>
      <w:r>
        <w:rPr>
          <w:rFonts w:hint="eastAsia" w:ascii="宋体" w:hAnsi="宋体" w:cs="宋体"/>
          <w:color w:val="auto"/>
          <w:sz w:val="24"/>
          <w:szCs w:val="24"/>
          <w:highlight w:val="none"/>
        </w:rPr>
        <w:t xml:space="preserve">关并获得采购人同意，采购人将就派驻人员情况每周核查一次。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4、中标供应商节假日必须安排人员值班，不少于5人值班。</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5、中标供应商承担服务人员的用工意外风险与其他法律责任。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6、中标供应商无条件同意协助配合采购人完成其他工作性事务。</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六、服务质量考核</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1、接受采购人管理部门对物业管理日常工作的监督和管理。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2、制定安全防范预案（水、火灾、电、各类设备、重大疫情、异常天气、刑事案件等其他突发性事件）；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3、中标供应商应有做好保密工作的相关经验及相应的管理制度，并有责任在提供服务时履行保密义务，在签订合同前，中标供应商应与采购人及所有物业服务人员签订保密协议，相关协议应提交备份。</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4、中标供应商更换管理人员应提前告知采购人。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5、中标供应商必须按照国家及无锡市的有关规定给上述人员支付工资和缴纳正常的社会保险等福利。</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6、中标供应商必须在定标后30天内与采购人签订物业管理委托合同，物业管理委托期限为2年。</w:t>
      </w:r>
      <w:r/>
    </w:p>
    <w:p>
      <w:pPr>
        <w:ind w:firstLine="482"/>
        <w:spacing w:line="440" w:lineRule="exact"/>
        <w:shd w:val="clear" w:color="auto" w:fill="ffffff"/>
        <w:widowControl/>
        <w:rPr>
          <w:rFonts w:hAnsi="宋体"/>
          <w:b/>
          <w:bCs/>
          <w:color w:val="auto"/>
          <w:sz w:val="24"/>
          <w:szCs w:val="24"/>
          <w:highlight w:val="none"/>
        </w:rPr>
      </w:pPr>
      <w:r>
        <w:rPr>
          <w:rFonts w:hint="eastAsia" w:ascii="宋体" w:hAnsi="宋体" w:cs="宋体"/>
          <w:b/>
          <w:bCs/>
          <w:color w:val="auto"/>
          <w:sz w:val="24"/>
          <w:szCs w:val="24"/>
          <w:highlight w:val="none"/>
        </w:rPr>
        <w:t xml:space="preserve">七、物业委托管理要求标准与考核</w:t>
      </w:r>
      <w:r/>
    </w:p>
    <w:p>
      <w:pPr>
        <w:spacing w:line="440" w:lineRule="exact"/>
        <w:rPr>
          <w:rFonts w:hAnsi="宋体"/>
          <w:b/>
          <w:bCs/>
          <w:color w:val="auto"/>
          <w:sz w:val="24"/>
          <w:szCs w:val="24"/>
          <w:highlight w:val="none"/>
        </w:rPr>
      </w:pPr>
      <w:r>
        <w:rPr>
          <w:rFonts w:hint="eastAsia" w:hAnsi="宋体"/>
          <w:b/>
          <w:bCs/>
          <w:color w:val="auto"/>
          <w:sz w:val="24"/>
          <w:szCs w:val="24"/>
          <w:highlight w:val="none"/>
        </w:rPr>
        <w:t xml:space="preserve">阳山镇人民政府大院、职工服务中心、文体站及综治中心物业管理服务采购项目考核标准</w:t>
      </w:r>
      <w:r/>
    </w:p>
    <w:tbl>
      <w:tblPr>
        <w:tblStyle w:val="727"/>
        <w:tblpPr w:horzAnchor="page" w:tblpX="1001" w:vertAnchor="text" w:tblpY="320" w:leftFromText="180" w:topFromText="0" w:rightFromText="180" w:bottomFromText="0"/>
        <w:tblW w:w="101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379"/>
        <w:gridCol w:w="709"/>
        <w:gridCol w:w="709"/>
        <w:gridCol w:w="444"/>
        <w:gridCol w:w="794"/>
        <w:gridCol w:w="451"/>
      </w:tblGrid>
      <w:tr>
        <w:trPr>
          <w:trHeight w:val="275"/>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tcPr>
          <w:p>
            <w:pPr>
              <w:jc w:val="center"/>
              <w:spacing w:line="240" w:lineRule="exact"/>
              <w:rPr>
                <w:rFonts w:ascii="宋体" w:hAnsi="宋体" w:cs="宋体"/>
                <w:b/>
                <w:color w:val="auto"/>
                <w:sz w:val="22"/>
                <w:szCs w:val="22"/>
                <w:highlight w:val="none"/>
              </w:rPr>
            </w:pPr>
            <w:r/>
            <w:bookmarkStart w:id="133" w:name="_Hlk41506938"/>
            <w:r>
              <w:rPr>
                <w:rFonts w:hint="eastAsia" w:ascii="宋体" w:hAnsi="宋体" w:cs="宋体"/>
                <w:b/>
                <w:color w:val="auto"/>
                <w:sz w:val="22"/>
                <w:szCs w:val="22"/>
                <w:highlight w:val="none"/>
              </w:rPr>
              <w:t xml:space="preserve">考核</w:t>
            </w:r>
            <w:r/>
          </w:p>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项目</w:t>
            </w:r>
            <w:r/>
          </w:p>
        </w:tc>
        <w:tc>
          <w:tcPr>
            <w:tcBorders>
              <w:top w:val="single" w:color="auto" w:sz="4" w:space="0"/>
              <w:left w:val="single" w:color="auto" w:sz="4" w:space="0"/>
              <w:bottom w:val="single" w:color="auto" w:sz="4" w:space="0"/>
              <w:right w:val="single" w:color="auto" w:sz="4" w:space="0"/>
            </w:tcBorders>
            <w:tcW w:w="6379" w:type="dxa"/>
            <w:vAlign w:val="center"/>
            <w:vMerge w:val="restart"/>
            <w:textDirection w:val="lrTb"/>
            <w:noWrap/>
          </w:tcPr>
          <w:p>
            <w:pPr>
              <w:jc w:val="center"/>
              <w:spacing w:line="240" w:lineRule="exact"/>
              <w:tabs>
                <w:tab w:val="left" w:pos="72" w:leader="none"/>
                <w:tab w:val="center" w:pos="4153" w:leader="none"/>
                <w:tab w:val="right" w:pos="8306" w:leader="none"/>
              </w:tabs>
              <w:rPr>
                <w:rFonts w:ascii="宋体" w:hAnsi="宋体" w:cs="宋体"/>
                <w:b/>
                <w:color w:val="auto"/>
                <w:sz w:val="22"/>
                <w:szCs w:val="22"/>
                <w:highlight w:val="none"/>
              </w:rPr>
            </w:pPr>
            <w:r>
              <w:rPr>
                <w:rFonts w:hint="eastAsia" w:ascii="宋体" w:hAnsi="宋体" w:cs="宋体"/>
                <w:b/>
                <w:color w:val="auto"/>
                <w:sz w:val="22"/>
                <w:szCs w:val="22"/>
                <w:highlight w:val="none"/>
              </w:rPr>
              <w:t xml:space="preserve">考核标准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权重</w:t>
            </w:r>
            <w:r/>
          </w:p>
        </w:tc>
        <w:tc>
          <w:tcPr>
            <w:gridSpan w:val="2"/>
            <w:tcBorders>
              <w:top w:val="single" w:color="auto" w:sz="4" w:space="0"/>
              <w:left w:val="single" w:color="auto" w:sz="4" w:space="0"/>
              <w:bottom w:val="single" w:color="auto" w:sz="4" w:space="0"/>
              <w:right w:val="single" w:color="auto" w:sz="4" w:space="0"/>
            </w:tcBorders>
            <w:tcW w:w="1153" w:type="dxa"/>
            <w:vAlign w:val="center"/>
            <w:textDirection w:val="lrTb"/>
            <w:noWrap/>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考核细则</w:t>
            </w:r>
            <w:r/>
          </w:p>
        </w:tc>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考核</w:t>
            </w:r>
            <w:r/>
          </w:p>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得分</w:t>
            </w:r>
            <w:r/>
          </w:p>
        </w:tc>
        <w:tc>
          <w:tcPr>
            <w:tcBorders>
              <w:top w:val="single" w:color="auto" w:sz="4" w:space="0"/>
              <w:left w:val="single" w:color="auto" w:sz="4" w:space="0"/>
              <w:bottom w:val="single" w:color="auto" w:sz="4" w:space="0"/>
              <w:right w:val="single" w:color="auto" w:sz="4" w:space="0"/>
            </w:tcBorders>
            <w:tcW w:w="451" w:type="dxa"/>
            <w:vAlign w:val="center"/>
            <w:vMerge w:val="restart"/>
            <w:textDirection w:val="lrTb"/>
            <w:noWrap/>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备注</w:t>
            </w:r>
            <w:r/>
          </w:p>
        </w:tc>
      </w:tr>
      <w:tr>
        <w:trPr>
          <w:trHeight w:val="52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tcPr>
          <w:p>
            <w:pPr>
              <w:jc w:val="left"/>
              <w:widowControl/>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379" w:type="dxa"/>
            <w:vAlign w:val="center"/>
            <w:vMerge w:val="continue"/>
            <w:textDirection w:val="lrTb"/>
            <w:noWrap/>
          </w:tcPr>
          <w:p>
            <w:pPr>
              <w:jc w:val="left"/>
              <w:widowControl/>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jc w:val="left"/>
              <w:widowControl/>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扣分</w:t>
            </w:r>
            <w:r/>
          </w:p>
          <w:p>
            <w:pPr>
              <w:jc w:val="cente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明细</w:t>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tcPr>
          <w:p>
            <w:pPr>
              <w:spacing w:line="240" w:lineRule="exact"/>
              <w:rPr>
                <w:rFonts w:ascii="宋体" w:hAnsi="宋体" w:cs="宋体"/>
                <w:b/>
                <w:color w:val="auto"/>
                <w:sz w:val="22"/>
                <w:szCs w:val="22"/>
                <w:highlight w:val="none"/>
              </w:rPr>
            </w:pPr>
            <w:r>
              <w:rPr>
                <w:rFonts w:hint="eastAsia" w:ascii="宋体" w:hAnsi="宋体" w:cs="宋体"/>
                <w:b/>
                <w:color w:val="auto"/>
                <w:sz w:val="22"/>
                <w:szCs w:val="22"/>
                <w:highlight w:val="none"/>
              </w:rPr>
              <w:t xml:space="preserve">扣分</w:t>
            </w:r>
            <w:r/>
          </w:p>
        </w:tc>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tcPr>
          <w:p>
            <w:pPr>
              <w:jc w:val="left"/>
              <w:widowControl/>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451" w:type="dxa"/>
            <w:vAlign w:val="center"/>
            <w:vMerge w:val="continue"/>
            <w:textDirection w:val="lrTb"/>
            <w:noWrap/>
          </w:tcPr>
          <w:p>
            <w:pPr>
              <w:jc w:val="left"/>
              <w:widowControl/>
              <w:rPr>
                <w:rFonts w:ascii="宋体" w:hAnsi="宋体" w:cs="宋体"/>
                <w:b/>
                <w:color w:val="auto"/>
                <w:sz w:val="22"/>
                <w:szCs w:val="22"/>
                <w:highlight w:val="none"/>
              </w:rPr>
            </w:pPr>
            <w:r>
              <w:rPr>
                <w:rFonts w:ascii="宋体" w:hAnsi="宋体" w:cs="宋体"/>
                <w:b/>
                <w:color w:val="auto"/>
                <w:sz w:val="22"/>
                <w:szCs w:val="22"/>
                <w:highlight w:val="none"/>
              </w:rPr>
            </w:r>
            <w:r/>
          </w:p>
        </w:tc>
      </w:tr>
      <w:tr>
        <w:trPr>
          <w:trHeight w:val="3605"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人</w:t>
            </w:r>
            <w:r/>
          </w:p>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员</w:t>
            </w:r>
            <w:r/>
          </w:p>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管</w:t>
            </w:r>
            <w:r/>
          </w:p>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理</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1、人员配备不到位的，按实际缺额及天数扣减分值。员工无故迟到、早退、缺岗未报请采购人同意的。（扣</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分/人/次）；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2、对采购人反馈的各种问题未及时协调、处理，未在规定时间内解决；物业服务内容范畴外的问题未及时上报采购人（扣5-10分/次）；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3、未经采购人同意开展各类服务及活动的（扣5-10分/次）；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4、未在规定时间内张贴上一月度物业服务简报（扣3分/次）；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5、未在规定时间内上报上一月度的物业月度工作小结扣3分/次）；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6、员工中出现违反职业道德或对采购人财产、安全造成一般损失的（扣5-10分/次）；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7、未按规定完成临时交办的工作任务（扣5-10分/次）；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8、接到客户投诉或客户满意率低于95%的（扣5-10分/次）。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tcPr>
          <w:p>
            <w:pPr>
              <w:spacing w:line="240" w:lineRule="exact"/>
              <w:tabs>
                <w:tab w:val="left" w:pos="252" w:leader="none"/>
              </w:tabs>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304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日常制度  </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1、着装、仪容仪表未符合规定标准，服务态度不热情、不到位（扣3分/次）；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2、物业服务人员（除保洁人员外）未持相关的资格证书、上岗证以及国家相关部门颁发的等级证书上岗（扣3分/次）；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3、有朋友或亲戚进入工作场所，在采购人办公区域内抽烟、吃零食、闲谈和干私活等，工作中使用不文明语言和举止（扣3分/次）；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4、未做好各类台账、资料的登记和归档、管理工作（扣3分/次）；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5、未遵守采购人各项工作管理制度规定，发生安全责任事故（扣10分/次）。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tcPr>
          <w:p>
            <w:pPr>
              <w:spacing w:line="240" w:lineRule="exact"/>
              <w:tabs>
                <w:tab w:val="left" w:pos="72" w:leader="none"/>
              </w:tabs>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2702"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保洁服务</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1、未按行业标准和规范要求进行保洁服务，未在工作时间之前打扫到位，未在工作时间保持整洁卫生，未做到“四无”，即无尘、无水、无渍、无烟头（扣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2、未做好服务区域范围内的保洁工作，未做到卫生无死角，垃圾桶及时清理，环境干净整洁（扣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3、未配合专业服务单位做好生活供水水箱的定期清洗工作（扣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4、未定期组织人员对室内地面、走道、电梯轿厢进行药物拖地、喷洒和擦洗等消毒工作，未对隔板玻璃、石材墙面、大厅地面和金属门窗及支柱开展清洁、擦洗等工作（扣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55" w:hRule="exact"/>
        </w:trPr>
        <w:tc>
          <w:tcPr>
            <w:tcBorders>
              <w:top w:val="single" w:color="auto" w:sz="4" w:space="0"/>
              <w:left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秩序</w:t>
            </w:r>
            <w:r/>
          </w:p>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维护服务</w:t>
            </w:r>
            <w:r/>
          </w:p>
        </w:tc>
        <w:tc>
          <w:tcPr>
            <w:tcBorders>
              <w:top w:val="single" w:color="auto" w:sz="4" w:space="0"/>
              <w:left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1、未做好防火、防盗等工作，确保项目安全（扣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分/次）；门岗未24小时值守，出现空岗和擅自离岗、睡岗、饮酒、从事与本职工作无关的事情（扣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分/次）；未做到出入有登记，来访有电话，随行物品有核查，杜绝无关人员、车辆及违禁物品、危险品进出本单位（扣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2、人员、车辆进出未能及时指挥、协调，路面、车库出现堵塞、车辆停放混乱；未经许可的车辆进入本单位；进出的机动车辆未按指定位置停放，乱停乱放，在人行道、车行道、消防通道、绿化带及楼道上停放车辆（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3、在区域内各通道、上下楼梯口、走廊、出入口堆放杂物和停放摩托车、自行车，未确保消防疏散通道和安全出口的畅通（扣</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4、巡逻和监控人员巡防不到位、监控不有力，未能及时发现可疑情况，预防各类事故、案件的发生（扣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、各类应急预案不得当、准备不充分，未定期开展应急演练，如有突发事件发生，未根据预案及时处置，未迅速及时报告（扣</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分/次）。</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20</w:t>
            </w:r>
            <w:r/>
          </w:p>
        </w:tc>
        <w:tc>
          <w:tcPr>
            <w:tcBorders>
              <w:top w:val="single" w:color="auto" w:sz="4" w:space="0"/>
              <w:left w:val="single" w:color="auto" w:sz="4" w:space="0"/>
              <w:right w:val="single" w:color="auto" w:sz="4" w:space="0"/>
            </w:tcBorders>
            <w:tcW w:w="709" w:type="dxa"/>
            <w:vAlign w:val="center"/>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right w:val="single" w:color="auto" w:sz="4" w:space="0"/>
            </w:tcBorders>
            <w:tcW w:w="44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right w:val="single" w:color="auto" w:sz="4" w:space="0"/>
            </w:tcBorders>
            <w:tcW w:w="79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1541"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客房服务</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1、未及时布草更换，床单被套凌乱未整理（扣2分/次）。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2、茶具和玻璃器皿未及时消毒、清洗（扣2分/次）。</w:t>
            </w:r>
            <w:r/>
          </w:p>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3、客用洗澡拖鞋随意摆放，未用84消毒液消毒；（扣2分/次）。</w:t>
            </w:r>
            <w:r/>
          </w:p>
          <w:p>
            <w:pPr>
              <w:spacing w:line="260" w:lineRule="exact"/>
              <w:tabs>
                <w:tab w:val="left" w:pos="72" w:leader="none"/>
              </w:tabs>
              <w:rPr>
                <w:rFonts w:ascii="宋体" w:hAnsi="宋体" w:cs="宋体"/>
                <w:color w:val="auto"/>
                <w:sz w:val="24"/>
                <w:highlight w:val="none"/>
              </w:rPr>
            </w:pPr>
            <w:r>
              <w:rPr>
                <w:rFonts w:hint="eastAsia" w:ascii="宋体" w:hAnsi="宋体" w:cs="宋体"/>
                <w:bCs/>
                <w:color w:val="auto"/>
                <w:szCs w:val="21"/>
                <w:highlight w:val="none"/>
              </w:rPr>
              <w:t xml:space="preserve">4、窗帘不定期检查，有明显污渍和灰尘，有损坏未及时更换；（扣2分/次）。</w:t>
            </w:r>
            <w:r/>
          </w:p>
          <w:p>
            <w:pPr>
              <w:spacing w:line="260" w:lineRule="exact"/>
              <w:tabs>
                <w:tab w:val="left" w:pos="72" w:leader="none"/>
              </w:tabs>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1793"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会务服务</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tcPr>
          <w:p>
            <w:pPr>
              <w:spacing w:line="260" w:lineRule="exact"/>
              <w:tabs>
                <w:tab w:val="left" w:pos="72" w:leader="none"/>
              </w:tabs>
              <w:rPr>
                <w:rFonts w:ascii="宋体" w:hAnsi="宋体" w:cs="宋体"/>
                <w:bCs/>
                <w:color w:val="auto"/>
                <w:szCs w:val="21"/>
                <w:highlight w:val="none"/>
              </w:rPr>
            </w:pPr>
            <w:r>
              <w:rPr>
                <w:rFonts w:hint="eastAsia" w:ascii="宋体" w:hAnsi="宋体" w:cs="宋体"/>
                <w:bCs/>
                <w:color w:val="auto"/>
                <w:szCs w:val="21"/>
                <w:highlight w:val="none"/>
              </w:rPr>
              <w:t xml:space="preserve">1、由于会议服务人员失职或履职不到位，导致会议延误或中断或产生不良影响的（扣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、对会议室所有设备、器械、会议用品等物资保管不善，丢失或人为损毁（扣</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分/次）；</w:t>
            </w:r>
            <w:r/>
          </w:p>
          <w:p>
            <w:pPr>
              <w:spacing w:line="260" w:lineRule="exact"/>
              <w:tabs>
                <w:tab w:val="left" w:pos="72" w:leader="none"/>
              </w:tabs>
              <w:rPr>
                <w:rFonts w:ascii="宋体" w:hAns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、对会议室、接待室等会议场所的地毯、窗帘、沙发、座凳等项目未及时清洗清洁的（扣2分/次）。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2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4"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51" w:type="dxa"/>
            <w:textDirection w:val="lrTb"/>
            <w:noWrap/>
          </w:tcPr>
          <w:p>
            <w:pPr>
              <w:spacing w:line="240" w:lineRule="exact"/>
              <w:rPr>
                <w:rFonts w:ascii="宋体" w:hAnsi="宋体" w:cs="宋体"/>
                <w:bCs/>
                <w:color w:val="auto"/>
                <w:sz w:val="24"/>
                <w:szCs w:val="24"/>
                <w:highlight w:val="none"/>
              </w:rPr>
            </w:pPr>
            <w:r>
              <w:rPr>
                <w:rFonts w:ascii="宋体" w:hAnsi="宋体" w:cs="宋体"/>
                <w:bCs/>
                <w:color w:val="auto"/>
                <w:sz w:val="24"/>
                <w:szCs w:val="24"/>
                <w:highlight w:val="none"/>
              </w:rPr>
            </w:r>
            <w:bookmarkEnd w:id="133"/>
            <w:r/>
          </w:p>
        </w:tc>
      </w:tr>
    </w:tbl>
    <w:p>
      <w:pPr>
        <w:ind w:firstLine="480"/>
        <w:spacing w:line="440" w:lineRule="exact"/>
        <w:rPr>
          <w:rFonts w:ascii="宋体" w:hAnsi="宋体" w:cs="宋体"/>
          <w:bCs/>
          <w:color w:val="auto"/>
          <w:sz w:val="24"/>
          <w:szCs w:val="24"/>
          <w:highlight w:val="none"/>
        </w:rPr>
      </w:pPr>
      <w:r>
        <w:rPr>
          <w:rFonts w:hint="eastAsia" w:hAnsi="宋体" w:cs="宋体"/>
          <w:bCs/>
          <w:color w:val="auto"/>
          <w:sz w:val="24"/>
          <w:szCs w:val="24"/>
          <w:highlight w:val="none"/>
        </w:rPr>
        <w:t xml:space="preserve">采购人按照《</w:t>
      </w:r>
      <w:bookmarkStart w:id="134" w:name="_Hlk33995992"/>
      <w:r>
        <w:rPr>
          <w:rFonts w:hint="eastAsia" w:hAnsi="宋体" w:cs="宋体"/>
          <w:bCs/>
          <w:color w:val="auto"/>
          <w:sz w:val="24"/>
          <w:szCs w:val="24"/>
          <w:highlight w:val="none"/>
        </w:rPr>
        <w:t xml:space="preserve">阳山镇人民政府大院、职工服务中心、文体站及综治中心物业管理服务采购项目</w:t>
      </w:r>
      <w:r>
        <w:rPr>
          <w:rFonts w:hint="eastAsia" w:ascii="宋体" w:hAnsi="宋体" w:cs="宋体"/>
          <w:bCs/>
          <w:color w:val="auto"/>
          <w:sz w:val="24"/>
          <w:szCs w:val="24"/>
          <w:highlight w:val="none"/>
        </w:rPr>
        <w:t xml:space="preserve">考核标准</w:t>
      </w:r>
      <w:bookmarkEnd w:id="134"/>
      <w:r>
        <w:rPr>
          <w:rFonts w:hint="eastAsia" w:ascii="宋体" w:hAnsi="宋体" w:cs="宋体"/>
          <w:bCs/>
          <w:color w:val="auto"/>
          <w:sz w:val="24"/>
          <w:szCs w:val="24"/>
          <w:highlight w:val="none"/>
        </w:rPr>
        <w:t xml:space="preserve">》对中标供应商进行100分季度考核：</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1）每季度对中标供应商进行考核。如考核结果达到基准分80分（含），则本季度理论服务经费【季度理论服务经费=</w:t>
      </w:r>
      <w:r>
        <w:rPr>
          <w:rFonts w:hint="eastAsia" w:ascii="宋体" w:hAnsi="宋体"/>
          <w:bCs/>
          <w:color w:val="auto"/>
          <w:sz w:val="24"/>
          <w:szCs w:val="24"/>
          <w:highlight w:val="none"/>
        </w:rPr>
        <w:t xml:space="preserve">年度物业管理服务费/4个季度</w:t>
      </w:r>
      <w:r>
        <w:rPr>
          <w:rFonts w:hint="eastAsia" w:ascii="宋体" w:hAnsi="宋体" w:cs="宋体"/>
          <w:color w:val="auto"/>
          <w:sz w:val="24"/>
          <w:szCs w:val="24"/>
          <w:highlight w:val="none"/>
        </w:rPr>
        <w:t xml:space="preserve">】全得；如得分介于70分（含）与80分（不含）之间，每低于基准分一分扣2000元，最高可扣至本季度理论服务费的10%；如得分低于</w:t>
      </w:r>
      <w:r>
        <w:rPr>
          <w:rFonts w:ascii="宋体" w:hAnsi="宋体" w:cs="宋体"/>
          <w:color w:val="auto"/>
          <w:sz w:val="24"/>
          <w:szCs w:val="24"/>
          <w:highlight w:val="none"/>
        </w:rPr>
        <w:t xml:space="preserve">70</w:t>
      </w:r>
      <w:r>
        <w:rPr>
          <w:rFonts w:hint="eastAsia" w:ascii="宋体" w:hAnsi="宋体" w:cs="宋体"/>
          <w:color w:val="auto"/>
          <w:sz w:val="24"/>
          <w:szCs w:val="24"/>
          <w:highlight w:val="none"/>
        </w:rPr>
        <w:t xml:space="preserve">分（不含），则扣除本季度理论服务费的</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%；年度服务期内，如中标供应商累计二次考核低于8</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分（不含），采购人有权单方终止合同，并另行选择服务单位。</w:t>
      </w:r>
      <w:r/>
    </w:p>
    <w:p>
      <w:pPr>
        <w:ind w:firstLine="480"/>
        <w:spacing w:line="440" w:lineRule="exact"/>
        <w:rPr>
          <w:rFonts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hAnsi="宋体" w:cs="宋体"/>
          <w:bCs/>
          <w:color w:val="auto"/>
          <w:sz w:val="24"/>
          <w:szCs w:val="24"/>
          <w:highlight w:val="none"/>
        </w:rPr>
        <w:t xml:space="preserve">如果发生以下任何一种或多种情况，采购人可以单方终止合同。若因此给采购人造成损失的，中标供应商除承担相应责任外，还应进行赔偿：</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A.累计2次季度考核得分低于8</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B.被上级部门督查通报2次（如存在采购人购置的资产，中标供应商需将固定资产归还采购人）；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C.因中标供应商违反安全操作规定而发生安全事故；</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D.在履约期间发生工作场所聚众闹事或集体上访或发生重大安全事故，给采购人造成不良影响和严重经济损失的。</w:t>
      </w:r>
      <w:r/>
    </w:p>
    <w:p>
      <w:pPr>
        <w:ind w:firstLine="482"/>
        <w:jc w:val="left"/>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八、服务期限</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期：三年（具体起始日期以合同签订日期为准），采取“1+1+1”模式，合同一年一签，采购人对中标供应商进行年度服务考核，考核合格后方可续签下一年度合同，若中标供应商年度服务考核不合格，采购人有权终止续签下一年度合同。</w:t>
      </w:r>
      <w:r/>
    </w:p>
    <w:p>
      <w:pPr>
        <w:ind w:firstLine="482"/>
        <w:jc w:val="left"/>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九、服务费用支付方式</w:t>
      </w:r>
      <w:r/>
    </w:p>
    <w:p>
      <w:pPr>
        <w:ind w:firstLine="480"/>
        <w:spacing w:line="440" w:lineRule="exact"/>
        <w:rPr>
          <w:rFonts w:ascii="宋体" w:hAnsi="宋体" w:cs="宋体"/>
          <w:color w:val="auto"/>
          <w:sz w:val="24"/>
          <w:szCs w:val="24"/>
          <w:highlight w:val="none"/>
        </w:rPr>
      </w:pPr>
      <w:r>
        <w:rPr>
          <w:rFonts w:hint="eastAsia" w:ascii="宋体" w:hAnsi="宋体"/>
          <w:bCs/>
          <w:color w:val="auto"/>
          <w:sz w:val="24"/>
          <w:szCs w:val="24"/>
          <w:highlight w:val="none"/>
        </w:rPr>
        <w:t xml:space="preserve">中标供应商中标签订合同后，采购人向中标供应商支付年度物业管理服务费10%的预付款。采购人每季度初结合考核情况及履约情况向中标供应商支付上一季度的物业服务费用（预付款在第一次付款时进行抵扣），每个季度应付服务</w:t>
      </w:r>
      <w:r>
        <w:rPr>
          <w:rFonts w:hint="eastAsia" w:ascii="宋体" w:hAnsi="宋体"/>
          <w:bCs/>
          <w:color w:val="auto"/>
          <w:sz w:val="24"/>
          <w:szCs w:val="24"/>
          <w:highlight w:val="none"/>
          <w:lang w:val="en-US" w:eastAsia="zh-CN"/>
        </w:rPr>
        <w:t xml:space="preserve">费</w:t>
      </w:r>
      <w:r>
        <w:rPr>
          <w:rFonts w:hint="eastAsia" w:ascii="宋体" w:hAnsi="宋体"/>
          <w:bCs/>
          <w:color w:val="auto"/>
          <w:sz w:val="24"/>
          <w:szCs w:val="24"/>
          <w:highlight w:val="none"/>
        </w:rPr>
        <w:t xml:space="preserve">=年度物业管理服务费/4个季度-季度内考核扣款（如有）；物业管理服务期内，如物业管理服务范围面积等发生变化，则根据实际物业管理服务范围面积按实结算支付。以上均不计利息，每次付款时中标供应商须提供符合采购人财务要求的合法有效的发票</w:t>
      </w:r>
      <w:r>
        <w:rPr>
          <w:rFonts w:hint="eastAsia" w:ascii="宋体" w:hAnsi="宋体" w:cs="宋体"/>
          <w:color w:val="auto"/>
          <w:sz w:val="24"/>
          <w:szCs w:val="24"/>
          <w:highlight w:val="none"/>
        </w:rPr>
        <w:t xml:space="preserve">。服务期限内上限费用以本项目中标价为准。</w:t>
      </w:r>
      <w:r/>
    </w:p>
    <w:p>
      <w:pPr>
        <w:ind w:firstLine="482"/>
        <w:jc w:val="left"/>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十、其他说明</w:t>
      </w:r>
      <w:r/>
    </w:p>
    <w:p>
      <w:pPr>
        <w:ind w:firstLine="480"/>
        <w:spacing w:line="44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国家法定节假日（元旦、春节、清明、“五一”、端午、“十一”、中秋）加班费及高温期间高温岗位高温费等包含在投标费用中。投标报价中包含工具和各类耗材成本、人员工资、各类社保基金、人员的各类加班、人员管理成本以及人员意外成本和所应承担的税收等投标供应商所涉及的一切相关费用。员工工资、社保费用、税金、保险、加班费、高温费、福利津贴费等法定费用，须按规定计算并报出，投标总报价不可低于上述相关费用合计，</w:t>
      </w:r>
      <w:r>
        <w:rPr>
          <w:rFonts w:hint="eastAsia" w:ascii="宋体" w:hAnsi="宋体"/>
          <w:b/>
          <w:bCs/>
          <w:color w:val="auto"/>
          <w:sz w:val="24"/>
          <w:szCs w:val="24"/>
          <w:highlight w:val="none"/>
        </w:rPr>
        <w:t xml:space="preserve">不接受享受特殊社保政策人员，</w:t>
      </w:r>
      <w:r>
        <w:rPr>
          <w:rFonts w:hint="eastAsia" w:ascii="宋体" w:hAnsi="宋体"/>
          <w:b/>
          <w:color w:val="auto"/>
          <w:sz w:val="24"/>
          <w:szCs w:val="24"/>
          <w:highlight w:val="none"/>
        </w:rPr>
        <w:t xml:space="preserve">否则作无效投标处理</w:t>
      </w:r>
      <w:r>
        <w:rPr>
          <w:rFonts w:hint="eastAsia" w:ascii="宋体" w:hAnsi="宋体"/>
          <w:bCs/>
          <w:color w:val="auto"/>
          <w:sz w:val="24"/>
          <w:szCs w:val="24"/>
          <w:highlight w:val="none"/>
        </w:rPr>
        <w:t xml:space="preserve">。</w:t>
      </w:r>
      <w:r>
        <w:rPr>
          <w:rFonts w:hint="eastAsia" w:ascii="宋体" w:hAnsi="宋体" w:cs="宋体"/>
          <w:b/>
          <w:bCs/>
          <w:color w:val="auto"/>
          <w:sz w:val="24"/>
          <w:highlight w:val="none"/>
        </w:rPr>
        <w:t xml:space="preserve">（高温费报价按15人计算、加班费报价按18人计算、社保报价按16人计算）</w:t>
      </w:r>
      <w:r>
        <w:rPr>
          <w:rFonts w:hint="eastAsia" w:ascii="宋体" w:hAnsi="宋体"/>
          <w:b/>
          <w:bCs/>
          <w:color w:val="auto"/>
          <w:sz w:val="24"/>
          <w:szCs w:val="24"/>
          <w:highlight w:val="none"/>
        </w:rPr>
        <w:t xml:space="preserve">。</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总报价除应包括物业管理服务人员的工资（符合无锡市最低工资标准且必须缴纳社会保险费）、福利费、高温费、法定节假日加班费、法定税费和合理利润外，还应包括服装、培训费、本次物业管理中所涉及的保洁工具、易耗品（包括但不限于洗手液、擦手纸、卫生纸、垃圾袋）、领导值班室一次性洁具用品、安保器械装备费及小维修耗材费用（单件或单处≤2</w:t>
      </w:r>
      <w:r>
        <w:rPr>
          <w:rFonts w:ascii="宋体" w:hAnsi="宋体" w:cs="宋体"/>
          <w:bCs/>
          <w:color w:val="auto"/>
          <w:sz w:val="24"/>
          <w:szCs w:val="24"/>
          <w:highlight w:val="none"/>
        </w:rPr>
        <w:t xml:space="preserve">00</w:t>
      </w:r>
      <w:r>
        <w:rPr>
          <w:rFonts w:hint="eastAsia" w:ascii="宋体" w:hAnsi="宋体" w:cs="宋体"/>
          <w:bCs/>
          <w:color w:val="auto"/>
          <w:sz w:val="24"/>
          <w:szCs w:val="24"/>
          <w:highlight w:val="none"/>
        </w:rPr>
        <w:t xml:space="preserve">元）等</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投标供应商报价时应充分考虑服务期内所有可能影响的因素（包括人员最低工资政策性调整）；如发生漏、缺、少项，都将被认为是投标供应商的报价让利行为，损失自负。如物业管理服务范围面积等发生变化，则根据实际物业管理服务范围面积按实结算支付。</w:t>
      </w:r>
      <w:r/>
    </w:p>
    <w:p>
      <w:pPr>
        <w:ind w:firstLine="480"/>
        <w:spacing w:line="440" w:lineRule="exact"/>
        <w:rPr>
          <w:rFonts w:ascii="宋体" w:hAnsi="宋体"/>
          <w:color w:val="auto"/>
          <w:sz w:val="24"/>
          <w:szCs w:val="24"/>
          <w:highlight w:val="none"/>
        </w:rPr>
      </w:pPr>
      <w:r>
        <w:rPr>
          <w:rFonts w:hint="eastAsia" w:ascii="宋体" w:hAnsi="宋体" w:cs="宋体"/>
          <w:bCs/>
          <w:color w:val="auto"/>
          <w:sz w:val="24"/>
          <w:szCs w:val="24"/>
          <w:highlight w:val="none"/>
        </w:rPr>
        <w:t xml:space="preserve">3、工程小修（即单件或单处维修费用≤</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00元）所产生的费用，由中标供应商承担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单件或单处维修费用＞</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00元所产生的费用，原则上由</w:t>
      </w:r>
      <w:r>
        <w:rPr>
          <w:rFonts w:hint="eastAsia" w:ascii="宋体" w:hAnsi="宋体" w:cs="宋体"/>
          <w:bCs/>
          <w:color w:val="auto"/>
          <w:sz w:val="24"/>
          <w:szCs w:val="24"/>
          <w:highlight w:val="none"/>
          <w:lang w:val="en-US" w:eastAsia="zh-CN"/>
        </w:rPr>
        <w:t xml:space="preserve"> 采购人</w:t>
      </w:r>
      <w:r>
        <w:rPr>
          <w:rFonts w:hint="eastAsia" w:ascii="宋体" w:hAnsi="宋体" w:cs="宋体"/>
          <w:bCs/>
          <w:color w:val="auto"/>
          <w:sz w:val="24"/>
          <w:szCs w:val="24"/>
          <w:highlight w:val="none"/>
        </w:rPr>
        <w:t xml:space="preserve">承担。维修过程中，中标供应商需积极跟进；维修结束后，中标供应商需及时进行回访。</w:t>
      </w:r>
      <w:r/>
    </w:p>
    <w:p>
      <w:pPr>
        <w:ind w:firstLine="480"/>
        <w:jc w:val="left"/>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、涉及突发性（如8小时以外、周六、周日）的加班费用，经双方协商由需方另行支付。</w:t>
      </w:r>
      <w:r/>
    </w:p>
    <w:p>
      <w:pPr>
        <w:ind w:firstLine="480"/>
        <w:jc w:val="left"/>
        <w:spacing w:line="440" w:lineRule="exact"/>
        <w:rPr>
          <w:rFonts w:ascii="宋体" w:hAnsi="宋体" w:cs="宋体"/>
          <w:color w:val="auto"/>
          <w:sz w:val="24"/>
          <w:szCs w:val="24"/>
          <w:highlight w:val="none"/>
        </w:rPr>
      </w:pP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、制定安全防范预案（水、火灾、电、各类设备、重大疫情、异常天气、上访、上级部门突击检查、刑事案件等其他突发性事件）；</w:t>
      </w:r>
      <w:r/>
    </w:p>
    <w:p>
      <w:pPr>
        <w:ind w:firstLine="480"/>
        <w:jc w:val="left"/>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、中标供应商未征得采购人书面同意不得转包、分包给第三方。</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在管理中发生重大管理失误的，将依照法律程序按规定处理。</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8、合同签订前，采购人有权对中标供应商的投标文件中的相关证书、荣誉业绩、社保证明等资料进行检验核对，如提供虚假材料将依法上报行业监管部门，供应商自行承担不利后果。</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63"/>
        <w:ind w:firstLine="640"/>
        <w:jc w:val="center"/>
        <w:spacing w:line="440" w:lineRule="exact"/>
        <w:rPr>
          <w:rFonts w:ascii="黑体" w:eastAsia="黑体"/>
          <w:bCs/>
          <w:color w:val="000000" w:themeColor="text1"/>
          <w:sz w:val="32"/>
          <w:szCs w:val="32"/>
          <w14:textFill>
            <w14:solidFill>
              <w14:schemeClr w14:val="tx1"/>
            </w14:solidFill>
          </w14:textFill>
        </w:rPr>
      </w:pPr>
      <w:r>
        <w:rPr>
          <w:rFonts w:hint="eastAsia" w:ascii="黑体" w:eastAsia="黑体"/>
          <w:bCs/>
          <w:color w:val="000000" w:themeColor="text1"/>
          <w:sz w:val="32"/>
          <w:szCs w:val="32"/>
          <w14:textFill>
            <w14:solidFill>
              <w14:schemeClr w14:val="tx1"/>
            </w14:solidFill>
          </w14:textFill>
        </w:rPr>
        <w:t xml:space="preserve">第四章  合同文本</w:t>
      </w:r>
      <w:r/>
    </w:p>
    <w:p>
      <w:pPr>
        <w:ind w:firstLine="480"/>
        <w:spacing w:line="44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以下为中标后</w:t>
      </w:r>
      <w:r>
        <w:rPr>
          <w:rFonts w:hint="eastAsia" w:ascii="宋体" w:hAnsi="宋体"/>
          <w:bCs/>
          <w:color w:val="000000" w:themeColor="text1"/>
          <w:sz w:val="24"/>
          <w:szCs w:val="24"/>
          <w14:textFill>
            <w14:solidFill>
              <w14:schemeClr w14:val="tx1"/>
            </w14:solidFill>
          </w14:textFill>
        </w:rPr>
        <w:t xml:space="preserve">签订</w:t>
      </w:r>
      <w:r>
        <w:rPr>
          <w:rFonts w:hint="eastAsia" w:ascii="宋体" w:hAnsi="宋体"/>
          <w:bCs/>
          <w:color w:val="000000" w:themeColor="text1"/>
          <w:sz w:val="24"/>
          <w14:textFill>
            <w14:solidFill>
              <w14:schemeClr w14:val="tx1"/>
            </w14:solidFill>
          </w14:textFill>
        </w:rPr>
        <w:t xml:space="preserve">本项目合同的通用条款，中标人不得提出实质性的修改。</w:t>
      </w:r>
      <w:r/>
    </w:p>
    <w:p>
      <w:pPr>
        <w:ind w:firstLine="602"/>
        <w:jc w:val="center"/>
        <w:spacing w:line="440" w:lineRule="exact"/>
        <w:rPr>
          <w:rFonts w:ascii="宋体" w:hAnsi="宋体"/>
          <w:b/>
          <w:bCs/>
          <w:color w:val="000000" w:themeColor="text1"/>
          <w:sz w:val="3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江苏省政府采购合同（服务）（合同编号）</w:t>
      </w:r>
      <w:r/>
    </w:p>
    <w:p>
      <w:pPr>
        <w:pStyle w:val="1087"/>
        <w:spacing w:line="44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项目编号：</w:t>
      </w:r>
      <w:r>
        <w:rPr>
          <w:rFonts w:hint="eastAsia" w:hAnsi="宋体"/>
          <w:color w:val="000000" w:themeColor="text1"/>
          <w:sz w:val="24"/>
          <w:szCs w:val="24"/>
          <w14:textFill>
            <w14:solidFill>
              <w14:schemeClr w14:val="tx1"/>
            </w14:solidFill>
          </w14:textFill>
        </w:rPr>
        <w:t xml:space="preserve">                          </w:t>
      </w:r>
      <w:r/>
    </w:p>
    <w:p>
      <w:pPr>
        <w:pStyle w:val="1087"/>
        <w:spacing w:line="44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1087"/>
        <w:spacing w:line="44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1087"/>
        <w:ind w:firstLine="482"/>
        <w:spacing w:line="44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无锡市惠山区政府采购中心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第一条 合同标的</w:t>
      </w:r>
      <w:r/>
    </w:p>
    <w:p>
      <w:pPr>
        <w:ind w:firstLine="480"/>
        <w:spacing w:line="44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二、项目坐落位置：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项目总建筑面积：</w:t>
      </w:r>
      <w:r>
        <w:rPr>
          <w:rFonts w:hint="eastAsia" w:ascii="宋体" w:hAnsi="宋体"/>
          <w:color w:val="000000" w:themeColor="text1"/>
          <w:sz w:val="24"/>
          <w:szCs w:val="24"/>
          <w:u w:val="single"/>
          <w14:textFill>
            <w14:solidFill>
              <w14:schemeClr w14:val="tx1"/>
            </w14:solidFill>
          </w14:textFill>
        </w:rPr>
        <w:t xml:space="preserve">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三、物业管理服务期限</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年。本合同期限</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年，自</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第二条 委托管理事项</w:t>
      </w:r>
      <w:r/>
    </w:p>
    <w:p>
      <w:pPr>
        <w:ind w:firstLine="480"/>
        <w:spacing w:line="44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委托物业管理服务内容：</w:t>
      </w:r>
      <w:r>
        <w:rPr>
          <w:rFonts w:hint="eastAsia" w:ascii="宋体" w:hAnsi="宋体" w:cs="宋体"/>
          <w:color w:val="000000" w:themeColor="text1"/>
          <w:sz w:val="24"/>
          <w:u w:val="single"/>
          <w14:textFill>
            <w14:solidFill>
              <w14:schemeClr w14:val="tx1"/>
            </w14:solidFill>
          </w14:textFill>
        </w:rPr>
        <w:t xml:space="preserve">                      </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第三条 合同总价款</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一、本合同总价款（含税）为人民币 大写：</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14:textFill>
            <w14:solidFill>
              <w14:schemeClr w14:val="tx1"/>
            </w14:solidFill>
          </w14:textFill>
        </w:rPr>
        <w:t xml:space="preserve">（RMB</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二、本合同执行期间总价不变。</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三、履约保证金的缴纳和退付</w:t>
      </w:r>
      <w:r/>
    </w:p>
    <w:p>
      <w:pPr>
        <w:ind w:firstLine="480"/>
        <w:spacing w:line="44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本项目是/否向采购人缴纳履约保证金：</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w:t>
      </w:r>
      <w:r/>
    </w:p>
    <w:p>
      <w:pPr>
        <w:ind w:firstLine="480"/>
        <w:spacing w:line="440" w:lineRule="exact"/>
        <w:tabs>
          <w:tab w:val="left" w:pos="945" w:leader="none"/>
          <w:tab w:val="left" w:pos="21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履约保证金缴纳金额：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元。</w:t>
      </w:r>
      <w:r/>
    </w:p>
    <w:p>
      <w:pPr>
        <w:ind w:firstLine="480"/>
        <w:spacing w:line="44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履约保证金的缴纳时间：</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，缴纳形式：</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4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履约保证金的退付时间：</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，退付办法：</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40" w:lineRule="exact"/>
        <w:tabs>
          <w:tab w:val="left" w:pos="945" w:leader="none"/>
          <w:tab w:val="left" w:pos="210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履约保证金不予退还的情形：</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40" w:lineRule="exact"/>
        <w:tabs>
          <w:tab w:val="left" w:pos="945" w:leader="none"/>
          <w:tab w:val="left" w:pos="2100" w:leader="none"/>
        </w:tabs>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逾期退还履约保证金的违约责任：</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第四条 组成本合同的有关文件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下列关于采购</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一、乙方提供的投标文件和报价表；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二、中标通知书；</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三、甲乙双方商定的其他文件。</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第五条 双方权利义务</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一、甲方权利义务</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（三）对物业管理服务质量进行监督检查，对不符合质量标准的管理服务要求乙方整改落实。</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（四）为乙方的管理服务提供必要的工作场所以及</w:t>
      </w:r>
      <w:r>
        <w:rPr>
          <w:rFonts w:hint="eastAsia" w:ascii="宋体" w:hAnsi="宋体"/>
          <w:color w:val="000000" w:themeColor="text1"/>
          <w:sz w:val="24"/>
          <w:szCs w:val="24"/>
          <w14:textFill>
            <w14:solidFill>
              <w14:schemeClr w14:val="tx1"/>
            </w14:solidFill>
          </w14:textFill>
        </w:rPr>
        <w:t xml:space="preserve">物业管理服务所必需的水、电供应</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（五）对乙方的节能工作进行指导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提高用能设施设备的能源利用效率。</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（六）根据有关部门的要求，指导</w:t>
      </w:r>
      <w:r>
        <w:rPr>
          <w:rFonts w:ascii="宋体" w:hAnsi="宋体" w:cs="宋体"/>
          <w:color w:val="000000" w:themeColor="text1"/>
          <w:sz w:val="24"/>
          <w14:textFill>
            <w14:solidFill>
              <w14:schemeClr w14:val="tx1"/>
            </w14:solidFill>
          </w14:textFill>
        </w:rPr>
        <w:t xml:space="preserve">和监督</w:t>
      </w:r>
      <w:r>
        <w:rPr>
          <w:rFonts w:hint="eastAsia" w:ascii="宋体" w:hAnsi="宋体" w:cs="宋体"/>
          <w:color w:val="000000" w:themeColor="text1"/>
          <w:sz w:val="24"/>
          <w14:textFill>
            <w14:solidFill>
              <w14:schemeClr w14:val="tx1"/>
            </w14:solidFill>
          </w14:textFill>
        </w:rPr>
        <w:t xml:space="preserve">乙方做好控烟、爱国卫生等工作。</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14:textFill>
            <w14:solidFill>
              <w14:schemeClr w14:val="tx1"/>
            </w14:solidFill>
          </w14:textFill>
        </w:rPr>
        <w:t xml:space="preserve">协助乙方做好物业服务管理工作</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（八）按照合同约定，及时支付</w:t>
      </w:r>
      <w:r>
        <w:rPr>
          <w:rFonts w:ascii="宋体" w:hAnsi="宋体" w:cs="宋体"/>
          <w:color w:val="000000" w:themeColor="text1"/>
          <w:sz w:val="24"/>
          <w14:textFill>
            <w14:solidFill>
              <w14:schemeClr w14:val="tx1"/>
            </w14:solidFill>
          </w14:textFill>
        </w:rPr>
        <w:t xml:space="preserve">合同款项。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（九）法规、政策规定由甲方承担的其他责任。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二、乙方权利义务</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（五）对有违反或影响本合同执行，包括影响机关正常办公秩序的行为，乙方应及时整改。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（九）投保物业公众责任险。</w:t>
      </w:r>
      <w:r/>
    </w:p>
    <w:p>
      <w:pPr>
        <w:ind w:firstLine="48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（十一）法规、政策规定由乙方承担的其他责任。</w:t>
      </w:r>
      <w:r/>
    </w:p>
    <w:p>
      <w:pPr>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三、在管理过程中，因下列因素所致的损害构成乙方的免责事由，乙方均不负赔偿之责：</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（一）天灾、地震等不可抗力的事由所致的损害；</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（二）暴动、持械抢劫、破坏、爆炸、火灾、刑事犯罪等违法行为等事由所致的损害；</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（三）因甲方或第三者之故意、重大过失所致的损害；</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（四）因乙方书面建议甲方改善或改进物业管理措施，而甲方未采纳</w:t>
      </w:r>
      <w:r>
        <w:rPr>
          <w:rFonts w:ascii="宋体" w:hAnsi="宋体"/>
          <w:color w:val="000000" w:themeColor="text1"/>
          <w:sz w:val="24"/>
          <w:szCs w:val="24"/>
          <w14:textFill>
            <w14:solidFill>
              <w14:schemeClr w14:val="tx1"/>
            </w14:solidFill>
          </w14:textFill>
        </w:rPr>
        <w:t xml:space="preserve">所致的损害</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（五）本合同标的物之共用部分（含共用部位、共用设备设施）自然或非乙方人为的任何损坏。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（六）除上述各款外，其他不可归责于乙方之事由的。</w:t>
      </w:r>
      <w:r/>
    </w:p>
    <w:p>
      <w:pPr>
        <w:ind w:firstLine="48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以上所有事项</w:t>
      </w:r>
      <w:r>
        <w:rPr>
          <w:rFonts w:hint="eastAsia" w:ascii="宋体" w:hAnsi="宋体" w:cs="宋体"/>
          <w:color w:val="000000" w:themeColor="text1"/>
          <w:sz w:val="24"/>
          <w14:textFill>
            <w14:solidFill>
              <w14:schemeClr w14:val="tx1"/>
            </w14:solidFill>
          </w14:textFill>
        </w:rPr>
        <w:t xml:space="preserve">因乙方故意或过失所致，或未尽到物业管理职责的，不在此限；</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第六条 质量保证</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一、建立质量管理体系并有效运行，管理服务能够接受质量审核。</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二、管理服务逐步达到接受创优评审条件。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三、各项承诺指标及所采取的措施详见“招标文件”及投标文件。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四、其他管理服务质量要求按无锡市有关标准执行。</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第七条 款项支付</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一、本合同项下所有款项均以人民币支付。</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二、甲方在收到乙方开具相应的增值税发票后按约定支付物业服务费；乙方未提供发票的</w:t>
      </w:r>
      <w:r>
        <w:rPr>
          <w:rFonts w:ascii="宋体" w:hAnsi="宋体" w:cs="宋体"/>
          <w:color w:val="000000" w:themeColor="text1"/>
          <w:sz w:val="24"/>
          <w14:textFill>
            <w14:solidFill>
              <w14:schemeClr w14:val="tx1"/>
            </w14:solidFill>
          </w14:textFill>
        </w:rPr>
        <w:t xml:space="preserve">，甲方有权迟延支付款项</w:t>
      </w:r>
      <w:r>
        <w:rPr>
          <w:rFonts w:hint="eastAsia" w:ascii="宋体" w:hAnsi="宋体" w:cs="宋体"/>
          <w:color w:val="000000" w:themeColor="text1"/>
          <w:sz w:val="24"/>
          <w14:textFill>
            <w14:solidFill>
              <w14:schemeClr w14:val="tx1"/>
            </w14:solidFill>
          </w14:textFill>
        </w:rPr>
        <w:t xml:space="preserve">且</w:t>
      </w:r>
      <w:r>
        <w:rPr>
          <w:rFonts w:ascii="宋体" w:hAnsi="宋体" w:cs="宋体"/>
          <w:color w:val="000000" w:themeColor="text1"/>
          <w:sz w:val="24"/>
          <w14:textFill>
            <w14:solidFill>
              <w14:schemeClr w14:val="tx1"/>
            </w14:solidFill>
          </w14:textFill>
        </w:rPr>
        <w:t xml:space="preserve">不承担违约责任，乙方仍应继续履行本合同项下的全部义务</w:t>
      </w:r>
      <w:r>
        <w:rPr>
          <w:rFonts w:hint="eastAsia" w:ascii="宋体" w:hAnsi="宋体" w:cs="宋体"/>
          <w:color w:val="000000" w:themeColor="text1"/>
          <w:sz w:val="24"/>
          <w14:textFill>
            <w14:solidFill>
              <w14:schemeClr w14:val="tx1"/>
            </w14:solidFill>
          </w14:textFill>
        </w:rPr>
        <w:t xml:space="preserve">。</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三、付款方式及进度安排及履约评价考核机制按招标文件执行。</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第八条 违约责任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olor w:val="000000" w:themeColor="text1"/>
          <w:sz w:val="24"/>
          <w:szCs w:val="24"/>
          <w14:textFill>
            <w14:solidFill>
              <w14:schemeClr w14:val="tx1"/>
            </w14:solidFill>
          </w14:textFill>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themeColor="text1"/>
          <w:sz w:val="24"/>
          <w:szCs w:val="24"/>
          <w14:textFill>
            <w14:solidFill>
              <w14:schemeClr w14:val="tx1"/>
            </w14:solidFill>
          </w14:textFill>
        </w:rPr>
        <w:t xml:space="preserve">或依照法律程序解除部分或全部合同。</w:t>
      </w:r>
      <w:r/>
    </w:p>
    <w:p>
      <w:pPr>
        <w:ind w:firstLine="48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四、乙方无正当理由，违反本合同约定，擅自收费或擅自提高收费标准的，对擅自收费部分或超出标准的部分，甲方有权</w:t>
      </w:r>
      <w:r>
        <w:rPr>
          <w:rFonts w:ascii="宋体" w:hAnsi="宋体" w:cs="宋体"/>
          <w:color w:val="000000" w:themeColor="text1"/>
          <w:sz w:val="24"/>
          <w14:textFill>
            <w14:solidFill>
              <w14:schemeClr w14:val="tx1"/>
            </w14:solidFill>
          </w14:textFill>
        </w:rPr>
        <w:t xml:space="preserve">拒绝付款</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已经支付的，</w:t>
      </w:r>
      <w:r>
        <w:rPr>
          <w:rFonts w:hint="eastAsia" w:ascii="宋体" w:hAnsi="宋体" w:cs="宋体"/>
          <w:color w:val="000000" w:themeColor="text1"/>
          <w:sz w:val="24"/>
          <w14:textFill>
            <w14:solidFill>
              <w14:schemeClr w14:val="tx1"/>
            </w14:solidFill>
          </w14:textFill>
        </w:rPr>
        <w:t xml:space="preserve">有权要求乙方双倍返还；造成甲方经济损失的，乙方应予赔偿。</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五、因乙方原因导致重大火灾、失窃、泄密等事件的，甲方有权解除合同，并要求乙方赔偿相关损失。</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0%作为违约金；造成的损失超出前述违约金的，甲方有权要求乙方按照实际损失予以赔偿。</w:t>
      </w:r>
      <w:r/>
    </w:p>
    <w:p>
      <w:pPr>
        <w:pStyle w:val="738"/>
        <w:ind w:firstLine="482"/>
        <w:spacing w:line="440" w:lineRule="exact"/>
        <w:rPr>
          <w:rFonts w:hint="eastAsia" w:ascii="宋体" w:hAnsi="宋体" w:eastAsia="宋体" w:cs="宋体"/>
          <w:color w:val="000000" w:themeColor="text1"/>
          <w:sz w:val="24"/>
          <w:lang w:val="en-US" w:eastAsia="zh-CN" w:bidi="ar-SA"/>
          <w14:textFill>
            <w14:solidFill>
              <w14:schemeClr w14:val="tx1"/>
            </w14:solidFill>
          </w14:textFill>
        </w:rPr>
      </w:pPr>
      <w:r>
        <w:rPr>
          <w:rFonts w:hint="eastAsia" w:ascii="宋体" w:hAnsi="宋体" w:eastAsia="宋体" w:cs="宋体"/>
          <w:color w:val="000000" w:themeColor="text1"/>
          <w:sz w:val="24"/>
          <w:lang w:val="en-US" w:eastAsia="zh-CN" w:bidi="ar-SA"/>
          <w14:textFill>
            <w14:solidFill>
              <w14:schemeClr w14:val="tx1"/>
            </w14:solidFill>
          </w14:textFill>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第九条 合同的生效、变更和终止</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三、合同中未有约定的按照有关的法律法规以及国家行业标准或技术文件规定予以解决。</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14:textFill>
            <w14:solidFill>
              <w14:schemeClr w14:val="tx1"/>
            </w14:solidFill>
          </w14:textFill>
        </w:rPr>
        <w:t xml:space="preserve">甲乙</w:t>
      </w:r>
      <w:r>
        <w:rPr>
          <w:rFonts w:hint="eastAsia" w:ascii="宋体" w:hAnsi="宋体"/>
          <w:bCs/>
          <w:color w:val="000000" w:themeColor="text1"/>
          <w:sz w:val="24"/>
          <w:szCs w:val="24"/>
          <w14:textFill>
            <w14:solidFill>
              <w14:schemeClr w14:val="tx1"/>
            </w14:solidFill>
          </w14:textFill>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14:textFill>
            <w14:solidFill>
              <w14:schemeClr w14:val="tx1"/>
            </w14:solidFill>
          </w14:textFill>
        </w:rPr>
        <w:t xml:space="preserve">由甲乙双方协商处理，若协商不成，</w:t>
      </w:r>
      <w:r>
        <w:rPr>
          <w:rFonts w:hint="eastAsia" w:ascii="宋体" w:hAnsi="宋体"/>
          <w:bCs/>
          <w:color w:val="000000" w:themeColor="text1"/>
          <w:sz w:val="24"/>
          <w:szCs w:val="24"/>
          <w14:textFill>
            <w14:solidFill>
              <w14:schemeClr w14:val="tx1"/>
            </w14:solidFill>
          </w14:textFill>
        </w:rPr>
        <w:t xml:space="preserve">可选择以下</w:t>
      </w:r>
      <w:r>
        <w:rPr>
          <w:rFonts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方式处理：</w:t>
      </w:r>
      <w:r/>
    </w:p>
    <w:p>
      <w:pPr>
        <w:spacing w:line="440" w:lineRule="exact"/>
        <w:tabs>
          <w:tab w:val="left" w:pos="52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一、向无锡仲裁委员会申请仲裁。</w:t>
      </w:r>
      <w:r/>
    </w:p>
    <w:p>
      <w:pPr>
        <w:spacing w:line="440" w:lineRule="exact"/>
        <w:tabs>
          <w:tab w:val="left" w:pos="0" w:leader="none"/>
          <w:tab w:val="left" w:pos="52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二、向甲方所在地法院提起诉讼。</w:t>
      </w:r>
      <w:r/>
    </w:p>
    <w:p>
      <w:pPr>
        <w:ind w:firstLine="482"/>
        <w:spacing w:line="44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第十一条 诚实信用及其他</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二、本合同应按照中华人民共和国的现行法律进行解释。</w:t>
      </w:r>
      <w:r/>
    </w:p>
    <w:p>
      <w:pPr>
        <w:ind w:firstLine="48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甲方（采购人）：（盖章）             乙方（供应商）：（盖章）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代表人：                             代表人：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                               电话：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 </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                               账号： </w:t>
      </w:r>
      <w:r/>
    </w:p>
    <w:p>
      <w:pPr>
        <w:ind w:firstLine="48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    年    月    日</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06"/>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08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8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8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88"/>
        <w:spacing w:before="0" w:after="0" w:line="500" w:lineRule="exact"/>
        <w:rPr>
          <w:rStyle w:val="1083"/>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088"/>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08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08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088"/>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2250" w:leader="none"/>
          <w:tab w:val="left" w:pos="3823" w:leader="none"/>
        </w:tabs>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（一）价格</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 xml:space="preserve">投标供应商</w:t>
      </w:r>
      <w:r>
        <w:rPr>
          <w:rFonts w:hint="eastAsia" w:ascii="宋体" w:hAnsi="宋体" w:eastAsia="宋体" w:cs="Times New Roman"/>
          <w:bCs/>
          <w:color w:val="auto"/>
          <w:sz w:val="24"/>
          <w:szCs w:val="24"/>
          <w:highlight w:val="none"/>
        </w:rPr>
        <w:t xml:space="preserve">的价格分统一按照下列公式计算：</w:t>
      </w:r>
      <w:r/>
    </w:p>
    <w:p>
      <w:pPr>
        <w:ind w:firstLine="480"/>
        <w:spacing w:line="360" w:lineRule="auto"/>
        <w:tabs>
          <w:tab w:val="left" w:pos="945" w:leader="none"/>
          <w:tab w:val="left" w:pos="115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投标报价得分</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评标基准价／投标报价</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×价格权值×</w:t>
      </w:r>
      <w:r>
        <w:rPr>
          <w:rFonts w:ascii="宋体" w:hAnsi="宋体" w:eastAsia="宋体" w:cs="Times New Roman"/>
          <w:bCs/>
          <w:color w:val="auto"/>
          <w:sz w:val="24"/>
          <w:szCs w:val="24"/>
          <w:highlight w:val="none"/>
        </w:rPr>
        <w:t xml:space="preserve">100</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关于价格扣除详见本章第二部分“一、落实政府采购政策的价格调整”。</w:t>
      </w:r>
      <w:r/>
    </w:p>
    <w:p>
      <w:pPr>
        <w:ind w:firstLine="482"/>
        <w:spacing w:line="500" w:lineRule="exact"/>
        <w:tabs>
          <w:tab w:val="left" w:pos="525" w:leader="none"/>
        </w:tabs>
        <w:rPr>
          <w:rFonts w:ascii="宋体" w:hAnsi="宋体" w:cs="宋体"/>
          <w:b/>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商务部分（25分）</w:t>
      </w:r>
      <w:r/>
    </w:p>
    <w:p>
      <w:pPr>
        <w:ind w:firstLine="482"/>
        <w:spacing w:line="500" w:lineRule="exact"/>
        <w:tabs>
          <w:tab w:val="left" w:pos="525" w:leader="none"/>
        </w:tabs>
        <w:rPr>
          <w:rFonts w:ascii="宋体" w:hAnsi="宋体"/>
          <w:b/>
          <w:color w:val="auto"/>
          <w:sz w:val="24"/>
          <w:szCs w:val="24"/>
          <w:highlight w:val="none"/>
        </w:rPr>
      </w:pPr>
      <w:r>
        <w:rPr>
          <w:rFonts w:hint="eastAsia" w:ascii="宋体" w:hAnsi="宋体"/>
          <w:b/>
          <w:color w:val="auto"/>
          <w:sz w:val="24"/>
          <w:szCs w:val="24"/>
          <w:highlight w:val="none"/>
        </w:rPr>
        <w:t xml:space="preserve">1、企业评价（11分）</w:t>
      </w:r>
      <w:r/>
    </w:p>
    <w:p>
      <w:pPr>
        <w:ind w:firstLine="482"/>
        <w:spacing w:line="500" w:lineRule="exact"/>
        <w:tabs>
          <w:tab w:val="left" w:pos="46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（1）业绩（4分）</w:t>
      </w:r>
      <w:r/>
    </w:p>
    <w:p>
      <w:pPr>
        <w:ind w:firstLine="480"/>
        <w:spacing w:line="500" w:lineRule="exact"/>
        <w:tabs>
          <w:tab w:val="left" w:pos="465" w:leader="none"/>
        </w:tabs>
        <w:rPr>
          <w:rFonts w:ascii="宋体" w:hAnsi="宋体"/>
          <w:bCs/>
          <w:color w:val="auto"/>
          <w:sz w:val="24"/>
          <w:szCs w:val="24"/>
          <w:highlight w:val="none"/>
        </w:rPr>
        <w:outlineLvl w:val="0"/>
      </w:pPr>
      <w:r>
        <w:rPr>
          <w:rFonts w:hint="eastAsia" w:ascii="宋体" w:hAnsi="宋体"/>
          <w:bCs/>
          <w:color w:val="auto"/>
          <w:sz w:val="24"/>
          <w:szCs w:val="24"/>
          <w:highlight w:val="none"/>
        </w:rPr>
        <w:t xml:space="preserve">投标人近三年</w:t>
      </w:r>
      <w:r>
        <w:rPr>
          <w:rFonts w:hint="eastAsia" w:ascii="宋体" w:hAnsi="宋体" w:cs="宋体"/>
          <w:color w:val="auto"/>
          <w:sz w:val="24"/>
          <w:highlight w:val="none"/>
        </w:rPr>
        <w:t xml:space="preserve">（自本项目公告发布之日起往前顺推，以合同签订日期为准）</w:t>
      </w:r>
      <w:r>
        <w:rPr>
          <w:rFonts w:hint="eastAsia" w:ascii="宋体" w:hAnsi="宋体"/>
          <w:bCs/>
          <w:color w:val="auto"/>
          <w:sz w:val="24"/>
          <w:szCs w:val="24"/>
          <w:highlight w:val="none"/>
        </w:rPr>
        <w:t xml:space="preserve">承担过类似物业管理项目的，每提供1个得2分，本项最高得4分。</w:t>
      </w:r>
      <w:r>
        <w:rPr>
          <w:rFonts w:hint="eastAsia" w:ascii="宋体" w:hAnsi="宋体" w:cs="宋体"/>
          <w:b/>
          <w:color w:val="auto"/>
          <w:sz w:val="24"/>
          <w:szCs w:val="24"/>
          <w:highlight w:val="none"/>
        </w:rPr>
        <w:t xml:space="preserve">【投标文件中需提供合同（或协议）原件扫描件并</w:t>
      </w:r>
      <w:r>
        <w:rPr>
          <w:rFonts w:hint="eastAsia" w:ascii="宋体" w:hAnsi="宋体"/>
          <w:b/>
          <w:color w:val="auto"/>
          <w:sz w:val="24"/>
          <w:szCs w:val="24"/>
          <w:highlight w:val="none"/>
        </w:rPr>
        <w:t xml:space="preserve">签电子公章</w:t>
      </w:r>
      <w:r>
        <w:rPr>
          <w:rFonts w:hint="eastAsia" w:ascii="宋体" w:hAnsi="宋体" w:cs="宋体"/>
          <w:b/>
          <w:color w:val="auto"/>
          <w:sz w:val="24"/>
          <w:szCs w:val="24"/>
          <w:highlight w:val="none"/>
        </w:rPr>
        <w:t xml:space="preserve">，未提供相关资料或资料不全不得分】。</w:t>
      </w:r>
      <w:r/>
    </w:p>
    <w:p>
      <w:pPr>
        <w:ind w:firstLine="482"/>
        <w:spacing w:line="500" w:lineRule="exact"/>
        <w:tabs>
          <w:tab w:val="left" w:pos="46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（2）体系认证（3分）</w:t>
      </w:r>
      <w:r/>
    </w:p>
    <w:p>
      <w:pPr>
        <w:ind w:firstLine="480"/>
        <w:spacing w:line="500" w:lineRule="exact"/>
        <w:tabs>
          <w:tab w:val="left" w:pos="465" w:leader="none"/>
        </w:tabs>
        <w:rPr>
          <w:rFonts w:ascii="宋体" w:hAnsi="宋体"/>
          <w:bCs/>
          <w:color w:val="auto"/>
          <w:sz w:val="24"/>
          <w:szCs w:val="24"/>
          <w:highlight w:val="none"/>
        </w:rPr>
        <w:outlineLvl w:val="0"/>
      </w:pPr>
      <w:r>
        <w:rPr>
          <w:rFonts w:hint="eastAsia" w:ascii="宋体" w:hAnsi="宋体"/>
          <w:bCs/>
          <w:color w:val="auto"/>
          <w:sz w:val="24"/>
          <w:szCs w:val="24"/>
          <w:highlight w:val="none"/>
        </w:rPr>
        <w:t xml:space="preserve">投标人具备有效期内的质量管理体系认证证书、环境管理体系认证证书、职业安全健康管理体系认证证书，每提供1个得1分，本项最高得3分。</w:t>
      </w:r>
      <w:r>
        <w:rPr>
          <w:rFonts w:hint="eastAsia" w:ascii="宋体" w:hAnsi="宋体"/>
          <w:b/>
          <w:color w:val="auto"/>
          <w:sz w:val="24"/>
          <w:szCs w:val="24"/>
          <w:highlight w:val="none"/>
        </w:rPr>
        <w:t xml:space="preserve">（投标文件中需提供相关证书原件扫描件及证书在国家认证认可监督管理委员会官方网站http://www.cnca.gov.cn/查验截图</w:t>
      </w:r>
      <w:r>
        <w:rPr>
          <w:rFonts w:hint="eastAsia" w:ascii="宋体" w:hAnsi="宋体" w:cs="宋体"/>
          <w:b/>
          <w:color w:val="auto"/>
          <w:sz w:val="24"/>
          <w:szCs w:val="24"/>
          <w:highlight w:val="none"/>
        </w:rPr>
        <w:t xml:space="preserve">并</w:t>
      </w:r>
      <w:r>
        <w:rPr>
          <w:rFonts w:hint="eastAsia" w:ascii="宋体" w:hAnsi="宋体"/>
          <w:b/>
          <w:color w:val="auto"/>
          <w:sz w:val="24"/>
          <w:szCs w:val="24"/>
          <w:highlight w:val="none"/>
        </w:rPr>
        <w:t xml:space="preserve">签电子公章，</w:t>
      </w:r>
      <w:r>
        <w:rPr>
          <w:rFonts w:hint="eastAsia" w:ascii="宋体" w:hAnsi="宋体" w:cs="宋体"/>
          <w:b/>
          <w:color w:val="auto"/>
          <w:sz w:val="24"/>
          <w:szCs w:val="24"/>
          <w:highlight w:val="none"/>
        </w:rPr>
        <w:t xml:space="preserve">未提供相关资料或资料不全不得分</w:t>
      </w:r>
      <w:r>
        <w:rPr>
          <w:rFonts w:hint="eastAsia" w:ascii="宋体" w:hAnsi="宋体"/>
          <w:b/>
          <w:color w:val="auto"/>
          <w:sz w:val="24"/>
          <w:szCs w:val="24"/>
          <w:highlight w:val="none"/>
        </w:rPr>
        <w:t xml:space="preserve">）</w:t>
      </w:r>
      <w:r>
        <w:rPr>
          <w:rFonts w:hint="eastAsia" w:ascii="宋体" w:hAnsi="宋体" w:cs="宋体"/>
          <w:b/>
          <w:color w:val="auto"/>
          <w:sz w:val="24"/>
          <w:szCs w:val="24"/>
          <w:highlight w:val="none"/>
        </w:rPr>
        <w:t xml:space="preserve">。</w:t>
      </w:r>
      <w:r/>
    </w:p>
    <w:p>
      <w:pPr>
        <w:ind w:firstLine="482"/>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（3）信息化管理（1分）</w:t>
      </w:r>
      <w:r/>
    </w:p>
    <w:p>
      <w:pPr>
        <w:pStyle w:val="744"/>
        <w:ind w:left="0" w:firstLine="480"/>
        <w:spacing w:line="500" w:lineRule="exact"/>
        <w:rPr>
          <w:rFonts w:ascii="宋体" w:hAnsi="宋体" w:cs="宋体"/>
          <w:b/>
          <w:bCs/>
          <w:color w:val="auto"/>
          <w:sz w:val="24"/>
          <w:highlight w:val="none"/>
        </w:rPr>
      </w:pPr>
      <w:r>
        <w:rPr>
          <w:rFonts w:hint="eastAsia" w:ascii="宋体" w:hAnsi="宋体" w:cs="宋体"/>
          <w:bCs/>
          <w:color w:val="auto"/>
          <w:sz w:val="24"/>
          <w:szCs w:val="24"/>
          <w:highlight w:val="none"/>
        </w:rPr>
        <w:t xml:space="preserve">投标人</w:t>
      </w:r>
      <w:r>
        <w:rPr>
          <w:rFonts w:hint="eastAsia" w:ascii="宋体" w:hAnsi="宋体" w:cs="宋体"/>
          <w:bCs/>
          <w:color w:val="auto"/>
          <w:sz w:val="24"/>
          <w:highlight w:val="none"/>
        </w:rPr>
        <w:t xml:space="preserve">使用</w:t>
      </w:r>
      <w:r>
        <w:rPr>
          <w:rFonts w:hint="eastAsia" w:ascii="宋体" w:hAnsi="宋体"/>
          <w:color w:val="auto"/>
          <w:sz w:val="24"/>
          <w:szCs w:val="24"/>
          <w:highlight w:val="none"/>
          <w:lang w:val="zh-CN"/>
        </w:rPr>
        <w:t xml:space="preserve">物业管理</w:t>
      </w:r>
      <w:r>
        <w:rPr>
          <w:rFonts w:hint="eastAsia" w:ascii="宋体" w:hAnsi="宋体" w:cs="宋体"/>
          <w:bCs/>
          <w:color w:val="auto"/>
          <w:sz w:val="24"/>
          <w:highlight w:val="none"/>
        </w:rPr>
        <w:t xml:space="preserve">信息化系统软件管理方式的得</w:t>
      </w:r>
      <w:r>
        <w:rPr>
          <w:rFonts w:hint="eastAsia" w:ascii="宋体" w:hAnsi="宋体" w:cs="宋体"/>
          <w:bCs/>
          <w:color w:val="auto"/>
          <w:sz w:val="24"/>
          <w:highlight w:val="none"/>
          <w:lang w:val="en-US"/>
        </w:rPr>
        <w:t xml:space="preserve">1</w:t>
      </w:r>
      <w:r>
        <w:rPr>
          <w:rFonts w:hint="eastAsia" w:ascii="宋体" w:hAnsi="宋体" w:cs="宋体"/>
          <w:bCs/>
          <w:color w:val="auto"/>
          <w:sz w:val="24"/>
          <w:highlight w:val="none"/>
        </w:rPr>
        <w:t xml:space="preserve">分，</w:t>
      </w:r>
      <w:r>
        <w:rPr>
          <w:rFonts w:hint="eastAsia" w:ascii="宋体" w:hAnsi="宋体"/>
          <w:bCs/>
          <w:color w:val="auto"/>
          <w:sz w:val="24"/>
          <w:szCs w:val="24"/>
          <w:highlight w:val="none"/>
        </w:rPr>
        <w:t xml:space="preserve">本项最高得</w:t>
      </w:r>
      <w:r>
        <w:rPr>
          <w:rFonts w:hint="eastAsia" w:ascii="宋体" w:hAnsi="宋体"/>
          <w:bCs/>
          <w:color w:val="auto"/>
          <w:sz w:val="24"/>
          <w:szCs w:val="24"/>
          <w:highlight w:val="none"/>
          <w:lang w:val="en-US"/>
        </w:rPr>
        <w:t xml:space="preserve">1</w:t>
      </w:r>
      <w:r>
        <w:rPr>
          <w:rFonts w:hint="eastAsia" w:ascii="宋体" w:hAnsi="宋体"/>
          <w:bCs/>
          <w:color w:val="auto"/>
          <w:sz w:val="24"/>
          <w:szCs w:val="24"/>
          <w:highlight w:val="none"/>
        </w:rPr>
        <w:t xml:space="preserve">分。</w:t>
      </w:r>
      <w:r>
        <w:rPr>
          <w:rFonts w:hint="eastAsia" w:ascii="宋体" w:hAnsi="宋体"/>
          <w:b/>
          <w:color w:val="auto"/>
          <w:sz w:val="24"/>
          <w:szCs w:val="24"/>
          <w:highlight w:val="none"/>
        </w:rPr>
        <w:t xml:space="preserve">（</w:t>
      </w:r>
      <w:r>
        <w:rPr>
          <w:rFonts w:hint="eastAsia" w:ascii="宋体" w:hAnsi="宋体" w:cs="宋体"/>
          <w:b/>
          <w:bCs/>
          <w:color w:val="auto"/>
          <w:sz w:val="24"/>
          <w:highlight w:val="none"/>
        </w:rPr>
        <w:t xml:space="preserve">投标文件中</w:t>
      </w:r>
      <w:r>
        <w:rPr>
          <w:rFonts w:hint="eastAsia" w:ascii="宋体" w:hAnsi="宋体" w:cs="宋体"/>
          <w:b/>
          <w:bCs/>
          <w:color w:val="auto"/>
          <w:sz w:val="24"/>
          <w:highlight w:val="none"/>
          <w:lang w:val="en-US"/>
        </w:rPr>
        <w:t xml:space="preserve">需</w:t>
      </w:r>
      <w:r>
        <w:rPr>
          <w:rFonts w:hint="eastAsia" w:ascii="宋体" w:hAnsi="宋体" w:cs="宋体"/>
          <w:b/>
          <w:bCs/>
          <w:color w:val="auto"/>
          <w:sz w:val="24"/>
          <w:highlight w:val="none"/>
        </w:rPr>
        <w:t xml:space="preserve">提供</w:t>
      </w:r>
      <w:r>
        <w:rPr>
          <w:rFonts w:hint="eastAsia" w:ascii="宋体" w:hAnsi="宋体" w:cs="宋体"/>
          <w:b/>
          <w:bCs/>
          <w:color w:val="auto"/>
          <w:sz w:val="24"/>
          <w:highlight w:val="none"/>
          <w:lang w:val="en-US"/>
        </w:rPr>
        <w:t xml:space="preserve">所用物业管理</w:t>
      </w:r>
      <w:r>
        <w:rPr>
          <w:rFonts w:hint="eastAsia" w:ascii="宋体" w:hAnsi="宋体" w:cs="宋体"/>
          <w:b/>
          <w:bCs/>
          <w:color w:val="auto"/>
          <w:sz w:val="24"/>
          <w:highlight w:val="none"/>
        </w:rPr>
        <w:t xml:space="preserve">信息化系统软件的采购合同</w:t>
      </w:r>
      <w:r>
        <w:rPr>
          <w:rFonts w:hint="eastAsia" w:ascii="宋体" w:hAnsi="宋体" w:cs="宋体"/>
          <w:b/>
          <w:bCs/>
          <w:color w:val="auto"/>
          <w:sz w:val="24"/>
          <w:highlight w:val="none"/>
          <w:lang w:val="en-US"/>
        </w:rPr>
        <w:t xml:space="preserve">及</w:t>
      </w:r>
      <w:r>
        <w:rPr>
          <w:rFonts w:hint="eastAsia" w:ascii="宋体" w:hAnsi="宋体" w:cs="宋体"/>
          <w:b/>
          <w:bCs/>
          <w:color w:val="auto"/>
          <w:sz w:val="24"/>
          <w:highlight w:val="none"/>
        </w:rPr>
        <w:t xml:space="preserve">发票原件扫描</w:t>
      </w:r>
      <w:r>
        <w:rPr>
          <w:rFonts w:hint="eastAsia" w:ascii="宋体" w:hAnsi="宋体" w:cs="宋体"/>
          <w:b/>
          <w:bCs/>
          <w:color w:val="auto"/>
          <w:sz w:val="24"/>
          <w:highlight w:val="none"/>
          <w:lang w:val="en-US"/>
        </w:rPr>
        <w:t xml:space="preserve">件</w:t>
      </w:r>
      <w:r>
        <w:rPr>
          <w:rFonts w:hint="eastAsia" w:ascii="宋体" w:hAnsi="宋体" w:cs="宋体"/>
          <w:b/>
          <w:color w:val="auto"/>
          <w:sz w:val="24"/>
          <w:szCs w:val="24"/>
          <w:highlight w:val="none"/>
        </w:rPr>
        <w:t xml:space="preserve">并</w:t>
      </w:r>
      <w:r>
        <w:rPr>
          <w:rFonts w:hint="eastAsia" w:ascii="宋体" w:hAnsi="宋体"/>
          <w:b/>
          <w:color w:val="auto"/>
          <w:sz w:val="24"/>
          <w:szCs w:val="24"/>
          <w:highlight w:val="none"/>
        </w:rPr>
        <w:t xml:space="preserve">签电子公章</w:t>
      </w:r>
      <w:r>
        <w:rPr>
          <w:rFonts w:hint="eastAsia" w:ascii="宋体" w:hAnsi="宋体" w:cs="宋体"/>
          <w:b/>
          <w:bCs/>
          <w:color w:val="auto"/>
          <w:sz w:val="24"/>
          <w:highlight w:val="none"/>
        </w:rPr>
        <w:t xml:space="preserve">，如是自主开发的软件则</w:t>
      </w:r>
      <w:r>
        <w:rPr>
          <w:rFonts w:hint="eastAsia" w:ascii="宋体" w:hAnsi="宋体" w:cs="宋体"/>
          <w:b/>
          <w:bCs/>
          <w:color w:val="auto"/>
          <w:sz w:val="24"/>
          <w:highlight w:val="none"/>
          <w:lang w:val="en-US"/>
        </w:rPr>
        <w:t xml:space="preserve">需</w:t>
      </w:r>
      <w:r>
        <w:rPr>
          <w:rFonts w:hint="eastAsia" w:ascii="宋体" w:hAnsi="宋体" w:cs="宋体"/>
          <w:b/>
          <w:bCs/>
          <w:color w:val="auto"/>
          <w:sz w:val="24"/>
          <w:highlight w:val="none"/>
        </w:rPr>
        <w:t xml:space="preserve">提供软件著作权登记证书原件扫描</w:t>
      </w:r>
      <w:r>
        <w:rPr>
          <w:rFonts w:hint="eastAsia" w:ascii="宋体" w:hAnsi="宋体" w:cs="宋体"/>
          <w:b/>
          <w:bCs/>
          <w:color w:val="auto"/>
          <w:sz w:val="24"/>
          <w:highlight w:val="none"/>
          <w:lang w:val="en-US"/>
        </w:rPr>
        <w:t xml:space="preserve">件</w:t>
      </w:r>
      <w:r>
        <w:rPr>
          <w:rFonts w:hint="eastAsia" w:ascii="宋体" w:hAnsi="宋体" w:cs="宋体"/>
          <w:b/>
          <w:color w:val="auto"/>
          <w:sz w:val="24"/>
          <w:szCs w:val="24"/>
          <w:highlight w:val="none"/>
        </w:rPr>
        <w:t xml:space="preserve">并</w:t>
      </w:r>
      <w:r>
        <w:rPr>
          <w:rFonts w:hint="eastAsia" w:ascii="宋体" w:hAnsi="宋体"/>
          <w:b/>
          <w:color w:val="auto"/>
          <w:sz w:val="24"/>
          <w:szCs w:val="24"/>
          <w:highlight w:val="none"/>
        </w:rPr>
        <w:t xml:space="preserve">签电子公章，</w:t>
      </w:r>
      <w:r>
        <w:rPr>
          <w:rFonts w:hint="eastAsia" w:ascii="宋体" w:hAnsi="宋体" w:cs="宋体"/>
          <w:b/>
          <w:color w:val="auto"/>
          <w:sz w:val="24"/>
          <w:szCs w:val="24"/>
          <w:highlight w:val="none"/>
        </w:rPr>
        <w:t xml:space="preserve">未提供相关资料或资料不全不得分</w:t>
      </w:r>
      <w:r>
        <w:rPr>
          <w:rFonts w:hint="eastAsia" w:ascii="宋体" w:hAnsi="宋体" w:cs="宋体"/>
          <w:b/>
          <w:bCs/>
          <w:color w:val="auto"/>
          <w:sz w:val="24"/>
          <w:highlight w:val="none"/>
        </w:rPr>
        <w:t xml:space="preserve">）。</w:t>
      </w:r>
      <w:r/>
    </w:p>
    <w:p>
      <w:pPr>
        <w:ind w:firstLine="482"/>
        <w:spacing w:line="500" w:lineRule="exact"/>
        <w:tabs>
          <w:tab w:val="left" w:pos="46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（4）荣誉（3分）</w:t>
      </w:r>
      <w:r/>
    </w:p>
    <w:p>
      <w:pPr>
        <w:ind w:firstLine="480"/>
        <w:spacing w:line="500" w:lineRule="exact"/>
        <w:tabs>
          <w:tab w:val="left" w:pos="465" w:leader="none"/>
        </w:tabs>
        <w:rPr>
          <w:rFonts w:ascii="宋体" w:hAnsi="宋体" w:cs="宋体"/>
          <w:b/>
          <w:bCs/>
          <w:color w:val="auto"/>
          <w:sz w:val="24"/>
          <w:highlight w:val="none"/>
        </w:rPr>
        <w:outlineLvl w:val="0"/>
      </w:pPr>
      <w:r>
        <w:rPr>
          <w:rFonts w:hint="eastAsia" w:ascii="宋体" w:hAnsi="宋体" w:cs="宋体"/>
          <w:bCs/>
          <w:color w:val="auto"/>
          <w:sz w:val="24"/>
          <w:szCs w:val="24"/>
          <w:highlight w:val="none"/>
        </w:rPr>
        <w:t xml:space="preserve">投标人承担过的物业管理项目获得过</w:t>
      </w:r>
      <w:r>
        <w:rPr>
          <w:rFonts w:hint="eastAsia" w:ascii="宋体" w:hAnsi="宋体" w:cs="宋体"/>
          <w:bCs/>
          <w:color w:val="auto"/>
          <w:sz w:val="24"/>
          <w:szCs w:val="24"/>
          <w:highlight w:val="none"/>
          <w:lang w:val="en-US" w:eastAsia="zh-CN"/>
        </w:rPr>
        <w:t xml:space="preserve">市</w:t>
      </w:r>
      <w:r>
        <w:rPr>
          <w:rFonts w:hint="eastAsia" w:ascii="宋体" w:hAnsi="宋体" w:cs="宋体"/>
          <w:bCs/>
          <w:color w:val="auto"/>
          <w:sz w:val="24"/>
          <w:szCs w:val="24"/>
          <w:highlight w:val="none"/>
        </w:rPr>
        <w:t xml:space="preserve">级（含）以上行政主管部门颁发的物业管理优秀或示范项目的，每提供一项得1分；本项最高得3分。</w:t>
      </w:r>
      <w:r>
        <w:rPr>
          <w:rFonts w:hint="eastAsia" w:ascii="宋体" w:hAnsi="宋体" w:cs="宋体"/>
          <w:b/>
          <w:color w:val="auto"/>
          <w:sz w:val="24"/>
          <w:szCs w:val="24"/>
          <w:highlight w:val="none"/>
        </w:rPr>
        <w:t xml:space="preserve">（投标文件中需提供相关证明资料扫描件并</w:t>
      </w:r>
      <w:r>
        <w:rPr>
          <w:rFonts w:hint="eastAsia" w:ascii="宋体" w:hAnsi="宋体"/>
          <w:b/>
          <w:color w:val="auto"/>
          <w:sz w:val="24"/>
          <w:szCs w:val="24"/>
          <w:highlight w:val="none"/>
        </w:rPr>
        <w:t xml:space="preserve">签电子公章</w:t>
      </w:r>
      <w:r>
        <w:rPr>
          <w:rFonts w:hint="eastAsia" w:ascii="宋体" w:hAnsi="宋体" w:cs="宋体"/>
          <w:b/>
          <w:color w:val="auto"/>
          <w:sz w:val="24"/>
          <w:szCs w:val="24"/>
          <w:highlight w:val="none"/>
        </w:rPr>
        <w:t xml:space="preserve">，未提供相关资料或资料不全不得分）</w:t>
      </w:r>
      <w:r>
        <w:rPr>
          <w:rFonts w:hint="eastAsia" w:ascii="宋体" w:hAnsi="宋体" w:cs="宋体"/>
          <w:b/>
          <w:bCs/>
          <w:color w:val="auto"/>
          <w:sz w:val="24"/>
          <w:szCs w:val="24"/>
          <w:highlight w:val="none"/>
        </w:rPr>
        <w:t xml:space="preserve">注：每项荣誉均按最高级别计分，不重复计分。</w:t>
      </w:r>
      <w:r/>
    </w:p>
    <w:p>
      <w:pPr>
        <w:ind w:firstLine="482"/>
        <w:spacing w:line="500" w:lineRule="exact"/>
        <w:tabs>
          <w:tab w:val="left" w:pos="465" w:leader="none"/>
        </w:tabs>
        <w:rPr>
          <w:rFonts w:ascii="宋体" w:hAnsi="宋体"/>
          <w:bCs/>
          <w:color w:val="auto"/>
          <w:sz w:val="24"/>
          <w:highlight w:val="none"/>
        </w:rPr>
        <w:outlineLvl w:val="0"/>
      </w:pPr>
      <w:r>
        <w:rPr>
          <w:rFonts w:hint="eastAsia" w:ascii="宋体" w:hAnsi="宋体"/>
          <w:b/>
          <w:color w:val="auto"/>
          <w:sz w:val="24"/>
          <w:szCs w:val="24"/>
          <w:highlight w:val="none"/>
        </w:rPr>
        <w:t xml:space="preserve">2、人员配置情况（14分）</w:t>
      </w:r>
      <w:r/>
    </w:p>
    <w:p>
      <w:pPr>
        <w:ind w:firstLine="480"/>
        <w:spacing w:line="500" w:lineRule="exact"/>
        <w:rPr>
          <w:rFonts w:ascii="宋体" w:hAnsi="宋体"/>
          <w:color w:val="auto"/>
          <w:sz w:val="24"/>
          <w:highlight w:val="none"/>
        </w:rPr>
      </w:pPr>
      <w:r>
        <w:rPr>
          <w:rFonts w:hint="eastAsia" w:ascii="宋体" w:hAnsi="宋体"/>
          <w:b/>
          <w:bCs/>
          <w:color w:val="auto"/>
          <w:sz w:val="24"/>
          <w:highlight w:val="none"/>
        </w:rPr>
        <w:t xml:space="preserve">（1）项目负责人（6分）</w:t>
      </w:r>
      <w:r/>
    </w:p>
    <w:p>
      <w:pPr>
        <w:ind w:firstLine="480"/>
        <w:spacing w:line="500" w:lineRule="exact"/>
        <w:rPr>
          <w:rFonts w:ascii="宋体" w:hAnsi="宋体"/>
          <w:color w:val="auto"/>
          <w:sz w:val="24"/>
        </w:rPr>
      </w:pPr>
      <w:r>
        <w:rPr>
          <w:rFonts w:hint="eastAsia" w:ascii="宋体" w:hAnsi="宋体" w:cs="宋体"/>
          <w:bCs/>
          <w:color w:val="auto"/>
          <w:sz w:val="24"/>
          <w:szCs w:val="24"/>
          <w:highlight w:val="none"/>
        </w:rPr>
        <w:t xml:space="preserve">投标人拟派的项目主管具有</w:t>
      </w:r>
      <w:r>
        <w:rPr>
          <w:rFonts w:hint="eastAsia" w:ascii="宋体" w:hAnsi="宋体" w:cs="宋体"/>
          <w:color w:val="auto"/>
          <w:sz w:val="24"/>
          <w:szCs w:val="24"/>
          <w:highlight w:val="none"/>
        </w:rPr>
        <w:t xml:space="preserve">本科（含）及以上学历，全国物业管理从业人员岗位证书及全国项目经理岗位技能证书（有效期内）的，得2分</w:t>
      </w:r>
      <w:r>
        <w:rPr>
          <w:rFonts w:hint="eastAsia" w:ascii="宋体" w:hAnsi="宋体" w:cs="宋体"/>
          <w:bCs/>
          <w:color w:val="auto"/>
          <w:sz w:val="24"/>
          <w:szCs w:val="24"/>
          <w:highlight w:val="none"/>
        </w:rPr>
        <w:t xml:space="preserve">；</w:t>
      </w:r>
      <w:r>
        <w:rPr>
          <w:rFonts w:hint="eastAsia" w:ascii="宋体" w:hAnsi="宋体" w:cs="宋体"/>
          <w:bCs/>
          <w:color w:val="auto"/>
          <w:sz w:val="24"/>
          <w:highlight w:val="none"/>
        </w:rPr>
        <w:t xml:space="preserve">具有高级保安员证的，</w:t>
      </w:r>
      <w:r>
        <w:rPr>
          <w:rFonts w:hint="eastAsia" w:ascii="宋体" w:hAnsi="宋体" w:cs="宋体"/>
          <w:bCs/>
          <w:color w:val="auto"/>
          <w:sz w:val="24"/>
          <w:szCs w:val="24"/>
          <w:highlight w:val="none"/>
        </w:rPr>
        <w:t xml:space="preserve">得2分；具有公共卫生消毒员职业资格证书的，得2分；本项最高得6分。【</w:t>
      </w:r>
      <w:r>
        <w:rPr>
          <w:rFonts w:hint="eastAsia" w:ascii="宋体" w:hAnsi="宋体" w:cs="宋体"/>
          <w:b/>
          <w:color w:val="auto"/>
          <w:sz w:val="24"/>
          <w:szCs w:val="24"/>
          <w:highlight w:val="none"/>
        </w:rPr>
        <w:t xml:space="preserve">投标文件中需提供项目负责人</w:t>
      </w:r>
      <w:r>
        <w:rPr>
          <w:rFonts w:hint="eastAsia" w:ascii="宋体" w:hAnsi="宋体" w:cs="宋体"/>
          <w:b/>
          <w:bCs/>
          <w:color w:val="auto"/>
          <w:sz w:val="24"/>
          <w:szCs w:val="28"/>
          <w:highlight w:val="none"/>
        </w:rPr>
        <w:t xml:space="preserve">上述有效的相关证书原件</w:t>
      </w:r>
      <w:r>
        <w:rPr>
          <w:rFonts w:hint="eastAsia" w:ascii="宋体" w:hAnsi="宋体" w:cs="宋体"/>
          <w:b/>
          <w:bCs/>
          <w:color w:val="auto"/>
          <w:sz w:val="24"/>
          <w:szCs w:val="28"/>
        </w:rPr>
        <w:t xml:space="preserve">扫描件</w:t>
      </w:r>
      <w:r>
        <w:rPr>
          <w:rFonts w:hint="eastAsia" w:ascii="宋体" w:hAnsi="宋体" w:cs="宋体"/>
          <w:b/>
          <w:color w:val="auto"/>
          <w:sz w:val="24"/>
          <w:szCs w:val="24"/>
        </w:rPr>
        <w:t xml:space="preserve">并</w:t>
      </w:r>
      <w:r>
        <w:rPr>
          <w:rFonts w:hint="eastAsia" w:ascii="宋体" w:hAnsi="宋体"/>
          <w:b/>
          <w:color w:val="auto"/>
          <w:sz w:val="24"/>
          <w:szCs w:val="24"/>
        </w:rPr>
        <w:t xml:space="preserve">签电子公章</w:t>
      </w:r>
      <w:r>
        <w:rPr>
          <w:rFonts w:hint="eastAsia" w:ascii="宋体" w:hAnsi="宋体" w:cs="宋体"/>
          <w:b/>
          <w:color w:val="auto"/>
          <w:sz w:val="24"/>
          <w:szCs w:val="24"/>
        </w:rPr>
        <w:t xml:space="preserve">，以及投标人为其缴纳的近三个月中任意一个月（不含投标当月）的社保缴费证明（由相关主管部门出具，新成立公司除外、法定代表人除外）原件扫描件并</w:t>
      </w:r>
      <w:r>
        <w:rPr>
          <w:rFonts w:hint="eastAsia" w:ascii="宋体" w:hAnsi="宋体"/>
          <w:b/>
          <w:color w:val="auto"/>
          <w:sz w:val="24"/>
          <w:szCs w:val="24"/>
        </w:rPr>
        <w:t xml:space="preserve">签电子公章</w:t>
      </w:r>
      <w:r>
        <w:rPr>
          <w:rFonts w:hint="eastAsia" w:ascii="宋体" w:hAnsi="宋体" w:cs="宋体"/>
          <w:b/>
          <w:color w:val="auto"/>
          <w:sz w:val="24"/>
          <w:szCs w:val="24"/>
        </w:rPr>
        <w:t xml:space="preserve">，未提供相关资料或资料不全不得分</w:t>
      </w:r>
      <w:r>
        <w:rPr>
          <w:rFonts w:hint="eastAsia" w:ascii="宋体" w:hAnsi="宋体" w:cs="宋体"/>
          <w:bCs/>
          <w:color w:val="auto"/>
          <w:sz w:val="24"/>
          <w:szCs w:val="24"/>
        </w:rPr>
        <w:t xml:space="preserve">】</w:t>
      </w:r>
      <w:r>
        <w:rPr>
          <w:rFonts w:hint="eastAsia" w:ascii="宋体" w:hAnsi="宋体" w:cs="宋体"/>
          <w:b/>
          <w:bCs/>
          <w:color w:val="auto"/>
          <w:sz w:val="24"/>
        </w:rPr>
        <w:t xml:space="preserve">。</w:t>
      </w:r>
      <w:r/>
    </w:p>
    <w:p>
      <w:pPr>
        <w:numPr>
          <w:ilvl w:val="0"/>
          <w:numId w:val="10"/>
        </w:numPr>
        <w:ind w:firstLine="480"/>
        <w:spacing w:line="500" w:lineRule="exact"/>
        <w:rPr>
          <w:rFonts w:ascii="宋体" w:hAnsi="宋体"/>
          <w:b/>
          <w:bCs/>
          <w:color w:val="auto"/>
          <w:sz w:val="24"/>
        </w:rPr>
      </w:pPr>
      <w:r>
        <w:rPr>
          <w:rFonts w:hint="eastAsia" w:ascii="宋体" w:hAnsi="宋体"/>
          <w:b/>
          <w:bCs/>
          <w:color w:val="auto"/>
          <w:sz w:val="24"/>
        </w:rPr>
        <w:t xml:space="preserve">其他人员（不含项目负责人）（8分）</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olor w:val="auto"/>
          <w:sz w:val="24"/>
          <w:highlight w:val="none"/>
        </w:rPr>
        <w:t xml:space="preserve">投标人拟派的保安人员</w:t>
      </w:r>
      <w:r>
        <w:rPr>
          <w:rFonts w:hint="eastAsia" w:ascii="宋体" w:hAnsi="宋体" w:cs="宋体"/>
          <w:bCs/>
          <w:color w:val="auto"/>
          <w:sz w:val="24"/>
          <w:highlight w:val="none"/>
        </w:rPr>
        <w:t xml:space="preserve">具有</w:t>
      </w:r>
      <w:r>
        <w:rPr>
          <w:rFonts w:hint="eastAsia" w:ascii="宋体" w:hAnsi="宋体" w:cs="宋体"/>
          <w:bCs/>
          <w:color w:val="auto"/>
          <w:sz w:val="24"/>
          <w:szCs w:val="24"/>
          <w:highlight w:val="none"/>
        </w:rPr>
        <w:t xml:space="preserve">高级保安员证</w:t>
      </w:r>
      <w:r>
        <w:rPr>
          <w:rFonts w:ascii="宋体" w:hAnsi="宋体" w:cs="宋体"/>
          <w:color w:val="auto"/>
          <w:sz w:val="24"/>
          <w:szCs w:val="24"/>
          <w:highlight w:val="none"/>
        </w:rPr>
        <w:t xml:space="preserve">的</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每提供1个</w:t>
      </w:r>
      <w:r>
        <w:rPr>
          <w:rFonts w:hint="eastAsia" w:ascii="宋体" w:hAnsi="宋体"/>
          <w:color w:val="auto"/>
          <w:sz w:val="24"/>
          <w:highlight w:val="none"/>
        </w:rPr>
        <w:t xml:space="preserve">得1分，最多得3分</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具有物业管理师（三级/高级工）证书的得1分</w:t>
      </w:r>
      <w:r>
        <w:rPr>
          <w:rFonts w:hint="eastAsia" w:ascii="宋体" w:hAnsi="宋体"/>
          <w:bCs/>
          <w:color w:val="auto"/>
          <w:sz w:val="24"/>
          <w:highlight w:val="none"/>
        </w:rPr>
        <w:t xml:space="preserve">，</w:t>
      </w:r>
      <w:r>
        <w:rPr>
          <w:rFonts w:hint="eastAsia" w:ascii="宋体" w:hAnsi="宋体"/>
          <w:bCs/>
          <w:color w:val="auto"/>
          <w:sz w:val="24"/>
          <w:szCs w:val="24"/>
          <w:highlight w:val="none"/>
        </w:rPr>
        <w:t xml:space="preserve">每提供1个</w:t>
      </w:r>
      <w:r>
        <w:rPr>
          <w:rFonts w:hint="eastAsia" w:ascii="宋体" w:hAnsi="宋体"/>
          <w:color w:val="auto"/>
          <w:sz w:val="24"/>
          <w:highlight w:val="none"/>
        </w:rPr>
        <w:t xml:space="preserve">得1分，最多得2分</w:t>
      </w:r>
      <w:r>
        <w:rPr>
          <w:rFonts w:hint="eastAsia" w:ascii="宋体" w:hAnsi="宋体"/>
          <w:bCs/>
          <w:color w:val="auto"/>
          <w:sz w:val="24"/>
          <w:highlight w:val="none"/>
        </w:rPr>
        <w:t xml:space="preserve">；</w:t>
      </w:r>
      <w:r>
        <w:rPr>
          <w:rFonts w:hint="eastAsia" w:ascii="宋体" w:hAnsi="宋体" w:cs="宋体"/>
          <w:bCs/>
          <w:color w:val="auto"/>
          <w:sz w:val="24"/>
          <w:szCs w:val="24"/>
          <w:highlight w:val="none"/>
        </w:rPr>
        <w:t xml:space="preserve">本项最高得5分。</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bCs/>
          <w:color w:val="auto"/>
          <w:sz w:val="24"/>
          <w:szCs w:val="24"/>
          <w:highlight w:val="none"/>
        </w:rPr>
        <w:t xml:space="preserve">投标人拟派的保洁员</w:t>
      </w:r>
      <w:r>
        <w:rPr>
          <w:rFonts w:hint="eastAsia" w:ascii="宋体" w:hAnsi="宋体" w:cs="宋体"/>
          <w:color w:val="auto"/>
          <w:sz w:val="24"/>
          <w:szCs w:val="24"/>
          <w:highlight w:val="none"/>
        </w:rPr>
        <w:t xml:space="preserve">具有清洁管理师证的（中级及以上），</w:t>
      </w:r>
      <w:r>
        <w:rPr>
          <w:rFonts w:hint="eastAsia" w:ascii="宋体" w:hAnsi="宋体"/>
          <w:bCs/>
          <w:color w:val="auto"/>
          <w:sz w:val="24"/>
          <w:szCs w:val="24"/>
          <w:highlight w:val="none"/>
        </w:rPr>
        <w:t xml:space="preserve">每提供1个</w:t>
      </w:r>
      <w:r>
        <w:rPr>
          <w:rFonts w:hint="eastAsia" w:ascii="宋体" w:hAnsi="宋体"/>
          <w:color w:val="auto"/>
          <w:sz w:val="24"/>
          <w:highlight w:val="none"/>
        </w:rPr>
        <w:t xml:space="preserve">得1分，最多得3分；</w:t>
      </w:r>
      <w:r>
        <w:rPr>
          <w:rFonts w:hint="eastAsia" w:ascii="宋体" w:hAnsi="宋体" w:cs="宋体"/>
          <w:bCs/>
          <w:color w:val="auto"/>
          <w:sz w:val="24"/>
          <w:szCs w:val="24"/>
          <w:highlight w:val="none"/>
        </w:rPr>
        <w:t xml:space="preserve">本项最高得3分。</w:t>
      </w:r>
      <w:r/>
    </w:p>
    <w:p>
      <w:pPr>
        <w:ind w:firstLine="480"/>
        <w:spacing w:line="500" w:lineRule="exact"/>
        <w:rPr>
          <w:rFonts w:ascii="宋体" w:hAnsi="宋体" w:cs="宋体"/>
          <w:color w:val="auto"/>
          <w:sz w:val="24"/>
          <w:szCs w:val="24"/>
        </w:rPr>
      </w:pPr>
      <w:r>
        <w:rPr>
          <w:rFonts w:hint="eastAsia" w:ascii="宋体" w:hAnsi="宋体"/>
          <w:b/>
          <w:bCs/>
          <w:color w:val="auto"/>
          <w:sz w:val="24"/>
        </w:rPr>
        <w:t xml:space="preserve">注：</w:t>
      </w:r>
      <w:r>
        <w:rPr>
          <w:rFonts w:hint="eastAsia" w:ascii="宋体" w:hAnsi="宋体" w:cs="宋体"/>
          <w:b/>
          <w:bCs/>
          <w:color w:val="auto"/>
          <w:sz w:val="24"/>
          <w:szCs w:val="28"/>
        </w:rPr>
        <w:t xml:space="preserve">上述人员不得兼任，同一人员不重复得分。</w:t>
      </w:r>
      <w:r>
        <w:rPr>
          <w:rFonts w:hint="eastAsia" w:ascii="宋体" w:hAnsi="宋体" w:cs="宋体"/>
          <w:b/>
          <w:color w:val="auto"/>
          <w:sz w:val="24"/>
          <w:szCs w:val="24"/>
        </w:rPr>
        <w:t xml:space="preserve">投标文件中需提供上述人员</w:t>
      </w:r>
      <w:r>
        <w:rPr>
          <w:rFonts w:hint="eastAsia" w:ascii="宋体" w:hAnsi="宋体" w:cs="宋体"/>
          <w:b/>
          <w:bCs/>
          <w:color w:val="auto"/>
          <w:sz w:val="24"/>
          <w:szCs w:val="24"/>
        </w:rPr>
        <w:t xml:space="preserve">有效的</w:t>
      </w:r>
      <w:r>
        <w:rPr>
          <w:rFonts w:hint="eastAsia" w:ascii="宋体" w:hAnsi="宋体" w:cs="宋体"/>
          <w:b/>
          <w:bCs/>
          <w:color w:val="auto"/>
          <w:sz w:val="24"/>
          <w:szCs w:val="28"/>
        </w:rPr>
        <w:t xml:space="preserve">相关证书原件扫描件</w:t>
      </w:r>
      <w:r>
        <w:rPr>
          <w:rFonts w:hint="eastAsia" w:ascii="宋体" w:hAnsi="宋体" w:cs="宋体"/>
          <w:b/>
          <w:color w:val="auto"/>
          <w:sz w:val="24"/>
          <w:szCs w:val="24"/>
        </w:rPr>
        <w:t xml:space="preserve">并</w:t>
      </w:r>
      <w:r>
        <w:rPr>
          <w:rFonts w:hint="eastAsia" w:ascii="宋体" w:hAnsi="宋体"/>
          <w:b/>
          <w:color w:val="auto"/>
          <w:sz w:val="24"/>
          <w:szCs w:val="24"/>
        </w:rPr>
        <w:t xml:space="preserve">签电子公章</w:t>
      </w:r>
      <w:r>
        <w:rPr>
          <w:rFonts w:hint="eastAsia" w:ascii="宋体" w:hAnsi="宋体" w:cs="宋体"/>
          <w:b/>
          <w:color w:val="auto"/>
          <w:sz w:val="24"/>
          <w:szCs w:val="24"/>
        </w:rPr>
        <w:t xml:space="preserve">，以及投标人为其缴纳的近三个月中任意一个月（不含投标当月）的社保缴费证明（由相关主管部门出具，新成立公司除外、法定代表人除外）原件扫描件并</w:t>
      </w:r>
      <w:r>
        <w:rPr>
          <w:rFonts w:hint="eastAsia" w:ascii="宋体" w:hAnsi="宋体"/>
          <w:b/>
          <w:color w:val="auto"/>
          <w:sz w:val="24"/>
          <w:szCs w:val="24"/>
        </w:rPr>
        <w:t xml:space="preserve">签电子公章</w:t>
      </w:r>
      <w:r>
        <w:rPr>
          <w:rFonts w:hint="eastAsia" w:ascii="宋体" w:hAnsi="宋体" w:cs="宋体"/>
          <w:b/>
          <w:color w:val="auto"/>
          <w:sz w:val="24"/>
          <w:szCs w:val="24"/>
        </w:rPr>
        <w:t xml:space="preserve">，未提供相关资料或资料不全不得分。</w:t>
      </w:r>
      <w:r/>
    </w:p>
    <w:p>
      <w:pPr>
        <w:ind w:firstLine="482"/>
        <w:spacing w:line="500" w:lineRule="exact"/>
        <w:tabs>
          <w:tab w:val="left" w:pos="945" w:leader="none"/>
        </w:tabs>
        <w:rPr>
          <w:rFonts w:ascii="宋体" w:hAnsi="宋体" w:cs="宋体"/>
          <w:color w:val="auto"/>
          <w:sz w:val="24"/>
          <w:szCs w:val="24"/>
        </w:rPr>
        <w:outlineLvl w:val="0"/>
      </w:pPr>
      <w:r>
        <w:rPr>
          <w:rFonts w:hint="eastAsia" w:ascii="宋体" w:hAnsi="宋体"/>
          <w:b/>
          <w:color w:val="auto"/>
          <w:sz w:val="24"/>
          <w:szCs w:val="24"/>
        </w:rPr>
        <w:t xml:space="preserve">（三）技术部分（</w:t>
      </w:r>
      <w:r>
        <w:rPr>
          <w:rFonts w:hint="eastAsia" w:ascii="宋体" w:hAnsi="宋体"/>
          <w:b/>
          <w:color w:val="auto"/>
          <w:sz w:val="24"/>
          <w:highlight w:val="none"/>
        </w:rPr>
        <w:t xml:space="preserve">50</w:t>
      </w:r>
      <w:r>
        <w:rPr>
          <w:rFonts w:hint="eastAsia" w:ascii="宋体" w:hAnsi="宋体"/>
          <w:b/>
          <w:color w:val="auto"/>
          <w:sz w:val="24"/>
          <w:szCs w:val="24"/>
        </w:rPr>
        <w:t xml:space="preserve">分）（暗标部分）</w:t>
      </w:r>
      <w:r/>
    </w:p>
    <w:p>
      <w:pPr>
        <w:ind w:firstLine="480"/>
        <w:spacing w:line="500" w:lineRule="exact"/>
        <w:tabs>
          <w:tab w:val="left" w:pos="945" w:leader="none"/>
        </w:tabs>
        <w:rPr>
          <w:rFonts w:ascii="宋体" w:hAnsi="宋体" w:cs="宋体"/>
          <w:color w:val="auto"/>
          <w:sz w:val="24"/>
          <w:szCs w:val="24"/>
        </w:rPr>
        <w:outlineLvl w:val="0"/>
      </w:pPr>
      <w:r>
        <w:rPr>
          <w:rFonts w:hint="eastAsia" w:ascii="宋体" w:hAnsi="宋体" w:cs="宋体"/>
          <w:color w:val="auto"/>
          <w:sz w:val="24"/>
          <w:szCs w:val="24"/>
        </w:rPr>
        <w:t xml:space="preserve">在响应招标文件需求的基础上针对下列各部分进行评价，要求体现科学合理性、条理性、可行性、完善性，以下各部分如未见阐述则不得分：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1、项目目标及整体设想（4分）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①投标人对本项目的总体目标；</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②投标人对本项目的理解、设想及管理服务理念；</w:t>
      </w:r>
      <w:r/>
    </w:p>
    <w:p>
      <w:pPr>
        <w:ind w:firstLine="480"/>
        <w:spacing w:line="500" w:lineRule="exact"/>
        <w:tabs>
          <w:tab w:val="left" w:pos="525" w:leader="none"/>
          <w:tab w:val="left" w:pos="945" w:leader="none"/>
          <w:tab w:val="left" w:pos="1155" w:leader="none"/>
          <w:tab w:val="left" w:pos="3300" w:leader="none"/>
        </w:tabs>
        <w:rPr>
          <w:rFonts w:ascii="宋体" w:hAnsi="宋体" w:cs="宋体"/>
          <w:color w:val="auto"/>
          <w:sz w:val="24"/>
        </w:rPr>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2、项目管理服务体系（4分）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①项目管理架构、体系及运作流程；</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②项目岗位职责。</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3、项目岗前培训及阶段性培训管理（4分）</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①人员招聘管理及人员激励机制；</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② 人员培训管理。</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4、项目日常管理标准及措施（</w:t>
      </w:r>
      <w:r>
        <w:rPr>
          <w:rFonts w:ascii="宋体" w:hAnsi="宋体" w:cs="宋体"/>
          <w:bCs/>
          <w:color w:val="auto"/>
          <w:sz w:val="24"/>
          <w:szCs w:val="24"/>
        </w:rPr>
        <w:t xml:space="preserve">4</w:t>
      </w:r>
      <w:r>
        <w:rPr>
          <w:rFonts w:hint="eastAsia" w:ascii="宋体" w:hAnsi="宋体" w:cs="宋体"/>
          <w:bCs/>
          <w:color w:val="auto"/>
          <w:sz w:val="24"/>
          <w:szCs w:val="24"/>
        </w:rPr>
        <w:t xml:space="preserve">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①日常管理标准；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②具体管理措施。</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5、项目管理规章制度（</w:t>
      </w:r>
      <w:r>
        <w:rPr>
          <w:rFonts w:ascii="宋体" w:hAnsi="宋体" w:cs="宋体"/>
          <w:bCs/>
          <w:color w:val="auto"/>
          <w:sz w:val="24"/>
          <w:szCs w:val="24"/>
        </w:rPr>
        <w:t xml:space="preserve">4</w:t>
      </w:r>
      <w:r>
        <w:rPr>
          <w:rFonts w:hint="eastAsia" w:ascii="宋体" w:hAnsi="宋体" w:cs="宋体"/>
          <w:bCs/>
          <w:color w:val="auto"/>
          <w:sz w:val="24"/>
          <w:szCs w:val="24"/>
        </w:rPr>
        <w:t xml:space="preserve">分）</w:t>
      </w:r>
      <w:r/>
    </w:p>
    <w:p>
      <w:pPr>
        <w:pStyle w:val="1082"/>
        <w:ind w:left="480" w:firstLine="0"/>
        <w:spacing w:line="500" w:lineRule="exact"/>
        <w:rPr>
          <w:rFonts w:ascii="宋体" w:hAnsi="宋体" w:cs="宋体"/>
          <w:color w:val="auto"/>
          <w:sz w:val="24"/>
        </w:rPr>
      </w:pPr>
      <w:r>
        <w:rPr>
          <w:rFonts w:hint="eastAsia" w:ascii="宋体" w:hAnsi="宋体" w:cs="宋体"/>
          <w:color w:val="auto"/>
          <w:sz w:val="24"/>
        </w:rPr>
        <w:t xml:space="preserve">①公司规章制度；</w:t>
      </w:r>
      <w:r/>
    </w:p>
    <w:p>
      <w:pPr>
        <w:pStyle w:val="1082"/>
        <w:ind w:left="480" w:firstLine="0"/>
        <w:spacing w:line="500" w:lineRule="exact"/>
        <w:rPr>
          <w:rFonts w:ascii="宋体" w:hAnsi="宋体" w:cs="宋体"/>
          <w:color w:val="auto"/>
          <w:sz w:val="24"/>
        </w:rPr>
      </w:pPr>
      <w:r>
        <w:rPr>
          <w:rFonts w:hint="eastAsia" w:ascii="宋体" w:hAnsi="宋体" w:cs="宋体"/>
          <w:color w:val="auto"/>
          <w:sz w:val="24"/>
        </w:rPr>
        <w:t xml:space="preserve">②针对本项目制定的规章制度。</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6、项目物资装备的配备及维保使用方案（4分）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①物资装备配备；</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②日常维护保养措施方案。</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7、项目管理重点难点和措施（4分）</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①管理重点难点；</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②管理措施。</w:t>
      </w:r>
      <w:r/>
    </w:p>
    <w:p>
      <w:pPr>
        <w:ind w:firstLine="480"/>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8、在本项目中与采购人以及其他单位、部门的综合协调方案（4分）</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①服务期间与采购人协调的制度建立、与采购人日常沟通措施；</w:t>
      </w:r>
      <w:r/>
    </w:p>
    <w:p>
      <w:pPr>
        <w:pStyle w:val="1082"/>
        <w:ind w:firstLine="480"/>
        <w:spacing w:line="500" w:lineRule="exact"/>
        <w:rPr>
          <w:rFonts w:ascii="宋体" w:hAnsi="宋体" w:cs="宋体"/>
          <w:color w:val="auto"/>
          <w:sz w:val="24"/>
        </w:rPr>
      </w:pPr>
      <w:r>
        <w:rPr>
          <w:rFonts w:hint="eastAsia" w:ascii="宋体" w:hAnsi="宋体" w:cs="宋体"/>
          <w:color w:val="auto"/>
          <w:sz w:val="24"/>
        </w:rPr>
        <w:t xml:space="preserve">②各项服务事项的配合。</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9、项目正式接管前具体措施（4分）</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①中标后工作安排；</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②筹备阶段时间与进度安排。</w:t>
      </w:r>
      <w:r/>
    </w:p>
    <w:p>
      <w:pPr>
        <w:ind w:firstLine="480"/>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10、项目特殊情况应急预案及措施（4分）</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①特殊情况应急预案；</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②过失及意外保障措施。</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11、项目过失及意外保障措施（4分）</w:t>
      </w:r>
      <w:r/>
    </w:p>
    <w:p>
      <w:pPr>
        <w:ind w:firstLine="468"/>
        <w:spacing w:line="500" w:lineRule="exact"/>
        <w:tabs>
          <w:tab w:val="left" w:pos="525" w:leader="none"/>
          <w:tab w:val="left" w:pos="945" w:leader="none"/>
          <w:tab w:val="left" w:pos="1155" w:leader="none"/>
          <w:tab w:val="left" w:pos="3300" w:leader="none"/>
        </w:tabs>
        <w:rPr>
          <w:rFonts w:ascii="宋体" w:hAnsi="宋体" w:cs="宋体"/>
          <w:color w:val="auto"/>
          <w:spacing w:val="-3"/>
          <w:sz w:val="24"/>
          <w:szCs w:val="24"/>
        </w:rPr>
      </w:pPr>
      <w:r>
        <w:rPr>
          <w:rFonts w:hint="eastAsia" w:ascii="宋体" w:hAnsi="宋体" w:cs="宋体"/>
          <w:color w:val="auto"/>
          <w:spacing w:val="-3"/>
          <w:sz w:val="24"/>
          <w:szCs w:val="24"/>
        </w:rPr>
        <w:t xml:space="preserve">①常见过失情况的种类；</w:t>
      </w:r>
      <w:r/>
    </w:p>
    <w:p>
      <w:pPr>
        <w:ind w:firstLine="468"/>
        <w:spacing w:line="500" w:lineRule="exact"/>
        <w:tabs>
          <w:tab w:val="left" w:pos="525" w:leader="none"/>
          <w:tab w:val="left" w:pos="945" w:leader="none"/>
          <w:tab w:val="left" w:pos="1155" w:leader="none"/>
          <w:tab w:val="left" w:pos="3300" w:leader="none"/>
        </w:tabs>
        <w:rPr>
          <w:rFonts w:ascii="宋体" w:hAnsi="宋体" w:cs="宋体"/>
          <w:color w:val="auto"/>
          <w:spacing w:val="-3"/>
          <w:sz w:val="24"/>
          <w:szCs w:val="24"/>
        </w:rPr>
      </w:pPr>
      <w:r>
        <w:rPr>
          <w:rFonts w:hint="eastAsia" w:ascii="宋体" w:hAnsi="宋体" w:cs="宋体"/>
          <w:color w:val="auto"/>
          <w:spacing w:val="-3"/>
          <w:sz w:val="24"/>
          <w:szCs w:val="24"/>
        </w:rPr>
        <w:t xml:space="preserve">②针对过失情况相应的保障措施。</w:t>
      </w:r>
      <w:r/>
    </w:p>
    <w:p>
      <w:pPr>
        <w:ind w:firstLine="480"/>
        <w:spacing w:line="500" w:lineRule="exact"/>
        <w:tabs>
          <w:tab w:val="left" w:pos="945" w:leader="none"/>
        </w:tabs>
        <w:rPr>
          <w:rFonts w:ascii="宋体" w:hAnsi="宋体" w:cs="宋体"/>
          <w:color w:val="auto"/>
          <w:sz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4分；阐述内容较全面、漏缺1项，但有针对性解释说明的，得2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12、项目档案资料管理（2分）</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①档案库房管理制度；</w:t>
      </w:r>
      <w:r/>
    </w:p>
    <w:p>
      <w:pPr>
        <w:ind w:firstLine="468"/>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pacing w:val="-3"/>
          <w:sz w:val="24"/>
          <w:szCs w:val="24"/>
        </w:rPr>
        <w:t xml:space="preserve">②规范化管理。</w:t>
      </w:r>
      <w:r/>
    </w:p>
    <w:p>
      <w:pPr>
        <w:ind w:firstLine="480"/>
        <w:spacing w:line="500" w:lineRule="exact"/>
        <w:tabs>
          <w:tab w:val="left" w:pos="945" w:leader="none"/>
        </w:tabs>
        <w:rPr>
          <w:rFonts w:ascii="宋体" w:hAnsi="宋体" w:cs="宋体"/>
          <w:color w:val="auto"/>
          <w:spacing w:val="-3"/>
          <w:sz w:val="24"/>
          <w:szCs w:val="24"/>
        </w:rPr>
        <w:outlineLvl w:val="0"/>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2分；阐述内容较全面、漏缺1项，但有针对性解释说明的，得1分；无阐述内容，针对评分内容没有解释说明的，该项得0分。</w:t>
      </w:r>
      <w:r/>
    </w:p>
    <w:p>
      <w:pPr>
        <w:ind w:firstLine="480"/>
        <w:spacing w:line="500" w:lineRule="exact"/>
        <w:tabs>
          <w:tab w:val="left" w:pos="945" w:leader="none"/>
        </w:tabs>
        <w:rPr>
          <w:rFonts w:ascii="宋体" w:hAnsi="宋体" w:cs="宋体"/>
          <w:bCs/>
          <w:color w:val="auto"/>
          <w:sz w:val="24"/>
          <w:szCs w:val="24"/>
        </w:rPr>
        <w:outlineLvl w:val="0"/>
      </w:pPr>
      <w:r>
        <w:rPr>
          <w:rFonts w:hint="eastAsia" w:ascii="宋体" w:hAnsi="宋体" w:cs="宋体"/>
          <w:bCs/>
          <w:color w:val="auto"/>
          <w:sz w:val="24"/>
          <w:szCs w:val="24"/>
        </w:rPr>
        <w:t xml:space="preserve">13、项目服务响应时间（2分）</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①总体服务时间响应；</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②安全管理服务响应。</w:t>
      </w:r>
      <w:r/>
    </w:p>
    <w:p>
      <w:pPr>
        <w:ind w:firstLine="480"/>
        <w:spacing w:line="500" w:lineRule="exact"/>
        <w:widowControl/>
        <w:rPr>
          <w:rFonts w:ascii="宋体" w:hAnsi="宋体" w:cs="宋体"/>
          <w:color w:val="auto"/>
          <w:spacing w:val="-3"/>
          <w:sz w:val="24"/>
          <w:szCs w:val="24"/>
        </w:rPr>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2分；阐述内容较全面、漏缺1项，但有针对性解释说明的，得1分；无阐述内容，针对评分内容没有解释说明的，该项得0分。</w:t>
      </w:r>
      <w:r/>
    </w:p>
    <w:p>
      <w:pPr>
        <w:ind w:firstLine="480"/>
        <w:spacing w:line="500" w:lineRule="exact"/>
        <w:tabs>
          <w:tab w:val="left" w:pos="945" w:leader="none"/>
        </w:tabs>
        <w:rPr>
          <w:rFonts w:ascii="宋体" w:hAnsi="宋体" w:cs="宋体"/>
          <w:color w:val="auto"/>
          <w:sz w:val="24"/>
          <w:szCs w:val="24"/>
        </w:rPr>
        <w:outlineLvl w:val="0"/>
      </w:pPr>
      <w:r>
        <w:rPr>
          <w:rFonts w:hint="eastAsia" w:ascii="宋体" w:hAnsi="宋体" w:cs="宋体"/>
          <w:bCs/>
          <w:color w:val="auto"/>
          <w:sz w:val="24"/>
          <w:szCs w:val="24"/>
        </w:rPr>
        <w:t xml:space="preserve">14、特色与创新（2分）</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①物业管理特色；</w:t>
      </w:r>
      <w:r/>
    </w:p>
    <w:p>
      <w:pPr>
        <w:ind w:firstLine="468"/>
        <w:spacing w:line="500" w:lineRule="exact"/>
        <w:widowControl/>
        <w:rPr>
          <w:rFonts w:ascii="宋体" w:hAnsi="宋体" w:cs="宋体"/>
          <w:color w:val="auto"/>
          <w:spacing w:val="-3"/>
          <w:sz w:val="24"/>
          <w:szCs w:val="24"/>
        </w:rPr>
      </w:pPr>
      <w:r>
        <w:rPr>
          <w:rFonts w:hint="eastAsia" w:ascii="宋体" w:hAnsi="宋体" w:cs="宋体"/>
          <w:color w:val="auto"/>
          <w:spacing w:val="-3"/>
          <w:sz w:val="24"/>
          <w:szCs w:val="24"/>
        </w:rPr>
        <w:t xml:space="preserve">②服务创新。</w:t>
      </w:r>
      <w:r/>
    </w:p>
    <w:p>
      <w:pPr>
        <w:ind w:firstLine="480"/>
        <w:spacing w:line="360" w:lineRule="auto"/>
        <w:tabs>
          <w:tab w:val="left" w:pos="525" w:leader="none"/>
          <w:tab w:val="left" w:pos="945" w:leader="none"/>
          <w:tab w:val="left" w:pos="1155" w:leader="none"/>
          <w:tab w:val="left" w:pos="3300" w:leader="none"/>
        </w:tabs>
        <w:rPr>
          <w:rFonts w:ascii="宋体" w:hAnsi="宋体" w:cs="宋体"/>
          <w:color w:val="auto"/>
          <w:sz w:val="24"/>
        </w:rPr>
      </w:pPr>
      <w:r>
        <w:rPr>
          <w:rFonts w:hint="eastAsia" w:ascii="宋体" w:hAnsi="宋体" w:cs="宋体"/>
          <w:color w:val="auto"/>
          <w:sz w:val="24"/>
        </w:rPr>
        <w:t xml:space="preserve">投标人须针对上述①、②项评分内容分别进行阐述，阐述内容须满足采购需求。内容全面、不漏项且有详实的针对性解释说明的，该项得2分；阐述内容较全面、漏缺1项，但有针对性解释说明的，得1分；无阐述内容，针对评分内容没有解释说明的，该项得0分。</w:t>
      </w:r>
      <w:r/>
    </w:p>
    <w:p>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numPr>
          <w:ilvl w:val="0"/>
          <w:numId w:val="11"/>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088"/>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088"/>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83"/>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88"/>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8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08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08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88"/>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8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8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8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08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88"/>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57"/>
        <w:rPr>
          <w:rFonts w:ascii="黑体" w:eastAsia="黑体"/>
          <w:bCs/>
          <w:color w:val="auto"/>
          <w:sz w:val="32"/>
          <w:szCs w:val="32"/>
          <w:highlight w:val="none"/>
        </w:rPr>
      </w:pPr>
      <w:r>
        <w:rPr>
          <w:rFonts w:ascii="黑体" w:eastAsia="黑体"/>
          <w:bCs/>
          <w:color w:val="auto"/>
          <w:sz w:val="32"/>
          <w:szCs w:val="32"/>
          <w:highlight w:val="none"/>
        </w:rPr>
      </w:r>
      <w:r/>
    </w:p>
    <w:p>
      <w:pPr>
        <w:pStyle w:val="757"/>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088"/>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JSZC-320206-JZCG-G2026-0016</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阳山镇人民政府大院、职工服务中心、文体站及综治中心物业管理服务采购项目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89"/>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JSZC-320206-JZCG-G2026-0016</w:t>
      </w:r>
      <w:r>
        <w:rPr>
          <w:rFonts w:hint="eastAsia" w:ascii="宋体" w:hAnsi="宋体"/>
          <w:bCs/>
          <w:color w:val="auto"/>
          <w:sz w:val="24"/>
          <w:szCs w:val="24"/>
          <w:highlight w:val="none"/>
        </w:rPr>
        <w:t xml:space="preserve">项目，兹授权：</w:t>
      </w:r>
      <w:r/>
    </w:p>
    <w:p>
      <w:pPr>
        <w:pStyle w:val="1089"/>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89"/>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89"/>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89"/>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89"/>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089"/>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89"/>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89"/>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89"/>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08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8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8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89"/>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089"/>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5" w:name="报价方关于资格的声明函（格式）"/>
      <w:r/>
      <w:bookmarkEnd w:id="13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JSZC-320206-JZCG-G2026-0016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JSZC-320206-JZCG-G2026-0016</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90"/>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JSZC-320206-JZCG-G2026-0016</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JSZC-320206-JZCG-G2026-0016</w:t>
      </w:r>
      <w:r/>
    </w:p>
    <w:tbl>
      <w:tblPr>
        <w:tblStyle w:val="727"/>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41"/>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 xml:space="preserve">阳山镇人民政府大院、职工服务中心、文体站及综治中心物业管理服务采购项目</w:t>
            </w:r>
            <w:r/>
          </w:p>
        </w:tc>
        <w:tc>
          <w:tcPr>
            <w:tcW w:w="4229" w:type="dxa"/>
            <w:vAlign w:val="center"/>
            <w:textDirection w:val="lrTb"/>
            <w:noWrap w:val="false"/>
          </w:tcPr>
          <w:p>
            <w:pPr>
              <w:pStyle w:val="1041"/>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6"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JSZC-320206-JZCG-G2026-0016</w:t>
      </w:r>
      <w:r/>
    </w:p>
    <w:tbl>
      <w:tblPr>
        <w:tblStyle w:val="727"/>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27"/>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104"/>
        <w:gridCol w:w="651"/>
        <w:gridCol w:w="1559"/>
        <w:gridCol w:w="1134"/>
        <w:gridCol w:w="1510"/>
        <w:gridCol w:w="1590"/>
      </w:tblGrid>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人数</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配置</w:t>
            </w:r>
            <w:r/>
          </w:p>
        </w:tc>
        <w:tc>
          <w:tcPr>
            <w:tcW w:w="155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人员费用标准</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（元/月）</w:t>
            </w:r>
            <w:r/>
          </w:p>
        </w:tc>
        <w:tc>
          <w:tcPr>
            <w:tcW w:w="113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1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合计费用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（元/三</w:t>
            </w:r>
            <w:r>
              <w:rPr>
                <w:rFonts w:hint="eastAsia" w:ascii="宋体" w:hAnsi="宋体" w:cs="宋体"/>
                <w:b/>
                <w:color w:val="auto"/>
                <w:sz w:val="21"/>
                <w:szCs w:val="21"/>
                <w:lang w:eastAsia="zh-CN"/>
              </w:rPr>
              <w:t xml:space="preserve">年</w:t>
            </w:r>
            <w:r>
              <w:rPr>
                <w:rFonts w:hint="eastAsia" w:ascii="宋体" w:hAnsi="宋体" w:eastAsia="宋体" w:cs="宋体"/>
                <w:b/>
                <w:color w:val="auto"/>
                <w:sz w:val="21"/>
                <w:szCs w:val="21"/>
              </w:rPr>
              <w:t xml:space="preserve">）</w:t>
            </w:r>
            <w:r/>
          </w:p>
        </w:tc>
        <w:tc>
          <w:tcPr>
            <w:tcW w:w="159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tcW w:w="210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员工工资及福利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48"/>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项目负责人</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p>
        </w:tc>
        <w:tc>
          <w:tcPr>
            <w:tcW w:w="2104"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政府机关大楼</w:t>
            </w:r>
            <w:r/>
          </w:p>
        </w:tc>
        <w:tc>
          <w:tcPr>
            <w:tcW w:w="651"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职工服务中心</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文体站</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widowControl/>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综治中心</w:t>
            </w:r>
            <w:r/>
          </w:p>
        </w:tc>
        <w:tc>
          <w:tcPr>
            <w:tcW w:w="651"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shd w:val="clear" w:color="auto" w:fill="auto"/>
            <w:tcW w:w="883" w:type="dxa"/>
            <w:vAlign w:val="center"/>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法定节假日加班工资</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7" w:name="OLE_LINK17"/>
            <w:r/>
            <w:bookmarkStart w:id="138" w:name="OLE_LINK18"/>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18</w:t>
            </w:r>
            <w:r>
              <w:rPr>
                <w:rFonts w:hint="eastAsia" w:ascii="宋体" w:hAnsi="宋体" w:eastAsia="宋体" w:cs="宋体"/>
                <w:color w:val="auto"/>
                <w:sz w:val="21"/>
                <w:szCs w:val="21"/>
              </w:rPr>
              <w:t xml:space="preserve">人计算</w:t>
            </w:r>
            <w:bookmarkEnd w:id="137"/>
            <w:r/>
            <w:bookmarkEnd w:id="138"/>
            <w:r/>
            <w:r/>
          </w:p>
        </w:tc>
      </w:tr>
      <w:tr>
        <w:trPr>
          <w:jc w:val="center"/>
        </w:trPr>
        <w:tc>
          <w:tcPr>
            <w:shd w:val="clear" w:color="auto" w:fill="auto"/>
            <w:tcW w:w="883" w:type="dxa"/>
            <w:vAlign w:val="center"/>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员工人身意外保险费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28</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（16）</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高温费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按人员配置总数</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rPr>
              <w:t xml:space="preserve">人计算</w:t>
            </w:r>
            <w:r/>
          </w:p>
        </w:tc>
      </w:tr>
      <w:tr>
        <w:trPr>
          <w:jc w:val="center"/>
        </w:trPr>
        <w:tc>
          <w:tcPr>
            <w:shd w:val="clear" w:color="auto" w:fill="auto"/>
            <w:tcW w:w="883" w:type="dxa"/>
            <w:vAlign w:val="center"/>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（17）</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其他员工福利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法定计提费用</w:t>
            </w:r>
            <w:r/>
          </w:p>
        </w:tc>
        <w:tc>
          <w:tcPr>
            <w:tcW w:w="651"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养老保险</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bookmarkStart w:id="139" w:name="OLE_LINK16"/>
            <w:r/>
            <w:bookmarkStart w:id="140" w:name="OLE_LINK15"/>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人计算</w:t>
            </w:r>
            <w:bookmarkEnd w:id="139"/>
            <w:r/>
            <w:bookmarkEnd w:id="140"/>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医疗统筹</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失业</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工伤</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生育</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按人员配置</w:t>
            </w:r>
            <w:r>
              <w:rPr>
                <w:rFonts w:hint="eastAsia" w:ascii="宋体" w:hAnsi="宋体" w:cs="宋体"/>
                <w:color w:val="auto"/>
                <w:sz w:val="21"/>
                <w:szCs w:val="21"/>
                <w:lang w:eastAsia="zh-CN"/>
              </w:rPr>
              <w:t xml:space="preserve">不少于</w:t>
            </w:r>
            <w:r>
              <w:rPr>
                <w:rFonts w:hint="eastAsia" w:ascii="宋体" w:hAnsi="宋体" w:cs="宋体"/>
                <w:color w:val="auto"/>
                <w:sz w:val="21"/>
                <w:szCs w:val="21"/>
                <w:lang w:val="en-US" w:eastAsia="zh-CN"/>
              </w:rPr>
              <w:t xml:space="preserve">16</w:t>
            </w:r>
            <w:r>
              <w:rPr>
                <w:rFonts w:hint="eastAsia" w:ascii="宋体" w:hAnsi="宋体" w:eastAsia="宋体" w:cs="宋体"/>
                <w:color w:val="auto"/>
                <w:sz w:val="21"/>
                <w:szCs w:val="21"/>
              </w:rPr>
              <w:t xml:space="preserve">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2104" w:type="dxa"/>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住房公积金</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按人员配置不少于</w:t>
            </w:r>
            <w:r>
              <w:rPr>
                <w:rFonts w:hint="eastAsia" w:ascii="宋体" w:hAnsi="宋体" w:cs="宋体"/>
                <w:color w:val="auto"/>
                <w:sz w:val="21"/>
                <w:szCs w:val="21"/>
                <w:lang w:val="en-US" w:eastAsia="zh-CN"/>
              </w:rPr>
              <w:t xml:space="preserve">16人计算</w:t>
            </w:r>
            <w:r/>
          </w:p>
        </w:tc>
      </w:tr>
      <w:tr>
        <w:trPr>
          <w:jc w:val="center"/>
        </w:trPr>
        <w:tc>
          <w:tcPr>
            <w:tcW w:w="8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Pr>
        <w:tc>
          <w:tcPr>
            <w:gridSpan w:val="2"/>
            <w:tcW w:w="2987"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合计：</w:t>
            </w:r>
            <w:r/>
          </w:p>
        </w:tc>
        <w:tc>
          <w:tcPr>
            <w:tcW w:w="65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3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9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12"/>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12"/>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ind w:firstLine="48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pStyle w:val="757"/>
        <w:ind w:left="0" w:firstLine="0"/>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27"/>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27"/>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27"/>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JSZC-320206-JZCG-G2026-0016</w:t>
      </w:r>
      <w:r/>
    </w:p>
    <w:tbl>
      <w:tblPr>
        <w:tblStyle w:val="72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6"/>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十一  项目人员配置考察表（格式）</w:t>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ind w:firstLine="560"/>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JSZC-320206-JZCG-G2026-0016</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b/>
                <w:color w:val="auto"/>
                <w:sz w:val="24"/>
                <w:highlight w:val="none"/>
              </w:rPr>
            </w:pPr>
            <w:r>
              <w:rPr>
                <w:rFonts w:hint="eastAsia"/>
                <w:b/>
                <w:color w:val="auto"/>
                <w:sz w:val="24"/>
                <w:highlight w:val="none"/>
              </w:rPr>
              <w:t xml:space="preserve">人员经验描述</w:t>
            </w:r>
            <w:r/>
          </w:p>
          <w:p>
            <w:pPr>
              <w:jc w:val="center"/>
              <w:rPr>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b/>
                <w:color w:val="auto"/>
                <w:sz w:val="24"/>
                <w:highlight w:val="none"/>
              </w:rPr>
            </w:pPr>
            <w:r>
              <w:rPr>
                <w:rFonts w:hint="eastAsia"/>
                <w:b/>
                <w:color w:val="auto"/>
                <w:sz w:val="24"/>
                <w:highlight w:val="none"/>
              </w:rPr>
              <w:t xml:space="preserve">备注</w:t>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ind w:firstLine="482"/>
        <w:rPr>
          <w:rFonts w:hint="eastAsia" w:ascii="宋体" w:hAnsi="宋体"/>
          <w:b/>
          <w:color w:val="auto"/>
          <w:highlight w:val="none"/>
        </w:rPr>
      </w:pPr>
      <w:r>
        <w:rPr>
          <w:rFonts w:hint="eastAsia" w:ascii="宋体" w:hAnsi="宋体"/>
          <w:b/>
          <w:color w:val="auto"/>
          <w:highlight w:val="none"/>
        </w:rPr>
        <w:t xml:space="preserve">附注：</w:t>
      </w:r>
      <w:r/>
    </w:p>
    <w:p>
      <w:pPr>
        <w:rPr>
          <w:rFonts w:hint="eastAsia" w:ascii="宋体" w:hAnsi="宋体"/>
          <w:bCs/>
          <w:color w:val="auto"/>
          <w:highlight w:val="none"/>
        </w:rPr>
      </w:pPr>
      <w:r>
        <w:rPr>
          <w:rFonts w:hint="eastAsia" w:ascii="宋体" w:hAnsi="宋体"/>
          <w:bCs/>
          <w:color w:val="auto"/>
          <w:highlight w:val="none"/>
        </w:rPr>
        <w:t xml:space="preserve">1. 本表对应评分标准中的项目人员配置情况，表格不够可自行延长。</w:t>
      </w:r>
      <w:r/>
    </w:p>
    <w:p>
      <w:pPr>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.证明材料均请附在本表之后。</w:t>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35</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4"/>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507"/>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left"/>
      <w:keepLines w:val="0"/>
      <w:keepNext w:val="0"/>
      <w:pageBreakBefore w:val="0"/>
      <w:widowControl w:val="off"/>
      <w:rPr>
        <w:lang w:eastAsia="zh-CN"/>
      </w:rPr>
    </w:pPr>
    <w:r>
      <w:rPr>
        <w:rFonts w:hint="eastAsia"/>
        <w:lang w:eastAsia="zh-CN"/>
      </w:rPr>
      <w:t xml:space="preserve">JSZC-320206-JZCG-G2026-0016阳山镇人民政府大院、职工服务中心、文体站及综治中心物业管理服务采购项目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lang w:eastAsia="zh-CN"/>
      </w:rPr>
      <w:pBdr>
        <w:bottom w:val="single" w:color="auto" w:sz="4" w:space="0"/>
      </w:pBdr>
    </w:pPr>
    <w:r>
      <w:rPr>
        <w:rFonts w:hint="eastAsia"/>
        <w:lang w:eastAsia="zh-CN"/>
      </w:rPr>
      <w:t xml:space="preserve">JSZC-320206-JZCG-G2026-0016阳山镇人民政府大院、职工服务中心、文体站及综治中心物业管理服务采购项目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1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lvlOverride w:ilvl="0">
      <w:lvl w:ilvl="0">
        <w:start w:val="1"/>
        <w:numFmt w:val="decimal"/>
        <w:pStyle w:val="941"/>
        <w:isLgl w:val="false"/>
        <w:suff w:val="tab"/>
        <w:lvlText w:val="第%1章"/>
        <w:lvlJc w:val="left"/>
        <w:pPr>
          <w:ind w:left="465" w:hanging="465"/>
        </w:pPr>
      </w:lvl>
    </w:lvlOverride>
    <w:lvlOverride w:ilvl="1">
      <w:lvl w:ilvl="1">
        <w:start w:val="1"/>
        <w:numFmt w:val="decimal"/>
        <w:pStyle w:val="1006"/>
        <w:isLgl w:val="false"/>
        <w:suff w:val="tab"/>
        <w:lvlText w:val="%1.%2"/>
        <w:lvlJc w:val="left"/>
        <w:pPr>
          <w:ind w:left="465" w:hanging="465"/>
        </w:pPr>
      </w:lvl>
    </w:lvlOverride>
    <w:lvlOverride w:ilvl="2">
      <w:lvl w:ilvl="2">
        <w:start w:val="1"/>
        <w:numFmt w:val="decimal"/>
        <w:pStyle w:val="1045"/>
        <w:isLgl w:val="false"/>
        <w:suff w:val="tab"/>
        <w:lvlText w:val="%1.%2.%3"/>
        <w:lvlJc w:val="left"/>
        <w:pPr>
          <w:ind w:left="720" w:hanging="720"/>
        </w:pPr>
      </w:lvl>
    </w:lvlOverride>
    <w:lvlOverride w:ilvl="3">
      <w:lvl w:ilvl="3">
        <w:start w:val="1"/>
        <w:numFmt w:val="decimal"/>
        <w:pStyle w:val="1008"/>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1"/>
  </w:num>
  <w:num w:numId="4">
    <w:abstractNumId w:val="8"/>
  </w:num>
  <w:num w:numId="5">
    <w:abstractNumId w:val="0"/>
  </w:num>
  <w:num w:numId="6">
    <w:abstractNumId w:val="10"/>
  </w:num>
  <w:num w:numId="7">
    <w:abstractNumId w:val="11"/>
  </w:num>
  <w:num w:numId="8">
    <w:abstractNumId w:val="9"/>
  </w:num>
  <w:num w:numId="9">
    <w:abstractNumId w:val="7"/>
  </w:num>
  <w:num w:numId="10">
    <w:abstractNumId w:val="6"/>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719"/>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50"/>
    <w:uiPriority w:val="10"/>
    <w:rPr>
      <w:sz w:val="48"/>
      <w:szCs w:val="48"/>
    </w:rPr>
  </w:style>
  <w:style w:type="character" w:styleId="36">
    <w:name w:val="Subtitle Char"/>
    <w:basedOn w:val="726"/>
    <w:link w:val="743"/>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42">
    <w:name w:val="Header Char"/>
    <w:basedOn w:val="726"/>
    <w:link w:val="740"/>
    <w:uiPriority w:val="99"/>
  </w:style>
  <w:style w:type="character" w:styleId="46">
    <w:name w:val="Caption Char"/>
    <w:basedOn w:val="729"/>
    <w:link w:val="738"/>
    <w:uiPriority w:val="99"/>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5"/>
    <w:uiPriority w:val="99"/>
    <w:rPr>
      <w:sz w:val="18"/>
    </w:rPr>
  </w:style>
  <w:style w:type="character" w:styleId="178">
    <w:name w:val="Endnote Text Char"/>
    <w:link w:val="737"/>
    <w:uiPriority w:val="99"/>
    <w:rPr>
      <w:sz w:val="20"/>
    </w:rPr>
  </w:style>
  <w:style w:type="paragraph" w:styleId="189">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17">
    <w:name w:val="Heading 1"/>
    <w:basedOn w:val="716"/>
    <w:next w:val="716"/>
    <w:link w:val="759"/>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60"/>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6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7"/>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uiPriority w:val="99"/>
    <w:unhideWhenUsed/>
    <w:qFormat/>
    <w:pPr>
      <w:jc w:val="left"/>
    </w:pPr>
  </w:style>
  <w:style w:type="paragraph" w:styleId="731">
    <w:name w:val="Body Text"/>
    <w:basedOn w:val="716"/>
    <w:uiPriority w:val="0"/>
    <w:qFormat/>
    <w:rPr>
      <w:sz w:val="20"/>
    </w:rPr>
  </w:style>
  <w:style w:type="paragraph" w:styleId="732">
    <w:name w:val="index 4"/>
    <w:basedOn w:val="716"/>
    <w:next w:val="716"/>
    <w:uiPriority w:val="99"/>
    <w:qFormat/>
    <w:pPr>
      <w:ind w:left="600"/>
    </w:pPr>
    <w:rPr>
      <w:szCs w:val="24"/>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Plain Text"/>
    <w:basedOn w:val="716"/>
    <w:uiPriority w:val="0"/>
    <w:qFormat/>
    <w:rPr>
      <w:rFonts w:ascii="宋体" w:hAnsi="Courier New" w:eastAsia="楷体_GB2312"/>
      <w:sz w:val="26"/>
    </w:rPr>
  </w:style>
  <w:style w:type="paragraph" w:styleId="736">
    <w:name w:val="toc 8"/>
    <w:basedOn w:val="716"/>
    <w:next w:val="716"/>
    <w:uiPriority w:val="39"/>
    <w:unhideWhenUsed/>
    <w:qFormat/>
    <w:pPr>
      <w:ind w:left="1984"/>
      <w:spacing w:after="57"/>
    </w:pPr>
  </w:style>
  <w:style w:type="paragraph" w:styleId="737">
    <w:name w:val="endnote text"/>
    <w:basedOn w:val="716"/>
    <w:link w:val="904"/>
    <w:uiPriority w:val="99"/>
    <w:semiHidden/>
    <w:unhideWhenUsed/>
    <w:qFormat/>
    <w:rPr>
      <w:sz w:val="20"/>
    </w:rPr>
  </w:style>
  <w:style w:type="paragraph" w:styleId="738">
    <w:name w:val="Footer"/>
    <w:basedOn w:val="716"/>
    <w:next w:val="739"/>
    <w:link w:val="777"/>
    <w:uiPriority w:val="99"/>
    <w:unhideWhenUsed/>
    <w:qFormat/>
    <w:pPr>
      <w:tabs>
        <w:tab w:val="center" w:pos="7143" w:leader="none"/>
        <w:tab w:val="right" w:pos="14287" w:leader="none"/>
      </w:tabs>
    </w:pPr>
  </w:style>
  <w:style w:type="paragraph" w:styleId="739" w:customStyle="1">
    <w:name w:val="TOC Heading1"/>
    <w:next w:val="716"/>
    <w:uiPriority w:val="0"/>
    <w:qFormat/>
    <w:rPr>
      <w:rFonts w:ascii="Calibri" w:hAnsi="Calibri" w:eastAsia="宋体" w:cs="Times New Roman"/>
      <w:sz w:val="32"/>
      <w:lang w:val="en-US" w:eastAsia="zh-CN" w:bidi="ar-SA"/>
    </w:rPr>
  </w:style>
  <w:style w:type="paragraph" w:styleId="740">
    <w:name w:val="Header"/>
    <w:basedOn w:val="716"/>
    <w:link w:val="775"/>
    <w:uiPriority w:val="99"/>
    <w:unhideWhenUsed/>
    <w:qFormat/>
    <w:pPr>
      <w:tabs>
        <w:tab w:val="center" w:pos="7143" w:leader="none"/>
        <w:tab w:val="right" w:pos="14287" w:leader="none"/>
      </w:tabs>
    </w:pPr>
  </w:style>
  <w:style w:type="paragraph" w:styleId="741">
    <w:name w:val="toc 1"/>
    <w:basedOn w:val="716"/>
    <w:next w:val="716"/>
    <w:uiPriority w:val="39"/>
    <w:unhideWhenUsed/>
    <w:qFormat/>
    <w:pPr>
      <w:spacing w:after="57"/>
    </w:pPr>
  </w:style>
  <w:style w:type="paragraph" w:styleId="742">
    <w:name w:val="toc 4"/>
    <w:basedOn w:val="716"/>
    <w:next w:val="716"/>
    <w:uiPriority w:val="39"/>
    <w:unhideWhenUsed/>
    <w:qFormat/>
    <w:pPr>
      <w:ind w:left="850"/>
      <w:spacing w:after="57"/>
    </w:pPr>
  </w:style>
  <w:style w:type="paragraph" w:styleId="743">
    <w:name w:val="Subtitle"/>
    <w:basedOn w:val="716"/>
    <w:next w:val="716"/>
    <w:link w:val="770"/>
    <w:uiPriority w:val="11"/>
    <w:qFormat/>
    <w:pPr>
      <w:spacing w:before="200" w:after="200"/>
    </w:pPr>
    <w:rPr>
      <w:sz w:val="24"/>
      <w:szCs w:val="24"/>
    </w:rPr>
  </w:style>
  <w:style w:type="paragraph" w:styleId="744">
    <w:name w:val="List"/>
    <w:basedOn w:val="716"/>
    <w:uiPriority w:val="99"/>
    <w:qFormat/>
    <w:pPr>
      <w:ind w:left="465" w:hanging="465"/>
      <w:spacing w:after="20" w:line="288" w:lineRule="auto"/>
      <w:tabs>
        <w:tab w:val="left" w:pos="420" w:leader="none"/>
      </w:tabs>
    </w:pPr>
    <w:rPr>
      <w:lang w:val="en-GB"/>
    </w:rPr>
  </w:style>
  <w:style w:type="paragraph" w:styleId="745">
    <w:name w:val="footnote text"/>
    <w:basedOn w:val="716"/>
    <w:link w:val="903"/>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Title"/>
    <w:basedOn w:val="716"/>
    <w:next w:val="716"/>
    <w:link w:val="769"/>
    <w:uiPriority w:val="10"/>
    <w:qFormat/>
    <w:pPr>
      <w:contextualSpacing/>
      <w:spacing w:before="300" w:after="200"/>
    </w:pPr>
    <w:rPr>
      <w:sz w:val="48"/>
      <w:szCs w:val="48"/>
    </w:rPr>
  </w:style>
  <w:style w:type="paragraph" w:styleId="751">
    <w:name w:val="Body Text First Indent"/>
    <w:basedOn w:val="731"/>
    <w:uiPriority w:val="99"/>
    <w:qFormat/>
    <w:pPr>
      <w:ind w:firstLine="420"/>
      <w:jc w:val="left"/>
      <w:spacing w:after="120"/>
      <w:widowControl/>
    </w:pPr>
    <w:rPr>
      <w:sz w:val="30"/>
      <w:szCs w:val="30"/>
    </w:rPr>
  </w:style>
  <w:style w:type="table" w:styleId="75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uiPriority w:val="22"/>
    <w:qFormat/>
    <w:rPr>
      <w:b/>
      <w:bCs/>
    </w:r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name w:val="List Paragraph"/>
    <w:basedOn w:val="716"/>
    <w:uiPriority w:val="99"/>
    <w:qFormat/>
    <w:pPr>
      <w:ind w:firstLine="420"/>
    </w:pPr>
  </w:style>
  <w:style w:type="paragraph" w:styleId="758" w:customStyle="1">
    <w:name w:val="索引 41"/>
    <w:basedOn w:val="716"/>
    <w:next w:val="716"/>
    <w:uiPriority w:val="99"/>
    <w:qFormat/>
    <w:pPr>
      <w:ind w:left="600"/>
    </w:pPr>
    <w:rPr>
      <w:szCs w:val="24"/>
    </w:rPr>
  </w:style>
  <w:style w:type="character" w:styleId="759" w:customStyle="1">
    <w:name w:val="标题 1 字符2"/>
    <w:link w:val="717"/>
    <w:uiPriority w:val="9"/>
    <w:qFormat/>
    <w:rPr>
      <w:rFonts w:ascii="Arial" w:hAnsi="Arial" w:eastAsia="Arial" w:cs="Arial"/>
      <w:sz w:val="40"/>
      <w:szCs w:val="40"/>
    </w:rPr>
  </w:style>
  <w:style w:type="character" w:styleId="760" w:customStyle="1">
    <w:name w:val="标题 2 字符1"/>
    <w:link w:val="718"/>
    <w:uiPriority w:val="9"/>
    <w:qFormat/>
    <w:rPr>
      <w:rFonts w:ascii="Arial" w:hAnsi="Arial" w:eastAsia="Arial" w:cs="Arial"/>
      <w:sz w:val="34"/>
    </w:rPr>
  </w:style>
  <w:style w:type="character" w:styleId="761" w:customStyle="1">
    <w:name w:val="标题 3 字符1"/>
    <w:link w:val="719"/>
    <w:uiPriority w:val="9"/>
    <w:qFormat/>
    <w:rPr>
      <w:rFonts w:ascii="Arial" w:hAnsi="Arial" w:eastAsia="Arial" w:cs="Arial"/>
      <w:sz w:val="30"/>
      <w:szCs w:val="30"/>
    </w:rPr>
  </w:style>
  <w:style w:type="character" w:styleId="762" w:customStyle="1">
    <w:name w:val="标题 4 字符1"/>
    <w:link w:val="720"/>
    <w:uiPriority w:val="9"/>
    <w:qFormat/>
    <w:rPr>
      <w:rFonts w:ascii="Arial" w:hAnsi="Arial" w:eastAsia="Arial" w:cs="Arial"/>
      <w:b/>
      <w:bCs/>
      <w:sz w:val="26"/>
      <w:szCs w:val="26"/>
    </w:rPr>
  </w:style>
  <w:style w:type="character" w:styleId="763" w:customStyle="1">
    <w:name w:val="标题 5 字符1"/>
    <w:link w:val="721"/>
    <w:uiPriority w:val="9"/>
    <w:qFormat/>
    <w:rPr>
      <w:rFonts w:ascii="Arial" w:hAnsi="Arial" w:eastAsia="Arial" w:cs="Arial"/>
      <w:b/>
      <w:bCs/>
      <w:sz w:val="24"/>
      <w:szCs w:val="24"/>
    </w:rPr>
  </w:style>
  <w:style w:type="character" w:styleId="764" w:customStyle="1">
    <w:name w:val="标题 6 字符"/>
    <w:link w:val="722"/>
    <w:uiPriority w:val="9"/>
    <w:qFormat/>
    <w:rPr>
      <w:rFonts w:ascii="Arial" w:hAnsi="Arial" w:eastAsia="Arial" w:cs="Arial"/>
      <w:b/>
      <w:bCs/>
      <w:sz w:val="22"/>
      <w:szCs w:val="22"/>
    </w:rPr>
  </w:style>
  <w:style w:type="character" w:styleId="765" w:customStyle="1">
    <w:name w:val="标题 7 字符"/>
    <w:link w:val="723"/>
    <w:uiPriority w:val="9"/>
    <w:qFormat/>
    <w:rPr>
      <w:rFonts w:ascii="Arial" w:hAnsi="Arial" w:eastAsia="Arial" w:cs="Arial"/>
      <w:b/>
      <w:bCs/>
      <w:i/>
      <w:iCs/>
      <w:sz w:val="22"/>
      <w:szCs w:val="22"/>
    </w:rPr>
  </w:style>
  <w:style w:type="character" w:styleId="766" w:customStyle="1">
    <w:name w:val="标题 8 字符"/>
    <w:link w:val="724"/>
    <w:uiPriority w:val="9"/>
    <w:qFormat/>
    <w:rPr>
      <w:rFonts w:ascii="Arial" w:hAnsi="Arial" w:eastAsia="Arial" w:cs="Arial"/>
      <w:i/>
      <w:iCs/>
      <w:sz w:val="22"/>
      <w:szCs w:val="22"/>
    </w:rPr>
  </w:style>
  <w:style w:type="character" w:styleId="767" w:customStyle="1">
    <w:name w:val="标题 9 字符"/>
    <w:link w:val="725"/>
    <w:uiPriority w:val="9"/>
    <w:qFormat/>
    <w:rPr>
      <w:rFonts w:ascii="Arial" w:hAnsi="Arial" w:eastAsia="Arial" w:cs="Arial"/>
      <w:i/>
      <w:iCs/>
      <w:sz w:val="21"/>
      <w:szCs w:val="21"/>
    </w:rPr>
  </w:style>
  <w:style w:type="paragraph" w:styleId="768">
    <w:name w:val="No Spacing"/>
    <w:uiPriority w:val="1"/>
    <w:qFormat/>
    <w:rPr>
      <w:rFonts w:ascii="Times New Roman" w:hAnsi="Times New Roman" w:eastAsia="宋体" w:cs="Times New Roman"/>
      <w:lang w:val="en-US" w:eastAsia="zh-CN" w:bidi="ar-SA"/>
    </w:rPr>
  </w:style>
  <w:style w:type="character" w:styleId="769" w:customStyle="1">
    <w:name w:val="标题 字符1"/>
    <w:link w:val="750"/>
    <w:uiPriority w:val="10"/>
    <w:qFormat/>
    <w:rPr>
      <w:sz w:val="48"/>
      <w:szCs w:val="48"/>
    </w:rPr>
  </w:style>
  <w:style w:type="character" w:styleId="770" w:customStyle="1">
    <w:name w:val="副标题 字符1"/>
    <w:link w:val="743"/>
    <w:uiPriority w:val="11"/>
    <w:qFormat/>
    <w:rPr>
      <w:sz w:val="24"/>
      <w:szCs w:val="24"/>
    </w:rPr>
  </w:style>
  <w:style w:type="paragraph" w:styleId="771">
    <w:name w:val="Quote"/>
    <w:basedOn w:val="716"/>
    <w:next w:val="716"/>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716"/>
    <w:next w:val="716"/>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页眉 字符2"/>
    <w:link w:val="740"/>
    <w:uiPriority w:val="99"/>
    <w:qFormat/>
  </w:style>
  <w:style w:type="character" w:styleId="776" w:customStyle="1">
    <w:name w:val="Footer Char"/>
    <w:uiPriority w:val="99"/>
    <w:qFormat/>
  </w:style>
  <w:style w:type="character" w:styleId="777" w:customStyle="1">
    <w:name w:val="页脚 字符1"/>
    <w:link w:val="738"/>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字符"/>
    <w:link w:val="745"/>
    <w:uiPriority w:val="99"/>
    <w:qFormat/>
    <w:rPr>
      <w:sz w:val="18"/>
    </w:rPr>
  </w:style>
  <w:style w:type="character" w:styleId="904" w:customStyle="1">
    <w:name w:val="尾注文本 字符"/>
    <w:link w:val="737"/>
    <w:uiPriority w:val="99"/>
    <w:qFormat/>
    <w:rPr>
      <w:sz w:val="20"/>
    </w:rPr>
  </w:style>
  <w:style w:type="paragraph" w:styleId="905" w:customStyle="1">
    <w:name w:val="TOC 标题1"/>
    <w:uiPriority w:val="39"/>
    <w:unhideWhenUsed/>
    <w:qFormat/>
    <w:rPr>
      <w:rFonts w:ascii="Times New Roman" w:hAnsi="Times New Roman" w:eastAsia="宋体" w:cs="Times New Roman"/>
      <w:lang w:val="en-US" w:eastAsia="zh-CN" w:bidi="ar-SA"/>
    </w:rPr>
  </w:style>
  <w:style w:type="paragraph" w:styleId="906" w:customStyle="1">
    <w:name w:val="标题 11"/>
    <w:basedOn w:val="716"/>
    <w:next w:val="716"/>
    <w:link w:val="913"/>
    <w:uiPriority w:val="0"/>
    <w:qFormat/>
    <w:pPr>
      <w:jc w:val="center"/>
      <w:keepNext/>
      <w:outlineLvl w:val="0"/>
    </w:pPr>
    <w:rPr>
      <w:b/>
      <w:bCs/>
      <w:sz w:val="44"/>
      <w:szCs w:val="44"/>
      <w:lang w:eastAsia="en-US"/>
    </w:rPr>
  </w:style>
  <w:style w:type="paragraph" w:styleId="907" w:customStyle="1">
    <w:name w:val="标题 21"/>
    <w:basedOn w:val="716"/>
    <w:next w:val="716"/>
    <w:link w:val="914"/>
    <w:uiPriority w:val="0"/>
    <w:qFormat/>
    <w:pPr>
      <w:jc w:val="center"/>
      <w:keepNext/>
      <w:outlineLvl w:val="1"/>
    </w:pPr>
    <w:rPr>
      <w:rFonts w:ascii="Cambria" w:hAnsi="Cambria"/>
      <w:b/>
      <w:bCs/>
      <w:sz w:val="32"/>
      <w:szCs w:val="32"/>
      <w:lang w:eastAsia="en-US"/>
    </w:rPr>
  </w:style>
  <w:style w:type="paragraph" w:styleId="908" w:customStyle="1">
    <w:name w:val="标题 311"/>
    <w:basedOn w:val="716"/>
    <w:next w:val="716"/>
    <w:link w:val="915"/>
    <w:uiPriority w:val="0"/>
    <w:qFormat/>
    <w:pPr>
      <w:jc w:val="center"/>
      <w:keepNext/>
      <w:outlineLvl w:val="2"/>
    </w:pPr>
    <w:rPr>
      <w:b/>
      <w:bCs/>
      <w:sz w:val="32"/>
      <w:szCs w:val="32"/>
      <w:lang w:eastAsia="en-US"/>
    </w:rPr>
  </w:style>
  <w:style w:type="paragraph" w:styleId="909" w:customStyle="1">
    <w:name w:val="标题 411"/>
    <w:basedOn w:val="716"/>
    <w:next w:val="716"/>
    <w:link w:val="916"/>
    <w:uiPriority w:val="0"/>
    <w:qFormat/>
    <w:pPr>
      <w:jc w:val="center"/>
      <w:keepNext/>
      <w:outlineLvl w:val="3"/>
    </w:pPr>
    <w:rPr>
      <w:rFonts w:ascii="Cambria" w:hAnsi="Cambria"/>
      <w:b/>
      <w:bCs/>
      <w:sz w:val="28"/>
      <w:szCs w:val="28"/>
      <w:lang w:eastAsia="en-US"/>
    </w:rPr>
  </w:style>
  <w:style w:type="paragraph" w:styleId="910" w:customStyle="1">
    <w:name w:val="标题 51"/>
    <w:basedOn w:val="716"/>
    <w:next w:val="716"/>
    <w:link w:val="917"/>
    <w:uiPriority w:val="0"/>
    <w:qFormat/>
    <w:pPr>
      <w:numPr>
        <w:ilvl w:val="0"/>
        <w:numId w:val="1"/>
      </w:numPr>
      <w:keepNext/>
      <w:outlineLvl w:val="4"/>
    </w:pPr>
    <w:rPr>
      <w:rFonts w:ascii="楷体_GB2312" w:eastAsia="楷体_GB2312"/>
      <w:bCs/>
      <w:sz w:val="28"/>
      <w:lang w:eastAsia="en-US"/>
    </w:rPr>
  </w:style>
  <w:style w:type="character" w:styleId="911" w:customStyle="1">
    <w:name w:val="默认段落字体11"/>
    <w:uiPriority w:val="1"/>
    <w:unhideWhenUsed/>
    <w:qFormat/>
  </w:style>
  <w:style w:type="table" w:styleId="912" w:customStyle="1">
    <w:name w:val="普通表格1"/>
    <w:uiPriority w:val="99"/>
    <w:unhideWhenUsed/>
    <w:qFormat/>
    <w:tblPr>
      <w:tblCellMar>
        <w:left w:w="0" w:type="dxa"/>
        <w:top w:w="0" w:type="dxa"/>
        <w:right w:w="0" w:type="dxa"/>
        <w:bottom w:w="0" w:type="dxa"/>
      </w:tblCellMar>
    </w:tblPr>
  </w:style>
  <w:style w:type="character" w:styleId="913" w:customStyle="1">
    <w:name w:val="标题 1 Char"/>
    <w:link w:val="906"/>
    <w:uiPriority w:val="0"/>
    <w:qFormat/>
    <w:rPr>
      <w:rFonts w:cs="Times New Roman"/>
      <w:b/>
      <w:bCs/>
      <w:sz w:val="44"/>
      <w:szCs w:val="44"/>
    </w:rPr>
  </w:style>
  <w:style w:type="character" w:styleId="914" w:customStyle="1">
    <w:name w:val="标题 2 Char"/>
    <w:link w:val="907"/>
    <w:uiPriority w:val="0"/>
    <w:semiHidden/>
    <w:qFormat/>
    <w:rPr>
      <w:rFonts w:ascii="Cambria" w:hAnsi="Cambria" w:eastAsia="宋体" w:cs="Times New Roman"/>
      <w:b/>
      <w:bCs/>
      <w:sz w:val="32"/>
      <w:szCs w:val="32"/>
    </w:rPr>
  </w:style>
  <w:style w:type="character" w:styleId="915" w:customStyle="1">
    <w:name w:val="标题 3 Char"/>
    <w:link w:val="908"/>
    <w:uiPriority w:val="0"/>
    <w:qFormat/>
    <w:rPr>
      <w:rFonts w:cs="Times New Roman"/>
      <w:b/>
      <w:bCs/>
      <w:sz w:val="32"/>
      <w:szCs w:val="32"/>
    </w:rPr>
  </w:style>
  <w:style w:type="character" w:styleId="916" w:customStyle="1">
    <w:name w:val="标题 4 Char"/>
    <w:link w:val="909"/>
    <w:uiPriority w:val="0"/>
    <w:semiHidden/>
    <w:qFormat/>
    <w:rPr>
      <w:rFonts w:ascii="Cambria" w:hAnsi="Cambria" w:eastAsia="宋体" w:cs="Times New Roman"/>
      <w:b/>
      <w:bCs/>
      <w:sz w:val="28"/>
      <w:szCs w:val="28"/>
    </w:rPr>
  </w:style>
  <w:style w:type="character" w:styleId="917" w:customStyle="1">
    <w:name w:val="标题 5 Char"/>
    <w:link w:val="910"/>
    <w:uiPriority w:val="0"/>
    <w:qFormat/>
    <w:rPr>
      <w:rFonts w:ascii="楷体_GB2312" w:eastAsia="楷体_GB2312"/>
      <w:bCs/>
      <w:sz w:val="28"/>
    </w:rPr>
  </w:style>
  <w:style w:type="paragraph" w:styleId="918" w:customStyle="1">
    <w:name w:val="正文缩进11"/>
    <w:basedOn w:val="716"/>
    <w:link w:val="919"/>
    <w:uiPriority w:val="0"/>
    <w:qFormat/>
    <w:pPr>
      <w:ind w:firstLine="420"/>
    </w:pPr>
    <w:rPr>
      <w:lang w:eastAsia="en-US"/>
    </w:rPr>
  </w:style>
  <w:style w:type="character" w:styleId="919" w:customStyle="1">
    <w:name w:val="正文缩进 Char"/>
    <w:link w:val="918"/>
    <w:uiPriority w:val="0"/>
    <w:qFormat/>
    <w:rPr>
      <w:sz w:val="21"/>
    </w:rPr>
  </w:style>
  <w:style w:type="paragraph" w:styleId="920" w:customStyle="1">
    <w:name w:val="文档结构图1"/>
    <w:basedOn w:val="716"/>
    <w:link w:val="921"/>
    <w:uiPriority w:val="0"/>
    <w:semiHidden/>
    <w:qFormat/>
    <w:pPr>
      <w:shd w:val="clear" w:color="auto" w:fill="000080"/>
    </w:pPr>
    <w:rPr>
      <w:sz w:val="2"/>
      <w:lang w:eastAsia="en-US"/>
    </w:rPr>
  </w:style>
  <w:style w:type="character" w:styleId="921" w:customStyle="1">
    <w:name w:val="文档结构图 Char"/>
    <w:link w:val="920"/>
    <w:uiPriority w:val="0"/>
    <w:semiHidden/>
    <w:qFormat/>
    <w:rPr>
      <w:rFonts w:cs="Times New Roman"/>
      <w:sz w:val="2"/>
    </w:rPr>
  </w:style>
  <w:style w:type="paragraph" w:styleId="922" w:customStyle="1">
    <w:name w:val="批注文字1"/>
    <w:basedOn w:val="716"/>
    <w:link w:val="923"/>
    <w:uiPriority w:val="99"/>
    <w:unhideWhenUsed/>
    <w:qFormat/>
    <w:pPr>
      <w:jc w:val="left"/>
    </w:pPr>
    <w:rPr>
      <w:lang w:eastAsia="en-US"/>
    </w:rPr>
  </w:style>
  <w:style w:type="character" w:styleId="923" w:customStyle="1">
    <w:name w:val="批注文字 Char"/>
    <w:link w:val="922"/>
    <w:uiPriority w:val="99"/>
    <w:semiHidden/>
    <w:qFormat/>
    <w:rPr>
      <w:sz w:val="21"/>
    </w:rPr>
  </w:style>
  <w:style w:type="paragraph" w:styleId="924" w:customStyle="1">
    <w:name w:val="正文文本1"/>
    <w:basedOn w:val="716"/>
    <w:link w:val="925"/>
    <w:uiPriority w:val="0"/>
    <w:qFormat/>
    <w:rPr>
      <w:sz w:val="20"/>
      <w:lang w:eastAsia="en-US"/>
    </w:rPr>
  </w:style>
  <w:style w:type="character" w:styleId="925" w:customStyle="1">
    <w:name w:val="正文文本 Char"/>
    <w:link w:val="924"/>
    <w:uiPriority w:val="0"/>
    <w:semiHidden/>
    <w:qFormat/>
    <w:rPr>
      <w:rFonts w:cs="Times New Roman"/>
      <w:sz w:val="20"/>
      <w:szCs w:val="20"/>
    </w:rPr>
  </w:style>
  <w:style w:type="paragraph" w:styleId="926" w:customStyle="1">
    <w:name w:val="正文文本缩进1"/>
    <w:basedOn w:val="716"/>
    <w:link w:val="927"/>
    <w:uiPriority w:val="0"/>
    <w:qFormat/>
    <w:pPr>
      <w:ind w:firstLine="576"/>
    </w:pPr>
    <w:rPr>
      <w:sz w:val="20"/>
      <w:lang w:eastAsia="en-US"/>
    </w:rPr>
  </w:style>
  <w:style w:type="character" w:styleId="927" w:customStyle="1">
    <w:name w:val="正文文本缩进 Char"/>
    <w:link w:val="926"/>
    <w:uiPriority w:val="0"/>
    <w:semiHidden/>
    <w:qFormat/>
    <w:rPr>
      <w:rFonts w:cs="Times New Roman"/>
      <w:sz w:val="20"/>
      <w:szCs w:val="20"/>
    </w:rPr>
  </w:style>
  <w:style w:type="paragraph" w:styleId="928" w:customStyle="1">
    <w:name w:val="日期1"/>
    <w:basedOn w:val="716"/>
    <w:next w:val="716"/>
    <w:link w:val="929"/>
    <w:uiPriority w:val="0"/>
    <w:qFormat/>
    <w:rPr>
      <w:sz w:val="20"/>
      <w:lang w:eastAsia="en-US"/>
    </w:rPr>
  </w:style>
  <w:style w:type="character" w:styleId="929" w:customStyle="1">
    <w:name w:val="日期 Char"/>
    <w:link w:val="928"/>
    <w:uiPriority w:val="0"/>
    <w:semiHidden/>
    <w:qFormat/>
    <w:rPr>
      <w:rFonts w:cs="Times New Roman"/>
      <w:sz w:val="20"/>
      <w:szCs w:val="20"/>
    </w:rPr>
  </w:style>
  <w:style w:type="paragraph" w:styleId="930" w:customStyle="1">
    <w:name w:val="正文文本缩进 21"/>
    <w:basedOn w:val="716"/>
    <w:link w:val="931"/>
    <w:uiPriority w:val="0"/>
    <w:qFormat/>
    <w:pPr>
      <w:ind w:left="900"/>
    </w:pPr>
    <w:rPr>
      <w:sz w:val="20"/>
      <w:lang w:eastAsia="en-US"/>
    </w:rPr>
  </w:style>
  <w:style w:type="character" w:styleId="931" w:customStyle="1">
    <w:name w:val="正文文本缩进 2 Char"/>
    <w:link w:val="930"/>
    <w:uiPriority w:val="0"/>
    <w:semiHidden/>
    <w:qFormat/>
    <w:rPr>
      <w:rFonts w:cs="Times New Roman"/>
      <w:sz w:val="20"/>
      <w:szCs w:val="20"/>
    </w:rPr>
  </w:style>
  <w:style w:type="paragraph" w:styleId="932" w:customStyle="1">
    <w:name w:val="批注框文本1"/>
    <w:basedOn w:val="716"/>
    <w:link w:val="933"/>
    <w:uiPriority w:val="0"/>
    <w:unhideWhenUsed/>
    <w:qFormat/>
    <w:rPr>
      <w:sz w:val="18"/>
      <w:szCs w:val="18"/>
      <w:lang w:eastAsia="en-US"/>
    </w:rPr>
  </w:style>
  <w:style w:type="character" w:styleId="933" w:customStyle="1">
    <w:name w:val="批注框文本 Char"/>
    <w:link w:val="932"/>
    <w:uiPriority w:val="0"/>
    <w:qFormat/>
    <w:rPr>
      <w:sz w:val="18"/>
      <w:szCs w:val="18"/>
    </w:rPr>
  </w:style>
  <w:style w:type="paragraph" w:styleId="934" w:customStyle="1">
    <w:name w:val="页脚11"/>
    <w:basedOn w:val="716"/>
    <w:link w:val="935"/>
    <w:uiPriority w:val="99"/>
    <w:qFormat/>
    <w:pPr>
      <w:jc w:val="left"/>
      <w:tabs>
        <w:tab w:val="center" w:pos="4153" w:leader="none"/>
        <w:tab w:val="right" w:pos="8306" w:leader="none"/>
      </w:tabs>
    </w:pPr>
    <w:rPr>
      <w:sz w:val="18"/>
      <w:szCs w:val="18"/>
      <w:lang w:eastAsia="en-US"/>
    </w:rPr>
  </w:style>
  <w:style w:type="character" w:styleId="935" w:customStyle="1">
    <w:name w:val="页脚 Char"/>
    <w:link w:val="934"/>
    <w:uiPriority w:val="99"/>
    <w:qFormat/>
    <w:rPr>
      <w:rFonts w:cs="Times New Roman"/>
      <w:sz w:val="18"/>
      <w:szCs w:val="18"/>
    </w:rPr>
  </w:style>
  <w:style w:type="paragraph" w:styleId="936" w:customStyle="1">
    <w:name w:val="页眉11"/>
    <w:basedOn w:val="716"/>
    <w:link w:val="937"/>
    <w:uiPriority w:val="99"/>
    <w:qFormat/>
    <w:pPr>
      <w:tabs>
        <w:tab w:val="center" w:pos="4153" w:leader="none"/>
        <w:tab w:val="right" w:pos="8306" w:leader="none"/>
      </w:tabs>
      <w:pBdr>
        <w:bottom w:val="single" w:color="000000" w:sz="6" w:space="1"/>
      </w:pBdr>
    </w:pPr>
    <w:rPr>
      <w:sz w:val="18"/>
      <w:szCs w:val="18"/>
      <w:lang w:eastAsia="en-US"/>
    </w:rPr>
  </w:style>
  <w:style w:type="character" w:styleId="937" w:customStyle="1">
    <w:name w:val="页眉 Char"/>
    <w:link w:val="936"/>
    <w:uiPriority w:val="99"/>
    <w:qFormat/>
    <w:rPr>
      <w:sz w:val="18"/>
      <w:szCs w:val="18"/>
    </w:rPr>
  </w:style>
  <w:style w:type="paragraph" w:styleId="938" w:customStyle="1">
    <w:name w:val="目录 11"/>
    <w:basedOn w:val="716"/>
    <w:next w:val="716"/>
    <w:uiPriority w:val="39"/>
    <w:qFormat/>
  </w:style>
  <w:style w:type="paragraph" w:styleId="939" w:customStyle="1">
    <w:name w:val="副标题1"/>
    <w:basedOn w:val="716"/>
    <w:next w:val="716"/>
    <w:link w:val="940"/>
    <w:uiPriority w:val="11"/>
    <w:qFormat/>
    <w:pPr>
      <w:jc w:val="center"/>
      <w:spacing w:before="240" w:after="60" w:line="312" w:lineRule="auto"/>
      <w:outlineLvl w:val="1"/>
    </w:pPr>
    <w:rPr>
      <w:rFonts w:ascii="Calibri Light" w:hAnsi="Calibri Light"/>
      <w:b/>
      <w:bCs/>
      <w:sz w:val="32"/>
      <w:szCs w:val="32"/>
      <w:lang w:eastAsia="en-US"/>
    </w:rPr>
  </w:style>
  <w:style w:type="character" w:styleId="940" w:customStyle="1">
    <w:name w:val="副标题 Char"/>
    <w:link w:val="939"/>
    <w:uiPriority w:val="11"/>
    <w:qFormat/>
    <w:rPr>
      <w:rFonts w:ascii="Calibri Light" w:hAnsi="Calibri Light"/>
      <w:b/>
      <w:bCs/>
      <w:sz w:val="32"/>
      <w:szCs w:val="32"/>
    </w:rPr>
  </w:style>
  <w:style w:type="paragraph" w:styleId="941" w:customStyle="1">
    <w:name w:val="列表1"/>
    <w:basedOn w:val="716"/>
    <w:uiPriority w:val="99"/>
    <w:qFormat/>
    <w:pPr>
      <w:numPr>
        <w:ilvl w:val="0"/>
        <w:numId w:val="2"/>
      </w:numPr>
      <w:spacing w:after="20" w:line="288" w:lineRule="auto"/>
      <w:tabs>
        <w:tab w:val="left" w:pos="420" w:leader="none"/>
      </w:tabs>
    </w:pPr>
    <w:rPr>
      <w:lang w:val="en-GB"/>
    </w:rPr>
  </w:style>
  <w:style w:type="paragraph" w:styleId="942" w:customStyle="1">
    <w:name w:val="正文文本缩进 31"/>
    <w:basedOn w:val="716"/>
    <w:link w:val="943"/>
    <w:uiPriority w:val="0"/>
    <w:qFormat/>
    <w:pPr>
      <w:ind w:left="359" w:firstLine="359"/>
    </w:pPr>
    <w:rPr>
      <w:sz w:val="16"/>
      <w:szCs w:val="16"/>
      <w:lang w:eastAsia="en-US"/>
    </w:rPr>
  </w:style>
  <w:style w:type="character" w:styleId="943" w:customStyle="1">
    <w:name w:val="正文文本缩进 3 Char"/>
    <w:link w:val="942"/>
    <w:uiPriority w:val="0"/>
    <w:semiHidden/>
    <w:qFormat/>
    <w:rPr>
      <w:rFonts w:cs="Times New Roman"/>
      <w:sz w:val="16"/>
      <w:szCs w:val="16"/>
    </w:rPr>
  </w:style>
  <w:style w:type="paragraph" w:styleId="944" w:customStyle="1">
    <w:name w:val="正文文本 21"/>
    <w:basedOn w:val="716"/>
    <w:link w:val="945"/>
    <w:uiPriority w:val="0"/>
    <w:qFormat/>
    <w:pPr>
      <w:spacing w:after="120" w:line="480" w:lineRule="auto"/>
    </w:pPr>
    <w:rPr>
      <w:sz w:val="20"/>
      <w:lang w:eastAsia="en-US"/>
    </w:rPr>
  </w:style>
  <w:style w:type="character" w:styleId="945" w:customStyle="1">
    <w:name w:val="正文文本 2 Char"/>
    <w:link w:val="944"/>
    <w:uiPriority w:val="0"/>
    <w:semiHidden/>
    <w:qFormat/>
    <w:rPr>
      <w:rFonts w:cs="Times New Roman"/>
      <w:sz w:val="20"/>
      <w:szCs w:val="20"/>
    </w:rPr>
  </w:style>
  <w:style w:type="paragraph" w:styleId="946" w:customStyle="1">
    <w:name w:val="普通(网站)1"/>
    <w:basedOn w:val="716"/>
    <w:uiPriority w:val="99"/>
    <w:unhideWhenUsed/>
    <w:qFormat/>
    <w:pPr>
      <w:jc w:val="left"/>
      <w:spacing w:before="100" w:beforeAutospacing="1" w:after="100" w:afterAutospacing="1"/>
      <w:widowControl/>
    </w:pPr>
    <w:rPr>
      <w:rFonts w:ascii="宋体" w:hAnsi="宋体" w:cs="宋体"/>
      <w:sz w:val="24"/>
      <w:szCs w:val="24"/>
    </w:rPr>
  </w:style>
  <w:style w:type="paragraph" w:styleId="947" w:customStyle="1">
    <w:name w:val="标题1"/>
    <w:basedOn w:val="716"/>
    <w:next w:val="716"/>
    <w:link w:val="948"/>
    <w:uiPriority w:val="99"/>
    <w:qFormat/>
    <w:pPr>
      <w:ind w:firstLine="200"/>
      <w:jc w:val="center"/>
      <w:spacing w:before="240" w:after="60" w:line="336" w:lineRule="auto"/>
      <w:outlineLvl w:val="0"/>
    </w:pPr>
    <w:rPr>
      <w:rFonts w:ascii="Cambria" w:hAnsi="Cambria"/>
      <w:b/>
      <w:bCs/>
      <w:sz w:val="32"/>
      <w:szCs w:val="32"/>
      <w:lang w:eastAsia="en-US"/>
    </w:rPr>
  </w:style>
  <w:style w:type="character" w:styleId="948" w:customStyle="1">
    <w:name w:val="标题 Char"/>
    <w:link w:val="947"/>
    <w:uiPriority w:val="99"/>
    <w:qFormat/>
    <w:rPr>
      <w:rFonts w:ascii="Cambria" w:hAnsi="Cambria" w:cs="Cambria"/>
      <w:b/>
      <w:bCs/>
      <w:sz w:val="32"/>
      <w:szCs w:val="32"/>
    </w:rPr>
  </w:style>
  <w:style w:type="paragraph" w:styleId="949" w:customStyle="1">
    <w:name w:val="批注主题1"/>
    <w:basedOn w:val="922"/>
    <w:next w:val="922"/>
    <w:link w:val="950"/>
    <w:uiPriority w:val="99"/>
    <w:unhideWhenUsed/>
    <w:qFormat/>
    <w:rPr>
      <w:b/>
      <w:bCs/>
    </w:rPr>
  </w:style>
  <w:style w:type="character" w:styleId="950" w:customStyle="1">
    <w:name w:val="批注主题 Char"/>
    <w:link w:val="949"/>
    <w:uiPriority w:val="99"/>
    <w:semiHidden/>
    <w:qFormat/>
    <w:rPr>
      <w:b/>
      <w:bCs/>
      <w:sz w:val="21"/>
    </w:rPr>
  </w:style>
  <w:style w:type="paragraph" w:styleId="951" w:customStyle="1">
    <w:name w:val="正文首行缩进1"/>
    <w:basedOn w:val="924"/>
    <w:link w:val="952"/>
    <w:uiPriority w:val="99"/>
    <w:unhideWhenUsed/>
    <w:qFormat/>
    <w:pPr>
      <w:ind w:firstLine="420"/>
      <w:spacing w:after="120"/>
    </w:pPr>
    <w:rPr>
      <w:sz w:val="21"/>
    </w:rPr>
  </w:style>
  <w:style w:type="character" w:styleId="952" w:customStyle="1">
    <w:name w:val="正文首行缩进 Char"/>
    <w:basedOn w:val="925"/>
    <w:link w:val="951"/>
    <w:uiPriority w:val="99"/>
    <w:qFormat/>
    <w:rPr>
      <w:rFonts w:cs="Times New Roman"/>
      <w:sz w:val="21"/>
      <w:szCs w:val="20"/>
    </w:rPr>
  </w:style>
  <w:style w:type="paragraph" w:styleId="953" w:customStyle="1">
    <w:name w:val="正文首行缩进 21"/>
    <w:next w:val="716"/>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54" w:customStyle="1">
    <w:name w:val="网格型1"/>
    <w:basedOn w:val="912"/>
    <w:uiPriority w:val="99"/>
    <w:qFormat/>
    <w:rPr>
      <w:rFonts w:ascii="Times" w:hAnsi="Times" w:cs="Times"/>
    </w:rPr>
    <w:tblPr/>
  </w:style>
  <w:style w:type="character" w:styleId="955" w:customStyle="1">
    <w:name w:val="要点1"/>
    <w:uiPriority w:val="0"/>
    <w:qFormat/>
    <w:rPr>
      <w:rFonts w:cs="Times New Roman"/>
      <w:b/>
      <w:bCs/>
    </w:rPr>
  </w:style>
  <w:style w:type="character" w:styleId="956" w:customStyle="1">
    <w:name w:val="页码11"/>
    <w:uiPriority w:val="0"/>
    <w:qFormat/>
    <w:rPr>
      <w:rFonts w:cs="Times New Roman"/>
    </w:rPr>
  </w:style>
  <w:style w:type="character" w:styleId="957" w:customStyle="1">
    <w:name w:val="已访问的超链接1"/>
    <w:uiPriority w:val="99"/>
    <w:qFormat/>
    <w:rPr>
      <w:rFonts w:cs="Times New Roman"/>
      <w:color w:val="000000"/>
      <w:u w:val="none"/>
    </w:rPr>
  </w:style>
  <w:style w:type="character" w:styleId="958" w:customStyle="1">
    <w:name w:val="HTML 打字机11"/>
    <w:uiPriority w:val="99"/>
    <w:qFormat/>
    <w:rPr>
      <w:rFonts w:ascii="宋体" w:hAnsi="宋体" w:eastAsia="宋体" w:cs="宋体"/>
      <w:sz w:val="24"/>
      <w:szCs w:val="24"/>
    </w:rPr>
  </w:style>
  <w:style w:type="character" w:styleId="959" w:customStyle="1">
    <w:name w:val="超链接1"/>
    <w:uiPriority w:val="99"/>
    <w:qFormat/>
    <w:rPr>
      <w:rFonts w:cs="Times New Roman"/>
      <w:color w:val="000000"/>
      <w:u w:val="none"/>
    </w:rPr>
  </w:style>
  <w:style w:type="character" w:styleId="960" w:customStyle="1">
    <w:name w:val="批注引用11"/>
    <w:uiPriority w:val="0"/>
    <w:unhideWhenUsed/>
    <w:qFormat/>
    <w:rPr>
      <w:sz w:val="21"/>
      <w:szCs w:val="21"/>
    </w:rPr>
  </w:style>
  <w:style w:type="character" w:styleId="961" w:customStyle="1">
    <w:name w:val="页码1"/>
    <w:uiPriority w:val="0"/>
    <w:qFormat/>
  </w:style>
  <w:style w:type="paragraph" w:styleId="962" w:customStyle="1">
    <w:name w:val="标题 31"/>
    <w:basedOn w:val="716"/>
    <w:next w:val="963"/>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63" w:customStyle="1">
    <w:name w:val="正文缩进1"/>
    <w:basedOn w:val="716"/>
    <w:uiPriority w:val="0"/>
    <w:qFormat/>
    <w:pPr>
      <w:ind w:firstLine="420"/>
    </w:pPr>
    <w:rPr>
      <w:sz w:val="20"/>
    </w:rPr>
  </w:style>
  <w:style w:type="character" w:styleId="964" w:customStyle="1">
    <w:name w:val="style21"/>
    <w:uiPriority w:val="99"/>
    <w:qFormat/>
    <w:rPr>
      <w:sz w:val="22"/>
      <w:szCs w:val="22"/>
    </w:rPr>
  </w:style>
  <w:style w:type="character" w:styleId="965" w:customStyle="1">
    <w:name w:val="列出段落 字符"/>
    <w:uiPriority w:val="34"/>
    <w:qFormat/>
    <w:rPr>
      <w:sz w:val="21"/>
    </w:rPr>
  </w:style>
  <w:style w:type="character" w:styleId="966" w:customStyle="1">
    <w:name w:val="宋体&amp;Time5# Char"/>
    <w:link w:val="967"/>
    <w:uiPriority w:val="0"/>
    <w:qFormat/>
    <w:rPr>
      <w:rFonts w:ascii="Calibri" w:hAnsi="Calibri" w:eastAsia="Times New Roman"/>
      <w:sz w:val="21"/>
      <w:szCs w:val="21"/>
    </w:rPr>
  </w:style>
  <w:style w:type="paragraph" w:styleId="967" w:customStyle="1">
    <w:name w:val="宋体&amp;Time5#"/>
    <w:basedOn w:val="716"/>
    <w:link w:val="966"/>
    <w:uiPriority w:val="0"/>
    <w:qFormat/>
    <w:pPr>
      <w:jc w:val="center"/>
    </w:pPr>
    <w:rPr>
      <w:rFonts w:ascii="Calibri" w:hAnsi="Calibri" w:eastAsia="Times New Roman"/>
      <w:szCs w:val="21"/>
      <w:lang w:eastAsia="en-US"/>
    </w:rPr>
  </w:style>
  <w:style w:type="character" w:styleId="968" w:customStyle="1">
    <w:name w:val="访问过的超链接1"/>
    <w:uiPriority w:val="0"/>
    <w:qFormat/>
    <w:rPr>
      <w:color w:val="000000"/>
      <w:u w:val="none"/>
    </w:rPr>
  </w:style>
  <w:style w:type="character" w:styleId="969" w:customStyle="1">
    <w:name w:val="列出段落 Char"/>
    <w:link w:val="970"/>
    <w:uiPriority w:val="34"/>
    <w:qFormat/>
    <w:rPr>
      <w:sz w:val="21"/>
    </w:rPr>
  </w:style>
  <w:style w:type="paragraph" w:styleId="970" w:customStyle="1">
    <w:name w:val="列出段落1"/>
    <w:basedOn w:val="716"/>
    <w:link w:val="969"/>
    <w:uiPriority w:val="34"/>
    <w:qFormat/>
    <w:pPr>
      <w:ind w:firstLine="420"/>
    </w:pPr>
    <w:rPr>
      <w:lang w:eastAsia="en-US"/>
    </w:rPr>
  </w:style>
  <w:style w:type="character" w:styleId="971" w:customStyle="1">
    <w:name w:val="case31"/>
    <w:uiPriority w:val="0"/>
    <w:qFormat/>
    <w:rPr>
      <w:rFonts w:cs="Times New Roman"/>
      <w:spacing w:val="390"/>
      <w:sz w:val="21"/>
      <w:szCs w:val="21"/>
    </w:rPr>
  </w:style>
  <w:style w:type="character" w:styleId="972" w:customStyle="1">
    <w:name w:val="_正文 Char"/>
    <w:link w:val="973"/>
    <w:uiPriority w:val="0"/>
    <w:qFormat/>
    <w:rPr>
      <w:rFonts w:ascii="微软雅黑" w:hAnsi="微软雅黑"/>
    </w:rPr>
  </w:style>
  <w:style w:type="paragraph" w:styleId="973" w:customStyle="1">
    <w:name w:val="_正文"/>
    <w:basedOn w:val="716"/>
    <w:link w:val="972"/>
    <w:uiPriority w:val="0"/>
    <w:qFormat/>
    <w:pPr>
      <w:ind w:firstLine="200"/>
      <w:jc w:val="left"/>
      <w:spacing w:line="360" w:lineRule="auto"/>
      <w:widowControl/>
    </w:pPr>
    <w:rPr>
      <w:rFonts w:ascii="微软雅黑" w:hAnsi="微软雅黑"/>
      <w:sz w:val="20"/>
      <w:lang w:eastAsia="en-US"/>
    </w:rPr>
  </w:style>
  <w:style w:type="paragraph" w:styleId="974" w:customStyle="1">
    <w:name w:val="xl43"/>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75"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6" w:customStyle="1">
    <w:name w:val="xl54"/>
    <w:basedOn w:val="7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77" w:customStyle="1">
    <w:name w:val="xl51"/>
    <w:basedOn w:val="7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78" w:customStyle="1">
    <w:name w:val="样式 首行缩进:  2 字符"/>
    <w:basedOn w:val="716"/>
    <w:uiPriority w:val="99"/>
    <w:qFormat/>
    <w:pPr>
      <w:ind w:firstLine="200"/>
      <w:spacing w:line="288" w:lineRule="auto"/>
    </w:pPr>
    <w:rPr>
      <w:rFonts w:ascii="仿宋_GB2312" w:hAnsi="Times" w:eastAsia="仿宋_GB2312" w:cs="仿宋_GB2312"/>
      <w:sz w:val="32"/>
      <w:szCs w:val="32"/>
    </w:rPr>
  </w:style>
  <w:style w:type="paragraph" w:styleId="979" w:customStyle="1">
    <w:name w:val="font13"/>
    <w:basedOn w:val="716"/>
    <w:uiPriority w:val="0"/>
    <w:qFormat/>
    <w:pPr>
      <w:jc w:val="left"/>
      <w:spacing w:before="100" w:beforeAutospacing="1" w:after="100" w:afterAutospacing="1"/>
      <w:widowControl/>
    </w:pPr>
    <w:rPr>
      <w:i/>
      <w:iCs/>
      <w:sz w:val="36"/>
      <w:szCs w:val="36"/>
    </w:rPr>
  </w:style>
  <w:style w:type="paragraph" w:styleId="980" w:customStyle="1">
    <w:name w:val="xl62"/>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81"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2" w:customStyle="1">
    <w:name w:val="xl46"/>
    <w:basedOn w:val="71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83" w:customStyle="1">
    <w:name w:val="xl3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customStyle="1">
    <w:name w:val="xl3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5" w:customStyle="1">
    <w:name w:val="xl4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6" w:customStyle="1">
    <w:name w:val="样式 首行缩进:  2 字符1"/>
    <w:basedOn w:val="716"/>
    <w:uiPriority w:val="99"/>
    <w:qFormat/>
    <w:pPr>
      <w:ind w:firstLine="200"/>
      <w:spacing w:line="288" w:lineRule="auto"/>
    </w:pPr>
    <w:rPr>
      <w:rFonts w:ascii="仿宋_GB2312" w:hAnsi="Times" w:eastAsia="仿宋_GB2312" w:cs="仿宋_GB2312"/>
      <w:sz w:val="32"/>
      <w:szCs w:val="32"/>
    </w:rPr>
  </w:style>
  <w:style w:type="paragraph" w:styleId="987" w:customStyle="1">
    <w:name w:val="font7"/>
    <w:basedOn w:val="716"/>
    <w:uiPriority w:val="0"/>
    <w:qFormat/>
    <w:pPr>
      <w:jc w:val="left"/>
      <w:spacing w:before="100" w:beforeAutospacing="1" w:after="100" w:afterAutospacing="1"/>
      <w:widowControl/>
    </w:pPr>
    <w:rPr>
      <w:b/>
      <w:bCs/>
      <w:i/>
      <w:iCs/>
      <w:sz w:val="20"/>
    </w:rPr>
  </w:style>
  <w:style w:type="paragraph" w:styleId="98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89" w:customStyle="1">
    <w:name w:val="xl45"/>
    <w:basedOn w:val="716"/>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90" w:customStyle="1">
    <w:name w:val="xl56"/>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91" w:customStyle="1">
    <w:name w:val="xl53"/>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92" w:customStyle="1">
    <w:name w:val="xl17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93" w:customStyle="1">
    <w:name w:val="xl3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4" w:customStyle="1">
    <w:name w:val="xl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5" w:customStyle="1">
    <w:name w:val="font5"/>
    <w:basedOn w:val="716"/>
    <w:uiPriority w:val="0"/>
    <w:qFormat/>
    <w:pPr>
      <w:jc w:val="left"/>
      <w:spacing w:before="100" w:beforeAutospacing="1" w:after="100" w:afterAutospacing="1"/>
      <w:widowControl/>
    </w:pPr>
    <w:rPr>
      <w:rFonts w:ascii="宋体" w:hAnsi="宋体"/>
      <w:sz w:val="18"/>
      <w:szCs w:val="18"/>
    </w:rPr>
  </w:style>
  <w:style w:type="paragraph" w:styleId="996" w:customStyle="1">
    <w:name w:val="xl48"/>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97" w:customStyle="1">
    <w:name w:val="Table Description"/>
    <w:basedOn w:val="716"/>
    <w:next w:val="716"/>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98" w:customStyle="1">
    <w:name w:val="xl6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99" w:customStyle="1">
    <w:name w:val="xl3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0" w:customStyle="1">
    <w:name w:val="xl2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1" w:customStyle="1">
    <w:name w:val="文件标题"/>
    <w:basedOn w:val="716"/>
    <w:uiPriority w:val="99"/>
    <w:qFormat/>
    <w:pPr>
      <w:jc w:val="center"/>
      <w:spacing w:line="640" w:lineRule="exact"/>
    </w:pPr>
    <w:rPr>
      <w:rFonts w:ascii="宋体" w:hAnsi="宋体" w:eastAsia="方正小标宋_GBK" w:cs="宋体"/>
      <w:sz w:val="44"/>
      <w:szCs w:val="44"/>
    </w:rPr>
  </w:style>
  <w:style w:type="paragraph" w:styleId="1002" w:customStyle="1">
    <w:name w:val="文档正文"/>
    <w:basedOn w:val="716"/>
    <w:uiPriority w:val="0"/>
    <w:qFormat/>
    <w:pPr>
      <w:ind w:firstLine="567"/>
      <w:spacing w:line="312" w:lineRule="atLeast"/>
    </w:pPr>
    <w:rPr>
      <w:rFonts w:ascii="长城仿宋" w:eastAsia="长城仿宋"/>
      <w:sz w:val="28"/>
    </w:rPr>
  </w:style>
  <w:style w:type="paragraph" w:styleId="1003" w:customStyle="1">
    <w:name w:val="xl3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04" w:customStyle="1">
    <w:name w:val="font8"/>
    <w:basedOn w:val="716"/>
    <w:uiPriority w:val="0"/>
    <w:qFormat/>
    <w:pPr>
      <w:jc w:val="left"/>
      <w:spacing w:before="100" w:beforeAutospacing="1" w:after="100" w:afterAutospacing="1"/>
      <w:widowControl/>
    </w:pPr>
    <w:rPr>
      <w:rFonts w:ascii="宋体" w:hAnsi="宋体"/>
      <w:b/>
      <w:bCs/>
      <w:i/>
      <w:iCs/>
      <w:sz w:val="20"/>
    </w:rPr>
  </w:style>
  <w:style w:type="paragraph" w:styleId="1005" w:customStyle="1">
    <w:name w:val="Figure Description"/>
    <w:next w:val="716"/>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06" w:customStyle="1">
    <w:name w:val="_标题 2"/>
    <w:basedOn w:val="907"/>
    <w:next w:val="973"/>
    <w:uiPriority w:val="0"/>
    <w:qFormat/>
    <w:pPr>
      <w:numPr>
        <w:ilvl w:val="1"/>
        <w:numId w:val="2"/>
      </w:numPr>
      <w:jc w:val="left"/>
      <w:keepLines/>
      <w:spacing w:before="260" w:after="260"/>
      <w:widowControl/>
    </w:pPr>
    <w:rPr>
      <w:rFonts w:ascii="微软雅黑" w:hAnsi="微软雅黑"/>
      <w:sz w:val="21"/>
    </w:rPr>
  </w:style>
  <w:style w:type="paragraph" w:styleId="1007" w:customStyle="1">
    <w:name w:val="Block Label"/>
    <w:basedOn w:val="716"/>
    <w:next w:val="71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08" w:customStyle="1">
    <w:name w:val="_标题 4"/>
    <w:basedOn w:val="909"/>
    <w:next w:val="973"/>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09" w:customStyle="1">
    <w:name w:val="Char Char Char Char"/>
    <w:basedOn w:val="920"/>
    <w:uiPriority w:val="0"/>
    <w:qFormat/>
    <w:pPr>
      <w:spacing w:line="360" w:lineRule="auto"/>
    </w:pPr>
    <w:rPr>
      <w:rFonts w:ascii="Tahoma" w:hAnsi="Tahoma"/>
      <w:sz w:val="24"/>
      <w:szCs w:val="24"/>
    </w:rPr>
  </w:style>
  <w:style w:type="paragraph" w:styleId="1010" w:customStyle="1">
    <w:name w:val="xl58"/>
    <w:basedOn w:val="71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11" w:customStyle="1">
    <w:name w:val="xl60"/>
    <w:basedOn w:val="7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12" w:customStyle="1">
    <w:name w:val="xl49"/>
    <w:basedOn w:val="71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13" w:customStyle="1">
    <w:name w:val="默认段落字体 Para Char"/>
    <w:basedOn w:val="716"/>
    <w:uiPriority w:val="0"/>
    <w:qFormat/>
    <w:pPr>
      <w:ind w:left="552" w:hanging="420"/>
      <w:tabs>
        <w:tab w:val="left" w:pos="552" w:leader="none"/>
      </w:tabs>
    </w:pPr>
    <w:rPr>
      <w:sz w:val="24"/>
      <w:szCs w:val="24"/>
    </w:rPr>
  </w:style>
  <w:style w:type="paragraph" w:styleId="1014" w:customStyle="1">
    <w:name w:val="xl52"/>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5" w:customStyle="1">
    <w:name w:val="xl55"/>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6" w:customStyle="1">
    <w:name w:val="xl61"/>
    <w:basedOn w:val="7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17" w:customStyle="1">
    <w:name w:val="xl3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8" w:customStyle="1">
    <w:name w:val="xl57"/>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9" w:customStyle="1">
    <w:name w:val="xl4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1"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2" w:customStyle="1">
    <w:name w:val="xl4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3" w:customStyle="1">
    <w:name w:val="font6"/>
    <w:basedOn w:val="716"/>
    <w:uiPriority w:val="0"/>
    <w:qFormat/>
    <w:pPr>
      <w:jc w:val="left"/>
      <w:spacing w:before="100" w:beforeAutospacing="1" w:after="100" w:afterAutospacing="1"/>
      <w:widowControl/>
    </w:pPr>
    <w:rPr>
      <w:rFonts w:ascii="宋体" w:hAnsi="宋体"/>
      <w:b/>
      <w:bCs/>
      <w:sz w:val="20"/>
    </w:rPr>
  </w:style>
  <w:style w:type="paragraph" w:styleId="1024" w:customStyle="1">
    <w:name w:val="主送"/>
    <w:basedOn w:val="716"/>
    <w:next w:val="716"/>
    <w:uiPriority w:val="99"/>
    <w:qFormat/>
    <w:pPr>
      <w:spacing w:line="336" w:lineRule="auto"/>
    </w:pPr>
    <w:rPr>
      <w:rFonts w:ascii="仿宋_GB2312" w:hAnsi="Times" w:eastAsia="仿宋_GB2312" w:cs="仿宋_GB2312"/>
      <w:sz w:val="32"/>
      <w:szCs w:val="32"/>
    </w:rPr>
  </w:style>
  <w:style w:type="paragraph" w:styleId="1025" w:customStyle="1">
    <w:name w:val="_Style 22"/>
    <w:basedOn w:val="716"/>
    <w:uiPriority w:val="0"/>
    <w:qFormat/>
    <w:pPr>
      <w:ind w:firstLine="200"/>
      <w:spacing w:line="300" w:lineRule="auto"/>
    </w:pPr>
    <w:rPr>
      <w:rFonts w:ascii="宋体" w:hAnsi="Calibri" w:eastAsia="等线"/>
      <w:sz w:val="24"/>
      <w:szCs w:val="22"/>
    </w:rPr>
  </w:style>
  <w:style w:type="paragraph" w:styleId="1026" w:customStyle="1">
    <w:name w:val="xl3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7" w:customStyle="1">
    <w:name w:val="Char Char1 Char Char Char Char"/>
    <w:basedOn w:val="920"/>
    <w:uiPriority w:val="0"/>
    <w:qFormat/>
    <w:pPr>
      <w:ind w:left="357"/>
      <w:jc w:val="left"/>
      <w:spacing w:line="436" w:lineRule="exact"/>
      <w:outlineLvl w:val="3"/>
    </w:pPr>
    <w:rPr>
      <w:rFonts w:ascii="Tahoma" w:hAnsi="Tahoma"/>
      <w:b/>
      <w:sz w:val="24"/>
      <w:szCs w:val="24"/>
    </w:rPr>
  </w:style>
  <w:style w:type="paragraph" w:styleId="1028" w:customStyle="1">
    <w:name w:val="xl59"/>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29" w:customStyle="1">
    <w:name w:val="xl44"/>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30" w:customStyle="1">
    <w:name w:val="font9"/>
    <w:basedOn w:val="716"/>
    <w:uiPriority w:val="0"/>
    <w:qFormat/>
    <w:pPr>
      <w:jc w:val="left"/>
      <w:spacing w:before="100" w:beforeAutospacing="1" w:after="100" w:afterAutospacing="1"/>
      <w:widowControl/>
    </w:pPr>
    <w:rPr>
      <w:b/>
      <w:bCs/>
      <w:sz w:val="20"/>
    </w:rPr>
  </w:style>
  <w:style w:type="paragraph" w:styleId="1031"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32" w:customStyle="1">
    <w:name w:val="_Style 1"/>
    <w:basedOn w:val="716"/>
    <w:uiPriority w:val="99"/>
    <w:qFormat/>
    <w:pPr>
      <w:ind w:firstLine="420"/>
    </w:pPr>
    <w:rPr>
      <w:szCs w:val="22"/>
    </w:rPr>
  </w:style>
  <w:style w:type="paragraph" w:styleId="1033"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34" w:customStyle="1">
    <w:name w:val="列出段落11"/>
    <w:basedOn w:val="716"/>
    <w:uiPriority w:val="34"/>
    <w:qFormat/>
    <w:pPr>
      <w:ind w:firstLine="420"/>
    </w:pPr>
    <w:rPr>
      <w:sz w:val="20"/>
    </w:rPr>
  </w:style>
  <w:style w:type="paragraph" w:styleId="103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6" w:customStyle="1">
    <w:name w:val="xl3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7" w:customStyle="1">
    <w:name w:val="font11"/>
    <w:basedOn w:val="716"/>
    <w:uiPriority w:val="0"/>
    <w:qFormat/>
    <w:pPr>
      <w:jc w:val="left"/>
      <w:spacing w:before="100" w:beforeAutospacing="1" w:after="100" w:afterAutospacing="1"/>
      <w:widowControl/>
    </w:pPr>
    <w:rPr>
      <w:b/>
      <w:bCs/>
      <w:sz w:val="18"/>
      <w:szCs w:val="18"/>
    </w:rPr>
  </w:style>
  <w:style w:type="paragraph" w:styleId="1038" w:customStyle="1">
    <w:name w:val="xl2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9" w:customStyle="1">
    <w:name w:val="Char1"/>
    <w:basedOn w:val="716"/>
    <w:uiPriority w:val="0"/>
    <w:qFormat/>
    <w:pPr>
      <w:jc w:val="left"/>
      <w:spacing w:after="160" w:line="240" w:lineRule="exact"/>
      <w:widowControl/>
    </w:pPr>
  </w:style>
  <w:style w:type="paragraph" w:styleId="1040"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41" w:customStyle="1">
    <w:name w:val="普通文字"/>
    <w:basedOn w:val="716"/>
    <w:next w:val="716"/>
    <w:uiPriority w:val="99"/>
    <w:qFormat/>
    <w:rPr>
      <w:rFonts w:ascii="宋体"/>
      <w:sz w:val="24"/>
    </w:rPr>
  </w:style>
  <w:style w:type="paragraph" w:styleId="1042" w:customStyle="1">
    <w:name w:val="font12"/>
    <w:basedOn w:val="716"/>
    <w:uiPriority w:val="0"/>
    <w:qFormat/>
    <w:pPr>
      <w:jc w:val="left"/>
      <w:spacing w:before="100" w:beforeAutospacing="1" w:after="100" w:afterAutospacing="1"/>
      <w:widowControl/>
    </w:pPr>
    <w:rPr>
      <w:rFonts w:ascii="宋体" w:hAnsi="宋体"/>
      <w:sz w:val="36"/>
      <w:szCs w:val="36"/>
    </w:rPr>
  </w:style>
  <w:style w:type="paragraph" w:styleId="1043" w:customStyle="1">
    <w:name w:val="xl3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44" w:customStyle="1">
    <w:name w:val="_标题 1"/>
    <w:basedOn w:val="716"/>
    <w:next w:val="973"/>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45" w:customStyle="1">
    <w:name w:val="_标题 3"/>
    <w:basedOn w:val="908"/>
    <w:next w:val="973"/>
    <w:uiPriority w:val="0"/>
    <w:qFormat/>
    <w:pPr>
      <w:numPr>
        <w:ilvl w:val="2"/>
        <w:numId w:val="2"/>
      </w:numPr>
      <w:jc w:val="left"/>
      <w:keepLines/>
      <w:spacing w:before="260" w:after="260"/>
      <w:widowControl/>
    </w:pPr>
    <w:rPr>
      <w:rFonts w:ascii="微软雅黑" w:hAnsi="微软雅黑"/>
      <w:sz w:val="21"/>
      <w:szCs w:val="21"/>
    </w:rPr>
  </w:style>
  <w:style w:type="paragraph" w:styleId="1046" w:customStyle="1">
    <w:name w:val="xl50"/>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7" w:customStyle="1">
    <w:name w:val="Step"/>
    <w:basedOn w:val="716"/>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48" w:customStyle="1">
    <w:name w:val="xl3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9" w:customStyle="1">
    <w:name w:val="font14"/>
    <w:basedOn w:val="716"/>
    <w:uiPriority w:val="0"/>
    <w:qFormat/>
    <w:pPr>
      <w:jc w:val="left"/>
      <w:spacing w:before="100" w:beforeAutospacing="1" w:after="100" w:afterAutospacing="1"/>
      <w:widowControl/>
    </w:pPr>
    <w:rPr>
      <w:sz w:val="36"/>
      <w:szCs w:val="36"/>
    </w:rPr>
  </w:style>
  <w:style w:type="paragraph" w:styleId="1050" w:customStyle="1">
    <w:name w:val="彩色列表 - 着色 11"/>
    <w:basedOn w:val="716"/>
    <w:uiPriority w:val="34"/>
    <w:qFormat/>
    <w:pPr>
      <w:ind w:firstLine="420"/>
    </w:pPr>
    <w:rPr>
      <w:szCs w:val="24"/>
    </w:rPr>
  </w:style>
  <w:style w:type="paragraph" w:styleId="1051" w:customStyle="1">
    <w:name w:val="font10"/>
    <w:basedOn w:val="716"/>
    <w:uiPriority w:val="0"/>
    <w:qFormat/>
    <w:pPr>
      <w:jc w:val="left"/>
      <w:spacing w:before="100" w:beforeAutospacing="1" w:after="100" w:afterAutospacing="1"/>
      <w:widowControl/>
    </w:pPr>
    <w:rPr>
      <w:rFonts w:ascii="楷体_GB2312" w:hAnsi="宋体" w:eastAsia="楷体_GB2312"/>
      <w:b/>
      <w:bCs/>
      <w:sz w:val="18"/>
      <w:szCs w:val="18"/>
    </w:rPr>
  </w:style>
  <w:style w:type="character" w:styleId="1052" w:customStyle="1">
    <w:name w:val="正文文本 字符"/>
    <w:uiPriority w:val="0"/>
    <w:semiHidden/>
    <w:qFormat/>
    <w:rPr>
      <w:rFonts w:cs="Times New Roman"/>
      <w:sz w:val="20"/>
      <w:szCs w:val="20"/>
    </w:rPr>
  </w:style>
  <w:style w:type="character" w:styleId="1053" w:customStyle="1">
    <w:name w:val="页脚 字符"/>
    <w:uiPriority w:val="99"/>
    <w:qFormat/>
    <w:rPr>
      <w:rFonts w:cs="Times New Roman"/>
      <w:sz w:val="18"/>
      <w:szCs w:val="18"/>
    </w:rPr>
  </w:style>
  <w:style w:type="character" w:styleId="1054" w:customStyle="1">
    <w:name w:val="正文文本缩进 字符"/>
    <w:uiPriority w:val="0"/>
    <w:semiHidden/>
    <w:qFormat/>
    <w:rPr>
      <w:rFonts w:cs="Times New Roman"/>
      <w:sz w:val="20"/>
      <w:szCs w:val="20"/>
    </w:rPr>
  </w:style>
  <w:style w:type="character" w:styleId="1055" w:customStyle="1">
    <w:name w:val="批注框文本 字符"/>
    <w:uiPriority w:val="0"/>
    <w:qFormat/>
    <w:rPr>
      <w:sz w:val="18"/>
      <w:szCs w:val="18"/>
    </w:rPr>
  </w:style>
  <w:style w:type="character" w:styleId="1056" w:customStyle="1">
    <w:name w:val="批注主题 字符"/>
    <w:uiPriority w:val="99"/>
    <w:semiHidden/>
    <w:qFormat/>
    <w:rPr>
      <w:b/>
      <w:bCs/>
      <w:sz w:val="21"/>
    </w:rPr>
  </w:style>
  <w:style w:type="character" w:styleId="1057" w:customStyle="1">
    <w:name w:val="正文文本缩进 2 字符"/>
    <w:uiPriority w:val="0"/>
    <w:semiHidden/>
    <w:qFormat/>
    <w:rPr>
      <w:rFonts w:cs="Times New Roman"/>
      <w:sz w:val="20"/>
      <w:szCs w:val="20"/>
    </w:rPr>
  </w:style>
  <w:style w:type="character" w:styleId="1058" w:customStyle="1">
    <w:name w:val="正文文本 2 字符"/>
    <w:uiPriority w:val="0"/>
    <w:semiHidden/>
    <w:qFormat/>
    <w:rPr>
      <w:rFonts w:cs="Times New Roman"/>
      <w:sz w:val="20"/>
      <w:szCs w:val="20"/>
    </w:rPr>
  </w:style>
  <w:style w:type="character" w:styleId="1059" w:customStyle="1">
    <w:name w:val="正文文本缩进 3 字符"/>
    <w:uiPriority w:val="0"/>
    <w:semiHidden/>
    <w:qFormat/>
    <w:rPr>
      <w:rFonts w:cs="Times New Roman"/>
      <w:sz w:val="16"/>
      <w:szCs w:val="16"/>
    </w:rPr>
  </w:style>
  <w:style w:type="character" w:styleId="1060" w:customStyle="1">
    <w:name w:val="标题 字符"/>
    <w:uiPriority w:val="99"/>
    <w:qFormat/>
    <w:rPr>
      <w:rFonts w:ascii="Cambria" w:hAnsi="Cambria" w:cs="Cambria"/>
      <w:b/>
      <w:bCs/>
      <w:sz w:val="32"/>
      <w:szCs w:val="32"/>
    </w:rPr>
  </w:style>
  <w:style w:type="character" w:styleId="1061" w:customStyle="1">
    <w:name w:val="文档结构图 字符"/>
    <w:uiPriority w:val="0"/>
    <w:semiHidden/>
    <w:qFormat/>
    <w:rPr>
      <w:rFonts w:cs="Times New Roman"/>
      <w:sz w:val="2"/>
    </w:rPr>
  </w:style>
  <w:style w:type="character" w:styleId="1062" w:customStyle="1">
    <w:name w:val="日期 字符"/>
    <w:uiPriority w:val="0"/>
    <w:semiHidden/>
    <w:qFormat/>
    <w:rPr>
      <w:rFonts w:cs="Times New Roman"/>
      <w:sz w:val="20"/>
      <w:szCs w:val="20"/>
    </w:rPr>
  </w:style>
  <w:style w:type="character" w:styleId="1063" w:customStyle="1">
    <w:name w:val="标题 2 字符"/>
    <w:uiPriority w:val="0"/>
    <w:semiHidden/>
    <w:qFormat/>
    <w:rPr>
      <w:rFonts w:ascii="Cambria" w:hAnsi="Cambria" w:eastAsia="宋体" w:cs="Times New Roman"/>
      <w:b/>
      <w:bCs/>
      <w:sz w:val="32"/>
      <w:szCs w:val="32"/>
    </w:rPr>
  </w:style>
  <w:style w:type="character" w:styleId="1064" w:customStyle="1">
    <w:name w:val="副标题 字符"/>
    <w:uiPriority w:val="11"/>
    <w:qFormat/>
    <w:rPr>
      <w:rFonts w:ascii="Calibri Light" w:hAnsi="Calibri Light"/>
      <w:b/>
      <w:bCs/>
      <w:sz w:val="32"/>
      <w:szCs w:val="32"/>
    </w:rPr>
  </w:style>
  <w:style w:type="character" w:styleId="1065" w:customStyle="1">
    <w:name w:val="标题 4 字符"/>
    <w:uiPriority w:val="0"/>
    <w:semiHidden/>
    <w:qFormat/>
    <w:rPr>
      <w:rFonts w:ascii="Cambria" w:hAnsi="Cambria" w:eastAsia="宋体" w:cs="Times New Roman"/>
      <w:b/>
      <w:bCs/>
      <w:sz w:val="28"/>
      <w:szCs w:val="28"/>
    </w:rPr>
  </w:style>
  <w:style w:type="character" w:styleId="1066" w:customStyle="1">
    <w:name w:val="标题 1 字符"/>
    <w:uiPriority w:val="0"/>
    <w:qFormat/>
    <w:rPr>
      <w:rFonts w:cs="Times New Roman"/>
      <w:b/>
      <w:bCs/>
      <w:sz w:val="44"/>
      <w:szCs w:val="44"/>
    </w:rPr>
  </w:style>
  <w:style w:type="character" w:styleId="1067" w:customStyle="1">
    <w:name w:val="标题 3 字符"/>
    <w:uiPriority w:val="0"/>
    <w:semiHidden/>
    <w:qFormat/>
    <w:rPr>
      <w:rFonts w:cs="Times New Roman"/>
      <w:b/>
      <w:bCs/>
      <w:sz w:val="32"/>
      <w:szCs w:val="32"/>
    </w:rPr>
  </w:style>
  <w:style w:type="character" w:styleId="1068" w:customStyle="1">
    <w:name w:val="列出段落 字符1"/>
    <w:uiPriority w:val="34"/>
    <w:qFormat/>
    <w:rPr>
      <w:sz w:val="21"/>
    </w:rPr>
  </w:style>
  <w:style w:type="character" w:styleId="1069" w:customStyle="1">
    <w:name w:val="标题 5 字符"/>
    <w:uiPriority w:val="0"/>
    <w:qFormat/>
    <w:rPr>
      <w:rFonts w:ascii="楷体_GB2312" w:eastAsia="楷体_GB2312"/>
      <w:bCs/>
      <w:sz w:val="28"/>
    </w:rPr>
  </w:style>
  <w:style w:type="character" w:styleId="1070" w:customStyle="1">
    <w:name w:val="页眉 字符"/>
    <w:uiPriority w:val="99"/>
    <w:qFormat/>
    <w:rPr>
      <w:rFonts w:cs="Times New Roman"/>
      <w:sz w:val="18"/>
      <w:szCs w:val="18"/>
    </w:rPr>
  </w:style>
  <w:style w:type="character" w:styleId="1071" w:customStyle="1">
    <w:name w:val="批注文字 字符"/>
    <w:uiPriority w:val="99"/>
    <w:semiHidden/>
    <w:qFormat/>
    <w:rPr>
      <w:sz w:val="21"/>
    </w:rPr>
  </w:style>
  <w:style w:type="paragraph" w:styleId="107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73" w:customStyle="1">
    <w:name w:val="Char1 Char Char Char"/>
    <w:basedOn w:val="716"/>
    <w:uiPriority w:val="0"/>
    <w:qFormat/>
    <w:rPr>
      <w:rFonts w:ascii="Tahoma" w:hAnsi="Tahoma"/>
      <w:sz w:val="24"/>
    </w:rPr>
  </w:style>
  <w:style w:type="paragraph" w:styleId="1074" w:customStyle="1">
    <w:name w:val="样式 小四 段前: 5 磅 段后: 5 磅 首行缩进:  2 字符"/>
    <w:basedOn w:val="716"/>
    <w:uiPriority w:val="0"/>
    <w:qFormat/>
    <w:pPr>
      <w:spacing w:line="360" w:lineRule="auto"/>
    </w:pPr>
    <w:rPr>
      <w:rFonts w:ascii="宋体" w:hAnsi="宋体"/>
      <w:szCs w:val="21"/>
    </w:rPr>
  </w:style>
  <w:style w:type="character" w:styleId="1075" w:customStyle="1">
    <w:name w:val="font21"/>
    <w:basedOn w:val="726"/>
    <w:uiPriority w:val="0"/>
    <w:qFormat/>
    <w:rPr>
      <w:rFonts w:hint="eastAsia" w:ascii="宋体" w:hAnsi="宋体" w:eastAsia="宋体" w:cs="宋体"/>
      <w:color w:val="ff0000"/>
      <w:sz w:val="18"/>
      <w:szCs w:val="18"/>
      <w:u w:val="none"/>
    </w:rPr>
  </w:style>
  <w:style w:type="character" w:styleId="1076" w:customStyle="1">
    <w:name w:val="font01"/>
    <w:uiPriority w:val="0"/>
    <w:qFormat/>
    <w:rPr>
      <w:rFonts w:hint="eastAsia" w:ascii="宋体" w:hAnsi="宋体" w:eastAsia="宋体" w:cs="宋体"/>
      <w:color w:val="000000"/>
      <w:sz w:val="18"/>
      <w:szCs w:val="18"/>
      <w:u w:val="none"/>
    </w:rPr>
  </w:style>
  <w:style w:type="character" w:styleId="1077" w:customStyle="1">
    <w:name w:val="font51"/>
    <w:uiPriority w:val="0"/>
    <w:qFormat/>
    <w:rPr>
      <w:rFonts w:hint="eastAsia" w:ascii="宋体" w:hAnsi="宋体" w:eastAsia="宋体" w:cs="宋体"/>
      <w:color w:val="000000"/>
      <w:sz w:val="18"/>
      <w:szCs w:val="18"/>
      <w:u w:val="none"/>
    </w:rPr>
  </w:style>
  <w:style w:type="paragraph" w:styleId="1078" w:customStyle="1">
    <w:name w:val="Other|1"/>
    <w:basedOn w:val="716"/>
    <w:uiPriority w:val="0"/>
    <w:qFormat/>
    <w:pPr>
      <w:spacing w:line="389" w:lineRule="auto"/>
    </w:pPr>
    <w:rPr>
      <w:rFonts w:ascii="宋体" w:hAnsi="宋体" w:cs="宋体"/>
      <w:sz w:val="22"/>
      <w:szCs w:val="22"/>
      <w:lang w:val="zh-TW" w:eastAsia="zh-TW" w:bidi="zh-TW"/>
    </w:rPr>
  </w:style>
  <w:style w:type="character" w:styleId="1079" w:customStyle="1">
    <w:name w:val="标题 1 字符1"/>
    <w:uiPriority w:val="0"/>
    <w:qFormat/>
    <w:rPr>
      <w:rFonts w:cs="Times New Roman"/>
      <w:b/>
      <w:bCs/>
      <w:sz w:val="44"/>
      <w:szCs w:val="44"/>
    </w:rPr>
  </w:style>
  <w:style w:type="character" w:styleId="1080" w:customStyle="1">
    <w:name w:val="页眉 字符1"/>
    <w:uiPriority w:val="0"/>
    <w:qFormat/>
    <w:rPr>
      <w:sz w:val="18"/>
      <w:szCs w:val="18"/>
    </w:rPr>
  </w:style>
  <w:style w:type="paragraph" w:styleId="1081" w:customStyle="1">
    <w:name w:val="Plain Text1"/>
    <w:basedOn w:val="716"/>
    <w:uiPriority w:val="99"/>
    <w:qFormat/>
    <w:rPr>
      <w:rFonts w:ascii="宋体" w:hAnsi="Courier New" w:eastAsia="楷体_GB2312" w:cs="宋体"/>
      <w:sz w:val="26"/>
      <w:szCs w:val="26"/>
    </w:rPr>
  </w:style>
  <w:style w:type="paragraph" w:styleId="1082"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83" w:customStyle="1">
    <w:name w:val="批注引用1"/>
    <w:basedOn w:val="1084"/>
    <w:uiPriority w:val="0"/>
    <w:semiHidden/>
    <w:qFormat/>
    <w:rPr>
      <w:sz w:val="21"/>
      <w:lang w:val="en-US" w:eastAsia="zh-CN" w:bidi="ar-SA"/>
    </w:rPr>
  </w:style>
  <w:style w:type="character" w:styleId="1084" w:customStyle="1">
    <w:name w:val="默认段落字体1"/>
    <w:uiPriority w:val="1"/>
    <w:unhideWhenUsed/>
    <w:qFormat/>
  </w:style>
  <w:style w:type="paragraph" w:styleId="1085" w:customStyle="1">
    <w:name w:val="标题 41"/>
    <w:basedOn w:val="716"/>
    <w:next w:val="963"/>
    <w:uiPriority w:val="0"/>
    <w:qFormat/>
    <w:pPr>
      <w:keepLines/>
      <w:keepNext/>
      <w:spacing w:before="280" w:after="290" w:line="376" w:lineRule="auto"/>
      <w:outlineLvl w:val="3"/>
    </w:pPr>
    <w:rPr>
      <w:rFonts w:ascii="Arial" w:hAnsi="Arial" w:eastAsia="黑体"/>
      <w:b/>
      <w:bCs/>
      <w:sz w:val="28"/>
      <w:szCs w:val="28"/>
    </w:rPr>
  </w:style>
  <w:style w:type="paragraph" w:styleId="108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7" w:customStyle="1">
    <w:name w:val="纯文本1"/>
    <w:basedOn w:val="716"/>
    <w:uiPriority w:val="0"/>
    <w:qFormat/>
    <w:rPr>
      <w:rFonts w:ascii="宋体" w:hAnsi="Courier New"/>
      <w:sz w:val="20"/>
    </w:rPr>
  </w:style>
  <w:style w:type="paragraph" w:styleId="1088"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89" w:customStyle="1">
    <w:name w:val="Char"/>
    <w:basedOn w:val="716"/>
    <w:uiPriority w:val="0"/>
    <w:qFormat/>
    <w:pPr>
      <w:ind w:firstLine="200"/>
      <w:tabs>
        <w:tab w:val="left" w:pos="360" w:leader="none"/>
      </w:tabs>
    </w:pPr>
    <w:rPr>
      <w:sz w:val="28"/>
      <w:szCs w:val="30"/>
    </w:rPr>
  </w:style>
  <w:style w:type="character" w:styleId="1090" w:customStyle="1">
    <w:name w:val="HTML 打字机1"/>
    <w:uiPriority w:val="99"/>
    <w:qFormat/>
    <w:rPr>
      <w:rFonts w:ascii="宋体" w:hAnsi="宋体" w:eastAsia="宋体" w:cs="宋体"/>
      <w:sz w:val="24"/>
      <w:szCs w:val="24"/>
    </w:rPr>
  </w:style>
  <w:style w:type="paragraph" w:styleId="1091" w:customStyle="1">
    <w:name w:val="页眉1"/>
    <w:basedOn w:val="716"/>
    <w:uiPriority w:val="99"/>
    <w:qFormat/>
    <w:pPr>
      <w:jc w:val="center"/>
      <w:tabs>
        <w:tab w:val="center" w:pos="4153" w:leader="none"/>
        <w:tab w:val="right" w:pos="8306" w:leader="none"/>
      </w:tabs>
      <w:pBdr>
        <w:bottom w:val="single" w:color="000000" w:sz="6" w:space="1"/>
      </w:pBdr>
    </w:pPr>
    <w:rPr>
      <w:sz w:val="18"/>
      <w:szCs w:val="18"/>
    </w:rPr>
  </w:style>
  <w:style w:type="paragraph" w:styleId="1092" w:customStyle="1">
    <w:name w:val="页脚1"/>
    <w:basedOn w:val="716"/>
    <w:uiPriority w:val="0"/>
    <w:qFormat/>
    <w:pPr>
      <w:jc w:val="left"/>
      <w:tabs>
        <w:tab w:val="center" w:pos="4153" w:leader="none"/>
        <w:tab w:val="right" w:pos="8306" w:leader="none"/>
      </w:tabs>
    </w:pPr>
    <w:rPr>
      <w:sz w:val="18"/>
      <w:szCs w:val="18"/>
    </w:rPr>
  </w:style>
  <w:style w:type="paragraph" w:styleId="1093" w:customStyle="1">
    <w:name w:val="纯文本2"/>
    <w:basedOn w:val="716"/>
    <w:link w:val="1094"/>
    <w:uiPriority w:val="0"/>
    <w:qFormat/>
    <w:rPr>
      <w:rFonts w:ascii="宋体" w:hAnsi="Calibri" w:cs="Calibri"/>
      <w:sz w:val="20"/>
      <w:szCs w:val="21"/>
    </w:rPr>
  </w:style>
  <w:style w:type="character" w:styleId="1094" w:customStyle="1">
    <w:name w:val="纯文本 Char"/>
    <w:basedOn w:val="911"/>
    <w:link w:val="1093"/>
    <w:uiPriority w:val="0"/>
    <w:qFormat/>
    <w:rPr>
      <w:rFonts w:ascii="宋体" w:hAnsi="Calibri" w:eastAsia="宋体" w:cs="Calibri"/>
      <w:szCs w:val="21"/>
    </w:rPr>
  </w:style>
  <w:style w:type="paragraph" w:styleId="109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正文2"/>
    <w:basedOn w:val="716"/>
    <w:uiPriority w:val="0"/>
    <w:qFormat/>
    <w:pPr>
      <w:ind w:firstLine="200"/>
      <w:jc w:val="left"/>
      <w:spacing w:after="160" w:line="360" w:lineRule="auto"/>
      <w:widowControl/>
    </w:pPr>
    <w:rPr>
      <w:rFonts w:ascii="Verdana" w:hAnsi="Verdana" w:eastAsia="黑体"/>
      <w:szCs w:val="20"/>
      <w:lang w:eastAsia="en-US"/>
    </w:rPr>
  </w:style>
  <w:style w:type="paragraph" w:styleId="1097" w:customStyle="1">
    <w:name w:val="正文文本11"/>
    <w:basedOn w:val="716"/>
    <w:next w:val="716"/>
    <w:uiPriority w:val="0"/>
    <w:qFormat/>
    <w:rPr>
      <w:rFonts w:ascii="仿宋_GB2312" w:eastAsia="仿宋_GB2312"/>
      <w:sz w:val="28"/>
      <w:szCs w:val="20"/>
    </w:rPr>
  </w:style>
  <w:style w:type="character" w:styleId="1098" w:customStyle="1">
    <w:name w:val="NormalCharacter1"/>
    <w:uiPriority w:val="0"/>
    <w:qFormat/>
    <w:rPr>
      <w:rFonts w:ascii="宋体" w:hAnsi="宋体" w:cs="宋体"/>
      <w:sz w:val="21"/>
      <w:szCs w:val="21"/>
      <w:lang w:val="en-US" w:eastAsia="zh-CN" w:bidi="ar-SA"/>
    </w:rPr>
  </w:style>
  <w:style w:type="character" w:styleId="1099" w:customStyle="1">
    <w:name w:val="NormalCharacter"/>
    <w:link w:val="1100"/>
    <w:uiPriority w:val="0"/>
    <w:qFormat/>
  </w:style>
  <w:style w:type="paragraph" w:styleId="1100" w:customStyle="1">
    <w:name w:val="UserStyle_4"/>
    <w:basedOn w:val="716"/>
    <w:link w:val="1099"/>
    <w:uiPriority w:val="99"/>
    <w:qFormat/>
  </w:style>
  <w:style w:type="paragraph" w:styleId="1101" w:customStyle="1">
    <w:name w:val="段"/>
    <w:next w:val="716"/>
    <w:uiPriority w:val="0"/>
    <w:qFormat/>
    <w:pPr>
      <w:ind w:firstLine="200"/>
      <w:jc w:val="both"/>
    </w:pPr>
    <w:rPr>
      <w:rFonts w:hint="default" w:ascii="宋体" w:hAnsi="Times New Roman" w:eastAsia="宋体" w:cs="Times New Roman"/>
      <w:sz w:val="21"/>
      <w:lang w:val="en-US" w:eastAsia="zh-CN" w:bidi="ar-SA"/>
    </w:rPr>
  </w:style>
  <w:style w:type="paragraph" w:styleId="1102" w:customStyle="1">
    <w:name w:val="Table Text"/>
    <w:basedOn w:val="716"/>
    <w:uiPriority w:val="0"/>
    <w:semiHidden/>
    <w:qFormat/>
    <w:rPr>
      <w:rFonts w:ascii="宋体" w:hAnsi="宋体" w:eastAsia="宋体" w:cs="宋体"/>
      <w:sz w:val="22"/>
      <w:szCs w:val="22"/>
      <w:lang w:val="en-US" w:eastAsia="en-US" w:bidi="ar-SA"/>
    </w:rPr>
  </w:style>
  <w:style w:type="table" w:styleId="1103" w:customStyle="1">
    <w:name w:val="Table Normal"/>
    <w:uiPriority w:val="0"/>
    <w:unhideWhenUsed/>
    <w:qFormat/>
    <w:tblPr>
      <w:tblCellMar>
        <w:left w:w="0" w:type="dxa"/>
        <w:top w:w="0" w:type="dxa"/>
        <w:right w:w="0" w:type="dxa"/>
        <w:bottom w:w="0" w:type="dxa"/>
      </w:tblCellMar>
    </w:tblPr>
  </w:style>
  <w:style w:type="numbering" w:styleId="125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2026-03-19T00:35:45Z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