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ind w:firstLine="0"/>
        <w:rPr>
          <w:rFonts w:hint="eastAsia" w:eastAsia="黑体"/>
          <w:b/>
          <w:bCs/>
          <w:sz w:val="84"/>
        </w:rPr>
      </w:pPr>
      <w:r>
        <w:rPr>
          <w:rFonts w:hint="eastAsia" w:eastAsia="黑体"/>
          <w:b/>
          <w:bCs/>
          <w:sz w:val="84"/>
        </w:rPr>
      </w:r>
      <w:r/>
    </w:p>
    <w:p>
      <w:pPr>
        <w:pStyle w:val="922"/>
        <w:ind w:firstLine="0"/>
        <w:jc w:val="center"/>
        <w:rPr>
          <w:rFonts w:eastAsia="黑体"/>
          <w:b/>
          <w:bCs/>
          <w:sz w:val="84"/>
        </w:rPr>
      </w:pPr>
      <w:r>
        <w:rPr>
          <w:rFonts w:hint="eastAsia" w:eastAsia="黑体"/>
          <w:b/>
          <w:bCs/>
          <w:sz w:val="84"/>
        </w:rPr>
        <w:t xml:space="preserve">招　标　文　件</w:t>
      </w:r>
      <w:r/>
    </w:p>
    <w:p>
      <w:pPr>
        <w:pStyle w:val="922"/>
        <w:ind w:firstLine="0"/>
        <w:jc w:val="center"/>
        <w:rPr>
          <w:b/>
          <w:bCs/>
          <w:sz w:val="32"/>
        </w:rPr>
      </w:pPr>
      <w:r>
        <w:rPr>
          <w:b/>
          <w:bCs/>
          <w:sz w:val="32"/>
        </w:rPr>
      </w:r>
      <w:r/>
    </w:p>
    <w:p>
      <w:pPr>
        <w:pStyle w:val="922"/>
        <w:ind w:firstLine="0"/>
        <w:jc w:val="center"/>
        <w:rPr>
          <w:b/>
          <w:bCs/>
          <w:sz w:val="32"/>
        </w:rPr>
      </w:pPr>
      <w:r>
        <w:rPr>
          <w:rFonts w:hint="eastAsia"/>
          <w:b/>
          <w:bCs/>
          <w:sz w:val="32"/>
        </w:rPr>
        <w:t xml:space="preserve">项目名称：</w:t>
      </w:r>
      <w:r>
        <w:rPr>
          <w:b/>
          <w:bCs/>
          <w:sz w:val="32"/>
        </w:rPr>
        <w:t xml:space="preserve">江苏省第二十一届运动会综合管理系统开发</w:t>
      </w:r>
      <w:r/>
    </w:p>
    <w:p>
      <w:pPr>
        <w:pStyle w:val="922"/>
        <w:ind w:firstLine="0"/>
        <w:jc w:val="center"/>
        <w:rPr>
          <w:b/>
          <w:sz w:val="30"/>
          <w:szCs w:val="30"/>
        </w:rPr>
      </w:pPr>
      <w:r>
        <w:rPr>
          <w:rFonts w:hint="eastAsia"/>
          <w:b/>
          <w:bCs/>
          <w:sz w:val="32"/>
        </w:rPr>
        <w:t xml:space="preserve">采购编号：</w:t>
      </w:r>
      <w:r>
        <w:rPr>
          <w:b/>
          <w:bCs/>
          <w:sz w:val="32"/>
        </w:rPr>
        <w:t xml:space="preserve">JSZC-320000-SCZX-G2026-0119</w:t>
      </w:r>
      <w:r/>
    </w:p>
    <w:p>
      <w:pPr>
        <w:ind w:left="2811" w:hanging="2811"/>
        <w:jc w:val="center"/>
        <w:rPr>
          <w:b/>
          <w:color w:val="000000" w:themeColor="text1"/>
          <w:sz w:val="28"/>
          <w:szCs w:val="28"/>
        </w:rPr>
      </w:pPr>
      <w:r>
        <w:rPr>
          <w:rFonts w:hint="eastAsia"/>
          <w:b/>
          <w:color w:val="000000" w:themeColor="text1"/>
          <w:sz w:val="28"/>
          <w:szCs w:val="28"/>
        </w:rPr>
        <w:t xml:space="preserve">（</w:t>
      </w:r>
      <w:r>
        <w:rPr>
          <w:rFonts w:hint="eastAsia"/>
          <w:b/>
          <w:color w:val="000000" w:themeColor="text1"/>
          <w:sz w:val="28"/>
          <w:szCs w:val="28"/>
        </w:rPr>
        <w:t xml:space="preserve">更正稿</w:t>
      </w:r>
      <w:r>
        <w:rPr>
          <w:rFonts w:hint="eastAsia"/>
          <w:b/>
          <w:color w:val="000000" w:themeColor="text1"/>
          <w:sz w:val="28"/>
          <w:szCs w:val="28"/>
        </w:rPr>
        <w:t xml:space="preserve">）</w:t>
      </w:r>
      <w:r/>
    </w:p>
    <w:p>
      <w:pPr>
        <w:pStyle w:val="922"/>
        <w:ind w:firstLine="0"/>
        <w:spacing w:before="0" w:after="0"/>
        <w:rPr>
          <w:rFonts w:ascii="宋体" w:hAnsi="宋体"/>
        </w:rPr>
      </w:pPr>
      <w:r>
        <w:rPr>
          <w:rFonts w:ascii="宋体" w:hAnsi="宋体"/>
        </w:rPr>
      </w:r>
      <w:r/>
    </w:p>
    <w:p>
      <w:pPr>
        <w:pStyle w:val="922"/>
        <w:ind w:firstLine="0"/>
        <w:spacing w:before="0" w:after="0"/>
        <w:rPr>
          <w:rFonts w:ascii="宋体" w:hAnsi="宋体"/>
        </w:rPr>
      </w:pPr>
      <w:r>
        <w:rPr>
          <w:rFonts w:ascii="宋体" w:hAnsi="宋体"/>
        </w:rPr>
      </w:r>
      <w:r/>
    </w:p>
    <w:p>
      <w:pPr>
        <w:pStyle w:val="922"/>
        <w:ind w:firstLine="0"/>
        <w:spacing w:before="0" w:after="0"/>
        <w:rPr>
          <w:rFonts w:ascii="宋体" w:hAnsi="宋体"/>
        </w:rPr>
      </w:pPr>
      <w:r>
        <w:rPr>
          <w:rFonts w:ascii="宋体" w:hAnsi="宋体"/>
        </w:rPr>
      </w:r>
      <w:r/>
    </w:p>
    <w:p>
      <w:pPr>
        <w:pStyle w:val="922"/>
        <w:ind w:firstLine="0"/>
        <w:spacing w:before="0" w:after="0"/>
        <w:rPr>
          <w:rFonts w:ascii="宋体" w:hAnsi="宋体"/>
        </w:rPr>
      </w:pPr>
      <w:r>
        <w:rPr>
          <w:rFonts w:ascii="宋体" w:hAnsi="宋体"/>
        </w:rPr>
      </w:r>
      <w:r/>
    </w:p>
    <w:p>
      <w:pPr>
        <w:pStyle w:val="922"/>
        <w:ind w:firstLine="0"/>
        <w:spacing w:before="0" w:after="0"/>
        <w:rPr>
          <w:rFonts w:ascii="宋体" w:hAnsi="宋体"/>
        </w:rPr>
      </w:pPr>
      <w:r>
        <w:rPr>
          <w:rFonts w:ascii="宋体" w:hAnsi="宋体"/>
        </w:rPr>
      </w:r>
      <w:r/>
    </w:p>
    <w:p>
      <w:pPr>
        <w:pStyle w:val="922"/>
        <w:ind w:firstLine="0"/>
        <w:spacing w:before="0" w:after="0"/>
        <w:rPr>
          <w:rFonts w:ascii="宋体" w:hAnsi="宋体"/>
        </w:rPr>
      </w:pPr>
      <w:r>
        <w:rPr>
          <w:rFonts w:ascii="宋体" w:hAnsi="宋体"/>
        </w:rPr>
      </w:r>
      <w:r/>
    </w:p>
    <w:p>
      <w:pPr>
        <w:pStyle w:val="922"/>
        <w:ind w:firstLine="0"/>
        <w:spacing w:before="0" w:after="0"/>
        <w:rPr>
          <w:rFonts w:ascii="宋体" w:hAnsi="宋体"/>
        </w:rPr>
      </w:pPr>
      <w:r>
        <w:rPr>
          <w:rFonts w:ascii="宋体" w:hAnsi="宋体"/>
        </w:rPr>
      </w:r>
      <w:r/>
    </w:p>
    <w:p>
      <w:pPr>
        <w:pStyle w:val="922"/>
        <w:ind w:firstLine="0"/>
        <w:jc w:val="center"/>
        <w:rPr>
          <w:b/>
          <w:bCs/>
          <w:sz w:val="32"/>
        </w:rPr>
      </w:pPr>
      <w:r>
        <w:rPr>
          <w:rFonts w:hint="eastAsia"/>
          <w:b/>
          <w:bCs/>
          <w:sz w:val="32"/>
        </w:rPr>
        <w:t xml:space="preserve">江苏省政府采购中心</w:t>
      </w:r>
      <w:r/>
    </w:p>
    <w:p>
      <w:pPr>
        <w:pStyle w:val="922"/>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4</w:t>
      </w:r>
      <w:r>
        <w:rPr>
          <w:rFonts w:hint="eastAsia"/>
          <w:b/>
          <w:bCs/>
          <w:sz w:val="32"/>
        </w:rPr>
        <w:t xml:space="preserve">月</w:t>
      </w:r>
      <w:r/>
    </w:p>
    <w:p>
      <w:pPr>
        <w:pStyle w:val="922"/>
        <w:ind w:firstLine="0"/>
        <w:rPr>
          <w:u w:val="single"/>
        </w:rPr>
      </w:pPr>
      <w:r>
        <w:rPr>
          <w:rFonts w:hint="eastAsia"/>
        </w:rPr>
        <w:t xml:space="preserve">                        </w:t>
      </w:r>
      <w:r/>
    </w:p>
    <w:p>
      <w:pPr>
        <w:pStyle w:val="922"/>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………………………29</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………………………………33</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江苏省体育信息中心</w:t>
      </w:r>
      <w:r>
        <w:rPr>
          <w:rFonts w:hint="eastAsia" w:ascii="宋体" w:hAnsi="宋体"/>
          <w:sz w:val="24"/>
          <w:szCs w:val="24"/>
        </w:rPr>
        <w:t xml:space="preserve">的委托，江苏省政府采购中心就</w:t>
      </w:r>
      <w:bookmarkStart w:id="6" w:name="OLE_LINK1"/>
      <w:r/>
      <w:bookmarkStart w:id="7" w:name="OLE_LINK2"/>
      <w:r>
        <w:rPr>
          <w:rFonts w:ascii="宋体" w:hAnsi="宋体"/>
          <w:sz w:val="24"/>
          <w:szCs w:val="24"/>
        </w:rPr>
        <w:t xml:space="preserve">江苏省第二十一届运动会综合管理系统开发</w:t>
      </w:r>
      <w:bookmarkEnd w:id="6"/>
      <w:r/>
      <w:bookmarkEnd w:id="7"/>
      <w:r>
        <w:rPr>
          <w:rFonts w:hint="eastAsia" w:ascii="宋体" w:hAnsi="宋体"/>
          <w:sz w:val="24"/>
          <w:szCs w:val="24"/>
        </w:rPr>
        <w:t xml:space="preserve">(</w:t>
      </w:r>
      <w:r>
        <w:rPr>
          <w:rFonts w:ascii="宋体" w:hAnsi="宋体"/>
          <w:sz w:val="24"/>
          <w:szCs w:val="24"/>
        </w:rPr>
        <w:t xml:space="preserve">JSZC-320000-SCZX-G2026-0119</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江苏省第二十一届运动会综合管理系统开发</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年4月</w:t>
      </w:r>
      <w:r>
        <w:rPr>
          <w:rFonts w:hint="eastAsia" w:ascii="宋体" w:hAnsi="宋体"/>
          <w:bCs/>
          <w:sz w:val="24"/>
          <w:szCs w:val="24"/>
          <w:u w:val="single"/>
        </w:rPr>
        <w:t xml:space="preserve">20</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4"/>
        <w:ind w:firstLine="498"/>
        <w:spacing w:before="145" w:after="145" w:line="400" w:lineRule="exact"/>
      </w:pPr>
      <w:r/>
      <w:bookmarkStart w:id="8" w:name="_Toc38985263"/>
      <w:r/>
      <w:bookmarkStart w:id="9" w:name="_Toc28359079"/>
      <w:r/>
      <w:bookmarkStart w:id="10" w:name="_Toc35393790"/>
      <w:r/>
      <w:bookmarkStart w:id="11" w:name="_Toc28359002"/>
      <w:r/>
      <w:bookmarkStart w:id="12" w:name="_Toc35393621"/>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ascii="宋体" w:hAnsi="宋体"/>
          <w:sz w:val="24"/>
          <w:szCs w:val="24"/>
        </w:rPr>
      </w:pPr>
      <w:r>
        <w:rPr>
          <w:rFonts w:hint="eastAsia" w:ascii="宋体" w:hAnsi="宋体"/>
          <w:sz w:val="24"/>
          <w:szCs w:val="24"/>
        </w:rPr>
        <w:t xml:space="preserve">1.采购编号：江苏省第二十一届运动会综合管理系统开发  </w:t>
      </w:r>
      <w:r/>
    </w:p>
    <w:p>
      <w:pPr>
        <w:ind w:firstLine="480"/>
        <w:spacing w:line="400" w:lineRule="exact"/>
        <w:rPr>
          <w:rFonts w:ascii="宋体" w:hAnsi="宋体"/>
          <w:sz w:val="24"/>
          <w:szCs w:val="24"/>
        </w:rPr>
      </w:pPr>
      <w:r>
        <w:rPr>
          <w:rFonts w:hint="eastAsia" w:ascii="宋体" w:hAnsi="宋体"/>
          <w:sz w:val="24"/>
          <w:szCs w:val="24"/>
        </w:rPr>
        <w:t xml:space="preserve">2.项目名称：JSZC-320000-SCZX-G2026-0119</w:t>
      </w:r>
      <w:bookmarkEnd w:id="13"/>
      <w:r/>
      <w:r/>
    </w:p>
    <w:p>
      <w:pPr>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150 万元</w:t>
      </w:r>
      <w:r/>
    </w:p>
    <w:p>
      <w:pPr>
        <w:ind w:firstLine="480"/>
        <w:spacing w:line="400" w:lineRule="exac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ascii="宋体" w:hAnsi="宋体"/>
          <w:color w:val="000000"/>
          <w:sz w:val="24"/>
          <w:szCs w:val="24"/>
        </w:rPr>
        <w:t xml:space="preserve">150 万元</w:t>
      </w:r>
      <w:r/>
    </w:p>
    <w:p>
      <w:pPr>
        <w:ind w:firstLine="480"/>
        <w:spacing w:line="400" w:lineRule="exact"/>
        <w:rPr>
          <w:rFonts w:ascii="宋体" w:hAnsi="宋体"/>
          <w:sz w:val="24"/>
          <w:szCs w:val="24"/>
          <w:u w:val="single"/>
        </w:rPr>
      </w:pPr>
      <w:r>
        <w:rPr>
          <w:rFonts w:hint="eastAsia" w:ascii="宋体" w:hAnsi="宋体"/>
          <w:color w:val="000000"/>
          <w:sz w:val="24"/>
          <w:szCs w:val="24"/>
        </w:rPr>
        <w:t xml:space="preserve">5.采购需求（简</w:t>
      </w:r>
      <w:r>
        <w:rPr>
          <w:rFonts w:hint="eastAsia" w:ascii="宋体" w:hAnsi="宋体"/>
          <w:sz w:val="24"/>
          <w:szCs w:val="24"/>
        </w:rPr>
        <w:t xml:space="preserve">介）：江苏省第二十一届运动会综合管理系统开发主要建设内容包括赛事注册报名系统、成绩管理系统、赛程赛果信息发布、微信小程序、数据对接、数据服务中心等方面。</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6.合同履行期限：合同生效之日起一个月内完成系统开发并上线运行，系统服务至省运会结束止。</w:t>
      </w:r>
      <w:r/>
    </w:p>
    <w:p>
      <w:pPr>
        <w:pStyle w:val="714"/>
        <w:ind w:firstLine="498"/>
        <w:spacing w:before="145" w:after="145" w:line="400" w:lineRule="exact"/>
      </w:pPr>
      <w:r/>
      <w:bookmarkStart w:id="14" w:name="_Toc35393791"/>
      <w:r/>
      <w:bookmarkStart w:id="15" w:name="_Toc35393622"/>
      <w:r/>
      <w:bookmarkStart w:id="16" w:name="_Toc28359003"/>
      <w:r/>
      <w:bookmarkStart w:id="17" w:name="_Toc38985264"/>
      <w:r/>
      <w:bookmarkStart w:id="18" w:name="_Toc28359080"/>
      <w:r>
        <w:rPr>
          <w:rFonts w:hint="eastAsia"/>
        </w:rPr>
        <w:t xml:space="preserve">二、申请人的资格要求：</w:t>
      </w:r>
      <w:bookmarkEnd w:id="14"/>
      <w:r/>
      <w:bookmarkEnd w:id="15"/>
      <w:r/>
      <w:bookmarkEnd w:id="16"/>
      <w:r/>
      <w:bookmarkEnd w:id="17"/>
      <w:r/>
      <w:bookmarkEnd w:id="18"/>
      <w:r/>
      <w:r/>
    </w:p>
    <w:p>
      <w:pPr>
        <w:ind w:firstLine="480"/>
        <w:spacing w:line="400" w:lineRule="exact"/>
        <w:rPr>
          <w:rFonts w:ascii="宋体" w:hAnsi="宋体"/>
          <w:sz w:val="24"/>
          <w:szCs w:val="24"/>
        </w:rPr>
      </w:pPr>
      <w:r/>
      <w:bookmarkStart w:id="19" w:name="_Toc38985265"/>
      <w:r/>
      <w:bookmarkStart w:id="20" w:name="_Toc28359004"/>
      <w:r/>
      <w:bookmarkStart w:id="21" w:name="_Toc35393792"/>
      <w:r/>
      <w:bookmarkStart w:id="22" w:name="_Toc28359081"/>
      <w:r/>
      <w:bookmarkStart w:id="23"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cs="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20"/>
        <w:spacing w:line="400" w:lineRule="exact"/>
        <w:rPr>
          <w:rFonts w:ascii="宋体" w:hAnsi="宋体" w:cs="宋体"/>
          <w:color w:val="000000"/>
          <w:sz w:val="24"/>
          <w:szCs w:val="24"/>
        </w:rPr>
      </w:pPr>
      <w:r>
        <w:rPr>
          <w:rFonts w:hint="eastAsia" w:ascii="宋体" w:hAnsi="宋体"/>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14"/>
        <w:ind w:firstLine="498"/>
        <w:spacing w:before="145" w:after="145" w:line="400" w:lineRule="exact"/>
      </w:pPr>
      <w:r/>
      <w:bookmarkStart w:id="24" w:name="_Toc28359082"/>
      <w:r/>
      <w:bookmarkStart w:id="25" w:name="_Toc28359005"/>
      <w:r/>
      <w:bookmarkStart w:id="26" w:name="_Toc35393624"/>
      <w:r/>
      <w:bookmarkStart w:id="27" w:name="_Toc35393793"/>
      <w:r/>
      <w:bookmarkStart w:id="28" w:name="_Toc38985266"/>
      <w:r/>
      <w:bookmarkEnd w:id="19"/>
      <w:r/>
      <w:bookmarkEnd w:id="20"/>
      <w:r/>
      <w:bookmarkEnd w:id="21"/>
      <w:r/>
      <w:bookmarkEnd w:id="22"/>
      <w:r/>
      <w:bookmarkEnd w:id="2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1.2026年4月</w:t>
      </w:r>
      <w:r>
        <w:rPr>
          <w:rFonts w:hint="eastAsia" w:ascii="宋体" w:hAnsi="宋体"/>
          <w:bCs/>
          <w:sz w:val="24"/>
          <w:szCs w:val="24"/>
          <w:u w:val="single"/>
        </w:rPr>
        <w:t xml:space="preserve">20</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9" w:name="_Toc38985267"/>
      <w:r/>
      <w:bookmarkStart w:id="30" w:name="_Toc35393625"/>
      <w:r/>
      <w:bookmarkStart w:id="31" w:name="_Toc35393794"/>
      <w:r/>
      <w:bookmarkStart w:id="32" w:name="_Toc28359007"/>
      <w:r/>
      <w:bookmarkStart w:id="33" w:name="_Toc28359084"/>
      <w:r>
        <w:rPr>
          <w:rFonts w:hint="eastAsia"/>
          <w:b/>
          <w:bCs/>
          <w:color w:val="000000"/>
          <w:sz w:val="32"/>
          <w:szCs w:val="32"/>
        </w:rPr>
        <w:t xml:space="preserve">五、公告期限</w:t>
      </w:r>
      <w:bookmarkEnd w:id="29"/>
      <w:r/>
      <w:bookmarkEnd w:id="30"/>
      <w:r/>
      <w:bookmarkEnd w:id="31"/>
      <w:r/>
      <w:bookmarkEnd w:id="32"/>
      <w:r/>
      <w:bookmarkEnd w:id="33"/>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14"/>
        <w:ind w:firstLine="498"/>
        <w:spacing w:before="145" w:after="145" w:line="400" w:lineRule="exact"/>
      </w:pPr>
      <w:r/>
      <w:bookmarkStart w:id="34" w:name="_Toc35393795"/>
      <w:r/>
      <w:bookmarkStart w:id="35" w:name="_Toc35393626"/>
      <w:r/>
      <w:bookmarkStart w:id="36" w:name="_Toc38985268"/>
      <w:r>
        <w:rPr>
          <w:rFonts w:hint="eastAsia"/>
        </w:rPr>
        <w:t xml:space="preserve">六、其他补充事宜</w:t>
      </w:r>
      <w:bookmarkEnd w:id="34"/>
      <w:r/>
      <w:bookmarkEnd w:id="35"/>
      <w:r/>
      <w:bookmarkEnd w:id="36"/>
      <w:r/>
      <w:r/>
    </w:p>
    <w:p>
      <w:pPr>
        <w:ind w:firstLine="480"/>
        <w:spacing w:line="400" w:lineRule="exact"/>
        <w:rPr>
          <w:rFonts w:ascii="宋体" w:hAnsi="宋体" w:cs="宋体"/>
          <w:sz w:val="24"/>
          <w:szCs w:val="24"/>
        </w:rPr>
      </w:pPr>
      <w:r>
        <w:rPr>
          <w:rFonts w:hint="eastAsia" w:ascii="宋体" w:hAnsi="宋体" w:cs="宋体"/>
          <w:sz w:val="24"/>
          <w:szCs w:val="24"/>
        </w:rPr>
        <w:t xml:space="preserve">无 </w:t>
      </w:r>
      <w:r/>
    </w:p>
    <w:p>
      <w:pPr>
        <w:pStyle w:val="714"/>
        <w:ind w:firstLine="498"/>
        <w:spacing w:before="145" w:after="145" w:line="400" w:lineRule="exact"/>
      </w:pPr>
      <w:r/>
      <w:bookmarkStart w:id="37" w:name="_Toc35393627"/>
      <w:r/>
      <w:bookmarkStart w:id="38" w:name="_Toc28359008"/>
      <w:r/>
      <w:bookmarkStart w:id="39" w:name="_Toc28359085"/>
      <w:r/>
      <w:bookmarkStart w:id="40" w:name="_Toc35393796"/>
      <w:r/>
      <w:bookmarkStart w:id="41" w:name="_Toc38985269"/>
      <w:r>
        <w:rPr>
          <w:rFonts w:hint="eastAsia"/>
        </w:rPr>
        <w:t xml:space="preserve">七、本次招标联系方式</w:t>
      </w:r>
      <w:bookmarkEnd w:id="37"/>
      <w:r/>
      <w:bookmarkEnd w:id="38"/>
      <w:r/>
      <w:bookmarkEnd w:id="39"/>
      <w:r/>
      <w:bookmarkEnd w:id="40"/>
      <w:r/>
      <w:bookmarkEnd w:id="41"/>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江苏省体育信息中心(江苏省体育文化中心）</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南京市广州路191号五环大厦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凌婧  </w:t>
      </w:r>
      <w:r>
        <w:rPr>
          <w:rFonts w:hint="eastAsia" w:ascii="宋体" w:hAnsi="宋体"/>
          <w:sz w:val="24"/>
          <w:szCs w:val="24"/>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025-51889229　　　　　</w:t>
      </w:r>
      <w:bookmarkStart w:id="42" w:name="_Toc28359009"/>
      <w:r/>
      <w:bookmarkStart w:id="43" w:name="_Toc28359086"/>
      <w:r/>
      <w:r/>
    </w:p>
    <w:p>
      <w:pPr>
        <w:ind w:left="1079" w:hanging="300"/>
        <w:jc w:val="left"/>
        <w:spacing w:line="400" w:lineRule="exact"/>
        <w:rPr>
          <w:rFonts w:ascii="宋体" w:hAnsi="宋体" w:cs="宋体"/>
          <w:sz w:val="24"/>
          <w:szCs w:val="24"/>
        </w:rPr>
      </w:pPr>
      <w:r>
        <w:rPr>
          <w:rFonts w:hint="eastAsia" w:ascii="宋体" w:hAnsi="宋体" w:cs="宋体"/>
          <w:sz w:val="24"/>
          <w:szCs w:val="24"/>
        </w:rPr>
        <w:t xml:space="preserve">2.</w:t>
      </w:r>
      <w:bookmarkEnd w:id="42"/>
      <w:r/>
      <w:bookmarkEnd w:id="43"/>
      <w:r>
        <w:rPr>
          <w:rFonts w:hint="eastAsia"/>
        </w:rPr>
        <w:t xml:space="preserve"> </w:t>
      </w:r>
      <w:r>
        <w:rPr>
          <w:rFonts w:hint="eastAsia" w:ascii="宋体" w:hAnsi="宋体" w:cs="宋体"/>
          <w:sz w:val="24"/>
          <w:szCs w:val="24"/>
        </w:rPr>
        <w:t xml:space="preserve">江苏省政府采购中心信息</w:t>
      </w:r>
      <w:r/>
    </w:p>
    <w:p>
      <w:pPr>
        <w:ind w:left="1079" w:hanging="300"/>
        <w:jc w:val="left"/>
        <w:spacing w:line="4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南京市汉中门大街145号省政务中心二期3楼南区 </w:t>
      </w:r>
      <w:r/>
    </w:p>
    <w:p>
      <w:pPr>
        <w:ind w:left="1079" w:hanging="300"/>
        <w:jc w:val="left"/>
        <w:spacing w:line="400" w:lineRule="exact"/>
        <w:rPr>
          <w:rFonts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u w:val="single"/>
        </w:rPr>
        <w:t xml:space="preserve">张倩、许滢</w:t>
      </w:r>
      <w:r/>
    </w:p>
    <w:p>
      <w:pPr>
        <w:ind w:left="1079" w:hanging="300"/>
        <w:jc w:val="left"/>
        <w:spacing w:line="400" w:lineRule="exact"/>
        <w:rPr>
          <w:rFonts w:ascii="宋体" w:hAnsi="宋体" w:cs="宋体"/>
          <w:sz w:val="24"/>
          <w:szCs w:val="24"/>
        </w:rPr>
      </w:pPr>
      <w:r>
        <w:rPr>
          <w:rFonts w:hint="eastAsia" w:ascii="宋体" w:hAnsi="宋体" w:cs="宋体"/>
          <w:sz w:val="24"/>
          <w:szCs w:val="24"/>
        </w:rPr>
        <w:t xml:space="preserve">联系方式： </w:t>
      </w:r>
      <w:r>
        <w:rPr>
          <w:rFonts w:hint="eastAsia" w:ascii="宋体" w:hAnsi="宋体" w:cs="宋体"/>
          <w:sz w:val="24"/>
          <w:szCs w:val="24"/>
          <w:u w:val="single"/>
        </w:rPr>
        <w:t xml:space="preserve">025-83668527</w:t>
      </w:r>
      <w:r/>
    </w:p>
    <w:p>
      <w:pPr>
        <w:pStyle w:val="71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w:t>
      </w:r>
      <w:r>
        <w:rPr>
          <w:rFonts w:hint="eastAsia" w:ascii="宋体" w:hAnsi="宋体"/>
          <w:bCs/>
          <w:sz w:val="24"/>
          <w:szCs w:val="24"/>
        </w:rPr>
        <w:t xml:space="preserve">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pStyle w:val="712"/>
        <w:rPr>
          <w:rFonts w:ascii="宋体" w:hAnsi="宋体" w:eastAsia="宋体"/>
          <w:sz w:val="44"/>
          <w:szCs w:val="44"/>
        </w:rPr>
      </w:pPr>
      <w:r>
        <w:rPr>
          <w:rFonts w:ascii="宋体" w:hAnsi="宋体"/>
          <w:sz w:val="24"/>
          <w:szCs w:val="24"/>
        </w:rPr>
        <w:br w:type="page" w:clear="all"/>
      </w:r>
      <w:bookmarkStart w:id="44" w:name="_Toc120614211"/>
      <w:r>
        <w:rPr>
          <w:rFonts w:hint="eastAsia" w:ascii="黑体" w:eastAsia="黑体"/>
          <w:sz w:val="44"/>
          <w:szCs w:val="44"/>
        </w:rPr>
        <w:t xml:space="preserve">第二章  </w:t>
      </w:r>
      <w:bookmarkStart w:id="45" w:name="_Toc20823274"/>
      <w:r/>
      <w:bookmarkStart w:id="46" w:name="_Toc120614213"/>
      <w:r/>
      <w:bookmarkStart w:id="47" w:name="_Toc16938518"/>
      <w:r/>
      <w:bookmarkStart w:id="48" w:name="_Toc513029202"/>
      <w:r/>
      <w:bookmarkEnd w:id="1"/>
      <w:r/>
      <w:bookmarkEnd w:id="2"/>
      <w:r/>
      <w:bookmarkEnd w:id="3"/>
      <w:r/>
      <w:bookmarkEnd w:id="4"/>
      <w:r/>
      <w:bookmarkEnd w:id="5"/>
      <w:r/>
      <w:bookmarkEnd w:id="44"/>
      <w:r>
        <w:rPr>
          <w:rFonts w:hint="eastAsia" w:ascii="黑体" w:eastAsia="黑体"/>
          <w:sz w:val="44"/>
          <w:szCs w:val="44"/>
        </w:rPr>
        <w:t xml:space="preserve">投标人须知</w:t>
      </w:r>
      <w:bookmarkEnd w:id="45"/>
      <w:r/>
      <w:bookmarkEnd w:id="46"/>
      <w:r/>
      <w:bookmarkEnd w:id="47"/>
      <w:r/>
      <w:bookmarkEnd w:id="48"/>
      <w:r/>
      <w:r/>
    </w:p>
    <w:p>
      <w:pPr>
        <w:pStyle w:val="714"/>
        <w:ind w:firstLine="498"/>
        <w:spacing w:before="145" w:after="145" w:line="400" w:lineRule="exact"/>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715"/>
        <w:ind w:firstLine="420"/>
        <w:spacing w:before="0" w:after="0" w:line="400" w:lineRule="exact"/>
        <w:rPr>
          <w:b w:val="0"/>
          <w:bCs w:val="0"/>
        </w:rPr>
      </w:pPr>
      <w:r/>
      <w:bookmarkStart w:id="53" w:name="_Hlt16619475"/>
      <w:r/>
      <w:bookmarkStart w:id="54" w:name="_Toc458694821"/>
      <w:r/>
      <w:bookmarkStart w:id="55" w:name="_Toc20823276"/>
      <w:r/>
      <w:bookmarkStart w:id="56" w:name="_Toc16938520"/>
      <w:r/>
      <w:bookmarkStart w:id="57" w:name="_Toc513029204"/>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15"/>
        <w:ind w:firstLine="420"/>
        <w:spacing w:before="0" w:after="0" w:line="400" w:lineRule="exact"/>
        <w:rPr>
          <w:b w:val="0"/>
          <w:bCs w:val="0"/>
        </w:rPr>
      </w:pPr>
      <w:r/>
      <w:bookmarkStart w:id="58" w:name="_Toc16938521"/>
      <w:r/>
      <w:bookmarkStart w:id="59" w:name="_Toc20823277"/>
      <w:r/>
      <w:bookmarkStart w:id="60" w:name="_Toc513029205"/>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715"/>
        <w:ind w:firstLine="422"/>
        <w:spacing w:before="0" w:after="0" w:line="400" w:lineRule="exact"/>
        <w:rPr>
          <w:rFonts w:cs="Arial"/>
        </w:rPr>
      </w:pPr>
      <w:r/>
      <w:bookmarkStart w:id="61" w:name="_Toc16938522"/>
      <w:r/>
      <w:bookmarkStart w:id="62" w:name="_Toc20823278"/>
      <w:r/>
      <w:bookmarkStart w:id="63" w:name="_Toc513029206"/>
      <w:r>
        <w:rPr>
          <w:rFonts w:hint="eastAsia" w:cs="Arial"/>
        </w:rPr>
        <w:t xml:space="preserve">3</w:t>
      </w:r>
      <w:r>
        <w:rPr>
          <w:rFonts w:hint="eastAsia" w:cs="Arial"/>
        </w:rPr>
        <w:t xml:space="preserve">、适用法律</w:t>
      </w:r>
      <w:bookmarkEnd w:id="61"/>
      <w:r/>
      <w:bookmarkEnd w:id="62"/>
      <w:r/>
      <w:bookmarkEnd w:id="63"/>
      <w:r>
        <w:rPr>
          <w:rFonts w:hint="eastAsia" w:cs="Arial"/>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4" w:name="_Toc20823279"/>
      <w:r/>
      <w:bookmarkStart w:id="65" w:name="_Toc16938523"/>
      <w:r/>
      <w:bookmarkStart w:id="66" w:name="_Toc513029207"/>
      <w:r/>
      <w:bookmarkStart w:id="67" w:name="_Toc462564067"/>
      <w:r>
        <w:rPr>
          <w:rFonts w:hint="eastAsia" w:ascii="宋体" w:hAnsi="宋体"/>
          <w:sz w:val="24"/>
        </w:rPr>
        <w:t xml:space="preserve">3.2 在本项目政府采购活动过程中，如果所执行的标准有更新的，按照最新标准执行。</w:t>
      </w:r>
      <w:r/>
    </w:p>
    <w:p>
      <w:pPr>
        <w:pStyle w:val="715"/>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15"/>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4"/>
        <w:ind w:firstLine="321"/>
        <w:spacing w:before="145" w:after="145" w:line="400" w:lineRule="exact"/>
      </w:pPr>
      <w:r/>
      <w:bookmarkStart w:id="68" w:name="_Toc20823281"/>
      <w:r/>
      <w:bookmarkStart w:id="69" w:name="_Toc16938525"/>
      <w:r/>
      <w:bookmarkStart w:id="70" w:name="_Toc513029209"/>
      <w:r/>
      <w:bookmarkStart w:id="71" w:name="_Toc120614215"/>
      <w:r>
        <w:rPr>
          <w:rFonts w:hint="eastAsia"/>
        </w:rPr>
        <w:t xml:space="preserve">二、招标文件</w:t>
      </w:r>
      <w:bookmarkEnd w:id="68"/>
      <w:r/>
      <w:bookmarkEnd w:id="69"/>
      <w:r/>
      <w:bookmarkEnd w:id="70"/>
      <w:r/>
      <w:bookmarkEnd w:id="71"/>
      <w:r/>
      <w:r/>
    </w:p>
    <w:p>
      <w:pPr>
        <w:pStyle w:val="715"/>
        <w:ind w:firstLine="420"/>
        <w:spacing w:before="0" w:after="0" w:line="400" w:lineRule="exact"/>
        <w:rPr>
          <w:b w:val="0"/>
          <w:bCs w:val="0"/>
        </w:rPr>
      </w:pPr>
      <w:r/>
      <w:bookmarkStart w:id="72" w:name="_Toc20823282"/>
      <w:r/>
      <w:bookmarkStart w:id="73" w:name="_Toc16938526"/>
      <w:r/>
      <w:bookmarkStart w:id="74" w:name="_Toc513029210"/>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ind w:firstLine="560"/>
        <w:spacing w:before="0" w:after="0" w:line="400" w:lineRule="exact"/>
        <w:rPr>
          <w:b w:val="0"/>
          <w:bCs w:val="0"/>
        </w:rPr>
      </w:pPr>
      <w:r/>
      <w:bookmarkStart w:id="75" w:name="_Toc16938528"/>
      <w:r/>
      <w:bookmarkStart w:id="76" w:name="_Toc462564071"/>
      <w:r/>
      <w:bookmarkStart w:id="77" w:name="_Toc513029212"/>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14"/>
        <w:ind w:firstLine="482"/>
        <w:spacing w:before="145" w:after="145" w:line="400" w:lineRule="exact"/>
      </w:pPr>
      <w:r/>
      <w:bookmarkStart w:id="79" w:name="_Toc513029213"/>
      <w:r/>
      <w:bookmarkStart w:id="80" w:name="_Toc120614216"/>
      <w:r/>
      <w:bookmarkStart w:id="81" w:name="_Toc20823285"/>
      <w:r/>
      <w:bookmarkStart w:id="82" w:name="_Toc462564072"/>
      <w:r/>
      <w:bookmarkStart w:id="83" w:name="_Toc16938529"/>
      <w:r>
        <w:rPr>
          <w:rFonts w:hint="eastAsia"/>
        </w:rPr>
        <w:t xml:space="preserve">三、投标文件的编制</w:t>
      </w:r>
      <w:bookmarkEnd w:id="79"/>
      <w:r/>
      <w:bookmarkEnd w:id="80"/>
      <w:r/>
      <w:bookmarkEnd w:id="81"/>
      <w:r/>
      <w:bookmarkEnd w:id="82"/>
      <w:r/>
      <w:bookmarkEnd w:id="83"/>
      <w:r/>
      <w:r/>
    </w:p>
    <w:p>
      <w:pPr>
        <w:pStyle w:val="715"/>
        <w:ind w:firstLine="560"/>
        <w:spacing w:before="0" w:after="0" w:line="400" w:lineRule="exact"/>
        <w:rPr>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15"/>
        <w:ind w:firstLine="420"/>
        <w:spacing w:before="0" w:after="0" w:line="400" w:lineRule="exact"/>
        <w:rPr>
          <w:b w:val="0"/>
          <w:bCs w:val="0"/>
        </w:rPr>
      </w:pPr>
      <w:r/>
      <w:bookmarkStart w:id="88" w:name="_Toc462564074"/>
      <w:r/>
      <w:bookmarkStart w:id="89" w:name="_Toc513029215"/>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15"/>
        <w:ind w:firstLine="420"/>
        <w:spacing w:before="0" w:after="0" w:line="400" w:lineRule="exact"/>
        <w:rPr>
          <w:b w:val="0"/>
          <w:bCs w:val="0"/>
        </w:rPr>
      </w:pPr>
      <w:r/>
      <w:bookmarkStart w:id="92" w:name="_Hlt26668975"/>
      <w:r/>
      <w:bookmarkStart w:id="93" w:name="_Hlt26954838"/>
      <w:r/>
      <w:bookmarkStart w:id="94" w:name="_Hlt26670360"/>
      <w:r/>
      <w:bookmarkStart w:id="95" w:name="_Toc513029219"/>
      <w:r/>
      <w:bookmarkStart w:id="96" w:name="_Toc49090509"/>
      <w:r/>
      <w:bookmarkStart w:id="97" w:name="_Toc14577357"/>
      <w:r/>
      <w:bookmarkStart w:id="98" w:name="_Toc14577354"/>
      <w:r/>
      <w:bookmarkStart w:id="99" w:name="_Toc49090507"/>
      <w:r/>
      <w:bookmarkStart w:id="100" w:name="_Toc513029216"/>
      <w:r/>
      <w:bookmarkEnd w:id="92"/>
      <w:r/>
      <w:bookmarkEnd w:id="93"/>
      <w:r/>
      <w:bookmarkEnd w:id="9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
    </w:p>
    <w:p>
      <w:pPr>
        <w:spacing w:line="400" w:lineRule="exact"/>
        <w:rPr>
          <w:rFonts w:ascii="宋体" w:hAnsi="宋体"/>
          <w:sz w:val="24"/>
          <w:szCs w:val="24"/>
        </w:rPr>
      </w:pPr>
      <w:r/>
      <w:bookmarkStart w:id="101" w:name="_Toc14577355"/>
      <w:r/>
      <w:bookmarkStart w:id="102" w:name="_Toc49090508"/>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15"/>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3" w:name="_Hlt26670373"/>
      <w:r/>
      <w:bookmarkEnd w:id="101"/>
      <w:r/>
      <w:bookmarkEnd w:id="103"/>
      <w:r>
        <w:rPr>
          <w:rFonts w:hint="eastAsia"/>
          <w:b w:val="0"/>
          <w:bCs w:val="0"/>
        </w:rPr>
        <w:t xml:space="preserve">表</w:t>
      </w:r>
      <w:bookmarkEnd w:id="102"/>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15"/>
        <w:ind w:firstLine="420"/>
        <w:spacing w:before="0" w:after="0" w:line="400" w:lineRule="exact"/>
        <w:rPr>
          <w:b w:val="0"/>
          <w:bCs w:val="0"/>
        </w:rPr>
      </w:pPr>
      <w:r/>
      <w:bookmarkStart w:id="106" w:name="_Hlt26670486"/>
      <w:r/>
      <w:bookmarkStart w:id="107" w:name="_Hlt26668983"/>
      <w:r/>
      <w:bookmarkStart w:id="108" w:name="_Hlt26670425"/>
      <w:r/>
      <w:bookmarkStart w:id="109" w:name="_Hlt26954731"/>
      <w:r/>
      <w:bookmarkStart w:id="110" w:name="_Hlt26670482"/>
      <w:r/>
      <w:bookmarkStart w:id="111" w:name="_Hlt26954848"/>
      <w:r/>
      <w:bookmarkStart w:id="112" w:name="_Hlt26954842"/>
      <w:r/>
      <w:bookmarkStart w:id="113" w:name="_Hlt26670403"/>
      <w:r/>
      <w:bookmarkStart w:id="114" w:name="_Hlt26954846"/>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15"/>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15"/>
        <w:ind w:firstLine="420"/>
        <w:spacing w:before="0" w:after="0" w:line="400" w:lineRule="exact"/>
        <w:rPr>
          <w:b w:val="0"/>
          <w:bCs w:val="0"/>
        </w:rPr>
      </w:pPr>
      <w:r/>
      <w:bookmarkStart w:id="118" w:name="_Hlt26954734"/>
      <w:r/>
      <w:bookmarkStart w:id="119" w:name="_Hlt26670489"/>
      <w:r/>
      <w:bookmarkStart w:id="120" w:name="_Hlt26954850"/>
      <w:r/>
      <w:bookmarkStart w:id="121" w:name="_Toc14577360"/>
      <w:r/>
      <w:bookmarkStart w:id="122" w:name="_Toc49090511"/>
      <w:r/>
      <w:bookmarkEnd w:id="116"/>
      <w:r/>
      <w:bookmarkEnd w:id="117"/>
      <w:r/>
      <w:bookmarkEnd w:id="118"/>
      <w:r/>
      <w:bookmarkEnd w:id="119"/>
      <w:r/>
      <w:bookmarkEnd w:id="12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5"/>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4"/>
        <w:ind w:firstLine="482"/>
        <w:spacing w:before="145" w:after="145" w:line="400" w:lineRule="exact"/>
      </w:pPr>
      <w:r/>
      <w:bookmarkStart w:id="123" w:name="_Hlt26954852"/>
      <w:r/>
      <w:bookmarkStart w:id="124" w:name="_Hlt26954739"/>
      <w:r/>
      <w:bookmarkStart w:id="125" w:name="_Toc120614217"/>
      <w:r/>
      <w:bookmarkStart w:id="126" w:name="_Toc16938540"/>
      <w:r/>
      <w:bookmarkStart w:id="127" w:name="_Toc513029224"/>
      <w:r/>
      <w:bookmarkStart w:id="128" w:name="_Toc20823296"/>
      <w:r/>
      <w:bookmarkEnd w:id="123"/>
      <w:r/>
      <w:bookmarkEnd w:id="124"/>
      <w:r>
        <w:rPr>
          <w:rFonts w:hint="eastAsia"/>
        </w:rPr>
        <w:t xml:space="preserve">四、投标文件的递交</w:t>
      </w:r>
      <w:bookmarkEnd w:id="125"/>
      <w:r/>
      <w:bookmarkEnd w:id="126"/>
      <w:r/>
      <w:bookmarkEnd w:id="127"/>
      <w:r/>
      <w:bookmarkEnd w:id="128"/>
      <w:r/>
      <w:r/>
    </w:p>
    <w:p>
      <w:pPr>
        <w:pStyle w:val="715"/>
        <w:ind w:firstLine="560"/>
        <w:spacing w:before="0" w:after="0" w:line="400" w:lineRule="exact"/>
        <w:rPr>
          <w:rFonts w:ascii="黑体"/>
          <w:b w:val="0"/>
          <w:bCs w:val="0"/>
        </w:rPr>
      </w:pPr>
      <w:r/>
      <w:bookmarkStart w:id="129" w:name="_Toc16938541"/>
      <w:r/>
      <w:bookmarkStart w:id="130" w:name="_Toc513029225"/>
      <w:r/>
      <w:bookmarkStart w:id="131" w:name="_Toc20823297"/>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40"/>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715"/>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15"/>
        <w:ind w:firstLine="420"/>
        <w:spacing w:before="0" w:after="0" w:line="400" w:lineRule="exact"/>
        <w:rPr>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15"/>
        <w:ind w:firstLine="420"/>
        <w:spacing w:before="0" w:after="0" w:line="400" w:lineRule="exact"/>
        <w:rPr>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14"/>
        <w:ind w:firstLine="482"/>
        <w:spacing w:before="145" w:after="145" w:line="400" w:lineRule="exact"/>
      </w:pPr>
      <w:r/>
      <w:bookmarkStart w:id="142" w:name="_Toc20823301"/>
      <w:r/>
      <w:bookmarkStart w:id="143" w:name="_Toc513029229"/>
      <w:r/>
      <w:bookmarkStart w:id="144" w:name="_Toc16938545"/>
      <w:r/>
      <w:bookmarkStart w:id="145" w:name="_Toc120614218"/>
      <w:r>
        <w:rPr>
          <w:rFonts w:hint="eastAsia"/>
        </w:rPr>
        <w:t xml:space="preserve">五、开标与评标</w:t>
      </w:r>
      <w:bookmarkEnd w:id="142"/>
      <w:r/>
      <w:bookmarkEnd w:id="143"/>
      <w:r/>
      <w:bookmarkEnd w:id="144"/>
      <w:r/>
      <w:bookmarkEnd w:id="145"/>
      <w:r/>
      <w:r/>
    </w:p>
    <w:p>
      <w:pPr>
        <w:pStyle w:val="715"/>
        <w:ind w:firstLine="420"/>
        <w:spacing w:before="0" w:after="0" w:line="400" w:lineRule="exact"/>
        <w:rPr>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15"/>
        <w:ind w:firstLine="420"/>
        <w:spacing w:before="0" w:after="0" w:line="400" w:lineRule="exact"/>
        <w:rPr>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15"/>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15"/>
        <w:ind w:firstLine="420"/>
        <w:spacing w:before="0" w:after="0" w:line="400" w:lineRule="exact"/>
        <w:rPr>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15"/>
        <w:ind w:firstLine="420"/>
        <w:spacing w:before="0" w:after="0" w:line="400" w:lineRule="exact"/>
        <w:rPr>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15"/>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14"/>
        <w:ind w:firstLine="482"/>
        <w:spacing w:before="145" w:after="145" w:line="400" w:lineRule="exact"/>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715"/>
        <w:ind w:firstLine="600"/>
        <w:spacing w:before="0" w:after="0" w:line="400" w:lineRule="exact"/>
        <w:rPr>
          <w:rFonts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15"/>
        <w:ind w:firstLine="600"/>
        <w:spacing w:before="0" w:after="0" w:line="400" w:lineRule="exact"/>
        <w:rPr>
          <w:rFonts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5"/>
        <w:ind w:firstLine="600"/>
        <w:spacing w:before="0" w:after="0" w:line="400" w:lineRule="exact"/>
        <w:rPr>
          <w:rFonts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4"/>
        <w:spacing w:before="145" w:after="145" w:line="400" w:lineRule="exact"/>
      </w:pPr>
      <w:r/>
      <w:bookmarkStart w:id="169" w:name="_Toc120614220"/>
      <w:r/>
      <w:bookmarkStart w:id="170" w:name="_Toc16938552"/>
      <w:r/>
      <w:bookmarkStart w:id="171" w:name="_Toc20823308"/>
      <w:r/>
      <w:bookmarkStart w:id="172" w:name="_Toc513029236"/>
      <w:r>
        <w:rPr>
          <w:rFonts w:hint="eastAsia"/>
        </w:rPr>
        <w:t xml:space="preserve">七、授予合同</w:t>
      </w:r>
      <w:bookmarkEnd w:id="169"/>
      <w:r/>
      <w:r/>
    </w:p>
    <w:p>
      <w:pPr>
        <w:pStyle w:val="715"/>
        <w:ind w:firstLine="600"/>
        <w:spacing w:before="0" w:after="0" w:line="400" w:lineRule="exact"/>
        <w:rPr>
          <w:rFonts w:ascii="黑体" w:hAnsi="宋体"/>
          <w:b w:val="0"/>
          <w:sz w:val="30"/>
          <w:szCs w:val="30"/>
        </w:rPr>
      </w:pPr>
      <w:r/>
      <w:bookmarkStart w:id="173" w:name="_Toc20823309"/>
      <w:r/>
      <w:bookmarkStart w:id="174" w:name="_Toc16938553"/>
      <w:r/>
      <w:bookmarkStart w:id="175" w:name="_Toc513029237"/>
      <w:r/>
      <w:bookmarkEnd w:id="170"/>
      <w:r/>
      <w:bookmarkEnd w:id="171"/>
      <w:r/>
      <w:bookmarkEnd w:id="172"/>
      <w:r>
        <w:rPr>
          <w:rFonts w:ascii="黑体" w:hAnsi="宋体"/>
          <w:b w:val="0"/>
          <w:sz w:val="30"/>
          <w:szCs w:val="30"/>
        </w:rPr>
        <w:t xml:space="preserve">29</w:t>
      </w:r>
      <w:r>
        <w:rPr>
          <w:rFonts w:hint="eastAsia" w:ascii="黑体" w:hAnsi="宋体"/>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15"/>
        <w:ind w:firstLine="600"/>
        <w:spacing w:before="0" w:after="0" w:line="400" w:lineRule="exact"/>
        <w:rPr>
          <w:rFonts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15"/>
        <w:ind w:firstLine="600"/>
        <w:spacing w:before="0" w:after="0" w:line="400" w:lineRule="exact"/>
        <w:rPr>
          <w:rFonts w:ascii="黑体" w:hAnsi="宋体"/>
          <w:b w:val="0"/>
          <w:sz w:val="30"/>
          <w:szCs w:val="30"/>
        </w:rPr>
      </w:pPr>
      <w:r/>
      <w:bookmarkStart w:id="176" w:name="_Toc479757207"/>
      <w:r/>
      <w:bookmarkStart w:id="177" w:name="_Toc16938558"/>
      <w:r/>
      <w:bookmarkStart w:id="178" w:name="_Toc20823314"/>
      <w:r/>
      <w:bookmarkStart w:id="179" w:name="_Toc120614221"/>
      <w:r/>
      <w:bookmarkStart w:id="180" w:name="_Toc513029242"/>
      <w:r/>
      <w:bookmarkEnd w:id="173"/>
      <w:r/>
      <w:bookmarkEnd w:id="174"/>
      <w:r/>
      <w:bookmarkEnd w:id="175"/>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p>
    <w:p>
      <w:pPr>
        <w:pStyle w:val="666"/>
        <w:spacing w:line="400" w:lineRule="exact"/>
        <w:rPr>
          <w:rFonts w:ascii="宋体" w:hAnsi="宋体"/>
          <w:sz w:val="24"/>
          <w:szCs w:val="24"/>
        </w:rPr>
      </w:pPr>
      <w:r>
        <w:rPr>
          <w:rFonts w:hint="eastAsia" w:ascii="宋体" w:hAnsi="宋体"/>
          <w:bCs/>
          <w:sz w:val="24"/>
        </w:rPr>
        <w:t xml:space="preserve">中标供应商可凭政府采购合同办理融资贷款，详情请见江苏政府采购网“政采贷”</w:t>
      </w:r>
      <w:r>
        <w:rPr>
          <w:rFonts w:hint="eastAsia" w:ascii="宋体" w:hAnsi="宋体"/>
          <w:bCs/>
          <w:sz w:val="24"/>
        </w:rPr>
        <w:t xml:space="preserve">专栏。</w:t>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sz w:val="24"/>
          <w:szCs w:val="24"/>
        </w:rPr>
      </w:pPr>
      <w:r>
        <w:rPr>
          <w:rFonts w:ascii="宋体" w:hAnsi="宋体"/>
          <w:sz w:val="24"/>
          <w:szCs w:val="24"/>
        </w:rPr>
      </w:r>
      <w:r/>
    </w:p>
    <w:p>
      <w:pPr>
        <w:pStyle w:val="666"/>
        <w:spacing w:line="400" w:lineRule="exact"/>
        <w:rPr>
          <w:rFonts w:ascii="宋体" w:hAnsi="宋体"/>
          <w:bCs/>
          <w:sz w:val="24"/>
        </w:rPr>
      </w:pPr>
      <w:r>
        <w:rPr>
          <w:rFonts w:ascii="宋体" w:hAnsi="宋体"/>
          <w:bCs/>
          <w:sz w:val="24"/>
        </w:rPr>
      </w:r>
      <w:r/>
    </w:p>
    <w:p>
      <w:pPr>
        <w:pStyle w:val="712"/>
        <w:rPr>
          <w:rFonts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ascii="宋体" w:hAnsi="宋体"/>
          <w:b/>
          <w:sz w:val="30"/>
        </w:rPr>
        <w:outlineLvl w:val="0"/>
      </w:pPr>
      <w:r/>
      <w:bookmarkStart w:id="181" w:name="_Toc16938559"/>
      <w:r/>
      <w:bookmarkStart w:id="182" w:name="_Toc20823315"/>
      <w:r/>
      <w:bookmarkStart w:id="183"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67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675"/>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67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67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67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675"/>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675"/>
        <w:spacing w:before="120" w:after="120"/>
        <w:rPr>
          <w:rFonts w:hAnsi="宋体"/>
          <w:sz w:val="24"/>
          <w:szCs w:val="24"/>
        </w:rPr>
      </w:pPr>
      <w:r>
        <w:rPr>
          <w:rFonts w:hint="eastAsia" w:hAnsi="宋体"/>
          <w:sz w:val="24"/>
          <w:szCs w:val="24"/>
        </w:rPr>
        <w:t xml:space="preserve">1.3 标的数量（规模）：</w:t>
      </w:r>
      <w:r/>
    </w:p>
    <w:p>
      <w:pPr>
        <w:pStyle w:val="675"/>
        <w:spacing w:before="120" w:after="120"/>
        <w:rPr>
          <w:rFonts w:hAnsi="宋体"/>
          <w:sz w:val="24"/>
          <w:szCs w:val="24"/>
        </w:rPr>
      </w:pPr>
      <w:r>
        <w:rPr>
          <w:rFonts w:hint="eastAsia" w:hAnsi="宋体"/>
          <w:sz w:val="24"/>
          <w:szCs w:val="24"/>
        </w:rPr>
        <w:t xml:space="preserve">1.4 履行时间（期限）：</w:t>
      </w:r>
      <w:r/>
    </w:p>
    <w:p>
      <w:pPr>
        <w:pStyle w:val="675"/>
        <w:spacing w:before="120" w:after="120"/>
        <w:rPr>
          <w:rFonts w:hAnsi="宋体"/>
          <w:sz w:val="24"/>
          <w:szCs w:val="24"/>
        </w:rPr>
      </w:pPr>
      <w:r>
        <w:rPr>
          <w:rFonts w:hint="eastAsia" w:hAnsi="宋体"/>
          <w:sz w:val="24"/>
          <w:szCs w:val="24"/>
        </w:rPr>
        <w:t xml:space="preserve">1.5 履行地点：</w:t>
      </w:r>
      <w:r/>
    </w:p>
    <w:p>
      <w:pPr>
        <w:pStyle w:val="67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675"/>
        <w:spacing w:before="120" w:after="120"/>
        <w:rPr>
          <w:rFonts w:hAnsi="宋体"/>
          <w:b/>
          <w:sz w:val="24"/>
          <w:szCs w:val="24"/>
        </w:rPr>
      </w:pPr>
      <w:r>
        <w:rPr>
          <w:rFonts w:hAnsi="宋体"/>
          <w:b/>
          <w:sz w:val="24"/>
          <w:szCs w:val="24"/>
        </w:rPr>
        <w:t xml:space="preserve">二、合同金额</w:t>
      </w:r>
      <w:r/>
    </w:p>
    <w:p>
      <w:pPr>
        <w:pStyle w:val="675"/>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675"/>
        <w:spacing w:before="120" w:after="120"/>
        <w:rPr>
          <w:rFonts w:hAnsi="宋体"/>
          <w:b/>
          <w:sz w:val="24"/>
          <w:szCs w:val="24"/>
        </w:rPr>
      </w:pPr>
      <w:r>
        <w:rPr>
          <w:rFonts w:hAnsi="宋体"/>
          <w:b/>
          <w:sz w:val="24"/>
          <w:szCs w:val="24"/>
        </w:rPr>
        <w:t xml:space="preserve">三、技术资料</w:t>
      </w:r>
      <w:r/>
    </w:p>
    <w:p>
      <w:pPr>
        <w:pStyle w:val="675"/>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67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5"/>
        <w:ind w:left="412" w:hanging="412"/>
        <w:spacing w:before="120" w:after="120"/>
        <w:rPr>
          <w:rFonts w:hAnsi="宋体"/>
          <w:b/>
          <w:sz w:val="24"/>
          <w:szCs w:val="24"/>
        </w:rPr>
      </w:pPr>
      <w:r>
        <w:rPr>
          <w:rFonts w:hAnsi="宋体"/>
          <w:b/>
          <w:sz w:val="24"/>
          <w:szCs w:val="24"/>
        </w:rPr>
        <w:t xml:space="preserve">四、知识产权</w:t>
      </w:r>
      <w:r/>
    </w:p>
    <w:p>
      <w:pPr>
        <w:pStyle w:val="675"/>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675"/>
        <w:ind w:left="408" w:hanging="408"/>
        <w:spacing w:before="120" w:after="120"/>
        <w:rPr>
          <w:rFonts w:hAnsi="宋体"/>
          <w:sz w:val="24"/>
          <w:szCs w:val="24"/>
        </w:rPr>
      </w:pPr>
      <w:r>
        <w:rPr>
          <w:rFonts w:hint="eastAsia" w:hAnsi="宋体"/>
          <w:sz w:val="24"/>
          <w:szCs w:val="24"/>
        </w:rPr>
        <w:t xml:space="preserve">4.2</w:t>
      </w:r>
      <w:r>
        <w:rPr>
          <w:rFonts w:hAnsi="宋体"/>
          <w:sz w:val="24"/>
          <w:szCs w:val="24"/>
        </w:rPr>
        <w:t xml:space="preserve">本项目开发成果的知识产权归甲方所有</w:t>
      </w:r>
      <w:r>
        <w:rPr>
          <w:rFonts w:hint="eastAsia" w:hAnsi="宋体"/>
          <w:sz w:val="24"/>
          <w:szCs w:val="24"/>
        </w:rPr>
        <w:t xml:space="preserve">，</w:t>
      </w:r>
      <w:r>
        <w:rPr>
          <w:rFonts w:hAnsi="宋体"/>
          <w:sz w:val="24"/>
          <w:szCs w:val="24"/>
        </w:rPr>
        <w:t xml:space="preserve">乙方必须向甲方提供本项目软件的使用说明及源程序码等开发成果。</w:t>
      </w:r>
      <w:r/>
    </w:p>
    <w:p>
      <w:pPr>
        <w:pStyle w:val="675"/>
        <w:spacing w:before="120" w:after="120"/>
        <w:rPr>
          <w:rFonts w:hAnsi="宋体"/>
          <w:sz w:val="24"/>
          <w:szCs w:val="24"/>
          <w:u w:val="single"/>
        </w:rPr>
      </w:pPr>
      <w:r>
        <w:rPr>
          <w:rFonts w:hAnsi="宋体"/>
          <w:b/>
          <w:sz w:val="24"/>
          <w:szCs w:val="24"/>
        </w:rPr>
        <w:t xml:space="preserve">五、产权担保</w:t>
      </w:r>
      <w:r/>
    </w:p>
    <w:p>
      <w:pPr>
        <w:pStyle w:val="67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675"/>
        <w:ind w:left="410" w:hanging="410"/>
        <w:spacing w:before="120" w:after="120"/>
        <w:rPr>
          <w:rFonts w:hAnsi="宋体"/>
          <w:b/>
          <w:sz w:val="24"/>
          <w:szCs w:val="24"/>
        </w:rPr>
      </w:pPr>
      <w:r>
        <w:rPr>
          <w:rFonts w:hAnsi="宋体"/>
          <w:b/>
          <w:sz w:val="24"/>
          <w:szCs w:val="24"/>
        </w:rPr>
        <w:t xml:space="preserve">六、履约保证金</w:t>
      </w:r>
      <w:r/>
    </w:p>
    <w:p>
      <w:pPr>
        <w:spacing w:before="120" w:after="120"/>
        <w:rPr>
          <w:rFonts w:hAnsi="宋体"/>
          <w:sz w:val="24"/>
          <w:szCs w:val="24"/>
        </w:rPr>
      </w:pPr>
      <w:r>
        <w:rPr>
          <w:rFonts w:hAnsi="宋体"/>
          <w:sz w:val="24"/>
          <w:szCs w:val="24"/>
        </w:rPr>
        <w:t xml:space="preserve">6.1 </w:t>
      </w:r>
      <w:r>
        <w:rPr>
          <w:rFonts w:hint="eastAsia" w:hAnsi="宋体"/>
          <w:sz w:val="24"/>
          <w:szCs w:val="24"/>
        </w:rPr>
        <w:t xml:space="preserve">本项目不收取履约保证金。</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67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预付款支付时间：合同签订后且甲方收到发票后20个工作日内，预付款支付比例：合同金额的30%。</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.1.2 第二笔款支付时间：乙方完成注册系统、成绩系统等所有系统开发工作，通过甲方及需求单位验收，甲方收到发票后20个工作日内，第二笔款支付比例：合同金额的40%。</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.1.3 尾款支付时间：乙方完成合同约定的所有服务，项目通过甲方及需求单位验收，甲方收到发票后20个工作日内，尾款支付比例：合同金额的30%。</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67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675"/>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675"/>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5"/>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675"/>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675"/>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5"/>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6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6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6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6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6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67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67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67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6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675"/>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67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67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67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67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675"/>
        <w:ind w:left="480" w:hanging="480"/>
        <w:spacing w:before="120" w:after="120" w:line="0" w:lineRule="atLeast"/>
        <w:rPr>
          <w:rFonts w:hAnsi="宋体"/>
          <w:sz w:val="24"/>
          <w:szCs w:val="24"/>
        </w:rPr>
      </w:pPr>
      <w:r>
        <w:rPr>
          <w:rFonts w:hAnsi="宋体"/>
          <w:sz w:val="24"/>
          <w:szCs w:val="24"/>
        </w:rPr>
        <w:t xml:space="preserve">  甲方：                        乙方： </w:t>
      </w:r>
      <w:r/>
    </w:p>
    <w:p>
      <w:pPr>
        <w:pStyle w:val="67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67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675"/>
        <w:ind w:firstLine="240"/>
        <w:spacing w:before="120" w:after="120" w:line="0" w:lineRule="atLeast"/>
      </w:pPr>
      <w:r>
        <w:rPr>
          <w:rFonts w:hint="eastAsia" w:hAnsi="宋体"/>
          <w:sz w:val="24"/>
          <w:szCs w:val="24"/>
        </w:rPr>
        <w:t xml:space="preserve">联系电话：                    联系电话：          </w:t>
      </w:r>
      <w:r/>
    </w:p>
    <w:p>
      <w:pPr>
        <w:pStyle w:val="675"/>
        <w:jc w:val="center"/>
        <w:spacing w:before="120" w:after="120" w:line="0" w:lineRule="atLeast"/>
      </w:pPr>
      <w:r>
        <w:rPr>
          <w:rFonts w:hint="eastAsia"/>
        </w:rPr>
        <w:t xml:space="preserve">                                         </w:t>
      </w:r>
      <w:r/>
    </w:p>
    <w:p>
      <w:pPr>
        <w:pStyle w:val="675"/>
        <w:jc w:val="right"/>
        <w:spacing w:before="120" w:after="120" w:line="0" w:lineRule="atLeast"/>
        <w:rPr>
          <w:sz w:val="24"/>
          <w:szCs w:val="24"/>
        </w:rPr>
      </w:pPr>
      <w:r>
        <w:rPr>
          <w:rFonts w:hint="eastAsia"/>
          <w:sz w:val="24"/>
          <w:szCs w:val="24"/>
        </w:rPr>
        <w:t xml:space="preserve"> </w:t>
      </w:r>
      <w:r/>
    </w:p>
    <w:p>
      <w:pPr>
        <w:pStyle w:val="675"/>
        <w:jc w:val="center"/>
        <w:spacing w:before="120" w:after="120" w:line="0" w:lineRule="atLeast"/>
        <w:rPr>
          <w:rFonts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84" w:name="_Hlt16619369"/>
      <w:r/>
      <w:bookmarkStart w:id="185" w:name="_Hlt16619350"/>
      <w:r/>
      <w:bookmarkStart w:id="186" w:name="_Toc16938590"/>
      <w:r/>
      <w:bookmarkStart w:id="187" w:name="_Toc120614244"/>
      <w:r/>
      <w:bookmarkStart w:id="188" w:name="_Toc20823346"/>
      <w:r/>
      <w:bookmarkStart w:id="189" w:name="_Toc462564139"/>
      <w:r/>
      <w:bookmarkStart w:id="190" w:name="_Toc479757211"/>
      <w:r/>
      <w:bookmarkEnd w:id="181"/>
      <w:r/>
      <w:bookmarkEnd w:id="182"/>
      <w:r/>
      <w:bookmarkEnd w:id="183"/>
      <w:r/>
      <w:bookmarkEnd w:id="184"/>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b/>
          <w:color w:val="000000"/>
          <w:sz w:val="24"/>
          <w:szCs w:val="24"/>
        </w:rPr>
      </w:pPr>
      <w:r/>
      <w:bookmarkStart w:id="191" w:name="_Toc49090575"/>
      <w:r/>
      <w:bookmarkStart w:id="192"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center"/>
              <w:spacing w:line="0" w:lineRule="atLeast"/>
              <w:rPr>
                <w:rFonts w:ascii="宋体" w:hAnsi="宋体"/>
                <w:sz w:val="24"/>
                <w:szCs w:val="24"/>
              </w:rPr>
            </w:pPr>
            <w:r/>
            <w:bookmarkStart w:id="193" w:name="OLE_LINK11"/>
            <w:r/>
            <w:bookmarkStart w:id="194" w:name="OLE_LINK18"/>
            <w:r>
              <w:rPr>
                <w:rFonts w:ascii="宋体" w:hAnsi="宋体"/>
                <w:sz w:val="24"/>
                <w:szCs w:val="24"/>
              </w:rPr>
              <w:t xml:space="preserve">江苏省第二十一届运动会综合管理系统开发</w:t>
            </w:r>
            <w:bookmarkEnd w:id="193"/>
            <w:r/>
            <w:bookmarkEnd w:id="194"/>
            <w:r/>
            <w:r/>
          </w:p>
        </w:tc>
        <w:tc>
          <w:tcPr>
            <w:tcW w:w="2852" w:type="dxa"/>
            <w:textDirection w:val="lrTb"/>
            <w:noWrap w:val="false"/>
          </w:tcPr>
          <w:p>
            <w:pPr>
              <w:jc w:val="center"/>
              <w:spacing w:line="0" w:lineRule="atLeast"/>
              <w:rPr>
                <w:rFonts w:ascii="宋体" w:hAnsi="宋体"/>
                <w:sz w:val="24"/>
                <w:szCs w:val="24"/>
                <w:highlight w:val="yellow"/>
              </w:rPr>
            </w:pPr>
            <w:r>
              <w:rPr>
                <w:rFonts w:hint="eastAsia" w:ascii="宋体" w:hAnsi="宋体"/>
                <w:sz w:val="24"/>
                <w:szCs w:val="24"/>
              </w:rPr>
              <w:t xml:space="preserve">软件和信息技术服务业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二、项目概况</w:t>
      </w:r>
      <w:r/>
    </w:p>
    <w:p>
      <w:pPr>
        <w:ind w:firstLine="480"/>
        <w:jc w:val="left"/>
        <w:spacing w:line="500" w:lineRule="exact"/>
        <w:rPr>
          <w:rFonts w:ascii="宋体" w:hAnsi="宋体" w:cs="方正仿宋_GBK"/>
          <w:sz w:val="24"/>
          <w:szCs w:val="24"/>
        </w:rPr>
      </w:pPr>
      <w:r>
        <w:rPr>
          <w:rFonts w:hint="eastAsia" w:ascii="宋体" w:hAnsi="宋体"/>
          <w:sz w:val="24"/>
          <w:szCs w:val="24"/>
        </w:rPr>
        <w:t xml:space="preserve">江苏省第二十一届运动会综合管理系统开发</w:t>
      </w:r>
      <w:r>
        <w:rPr>
          <w:rFonts w:hint="eastAsia" w:ascii="宋体" w:hAnsi="宋体" w:cs="方正仿宋_GBK"/>
          <w:sz w:val="24"/>
          <w:szCs w:val="24"/>
        </w:rPr>
        <w:t xml:space="preserve">项目，旨在构建一个全省统一、高效便捷的数字化赛事注册、报名及成绩管理系统</w:t>
      </w:r>
      <w:r>
        <w:rPr>
          <w:rFonts w:hint="eastAsia" w:ascii="宋体" w:hAnsi="宋体" w:cs="方正仿宋_GBK"/>
          <w:sz w:val="24"/>
          <w:szCs w:val="24"/>
        </w:rPr>
        <w:t xml:space="preserve">。该系统将为组委会、各市代表团、参赛单位及运动员提供涵盖注册、资格审查、在线报名、多级审核、成绩管理、赛程赛果发布、数据统计等一站式服务。通过实现全流程线上化与数据一体化，系统核心目标是大幅提升省运会组织管理的规范化水平与工作效率，确保赛事流程的公正透明，并为赛事决策提供精准的数据支持，构建“一体化管理、智能化服务、专业化保障”的现代化赛事运营体系。系统开发建设要充分考虑可持续使用、可迭代升级，不能仅局限于本届省运会的使用，还要兼顾其他省级青少年赛事的应用，同时要可与其他相关系统实现互联互通、信息共享共用。</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三、服务需求</w:t>
      </w:r>
      <w:r/>
    </w:p>
    <w:p>
      <w:pPr>
        <w:numPr>
          <w:ilvl w:val="0"/>
          <w:numId w:val="5"/>
        </w:num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赛事注册报名系统</w:t>
      </w:r>
      <w:r/>
    </w:p>
    <w:p>
      <w:p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（1）人员注册与资格审查管理</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提供运动员及教练员的在线注册入口，支持个人基本资料、注册信息、家庭信息、证明材料等信息的录入与审核管理。依据省运会规则，对运动员参赛资格进行严格审查，特别是对学籍卡等关键材料进行在线提交、核验与归档，实现资格审查流程的标准化、透明化与可追溯，确保参赛人员身份的准确性与合法性。(</w:t>
      </w:r>
      <w:r>
        <w:rPr>
          <w:rFonts w:hint="eastAsia" w:ascii="宋体" w:hAnsi="宋体" w:cs="方正仿宋_GBK"/>
          <w:color w:val="000000"/>
          <w:sz w:val="24"/>
          <w:szCs w:val="24"/>
        </w:rPr>
        <w:t xml:space="preserve">系统演示1)</w:t>
      </w:r>
      <w:r/>
    </w:p>
    <w:p>
      <w:pPr>
        <w:ind w:left="630"/>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（2）全国注册协同与协议管理</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支持符合资格的运动员在线预填报全国系统注册信息，通过内置校验规则确保数据的规范与完整。</w:t>
      </w:r>
      <w:r/>
    </w:p>
    <w:p>
      <w:pPr>
        <w:ind w:firstLine="480"/>
        <w:spacing w:line="580" w:lineRule="exact"/>
        <w:rPr>
          <w:rFonts w:ascii="宋体" w:hAnsi="宋体" w:cs="方正仿宋_GBK"/>
          <w:b/>
          <w:sz w:val="24"/>
          <w:szCs w:val="24"/>
        </w:rPr>
        <w:outlineLvl w:val="1"/>
      </w:pPr>
      <w:r/>
      <w:bookmarkStart w:id="195" w:name="OLE_LINK5"/>
      <w:r>
        <w:rPr>
          <w:rFonts w:hint="eastAsia" w:ascii="宋体" w:hAnsi="宋体"/>
          <w:bCs/>
          <w:color w:val="000000"/>
          <w:sz w:val="24"/>
          <w:szCs w:val="24"/>
        </w:rPr>
        <w:t xml:space="preserve">▲</w:t>
      </w:r>
      <w:bookmarkEnd w:id="195"/>
      <w:r>
        <w:rPr>
          <w:rFonts w:hint="eastAsia" w:ascii="宋体" w:hAnsi="宋体" w:cs="方正仿宋_GBK"/>
          <w:sz w:val="24"/>
          <w:szCs w:val="24"/>
        </w:rPr>
        <w:t xml:space="preserve">填报完成后，可一键自动生成符合标准的全国运动员代表资格协议书，并支持</w:t>
      </w:r>
      <w:r>
        <w:rPr>
          <w:rFonts w:hint="eastAsia" w:ascii="宋体" w:hAnsi="宋体" w:cs="方正仿宋_GBK"/>
          <w:sz w:val="24"/>
          <w:szCs w:val="24"/>
        </w:rPr>
        <w:t xml:space="preserve">在线打印或生成电子文件，简化从省运会到全国注册的跨申报流程。</w:t>
      </w:r>
      <w:r>
        <w:rPr>
          <w:rFonts w:hint="eastAsia" w:ascii="宋体" w:hAnsi="宋体" w:cs="方正仿宋_GBK"/>
          <w:b/>
          <w:sz w:val="24"/>
          <w:szCs w:val="24"/>
        </w:rPr>
        <w:t xml:space="preserve">(</w:t>
      </w:r>
      <w:r>
        <w:rPr>
          <w:rFonts w:hint="eastAsia" w:ascii="宋体" w:hAnsi="宋体" w:cs="方正仿宋_GBK"/>
          <w:b/>
          <w:color w:val="000000"/>
          <w:sz w:val="24"/>
          <w:szCs w:val="24"/>
        </w:rPr>
        <w:t xml:space="preserve">提供类似系统功能截图)</w:t>
      </w:r>
      <w:r/>
    </w:p>
    <w:p>
      <w:pPr>
        <w:ind w:left="630"/>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（3）赛事与全流程报名管理</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赛事运营方可通过后台动态发布与管理赛事信息，包括设置报名开放的组别、项目，定义各项目的报名人数上限、年龄范围等具体规则，并配置相应的资格限制条件。系统将根据这些预设规则，自动对各单位的报名数据进行校验和限制。在报名端，它为参赛单位提供了从在线填报报名表、提交电子材料、实时跟踪资格审核状态直至完成最终报名确认的全流程线上服务。同时，系统对汇聚的所有报名数据进行实时统计与多维度智能分析，包括各项目、组别的参赛人数，不同单位的报名人数情况等，为赛事规模调控、资源优化配置及管理决策提供精准、及时的数据支撑。(</w:t>
      </w:r>
      <w:r>
        <w:rPr>
          <w:rFonts w:hint="eastAsia" w:ascii="宋体" w:hAnsi="宋体" w:cs="方正仿宋_GBK"/>
          <w:color w:val="000000"/>
          <w:sz w:val="24"/>
          <w:szCs w:val="24"/>
        </w:rPr>
        <w:t xml:space="preserve">系统演示2)</w:t>
      </w:r>
      <w:r/>
    </w:p>
    <w:p>
      <w:pPr>
        <w:ind w:left="630"/>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（4）综合通讯与协同办公支持</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建立一个集中、统一的人员通讯录数据库，涵盖所有运动员、教练员、领队、裁判员、组委会工作人员及参赛单位联系人的信息，并支持按角色、单位等进行分类查询与权限管理。通过集成短信通知等功能，保障赛事指令、提醒和通知能够精准、及时传达，从而强化组织内部协作，保障赛事组织工作的高效、有序运行。</w:t>
      </w:r>
      <w:r/>
    </w:p>
    <w:p>
      <w:pPr>
        <w:numPr>
          <w:ilvl w:val="0"/>
          <w:numId w:val="5"/>
        </w:num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成绩管理系统</w:t>
      </w:r>
      <w:r/>
    </w:p>
    <w:p>
      <w:p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（1）</w:t>
      </w:r>
      <w:r>
        <w:rPr>
          <w:rFonts w:hint="eastAsia" w:ascii="宋体" w:hAnsi="宋体"/>
          <w:bCs/>
          <w:color w:val="000000"/>
          <w:sz w:val="24"/>
          <w:szCs w:val="24"/>
        </w:rPr>
        <w:t xml:space="preserve">▲</w:t>
      </w:r>
      <w:r>
        <w:rPr>
          <w:rFonts w:hint="eastAsia" w:ascii="宋体" w:hAnsi="宋体" w:cs="方正仿宋_GBK"/>
          <w:b/>
          <w:bCs/>
          <w:sz w:val="24"/>
          <w:szCs w:val="24"/>
        </w:rPr>
        <w:t xml:space="preserve">赛事日程与机构管理</w:t>
      </w:r>
      <w:r/>
    </w:p>
    <w:p>
      <w:pPr>
        <w:ind w:firstLine="480"/>
        <w:spacing w:line="580" w:lineRule="exact"/>
        <w:rPr>
          <w:rFonts w:ascii="宋体" w:hAnsi="宋体" w:cs="方正仿宋_GBK"/>
          <w:b/>
          <w:sz w:val="24"/>
          <w:szCs w:val="24"/>
        </w:rPr>
        <w:outlineLvl w:val="1"/>
      </w:pPr>
      <w:r>
        <w:rPr>
          <w:rFonts w:hint="eastAsia" w:ascii="宋体" w:hAnsi="宋体" w:cs="方正仿宋_GBK"/>
          <w:sz w:val="24"/>
          <w:szCs w:val="24"/>
        </w:rPr>
        <w:t xml:space="preserve">支持按地域或项目划分独立的分赛区，实现各赛区的个性化管理。涵盖对所有参赛机构（如高校组、职工组代表队）的独立信息管理与赛果归集。支持进行精细化的赛事日程管理，能详细管理每个比赛项目的时间、地点，并确保该日程作为后续所有成绩与赛果关联的基础。</w:t>
      </w:r>
      <w:r>
        <w:rPr>
          <w:rFonts w:hint="eastAsia" w:ascii="宋体" w:hAnsi="宋体" w:cs="方正仿宋_GBK"/>
          <w:b/>
          <w:sz w:val="24"/>
          <w:szCs w:val="24"/>
        </w:rPr>
        <w:t xml:space="preserve">(</w:t>
      </w:r>
      <w:r>
        <w:rPr>
          <w:rFonts w:hint="eastAsia" w:ascii="宋体" w:hAnsi="宋体" w:cs="方正仿宋_GBK"/>
          <w:b/>
          <w:color w:val="000000"/>
          <w:sz w:val="24"/>
          <w:szCs w:val="24"/>
        </w:rPr>
        <w:t xml:space="preserve">提供类似系统功能截图)</w:t>
      </w:r>
      <w:r/>
    </w:p>
    <w:p>
      <w:pPr>
        <w:ind w:firstLine="241"/>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（2）</w:t>
      </w:r>
      <w:r>
        <w:rPr>
          <w:rFonts w:hint="eastAsia" w:ascii="宋体" w:hAnsi="宋体"/>
          <w:bCs/>
          <w:color w:val="000000"/>
          <w:sz w:val="24"/>
          <w:szCs w:val="24"/>
        </w:rPr>
        <w:t xml:space="preserve">▲</w:t>
      </w:r>
      <w:r>
        <w:rPr>
          <w:rFonts w:hint="eastAsia" w:ascii="宋体" w:hAnsi="宋体" w:cs="方正仿宋_GBK"/>
          <w:b/>
          <w:bCs/>
          <w:sz w:val="24"/>
          <w:szCs w:val="24"/>
        </w:rPr>
        <w:t xml:space="preserve">全流程成绩采集与处理</w:t>
      </w:r>
      <w:r/>
    </w:p>
    <w:p>
      <w:pPr>
        <w:ind w:firstLine="480"/>
        <w:spacing w:line="580" w:lineRule="exact"/>
        <w:rPr>
          <w:rFonts w:ascii="宋体" w:hAnsi="宋体" w:cs="方正仿宋_GBK"/>
          <w:b/>
          <w:sz w:val="24"/>
          <w:szCs w:val="24"/>
        </w:rPr>
        <w:outlineLvl w:val="1"/>
      </w:pPr>
      <w:r>
        <w:rPr>
          <w:rFonts w:hint="eastAsia" w:ascii="宋体" w:hAnsi="宋体" w:cs="方正仿宋_GBK"/>
          <w:sz w:val="24"/>
          <w:szCs w:val="24"/>
        </w:rPr>
        <w:t xml:space="preserve">完成从成绩产生到最终确认的完整数据流管理。提供手动录入、批量导入等多种灵活的成绩采集方式，并内置多级审核机制，确保每一条从预赛、复赛到决赛的过程</w:t>
      </w:r>
      <w:r>
        <w:rPr>
          <w:rFonts w:hint="eastAsia" w:ascii="宋体" w:hAnsi="宋体" w:cs="方正仿宋_GBK"/>
          <w:sz w:val="24"/>
          <w:szCs w:val="24"/>
        </w:rPr>
        <w:t xml:space="preserve">成绩数据都准确无误。系统支持自动把所有通过审核的成绩，与赛程中的对应项目和场次进行实时关联与绑定，形成完整、可追溯的“赛程-赛果”数据链，为前端查询与发布提供权威数据源。</w:t>
      </w:r>
      <w:r>
        <w:rPr>
          <w:rFonts w:hint="eastAsia" w:ascii="宋体" w:hAnsi="宋体" w:cs="方正仿宋_GBK"/>
          <w:b/>
          <w:sz w:val="24"/>
          <w:szCs w:val="24"/>
        </w:rPr>
        <w:t xml:space="preserve">(提供类似系统功能截图)</w:t>
      </w:r>
      <w:r/>
    </w:p>
    <w:p>
      <w:pPr>
        <w:ind w:firstLine="241"/>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（3）动态计分规则与电子证书生成服务</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系统支持以精确的动态计分计牌规则库为基础，负责依据“全流程成绩采集与处理”模块审核通过的最终成绩，执行积分与奖牌的自动、实时计算逻辑，生成赛会成绩奖、综合成绩奖数据。</w:t>
      </w:r>
      <w:r/>
    </w:p>
    <w:p>
      <w:pPr>
        <w:ind w:firstLine="480"/>
        <w:spacing w:line="580" w:lineRule="exact"/>
        <w:rPr>
          <w:rFonts w:ascii="宋体" w:hAnsi="宋体" w:cs="方正仿宋_GBK"/>
          <w:b/>
          <w:sz w:val="24"/>
          <w:szCs w:val="24"/>
        </w:rPr>
        <w:outlineLvl w:val="1"/>
      </w:pPr>
      <w:r>
        <w:rPr>
          <w:rFonts w:hint="eastAsia" w:ascii="宋体" w:hAnsi="宋体"/>
          <w:bCs/>
          <w:color w:val="000000"/>
          <w:sz w:val="24"/>
          <w:szCs w:val="24"/>
        </w:rPr>
        <w:t xml:space="preserve">▲</w:t>
      </w:r>
      <w:r>
        <w:rPr>
          <w:rFonts w:hint="eastAsia" w:ascii="宋体" w:hAnsi="宋体" w:cs="方正仿宋_GBK"/>
          <w:sz w:val="24"/>
          <w:szCs w:val="24"/>
        </w:rPr>
        <w:t xml:space="preserve">依据这些计算结果，为运动员提供个人成绩的精确查询，并支持获奖电子证书的生成与下载服务。</w:t>
      </w:r>
      <w:r>
        <w:rPr>
          <w:rFonts w:hint="eastAsia" w:ascii="宋体" w:hAnsi="宋体" w:cs="方正仿宋_GBK"/>
          <w:b/>
          <w:sz w:val="24"/>
          <w:szCs w:val="24"/>
        </w:rPr>
        <w:t xml:space="preserve">(</w:t>
      </w:r>
      <w:r>
        <w:rPr>
          <w:rFonts w:hint="eastAsia" w:ascii="宋体" w:hAnsi="宋体" w:cs="方正仿宋_GBK"/>
          <w:b/>
          <w:color w:val="000000"/>
          <w:sz w:val="24"/>
          <w:szCs w:val="24"/>
        </w:rPr>
        <w:t xml:space="preserve">提供类似系统功能截图)</w:t>
      </w:r>
      <w:r/>
    </w:p>
    <w:p>
      <w:pPr>
        <w:ind w:firstLine="241"/>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（4）归档与统计分析</w:t>
      </w:r>
      <w:r/>
    </w:p>
    <w:p>
      <w:pPr>
        <w:ind w:firstLine="480"/>
        <w:spacing w:line="580" w:lineRule="exact"/>
        <w:rPr>
          <w:rFonts w:ascii="宋体" w:hAnsi="宋体" w:cs="方正仿宋_GBK"/>
          <w:sz w:val="24"/>
          <w:szCs w:val="24"/>
        </w:rPr>
        <w:outlineLvl w:val="1"/>
      </w:pPr>
      <w:r>
        <w:rPr>
          <w:rFonts w:hint="eastAsia" w:ascii="宋体" w:hAnsi="宋体"/>
          <w:bCs/>
          <w:color w:val="000000"/>
          <w:sz w:val="24"/>
          <w:szCs w:val="24"/>
        </w:rPr>
        <w:t xml:space="preserve">▲</w:t>
      </w:r>
      <w:r>
        <w:rPr>
          <w:rFonts w:hint="eastAsia" w:ascii="宋体" w:hAnsi="宋体" w:cs="方正仿宋_GBK"/>
          <w:sz w:val="24"/>
          <w:szCs w:val="24"/>
        </w:rPr>
        <w:t xml:space="preserve">系统支持成绩册和秩序册线上审核与发布管理，支持基于全部最终成绩，提供强大的多维度数据统计与分析能力，支持按项目、队伍、个人等不同视角生成各类分析报表。</w:t>
      </w:r>
      <w:r>
        <w:rPr>
          <w:rFonts w:hint="eastAsia" w:ascii="宋体" w:hAnsi="宋体" w:cs="方正仿宋_GBK"/>
          <w:b/>
          <w:bCs/>
          <w:sz w:val="24"/>
          <w:szCs w:val="24"/>
        </w:rPr>
        <w:t xml:space="preserve">(</w:t>
      </w:r>
      <w:r>
        <w:rPr>
          <w:rFonts w:hint="eastAsia" w:ascii="宋体" w:hAnsi="宋体" w:cs="方正仿宋_GBK"/>
          <w:b/>
          <w:bCs/>
          <w:color w:val="000000"/>
          <w:sz w:val="24"/>
          <w:szCs w:val="24"/>
        </w:rPr>
        <w:t xml:space="preserve">提供类似系统功能截图)</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所有官方成绩册、秩序册、统计报表及原始数据将按照标准规范进行系统化归档保存，形成完整的赛事数字档案，便于长期查阅与评估。</w:t>
      </w:r>
      <w:r/>
    </w:p>
    <w:p>
      <w:pPr>
        <w:numPr>
          <w:ilvl w:val="0"/>
          <w:numId w:val="5"/>
        </w:num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赛程赛果信息发布</w:t>
      </w:r>
      <w:r/>
    </w:p>
    <w:p>
      <w:pPr>
        <w:pStyle w:val="692"/>
        <w:ind w:firstLine="480"/>
        <w:spacing w:before="240" w:after="240"/>
        <w:shd w:val="clear" w:color="auto" w:fill="ffffff"/>
        <w:rPr>
          <w:rFonts w:cs="方正仿宋_GBK"/>
        </w:rPr>
      </w:pPr>
      <w:r>
        <w:rPr>
          <w:rFonts w:cs="方正仿宋_GBK"/>
        </w:rPr>
        <w:t xml:space="preserve">提供一套权威、实时、透明的官方信息发布与数据可视化</w:t>
      </w:r>
      <w:r>
        <w:rPr>
          <w:rFonts w:hint="eastAsia" w:cs="方正仿宋_GBK"/>
        </w:rPr>
        <w:t xml:space="preserve">系统</w:t>
      </w:r>
      <w:r>
        <w:rPr>
          <w:rFonts w:cs="方正仿宋_GBK"/>
        </w:rPr>
        <w:t xml:space="preserve">，全面覆盖省运会赛程、赛果与奖牌统计等核心信息。</w:t>
      </w:r>
      <w:r/>
    </w:p>
    <w:p>
      <w:pPr>
        <w:ind w:firstLine="241"/>
        <w:spacing w:line="580" w:lineRule="exact"/>
        <w:rPr>
          <w:rFonts w:ascii="宋体" w:hAnsi="宋体" w:cs="方正仿宋_GBK"/>
          <w:b/>
          <w:bCs/>
          <w:sz w:val="24"/>
          <w:szCs w:val="24"/>
        </w:rPr>
        <w:outlineLvl w:val="1"/>
      </w:pPr>
      <w:r>
        <w:rPr>
          <w:rFonts w:ascii="宋体" w:hAnsi="宋体" w:cs="方正仿宋_GBK"/>
          <w:b/>
          <w:bCs/>
          <w:sz w:val="24"/>
          <w:szCs w:val="24"/>
        </w:rPr>
        <w:t xml:space="preserve">（</w:t>
      </w:r>
      <w:r>
        <w:rPr>
          <w:rFonts w:hint="eastAsia" w:ascii="宋体" w:hAnsi="宋体" w:cs="方正仿宋_GBK"/>
          <w:b/>
          <w:bCs/>
          <w:sz w:val="24"/>
          <w:szCs w:val="24"/>
        </w:rPr>
        <w:t xml:space="preserve">1</w:t>
      </w:r>
      <w:r>
        <w:rPr>
          <w:rFonts w:ascii="宋体" w:hAnsi="宋体" w:cs="方正仿宋_GBK"/>
          <w:b/>
          <w:bCs/>
          <w:sz w:val="24"/>
          <w:szCs w:val="24"/>
        </w:rPr>
        <w:t xml:space="preserve">）精细化赛程管理</w:t>
      </w:r>
      <w:r/>
    </w:p>
    <w:p>
      <w:pPr>
        <w:ind w:firstLine="480"/>
        <w:spacing w:line="580" w:lineRule="exact"/>
        <w:rPr>
          <w:rFonts w:ascii="宋体" w:hAnsi="宋体" w:cs="方正仿宋_GBK"/>
          <w:sz w:val="24"/>
          <w:szCs w:val="24"/>
        </w:rPr>
        <w:outlineLvl w:val="1"/>
      </w:pPr>
      <w:r>
        <w:rPr>
          <w:rFonts w:ascii="宋体" w:hAnsi="宋体" w:cs="方正仿宋_GBK"/>
          <w:sz w:val="24"/>
          <w:szCs w:val="24"/>
        </w:rPr>
        <w:t xml:space="preserve">支持全量赛程发布</w:t>
      </w:r>
      <w:r>
        <w:rPr>
          <w:rFonts w:hint="eastAsia" w:ascii="宋体" w:hAnsi="宋体" w:cs="方正仿宋_GBK"/>
          <w:sz w:val="24"/>
          <w:szCs w:val="24"/>
        </w:rPr>
        <w:t xml:space="preserve">，</w:t>
      </w:r>
      <w:r>
        <w:rPr>
          <w:rFonts w:ascii="宋体" w:hAnsi="宋体" w:cs="方正仿宋_GBK"/>
          <w:sz w:val="24"/>
          <w:szCs w:val="24"/>
        </w:rPr>
        <w:t xml:space="preserve">管理员在后台发布、管理与更新所有竞赛项目的完整赛程，信息维度包括：比赛日期、所属大项/分项/小项、比赛阶段（如预赛、决赛）、场馆名称、具体场地</w:t>
      </w:r>
      <w:r>
        <w:rPr>
          <w:rFonts w:hint="eastAsia" w:ascii="宋体" w:hAnsi="宋体" w:cs="方正仿宋_GBK"/>
          <w:sz w:val="24"/>
          <w:szCs w:val="24"/>
        </w:rPr>
        <w:t xml:space="preserve">等</w:t>
      </w:r>
      <w:r>
        <w:rPr>
          <w:rFonts w:ascii="宋体" w:hAnsi="宋体" w:cs="方正仿宋_GBK"/>
          <w:sz w:val="24"/>
          <w:szCs w:val="24"/>
        </w:rPr>
        <w:t xml:space="preserve">。</w:t>
      </w:r>
      <w:r>
        <w:rPr>
          <w:rFonts w:hint="eastAsia" w:ascii="宋体" w:hAnsi="宋体" w:cs="方正仿宋_GBK"/>
          <w:sz w:val="24"/>
          <w:szCs w:val="24"/>
        </w:rPr>
        <w:t xml:space="preserve">支持</w:t>
      </w:r>
      <w:r>
        <w:rPr>
          <w:rFonts w:ascii="宋体" w:hAnsi="宋体" w:cs="方正仿宋_GBK"/>
          <w:sz w:val="24"/>
          <w:szCs w:val="24"/>
        </w:rPr>
        <w:t xml:space="preserve">多视图展示</w:t>
      </w:r>
      <w:r>
        <w:rPr>
          <w:rFonts w:hint="eastAsia" w:ascii="宋体" w:hAnsi="宋体" w:cs="方正仿宋_GBK"/>
          <w:sz w:val="24"/>
          <w:szCs w:val="24"/>
        </w:rPr>
        <w:t xml:space="preserve">。</w:t>
      </w:r>
      <w:r>
        <w:rPr>
          <w:rFonts w:ascii="宋体" w:hAnsi="宋体" w:cs="方正仿宋_GBK"/>
          <w:sz w:val="24"/>
          <w:szCs w:val="24"/>
        </w:rPr>
        <w:t xml:space="preserve">在前端网页提供“总赛程表”、“按日赛程”、“按项目赛程”等多种视图，方便公众、媒体及各参赛队按需查询。支持赛程变更时的历史版本记录，并可关联推送变更通知。</w:t>
      </w:r>
      <w:r>
        <w:rPr>
          <w:rFonts w:hint="eastAsia" w:ascii="宋体" w:hAnsi="宋体" w:cs="方正仿宋_GBK"/>
          <w:sz w:val="24"/>
          <w:szCs w:val="24"/>
        </w:rPr>
        <w:t xml:space="preserve">(系统演示3)</w:t>
      </w:r>
      <w:r/>
    </w:p>
    <w:p>
      <w:pPr>
        <w:ind w:firstLine="241"/>
        <w:spacing w:line="580" w:lineRule="exact"/>
        <w:rPr>
          <w:rFonts w:ascii="宋体" w:hAnsi="宋体" w:cs="方正仿宋_GBK"/>
          <w:b/>
          <w:bCs/>
          <w:sz w:val="24"/>
          <w:szCs w:val="24"/>
        </w:rPr>
        <w:outlineLvl w:val="1"/>
      </w:pPr>
      <w:r>
        <w:rPr>
          <w:rFonts w:ascii="宋体" w:hAnsi="宋体" w:cs="方正仿宋_GBK"/>
          <w:b/>
          <w:bCs/>
          <w:sz w:val="24"/>
          <w:szCs w:val="24"/>
        </w:rPr>
        <w:t xml:space="preserve">（</w:t>
      </w:r>
      <w:r>
        <w:rPr>
          <w:rFonts w:hint="eastAsia" w:ascii="宋体" w:hAnsi="宋体" w:cs="方正仿宋_GBK"/>
          <w:b/>
          <w:bCs/>
          <w:sz w:val="24"/>
          <w:szCs w:val="24"/>
        </w:rPr>
        <w:t xml:space="preserve">2</w:t>
      </w:r>
      <w:r>
        <w:rPr>
          <w:rFonts w:ascii="宋体" w:hAnsi="宋体" w:cs="方正仿宋_GBK"/>
          <w:b/>
          <w:bCs/>
          <w:sz w:val="24"/>
          <w:szCs w:val="24"/>
        </w:rPr>
        <w:t xml:space="preserve">）全流程赛果处理与发布</w:t>
      </w:r>
      <w:r/>
    </w:p>
    <w:p>
      <w:pPr>
        <w:pStyle w:val="692"/>
        <w:ind w:firstLine="480"/>
        <w:rPr>
          <w:rFonts w:cs="方正仿宋_GBK"/>
        </w:rPr>
      </w:pPr>
      <w:r>
        <w:rPr>
          <w:rFonts w:cs="方正仿宋_GBK"/>
        </w:rPr>
        <w:t xml:space="preserve">提供现场成绩录入</w:t>
      </w:r>
      <w:r>
        <w:rPr>
          <w:rFonts w:hint="eastAsia" w:cs="方正仿宋_GBK"/>
        </w:rPr>
        <w:t xml:space="preserve">端口</w:t>
      </w:r>
      <w:r>
        <w:rPr>
          <w:rFonts w:cs="方正仿宋_GBK"/>
        </w:rPr>
        <w:t xml:space="preserve">，确保比赛成绩在第一时间的电子化获取。多级审核发布流程</w:t>
      </w:r>
      <w:r>
        <w:rPr>
          <w:rFonts w:hint="eastAsia" w:cs="方正仿宋_GBK"/>
        </w:rPr>
        <w:t xml:space="preserve">，</w:t>
      </w:r>
      <w:r>
        <w:rPr>
          <w:rFonts w:cs="方正仿宋_GBK"/>
        </w:rPr>
        <w:t xml:space="preserve">在线审核流程，在保证结果权威性的前提下，实现赛后成绩</w:t>
      </w:r>
      <w:r>
        <w:rPr>
          <w:rFonts w:hint="eastAsia" w:cs="方正仿宋_GBK"/>
        </w:rPr>
        <w:t xml:space="preserve">及时</w:t>
      </w:r>
      <w:r>
        <w:rPr>
          <w:rFonts w:cs="方正仿宋_GBK"/>
        </w:rPr>
        <w:t xml:space="preserve">发布。发布的赛果信息包括：运动员姓名、单位、最终成绩、排名</w:t>
      </w:r>
      <w:r>
        <w:rPr>
          <w:rFonts w:hint="eastAsia" w:cs="方正仿宋_GBK"/>
        </w:rPr>
        <w:t xml:space="preserve">等</w:t>
      </w:r>
      <w:r>
        <w:rPr>
          <w:rFonts w:cs="方正仿宋_GBK"/>
        </w:rPr>
        <w:t xml:space="preserve">。</w:t>
      </w:r>
      <w:r/>
    </w:p>
    <w:p>
      <w:pPr>
        <w:ind w:firstLine="241"/>
        <w:spacing w:line="580" w:lineRule="exact"/>
        <w:rPr>
          <w:rFonts w:ascii="宋体" w:hAnsi="宋体" w:cs="方正仿宋_GBK"/>
          <w:b/>
          <w:bCs/>
          <w:sz w:val="24"/>
          <w:szCs w:val="24"/>
        </w:rPr>
        <w:outlineLvl w:val="1"/>
      </w:pPr>
      <w:r>
        <w:rPr>
          <w:rFonts w:ascii="宋体" w:hAnsi="宋体" w:cs="方正仿宋_GBK"/>
          <w:b/>
          <w:bCs/>
          <w:sz w:val="24"/>
          <w:szCs w:val="24"/>
        </w:rPr>
        <w:t xml:space="preserve">（</w:t>
      </w:r>
      <w:r>
        <w:rPr>
          <w:rFonts w:hint="eastAsia" w:ascii="宋体" w:hAnsi="宋体" w:cs="方正仿宋_GBK"/>
          <w:b/>
          <w:bCs/>
          <w:sz w:val="24"/>
          <w:szCs w:val="24"/>
        </w:rPr>
        <w:t xml:space="preserve">3</w:t>
      </w:r>
      <w:r>
        <w:rPr>
          <w:rFonts w:ascii="宋体" w:hAnsi="宋体" w:cs="方正仿宋_GBK"/>
          <w:b/>
          <w:bCs/>
          <w:sz w:val="24"/>
          <w:szCs w:val="24"/>
        </w:rPr>
        <w:t xml:space="preserve">）</w:t>
      </w:r>
      <w:r>
        <w:rPr>
          <w:rFonts w:hint="eastAsia" w:ascii="宋体" w:hAnsi="宋体"/>
          <w:bCs/>
          <w:color w:val="000000"/>
          <w:sz w:val="24"/>
          <w:szCs w:val="24"/>
        </w:rPr>
        <w:t xml:space="preserve">▲</w:t>
      </w:r>
      <w:r>
        <w:rPr>
          <w:rFonts w:ascii="宋体" w:hAnsi="宋体" w:cs="方正仿宋_GBK"/>
          <w:b/>
          <w:bCs/>
          <w:sz w:val="24"/>
          <w:szCs w:val="24"/>
        </w:rPr>
        <w:t xml:space="preserve">动态奖牌与总分统计</w:t>
      </w:r>
      <w:r/>
    </w:p>
    <w:p>
      <w:pPr>
        <w:ind w:firstLine="480"/>
        <w:spacing w:line="580" w:lineRule="exact"/>
        <w:rPr>
          <w:rFonts w:ascii="宋体" w:hAnsi="宋体" w:cs="方正仿宋_GBK"/>
          <w:sz w:val="24"/>
          <w:szCs w:val="24"/>
        </w:rPr>
        <w:outlineLvl w:val="1"/>
      </w:pPr>
      <w:r>
        <w:rPr>
          <w:rFonts w:ascii="宋体" w:hAnsi="宋体" w:cs="方正仿宋_GBK"/>
          <w:sz w:val="24"/>
          <w:szCs w:val="24"/>
        </w:rPr>
        <w:t xml:space="preserve">系统依据发布的最终赛果，自动实时统计各参赛代表队的金牌、银牌、铜牌获得数量及总分（按赛事规则计算）。按“金牌数”、“奖牌总数”、“总积分”等多种规则</w:t>
      </w:r>
      <w:r>
        <w:rPr>
          <w:rFonts w:hint="eastAsia" w:ascii="宋体" w:hAnsi="宋体" w:cs="方正仿宋_GBK"/>
          <w:sz w:val="24"/>
          <w:szCs w:val="24"/>
        </w:rPr>
        <w:t xml:space="preserve">展示各</w:t>
      </w:r>
      <w:r>
        <w:rPr>
          <w:rFonts w:ascii="宋体" w:hAnsi="宋体" w:cs="方正仿宋_GBK"/>
          <w:sz w:val="24"/>
          <w:szCs w:val="24"/>
        </w:rPr>
        <w:t xml:space="preserve">代表队</w:t>
      </w:r>
      <w:r>
        <w:rPr>
          <w:rFonts w:hint="eastAsia" w:ascii="宋体" w:hAnsi="宋体" w:cs="方正仿宋_GBK"/>
          <w:sz w:val="24"/>
          <w:szCs w:val="24"/>
        </w:rPr>
        <w:t xml:space="preserve">的成绩情况</w:t>
      </w:r>
      <w:r>
        <w:rPr>
          <w:rFonts w:ascii="宋体" w:hAnsi="宋体" w:cs="方正仿宋_GBK"/>
          <w:sz w:val="24"/>
          <w:szCs w:val="24"/>
        </w:rPr>
        <w:t xml:space="preserve">。</w:t>
      </w:r>
      <w:r>
        <w:rPr>
          <w:rFonts w:hint="eastAsia" w:ascii="宋体" w:hAnsi="宋体" w:cs="方正仿宋_GBK"/>
          <w:b/>
          <w:sz w:val="24"/>
          <w:szCs w:val="24"/>
        </w:rPr>
        <w:t xml:space="preserve">(提供类似系统功能截图)</w:t>
      </w:r>
      <w:r/>
    </w:p>
    <w:p>
      <w:pPr>
        <w:numPr>
          <w:ilvl w:val="0"/>
          <w:numId w:val="5"/>
        </w:num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微信小程序</w:t>
      </w:r>
      <w:r/>
    </w:p>
    <w:p>
      <w:pPr>
        <w:ind w:left="630"/>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（1）一站式移动服务</w:t>
      </w:r>
      <w:r/>
    </w:p>
    <w:p>
      <w:pPr>
        <w:ind w:firstLine="480"/>
        <w:spacing w:line="580" w:lineRule="exact"/>
        <w:rPr>
          <w:rFonts w:ascii="宋体" w:hAnsi="宋体" w:cs="方正仿宋_GBK"/>
          <w:sz w:val="24"/>
          <w:szCs w:val="24"/>
        </w:rPr>
        <w:outlineLvl w:val="1"/>
      </w:pPr>
      <w:r>
        <w:rPr>
          <w:rFonts w:hint="eastAsia" w:ascii="宋体" w:hAnsi="宋体" w:cs="方正仿宋_GBK"/>
          <w:sz w:val="24"/>
          <w:szCs w:val="24"/>
        </w:rPr>
        <w:t xml:space="preserve">运动员可通过小程序实时查阅官方发布的赛事通知、规程文件等动态信息，并能在线完成个人注册信息的核对、报名状态的确认。同时，小程序支持个性化赛程查询，运动员可随时查看自己的比赛时间、场地安排及对阵信息。小程序还支持意见反馈通道，运动员可随时就赛事安排、场地设施等问题进行咨询或提交建议，实现与组委会的高效沟通。支持运动员个人成绩、证书查询、赛程赛果、奖牌榜查询，可通过小程序及时获取比赛结果及证书。(系统演示4）</w:t>
      </w:r>
      <w:r/>
    </w:p>
    <w:p>
      <w:pPr>
        <w:ind w:left="630"/>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（2）</w:t>
      </w:r>
      <w:r>
        <w:rPr>
          <w:rFonts w:hint="eastAsia" w:ascii="宋体" w:hAnsi="宋体"/>
          <w:bCs/>
          <w:color w:val="000000"/>
          <w:sz w:val="24"/>
          <w:szCs w:val="24"/>
        </w:rPr>
        <w:t xml:space="preserve">▲</w:t>
      </w:r>
      <w:r>
        <w:rPr>
          <w:rFonts w:hint="eastAsia" w:ascii="宋体" w:hAnsi="宋体" w:cs="方正仿宋_GBK"/>
          <w:b/>
          <w:bCs/>
          <w:sz w:val="24"/>
          <w:szCs w:val="24"/>
        </w:rPr>
        <w:t xml:space="preserve">赛事运营移动管理</w:t>
      </w:r>
      <w:r/>
    </w:p>
    <w:p>
      <w:pPr>
        <w:ind w:firstLine="480"/>
        <w:spacing w:line="580" w:lineRule="exact"/>
        <w:outlineLvl w:val="1"/>
      </w:pPr>
      <w:r>
        <w:rPr>
          <w:rFonts w:hint="eastAsia" w:ascii="宋体" w:hAnsi="宋体" w:cs="方正仿宋_GBK"/>
          <w:sz w:val="24"/>
          <w:szCs w:val="24"/>
        </w:rPr>
        <w:t xml:space="preserve">运营人员可通过专属后台随时随地发布赛事通知、审核成绩等，实现对赛事信息的动态管控。内置的赛事通讯录功能支持按项目、单位等多维度快速查询与联系运动员、教练员、裁判及相关工作人员。</w:t>
      </w:r>
      <w:r>
        <w:rPr>
          <w:rFonts w:hint="eastAsia" w:ascii="宋体" w:hAnsi="宋体" w:cs="方正仿宋_GBK"/>
          <w:b/>
          <w:sz w:val="24"/>
          <w:szCs w:val="24"/>
        </w:rPr>
        <w:t xml:space="preserve">(提供类似系统功能截图)</w:t>
      </w:r>
      <w:r/>
    </w:p>
    <w:p>
      <w:pPr>
        <w:numPr>
          <w:ilvl w:val="0"/>
          <w:numId w:val="5"/>
        </w:num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数据对接</w:t>
      </w:r>
      <w:r/>
    </w:p>
    <w:p>
      <w:pPr>
        <w:ind w:firstLine="480"/>
        <w:spacing w:line="560" w:lineRule="exact"/>
        <w:rPr>
          <w:rFonts w:ascii="宋体" w:hAnsi="宋体" w:cs="方正仿宋_GBK"/>
          <w:b/>
          <w:sz w:val="24"/>
          <w:szCs w:val="24"/>
        </w:rPr>
      </w:pPr>
      <w:r>
        <w:rPr>
          <w:rFonts w:hint="eastAsia" w:ascii="宋体" w:hAnsi="宋体" w:cs="方正仿宋_GBK"/>
          <w:sz w:val="24"/>
          <w:szCs w:val="24"/>
        </w:rPr>
        <w:t xml:space="preserve">为实现省运会参赛人员的准入审核与赛内反兴奋剂检查要求，省运会报名和成绩管理系统需与江苏省反兴奋剂管理系统实现全面数据对接，确保双方系统间可实时、准确、安全地交换包括运动员注册信息、报名信息、成绩信息、准入信息、违规处理</w:t>
      </w:r>
      <w:r>
        <w:rPr>
          <w:rFonts w:hint="eastAsia" w:ascii="宋体" w:hAnsi="宋体" w:cs="方正仿宋_GBK"/>
          <w:sz w:val="24"/>
          <w:szCs w:val="24"/>
        </w:rPr>
        <w:t xml:space="preserve">记录在内的必要数据，以支持省运会期间反兴奋剂工作的合规、高效开展。</w:t>
      </w:r>
      <w:r>
        <w:rPr>
          <w:rFonts w:hint="eastAsia" w:ascii="宋体" w:hAnsi="宋体" w:cs="方正仿宋_GBK"/>
          <w:b/>
          <w:sz w:val="24"/>
          <w:szCs w:val="24"/>
        </w:rPr>
        <w:t xml:space="preserve">（</w:t>
      </w:r>
      <w:r>
        <w:rPr>
          <w:rFonts w:hint="eastAsia" w:ascii="宋体" w:hAnsi="宋体"/>
          <w:b/>
          <w:bCs/>
          <w:color w:val="000000"/>
          <w:sz w:val="24"/>
          <w:szCs w:val="24"/>
        </w:rPr>
        <w:t xml:space="preserve">▲</w:t>
      </w:r>
      <w:r>
        <w:rPr>
          <w:rFonts w:hint="eastAsia" w:ascii="宋体" w:hAnsi="宋体" w:cs="方正仿宋_GBK"/>
          <w:b/>
          <w:sz w:val="24"/>
          <w:szCs w:val="24"/>
        </w:rPr>
        <w:t xml:space="preserve">提供数据对接承诺函并加盖公章）</w:t>
      </w:r>
      <w:r/>
    </w:p>
    <w:p>
      <w:pPr>
        <w:numPr>
          <w:ilvl w:val="0"/>
          <w:numId w:val="5"/>
        </w:numPr>
        <w:ind w:firstLine="482"/>
        <w:spacing w:line="580" w:lineRule="exact"/>
        <w:rPr>
          <w:rFonts w:ascii="宋体" w:hAnsi="宋体" w:cs="方正仿宋_GBK"/>
          <w:b/>
          <w:bCs/>
          <w:sz w:val="24"/>
          <w:szCs w:val="24"/>
        </w:rPr>
        <w:outlineLvl w:val="1"/>
      </w:pPr>
      <w:r>
        <w:rPr>
          <w:rFonts w:hint="eastAsia" w:ascii="宋体" w:hAnsi="宋体" w:cs="方正仿宋_GBK"/>
          <w:b/>
          <w:bCs/>
          <w:sz w:val="24"/>
          <w:szCs w:val="24"/>
        </w:rPr>
        <w:t xml:space="preserve">数据服务中心</w:t>
      </w:r>
      <w:r/>
    </w:p>
    <w:p>
      <w:pPr>
        <w:ind w:firstLine="480"/>
        <w:spacing w:line="560" w:lineRule="exact"/>
        <w:rPr>
          <w:rFonts w:ascii="宋体" w:hAnsi="宋体" w:cs="方正仿宋_GBK"/>
          <w:sz w:val="24"/>
          <w:szCs w:val="24"/>
        </w:rPr>
      </w:pPr>
      <w:r>
        <w:rPr>
          <w:rFonts w:hint="eastAsia" w:ascii="宋体" w:hAnsi="宋体" w:cs="方正仿宋_GBK"/>
          <w:sz w:val="24"/>
          <w:szCs w:val="24"/>
        </w:rPr>
        <w:t xml:space="preserve">省运会数据服务中心的工作核心是构建一个覆盖赛前、赛中、赛后的全流程数据服务保障体系，具体职责包括：第一，负责培训与管理现场成绩服务专业团队，确保成绩录入与校验流程及应急处理预案；第二，对赛事数据流的全生命周期进行严格技术把控，从数据采集、传输、处理到最终发布，建立标准化操作规范与质量监控机制，确保数据的准确性、完整性、及时性与安全性。统筹管理所有赛事相关数据，包括运动员成绩、赛程赛果、奖牌榜等，并确保其在不同系统平台间的高效流转与一致同步。</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四、服务评价要求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为确保“江苏省第二十一届运动会报名和成绩管理系统”的开发质量、运行效率及服务体验达到预期目标，现提出以下服务评价要求，作为对服务团队履行合同、交付成果、提供持续运营支持的核心考核依据：</w:t>
      </w:r>
      <w:r/>
    </w:p>
    <w:p>
      <w:pPr>
        <w:ind w:firstLine="482"/>
        <w:jc w:val="left"/>
        <w:spacing w:line="500" w:lineRule="exact"/>
        <w:rPr>
          <w:rFonts w:ascii="宋体" w:hAnsi="宋体" w:cs="方正仿宋_GBK"/>
          <w:b/>
          <w:sz w:val="24"/>
          <w:szCs w:val="24"/>
        </w:rPr>
      </w:pPr>
      <w:r>
        <w:rPr>
          <w:rFonts w:hint="eastAsia" w:ascii="宋体" w:hAnsi="宋体" w:cs="方正仿宋_GBK"/>
          <w:b/>
          <w:sz w:val="24"/>
          <w:szCs w:val="24"/>
        </w:rPr>
        <w:t xml:space="preserve">（一）系统功能与性能评价 </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1.功能完整性：系统需完整实现“服务需求”中规定的全部功能模块及服务，包括赛事注册报名系统、成绩管理系统、赛程赛果信息发布、微信小程序、数据服务中心，不得有核心功能缺失或严重缩水。</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运行稳定性：系统在省运会报名高峰期、赛程密集期等高并发访问压力下，应保持持续稳定运行，关键服务（如注册报名、成绩查询、赛程赛果查询、电子证书查询）可用性不低于99.9%，无明显卡顿、崩溃或数据丢失现象。</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3.响应效率：用户操作（如页面加载、表单提交、查询响应）应在合理时间内完成，关键业务操作平均响应时间原则上不超过2秒，高峰时段不超过5秒。</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4.数据准确性：所有录入、处理、存储、发布的数据（如运动员注册、报名信息、比赛赛程等）必须保证100%准确无误，建立有效的数据校验与纠错机制。</w:t>
      </w:r>
      <w:r/>
    </w:p>
    <w:p>
      <w:pPr>
        <w:ind w:firstLine="482"/>
        <w:jc w:val="left"/>
        <w:spacing w:line="500" w:lineRule="exact"/>
        <w:rPr>
          <w:rFonts w:ascii="宋体" w:hAnsi="宋体" w:cs="方正仿宋_GBK"/>
          <w:b/>
          <w:sz w:val="24"/>
          <w:szCs w:val="24"/>
        </w:rPr>
      </w:pPr>
      <w:r>
        <w:rPr>
          <w:rFonts w:hint="eastAsia" w:ascii="宋体" w:hAnsi="宋体" w:cs="方正仿宋_GBK"/>
          <w:b/>
          <w:sz w:val="24"/>
          <w:szCs w:val="24"/>
        </w:rPr>
        <w:t xml:space="preserve">（二）用户体验与易用性评价 </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1.界面友好性：系统（PC端与微信小程序）界面设计应简洁清晰、符合用户习惯，</w:t>
      </w:r>
      <w:r>
        <w:rPr>
          <w:rFonts w:hint="eastAsia" w:ascii="宋体" w:hAnsi="宋体" w:cs="方正仿宋_GBK"/>
          <w:sz w:val="24"/>
          <w:szCs w:val="24"/>
        </w:rPr>
        <w:t xml:space="preserve">操作流程直观易懂。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2.多角色适配：应针对组委会、代表团、参赛单位、运动员、教练员等不同角色，提供精准、便捷的操作界面与功能权限，满足其差异化需求。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3.移动便捷性：微信小程序功能需与PC端核心服务无缝衔接，确保运动员、教练员能随时随地完成报名确认、查赛程等操作，体验流畅。</w:t>
      </w:r>
      <w:r/>
    </w:p>
    <w:p>
      <w:pPr>
        <w:ind w:firstLine="482"/>
        <w:jc w:val="left"/>
        <w:spacing w:line="500" w:lineRule="exact"/>
        <w:rPr>
          <w:rFonts w:ascii="宋体" w:hAnsi="宋体" w:cs="方正仿宋_GBK"/>
          <w:sz w:val="24"/>
          <w:szCs w:val="24"/>
        </w:rPr>
      </w:pPr>
      <w:r>
        <w:rPr>
          <w:rFonts w:hint="eastAsia" w:ascii="宋体" w:hAnsi="宋体" w:cs="方正仿宋_GBK"/>
          <w:b/>
          <w:sz w:val="24"/>
          <w:szCs w:val="24"/>
        </w:rPr>
        <w:t xml:space="preserve">（三）服务支持与保障评价 </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1.培训效果：成交供应商需为组委会、各市代表团管理员、现场成绩服务团队等提供全面、有效的系统操作与运维培训，确保相关人员能熟练使用系统进行管理与服务。</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2.响应与支持：在系统开发、测试、上线及省运会全程，需提供7*24小时的技术支持服务，设立明确的问题响应与解决机制。一般问题应在2小时内响应，严重或紧急问题应在30分钟内响应并启动处置流程。</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3.数据管理专业度：数据服务中心团队需对赛事数据进行专业化、标准化管理，确保数据采集、处理、发布全过程及时、准确、安全，满足现场数据服务、发布及决策分析需求。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4.文档完备性：交付成果应包括完整、清晰的技术文档、用户操作手册等，便于后续维护与管理。</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五、人员及实施要求</w:t>
      </w:r>
      <w:r/>
    </w:p>
    <w:p>
      <w:pPr>
        <w:ind w:firstLine="482"/>
        <w:jc w:val="left"/>
        <w:spacing w:line="500" w:lineRule="exact"/>
        <w:rPr>
          <w:rFonts w:ascii="宋体" w:hAnsi="宋体" w:cs="方正仿宋_GBK"/>
          <w:b/>
          <w:sz w:val="24"/>
          <w:szCs w:val="24"/>
        </w:rPr>
      </w:pPr>
      <w:r/>
      <w:bookmarkStart w:id="196" w:name="OLE_LINK12"/>
      <w:r/>
      <w:bookmarkStart w:id="197" w:name="OLE_LINK13"/>
      <w:r>
        <w:rPr>
          <w:rFonts w:hint="eastAsia" w:ascii="宋体" w:hAnsi="宋体" w:cs="方正仿宋_GBK"/>
          <w:b/>
          <w:sz w:val="24"/>
          <w:szCs w:val="24"/>
        </w:rPr>
        <w:t xml:space="preserve">（一）</w:t>
      </w:r>
      <w:bookmarkEnd w:id="196"/>
      <w:r/>
      <w:bookmarkEnd w:id="197"/>
      <w:r>
        <w:rPr>
          <w:rFonts w:hint="eastAsia" w:ascii="宋体" w:hAnsi="宋体" w:cs="方正仿宋_GBK"/>
          <w:b/>
          <w:sz w:val="24"/>
          <w:szCs w:val="24"/>
        </w:rPr>
        <w:t xml:space="preserve">人员要求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1．熟悉麒麟操作系统的基础配置与国产化适配、东方通中间件的集群部署与性能调优，以及达梦数据库的安装管理与SQL兼容性处理，具备完整的国产化BS系统环境搭建与运维能力。</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2．熟练运用Java EE开发工具及前端开发环境进行编码，掌握Maven/</w:t>
      </w:r>
      <w:r>
        <w:rPr>
          <w:rFonts w:hint="eastAsia" w:ascii="宋体" w:hAnsi="宋体" w:cs="方正仿宋_GBK"/>
          <w:sz w:val="24"/>
          <w:szCs w:val="24"/>
        </w:rPr>
        <w:t xml:space="preserve">Gradle</w:t>
      </w:r>
      <w:r>
        <w:rPr>
          <w:rFonts w:hint="eastAsia" w:ascii="宋体" w:hAnsi="宋体" w:cs="方正仿宋_GBK"/>
          <w:sz w:val="24"/>
          <w:szCs w:val="24"/>
        </w:rPr>
        <w:t xml:space="preserve">项目构建与</w:t>
      </w:r>
      <w:r>
        <w:rPr>
          <w:rFonts w:hint="eastAsia" w:ascii="宋体" w:hAnsi="宋体" w:cs="方正仿宋_GBK"/>
          <w:sz w:val="24"/>
          <w:szCs w:val="24"/>
        </w:rPr>
        <w:t xml:space="preserve">Git</w:t>
      </w:r>
      <w:r>
        <w:rPr>
          <w:rFonts w:hint="eastAsia" w:ascii="宋体" w:hAnsi="宋体" w:cs="方正仿宋_GBK"/>
          <w:sz w:val="24"/>
          <w:szCs w:val="24"/>
        </w:rPr>
        <w:t xml:space="preserve">代码管理，并能使用</w:t>
      </w:r>
      <w:r>
        <w:rPr>
          <w:rFonts w:hint="eastAsia" w:ascii="宋体" w:hAnsi="宋体" w:cs="方正仿宋_GBK"/>
          <w:sz w:val="24"/>
          <w:szCs w:val="24"/>
        </w:rPr>
        <w:t xml:space="preserve">JUnit</w:t>
      </w:r>
      <w:r>
        <w:rPr>
          <w:rFonts w:hint="eastAsia" w:ascii="宋体" w:hAnsi="宋体" w:cs="方正仿宋_GBK"/>
          <w:sz w:val="24"/>
          <w:szCs w:val="24"/>
        </w:rPr>
        <w:t xml:space="preserve">、Postman及达梦管理工具等完成系统测试与调试工作。</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3．具备类似体育管理系统或信息化平台开发服务项目经验。</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4．熟悉操作系统、网络设备和服务器等基础设施。</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5．掌握相关开发和调试工具，能够快速定位和解决问题。</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6．对所开发系统的业务领域有一定的了解和认知。</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7．具备较强的沟通能力和团队协作精神。</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8．具备高效的应急处置能力，能够快速响应和处理突发故障，确保系统的安全稳定运行。</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供应商成交后应根据本项目需求组织一支由资深项目经理带领的经验丰富、技术服务人员团队，并确保团队的稳定性，技术服务人员变更时，须事先征得采购人的同意后，方可进行变更，更换后需要执行好工作交接。</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采购人具有更换技术服务人员的权利，供应商应按采购要求配置技术服务人员完成本项目的开发和服务工作。在项目实施过程中，供应商须按照采购人的要求更换采购人认为不合适的技术服务人员。</w:t>
      </w:r>
      <w:r/>
    </w:p>
    <w:p>
      <w:pPr>
        <w:ind w:firstLine="480"/>
        <w:spacing w:line="560" w:lineRule="exact"/>
        <w:rPr>
          <w:rFonts w:ascii="宋体" w:hAnsi="宋体" w:cs="方正仿宋_GBK"/>
          <w:sz w:val="24"/>
          <w:szCs w:val="24"/>
        </w:rPr>
      </w:pPr>
      <w:r>
        <w:rPr>
          <w:rFonts w:hint="eastAsia" w:ascii="宋体" w:hAnsi="宋体" w:cs="方正仿宋_GBK"/>
          <w:sz w:val="24"/>
          <w:szCs w:val="24"/>
        </w:rPr>
        <w:t xml:space="preserve">项目组实施人员对本项目中涉及的个人信息以及相关信息有保密义务，不得向任何第三方透露，也不得用于本项目之外的任何其他用途。因供应商（或其员工）原因引起信息泄露，则其必须承担相应的法律责任。</w:t>
      </w:r>
      <w:r/>
    </w:p>
    <w:p>
      <w:pPr>
        <w:ind w:firstLine="482"/>
        <w:jc w:val="left"/>
        <w:spacing w:line="500" w:lineRule="exact"/>
        <w:rPr>
          <w:rFonts w:ascii="宋体" w:hAnsi="宋体" w:cs="方正仿宋_GBK"/>
          <w:b/>
          <w:sz w:val="24"/>
          <w:szCs w:val="24"/>
        </w:rPr>
      </w:pPr>
      <w:r>
        <w:rPr>
          <w:rFonts w:hint="eastAsia" w:ascii="宋体" w:hAnsi="宋体" w:cs="方正仿宋_GBK"/>
          <w:b/>
          <w:sz w:val="24"/>
          <w:szCs w:val="24"/>
        </w:rPr>
        <w:t xml:space="preserve">（二）实施要求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基于江苏省第二十一届运动会报名和成绩管理系统用户规模、业务高峰期的访问需求、用户操作习惯。为保障系统在高并发场景下能够稳定运行，为用户提供快速流畅的体验，系统性能指标如下：</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支持同时动态用户（在线用户）数大于2000人，满足400并发用户数。</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对于系统使用频率较高的功能点，满足非高峰时段响应时间小于 500毫秒．高峰时段响应时间小于1秒要求。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对于系统操作大量数据的功能点，满足响应时间小于5秒要求。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系统年平均故障时间小于1天，平均故障修复时间小于1小时。</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高可用性要求，需保证系统7*24 小时不间断工作，整体无故障率&gt;99.9%，出现故障应能及时告警。</w:t>
      </w:r>
      <w:r/>
    </w:p>
    <w:p>
      <w:pPr>
        <w:ind w:firstLine="480"/>
        <w:jc w:val="left"/>
        <w:spacing w:line="500" w:lineRule="exact"/>
        <w:rPr>
          <w:rFonts w:ascii="宋体" w:hAnsi="宋体" w:cs="方正仿宋_GBK"/>
          <w:b/>
          <w:sz w:val="24"/>
          <w:szCs w:val="24"/>
        </w:rPr>
      </w:pPr>
      <w:r>
        <w:rPr>
          <w:rFonts w:hint="eastAsia" w:ascii="宋体" w:hAnsi="宋体"/>
          <w:bCs/>
          <w:color w:val="000000"/>
          <w:sz w:val="24"/>
          <w:szCs w:val="24"/>
        </w:rPr>
        <w:t xml:space="preserve">▲</w:t>
      </w:r>
      <w:r>
        <w:rPr>
          <w:rFonts w:hint="eastAsia" w:ascii="宋体" w:hAnsi="宋体" w:cs="方正仿宋_GBK"/>
          <w:sz w:val="24"/>
          <w:szCs w:val="24"/>
        </w:rPr>
        <w:t xml:space="preserve">系统支持国产化资源环境私有化部署。</w:t>
      </w:r>
      <w:r>
        <w:rPr>
          <w:rFonts w:hint="eastAsia" w:ascii="宋体" w:hAnsi="宋体" w:cs="方正仿宋_GBK"/>
          <w:b/>
          <w:sz w:val="24"/>
          <w:szCs w:val="24"/>
        </w:rPr>
        <w:t xml:space="preserve">（提供系统支持国产化资源环境私有化部署承诺函并加盖公章）</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bookmarkStart w:id="198" w:name="OLE_LINK14"/>
      <w:r/>
      <w:bookmarkStart w:id="199" w:name="OLE_LINK15"/>
      <w:r>
        <w:rPr>
          <w:rFonts w:hint="eastAsia" w:ascii="宋体" w:hAnsi="宋体"/>
          <w:b/>
          <w:color w:val="000000"/>
          <w:sz w:val="24"/>
          <w:szCs w:val="24"/>
        </w:rPr>
        <w:t xml:space="preserve">六、</w:t>
      </w:r>
      <w:bookmarkEnd w:id="198"/>
      <w:r/>
      <w:bookmarkEnd w:id="199"/>
      <w:r>
        <w:rPr>
          <w:rFonts w:hint="eastAsia" w:ascii="宋体" w:hAnsi="宋体"/>
          <w:b/>
          <w:color w:val="000000"/>
          <w:sz w:val="24"/>
          <w:szCs w:val="24"/>
        </w:rPr>
        <w:t xml:space="preserve">商务要求</w:t>
      </w:r>
      <w:r/>
    </w:p>
    <w:p>
      <w:pPr>
        <w:ind w:firstLine="482"/>
        <w:jc w:val="left"/>
        <w:spacing w:line="500" w:lineRule="exact"/>
        <w:rPr>
          <w:rFonts w:ascii="宋体" w:hAnsi="宋体" w:cs="方正仿宋_GBK"/>
          <w:b/>
          <w:bCs/>
          <w:sz w:val="24"/>
          <w:szCs w:val="24"/>
        </w:rPr>
      </w:pPr>
      <w:r>
        <w:rPr>
          <w:rFonts w:hint="eastAsia" w:ascii="宋体" w:hAnsi="宋体" w:cs="方正仿宋_GBK"/>
          <w:b/>
          <w:sz w:val="24"/>
          <w:szCs w:val="24"/>
        </w:rPr>
        <w:t xml:space="preserve">（一）服务期限：</w:t>
      </w:r>
      <w:r>
        <w:rPr>
          <w:rFonts w:hint="eastAsia" w:ascii="宋体" w:hAnsi="宋体" w:cs="方正仿宋_GBK"/>
          <w:sz w:val="24"/>
          <w:szCs w:val="24"/>
        </w:rPr>
        <w:t xml:space="preserve">合同生效之日起一个月内完成系统开发并上线运行，系统服务至省运会结束止。</w:t>
      </w:r>
      <w:r>
        <w:rPr>
          <w:rFonts w:hint="eastAsia" w:ascii="宋体" w:hAnsi="宋体" w:cs="方正仿宋_GBK"/>
          <w:b/>
          <w:bCs/>
          <w:sz w:val="24"/>
          <w:szCs w:val="24"/>
        </w:rPr>
        <w:t xml:space="preserve">（▲提供服务期限承诺函并加盖公章）</w:t>
      </w:r>
      <w:r/>
    </w:p>
    <w:p>
      <w:pPr>
        <w:ind w:firstLine="482"/>
        <w:jc w:val="left"/>
        <w:spacing w:line="500" w:lineRule="exact"/>
        <w:rPr>
          <w:rFonts w:ascii="宋体" w:hAnsi="宋体" w:cs="方正仿宋_GBK"/>
          <w:sz w:val="24"/>
          <w:szCs w:val="24"/>
        </w:rPr>
      </w:pPr>
      <w:r>
        <w:rPr>
          <w:rFonts w:hint="eastAsia" w:ascii="宋体" w:hAnsi="宋体" w:cs="方正仿宋_GBK"/>
          <w:b/>
          <w:sz w:val="24"/>
          <w:szCs w:val="24"/>
        </w:rPr>
        <w:t xml:space="preserve">（二）交付地点：</w:t>
      </w:r>
      <w:r>
        <w:rPr>
          <w:rFonts w:hint="eastAsia" w:ascii="宋体" w:hAnsi="宋体" w:cs="方正仿宋_GBK"/>
          <w:sz w:val="24"/>
          <w:szCs w:val="24"/>
        </w:rPr>
        <w:t xml:space="preserve">按采购人指定地点交付。</w:t>
      </w:r>
      <w:r/>
    </w:p>
    <w:p>
      <w:pPr>
        <w:ind w:firstLine="482"/>
        <w:jc w:val="left"/>
        <w:spacing w:line="500" w:lineRule="exact"/>
        <w:rPr>
          <w:rFonts w:ascii="宋体" w:hAnsi="宋体" w:cs="方正仿宋_GBK"/>
          <w:b/>
          <w:sz w:val="24"/>
          <w:szCs w:val="24"/>
        </w:rPr>
      </w:pPr>
      <w:r>
        <w:rPr>
          <w:rFonts w:hint="eastAsia" w:ascii="宋体" w:hAnsi="宋体" w:cs="方正仿宋_GBK"/>
          <w:b/>
          <w:sz w:val="24"/>
          <w:szCs w:val="24"/>
        </w:rPr>
        <w:t xml:space="preserve">（三）验收要求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1.项目按照招标文件和合同要求完成所有建设内容，省运会服务期间连续稳定运行。</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供应商按照合同和招标文件要求提交相关验收成果。验收成果具体包括但不限于：《项目实施方案》《需求规格说明书》《系统概要设计》《系统详细设计》《数据库设计》《系统接口设计》《用户使用手册》《部署手册》《系统自测报告》《系统培训方案》及培训材料、《项目验收方案》《用户使用报告》等。</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3.供应商验收前对软件功能进行全面检查，确保内容满足建设需求，并对验收文件进行整理并列出清单。</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4.经采购人检查满足验收条件并通过采购人验收，验收不通过的须按采购人要求整改直至通过验收。</w:t>
      </w:r>
      <w:r/>
    </w:p>
    <w:p>
      <w:pPr>
        <w:ind w:firstLine="482"/>
        <w:jc w:val="left"/>
        <w:spacing w:line="500" w:lineRule="exact"/>
        <w:rPr>
          <w:rFonts w:ascii="宋体" w:hAnsi="宋体" w:cs="方正仿宋_GBK"/>
          <w:b/>
          <w:sz w:val="24"/>
          <w:szCs w:val="24"/>
        </w:rPr>
      </w:pPr>
      <w:r/>
      <w:bookmarkStart w:id="200" w:name="OLE_LINK48"/>
      <w:r/>
      <w:bookmarkStart w:id="201" w:name="OLE_LINK49"/>
      <w:r>
        <w:rPr>
          <w:rFonts w:hint="eastAsia" w:ascii="宋体" w:hAnsi="宋体" w:cs="方正仿宋_GBK"/>
          <w:b/>
          <w:sz w:val="24"/>
          <w:szCs w:val="24"/>
        </w:rPr>
        <w:t xml:space="preserve">（四）付款方式</w:t>
      </w:r>
      <w:bookmarkEnd w:id="200"/>
      <w:bookmarkEnd w:id="201"/>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1.合同签订生效，采购人财政预算下达且收到供应商提供的有效增值税发票后20个工作日内，采购人支付合同价的30%。</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2.供应商完成注册系统、成绩系统等所有系统开发工作，通过采购人及需求单位验收且收到供应商提供的有效增值税发票后20个工作日内，采购人支付合同价的40%。</w:t>
      </w:r>
      <w:r/>
    </w:p>
    <w:p>
      <w:pPr>
        <w:ind w:firstLine="480"/>
        <w:jc w:val="left"/>
        <w:spacing w:line="500" w:lineRule="exact"/>
        <w:rPr>
          <w:rFonts w:ascii="宋体" w:hAnsi="宋体" w:cs="方正仿宋_GBK"/>
          <w:color w:val="000000" w:themeColor="text1"/>
          <w:sz w:val="24"/>
          <w:szCs w:val="24"/>
        </w:rPr>
      </w:pPr>
      <w:r>
        <w:rPr>
          <w:rFonts w:hint="eastAsia" w:ascii="宋体" w:hAnsi="宋体" w:cs="方正仿宋_GBK"/>
          <w:color w:val="000000" w:themeColor="text1"/>
          <w:sz w:val="24"/>
          <w:szCs w:val="24"/>
        </w:rPr>
        <w:t xml:space="preserve">3.供应商完成合同约定的所有服务，项目通过采购人及需求单位验收且收到供应商提供的有效增值税发票后20个工作日内，采购人支付合同价的30%。</w:t>
      </w:r>
      <w:r/>
    </w:p>
    <w:p>
      <w:pPr>
        <w:ind w:firstLine="482"/>
        <w:jc w:val="left"/>
        <w:spacing w:line="500" w:lineRule="exact"/>
        <w:rPr>
          <w:rFonts w:ascii="宋体" w:hAnsi="宋体" w:cs="方正仿宋_GBK"/>
          <w:b/>
          <w:color w:val="000000" w:themeColor="text1"/>
          <w:sz w:val="24"/>
          <w:szCs w:val="24"/>
        </w:rPr>
      </w:pPr>
      <w:r>
        <w:rPr>
          <w:rFonts w:hint="eastAsia" w:ascii="宋体" w:hAnsi="宋体" w:cs="方正仿宋_GBK"/>
          <w:b/>
          <w:color w:val="000000" w:themeColor="text1"/>
          <w:sz w:val="24"/>
          <w:szCs w:val="24"/>
        </w:rPr>
        <w:t xml:space="preserve">（五）企业资质</w:t>
      </w:r>
      <w:r/>
    </w:p>
    <w:p>
      <w:pPr>
        <w:ind w:firstLine="480"/>
        <w:jc w:val="left"/>
        <w:spacing w:line="500" w:lineRule="exact"/>
        <w:rPr>
          <w:rFonts w:ascii="宋体" w:hAnsi="宋体" w:cs="方正仿宋_GBK"/>
          <w:color w:val="000000" w:themeColor="text1"/>
        </w:rPr>
      </w:pPr>
      <w:r>
        <w:rPr>
          <w:rFonts w:hint="eastAsia" w:ascii="宋体" w:hAnsi="宋体" w:cs="方正仿宋_GBK"/>
          <w:color w:val="000000" w:themeColor="text1"/>
        </w:rPr>
        <w:t xml:space="preserve"> </w:t>
      </w:r>
      <w:r>
        <w:rPr>
          <w:rFonts w:hint="eastAsia" w:ascii="宋体" w:hAnsi="宋体" w:cs="方正仿宋_GBK"/>
          <w:color w:val="000000" w:themeColor="text1"/>
          <w:sz w:val="24"/>
          <w:szCs w:val="24"/>
        </w:rPr>
        <w:t xml:space="preserve">供应商具有有效期内的ISO27001信息安全管理体系认证证书，供应商具有自主研发能力，具备与本项目相关的自主知识产权的软件著作权登记证书，相关的软件著作权登记证书含有“教练员运动员注册报名”、“赛事综合管理”、“赛事成绩管理”、“赛事信息发布”、“运动会参赛管理”、“赛事编排管理”等关键字。</w:t>
      </w:r>
      <w:r/>
    </w:p>
    <w:p>
      <w:pPr>
        <w:ind w:firstLine="482"/>
        <w:jc w:val="left"/>
        <w:spacing w:line="500" w:lineRule="exact"/>
        <w:rPr>
          <w:rFonts w:ascii="宋体" w:hAnsi="宋体" w:cs="方正仿宋_GBK"/>
          <w:b/>
          <w:color w:val="000000" w:themeColor="text1"/>
          <w:sz w:val="24"/>
          <w:szCs w:val="24"/>
        </w:rPr>
      </w:pPr>
      <w:r>
        <w:rPr>
          <w:rFonts w:hint="eastAsia" w:ascii="宋体" w:hAnsi="宋体" w:cs="方正仿宋_GBK"/>
          <w:b/>
          <w:color w:val="000000" w:themeColor="text1"/>
          <w:sz w:val="24"/>
          <w:szCs w:val="24"/>
        </w:rPr>
        <w:t xml:space="preserve">（六）团队实力</w:t>
      </w:r>
      <w:r/>
    </w:p>
    <w:p>
      <w:pPr>
        <w:ind w:firstLine="480"/>
        <w:jc w:val="left"/>
        <w:spacing w:line="500" w:lineRule="exact"/>
        <w:rPr>
          <w:rFonts w:ascii="宋体" w:hAnsi="宋体"/>
          <w:b/>
          <w:color w:val="000000" w:themeColor="text1"/>
          <w:sz w:val="24"/>
          <w:szCs w:val="24"/>
        </w:rPr>
      </w:pPr>
      <w:r>
        <w:rPr>
          <w:rFonts w:hint="eastAsia" w:ascii="宋体" w:hAnsi="宋体" w:cs="方正仿宋_GBK"/>
          <w:color w:val="000000" w:themeColor="text1"/>
          <w:sz w:val="24"/>
          <w:szCs w:val="24"/>
        </w:rPr>
        <w:t xml:space="preserve">（1）项目经理：</w:t>
      </w:r>
      <w:r>
        <w:rPr>
          <w:rFonts w:hint="eastAsia" w:ascii="宋体" w:hAnsi="宋体" w:cs="方正仿宋_GBK"/>
          <w:color w:val="000000" w:themeColor="text1"/>
          <w:sz w:val="24"/>
          <w:szCs w:val="24"/>
        </w:rPr>
        <w:br w:type="textWrapping" w:clear="all"/>
        <w:t xml:space="preserve">供应商应为本项目配备项目经理1名，项目经理具有信息系统项目管理师（高级）或人工智能应用工程师（高级）或系统架构设计师（高级）证书的。</w:t>
      </w:r>
      <w:r>
        <w:rPr>
          <w:rFonts w:hint="eastAsia" w:ascii="宋体" w:hAnsi="宋体" w:cs="方正仿宋_GBK"/>
          <w:color w:val="000000" w:themeColor="text1"/>
          <w:sz w:val="24"/>
          <w:szCs w:val="24"/>
        </w:rPr>
        <w:br w:type="textWrapping" w:clear="all"/>
        <w:t xml:space="preserve">（2）技术负责人：</w:t>
      </w:r>
      <w:r>
        <w:rPr>
          <w:rFonts w:hint="eastAsia" w:ascii="宋体" w:hAnsi="宋体" w:cs="方正仿宋_GBK"/>
          <w:color w:val="000000" w:themeColor="text1"/>
          <w:sz w:val="24"/>
          <w:szCs w:val="24"/>
        </w:rPr>
        <w:br w:type="textWrapping" w:clear="all"/>
        <w:t xml:space="preserve">供应商应为本项目配备项目技术负责人1名，技术负责人具有全国计算机软件开发(JAVA)专业人才（高级）或信息系统集成管理</w:t>
      </w:r>
      <w:r>
        <w:rPr>
          <w:rFonts w:hint="eastAsia" w:ascii="宋体" w:hAnsi="宋体" w:cs="方正仿宋_GBK"/>
          <w:color w:val="000000" w:themeColor="text1"/>
          <w:sz w:val="24"/>
          <w:szCs w:val="24"/>
        </w:rPr>
        <w:t xml:space="preserve">（高级）</w:t>
      </w:r>
      <w:r>
        <w:rPr>
          <w:rFonts w:hint="eastAsia" w:ascii="宋体" w:hAnsi="宋体" w:cs="方正仿宋_GBK"/>
          <w:color w:val="000000" w:themeColor="text1"/>
          <w:sz w:val="24"/>
          <w:szCs w:val="24"/>
        </w:rPr>
        <w:t xml:space="preserve">或信息系统运维管理工程师（高级）证书。</w:t>
      </w:r>
      <w:r>
        <w:rPr>
          <w:rFonts w:hint="eastAsia" w:ascii="宋体" w:hAnsi="宋体" w:cs="方正仿宋_GBK"/>
          <w:color w:val="000000" w:themeColor="text1"/>
          <w:sz w:val="24"/>
          <w:szCs w:val="24"/>
        </w:rPr>
        <w:br w:type="textWrapping" w:clear="all"/>
        <w:t xml:space="preserve">（3）安全负责人：</w:t>
      </w:r>
      <w:r>
        <w:rPr>
          <w:rFonts w:hint="eastAsia" w:ascii="宋体" w:hAnsi="宋体" w:cs="方正仿宋_GBK"/>
          <w:color w:val="000000" w:themeColor="text1"/>
          <w:sz w:val="24"/>
          <w:szCs w:val="24"/>
        </w:rPr>
        <w:br w:type="textWrapping" w:clear="all"/>
        <w:t xml:space="preserve">供应商应为本项目配备项目安全负责人1名，安全负责人具有高级网络与信息安全工程师证书。</w:t>
      </w:r>
      <w:r>
        <w:rPr>
          <w:rFonts w:hint="eastAsia" w:ascii="宋体" w:hAnsi="宋体" w:cs="方正仿宋_GBK"/>
          <w:color w:val="000000" w:themeColor="text1"/>
        </w:rPr>
        <w:br w:type="textWrapping" w:clear="all"/>
      </w:r>
      <w:r>
        <w:rPr>
          <w:rFonts w:hint="eastAsia" w:ascii="宋体" w:hAnsi="宋体"/>
          <w:b/>
          <w:color w:val="000000" w:themeColor="text1"/>
          <w:sz w:val="24"/>
          <w:szCs w:val="24"/>
        </w:rPr>
        <w:t xml:space="preserve">七</w:t>
      </w:r>
      <w:r>
        <w:rPr>
          <w:rFonts w:ascii="宋体" w:hAnsi="宋体"/>
          <w:b/>
          <w:color w:val="000000" w:themeColor="text1"/>
          <w:sz w:val="24"/>
          <w:szCs w:val="24"/>
        </w:rPr>
        <w:t xml:space="preserve">、其他要求</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1. 项目属性:服务类项目。</w:t>
      </w:r>
      <w:r/>
    </w:p>
    <w:p>
      <w:pPr>
        <w:ind w:firstLine="480"/>
        <w:jc w:val="left"/>
        <w:spacing w:line="500" w:lineRule="exact"/>
        <w:rPr>
          <w:rFonts w:ascii="宋体" w:hAnsi="宋体" w:cs="方正仿宋_GBK"/>
          <w:sz w:val="24"/>
          <w:szCs w:val="24"/>
        </w:rPr>
      </w:pPr>
      <w:r>
        <w:rPr>
          <w:rFonts w:hint="eastAsia" w:ascii="宋体" w:hAnsi="宋体" w:cs="方正仿宋_GBK"/>
          <w:sz w:val="24"/>
          <w:szCs w:val="24"/>
        </w:rPr>
        <w:t xml:space="preserve">2.演示要求：上传视频演示</w:t>
      </w:r>
      <w:r/>
    </w:p>
    <w:p>
      <w:pPr>
        <w:ind w:firstLine="480"/>
        <w:jc w:val="left"/>
        <w:spacing w:line="500" w:lineRule="exact"/>
        <w:rPr>
          <w:rFonts w:ascii="宋体" w:hAnsi="宋体"/>
          <w:sz w:val="24"/>
          <w:szCs w:val="24"/>
        </w:rPr>
      </w:pPr>
      <w:r>
        <w:rPr>
          <w:rFonts w:hint="eastAsia" w:ascii="宋体" w:hAnsi="宋体" w:cs="方正仿宋_GBK"/>
          <w:sz w:val="24"/>
          <w:szCs w:val="24"/>
        </w:rPr>
        <w:t xml:space="preserve">1.投标人需按照招标文件规定的演示内容制作演示视频文件，视频文件的格式为</w:t>
      </w:r>
      <w:r>
        <w:rPr>
          <w:rFonts w:ascii="宋体" w:hAnsi="宋体" w:cs="方正仿宋_GBK"/>
          <w:sz w:val="24"/>
          <w:szCs w:val="24"/>
        </w:rPr>
        <w:t xml:space="preserve">*</w:t>
      </w:r>
      <w:r>
        <w:rPr>
          <w:rFonts w:hint="eastAsia" w:ascii="宋体" w:hAnsi="宋体" w:cs="方正仿宋_GBK"/>
          <w:sz w:val="24"/>
          <w:szCs w:val="24"/>
        </w:rPr>
        <w:t xml:space="preserve">.mp4或*.avi，投标人须将视频文件分段压缩为*.zip文件上传（单个文件不得大于</w:t>
      </w:r>
      <w:r>
        <w:rPr>
          <w:rFonts w:hint="eastAsia" w:ascii="宋体" w:hAnsi="宋体"/>
          <w:sz w:val="24"/>
          <w:szCs w:val="24"/>
        </w:rPr>
        <w:t xml:space="preserve">50M，所有文件总共不得大于300M）。文件上传方式见《操作手册》规定，上传的演示视频将作为投标文件的组成部分，视频时长总计不超过</w:t>
      </w:r>
      <w:r>
        <w:rPr>
          <w:rFonts w:hint="eastAsia" w:ascii="宋体" w:hAnsi="宋体"/>
          <w:sz w:val="24"/>
          <w:szCs w:val="24"/>
          <w:u w:val="single"/>
        </w:rPr>
        <w:t xml:space="preserve">15</w:t>
      </w:r>
      <w:r>
        <w:rPr>
          <w:rFonts w:hint="eastAsia" w:ascii="宋体" w:hAnsi="宋体"/>
          <w:sz w:val="24"/>
          <w:szCs w:val="24"/>
        </w:rPr>
        <w:t xml:space="preserve">分钟</w:t>
      </w:r>
      <w:r/>
    </w:p>
    <w:p>
      <w:pPr>
        <w:ind w:firstLine="480"/>
        <w:spacing w:line="0" w:lineRule="atLeast"/>
        <w:rPr>
          <w:rFonts w:ascii="宋体" w:hAnsi="宋体"/>
          <w:sz w:val="24"/>
          <w:szCs w:val="24"/>
        </w:rPr>
      </w:pPr>
      <w:r>
        <w:rPr>
          <w:rFonts w:hint="eastAsia" w:ascii="宋体" w:hAnsi="宋体"/>
          <w:sz w:val="24"/>
          <w:szCs w:val="24"/>
        </w:rPr>
        <w:t xml:space="preserve">2.演示内容如下：</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1、演示“人员注册与资格审查管理”功能：</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①提供运动员及教练员的在线注册入口，支持个人基本资料、注册信息、家庭信息、证明材料等信息的录入与审核管理。</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②依据省运会规则，对运动员参赛资格进行严格审查，特别是对学籍卡等关键材料进行在线提交、核验与归档，实现资格审查流程的标准化、透明化与可追溯，确保参赛人员身份的准确性与合法性。</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2、演示“赛事与全流程报名管理”功能：</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①赛事运营方可通过后台动态发布与管理赛事信息，包括设置报名开放的组别、项目，定义各项目的报名人数上限、年龄范围等具体规则，并配置相应的资格限制条件。</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②系统将根据这些预设规则，自动对各单位的报名数据进行校验和限制。</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③在报名端，它为参赛单位提供了从在线填报报名表、提交电子材料、实时跟踪资格审核状态直至完成最终报名确认的全流程线上服务。</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④系统对汇聚的所有报名数据进行实时统计与多维度智能分析，包括各项目、组别的参赛人数，不同单位的报名人数情况等，为赛事规模调控、资源优化配置及管理决策提供精准、及时的数据支撑。</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3、演示“精细化赛程管理”功能</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①支持全量赛程发布，管理员在后台发布、管理与更新所有竞赛项目的完整赛程，信息维度包括：比赛日期、所属大项/分项/小项、比赛阶段（如预赛、决赛）、场馆名称、具体场地等。（1分）</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②支持多视图展示。在前端网页提供“总赛程表”、“按日赛程”、“按项目赛程”等多种视图，方便公众、媒体及各参赛队按需查询。</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4、演示“一站式移动服务”功能：</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①运动员可通过小程序实时查阅官方发布的赛事通知、规程文件等动态信息。</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②能在线完成个人注册信息的核对、报名状态的确认。</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③小程序支持个性化赛程查询，运动员可随时查看自己的比赛时间、场地安排及对阵信息。</w:t>
      </w:r>
      <w:r/>
    </w:p>
    <w:p>
      <w:pPr>
        <w:jc w:val="left"/>
        <w:spacing w:line="500" w:lineRule="exact"/>
        <w:rPr>
          <w:rFonts w:ascii="宋体" w:hAnsi="宋体" w:cs="方正仿宋_GBK"/>
          <w:bCs/>
          <w:sz w:val="24"/>
          <w:szCs w:val="24"/>
        </w:rPr>
      </w:pPr>
      <w:r>
        <w:rPr>
          <w:rFonts w:hint="eastAsia" w:ascii="宋体" w:hAnsi="宋体" w:cs="方正仿宋_GBK"/>
          <w:bCs/>
          <w:sz w:val="24"/>
          <w:szCs w:val="24"/>
        </w:rPr>
        <w:t xml:space="preserve">④小程序支持运动员个人成绩、证书查询、赛程赛果、奖牌榜查询，可通过小程序及时获取比赛结果及证书。</w:t>
      </w:r>
      <w:r/>
    </w:p>
    <w:p>
      <w:pPr>
        <w:ind w:firstLine="480"/>
        <w:spacing w:line="560" w:lineRule="exact"/>
        <w:rPr>
          <w:rFonts w:ascii="宋体" w:hAnsi="宋体"/>
          <w:sz w:val="24"/>
        </w:rPr>
      </w:pPr>
      <w:r>
        <w:rPr>
          <w:rFonts w:ascii="宋体" w:hAnsi="宋体"/>
          <w:sz w:val="24"/>
        </w:rPr>
      </w:r>
      <w:r/>
    </w:p>
    <w:p>
      <w:pPr>
        <w:ind w:firstLine="602"/>
        <w:rPr>
          <w:b/>
          <w:i/>
          <w:sz w:val="30"/>
          <w:szCs w:val="32"/>
          <w:u w:val="single"/>
        </w:rPr>
      </w:pPr>
      <w:r>
        <w:rPr>
          <w:b/>
          <w:i/>
          <w:sz w:val="30"/>
          <w:szCs w:val="32"/>
          <w:u w:val="single"/>
        </w:rPr>
      </w:r>
      <w:r/>
    </w:p>
    <w:p>
      <w:pPr>
        <w:rPr>
          <w:rFonts w:ascii="宋体" w:hAnsi="宋体"/>
          <w:b/>
          <w:sz w:val="28"/>
          <w:szCs w:val="28"/>
        </w:rPr>
      </w:pPr>
      <w:r>
        <w:rPr>
          <w:rFonts w:ascii="宋体" w:hAnsi="宋体"/>
          <w:b/>
          <w:sz w:val="28"/>
          <w:szCs w:val="28"/>
        </w:rPr>
      </w:r>
      <w:r/>
    </w:p>
    <w:p>
      <w:pPr>
        <w:tabs>
          <w:tab w:val="left" w:pos="6200" w:leader="none"/>
        </w:tabs>
        <w:rPr>
          <w:rFonts w:ascii="Arial" w:hAnsi="Arial" w:cs="Arial"/>
          <w:b/>
          <w:sz w:val="32"/>
        </w:rPr>
      </w:pPr>
      <w:r>
        <w:rPr>
          <w:rFonts w:ascii="Arial" w:hAnsi="Arial" w:cs="Arial"/>
          <w:b/>
          <w:sz w:val="32"/>
        </w:rPr>
      </w:r>
      <w:r/>
    </w:p>
    <w:p>
      <w:pPr>
        <w:tabs>
          <w:tab w:val="left" w:pos="6200" w:leader="none"/>
        </w:tabs>
        <w:rPr>
          <w:rFonts w:ascii="Arial" w:hAnsi="Arial" w:cs="Arial"/>
          <w:b/>
          <w:bCs/>
          <w:sz w:val="32"/>
          <w:szCs w:val="32"/>
        </w:rPr>
      </w:pPr>
      <w:r>
        <w:rPr>
          <w:rFonts w:ascii="Arial" w:hAnsi="Arial" w:cs="Arial"/>
          <w:b/>
          <w:bCs/>
          <w:sz w:val="32"/>
          <w:szCs w:val="32"/>
        </w:rPr>
      </w:r>
      <w:r/>
    </w:p>
    <w:p>
      <w:r/>
      <w:bookmarkStart w:id="202" w:name="_Toc120614281"/>
      <w:r/>
      <w:r/>
    </w:p>
    <w:p>
      <w:pPr>
        <w:pStyle w:val="712"/>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922"/>
        <w:ind w:firstLine="360"/>
        <w:spacing w:line="0" w:lineRule="atLeast"/>
        <w:rPr>
          <w:rFonts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1610"/>
        <w:gridCol w:w="5569"/>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5569"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W w:w="5569"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22"/>
        <w:ind w:firstLine="441"/>
        <w:spacing w:line="0" w:lineRule="atLeast"/>
        <w:rPr>
          <w:rFonts w:ascii="宋体" w:hAnsi="宋体"/>
          <w:b/>
          <w:highlight w:val="yellow"/>
        </w:rPr>
      </w:pPr>
      <w:r>
        <w:rPr>
          <w:rFonts w:hint="eastAsia" w:ascii="宋体" w:hAnsi="宋体"/>
          <w:b/>
        </w:rPr>
        <w:t xml:space="preserve">政府采购政策功能落实</w:t>
      </w:r>
      <w:r/>
    </w:p>
    <w:p>
      <w:pPr>
        <w:pStyle w:val="922"/>
        <w:spacing w:line="0" w:lineRule="atLeast"/>
        <w:rPr>
          <w:rFonts w:ascii="宋体" w:hAnsi="宋体"/>
        </w:rPr>
      </w:pPr>
      <w:r>
        <w:rPr>
          <w:rFonts w:hint="eastAsia" w:ascii="宋体" w:hAnsi="宋体"/>
        </w:rPr>
        <w:t xml:space="preserve">1、小微型企业价格扣除</w:t>
      </w:r>
      <w:r/>
    </w:p>
    <w:p>
      <w:pPr>
        <w:pStyle w:val="922"/>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p>
    <w:p>
      <w:pPr>
        <w:pStyle w:val="922"/>
        <w:spacing w:line="0" w:lineRule="atLeast"/>
        <w:rPr>
          <w:rFonts w:ascii="宋体" w:hAnsi="宋体"/>
        </w:rPr>
      </w:pPr>
      <w:r>
        <w:rPr>
          <w:rFonts w:hint="eastAsia" w:ascii="宋体" w:hAnsi="宋体"/>
        </w:rPr>
        <w:t xml:space="preserve">2、残疾人福利单位价格扣除</w:t>
      </w:r>
      <w:r/>
    </w:p>
    <w:p>
      <w:pPr>
        <w:pStyle w:val="922"/>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22"/>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22"/>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22"/>
        <w:spacing w:line="0" w:lineRule="atLeast"/>
        <w:rPr>
          <w:rFonts w:ascii="宋体" w:hAnsi="宋体"/>
        </w:rPr>
      </w:pPr>
      <w:r>
        <w:rPr>
          <w:rFonts w:hint="eastAsia" w:ascii="宋体" w:hAnsi="宋体"/>
        </w:rPr>
        <w:t xml:space="preserve">3、监狱和戒毒企业价格扣除</w:t>
      </w:r>
      <w:r/>
    </w:p>
    <w:p>
      <w:pPr>
        <w:pStyle w:val="922"/>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22"/>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2"/>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22"/>
        <w:spacing w:line="400" w:lineRule="exact"/>
        <w:rPr>
          <w:rFonts w:ascii="宋体" w:hAnsi="宋体"/>
        </w:rPr>
      </w:pPr>
      <w:r>
        <w:rPr>
          <w:rFonts w:hint="eastAsia" w:ascii="宋体" w:hAnsi="宋体"/>
        </w:rPr>
        <w:t xml:space="preserve">4、残疾人福利单位、监狱企业属于小型、微型企业的，不重复享受政策。</w:t>
      </w:r>
      <w:r/>
    </w:p>
    <w:p>
      <w:pPr>
        <w:pStyle w:val="922"/>
        <w:spacing w:line="400" w:lineRule="exact"/>
        <w:rPr>
          <w:rFonts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22"/>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22"/>
        <w:ind w:firstLine="0"/>
        <w:spacing w:line="0" w:lineRule="atLeast"/>
        <w:rPr>
          <w:rFonts w:ascii="宋体" w:hAnsi="宋体"/>
          <w:b/>
        </w:rPr>
      </w:pPr>
      <w:r>
        <w:rPr>
          <w:rFonts w:ascii="宋体" w:hAnsi="宋体"/>
          <w:b/>
        </w:rPr>
      </w:r>
      <w:r/>
    </w:p>
    <w:p>
      <w:pPr>
        <w:pStyle w:val="922"/>
        <w:ind w:firstLine="482"/>
        <w:spacing w:line="0" w:lineRule="atLeast"/>
        <w:rPr>
          <w:rFonts w:ascii="宋体" w:hAnsi="宋体"/>
          <w:b/>
          <w:highlight w:val="yellow"/>
        </w:rPr>
      </w:pPr>
      <w:r>
        <w:rPr>
          <w:rFonts w:hint="eastAsia" w:ascii="宋体" w:hAnsi="宋体"/>
          <w:b/>
        </w:rPr>
        <w:t xml:space="preserve">评标方法与评标标准</w:t>
      </w:r>
      <w:r/>
    </w:p>
    <w:tbl>
      <w:tblPr>
        <w:tblW w:w="0" w:type="auto"/>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9"/>
        <w:gridCol w:w="1430"/>
        <w:gridCol w:w="6814"/>
        <w:gridCol w:w="832"/>
      </w:tblGrid>
      <w:tr>
        <w:trPr/>
        <w:tc>
          <w:tcPr>
            <w:tcBorders>
              <w:top w:val="single" w:color="000000" w:sz="4" w:space="0"/>
              <w:left w:val="single" w:color="000000" w:sz="4" w:space="0"/>
              <w:bottom w:val="single" w:color="000000" w:sz="4" w:space="0"/>
              <w:right w:val="single" w:color="000000" w:sz="4" w:space="0"/>
            </w:tcBorders>
            <w:tcW w:w="869" w:type="dxa"/>
            <w:textDirection w:val="lrTb"/>
            <w:noWrap w:val="false"/>
          </w:tcPr>
          <w:p>
            <w:pPr>
              <w:pStyle w:val="670"/>
              <w:jc w:val="center"/>
              <w:spacing w:line="500" w:lineRule="exact"/>
              <w:rPr>
                <w:rFonts w:ascii="宋体" w:hAnsi="宋体" w:eastAsia="宋体" w:cs="方正仿宋_GBK"/>
                <w:iCs/>
                <w:sz w:val="21"/>
                <w:szCs w:val="21"/>
              </w:rPr>
            </w:pPr>
            <w:r>
              <w:rPr>
                <w:rFonts w:hint="eastAsia" w:ascii="宋体" w:hAnsi="宋体" w:eastAsia="宋体" w:cs="方正仿宋_GBK"/>
                <w:i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30" w:type="dxa"/>
            <w:textDirection w:val="lrTb"/>
            <w:noWrap w:val="false"/>
          </w:tcPr>
          <w:p>
            <w:pPr>
              <w:pStyle w:val="670"/>
              <w:jc w:val="center"/>
              <w:spacing w:line="500" w:lineRule="exact"/>
              <w:rPr>
                <w:rFonts w:ascii="宋体" w:hAnsi="宋体" w:eastAsia="宋体" w:cs="方正仿宋_GBK"/>
                <w:iCs/>
                <w:sz w:val="21"/>
                <w:szCs w:val="21"/>
              </w:rPr>
            </w:pPr>
            <w:r>
              <w:rPr>
                <w:rFonts w:hint="eastAsia" w:ascii="宋体" w:hAnsi="宋体" w:eastAsia="宋体" w:cs="方正仿宋_GBK"/>
                <w:iCs/>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6814" w:type="dxa"/>
            <w:textDirection w:val="lrTb"/>
            <w:noWrap w:val="false"/>
          </w:tcPr>
          <w:p>
            <w:pPr>
              <w:pStyle w:val="670"/>
              <w:jc w:val="center"/>
              <w:spacing w:line="500" w:lineRule="exact"/>
              <w:rPr>
                <w:rFonts w:ascii="宋体" w:hAnsi="宋体" w:eastAsia="宋体" w:cs="方正仿宋_GBK"/>
                <w:iCs/>
                <w:sz w:val="21"/>
                <w:szCs w:val="21"/>
              </w:rPr>
            </w:pPr>
            <w:r>
              <w:rPr>
                <w:rFonts w:hint="eastAsia" w:ascii="宋体" w:hAnsi="宋体" w:eastAsia="宋体" w:cs="方正仿宋_GBK"/>
                <w:iCs/>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670"/>
              <w:jc w:val="center"/>
              <w:spacing w:line="500" w:lineRule="exact"/>
              <w:rPr>
                <w:rFonts w:ascii="方正仿宋_GBK" w:hAnsi="方正仿宋_GBK" w:eastAsia="方正仿宋_GBK" w:cs="方正仿宋_GBK"/>
                <w:iCs/>
              </w:rPr>
            </w:pPr>
            <w:r>
              <w:rPr>
                <w:rFonts w:hint="eastAsia" w:ascii="方正仿宋_GBK" w:hAnsi="方正仿宋_GBK" w:eastAsia="方正仿宋_GBK" w:cs="方正仿宋_GBK"/>
                <w:iCs/>
              </w:rPr>
              <w:t xml:space="preserve">分值</w:t>
            </w:r>
            <w:r/>
          </w:p>
        </w:tc>
      </w:tr>
      <w:tr>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价格分</w:t>
            </w:r>
            <w:r/>
          </w:p>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w:t>
            </w:r>
            <w:bookmarkStart w:id="203" w:name="OLE_LINK21"/>
            <w:r/>
            <w:bookmarkStart w:id="204" w:name="OLE_LINK20"/>
            <w:r>
              <w:rPr>
                <w:rFonts w:hint="eastAsia" w:ascii="宋体" w:hAnsi="宋体" w:eastAsia="宋体" w:cs="方正仿宋_GBK"/>
                <w:color w:val="000000"/>
                <w:sz w:val="21"/>
                <w:szCs w:val="21"/>
              </w:rPr>
              <w:t xml:space="preserve">10分</w:t>
            </w:r>
            <w:bookmarkEnd w:id="203"/>
            <w:r/>
            <w:bookmarkEnd w:id="204"/>
            <w:r>
              <w:rPr>
                <w:rFonts w:hint="eastAsia" w:ascii="宋体" w:hAnsi="宋体" w:eastAsia="宋体" w:cs="方正仿宋_GBK"/>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jc w:val="left"/>
              <w:rPr>
                <w:rFonts w:ascii="宋体" w:hAnsi="宋体" w:cs="方正仿宋_GBK"/>
                <w:color w:val="000000"/>
              </w:rPr>
            </w:pPr>
            <w:r>
              <w:rPr>
                <w:rFonts w:hint="eastAsia" w:ascii="宋体" w:hAnsi="宋体"/>
              </w:rPr>
              <w:t xml:space="preserve">满足采购文件实质性要求且最终报价最低的磋商报价为评审基准价，其价格分为满分。其他供应商的价格分统一按照下列公式计算：项目磋商报价得分=（评审基准价/磋商最终报价）×10，小数点后保留2位。</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10</w:t>
            </w:r>
            <w:r/>
          </w:p>
        </w:tc>
      </w:tr>
      <w:tr>
        <w:trPr>
          <w:trHeight w:val="1729"/>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技术及商务指标响应分</w:t>
            </w:r>
            <w:r/>
          </w:p>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w:t>
            </w:r>
            <w:bookmarkStart w:id="205" w:name="OLE_LINK23"/>
            <w:r/>
            <w:bookmarkStart w:id="206" w:name="OLE_LINK22"/>
            <w:r>
              <w:rPr>
                <w:rFonts w:hint="eastAsia" w:ascii="宋体" w:hAnsi="宋体" w:eastAsia="宋体" w:cs="方正仿宋_GBK"/>
                <w:color w:val="000000"/>
                <w:sz w:val="21"/>
                <w:szCs w:val="21"/>
              </w:rPr>
              <w:t xml:space="preserve">15分</w:t>
            </w:r>
            <w:bookmarkEnd w:id="205"/>
            <w:r/>
            <w:bookmarkEnd w:id="206"/>
            <w:r>
              <w:rPr>
                <w:rFonts w:hint="eastAsia" w:ascii="宋体" w:hAnsi="宋体" w:eastAsia="宋体" w:cs="方正仿宋_GBK"/>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jc w:val="left"/>
              <w:rPr>
                <w:rFonts w:ascii="宋体" w:hAnsi="宋体"/>
              </w:rPr>
            </w:pPr>
            <w:r>
              <w:rPr>
                <w:rFonts w:hint="eastAsia" w:ascii="宋体" w:hAnsi="宋体"/>
              </w:rPr>
              <w:t xml:space="preserve">评定各供应商技术及商务指标的响应性。</w:t>
            </w:r>
            <w:r/>
          </w:p>
          <w:p>
            <w:pPr>
              <w:jc w:val="left"/>
              <w:rPr>
                <w:rFonts w:ascii="宋体" w:hAnsi="宋体" w:cs="方正仿宋_GBK"/>
                <w:color w:val="000000"/>
              </w:rPr>
            </w:pPr>
            <w:r>
              <w:rPr>
                <w:rFonts w:hint="eastAsia" w:ascii="宋体" w:hAnsi="宋体"/>
              </w:rPr>
              <w:t xml:space="preserve">招标文件中打“▲”号条款为重要技术或商务条款，有负偏离每项扣1.5分，总分15分，根据投标人响应情况进行扣分。（投标人需对“▲”号条款逐一响应，并如实详细列出响应技术指标及承诺，同时需按照采购需求提供类似系统功能截图证明，否则评委会有权作负偏离处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15</w:t>
            </w:r>
            <w:r/>
          </w:p>
        </w:tc>
      </w:tr>
      <w:tr>
        <w:trPr>
          <w:cantSplit/>
          <w:trHeight w:val="1699"/>
        </w:trPr>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430" w:type="dxa"/>
            <w:vAlign w:val="center"/>
            <w:vMerge w:val="restart"/>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技术服务方案分（40分）</w:t>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bCs/>
                <w:color w:val="000000"/>
                <w:sz w:val="21"/>
              </w:rPr>
            </w:pPr>
            <w:r>
              <w:rPr>
                <w:rFonts w:hint="eastAsia" w:ascii="宋体" w:hAnsi="宋体" w:cs="方正仿宋_GBK"/>
                <w:b/>
                <w:color w:val="000000"/>
                <w:sz w:val="21"/>
              </w:rPr>
              <w:t xml:space="preserve">3.1</w:t>
            </w:r>
            <w:bookmarkStart w:id="207" w:name="OLE_LINK32"/>
            <w:r/>
            <w:bookmarkStart w:id="208" w:name="OLE_LINK27"/>
            <w:r>
              <w:rPr>
                <w:rFonts w:hint="eastAsia" w:ascii="宋体" w:hAnsi="宋体" w:cs="方正仿宋_GBK"/>
                <w:b/>
                <w:color w:val="000000"/>
                <w:sz w:val="21"/>
              </w:rPr>
              <w:t xml:space="preserve">赛事注册报名</w:t>
            </w:r>
            <w:bookmarkEnd w:id="207"/>
            <w:r>
              <w:rPr>
                <w:rFonts w:hint="eastAsia" w:ascii="宋体" w:hAnsi="宋体" w:cs="方正仿宋_GBK"/>
                <w:b/>
                <w:color w:val="000000"/>
                <w:sz w:val="21"/>
              </w:rPr>
              <w:t xml:space="preserve">系统开发</w:t>
            </w:r>
            <w:bookmarkEnd w:id="208"/>
            <w:r>
              <w:rPr>
                <w:rFonts w:hint="eastAsia" w:ascii="宋体" w:hAnsi="宋体" w:cs="方正仿宋_GBK"/>
                <w:b/>
                <w:color w:val="000000"/>
                <w:sz w:val="21"/>
              </w:rPr>
              <w:t xml:space="preserve">建设方案</w:t>
            </w:r>
            <w:r>
              <w:rPr>
                <w:rFonts w:hint="eastAsia" w:ascii="宋体" w:hAnsi="宋体" w:cs="方正仿宋_GBK"/>
                <w:b/>
                <w:bCs/>
                <w:color w:val="000000"/>
                <w:sz w:val="21"/>
              </w:rPr>
              <w:t xml:space="preserve">（5分）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根据供应商提供的赛事注册报名系统开发建设方案进行综合评审：</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1677"/>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color w:val="000000"/>
                <w:sz w:val="21"/>
              </w:rPr>
            </w:pPr>
            <w:r>
              <w:rPr>
                <w:rFonts w:hint="eastAsia" w:ascii="宋体" w:hAnsi="宋体" w:cs="方正仿宋_GBK"/>
                <w:b/>
                <w:color w:val="000000"/>
                <w:sz w:val="21"/>
              </w:rPr>
              <w:t xml:space="preserve">3.2成绩管理系统开发建设方案（5分）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根据供应商提供的成绩管理系统开发建设方案进行综合评审：</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1703"/>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color w:val="000000"/>
                <w:sz w:val="21"/>
              </w:rPr>
            </w:pPr>
            <w:r>
              <w:rPr>
                <w:rFonts w:hint="eastAsia" w:ascii="宋体" w:hAnsi="宋体" w:cs="方正仿宋_GBK"/>
                <w:b/>
                <w:color w:val="000000"/>
                <w:sz w:val="21"/>
              </w:rPr>
              <w:t xml:space="preserve">3.3</w:t>
            </w:r>
            <w:bookmarkStart w:id="209" w:name="OLE_LINK37"/>
            <w:r/>
            <w:bookmarkStart w:id="210" w:name="OLE_LINK38"/>
            <w:r>
              <w:rPr>
                <w:rFonts w:hint="eastAsia" w:ascii="宋体" w:hAnsi="宋体" w:cs="方正仿宋_GBK"/>
                <w:b/>
                <w:color w:val="000000"/>
                <w:sz w:val="21"/>
              </w:rPr>
              <w:t xml:space="preserve">赛程赛果</w:t>
            </w:r>
            <w:bookmarkEnd w:id="209"/>
            <w:r/>
            <w:bookmarkEnd w:id="210"/>
            <w:r>
              <w:rPr>
                <w:rFonts w:hint="eastAsia" w:ascii="宋体" w:hAnsi="宋体" w:cs="方正仿宋_GBK"/>
                <w:b/>
                <w:color w:val="000000"/>
                <w:sz w:val="21"/>
              </w:rPr>
              <w:t xml:space="preserve">信息发布系统开发建设方案（5分）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根据供应商提供的赛程赛果信息发布系统开发建设方案进行综合评审：</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1671"/>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color w:val="000000"/>
                <w:sz w:val="21"/>
              </w:rPr>
            </w:pPr>
            <w:r>
              <w:rPr>
                <w:rFonts w:hint="eastAsia" w:ascii="宋体" w:hAnsi="宋体" w:cs="方正仿宋_GBK"/>
                <w:b/>
                <w:color w:val="000000"/>
                <w:sz w:val="21"/>
              </w:rPr>
              <w:t xml:space="preserve">3.4微信小程序开发建设方案（5分）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根据供应商提供的微信小程序开发建设方案进行综合评审：</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1550"/>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color w:val="000000"/>
                <w:sz w:val="21"/>
              </w:rPr>
            </w:pPr>
            <w:r>
              <w:rPr>
                <w:rFonts w:hint="eastAsia" w:ascii="宋体" w:hAnsi="宋体" w:cs="方正仿宋_GBK"/>
                <w:b/>
                <w:color w:val="000000"/>
                <w:sz w:val="21"/>
              </w:rPr>
              <w:t xml:space="preserve">3.5数据对接方案（5分）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根据供应商提供的数据对接方案进行综合评审：</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1558"/>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color w:val="000000"/>
                <w:sz w:val="21"/>
              </w:rPr>
            </w:pPr>
            <w:r>
              <w:rPr>
                <w:rFonts w:hint="eastAsia" w:ascii="宋体" w:hAnsi="宋体" w:cs="方正仿宋_GBK"/>
                <w:b/>
                <w:color w:val="000000"/>
                <w:sz w:val="21"/>
              </w:rPr>
              <w:t xml:space="preserve">3.6数据服务中心服务方案（5分）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根据供应商提供的数据服务中心服务方案进行综合评审：</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2253"/>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b/>
                <w:color w:val="000000"/>
                <w:sz w:val="21"/>
              </w:rPr>
            </w:pPr>
            <w:r>
              <w:rPr>
                <w:rFonts w:hint="eastAsia" w:ascii="宋体" w:hAnsi="宋体" w:cs="方正仿宋_GBK"/>
                <w:b/>
                <w:color w:val="000000"/>
                <w:sz w:val="21"/>
              </w:rPr>
              <w:t xml:space="preserve">3.7项目</w:t>
            </w:r>
            <w:bookmarkStart w:id="211" w:name="OLE_LINK35"/>
            <w:r/>
            <w:bookmarkStart w:id="212" w:name="OLE_LINK36"/>
            <w:r>
              <w:rPr>
                <w:rFonts w:hint="eastAsia" w:ascii="宋体" w:hAnsi="宋体" w:cs="方正仿宋_GBK"/>
                <w:b/>
                <w:color w:val="000000"/>
                <w:sz w:val="21"/>
              </w:rPr>
              <w:t xml:space="preserve">实施方案</w:t>
            </w:r>
            <w:bookmarkEnd w:id="211"/>
            <w:r/>
            <w:bookmarkEnd w:id="212"/>
            <w:r>
              <w:rPr>
                <w:rFonts w:hint="eastAsia" w:ascii="宋体" w:hAnsi="宋体" w:cs="方正仿宋_GBK"/>
                <w:b/>
                <w:color w:val="000000"/>
                <w:sz w:val="21"/>
              </w:rPr>
              <w:t xml:space="preserve">（5分）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方案内容包括但不限于项目进度计划、人员配置、质量保证措施、安全服务方案、培训方案、故障处理方案等进行比较打分，整体实施方案体现较好的开发能力和服务能力。</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bCs/>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1688"/>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spacing w:line="500" w:lineRule="exact"/>
              <w:shd w:val="clear" w:color="auto" w:fill="ffffff"/>
              <w:widowControl/>
              <w:rPr>
                <w:rFonts w:ascii="宋体" w:hAnsi="宋体" w:cs="方正仿宋_GBK"/>
                <w:b/>
              </w:rPr>
            </w:pPr>
            <w:r>
              <w:rPr>
                <w:rFonts w:hint="eastAsia" w:ascii="宋体" w:hAnsi="宋体" w:cs="方正仿宋_GBK"/>
                <w:b/>
              </w:rPr>
              <w:t xml:space="preserve">3.8</w:t>
            </w:r>
            <w:bookmarkStart w:id="213" w:name="OLE_LINK39"/>
            <w:r/>
            <w:bookmarkStart w:id="214" w:name="OLE_LINK34"/>
            <w:r/>
            <w:bookmarkStart w:id="215" w:name="OLE_LINK33"/>
            <w:r>
              <w:rPr>
                <w:rFonts w:hint="eastAsia" w:ascii="宋体" w:hAnsi="宋体" w:cs="方正仿宋_GBK"/>
                <w:b/>
              </w:rPr>
              <w:t xml:space="preserve">应急保障</w:t>
            </w:r>
            <w:bookmarkEnd w:id="213"/>
            <w:r/>
            <w:bookmarkEnd w:id="214"/>
            <w:r/>
            <w:bookmarkEnd w:id="215"/>
            <w:r>
              <w:rPr>
                <w:rFonts w:hint="eastAsia" w:ascii="宋体" w:hAnsi="宋体" w:cs="方正仿宋_GBK"/>
                <w:b/>
              </w:rPr>
              <w:t xml:space="preserve">服务方案（5分）。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根据供应商提供的应急保障服务方案进行比较评分，需响应采购需求。</w:t>
            </w:r>
            <w:r/>
          </w:p>
          <w:p>
            <w:pPr>
              <w:pStyle w:val="668"/>
              <w:jc w:val="both"/>
              <w:rPr>
                <w:rFonts w:ascii="宋体" w:hAnsi="宋体" w:cs="方正仿宋_GBK"/>
                <w:color w:val="000000"/>
                <w:sz w:val="21"/>
              </w:rPr>
            </w:pPr>
            <w:r>
              <w:rPr>
                <w:rFonts w:hint="eastAsia" w:ascii="宋体" w:hAnsi="宋体" w:cs="方正仿宋_GBK"/>
                <w:color w:val="000000"/>
                <w:sz w:val="21"/>
              </w:rPr>
              <w:t xml:space="preserve">（1）方案优于项目需求的，得5分；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（2）方案符合项目需求的，得3分；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（3）方案不符合项目需求或未提供的，得0分。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5</w:t>
            </w:r>
            <w:r/>
          </w:p>
        </w:tc>
      </w:tr>
      <w:tr>
        <w:trPr>
          <w:cantSplit/>
          <w:trHeight w:val="3541"/>
        </w:trPr>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vMerge w:val="restart"/>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企业综合实力（17分）</w:t>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spacing w:line="500" w:lineRule="exact"/>
              <w:shd w:val="clear" w:color="auto" w:fill="ffffff"/>
              <w:widowControl/>
              <w:rPr>
                <w:rFonts w:ascii="宋体" w:hAnsi="宋体" w:cs="方正仿宋_GBK"/>
                <w:b/>
              </w:rPr>
            </w:pPr>
            <w:r>
              <w:rPr>
                <w:rFonts w:hint="eastAsia" w:ascii="宋体" w:hAnsi="宋体" w:cs="方正仿宋_GBK"/>
                <w:b/>
              </w:rPr>
              <w:t xml:space="preserve">4.1</w:t>
            </w:r>
            <w:bookmarkStart w:id="216" w:name="OLE_LINK46"/>
            <w:r/>
            <w:bookmarkStart w:id="217" w:name="OLE_LINK47"/>
            <w:r>
              <w:rPr>
                <w:rFonts w:hint="eastAsia" w:ascii="宋体" w:hAnsi="宋体" w:cs="方正仿宋_GBK"/>
                <w:b/>
              </w:rPr>
              <w:t xml:space="preserve">企业资质（7分）</w:t>
            </w:r>
            <w:r/>
          </w:p>
          <w:p>
            <w:pPr>
              <w:pStyle w:val="668"/>
              <w:jc w:val="both"/>
              <w:rPr>
                <w:rFonts w:ascii="宋体" w:hAnsi="宋体" w:cs="方正仿宋_GBK"/>
                <w:color w:val="000000"/>
                <w:sz w:val="21"/>
              </w:rPr>
            </w:pPr>
            <w:r>
              <w:rPr>
                <w:rFonts w:hint="eastAsia" w:ascii="宋体" w:hAnsi="宋体" w:cs="方正仿宋_GBK"/>
                <w:color w:val="000000"/>
                <w:sz w:val="21"/>
              </w:rPr>
              <w:t xml:space="preserve">(1)供应商具有有效期内的ISO27001信息安全管理体系认证证书得4分，没有不得分；（须提供证书证书扫描件或复印件加盖公章）</w:t>
            </w:r>
            <w:r/>
          </w:p>
          <w:p>
            <w:pPr>
              <w:pStyle w:val="668"/>
              <w:rPr>
                <w:rFonts w:ascii="宋体" w:hAnsi="宋体" w:cs="方正仿宋_GBK"/>
                <w:color w:val="000000"/>
              </w:rPr>
            </w:pPr>
            <w:r>
              <w:rPr>
                <w:rFonts w:hint="eastAsia" w:ascii="宋体" w:hAnsi="宋体" w:cs="方正仿宋_GBK"/>
                <w:color w:val="000000"/>
                <w:sz w:val="21"/>
              </w:rPr>
              <w:t xml:space="preserve">(2)供应商具有自主研发能力，具备与本项目相关的自主知识产权的</w:t>
            </w:r>
            <w:bookmarkStart w:id="218" w:name="OLE_LINK42"/>
            <w:r/>
            <w:bookmarkStart w:id="219" w:name="OLE_LINK43"/>
            <w:r>
              <w:rPr>
                <w:rFonts w:hint="eastAsia" w:ascii="宋体" w:hAnsi="宋体" w:cs="方正仿宋_GBK"/>
                <w:color w:val="000000"/>
                <w:sz w:val="21"/>
              </w:rPr>
              <w:t xml:space="preserve">软件</w:t>
            </w:r>
            <w:bookmarkStart w:id="220" w:name="OLE_LINK40"/>
            <w:r/>
            <w:bookmarkStart w:id="221" w:name="OLE_LINK41"/>
            <w:r>
              <w:rPr>
                <w:rFonts w:hint="eastAsia" w:ascii="宋体" w:hAnsi="宋体" w:cs="方正仿宋_GBK"/>
                <w:color w:val="000000"/>
                <w:sz w:val="21"/>
              </w:rPr>
              <w:t xml:space="preserve">著作权</w:t>
            </w:r>
            <w:bookmarkEnd w:id="218"/>
            <w:r/>
            <w:bookmarkEnd w:id="219"/>
            <w:r>
              <w:rPr>
                <w:rFonts w:hint="eastAsia" w:ascii="宋体" w:hAnsi="宋体" w:cs="方正仿宋_GBK"/>
                <w:color w:val="000000"/>
                <w:sz w:val="21"/>
              </w:rPr>
              <w:t xml:space="preserve">登记证书</w:t>
            </w:r>
            <w:bookmarkEnd w:id="220"/>
            <w:r/>
            <w:bookmarkEnd w:id="221"/>
            <w:r>
              <w:rPr>
                <w:rFonts w:hint="eastAsia" w:ascii="宋体" w:hAnsi="宋体" w:cs="方正仿宋_GBK"/>
                <w:color w:val="000000"/>
                <w:sz w:val="21"/>
              </w:rPr>
              <w:t xml:space="preserve">，相关的软件著作权登记证书含有“教练员运动员注册报名”、“赛事综合管理”、“赛事成绩管理”、“赛事信息发布”、“运动会参赛管理”、“赛事编排管理”等关键字，每提供一项得0.5分，最高得3分。</w:t>
            </w:r>
            <w:bookmarkEnd w:id="216"/>
            <w:r/>
            <w:bookmarkEnd w:id="217"/>
            <w:r>
              <w:rPr>
                <w:rFonts w:hint="eastAsia" w:ascii="宋体" w:hAnsi="宋体" w:cs="方正仿宋_GBK"/>
                <w:color w:val="000000"/>
                <w:sz w:val="21"/>
              </w:rPr>
              <w:t xml:space="preserve">注：如响应文件中提供的著作权名称表述与招标文件描述的关键字样不一致，而该投标文件中能证明供应商拥有的软件著作权具有相同或相似功能和效果，且评标委员会认可的，视同符合要求，须提供有效期内证书扫描件或复印件证明材料并加盖供应商公章。</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7</w:t>
            </w:r>
            <w:r/>
          </w:p>
        </w:tc>
      </w:tr>
      <w:tr>
        <w:trPr>
          <w:cantSplit/>
          <w:trHeight w:val="4526"/>
        </w:trPr>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1430" w:type="dxa"/>
            <w:vAlign w:val="center"/>
            <w:vMerge w:val="continue"/>
            <w:textDirection w:val="lrTb"/>
            <w:noWrap w:val="false"/>
          </w:tcPr>
          <w:p>
            <w:pPr>
              <w:jc w:val="left"/>
              <w:widowControl/>
              <w:rPr>
                <w:rFonts w:ascii="宋体" w:hAnsi="宋体" w:cs="方正仿宋_GBK"/>
                <w:color w:val="000000"/>
              </w:rPr>
            </w:pPr>
            <w:r>
              <w:rPr>
                <w:rFonts w:ascii="宋体" w:hAnsi="宋体" w:cs="方正仿宋_GBK"/>
                <w:color w:val="000000"/>
              </w:rPr>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spacing w:line="500" w:lineRule="exact"/>
              <w:shd w:val="clear" w:color="auto" w:fill="ffffff"/>
              <w:widowControl/>
              <w:rPr>
                <w:rFonts w:ascii="宋体" w:hAnsi="宋体" w:cs="方正仿宋_GBK"/>
                <w:b/>
              </w:rPr>
            </w:pPr>
            <w:r>
              <w:rPr>
                <w:rFonts w:hint="eastAsia" w:ascii="宋体" w:hAnsi="宋体" w:cs="方正仿宋_GBK"/>
                <w:b/>
              </w:rPr>
              <w:t xml:space="preserve">4.2团队实力（10分）</w:t>
            </w:r>
            <w:r/>
          </w:p>
          <w:p>
            <w:pPr>
              <w:pStyle w:val="668"/>
              <w:rPr>
                <w:rFonts w:ascii="宋体" w:hAnsi="宋体" w:cs="方正仿宋_GBK"/>
                <w:color w:val="000000"/>
                <w:sz w:val="21"/>
              </w:rPr>
            </w:pPr>
            <w:r/>
            <w:bookmarkStart w:id="222" w:name="OLE_LINK50"/>
            <w:r/>
            <w:bookmarkStart w:id="223" w:name="OLE_LINK51"/>
            <w:r>
              <w:rPr>
                <w:rFonts w:hint="eastAsia" w:ascii="宋体" w:hAnsi="宋体" w:cs="方正仿宋_GBK"/>
                <w:color w:val="000000"/>
                <w:sz w:val="21"/>
              </w:rPr>
              <w:t xml:space="preserve">（1）项目经理：</w:t>
            </w:r>
            <w:r>
              <w:rPr>
                <w:rFonts w:hint="eastAsia" w:ascii="宋体" w:hAnsi="宋体" w:cs="方正仿宋_GBK"/>
                <w:color w:val="000000"/>
                <w:sz w:val="21"/>
              </w:rPr>
              <w:br w:type="textWrapping" w:clear="all"/>
              <w:t xml:space="preserve">供应商应</w:t>
            </w:r>
            <w:r>
              <w:rPr>
                <w:rFonts w:hint="eastAsia" w:ascii="宋体" w:hAnsi="宋体" w:cs="方正仿宋_GBK"/>
                <w:color w:val="000000"/>
                <w:sz w:val="21"/>
              </w:rPr>
              <w:t xml:space="preserve">为本项目配备项目经理1名，项</w:t>
            </w:r>
            <w:bookmarkStart w:id="224" w:name="_GoBack"/>
            <w:r/>
            <w:bookmarkEnd w:id="224"/>
            <w:r>
              <w:rPr>
                <w:rFonts w:hint="eastAsia" w:ascii="宋体" w:hAnsi="宋体" w:cs="方正仿宋_GBK"/>
                <w:color w:val="000000"/>
                <w:sz w:val="21"/>
              </w:rPr>
              <w:t xml:space="preserve">目经理具有信息系统项目管理师（高级）或</w:t>
            </w:r>
            <w:bookmarkStart w:id="225" w:name="OLE_LINK29"/>
            <w:r/>
            <w:bookmarkStart w:id="226" w:name="OLE_LINK28"/>
            <w:r>
              <w:rPr>
                <w:rFonts w:hint="eastAsia" w:ascii="宋体" w:hAnsi="宋体" w:cs="方正仿宋_GBK"/>
                <w:color w:val="000000"/>
                <w:sz w:val="21"/>
              </w:rPr>
              <w:t xml:space="preserve">人工智能应用工程师</w:t>
            </w:r>
            <w:bookmarkEnd w:id="225"/>
            <w:r/>
            <w:bookmarkEnd w:id="226"/>
            <w:r>
              <w:rPr>
                <w:rFonts w:hint="eastAsia" w:ascii="宋体" w:hAnsi="宋体" w:cs="方正仿宋_GBK"/>
                <w:color w:val="000000"/>
                <w:sz w:val="21"/>
              </w:rPr>
              <w:t xml:space="preserve">（高级）或系统架构设计师（高级）证书的，每提供1个得2分，最多得4分，不提供不得分。</w:t>
            </w:r>
            <w:r>
              <w:rPr>
                <w:rFonts w:hint="eastAsia" w:ascii="宋体" w:hAnsi="宋体" w:cs="方正仿宋_GBK"/>
                <w:color w:val="000000"/>
                <w:sz w:val="21"/>
              </w:rPr>
              <w:br w:type="textWrapping" w:clear="all"/>
              <w:t xml:space="preserve">（2）技术负责人：</w:t>
            </w:r>
            <w:r>
              <w:rPr>
                <w:rFonts w:hint="eastAsia" w:ascii="宋体" w:hAnsi="宋体" w:cs="方正仿宋_GBK"/>
                <w:color w:val="000000"/>
                <w:sz w:val="21"/>
              </w:rPr>
              <w:br w:type="textWrapping" w:clear="all"/>
              <w:t xml:space="preserve">供应商应为本项目配备项目技术负责人1名，技术负责人具有全国计算机软件开发(J</w:t>
            </w:r>
            <w:r>
              <w:rPr>
                <w:rFonts w:hint="eastAsia" w:ascii="宋体" w:hAnsi="宋体" w:cs="方正仿宋_GBK"/>
                <w:color w:val="000000" w:themeColor="text1"/>
                <w:sz w:val="21"/>
              </w:rPr>
              <w:t xml:space="preserve">AVA)专业人才（高级）或</w:t>
            </w:r>
            <w:bookmarkStart w:id="227" w:name="OLE_LINK4"/>
            <w:r/>
            <w:bookmarkStart w:id="228" w:name="OLE_LINK10"/>
            <w:r/>
            <w:bookmarkStart w:id="229" w:name="OLE_LINK3"/>
            <w:r/>
            <w:bookmarkStart w:id="230" w:name="OLE_LINK44"/>
            <w:r/>
            <w:bookmarkStart w:id="231" w:name="OLE_LINK45"/>
            <w:r>
              <w:rPr>
                <w:rFonts w:hint="eastAsia" w:ascii="宋体" w:hAnsi="宋体" w:cs="方正仿宋_GBK"/>
                <w:color w:val="000000" w:themeColor="text1"/>
                <w:sz w:val="21"/>
              </w:rPr>
              <w:t xml:space="preserve">信息系统集成管理</w:t>
            </w:r>
            <w:bookmarkEnd w:id="227"/>
            <w:r/>
            <w:bookmarkEnd w:id="228"/>
            <w:r/>
            <w:bookmarkEnd w:id="229"/>
            <w:r/>
            <w:bookmarkEnd w:id="230"/>
            <w:r/>
            <w:bookmarkEnd w:id="231"/>
            <w:r>
              <w:rPr>
                <w:rFonts w:hint="eastAsia" w:ascii="宋体" w:hAnsi="宋体" w:cs="方正仿宋_GBK"/>
                <w:color w:val="000000" w:themeColor="text1"/>
                <w:sz w:val="21"/>
              </w:rPr>
              <w:t xml:space="preserve">（高级</w:t>
            </w:r>
            <w:r>
              <w:rPr>
                <w:rFonts w:hint="eastAsia" w:ascii="宋体" w:hAnsi="宋体" w:cs="方正仿宋_GBK"/>
                <w:color w:val="000000" w:themeColor="text1"/>
              </w:rPr>
              <w:t xml:space="preserve">）</w:t>
            </w:r>
            <w:r>
              <w:rPr>
                <w:rFonts w:hint="eastAsia" w:ascii="宋体" w:hAnsi="宋体" w:cs="方正仿宋_GBK"/>
                <w:color w:val="000000" w:themeColor="text1"/>
                <w:sz w:val="21"/>
              </w:rPr>
              <w:t xml:space="preserve">或</w:t>
            </w:r>
            <w:bookmarkStart w:id="232" w:name="OLE_LINK19"/>
            <w:r/>
            <w:bookmarkStart w:id="233" w:name="OLE_LINK24"/>
            <w:r/>
            <w:bookmarkStart w:id="234" w:name="OLE_LINK25"/>
            <w:r>
              <w:rPr>
                <w:rFonts w:hint="eastAsia" w:ascii="宋体" w:hAnsi="宋体" w:cs="方正仿宋_GBK"/>
                <w:color w:val="000000" w:themeColor="text1"/>
                <w:sz w:val="21"/>
              </w:rPr>
              <w:t xml:space="preserve">信息系统运维管理工程师</w:t>
            </w:r>
            <w:bookmarkEnd w:id="232"/>
            <w:r/>
            <w:bookmarkEnd w:id="233"/>
            <w:r/>
            <w:bookmarkEnd w:id="234"/>
            <w:r>
              <w:rPr>
                <w:rFonts w:hint="eastAsia" w:ascii="宋体" w:hAnsi="宋体" w:cs="方正仿宋_GBK"/>
                <w:color w:val="000000" w:themeColor="text1"/>
                <w:sz w:val="21"/>
              </w:rPr>
              <w:t xml:space="preserve">（高级）证书的，每提供1个得2分，最多得4分，不提供不得分。</w:t>
            </w:r>
            <w:r>
              <w:rPr>
                <w:rFonts w:hint="eastAsia" w:ascii="宋体" w:hAnsi="宋体" w:cs="方正仿宋_GBK"/>
                <w:color w:val="000000" w:themeColor="text1"/>
                <w:sz w:val="21"/>
              </w:rPr>
              <w:br w:type="textWrapping" w:clear="all"/>
              <w:t xml:space="preserve">（3）安全负责人：</w:t>
            </w:r>
            <w:r>
              <w:rPr>
                <w:rFonts w:hint="eastAsia" w:ascii="宋体" w:hAnsi="宋体" w:cs="方正仿宋_GBK"/>
                <w:color w:val="000000"/>
                <w:sz w:val="21"/>
              </w:rPr>
              <w:br w:type="textWrapping" w:clear="all"/>
              <w:t xml:space="preserve">供应商应为本项目配备项目安全负责人1名，安全负责人具有</w:t>
            </w:r>
            <w:bookmarkStart w:id="235" w:name="OLE_LINK30"/>
            <w:r/>
            <w:bookmarkStart w:id="236" w:name="OLE_LINK31"/>
            <w:r/>
            <w:bookmarkStart w:id="237" w:name="OLE_LINK7"/>
            <w:r/>
            <w:bookmarkStart w:id="238" w:name="OLE_LINK6"/>
            <w:r/>
            <w:bookmarkStart w:id="239" w:name="OLE_LINK26"/>
            <w:r>
              <w:rPr>
                <w:rFonts w:hint="eastAsia" w:ascii="宋体" w:hAnsi="宋体" w:cs="方正仿宋_GBK"/>
                <w:color w:val="000000"/>
                <w:sz w:val="21"/>
              </w:rPr>
              <w:t xml:space="preserve">高级网络与信息安全工程师</w:t>
            </w:r>
            <w:bookmarkEnd w:id="235"/>
            <w:r/>
            <w:bookmarkEnd w:id="236"/>
            <w:r/>
            <w:bookmarkEnd w:id="237"/>
            <w:r/>
            <w:bookmarkEnd w:id="238"/>
            <w:r/>
            <w:bookmarkEnd w:id="239"/>
            <w:r>
              <w:rPr>
                <w:rFonts w:hint="eastAsia" w:ascii="宋体" w:hAnsi="宋体" w:cs="方正仿宋_GBK"/>
                <w:color w:val="000000"/>
                <w:sz w:val="21"/>
              </w:rPr>
              <w:t xml:space="preserve">证书，得2分，不提供不得分。</w:t>
            </w:r>
            <w:r>
              <w:rPr>
                <w:rFonts w:hint="eastAsia" w:ascii="宋体" w:hAnsi="宋体" w:cs="方正仿宋_GBK"/>
                <w:color w:val="000000"/>
                <w:sz w:val="21"/>
              </w:rPr>
              <w:br w:type="textWrapping" w:clear="all"/>
            </w:r>
            <w:bookmarkEnd w:id="222"/>
            <w:r/>
            <w:bookmarkEnd w:id="223"/>
            <w:r>
              <w:rPr>
                <w:rFonts w:hint="eastAsia" w:ascii="宋体" w:hAnsi="宋体" w:cs="方正仿宋_GBK"/>
                <w:color w:val="000000"/>
                <w:sz w:val="21"/>
              </w:rPr>
              <w:t xml:space="preserve">注：项目经理、技术负责人、安全负责</w:t>
            </w:r>
            <w:r>
              <w:rPr>
                <w:rFonts w:hint="eastAsia" w:ascii="宋体" w:hAnsi="宋体" w:cs="方正仿宋_GBK"/>
                <w:color w:val="000000"/>
                <w:sz w:val="21"/>
              </w:rPr>
              <w:t xml:space="preserve">人不得为同一人；供应商需提供上述相关证书复印件，及供应商为其缴纳的近三个月内任意一个月的社保证明并加盖供应商公章，否则无效。</w:t>
            </w:r>
            <w:r/>
          </w:p>
          <w:p>
            <w:pPr>
              <w:pStyle w:val="668"/>
              <w:jc w:val="both"/>
              <w:rPr>
                <w:rFonts w:ascii="宋体" w:hAnsi="宋体" w:cs="方正仿宋_GBK"/>
                <w:sz w:val="16"/>
                <w:szCs w:val="16"/>
              </w:rPr>
            </w:pPr>
            <w:r>
              <w:rPr>
                <w:rFonts w:ascii="宋体" w:hAnsi="宋体" w:cs="方正仿宋_GBK"/>
                <w:sz w:val="16"/>
                <w:szCs w:val="16"/>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10</w:t>
            </w:r>
            <w:r/>
          </w:p>
        </w:tc>
      </w:tr>
      <w:tr>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类似业绩</w:t>
            </w:r>
            <w:r/>
          </w:p>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（10分）</w:t>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color w:val="000000"/>
              </w:rPr>
            </w:pPr>
            <w:r>
              <w:rPr>
                <w:rFonts w:hint="eastAsia" w:ascii="宋体" w:hAnsi="宋体" w:cs="方正仿宋_GBK"/>
                <w:color w:val="000000"/>
                <w:sz w:val="21"/>
              </w:rPr>
              <w:t xml:space="preserve">供应商具有2023年1月1日以来（以合同签订时间为准）承担过类似系统软件开发项目或类似项目运维服务案例，每提供一个得2分，最多得10分，不提供不得分。</w:t>
            </w:r>
            <w:r>
              <w:rPr>
                <w:rFonts w:hint="eastAsia" w:ascii="宋体" w:hAnsi="宋体" w:cs="方正仿宋_GBK"/>
                <w:color w:val="000000"/>
                <w:sz w:val="21"/>
              </w:rPr>
              <w:br w:type="textWrapping" w:clear="all"/>
              <w:t xml:space="preserve">注：供应商需提供相关业绩的合同复印件，复印件中需体现合同的签约主体、项目名称及建设内容、合同签订日期等关键页信息，否则不得分。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10</w:t>
            </w:r>
            <w:r/>
          </w:p>
        </w:tc>
      </w:tr>
      <w:tr>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系统演示</w:t>
            </w:r>
            <w:r/>
          </w:p>
          <w:p>
            <w:pPr>
              <w:pStyle w:val="670"/>
              <w:jc w:val="center"/>
              <w:spacing w:line="500" w:lineRule="exact"/>
              <w:rPr>
                <w:rFonts w:ascii="宋体" w:hAnsi="宋体" w:eastAsia="宋体" w:cs="方正仿宋_GBK"/>
                <w:color w:val="000000"/>
                <w:sz w:val="21"/>
                <w:szCs w:val="21"/>
              </w:rPr>
            </w:pPr>
            <w:r>
              <w:rPr>
                <w:rFonts w:hint="eastAsia" w:ascii="宋体" w:hAnsi="宋体" w:eastAsia="宋体" w:cs="方正仿宋_GBK"/>
                <w:color w:val="000000"/>
                <w:sz w:val="21"/>
                <w:szCs w:val="21"/>
              </w:rPr>
              <w:t xml:space="preserve">（8分）</w:t>
            </w:r>
            <w:r/>
          </w:p>
        </w:tc>
        <w:tc>
          <w:tcPr>
            <w:tcBorders>
              <w:top w:val="single" w:color="000000" w:sz="4" w:space="0"/>
              <w:left w:val="single" w:color="000000" w:sz="4" w:space="0"/>
              <w:bottom w:val="single" w:color="000000" w:sz="4" w:space="0"/>
              <w:right w:val="single" w:color="000000" w:sz="4" w:space="0"/>
            </w:tcBorders>
            <w:tcW w:w="6814" w:type="dxa"/>
            <w:vAlign w:val="center"/>
            <w:textDirection w:val="lrTb"/>
            <w:noWrap w:val="false"/>
          </w:tcPr>
          <w:p>
            <w:pPr>
              <w:pStyle w:val="668"/>
              <w:jc w:val="both"/>
              <w:rPr>
                <w:rFonts w:ascii="宋体" w:hAnsi="宋体" w:cs="方正仿宋_GBK"/>
                <w:color w:val="000000"/>
                <w:sz w:val="21"/>
              </w:rPr>
            </w:pPr>
            <w:r>
              <w:rPr>
                <w:rFonts w:hint="eastAsia" w:ascii="宋体" w:hAnsi="宋体" w:cs="方正仿宋_GBK"/>
                <w:color w:val="000000"/>
                <w:sz w:val="21"/>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演示四项功能（按实际功能点评分），演示中的分最高8分。</w:t>
            </w:r>
            <w:bookmarkStart w:id="240" w:name="OLE_LINK9"/>
            <w:r/>
            <w:bookmarkStart w:id="241" w:name="OLE_LINK8"/>
            <w:r>
              <w:rPr>
                <w:rFonts w:hint="eastAsia" w:ascii="宋体" w:hAnsi="宋体" w:cs="方正仿宋_GBK"/>
                <w:color w:val="000000"/>
                <w:sz w:val="21"/>
              </w:rPr>
              <w:t xml:space="preserve">采用真实系统或原型系统进行所投产品演示完整功能点的，得实际演示结果对应分值;采用PPT等静态页面方式演示的，得分为实际演示结果对应分值乘以系数0.5。</w:t>
            </w:r>
            <w:r/>
          </w:p>
          <w:p>
            <w:pPr>
              <w:pStyle w:val="668"/>
              <w:jc w:val="both"/>
              <w:rPr>
                <w:rFonts w:ascii="宋体" w:hAnsi="宋体" w:cs="方正仿宋_GBK"/>
                <w:color w:val="000000"/>
                <w:sz w:val="21"/>
              </w:rPr>
            </w:pPr>
            <w:r/>
            <w:bookmarkStart w:id="242" w:name="OLE_LINK16"/>
            <w:r/>
            <w:bookmarkStart w:id="243" w:name="OLE_LINK17"/>
            <w:r>
              <w:rPr>
                <w:rFonts w:hint="eastAsia" w:ascii="宋体" w:hAnsi="宋体" w:cs="方正仿宋_GBK"/>
                <w:color w:val="000000"/>
                <w:sz w:val="21"/>
              </w:rPr>
              <w:t xml:space="preserve">1、演示“人员注册与资格审查管理”功能（2分）：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①提供运动员及教练员的在线注册入口，支持个人基本资料、注册信息、家庭信息、证明材料等信息的录入与审核管理。（1分）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②依据省运会规则，对运动员参赛资格进行严格审查，特别是对学籍卡等关键材料进行在线提交、核验与归档，实现资格审查流程的标准化、透明化与可追溯，确保参赛人员身份的准确性与合法性。（1分）</w:t>
            </w:r>
            <w:r/>
          </w:p>
          <w:p>
            <w:pPr>
              <w:pStyle w:val="668"/>
              <w:jc w:val="both"/>
              <w:rPr>
                <w:rFonts w:ascii="宋体" w:hAnsi="宋体" w:cs="方正仿宋_GBK"/>
                <w:color w:val="000000"/>
                <w:sz w:val="21"/>
              </w:rPr>
            </w:pPr>
            <w:r>
              <w:rPr>
                <w:rFonts w:hint="eastAsia" w:ascii="宋体" w:hAnsi="宋体" w:cs="方正仿宋_GBK"/>
                <w:color w:val="000000"/>
                <w:sz w:val="21"/>
              </w:rPr>
              <w:t xml:space="preserve">2、演示“赛事与全流程报名管理”功能（2分）：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①赛事运营方可通过后台动态发布与管理赛事信息，包括设置报名开放的组别、项目，定义各项目的报名人数上限、年龄范围等具体规则，并配置相应的资格限制条件。（0.5分）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②系统将根据这些预设规则，自动对各单位的报名数据进行校验和限制。（0.5分）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③在报名端，它为参赛单位提供了从在线填报报名表、提交电子材料、实时跟踪资格审核状态直至完成最终报名确认的全流程线上服务。（0.5分）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④系统对汇聚的所有报名数据进行实时统计与多维度智能分析，包括各项目、组别的参赛人数，不同单位的报名人数情况等，为赛事规模调控、资源优化配置及管理决策提供精准、及时的数据支撑。（0.5分）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3、演示“精细化赛程管理”功能（2分）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①支持全量赛程发布，管理员在后台发布、管理与更新所有竞赛项目的完整赛程，信息维度包括：比赛日期、所属大项/分项/小项、比赛阶段（如预赛、决赛）、场馆名称、具体场地等。（1分）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②支持多视图展示。在前端网页提供“总赛程表”、“按日赛程”、“按项目赛程”等多种视图，方便公众、媒体及各参赛队按需查询。（1分）</w:t>
            </w:r>
            <w:bookmarkEnd w:id="240"/>
            <w:r/>
            <w:bookmarkEnd w:id="241"/>
            <w:r/>
            <w:r/>
          </w:p>
          <w:p>
            <w:pPr>
              <w:pStyle w:val="668"/>
              <w:jc w:val="both"/>
              <w:rPr>
                <w:rFonts w:ascii="宋体" w:hAnsi="宋体" w:cs="方正仿宋_GBK"/>
                <w:color w:val="000000"/>
                <w:sz w:val="21"/>
              </w:rPr>
            </w:pPr>
            <w:r>
              <w:rPr>
                <w:rFonts w:hint="eastAsia" w:ascii="宋体" w:hAnsi="宋体" w:cs="方正仿宋_GBK"/>
                <w:color w:val="000000"/>
                <w:sz w:val="21"/>
              </w:rPr>
              <w:t xml:space="preserve">4、演示“一站式移动服务”功能（2分）：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①运动员可通过小程序实时查阅官方发布的赛事通知、规程文件等动态信息。（0.5分）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②能在线完成个人注册信息的核对、报名状态的确认。（0.5分）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③小程序支持个性化赛程查询，运动员可随时查看自己的比赛时间、场地安排及对阵信息。（0.5分）</w:t>
            </w:r>
            <w:r/>
          </w:p>
          <w:p>
            <w:pPr>
              <w:pStyle w:val="668"/>
              <w:jc w:val="both"/>
              <w:rPr>
                <w:rFonts w:ascii="宋体" w:hAnsi="宋体" w:cs="方正仿宋_GBK"/>
                <w:color w:val="000000"/>
                <w:sz w:val="21"/>
              </w:rPr>
            </w:pPr>
            <w:r>
              <w:rPr>
                <w:rFonts w:hint="eastAsia" w:ascii="宋体" w:hAnsi="宋体" w:cs="方正仿宋_GBK"/>
                <w:color w:val="000000"/>
                <w:sz w:val="21"/>
              </w:rPr>
              <w:t xml:space="preserve">④小程序支持运动员个人成绩、证书查询、赛程赛果、奖牌榜查询，可通过小程序及时获取比赛结果及证书。（0.5分）</w:t>
            </w:r>
            <w:bookmarkEnd w:id="242"/>
            <w:r/>
            <w:bookmarkEnd w:id="243"/>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left"/>
              <w:rPr>
                <w:rFonts w:ascii="宋体" w:hAnsi="宋体"/>
              </w:rPr>
            </w:pPr>
            <w:r>
              <w:rPr>
                <w:rFonts w:hint="eastAsia" w:ascii="宋体" w:hAnsi="宋体"/>
              </w:rPr>
              <w:t xml:space="preserve">8</w:t>
            </w:r>
            <w:r/>
          </w:p>
        </w:tc>
      </w:tr>
    </w:tbl>
    <w:p>
      <w:pPr>
        <w:pStyle w:val="922"/>
        <w:ind w:firstLine="1548"/>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2"/>
        <w:rPr>
          <w:rFonts w:ascii="黑体" w:eastAsia="黑体"/>
          <w:bCs/>
          <w:sz w:val="44"/>
        </w:rPr>
      </w:pPr>
      <w:r>
        <w:rPr>
          <w:rFonts w:ascii="黑体" w:eastAsia="黑体"/>
          <w:bCs/>
          <w:sz w:val="44"/>
        </w:rPr>
      </w:r>
      <w:r/>
    </w:p>
    <w:p>
      <w:pPr>
        <w:pStyle w:val="712"/>
        <w:rPr>
          <w:rFonts w:ascii="黑体" w:eastAsia="黑体"/>
          <w:bCs/>
          <w:sz w:val="44"/>
        </w:rPr>
      </w:pPr>
      <w:r>
        <w:rPr>
          <w:rFonts w:ascii="黑体" w:eastAsia="黑体"/>
          <w:bCs/>
          <w:sz w:val="44"/>
        </w:rPr>
      </w:r>
      <w:r/>
    </w:p>
    <w:p>
      <w:pPr>
        <w:pStyle w:val="712"/>
        <w:rPr>
          <w:rFonts w:ascii="黑体" w:eastAsia="黑体"/>
          <w:bCs/>
          <w:sz w:val="44"/>
        </w:rPr>
      </w:pPr>
      <w:r>
        <w:rPr>
          <w:rFonts w:hint="eastAsia" w:ascii="黑体" w:eastAsia="黑体"/>
          <w:bCs/>
          <w:sz w:val="44"/>
        </w:rPr>
        <w:t xml:space="preserve">第六章  投标</w:t>
      </w:r>
      <w:bookmarkEnd w:id="191"/>
      <w:r/>
      <w:bookmarkEnd w:id="192"/>
      <w:r/>
      <w:bookmarkEnd w:id="202"/>
      <w:r>
        <w:rPr>
          <w:rFonts w:hint="eastAsia" w:ascii="黑体" w:eastAsia="黑体"/>
          <w:bCs/>
          <w:sz w:val="44"/>
        </w:rPr>
        <w:t xml:space="preserve">文件格式 </w:t>
      </w:r>
      <w:r/>
    </w:p>
    <w:p>
      <w:pPr>
        <w:jc w:val="center"/>
        <w:rPr>
          <w:rFonts w:ascii="宋体" w:hAnsi="宋体"/>
          <w:b/>
          <w:sz w:val="72"/>
        </w:rPr>
      </w:pPr>
      <w:r/>
      <w:bookmarkStart w:id="244" w:name="_Hlt26671244"/>
      <w:r/>
      <w:bookmarkStart w:id="245" w:name="_Hlt26955039"/>
      <w:r/>
      <w:bookmarkStart w:id="246" w:name="_Toc120614282"/>
      <w:r/>
      <w:bookmarkStart w:id="247" w:name="_Toc49090576"/>
      <w:r/>
      <w:bookmarkStart w:id="248" w:name="_Toc26554094"/>
      <w:r/>
      <w:bookmarkEnd w:id="244"/>
      <w:r/>
      <w:bookmarkEnd w:id="24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6"/>
          <w:szCs w:val="36"/>
          <w:u w:val="single"/>
        </w:rPr>
      </w:pPr>
      <w:r>
        <w:rPr>
          <w:rFonts w:ascii="宋体" w:hAnsi="宋体"/>
          <w:b/>
          <w:bCs/>
          <w:sz w:val="36"/>
          <w:szCs w:val="36"/>
          <w:u w:val="single"/>
        </w:rPr>
      </w:r>
      <w:r/>
    </w:p>
    <w:p>
      <w:pPr>
        <w:ind w:firstLine="1084"/>
        <w:rPr>
          <w:rFonts w:ascii="宋体" w:hAnsi="宋体"/>
          <w:b/>
          <w:bCs/>
          <w:sz w:val="36"/>
          <w:szCs w:val="36"/>
          <w:u w:val="single"/>
        </w:rPr>
      </w:pPr>
      <w:r>
        <w:rPr>
          <w:rFonts w:ascii="宋体" w:hAnsi="宋体"/>
          <w:b/>
          <w:bCs/>
          <w:sz w:val="36"/>
          <w:szCs w:val="36"/>
          <w:u w:val="single"/>
        </w:rPr>
      </w:r>
      <w:r/>
    </w:p>
    <w:p>
      <w:pPr>
        <w:rPr>
          <w:rFonts w:ascii="宋体" w:hAnsi="宋体"/>
          <w:b/>
          <w:bCs/>
          <w:sz w:val="36"/>
          <w:szCs w:val="36"/>
          <w:u w:val="single"/>
        </w:rPr>
      </w:pPr>
      <w:r>
        <w:rPr>
          <w:rFonts w:ascii="宋体" w:hAnsi="宋体"/>
          <w:b/>
          <w:bCs/>
          <w:sz w:val="36"/>
          <w:szCs w:val="36"/>
          <w:u w:val="single"/>
        </w:rPr>
      </w:r>
      <w:r/>
    </w:p>
    <w:p>
      <w:pPr>
        <w:rPr>
          <w:rFonts w:ascii="宋体" w:hAnsi="宋体"/>
          <w:b/>
          <w:bCs/>
          <w:sz w:val="36"/>
          <w:szCs w:val="36"/>
          <w:u w:val="single"/>
        </w:rPr>
      </w:pPr>
      <w:r>
        <w:rPr>
          <w:rFonts w:ascii="宋体" w:hAnsi="宋体"/>
          <w:b/>
          <w:bCs/>
          <w:sz w:val="36"/>
          <w:szCs w:val="36"/>
          <w:u w:val="single"/>
        </w:rPr>
      </w:r>
      <w:r/>
    </w:p>
    <w:p>
      <w:pPr>
        <w:rPr>
          <w:rFonts w:ascii="宋体" w:hAnsi="宋体"/>
          <w:b/>
          <w:bCs/>
          <w:sz w:val="36"/>
          <w:szCs w:val="36"/>
          <w:u w:val="single"/>
        </w:rPr>
      </w:pPr>
      <w:r>
        <w:rPr>
          <w:rFonts w:ascii="宋体" w:hAnsi="宋体"/>
          <w:b/>
          <w:bCs/>
          <w:sz w:val="36"/>
          <w:szCs w:val="36"/>
          <w:u w:val="single"/>
        </w:rPr>
      </w:r>
      <w:r/>
    </w:p>
    <w:p>
      <w:pPr>
        <w:rPr>
          <w:rFonts w:ascii="宋体" w:hAnsi="宋体"/>
          <w:b/>
          <w:bCs/>
          <w:sz w:val="36"/>
          <w:szCs w:val="36"/>
          <w:u w:val="single"/>
        </w:rPr>
      </w:pPr>
      <w:r>
        <w:rPr>
          <w:rFonts w:ascii="宋体" w:hAnsi="宋体"/>
          <w:b/>
          <w:bCs/>
          <w:sz w:val="36"/>
          <w:szCs w:val="36"/>
          <w:u w:val="single"/>
        </w:rPr>
      </w: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22"/>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color w:val="000000"/>
          <w:sz w:val="24"/>
          <w:szCs w:val="24"/>
        </w:rPr>
      </w:pPr>
      <w:r>
        <w:rPr>
          <w:rFonts w:hint="eastAsia" w:ascii="宋体" w:hAnsi="宋体"/>
          <w:bCs/>
          <w:color w:val="000000"/>
          <w:sz w:val="24"/>
        </w:rPr>
        <w:t xml:space="preserve">  </w:t>
      </w:r>
      <w:r/>
    </w:p>
    <w:p>
      <w:pPr>
        <w:spacing w:line="460" w:lineRule="exact"/>
        <w:rPr>
          <w:rFonts w:ascii="宋体" w:hAnsi="宋体"/>
          <w:color w:val="000000"/>
          <w:sz w:val="24"/>
          <w:szCs w:val="24"/>
        </w:rPr>
      </w:pPr>
      <w:r>
        <w:rPr>
          <w:rFonts w:ascii="宋体" w:hAnsi="宋体"/>
          <w:color w:val="000000"/>
          <w:sz w:val="24"/>
          <w:szCs w:val="24"/>
        </w:rPr>
      </w:r>
      <w:r/>
    </w:p>
    <w:p>
      <w:pPr>
        <w:spacing w:line="460" w:lineRule="exact"/>
        <w:rPr>
          <w:rFonts w:ascii="宋体" w:hAnsi="宋体"/>
          <w:color w:val="000000"/>
          <w:sz w:val="24"/>
          <w:szCs w:val="24"/>
        </w:rPr>
      </w:pPr>
      <w:r>
        <w:rPr>
          <w:rFonts w:ascii="宋体" w:hAnsi="宋体"/>
          <w:color w:val="000000"/>
          <w:sz w:val="24"/>
          <w:szCs w:val="24"/>
        </w:rPr>
      </w:r>
      <w:r/>
    </w:p>
    <w:p>
      <w:pPr>
        <w:spacing w:line="460" w:lineRule="exact"/>
        <w:rPr>
          <w:rFonts w:ascii="宋体" w:hAnsi="宋体"/>
          <w:color w:val="000000"/>
          <w:sz w:val="24"/>
          <w:szCs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ascii="宋体" w:hAnsi="宋体"/>
          <w:b/>
          <w:bCs/>
          <w:color w:val="000000"/>
          <w:sz w:val="24"/>
          <w:szCs w:val="24"/>
        </w:rPr>
      </w:pPr>
      <w:r>
        <w:rPr>
          <w:rFonts w:ascii="宋体" w:hAnsi="宋体"/>
          <w:b/>
          <w:bCs/>
          <w:color w:val="000000"/>
          <w:sz w:val="24"/>
          <w:szCs w:val="24"/>
        </w:rPr>
      </w:r>
      <w:r/>
    </w:p>
    <w:p>
      <w:pPr>
        <w:ind w:firstLine="480"/>
        <w:spacing w:line="460" w:lineRule="exact"/>
        <w:rPr>
          <w:rFonts w:ascii="宋体" w:hAnsi="宋体"/>
          <w:b/>
          <w:bCs/>
          <w:color w:val="000000"/>
          <w:sz w:val="24"/>
          <w:szCs w:val="24"/>
        </w:rPr>
      </w:pPr>
      <w:r>
        <w:rPr>
          <w:rFonts w:ascii="宋体" w:hAnsi="宋体"/>
          <w:b/>
          <w:bCs/>
          <w:color w:val="000000"/>
          <w:sz w:val="24"/>
          <w:szCs w:val="24"/>
        </w:rPr>
      </w:r>
      <w:r/>
    </w:p>
    <w:p>
      <w:pPr>
        <w:ind w:firstLine="480"/>
        <w:spacing w:line="460" w:lineRule="exact"/>
        <w:rPr>
          <w:rFonts w:ascii="宋体" w:hAnsi="宋体"/>
          <w:b/>
          <w:bCs/>
          <w:color w:val="000000"/>
          <w:sz w:val="24"/>
          <w:szCs w:val="24"/>
        </w:rPr>
      </w:pPr>
      <w:r>
        <w:rPr>
          <w:rFonts w:ascii="宋体" w:hAnsi="宋体"/>
          <w:b/>
          <w:bCs/>
          <w:color w:val="000000"/>
          <w:sz w:val="24"/>
          <w:szCs w:val="24"/>
        </w:rPr>
      </w:r>
      <w:r/>
    </w:p>
    <w:p>
      <w:pPr>
        <w:ind w:firstLine="480"/>
        <w:spacing w:line="460" w:lineRule="exact"/>
        <w:rPr>
          <w:rFonts w:ascii="宋体" w:hAnsi="宋体"/>
          <w:b/>
          <w:bCs/>
          <w:color w:val="000000"/>
          <w:sz w:val="24"/>
          <w:szCs w:val="24"/>
        </w:rPr>
      </w:pPr>
      <w:r>
        <w:rPr>
          <w:rFonts w:ascii="宋体" w:hAnsi="宋体"/>
          <w:b/>
          <w:bCs/>
          <w:color w:val="000000"/>
          <w:sz w:val="24"/>
          <w:szCs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22"/>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22"/>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2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2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2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2"/>
        <w:ind w:left="420"/>
        <w:spacing w:before="0" w:after="0" w:line="420" w:lineRule="exact"/>
        <w:rPr>
          <w:rFonts w:ascii="宋体" w:hAnsi="宋体"/>
          <w:szCs w:val="21"/>
        </w:rPr>
      </w:pPr>
      <w:r>
        <w:rPr>
          <w:rFonts w:hint="eastAsia" w:ascii="宋体" w:hAnsi="宋体"/>
          <w:szCs w:val="21"/>
        </w:rPr>
        <w:t xml:space="preserve">地          址：</w:t>
      </w:r>
      <w:r/>
    </w:p>
    <w:p>
      <w:pPr>
        <w:pStyle w:val="922"/>
        <w:ind w:left="420"/>
        <w:spacing w:before="0" w:after="0" w:line="420" w:lineRule="exact"/>
        <w:rPr>
          <w:rFonts w:ascii="宋体" w:hAnsi="宋体"/>
          <w:szCs w:val="21"/>
        </w:rPr>
      </w:pPr>
      <w:r>
        <w:rPr>
          <w:rFonts w:hint="eastAsia" w:ascii="宋体" w:hAnsi="宋体"/>
          <w:szCs w:val="21"/>
        </w:rPr>
        <w:t xml:space="preserve">邮          编：</w:t>
      </w:r>
      <w:r/>
    </w:p>
    <w:p>
      <w:pPr>
        <w:pStyle w:val="922"/>
        <w:ind w:left="420"/>
        <w:spacing w:before="0" w:after="0" w:line="420" w:lineRule="exact"/>
        <w:rPr>
          <w:rFonts w:ascii="宋体" w:hAnsi="宋体"/>
          <w:szCs w:val="21"/>
        </w:rPr>
      </w:pPr>
      <w:r>
        <w:rPr>
          <w:rFonts w:hint="eastAsia" w:ascii="宋体" w:hAnsi="宋体"/>
          <w:szCs w:val="21"/>
        </w:rPr>
        <w:t xml:space="preserve">电          话：</w:t>
      </w:r>
      <w:r/>
    </w:p>
    <w:p>
      <w:pPr>
        <w:pStyle w:val="922"/>
        <w:ind w:left="420"/>
        <w:spacing w:before="0" w:after="0" w:line="420" w:lineRule="exact"/>
        <w:rPr>
          <w:rFonts w:ascii="宋体" w:hAnsi="宋体"/>
          <w:szCs w:val="21"/>
        </w:rPr>
      </w:pPr>
      <w:r>
        <w:rPr>
          <w:rFonts w:hint="eastAsia" w:ascii="宋体" w:hAnsi="宋体"/>
          <w:szCs w:val="21"/>
        </w:rPr>
        <w:t xml:space="preserve">传          真：</w:t>
      </w:r>
      <w:r/>
    </w:p>
    <w:p>
      <w:pPr>
        <w:pStyle w:val="922"/>
        <w:ind w:left="420"/>
        <w:spacing w:before="0" w:after="0" w:line="420" w:lineRule="exact"/>
        <w:rPr>
          <w:rFonts w:ascii="宋体" w:hAnsi="宋体"/>
          <w:szCs w:val="21"/>
        </w:rPr>
      </w:pPr>
      <w:r>
        <w:rPr>
          <w:rFonts w:hint="eastAsia" w:ascii="宋体" w:hAnsi="宋体"/>
          <w:szCs w:val="21"/>
        </w:rPr>
        <w:t xml:space="preserve">投标人开户行：</w:t>
      </w:r>
      <w:r/>
    </w:p>
    <w:p>
      <w:pPr>
        <w:pStyle w:val="922"/>
        <w:ind w:left="420"/>
        <w:spacing w:before="0" w:after="0" w:line="420" w:lineRule="exact"/>
        <w:rPr>
          <w:rFonts w:ascii="宋体" w:hAnsi="宋体"/>
          <w:szCs w:val="21"/>
        </w:rPr>
      </w:pPr>
      <w:r>
        <w:rPr>
          <w:rFonts w:hint="eastAsia" w:ascii="宋体" w:hAnsi="宋体"/>
          <w:szCs w:val="21"/>
        </w:rPr>
        <w:t xml:space="preserve">账          号： </w:t>
      </w:r>
      <w:r/>
    </w:p>
    <w:p>
      <w:pPr>
        <w:pStyle w:val="922"/>
        <w:ind w:left="420"/>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49" w:name="_Toc120614284"/>
      <w:r/>
      <w:bookmarkEnd w:id="246"/>
      <w:r/>
      <w:bookmarkEnd w:id="247"/>
      <w:r/>
      <w:bookmarkEnd w:id="248"/>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bookmarkEnd w:id="189"/>
      <w:bookmarkEnd w:id="190"/>
      <w:bookmarkEnd w:id="249"/>
      <w:r/>
    </w:p>
    <w:p>
      <w:pPr>
        <w:spacing w:line="460" w:lineRule="exact"/>
        <w:rPr>
          <w:rFonts w:ascii="宋体" w:hAnsi="宋体"/>
          <w:bCs/>
          <w:sz w:val="24"/>
        </w:rPr>
      </w:pPr>
      <w:r>
        <w:rPr>
          <w:rFonts w:ascii="宋体" w:hAnsi="宋体"/>
          <w:bCs/>
          <w:sz w:val="24"/>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66"/>
        <w:rPr>
          <w:sz w:val="24"/>
          <w:szCs w:val="24"/>
        </w:rPr>
      </w:pPr>
      <w:r>
        <w:rPr>
          <w:sz w:val="24"/>
          <w:szCs w:val="24"/>
        </w:rPr>
      </w:r>
      <w:r/>
    </w:p>
    <w:p>
      <w:pPr>
        <w:pStyle w:val="666"/>
        <w:rPr>
          <w:sz w:val="24"/>
          <w:szCs w:val="24"/>
        </w:rPr>
      </w:pPr>
      <w:r>
        <w:rPr>
          <w:sz w:val="24"/>
          <w:szCs w:val="24"/>
        </w:rPr>
      </w:r>
      <w:r/>
    </w:p>
    <w:sectPr>
      <w:footerReference w:type="default" r:id="rId9"/>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fldSimple w:instr="PAGE \* MERGEFORMAT">
      <w:r>
        <w:t xml:space="preserve">1</w:t>
      </w:r>
    </w:fldSimple>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7"/>
      <w:isLgl w:val="false"/>
      <w:suff w:val="nothing"/>
      <w:lvlText w:val=""/>
      <w:lvlJc w:val="left"/>
      <w:pPr>
        <w:ind w:left="0" w:firstLine="0"/>
      </w:pPr>
      <w:rPr>
        <w:rFonts w:hint="eastAsia"/>
      </w:rPr>
    </w:lvl>
    <w:lvl w:ilvl="6">
      <w:start w:val="1"/>
      <w:numFmt w:val="decimal"/>
      <w:pStyle w:val="718"/>
      <w:isLgl w:val="false"/>
      <w:suff w:val="nothing"/>
      <w:lvlText w:val=""/>
      <w:lvlJc w:val="left"/>
      <w:pPr>
        <w:ind w:left="0" w:firstLine="0"/>
      </w:pPr>
      <w:rPr>
        <w:rFonts w:hint="eastAsia"/>
      </w:rPr>
    </w:lvl>
    <w:lvl w:ilvl="7">
      <w:start w:val="1"/>
      <w:numFmt w:val="decimal"/>
      <w:pStyle w:val="719"/>
      <w:isLgl w:val="false"/>
      <w:suff w:val="nothing"/>
      <w:lvlText w:val=""/>
      <w:lvlJc w:val="left"/>
      <w:pPr>
        <w:ind w:left="0" w:firstLine="0"/>
      </w:pPr>
      <w:rPr>
        <w:rFonts w:hint="eastAsia"/>
      </w:rPr>
    </w:lvl>
    <w:lvl w:ilvl="8">
      <w:start w:val="1"/>
      <w:numFmt w:val="decimal"/>
      <w:pStyle w:val="720"/>
      <w:isLgl w:val="false"/>
      <w:suff w:val="nothing"/>
      <w:lvlText w:val=""/>
      <w:lvlJc w:val="left"/>
      <w:pPr>
        <w:ind w:left="0" w:firstLine="0"/>
      </w:pPr>
      <w:rPr>
        <w:rFonts w:hint="eastAsia"/>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60" w:default="1">
    <w:name w:val="Normal"/>
    <w:qFormat/>
    <w:pPr>
      <w:jc w:val="both"/>
      <w:widowControl w:val="off"/>
    </w:pPr>
    <w:rPr>
      <w:sz w:val="21"/>
      <w:szCs w:val="21"/>
    </w:rPr>
  </w:style>
  <w:style w:type="character" w:styleId="661" w:default="1">
    <w:name w:val="Default Paragraph Font"/>
    <w:uiPriority w:val="1"/>
    <w:semiHidden/>
    <w:unhideWhenUsed/>
  </w:style>
  <w:style w:type="table" w:styleId="662" w:default="1">
    <w:name w:val="Normal Table"/>
    <w:uiPriority w:val="99"/>
    <w:semiHidden/>
    <w:unhideWhenUsed/>
    <w:qFormat/>
    <w:tblPr>
      <w:tblInd w:w="0" w:type="dxa"/>
      <w:tblCellMar>
        <w:left w:w="108" w:type="dxa"/>
        <w:top w:w="0" w:type="dxa"/>
        <w:right w:w="108" w:type="dxa"/>
        <w:bottom w:w="0" w:type="dxa"/>
      </w:tblCellMar>
    </w:tblPr>
  </w:style>
  <w:style w:type="numbering" w:styleId="663" w:default="1">
    <w:name w:val="No List"/>
    <w:uiPriority w:val="99"/>
    <w:semiHidden/>
    <w:unhideWhenUsed/>
  </w:style>
  <w:style w:type="paragraph" w:styleId="664">
    <w:name w:val="List 3"/>
    <w:basedOn w:val="660"/>
    <w:qFormat/>
    <w:pPr>
      <w:ind w:left="100" w:hanging="200"/>
    </w:pPr>
  </w:style>
  <w:style w:type="paragraph" w:styleId="665">
    <w:name w:val="toc 7"/>
    <w:basedOn w:val="660"/>
    <w:next w:val="660"/>
    <w:semiHidden/>
    <w:qFormat/>
    <w:pPr>
      <w:ind w:left="1260"/>
      <w:jc w:val="left"/>
    </w:pPr>
  </w:style>
  <w:style w:type="paragraph" w:styleId="666">
    <w:name w:val="Normal Indent"/>
    <w:basedOn w:val="660"/>
    <w:link w:val="883"/>
    <w:qFormat/>
    <w:pPr>
      <w:ind w:firstLine="420"/>
    </w:pPr>
    <w:rPr>
      <w:sz w:val="20"/>
    </w:rPr>
  </w:style>
  <w:style w:type="paragraph" w:styleId="667">
    <w:name w:val="Document Map"/>
    <w:basedOn w:val="660"/>
    <w:link w:val="891"/>
    <w:semiHidden/>
    <w:pPr>
      <w:shd w:val="clear" w:color="auto" w:fill="000080"/>
    </w:pPr>
    <w:rPr>
      <w:sz w:val="20"/>
    </w:rPr>
  </w:style>
  <w:style w:type="paragraph" w:styleId="668">
    <w:name w:val="annotation text"/>
    <w:basedOn w:val="660"/>
    <w:link w:val="892"/>
    <w:qFormat/>
    <w:pPr>
      <w:jc w:val="left"/>
    </w:pPr>
    <w:rPr>
      <w:sz w:val="20"/>
    </w:rPr>
  </w:style>
  <w:style w:type="paragraph" w:styleId="669">
    <w:name w:val="Body Text 3"/>
    <w:basedOn w:val="660"/>
    <w:link w:val="893"/>
    <w:rPr>
      <w:rFonts w:ascii="仿宋_GB2312" w:hAnsi="Arial" w:eastAsia="仿宋_GB2312"/>
      <w:sz w:val="32"/>
      <w:szCs w:val="32"/>
    </w:rPr>
  </w:style>
  <w:style w:type="paragraph" w:styleId="670">
    <w:name w:val="Body Text"/>
    <w:basedOn w:val="660"/>
    <w:link w:val="894"/>
    <w:qFormat/>
    <w:rPr>
      <w:rFonts w:ascii="楷体_GB2312" w:hAnsi="Arial" w:eastAsia="楷体_GB2312"/>
      <w:sz w:val="28"/>
      <w:szCs w:val="28"/>
    </w:rPr>
  </w:style>
  <w:style w:type="paragraph" w:styleId="671">
    <w:name w:val="Body Text Indent"/>
    <w:basedOn w:val="660"/>
    <w:link w:val="895"/>
    <w:qFormat/>
    <w:pPr>
      <w:ind w:firstLine="645"/>
    </w:pPr>
    <w:rPr>
      <w:rFonts w:ascii="楷体_GB2312" w:eastAsia="楷体_GB2312"/>
      <w:sz w:val="32"/>
      <w:szCs w:val="32"/>
    </w:rPr>
  </w:style>
  <w:style w:type="paragraph" w:styleId="672">
    <w:name w:val="List 2"/>
    <w:basedOn w:val="660"/>
    <w:qFormat/>
    <w:pPr>
      <w:ind w:left="100" w:hanging="200"/>
    </w:pPr>
  </w:style>
  <w:style w:type="paragraph" w:styleId="673">
    <w:name w:val="toc 5"/>
    <w:basedOn w:val="660"/>
    <w:next w:val="660"/>
    <w:semiHidden/>
    <w:qFormat/>
    <w:pPr>
      <w:ind w:left="840"/>
      <w:jc w:val="left"/>
    </w:pPr>
  </w:style>
  <w:style w:type="paragraph" w:styleId="674">
    <w:name w:val="toc 3"/>
    <w:basedOn w:val="660"/>
    <w:next w:val="660"/>
    <w:semiHidden/>
    <w:pPr>
      <w:ind w:left="420"/>
      <w:jc w:val="left"/>
    </w:pPr>
    <w:rPr>
      <w:i/>
      <w:iCs/>
      <w:szCs w:val="24"/>
    </w:rPr>
  </w:style>
  <w:style w:type="paragraph" w:styleId="675">
    <w:name w:val="Plain Text"/>
    <w:basedOn w:val="660"/>
    <w:link w:val="896"/>
    <w:rPr>
      <w:rFonts w:ascii="宋体" w:hAnsi="Courier New"/>
      <w:sz w:val="20"/>
    </w:rPr>
  </w:style>
  <w:style w:type="paragraph" w:styleId="676">
    <w:name w:val="toc 8"/>
    <w:basedOn w:val="660"/>
    <w:next w:val="660"/>
    <w:semiHidden/>
    <w:qFormat/>
    <w:pPr>
      <w:ind w:left="1470"/>
      <w:jc w:val="left"/>
    </w:pPr>
  </w:style>
  <w:style w:type="paragraph" w:styleId="677">
    <w:name w:val="Date"/>
    <w:basedOn w:val="660"/>
    <w:next w:val="660"/>
    <w:link w:val="897"/>
    <w:qFormat/>
    <w:rPr>
      <w:sz w:val="24"/>
      <w:szCs w:val="24"/>
    </w:rPr>
  </w:style>
  <w:style w:type="paragraph" w:styleId="678">
    <w:name w:val="Body Text Indent 2"/>
    <w:basedOn w:val="660"/>
    <w:link w:val="898"/>
    <w:qFormat/>
    <w:pPr>
      <w:ind w:left="630" w:firstLine="645"/>
    </w:pPr>
    <w:rPr>
      <w:rFonts w:ascii="Arial" w:hAnsi="Arial" w:eastAsia="仿宋_GB2312"/>
      <w:sz w:val="32"/>
      <w:szCs w:val="32"/>
    </w:rPr>
  </w:style>
  <w:style w:type="paragraph" w:styleId="679">
    <w:name w:val="endnote text"/>
    <w:basedOn w:val="660"/>
    <w:link w:val="879"/>
    <w:uiPriority w:val="99"/>
    <w:semiHidden/>
    <w:unhideWhenUsed/>
    <w:qFormat/>
    <w:rPr>
      <w:sz w:val="20"/>
      <w:szCs w:val="20"/>
    </w:rPr>
  </w:style>
  <w:style w:type="paragraph" w:styleId="680">
    <w:name w:val="Balloon Text"/>
    <w:basedOn w:val="660"/>
    <w:link w:val="899"/>
    <w:semiHidden/>
    <w:rPr>
      <w:sz w:val="18"/>
      <w:szCs w:val="18"/>
    </w:rPr>
  </w:style>
  <w:style w:type="paragraph" w:styleId="681">
    <w:name w:val="toc 1"/>
    <w:basedOn w:val="660"/>
    <w:next w:val="660"/>
    <w:semiHidden/>
    <w:qFormat/>
    <w:pPr>
      <w:jc w:val="left"/>
      <w:spacing w:before="120" w:after="120" w:line="400" w:lineRule="exact"/>
      <w:tabs>
        <w:tab w:val="right" w:pos="8720" w:leader="dot"/>
      </w:tabs>
    </w:pPr>
    <w:rPr>
      <w:rFonts w:ascii="宋体" w:hAnsi="宋体"/>
      <w:caps/>
      <w:sz w:val="24"/>
      <w:szCs w:val="24"/>
    </w:rPr>
  </w:style>
  <w:style w:type="paragraph" w:styleId="682">
    <w:name w:val="toc 4"/>
    <w:basedOn w:val="660"/>
    <w:next w:val="660"/>
    <w:semiHidden/>
    <w:qFormat/>
    <w:pPr>
      <w:ind w:left="630"/>
      <w:jc w:val="left"/>
    </w:pPr>
  </w:style>
  <w:style w:type="paragraph" w:styleId="683">
    <w:name w:val="Subtitle"/>
    <w:basedOn w:val="660"/>
    <w:next w:val="660"/>
    <w:link w:val="742"/>
    <w:uiPriority w:val="11"/>
    <w:qFormat/>
    <w:pPr>
      <w:spacing w:before="200" w:after="200"/>
    </w:pPr>
    <w:rPr>
      <w:sz w:val="24"/>
      <w:szCs w:val="24"/>
    </w:rPr>
  </w:style>
  <w:style w:type="paragraph" w:styleId="684">
    <w:name w:val="List"/>
    <w:basedOn w:val="660"/>
    <w:pPr>
      <w:ind w:left="200" w:hanging="200"/>
    </w:pPr>
  </w:style>
  <w:style w:type="paragraph" w:styleId="685">
    <w:name w:val="footnote text"/>
    <w:basedOn w:val="660"/>
    <w:link w:val="878"/>
    <w:uiPriority w:val="99"/>
    <w:semiHidden/>
    <w:unhideWhenUsed/>
    <w:pPr>
      <w:spacing w:after="40"/>
    </w:pPr>
    <w:rPr>
      <w:sz w:val="18"/>
      <w:szCs w:val="20"/>
    </w:rPr>
  </w:style>
  <w:style w:type="paragraph" w:styleId="686">
    <w:name w:val="toc 6"/>
    <w:basedOn w:val="660"/>
    <w:next w:val="660"/>
    <w:semiHidden/>
    <w:qFormat/>
    <w:pPr>
      <w:ind w:left="1050"/>
      <w:jc w:val="left"/>
    </w:pPr>
  </w:style>
  <w:style w:type="paragraph" w:styleId="687">
    <w:name w:val="Body Text Indent 3"/>
    <w:basedOn w:val="660"/>
    <w:link w:val="904"/>
    <w:qFormat/>
    <w:pPr>
      <w:ind w:left="645" w:firstLine="645"/>
    </w:pPr>
    <w:rPr>
      <w:rFonts w:ascii="Arial" w:hAnsi="Arial" w:eastAsia="仿宋_GB2312"/>
      <w:color w:val="ffff00"/>
      <w:sz w:val="32"/>
      <w:szCs w:val="32"/>
    </w:rPr>
  </w:style>
  <w:style w:type="paragraph" w:styleId="688">
    <w:name w:val="table of figures"/>
    <w:basedOn w:val="660"/>
    <w:next w:val="660"/>
    <w:semiHidden/>
    <w:qFormat/>
    <w:pPr>
      <w:ind w:left="840" w:hanging="420"/>
    </w:pPr>
  </w:style>
  <w:style w:type="paragraph" w:styleId="689">
    <w:name w:val="toc 2"/>
    <w:basedOn w:val="660"/>
    <w:next w:val="660"/>
    <w:semiHidden/>
    <w:qFormat/>
    <w:pPr>
      <w:ind w:left="210"/>
      <w:jc w:val="left"/>
    </w:pPr>
    <w:rPr>
      <w:smallCaps/>
      <w:szCs w:val="24"/>
    </w:rPr>
  </w:style>
  <w:style w:type="paragraph" w:styleId="690">
    <w:name w:val="toc 9"/>
    <w:basedOn w:val="660"/>
    <w:next w:val="660"/>
    <w:semiHidden/>
    <w:qFormat/>
    <w:pPr>
      <w:ind w:left="1680"/>
      <w:jc w:val="left"/>
    </w:pPr>
  </w:style>
  <w:style w:type="paragraph" w:styleId="691">
    <w:name w:val="Body Text 2"/>
    <w:basedOn w:val="660"/>
    <w:link w:val="905"/>
    <w:qFormat/>
    <w:pPr>
      <w:jc w:val="center"/>
      <w:widowControl/>
    </w:pPr>
    <w:rPr>
      <w:rFonts w:ascii="楷体_GB2312" w:eastAsia="楷体_GB2312"/>
      <w:sz w:val="28"/>
      <w:szCs w:val="28"/>
    </w:rPr>
  </w:style>
  <w:style w:type="paragraph" w:styleId="692">
    <w:name w:val="Normal (Web)"/>
    <w:basedOn w:val="660"/>
    <w:uiPriority w:val="99"/>
    <w:qFormat/>
    <w:pPr>
      <w:jc w:val="left"/>
      <w:spacing w:before="100" w:beforeAutospacing="1" w:after="100" w:afterAutospacing="1"/>
      <w:widowControl/>
    </w:pPr>
    <w:rPr>
      <w:rFonts w:ascii="宋体" w:hAnsi="宋体" w:cs="宋体"/>
      <w:sz w:val="24"/>
      <w:szCs w:val="24"/>
    </w:rPr>
  </w:style>
  <w:style w:type="paragraph" w:styleId="693">
    <w:name w:val="index 1"/>
    <w:basedOn w:val="660"/>
    <w:next w:val="660"/>
    <w:semiHidden/>
    <w:qFormat/>
    <w:pPr>
      <w:spacing w:line="240" w:lineRule="atLeast"/>
    </w:pPr>
    <w:rPr>
      <w:b/>
      <w:bCs/>
    </w:rPr>
  </w:style>
  <w:style w:type="paragraph" w:styleId="694">
    <w:name w:val="Title"/>
    <w:basedOn w:val="660"/>
    <w:next w:val="660"/>
    <w:link w:val="741"/>
    <w:uiPriority w:val="10"/>
    <w:qFormat/>
    <w:pPr>
      <w:contextualSpacing/>
      <w:spacing w:before="300" w:after="200"/>
    </w:pPr>
    <w:rPr>
      <w:sz w:val="48"/>
      <w:szCs w:val="48"/>
    </w:rPr>
  </w:style>
  <w:style w:type="paragraph" w:styleId="695">
    <w:name w:val="annotation subject"/>
    <w:basedOn w:val="668"/>
    <w:next w:val="668"/>
    <w:link w:val="906"/>
    <w:semiHidden/>
    <w:qFormat/>
    <w:rPr>
      <w:b/>
      <w:bCs/>
    </w:rPr>
  </w:style>
  <w:style w:type="paragraph" w:styleId="696">
    <w:name w:val="Body Text First Indent"/>
    <w:basedOn w:val="660"/>
    <w:link w:val="907"/>
    <w:qFormat/>
    <w:pPr>
      <w:ind w:firstLine="200"/>
      <w:spacing w:line="360" w:lineRule="auto"/>
    </w:pPr>
    <w:rPr>
      <w:rFonts w:ascii="仿宋_GB2312" w:eastAsia="仿宋_GB2312"/>
      <w:sz w:val="30"/>
      <w:szCs w:val="30"/>
    </w:rPr>
  </w:style>
  <w:style w:type="paragraph" w:styleId="697">
    <w:name w:val="Body Text First Indent 2"/>
    <w:basedOn w:val="671"/>
    <w:link w:val="908"/>
    <w:qFormat/>
    <w:pPr>
      <w:ind w:firstLine="420"/>
      <w:spacing w:line="360" w:lineRule="auto"/>
    </w:pPr>
    <w:rPr>
      <w:rFonts w:ascii="宋体" w:hAnsi="宋体" w:eastAsia="宋体"/>
      <w:szCs w:val="20"/>
    </w:rPr>
  </w:style>
  <w:style w:type="table" w:styleId="698">
    <w:name w:val="Table Grid"/>
    <w:basedOn w:val="662"/>
    <w:qFormat/>
    <w:pPr>
      <w:jc w:val="both"/>
      <w:widowControl w:val="off"/>
    </w:pPr>
    <w:tblPr>
      <w:tblInd w:w="0" w:type="dxa"/>
      <w:tblCellMar>
        <w:left w:w="108" w:type="dxa"/>
        <w:top w:w="0" w:type="dxa"/>
        <w:right w:w="108" w:type="dxa"/>
        <w:bottom w:w="0" w:type="dxa"/>
      </w:tblCellMar>
    </w:tblPr>
  </w:style>
  <w:style w:type="character" w:styleId="699">
    <w:name w:val="Strong"/>
    <w:qFormat/>
    <w:rPr>
      <w:b/>
      <w:bCs/>
    </w:rPr>
  </w:style>
  <w:style w:type="character" w:styleId="700">
    <w:name w:val="endnote reference"/>
    <w:uiPriority w:val="99"/>
    <w:semiHidden/>
    <w:unhideWhenUsed/>
    <w:qFormat/>
    <w:rPr>
      <w:vertAlign w:val="superscript"/>
    </w:rPr>
  </w:style>
  <w:style w:type="character" w:styleId="701">
    <w:name w:val="page number"/>
  </w:style>
  <w:style w:type="character" w:styleId="702">
    <w:name w:val="FollowedHyperlink"/>
    <w:qFormat/>
    <w:rPr>
      <w:color w:val="800080"/>
      <w:u w:val="single"/>
    </w:rPr>
  </w:style>
  <w:style w:type="character" w:styleId="703">
    <w:name w:val="Hyperlink"/>
    <w:qFormat/>
    <w:rPr>
      <w:color w:val="0000ff"/>
      <w:u w:val="single"/>
    </w:rPr>
  </w:style>
  <w:style w:type="character" w:styleId="704">
    <w:name w:val="annotation reference"/>
    <w:semiHidden/>
    <w:qFormat/>
    <w:rPr>
      <w:sz w:val="21"/>
      <w:szCs w:val="21"/>
    </w:rPr>
  </w:style>
  <w:style w:type="character" w:styleId="705">
    <w:name w:val="footnote reference"/>
    <w:uiPriority w:val="99"/>
    <w:unhideWhenUsed/>
    <w:qFormat/>
    <w:rPr>
      <w:vertAlign w:val="superscript"/>
    </w:rPr>
  </w:style>
  <w:style w:type="character" w:styleId="706" w:customStyle="1">
    <w:name w:val="Title Char"/>
    <w:basedOn w:val="661"/>
    <w:uiPriority w:val="10"/>
    <w:rPr>
      <w:sz w:val="48"/>
      <w:szCs w:val="48"/>
    </w:rPr>
  </w:style>
  <w:style w:type="character" w:styleId="707" w:customStyle="1">
    <w:name w:val="Subtitle Char"/>
    <w:basedOn w:val="661"/>
    <w:uiPriority w:val="11"/>
    <w:qFormat/>
    <w:rPr>
      <w:sz w:val="24"/>
      <w:szCs w:val="24"/>
    </w:rPr>
  </w:style>
  <w:style w:type="character" w:styleId="708" w:customStyle="1">
    <w:name w:val="Quote Char"/>
    <w:uiPriority w:val="29"/>
    <w:rPr>
      <w:i/>
    </w:rPr>
  </w:style>
  <w:style w:type="character" w:styleId="709" w:customStyle="1">
    <w:name w:val="Intense Quote Char"/>
    <w:uiPriority w:val="30"/>
    <w:qFormat/>
    <w:rPr>
      <w:i/>
    </w:rPr>
  </w:style>
  <w:style w:type="character" w:styleId="710" w:customStyle="1">
    <w:name w:val="Footnote Text Char"/>
    <w:uiPriority w:val="99"/>
    <w:qFormat/>
    <w:rPr>
      <w:sz w:val="18"/>
    </w:rPr>
  </w:style>
  <w:style w:type="character" w:styleId="711" w:customStyle="1">
    <w:name w:val="Endnote Text Char"/>
    <w:uiPriority w:val="99"/>
    <w:rPr>
      <w:sz w:val="20"/>
    </w:rPr>
  </w:style>
  <w:style w:type="paragraph" w:styleId="712" w:customStyle="1">
    <w:name w:val="Heading 1"/>
    <w:basedOn w:val="660"/>
    <w:next w:val="660"/>
    <w:link w:val="881"/>
    <w:qFormat/>
    <w:pPr>
      <w:jc w:val="center"/>
      <w:keepNext/>
      <w:outlineLvl w:val="0"/>
    </w:pPr>
    <w:rPr>
      <w:rFonts w:ascii="楷体_GB2312" w:eastAsia="楷体_GB2312"/>
      <w:sz w:val="28"/>
      <w:szCs w:val="28"/>
    </w:rPr>
  </w:style>
  <w:style w:type="paragraph" w:styleId="713" w:customStyle="1">
    <w:name w:val="Heading 2"/>
    <w:basedOn w:val="660"/>
    <w:next w:val="666"/>
    <w:link w:val="882"/>
    <w:qFormat/>
    <w:pPr>
      <w:jc w:val="center"/>
      <w:keepLines/>
      <w:keepNext/>
      <w:spacing w:before="260" w:after="260" w:line="416" w:lineRule="auto"/>
      <w:outlineLvl w:val="1"/>
    </w:pPr>
    <w:rPr>
      <w:rFonts w:ascii="Arial" w:hAnsi="Arial" w:eastAsia="幼圆"/>
      <w:b/>
      <w:bCs/>
      <w:sz w:val="44"/>
      <w:szCs w:val="44"/>
    </w:rPr>
  </w:style>
  <w:style w:type="paragraph" w:styleId="714" w:customStyle="1">
    <w:name w:val="Heading 3"/>
    <w:basedOn w:val="660"/>
    <w:next w:val="666"/>
    <w:link w:val="884"/>
    <w:qFormat/>
    <w:pPr>
      <w:keepLines/>
      <w:keepNext/>
      <w:spacing w:before="260" w:after="260" w:line="416" w:lineRule="auto"/>
      <w:outlineLvl w:val="2"/>
    </w:pPr>
    <w:rPr>
      <w:b/>
      <w:bCs/>
      <w:sz w:val="32"/>
      <w:szCs w:val="32"/>
    </w:rPr>
  </w:style>
  <w:style w:type="paragraph" w:styleId="715" w:customStyle="1">
    <w:name w:val="Heading 4"/>
    <w:basedOn w:val="660"/>
    <w:next w:val="666"/>
    <w:link w:val="885"/>
    <w:qFormat/>
    <w:pPr>
      <w:keepLines/>
      <w:keepNext/>
      <w:spacing w:before="280" w:after="290" w:line="376" w:lineRule="auto"/>
      <w:outlineLvl w:val="3"/>
    </w:pPr>
    <w:rPr>
      <w:rFonts w:ascii="Arial" w:hAnsi="Arial" w:eastAsia="黑体"/>
      <w:b/>
      <w:bCs/>
      <w:sz w:val="28"/>
      <w:szCs w:val="28"/>
    </w:rPr>
  </w:style>
  <w:style w:type="paragraph" w:styleId="716" w:customStyle="1">
    <w:name w:val="Heading 5"/>
    <w:basedOn w:val="660"/>
    <w:next w:val="666"/>
    <w:link w:val="886"/>
    <w:qFormat/>
    <w:pPr>
      <w:keepNext/>
      <w:outlineLvl w:val="4"/>
    </w:pPr>
    <w:rPr>
      <w:rFonts w:ascii="宋体"/>
      <w:color w:val="000000"/>
      <w:sz w:val="28"/>
      <w:szCs w:val="28"/>
    </w:rPr>
  </w:style>
  <w:style w:type="paragraph" w:styleId="717" w:customStyle="1">
    <w:name w:val="Heading 6"/>
    <w:basedOn w:val="660"/>
    <w:next w:val="660"/>
    <w:link w:val="887"/>
    <w:qFormat/>
    <w:pPr>
      <w:numPr>
        <w:ilvl w:val="5"/>
        <w:numId w:val="1"/>
      </w:numPr>
      <w:keepLines/>
      <w:keepNext/>
      <w:spacing w:before="240" w:after="64" w:line="320" w:lineRule="auto"/>
      <w:outlineLvl w:val="5"/>
    </w:pPr>
    <w:rPr>
      <w:rFonts w:ascii="Arial" w:hAnsi="Arial" w:eastAsia="黑体"/>
      <w:b/>
      <w:bCs/>
      <w:sz w:val="24"/>
      <w:szCs w:val="24"/>
    </w:rPr>
  </w:style>
  <w:style w:type="paragraph" w:styleId="718" w:customStyle="1">
    <w:name w:val="Heading 7"/>
    <w:basedOn w:val="660"/>
    <w:next w:val="660"/>
    <w:link w:val="888"/>
    <w:qFormat/>
    <w:pPr>
      <w:numPr>
        <w:ilvl w:val="6"/>
        <w:numId w:val="1"/>
      </w:numPr>
      <w:keepLines/>
      <w:keepNext/>
      <w:spacing w:before="240" w:after="64" w:line="320" w:lineRule="auto"/>
      <w:outlineLvl w:val="6"/>
    </w:pPr>
    <w:rPr>
      <w:b/>
      <w:bCs/>
      <w:sz w:val="24"/>
      <w:szCs w:val="24"/>
    </w:rPr>
  </w:style>
  <w:style w:type="paragraph" w:styleId="719" w:customStyle="1">
    <w:name w:val="Heading 8"/>
    <w:basedOn w:val="660"/>
    <w:next w:val="660"/>
    <w:link w:val="889"/>
    <w:qFormat/>
    <w:pPr>
      <w:numPr>
        <w:ilvl w:val="7"/>
        <w:numId w:val="1"/>
      </w:numPr>
      <w:keepLines/>
      <w:keepNext/>
      <w:spacing w:before="240" w:after="64" w:line="320" w:lineRule="auto"/>
      <w:outlineLvl w:val="7"/>
    </w:pPr>
    <w:rPr>
      <w:rFonts w:ascii="Arial" w:hAnsi="Arial" w:eastAsia="黑体"/>
      <w:sz w:val="24"/>
      <w:szCs w:val="24"/>
    </w:rPr>
  </w:style>
  <w:style w:type="paragraph" w:styleId="720" w:customStyle="1">
    <w:name w:val="Heading 9"/>
    <w:basedOn w:val="660"/>
    <w:next w:val="660"/>
    <w:link w:val="890"/>
    <w:qFormat/>
    <w:pPr>
      <w:numPr>
        <w:ilvl w:val="8"/>
        <w:numId w:val="1"/>
      </w:numPr>
      <w:keepLines/>
      <w:keepNext/>
      <w:spacing w:before="240" w:after="64" w:line="320" w:lineRule="auto"/>
      <w:outlineLvl w:val="8"/>
    </w:pPr>
    <w:rPr>
      <w:rFonts w:ascii="Arial" w:hAnsi="Arial" w:eastAsia="黑体"/>
      <w:sz w:val="20"/>
    </w:rPr>
  </w:style>
  <w:style w:type="paragraph" w:styleId="721" w:customStyle="1">
    <w:name w:val="Heading 11"/>
    <w:basedOn w:val="660"/>
    <w:next w:val="660"/>
    <w:link w:val="722"/>
    <w:uiPriority w:val="9"/>
    <w:qFormat/>
    <w:pPr>
      <w:keepLines/>
      <w:keepNext/>
      <w:spacing w:before="480" w:after="200"/>
      <w:outlineLvl w:val="0"/>
    </w:pPr>
    <w:rPr>
      <w:rFonts w:ascii="Arial" w:hAnsi="Arial" w:eastAsia="Arial"/>
      <w:sz w:val="40"/>
      <w:szCs w:val="40"/>
    </w:rPr>
  </w:style>
  <w:style w:type="character" w:styleId="722" w:customStyle="1">
    <w:name w:val="Heading 1 Char"/>
    <w:link w:val="721"/>
    <w:uiPriority w:val="9"/>
    <w:qFormat/>
    <w:rPr>
      <w:rFonts w:ascii="Arial" w:hAnsi="Arial" w:eastAsia="Arial" w:cs="Arial"/>
      <w:sz w:val="40"/>
      <w:szCs w:val="40"/>
    </w:rPr>
  </w:style>
  <w:style w:type="paragraph" w:styleId="723" w:customStyle="1">
    <w:name w:val="Heading 21"/>
    <w:basedOn w:val="660"/>
    <w:next w:val="660"/>
    <w:link w:val="724"/>
    <w:uiPriority w:val="9"/>
    <w:unhideWhenUsed/>
    <w:qFormat/>
    <w:pPr>
      <w:keepLines/>
      <w:keepNext/>
      <w:spacing w:before="360" w:after="200"/>
      <w:outlineLvl w:val="1"/>
    </w:pPr>
    <w:rPr>
      <w:rFonts w:ascii="Arial" w:hAnsi="Arial" w:eastAsia="Arial"/>
      <w:sz w:val="34"/>
      <w:szCs w:val="20"/>
    </w:rPr>
  </w:style>
  <w:style w:type="character" w:styleId="724" w:customStyle="1">
    <w:name w:val="Heading 2 Char"/>
    <w:link w:val="723"/>
    <w:uiPriority w:val="9"/>
    <w:qFormat/>
    <w:rPr>
      <w:rFonts w:ascii="Arial" w:hAnsi="Arial" w:eastAsia="Arial" w:cs="Arial"/>
      <w:sz w:val="34"/>
    </w:rPr>
  </w:style>
  <w:style w:type="paragraph" w:styleId="725" w:customStyle="1">
    <w:name w:val="Heading 31"/>
    <w:basedOn w:val="660"/>
    <w:next w:val="660"/>
    <w:link w:val="726"/>
    <w:uiPriority w:val="9"/>
    <w:unhideWhenUsed/>
    <w:qFormat/>
    <w:pPr>
      <w:keepLines/>
      <w:keepNext/>
      <w:spacing w:before="320" w:after="200"/>
      <w:outlineLvl w:val="2"/>
    </w:pPr>
    <w:rPr>
      <w:rFonts w:ascii="Arial" w:hAnsi="Arial" w:eastAsia="Arial"/>
      <w:sz w:val="30"/>
      <w:szCs w:val="30"/>
    </w:rPr>
  </w:style>
  <w:style w:type="character" w:styleId="726" w:customStyle="1">
    <w:name w:val="Heading 3 Char"/>
    <w:link w:val="725"/>
    <w:uiPriority w:val="9"/>
    <w:qFormat/>
    <w:rPr>
      <w:rFonts w:ascii="Arial" w:hAnsi="Arial" w:eastAsia="Arial" w:cs="Arial"/>
      <w:sz w:val="30"/>
      <w:szCs w:val="30"/>
    </w:rPr>
  </w:style>
  <w:style w:type="paragraph" w:styleId="727" w:customStyle="1">
    <w:name w:val="Heading 41"/>
    <w:basedOn w:val="660"/>
    <w:next w:val="660"/>
    <w:link w:val="728"/>
    <w:uiPriority w:val="9"/>
    <w:unhideWhenUsed/>
    <w:qFormat/>
    <w:pPr>
      <w:keepLines/>
      <w:keepNext/>
      <w:spacing w:before="320" w:after="200"/>
      <w:outlineLvl w:val="3"/>
    </w:pPr>
    <w:rPr>
      <w:rFonts w:ascii="Arial" w:hAnsi="Arial" w:eastAsia="Arial"/>
      <w:b/>
      <w:bCs/>
      <w:sz w:val="26"/>
      <w:szCs w:val="26"/>
    </w:rPr>
  </w:style>
  <w:style w:type="character" w:styleId="728" w:customStyle="1">
    <w:name w:val="Heading 4 Char"/>
    <w:link w:val="727"/>
    <w:uiPriority w:val="9"/>
    <w:qFormat/>
    <w:rPr>
      <w:rFonts w:ascii="Arial" w:hAnsi="Arial" w:eastAsia="Arial" w:cs="Arial"/>
      <w:b/>
      <w:bCs/>
      <w:sz w:val="26"/>
      <w:szCs w:val="26"/>
    </w:rPr>
  </w:style>
  <w:style w:type="paragraph" w:styleId="729" w:customStyle="1">
    <w:name w:val="Heading 51"/>
    <w:basedOn w:val="660"/>
    <w:next w:val="660"/>
    <w:link w:val="730"/>
    <w:uiPriority w:val="9"/>
    <w:unhideWhenUsed/>
    <w:qFormat/>
    <w:pPr>
      <w:keepLines/>
      <w:keepNext/>
      <w:spacing w:before="320" w:after="200"/>
      <w:outlineLvl w:val="4"/>
    </w:pPr>
    <w:rPr>
      <w:rFonts w:ascii="Arial" w:hAnsi="Arial" w:eastAsia="Arial"/>
      <w:b/>
      <w:bCs/>
      <w:sz w:val="24"/>
      <w:szCs w:val="24"/>
    </w:rPr>
  </w:style>
  <w:style w:type="character" w:styleId="730" w:customStyle="1">
    <w:name w:val="Heading 5 Char"/>
    <w:link w:val="729"/>
    <w:uiPriority w:val="9"/>
    <w:qFormat/>
    <w:rPr>
      <w:rFonts w:ascii="Arial" w:hAnsi="Arial" w:eastAsia="Arial" w:cs="Arial"/>
      <w:b/>
      <w:bCs/>
      <w:sz w:val="24"/>
      <w:szCs w:val="24"/>
    </w:rPr>
  </w:style>
  <w:style w:type="paragraph" w:styleId="731" w:customStyle="1">
    <w:name w:val="Heading 61"/>
    <w:basedOn w:val="660"/>
    <w:next w:val="660"/>
    <w:link w:val="732"/>
    <w:uiPriority w:val="9"/>
    <w:unhideWhenUsed/>
    <w:qFormat/>
    <w:pPr>
      <w:keepLines/>
      <w:keepNext/>
      <w:spacing w:before="320" w:after="200"/>
      <w:outlineLvl w:val="5"/>
    </w:pPr>
    <w:rPr>
      <w:rFonts w:ascii="Arial" w:hAnsi="Arial" w:eastAsia="Arial"/>
      <w:b/>
      <w:bCs/>
      <w:sz w:val="22"/>
      <w:szCs w:val="22"/>
    </w:rPr>
  </w:style>
  <w:style w:type="character" w:styleId="732" w:customStyle="1">
    <w:name w:val="Heading 6 Char"/>
    <w:link w:val="731"/>
    <w:uiPriority w:val="9"/>
    <w:qFormat/>
    <w:rPr>
      <w:rFonts w:ascii="Arial" w:hAnsi="Arial" w:eastAsia="Arial" w:cs="Arial"/>
      <w:b/>
      <w:bCs/>
      <w:sz w:val="22"/>
      <w:szCs w:val="22"/>
    </w:rPr>
  </w:style>
  <w:style w:type="paragraph" w:styleId="733" w:customStyle="1">
    <w:name w:val="Heading 71"/>
    <w:basedOn w:val="660"/>
    <w:next w:val="660"/>
    <w:link w:val="734"/>
    <w:uiPriority w:val="9"/>
    <w:unhideWhenUsed/>
    <w:qFormat/>
    <w:pPr>
      <w:keepLines/>
      <w:keepNext/>
      <w:spacing w:before="320" w:after="200"/>
      <w:outlineLvl w:val="6"/>
    </w:pPr>
    <w:rPr>
      <w:rFonts w:ascii="Arial" w:hAnsi="Arial" w:eastAsia="Arial"/>
      <w:b/>
      <w:bCs/>
      <w:i/>
      <w:iCs/>
      <w:sz w:val="22"/>
      <w:szCs w:val="22"/>
    </w:rPr>
  </w:style>
  <w:style w:type="character" w:styleId="734" w:customStyle="1">
    <w:name w:val="Heading 7 Char"/>
    <w:link w:val="733"/>
    <w:uiPriority w:val="9"/>
    <w:qFormat/>
    <w:rPr>
      <w:rFonts w:ascii="Arial" w:hAnsi="Arial" w:eastAsia="Arial" w:cs="Arial"/>
      <w:b/>
      <w:bCs/>
      <w:i/>
      <w:iCs/>
      <w:sz w:val="22"/>
      <w:szCs w:val="22"/>
    </w:rPr>
  </w:style>
  <w:style w:type="paragraph" w:styleId="735" w:customStyle="1">
    <w:name w:val="Heading 81"/>
    <w:basedOn w:val="660"/>
    <w:next w:val="660"/>
    <w:link w:val="736"/>
    <w:uiPriority w:val="9"/>
    <w:unhideWhenUsed/>
    <w:qFormat/>
    <w:pPr>
      <w:keepLines/>
      <w:keepNext/>
      <w:spacing w:before="320" w:after="200"/>
      <w:outlineLvl w:val="7"/>
    </w:pPr>
    <w:rPr>
      <w:rFonts w:ascii="Arial" w:hAnsi="Arial" w:eastAsia="Arial"/>
      <w:i/>
      <w:iCs/>
      <w:sz w:val="22"/>
      <w:szCs w:val="22"/>
    </w:rPr>
  </w:style>
  <w:style w:type="character" w:styleId="736" w:customStyle="1">
    <w:name w:val="Heading 8 Char"/>
    <w:link w:val="735"/>
    <w:uiPriority w:val="9"/>
    <w:qFormat/>
    <w:rPr>
      <w:rFonts w:ascii="Arial" w:hAnsi="Arial" w:eastAsia="Arial" w:cs="Arial"/>
      <w:i/>
      <w:iCs/>
      <w:sz w:val="22"/>
      <w:szCs w:val="22"/>
    </w:rPr>
  </w:style>
  <w:style w:type="paragraph" w:styleId="737" w:customStyle="1">
    <w:name w:val="Heading 91"/>
    <w:basedOn w:val="660"/>
    <w:next w:val="660"/>
    <w:link w:val="738"/>
    <w:uiPriority w:val="9"/>
    <w:unhideWhenUsed/>
    <w:qFormat/>
    <w:pPr>
      <w:keepLines/>
      <w:keepNext/>
      <w:spacing w:before="320" w:after="200"/>
      <w:outlineLvl w:val="8"/>
    </w:pPr>
    <w:rPr>
      <w:rFonts w:ascii="Arial" w:hAnsi="Arial" w:eastAsia="Arial"/>
      <w:i/>
      <w:iCs/>
    </w:rPr>
  </w:style>
  <w:style w:type="character" w:styleId="738" w:customStyle="1">
    <w:name w:val="Heading 9 Char"/>
    <w:link w:val="737"/>
    <w:uiPriority w:val="9"/>
    <w:qFormat/>
    <w:rPr>
      <w:rFonts w:ascii="Arial" w:hAnsi="Arial" w:eastAsia="Arial" w:cs="Arial"/>
      <w:i/>
      <w:iCs/>
      <w:sz w:val="21"/>
      <w:szCs w:val="21"/>
    </w:rPr>
  </w:style>
  <w:style w:type="paragraph" w:styleId="739">
    <w:name w:val="List Paragraph"/>
    <w:basedOn w:val="660"/>
    <w:qFormat/>
    <w:pPr>
      <w:contextualSpacing/>
      <w:ind w:left="720"/>
      <w:jc w:val="left"/>
      <w:widowControl/>
    </w:pPr>
    <w:rPr>
      <w:rFonts w:ascii="Calibri" w:hAnsi="Calibri"/>
      <w:sz w:val="24"/>
      <w:szCs w:val="24"/>
      <w:lang w:eastAsia="en-US" w:bidi="en-US"/>
    </w:rPr>
  </w:style>
  <w:style w:type="paragraph" w:styleId="740">
    <w:name w:val="No Spacing"/>
    <w:uiPriority w:val="99"/>
    <w:qFormat/>
    <w:pPr>
      <w:jc w:val="both"/>
      <w:widowControl w:val="off"/>
    </w:pPr>
    <w:rPr>
      <w:sz w:val="21"/>
      <w:szCs w:val="21"/>
    </w:rPr>
  </w:style>
  <w:style w:type="character" w:styleId="741" w:customStyle="1">
    <w:name w:val="标题 Char"/>
    <w:link w:val="694"/>
    <w:uiPriority w:val="10"/>
    <w:rPr>
      <w:sz w:val="48"/>
      <w:szCs w:val="48"/>
    </w:rPr>
  </w:style>
  <w:style w:type="character" w:styleId="742" w:customStyle="1">
    <w:name w:val="副标题 Char"/>
    <w:link w:val="683"/>
    <w:uiPriority w:val="11"/>
    <w:qFormat/>
    <w:rPr>
      <w:sz w:val="24"/>
      <w:szCs w:val="24"/>
    </w:rPr>
  </w:style>
  <w:style w:type="paragraph" w:styleId="743">
    <w:name w:val="Quote"/>
    <w:basedOn w:val="660"/>
    <w:next w:val="660"/>
    <w:link w:val="744"/>
    <w:uiPriority w:val="29"/>
    <w:qFormat/>
    <w:pPr>
      <w:ind w:left="720" w:right="720"/>
    </w:pPr>
    <w:rPr>
      <w:i/>
      <w:sz w:val="20"/>
      <w:szCs w:val="20"/>
    </w:rPr>
  </w:style>
  <w:style w:type="character" w:styleId="744" w:customStyle="1">
    <w:name w:val="引用 Char"/>
    <w:link w:val="743"/>
    <w:uiPriority w:val="29"/>
    <w:rPr>
      <w:i/>
    </w:rPr>
  </w:style>
  <w:style w:type="paragraph" w:styleId="745">
    <w:name w:val="Intense Quote"/>
    <w:basedOn w:val="660"/>
    <w:next w:val="660"/>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46" w:customStyle="1">
    <w:name w:val="明显引用 Char"/>
    <w:link w:val="745"/>
    <w:uiPriority w:val="30"/>
    <w:rPr>
      <w:i/>
    </w:rPr>
  </w:style>
  <w:style w:type="paragraph" w:styleId="747" w:customStyle="1">
    <w:name w:val="Header"/>
    <w:basedOn w:val="660"/>
    <w:link w:val="748"/>
    <w:uiPriority w:val="99"/>
    <w:unhideWhenUsed/>
    <w:pPr>
      <w:tabs>
        <w:tab w:val="center" w:pos="7143" w:leader="none"/>
        <w:tab w:val="right" w:pos="14287" w:leader="none"/>
      </w:tabs>
    </w:pPr>
  </w:style>
  <w:style w:type="character" w:styleId="748" w:customStyle="1">
    <w:name w:val="Header Char"/>
    <w:link w:val="747"/>
    <w:uiPriority w:val="99"/>
  </w:style>
  <w:style w:type="paragraph" w:styleId="749" w:customStyle="1">
    <w:name w:val="Footer"/>
    <w:basedOn w:val="660"/>
    <w:link w:val="752"/>
    <w:uiPriority w:val="99"/>
    <w:unhideWhenUsed/>
    <w:pPr>
      <w:tabs>
        <w:tab w:val="center" w:pos="7143" w:leader="none"/>
        <w:tab w:val="right" w:pos="14287" w:leader="none"/>
      </w:tabs>
    </w:pPr>
  </w:style>
  <w:style w:type="character" w:styleId="750" w:customStyle="1">
    <w:name w:val="Footer Char"/>
    <w:uiPriority w:val="99"/>
    <w:qFormat/>
  </w:style>
  <w:style w:type="paragraph" w:styleId="751" w:customStyle="1">
    <w:name w:val="Caption"/>
    <w:basedOn w:val="660"/>
    <w:next w:val="660"/>
    <w:uiPriority w:val="35"/>
    <w:semiHidden/>
    <w:unhideWhenUsed/>
    <w:qFormat/>
    <w:pPr>
      <w:spacing w:line="276" w:lineRule="auto"/>
    </w:pPr>
    <w:rPr>
      <w:b/>
      <w:bCs/>
      <w:color w:val="4f81bd"/>
      <w:sz w:val="18"/>
      <w:szCs w:val="18"/>
    </w:rPr>
  </w:style>
  <w:style w:type="character" w:styleId="752" w:customStyle="1">
    <w:name w:val="Caption Char"/>
    <w:link w:val="749"/>
    <w:uiPriority w:val="99"/>
  </w:style>
  <w:style w:type="table" w:styleId="753"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4"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5" w:customStyle="1">
    <w:name w:val="Plain Table 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6" w:customStyle="1">
    <w:name w:val="Plain Table 3"/>
    <w:uiPriority w:val="99"/>
    <w:tblPr>
      <w:tblCellMar>
        <w:left w:w="0" w:type="dxa"/>
        <w:top w:w="0" w:type="dxa"/>
        <w:right w:w="0" w:type="dxa"/>
        <w:bottom w:w="0" w:type="dxa"/>
      </w:tblCellMar>
    </w:tblPr>
  </w:style>
  <w:style w:type="table" w:styleId="757" w:customStyle="1">
    <w:name w:val="Plain Table 4"/>
    <w:uiPriority w:val="99"/>
    <w:tblPr>
      <w:tblCellMar>
        <w:left w:w="0" w:type="dxa"/>
        <w:top w:w="0" w:type="dxa"/>
        <w:right w:w="0" w:type="dxa"/>
        <w:bottom w:w="0" w:type="dxa"/>
      </w:tblCellMar>
    </w:tblPr>
  </w:style>
  <w:style w:type="table" w:styleId="758" w:customStyle="1">
    <w:name w:val="Plain Table 5"/>
    <w:uiPriority w:val="99"/>
    <w:tblPr>
      <w:tblCellMar>
        <w:left w:w="0" w:type="dxa"/>
        <w:top w:w="0" w:type="dxa"/>
        <w:right w:w="0" w:type="dxa"/>
        <w:bottom w:w="0" w:type="dxa"/>
      </w:tblCellMar>
    </w:tblPr>
  </w:style>
  <w:style w:type="table" w:styleId="759"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0"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1"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3"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5"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4"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5"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7"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8"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4"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5"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0"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3"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8" w:customStyle="1">
    <w:name w:val="List Table 1 Light"/>
    <w:uiPriority w:val="99"/>
    <w:qFormat/>
    <w:tblPr>
      <w:tblCellMar>
        <w:left w:w="0" w:type="dxa"/>
        <w:top w:w="0" w:type="dxa"/>
        <w:right w:w="0" w:type="dxa"/>
        <w:bottom w:w="0" w:type="dxa"/>
      </w:tblCellMar>
    </w:tblPr>
  </w:style>
  <w:style w:type="table" w:styleId="809" w:customStyle="1">
    <w:name w:val="List Table 1 Light - Accent 1"/>
    <w:uiPriority w:val="99"/>
    <w:tblPr>
      <w:tblCellMar>
        <w:left w:w="0" w:type="dxa"/>
        <w:top w:w="0" w:type="dxa"/>
        <w:right w:w="0" w:type="dxa"/>
        <w:bottom w:w="0" w:type="dxa"/>
      </w:tblCellMar>
    </w:tblPr>
  </w:style>
  <w:style w:type="table" w:styleId="810" w:customStyle="1">
    <w:name w:val="List Table 1 Light - Accent 2"/>
    <w:uiPriority w:val="99"/>
    <w:tblPr>
      <w:tblCellMar>
        <w:left w:w="0" w:type="dxa"/>
        <w:top w:w="0" w:type="dxa"/>
        <w:right w:w="0" w:type="dxa"/>
        <w:bottom w:w="0" w:type="dxa"/>
      </w:tblCellMar>
    </w:tblPr>
  </w:style>
  <w:style w:type="table" w:styleId="811" w:customStyle="1">
    <w:name w:val="List Table 1 Light - Accent 3"/>
    <w:uiPriority w:val="99"/>
    <w:tblPr>
      <w:tblCellMar>
        <w:left w:w="0" w:type="dxa"/>
        <w:top w:w="0" w:type="dxa"/>
        <w:right w:w="0" w:type="dxa"/>
        <w:bottom w:w="0" w:type="dxa"/>
      </w:tblCellMar>
    </w:tblPr>
  </w:style>
  <w:style w:type="table" w:styleId="812" w:customStyle="1">
    <w:name w:val="List Table 1 Light - Accent 4"/>
    <w:uiPriority w:val="99"/>
    <w:qFormat/>
    <w:tblPr>
      <w:tblCellMar>
        <w:left w:w="0" w:type="dxa"/>
        <w:top w:w="0" w:type="dxa"/>
        <w:right w:w="0" w:type="dxa"/>
        <w:bottom w:w="0" w:type="dxa"/>
      </w:tblCellMar>
    </w:tblPr>
  </w:style>
  <w:style w:type="table" w:styleId="813" w:customStyle="1">
    <w:name w:val="List Table 1 Light - Accent 5"/>
    <w:uiPriority w:val="99"/>
    <w:tblPr>
      <w:tblCellMar>
        <w:left w:w="0" w:type="dxa"/>
        <w:top w:w="0" w:type="dxa"/>
        <w:right w:w="0" w:type="dxa"/>
        <w:bottom w:w="0" w:type="dxa"/>
      </w:tblCellMar>
    </w:tblPr>
  </w:style>
  <w:style w:type="table" w:styleId="814" w:customStyle="1">
    <w:name w:val="List Table 1 Light - Accent 6"/>
    <w:uiPriority w:val="99"/>
    <w:qFormat/>
    <w:tblPr>
      <w:tblCellMar>
        <w:left w:w="0" w:type="dxa"/>
        <w:top w:w="0" w:type="dxa"/>
        <w:right w:w="0" w:type="dxa"/>
        <w:bottom w:w="0" w:type="dxa"/>
      </w:tblCellMar>
    </w:tblPr>
  </w:style>
  <w:style w:type="table" w:styleId="81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8"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1"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4"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0"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1"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2"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7"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8"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7" w:customStyle="1">
    <w:name w:val="Lined - Accent"/>
    <w:uiPriority w:val="99"/>
    <w:qFormat/>
    <w:rPr>
      <w:color w:val="404040"/>
    </w:rPr>
    <w:tblPr>
      <w:tblCellMar>
        <w:left w:w="0" w:type="dxa"/>
        <w:top w:w="0" w:type="dxa"/>
        <w:right w:w="0" w:type="dxa"/>
        <w:bottom w:w="0" w:type="dxa"/>
      </w:tblCellMar>
    </w:tblPr>
  </w:style>
  <w:style w:type="table" w:styleId="858" w:customStyle="1">
    <w:name w:val="Lined - Accent 1"/>
    <w:uiPriority w:val="99"/>
    <w:qFormat/>
    <w:rPr>
      <w:color w:val="404040"/>
    </w:rPr>
    <w:tblPr>
      <w:tblCellMar>
        <w:left w:w="0" w:type="dxa"/>
        <w:top w:w="0" w:type="dxa"/>
        <w:right w:w="0" w:type="dxa"/>
        <w:bottom w:w="0" w:type="dxa"/>
      </w:tblCellMar>
    </w:tblPr>
  </w:style>
  <w:style w:type="table" w:styleId="859" w:customStyle="1">
    <w:name w:val="Lined - Accent 2"/>
    <w:uiPriority w:val="99"/>
    <w:qFormat/>
    <w:rPr>
      <w:color w:val="404040"/>
    </w:rPr>
    <w:tblPr>
      <w:tblCellMar>
        <w:left w:w="0" w:type="dxa"/>
        <w:top w:w="0" w:type="dxa"/>
        <w:right w:w="0" w:type="dxa"/>
        <w:bottom w:w="0" w:type="dxa"/>
      </w:tblCellMar>
    </w:tblPr>
  </w:style>
  <w:style w:type="table" w:styleId="860" w:customStyle="1">
    <w:name w:val="Lined - Accent 3"/>
    <w:uiPriority w:val="99"/>
    <w:rPr>
      <w:color w:val="404040"/>
    </w:rPr>
    <w:tblPr>
      <w:tblCellMar>
        <w:left w:w="0" w:type="dxa"/>
        <w:top w:w="0" w:type="dxa"/>
        <w:right w:w="0" w:type="dxa"/>
        <w:bottom w:w="0" w:type="dxa"/>
      </w:tblCellMar>
    </w:tblPr>
  </w:style>
  <w:style w:type="table" w:styleId="861" w:customStyle="1">
    <w:name w:val="Lined - Accent 4"/>
    <w:uiPriority w:val="99"/>
    <w:qFormat/>
    <w:rPr>
      <w:color w:val="404040"/>
    </w:rPr>
    <w:tblPr>
      <w:tblCellMar>
        <w:left w:w="0" w:type="dxa"/>
        <w:top w:w="0" w:type="dxa"/>
        <w:right w:w="0" w:type="dxa"/>
        <w:bottom w:w="0" w:type="dxa"/>
      </w:tblCellMar>
    </w:tblPr>
  </w:style>
  <w:style w:type="table" w:styleId="862" w:customStyle="1">
    <w:name w:val="Lined - Accent 5"/>
    <w:uiPriority w:val="99"/>
    <w:qFormat/>
    <w:rPr>
      <w:color w:val="404040"/>
    </w:rPr>
    <w:tblPr>
      <w:tblCellMar>
        <w:left w:w="0" w:type="dxa"/>
        <w:top w:w="0" w:type="dxa"/>
        <w:right w:w="0" w:type="dxa"/>
        <w:bottom w:w="0" w:type="dxa"/>
      </w:tblCellMar>
    </w:tblPr>
  </w:style>
  <w:style w:type="table" w:styleId="863" w:customStyle="1">
    <w:name w:val="Lined - Accent 6"/>
    <w:uiPriority w:val="99"/>
    <w:qFormat/>
    <w:rPr>
      <w:color w:val="404040"/>
    </w:rPr>
    <w:tblPr>
      <w:tblCellMar>
        <w:left w:w="0" w:type="dxa"/>
        <w:top w:w="0" w:type="dxa"/>
        <w:right w:w="0" w:type="dxa"/>
        <w:bottom w:w="0" w:type="dxa"/>
      </w:tblCellMar>
    </w:tblPr>
  </w:style>
  <w:style w:type="table" w:styleId="8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9"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8" w:customStyle="1">
    <w:name w:val="脚注文本 Char"/>
    <w:link w:val="685"/>
    <w:uiPriority w:val="99"/>
    <w:qFormat/>
    <w:rPr>
      <w:sz w:val="18"/>
    </w:rPr>
  </w:style>
  <w:style w:type="character" w:styleId="879" w:customStyle="1">
    <w:name w:val="尾注文本 Char"/>
    <w:link w:val="679"/>
    <w:uiPriority w:val="99"/>
    <w:rPr>
      <w:sz w:val="20"/>
    </w:rPr>
  </w:style>
  <w:style w:type="paragraph" w:styleId="880" w:customStyle="1">
    <w:name w:val="TOC 标题1"/>
    <w:uiPriority w:val="39"/>
    <w:unhideWhenUsed/>
    <w:qFormat/>
  </w:style>
  <w:style w:type="character" w:styleId="881" w:customStyle="1">
    <w:name w:val="标题 1 Char"/>
    <w:link w:val="712"/>
    <w:qFormat/>
    <w:rPr>
      <w:rFonts w:ascii="楷体_GB2312" w:hAnsi="Times New Roman" w:eastAsia="楷体_GB2312" w:cs="Times New Roman"/>
      <w:sz w:val="28"/>
      <w:szCs w:val="28"/>
    </w:rPr>
  </w:style>
  <w:style w:type="character" w:styleId="882" w:customStyle="1">
    <w:name w:val="标题 2 Char"/>
    <w:link w:val="713"/>
    <w:qFormat/>
    <w:rPr>
      <w:rFonts w:ascii="Arial" w:hAnsi="Arial" w:eastAsia="幼圆" w:cs="Arial"/>
      <w:b/>
      <w:bCs/>
      <w:sz w:val="44"/>
      <w:szCs w:val="44"/>
    </w:rPr>
  </w:style>
  <w:style w:type="character" w:styleId="883" w:customStyle="1">
    <w:name w:val="正文缩进 Char"/>
    <w:link w:val="666"/>
    <w:qFormat/>
    <w:rPr>
      <w:rFonts w:ascii="Times New Roman" w:hAnsi="Times New Roman" w:eastAsia="宋体" w:cs="Times New Roman"/>
      <w:szCs w:val="21"/>
    </w:rPr>
  </w:style>
  <w:style w:type="character" w:styleId="884" w:customStyle="1">
    <w:name w:val="标题 3 Char"/>
    <w:link w:val="714"/>
    <w:qFormat/>
    <w:rPr>
      <w:rFonts w:ascii="Times New Roman" w:hAnsi="Times New Roman" w:eastAsia="宋体" w:cs="Times New Roman"/>
      <w:b/>
      <w:bCs/>
      <w:sz w:val="32"/>
      <w:szCs w:val="32"/>
    </w:rPr>
  </w:style>
  <w:style w:type="character" w:styleId="885" w:customStyle="1">
    <w:name w:val="标题 4 Char"/>
    <w:link w:val="715"/>
    <w:qFormat/>
    <w:rPr>
      <w:rFonts w:ascii="Arial" w:hAnsi="Arial" w:eastAsia="黑体" w:cs="Arial"/>
      <w:b/>
      <w:bCs/>
      <w:sz w:val="28"/>
      <w:szCs w:val="28"/>
    </w:rPr>
  </w:style>
  <w:style w:type="character" w:styleId="886" w:customStyle="1">
    <w:name w:val="标题 5 Char"/>
    <w:link w:val="716"/>
    <w:qFormat/>
    <w:rPr>
      <w:rFonts w:ascii="宋体" w:hAnsi="Times New Roman" w:eastAsia="宋体" w:cs="Times New Roman"/>
      <w:color w:val="000000"/>
      <w:sz w:val="28"/>
      <w:szCs w:val="28"/>
    </w:rPr>
  </w:style>
  <w:style w:type="character" w:styleId="887" w:customStyle="1">
    <w:name w:val="标题 6 Char"/>
    <w:link w:val="717"/>
    <w:qFormat/>
    <w:rPr>
      <w:rFonts w:ascii="Arial" w:hAnsi="Arial" w:eastAsia="黑体" w:cs="Times New Roman"/>
      <w:b/>
      <w:bCs/>
      <w:sz w:val="24"/>
      <w:szCs w:val="24"/>
    </w:rPr>
  </w:style>
  <w:style w:type="character" w:styleId="888" w:customStyle="1">
    <w:name w:val="标题 7 Char"/>
    <w:link w:val="718"/>
    <w:qFormat/>
    <w:rPr>
      <w:rFonts w:ascii="Times New Roman" w:hAnsi="Times New Roman" w:eastAsia="宋体" w:cs="Times New Roman"/>
      <w:b/>
      <w:bCs/>
      <w:sz w:val="24"/>
      <w:szCs w:val="24"/>
    </w:rPr>
  </w:style>
  <w:style w:type="character" w:styleId="889" w:customStyle="1">
    <w:name w:val="标题 8 Char"/>
    <w:link w:val="719"/>
    <w:qFormat/>
    <w:rPr>
      <w:rFonts w:ascii="Arial" w:hAnsi="Arial" w:eastAsia="黑体" w:cs="Times New Roman"/>
      <w:sz w:val="24"/>
      <w:szCs w:val="24"/>
    </w:rPr>
  </w:style>
  <w:style w:type="character" w:styleId="890" w:customStyle="1">
    <w:name w:val="标题 9 Char"/>
    <w:link w:val="720"/>
    <w:rPr>
      <w:rFonts w:ascii="Arial" w:hAnsi="Arial" w:eastAsia="黑体" w:cs="Times New Roman"/>
      <w:szCs w:val="21"/>
    </w:rPr>
  </w:style>
  <w:style w:type="character" w:styleId="891" w:customStyle="1">
    <w:name w:val="文档结构图 Char"/>
    <w:link w:val="667"/>
    <w:semiHidden/>
    <w:qFormat/>
    <w:rPr>
      <w:rFonts w:ascii="Times New Roman" w:hAnsi="Times New Roman" w:eastAsia="宋体" w:cs="Times New Roman"/>
      <w:szCs w:val="21"/>
      <w:shd w:val="clear" w:color="auto" w:fill="000080"/>
    </w:rPr>
  </w:style>
  <w:style w:type="character" w:styleId="892" w:customStyle="1">
    <w:name w:val="批注文字 Char"/>
    <w:link w:val="668"/>
    <w:qFormat/>
    <w:rPr>
      <w:rFonts w:ascii="Times New Roman" w:hAnsi="Times New Roman" w:eastAsia="宋体" w:cs="Times New Roman"/>
      <w:szCs w:val="21"/>
    </w:rPr>
  </w:style>
  <w:style w:type="character" w:styleId="893" w:customStyle="1">
    <w:name w:val="正文文本 3 Char"/>
    <w:link w:val="669"/>
    <w:qFormat/>
    <w:rPr>
      <w:rFonts w:ascii="仿宋_GB2312" w:hAnsi="Arial" w:eastAsia="仿宋_GB2312" w:cs="Times New Roman"/>
      <w:sz w:val="32"/>
      <w:szCs w:val="32"/>
    </w:rPr>
  </w:style>
  <w:style w:type="character" w:styleId="894" w:customStyle="1">
    <w:name w:val="正文文本 Char"/>
    <w:link w:val="670"/>
    <w:qFormat/>
    <w:rPr>
      <w:rFonts w:ascii="楷体_GB2312" w:hAnsi="Arial" w:eastAsia="楷体_GB2312" w:cs="Times New Roman"/>
      <w:sz w:val="28"/>
      <w:szCs w:val="28"/>
    </w:rPr>
  </w:style>
  <w:style w:type="character" w:styleId="895" w:customStyle="1">
    <w:name w:val="正文文本缩进 Char"/>
    <w:link w:val="671"/>
    <w:qFormat/>
    <w:rPr>
      <w:rFonts w:ascii="楷体_GB2312" w:hAnsi="Times New Roman" w:eastAsia="楷体_GB2312" w:cs="Times New Roman"/>
      <w:sz w:val="32"/>
      <w:szCs w:val="32"/>
    </w:rPr>
  </w:style>
  <w:style w:type="character" w:styleId="896" w:customStyle="1">
    <w:name w:val="纯文本 Char"/>
    <w:link w:val="675"/>
    <w:qFormat/>
    <w:rPr>
      <w:rFonts w:ascii="宋体" w:hAnsi="Courier New" w:eastAsia="宋体" w:cs="Courier New"/>
      <w:szCs w:val="21"/>
    </w:rPr>
  </w:style>
  <w:style w:type="character" w:styleId="897" w:customStyle="1">
    <w:name w:val="日期 Char"/>
    <w:link w:val="677"/>
    <w:rPr>
      <w:rFonts w:ascii="Times New Roman" w:hAnsi="Times New Roman" w:eastAsia="宋体" w:cs="Times New Roman"/>
      <w:sz w:val="24"/>
      <w:szCs w:val="24"/>
    </w:rPr>
  </w:style>
  <w:style w:type="character" w:styleId="898" w:customStyle="1">
    <w:name w:val="正文文本缩进 2 Char"/>
    <w:link w:val="678"/>
    <w:qFormat/>
    <w:rPr>
      <w:rFonts w:ascii="Arial" w:hAnsi="Arial" w:eastAsia="仿宋_GB2312" w:cs="Arial"/>
      <w:sz w:val="32"/>
      <w:szCs w:val="32"/>
    </w:rPr>
  </w:style>
  <w:style w:type="character" w:styleId="899" w:customStyle="1">
    <w:name w:val="批注框文本 Char"/>
    <w:link w:val="680"/>
    <w:semiHidden/>
    <w:qFormat/>
    <w:rPr>
      <w:rFonts w:ascii="Times New Roman" w:hAnsi="Times New Roman" w:eastAsia="宋体" w:cs="Times New Roman"/>
      <w:sz w:val="18"/>
      <w:szCs w:val="18"/>
    </w:rPr>
  </w:style>
  <w:style w:type="paragraph" w:styleId="900" w:customStyle="1">
    <w:name w:val="Footer1"/>
    <w:basedOn w:val="660"/>
    <w:link w:val="901"/>
    <w:uiPriority w:val="99"/>
    <w:qFormat/>
    <w:pPr>
      <w:jc w:val="left"/>
      <w:tabs>
        <w:tab w:val="center" w:pos="4153" w:leader="none"/>
        <w:tab w:val="right" w:pos="8306" w:leader="none"/>
      </w:tabs>
    </w:pPr>
    <w:rPr>
      <w:sz w:val="18"/>
      <w:szCs w:val="18"/>
    </w:rPr>
  </w:style>
  <w:style w:type="character" w:styleId="901" w:customStyle="1">
    <w:name w:val="页脚 Char"/>
    <w:link w:val="900"/>
    <w:uiPriority w:val="99"/>
    <w:rPr>
      <w:rFonts w:ascii="Times New Roman" w:hAnsi="Times New Roman" w:eastAsia="宋体" w:cs="Times New Roman"/>
      <w:sz w:val="18"/>
      <w:szCs w:val="18"/>
    </w:rPr>
  </w:style>
  <w:style w:type="paragraph" w:styleId="902" w:customStyle="1">
    <w:name w:val="Header1"/>
    <w:basedOn w:val="660"/>
    <w:link w:val="903"/>
    <w:qFormat/>
    <w:pPr>
      <w:jc w:val="center"/>
      <w:tabs>
        <w:tab w:val="center" w:pos="4153" w:leader="none"/>
        <w:tab w:val="right" w:pos="8306" w:leader="none"/>
      </w:tabs>
      <w:pBdr>
        <w:bottom w:val="single" w:color="000000" w:sz="6" w:space="1"/>
      </w:pBdr>
    </w:pPr>
    <w:rPr>
      <w:sz w:val="18"/>
      <w:szCs w:val="18"/>
    </w:rPr>
  </w:style>
  <w:style w:type="character" w:styleId="903" w:customStyle="1">
    <w:name w:val="页眉 Char"/>
    <w:link w:val="902"/>
    <w:qFormat/>
    <w:rPr>
      <w:rFonts w:ascii="Times New Roman" w:hAnsi="Times New Roman" w:eastAsia="宋体" w:cs="Times New Roman"/>
      <w:sz w:val="18"/>
      <w:szCs w:val="18"/>
    </w:rPr>
  </w:style>
  <w:style w:type="character" w:styleId="904" w:customStyle="1">
    <w:name w:val="正文文本缩进 3 Char"/>
    <w:link w:val="687"/>
    <w:rPr>
      <w:rFonts w:ascii="Arial" w:hAnsi="Arial" w:eastAsia="仿宋_GB2312" w:cs="Arial"/>
      <w:color w:val="ffff00"/>
      <w:sz w:val="32"/>
      <w:szCs w:val="32"/>
    </w:rPr>
  </w:style>
  <w:style w:type="character" w:styleId="905" w:customStyle="1">
    <w:name w:val="正文文本 2 Char"/>
    <w:link w:val="691"/>
    <w:qFormat/>
    <w:rPr>
      <w:rFonts w:ascii="楷体_GB2312" w:hAnsi="Times New Roman" w:eastAsia="楷体_GB2312" w:cs="Times New Roman"/>
      <w:sz w:val="28"/>
      <w:szCs w:val="28"/>
    </w:rPr>
  </w:style>
  <w:style w:type="character" w:styleId="906" w:customStyle="1">
    <w:name w:val="批注主题 Char"/>
    <w:link w:val="695"/>
    <w:semiHidden/>
    <w:qFormat/>
    <w:rPr>
      <w:rFonts w:ascii="Times New Roman" w:hAnsi="Times New Roman" w:eastAsia="宋体" w:cs="Times New Roman"/>
      <w:b/>
      <w:bCs/>
      <w:szCs w:val="21"/>
    </w:rPr>
  </w:style>
  <w:style w:type="character" w:styleId="907" w:customStyle="1">
    <w:name w:val="正文首行缩进 Char"/>
    <w:link w:val="696"/>
    <w:qFormat/>
    <w:rPr>
      <w:rFonts w:ascii="仿宋_GB2312" w:hAnsi="Times New Roman" w:eastAsia="仿宋_GB2312" w:cs="Times New Roman"/>
      <w:sz w:val="30"/>
      <w:szCs w:val="30"/>
    </w:rPr>
  </w:style>
  <w:style w:type="character" w:styleId="908" w:customStyle="1">
    <w:name w:val="正文首行缩进 2 Char"/>
    <w:link w:val="697"/>
    <w:qFormat/>
    <w:rPr>
      <w:rFonts w:ascii="宋体" w:hAnsi="宋体" w:eastAsia="宋体" w:cs="Times New Roman"/>
      <w:sz w:val="32"/>
      <w:szCs w:val="20"/>
    </w:rPr>
  </w:style>
  <w:style w:type="character" w:styleId="909" w:customStyle="1">
    <w:name w:val="列出段落 Char"/>
    <w:link w:val="910"/>
    <w:rPr>
      <w:rFonts w:ascii="Calibri" w:hAnsi="Calibri"/>
      <w:sz w:val="24"/>
      <w:szCs w:val="24"/>
      <w:lang w:eastAsia="en-US" w:bidi="en-US"/>
    </w:rPr>
  </w:style>
  <w:style w:type="paragraph" w:styleId="910" w:customStyle="1">
    <w:name w:val="列出段落1"/>
    <w:basedOn w:val="660"/>
    <w:link w:val="909"/>
    <w:qFormat/>
    <w:pPr>
      <w:contextualSpacing/>
      <w:ind w:left="720"/>
      <w:jc w:val="left"/>
      <w:widowControl/>
    </w:pPr>
    <w:rPr>
      <w:rFonts w:ascii="Calibri" w:hAnsi="Calibri"/>
      <w:sz w:val="24"/>
      <w:szCs w:val="24"/>
      <w:lang w:eastAsia="en-US" w:bidi="en-US"/>
    </w:rPr>
  </w:style>
  <w:style w:type="character" w:styleId="911" w:customStyle="1">
    <w:name w:val="font5 Char"/>
    <w:qFormat/>
    <w:rPr>
      <w:rFonts w:ascii="宋体" w:hAnsi="宋体" w:eastAsia="宋体"/>
      <w:sz w:val="28"/>
      <w:szCs w:val="28"/>
      <w:lang w:val="en-US" w:eastAsia="zh-CN" w:bidi="ar-SA"/>
    </w:rPr>
  </w:style>
  <w:style w:type="character" w:styleId="912" w:customStyle="1">
    <w:name w:val="二级目录 Char"/>
    <w:link w:val="913"/>
    <w:qFormat/>
    <w:rPr>
      <w:b/>
      <w:sz w:val="30"/>
      <w:szCs w:val="28"/>
      <w:lang w:val="en-US" w:eastAsia="zh-CN" w:bidi="ar-SA"/>
    </w:rPr>
  </w:style>
  <w:style w:type="paragraph" w:styleId="913" w:customStyle="1">
    <w:name w:val="二级目录"/>
    <w:next w:val="660"/>
    <w:link w:val="912"/>
    <w:pPr>
      <w:numPr>
        <w:numId w:val="2"/>
      </w:numPr>
      <w:tabs>
        <w:tab w:val="left" w:pos="1145" w:leader="none"/>
      </w:tabs>
      <w:outlineLvl w:val="1"/>
    </w:pPr>
    <w:rPr>
      <w:b/>
      <w:sz w:val="30"/>
      <w:szCs w:val="28"/>
    </w:rPr>
  </w:style>
  <w:style w:type="paragraph" w:styleId="914" w:customStyle="1">
    <w:name w:val="xl27"/>
    <w:basedOn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5" w:customStyle="1">
    <w:name w:val="附录1"/>
    <w:pPr>
      <w:ind w:left="907" w:hanging="907"/>
      <w:spacing w:before="240" w:line="600" w:lineRule="atLeast"/>
      <w:tabs>
        <w:tab w:val="left" w:pos="907" w:leader="none"/>
      </w:tabs>
    </w:pPr>
    <w:rPr>
      <w:b/>
      <w:i/>
      <w:sz w:val="28"/>
    </w:rPr>
  </w:style>
  <w:style w:type="paragraph" w:styleId="916" w:customStyle="1">
    <w:name w:val="Char Char Char Char Char Char Char Char"/>
    <w:basedOn w:val="660"/>
    <w:pPr>
      <w:jc w:val="left"/>
      <w:spacing w:after="160" w:line="240" w:lineRule="exact"/>
      <w:widowControl/>
    </w:pPr>
    <w:rPr>
      <w:rFonts w:ascii="Verdana" w:hAnsi="Verdana"/>
      <w:sz w:val="20"/>
      <w:szCs w:val="20"/>
      <w:lang w:eastAsia="en-US"/>
    </w:rPr>
  </w:style>
  <w:style w:type="paragraph" w:styleId="917" w:customStyle="1">
    <w:name w:val="Body Text(ch)"/>
    <w:basedOn w:val="660"/>
    <w:next w:val="670"/>
    <w:pPr>
      <w:spacing w:after="120"/>
    </w:pPr>
    <w:rPr>
      <w:rFonts w:ascii="宋体" w:hAnsi="Arial"/>
      <w:bCs/>
      <w:iCs/>
      <w:szCs w:val="24"/>
    </w:rPr>
  </w:style>
  <w:style w:type="paragraph" w:styleId="918" w:customStyle="1">
    <w:name w:val="Char Char Char Char"/>
    <w:basedOn w:val="667"/>
    <w:qFormat/>
    <w:pPr>
      <w:spacing w:line="360" w:lineRule="auto"/>
    </w:pPr>
    <w:rPr>
      <w:rFonts w:ascii="Tahoma" w:hAnsi="Tahoma"/>
      <w:sz w:val="24"/>
      <w:szCs w:val="24"/>
    </w:rPr>
  </w:style>
  <w:style w:type="paragraph" w:styleId="919" w:customStyle="1">
    <w:name w:val="图标"/>
    <w:basedOn w:val="660"/>
    <w:next w:val="66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0" w:customStyle="1">
    <w:name w:val="font7"/>
    <w:basedOn w:val="660"/>
    <w:pPr>
      <w:jc w:val="left"/>
      <w:spacing w:before="100" w:beforeAutospacing="1" w:after="100" w:afterAutospacing="1"/>
      <w:widowControl/>
    </w:pPr>
    <w:rPr>
      <w:rFonts w:hint="eastAsia" w:ascii="宋体" w:hAnsi="宋体"/>
      <w:sz w:val="18"/>
      <w:szCs w:val="18"/>
    </w:rPr>
  </w:style>
  <w:style w:type="paragraph" w:styleId="921" w:customStyle="1">
    <w:name w:val="xl26"/>
    <w:basedOn w:val="6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2" w:customStyle="1">
    <w:name w:val="普通正文"/>
    <w:basedOn w:val="660"/>
    <w:qFormat/>
    <w:pPr>
      <w:ind w:firstLine="480"/>
      <w:jc w:val="left"/>
      <w:spacing w:before="120" w:after="120" w:line="360" w:lineRule="auto"/>
    </w:pPr>
    <w:rPr>
      <w:rFonts w:ascii="Arial" w:hAnsi="Arial"/>
      <w:sz w:val="24"/>
      <w:szCs w:val="24"/>
    </w:rPr>
  </w:style>
  <w:style w:type="paragraph" w:styleId="923" w:customStyle="1">
    <w:name w:val="4"/>
    <w:basedOn w:val="660"/>
    <w:next w:val="687"/>
    <w:qFormat/>
    <w:pPr>
      <w:ind w:firstLine="420"/>
      <w:spacing w:line="360" w:lineRule="auto"/>
    </w:pPr>
    <w:rPr>
      <w:color w:val="ff0000"/>
      <w:sz w:val="24"/>
      <w:szCs w:val="24"/>
    </w:rPr>
  </w:style>
  <w:style w:type="paragraph" w:styleId="924" w:customStyle="1">
    <w:name w:val="table_lines"/>
    <w:basedOn w:val="660"/>
    <w:qFormat/>
    <w:pPr>
      <w:jc w:val="left"/>
      <w:widowControl/>
    </w:pPr>
    <w:rPr>
      <w:sz w:val="20"/>
      <w:szCs w:val="20"/>
      <w:lang w:val="de-DE" w:eastAsia="de-DE"/>
    </w:rPr>
  </w:style>
  <w:style w:type="paragraph" w:styleId="925" w:customStyle="1">
    <w:name w:val="xl29"/>
    <w:basedOn w:val="6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6" w:customStyle="1">
    <w:name w:val="Char"/>
    <w:basedOn w:val="660"/>
    <w:qFormat/>
    <w:pPr>
      <w:ind w:firstLine="200"/>
      <w:tabs>
        <w:tab w:val="left" w:pos="360" w:leader="none"/>
      </w:tabs>
    </w:pPr>
    <w:rPr>
      <w:sz w:val="28"/>
      <w:szCs w:val="30"/>
    </w:rPr>
  </w:style>
  <w:style w:type="paragraph" w:styleId="927" w:customStyle="1">
    <w:name w:val="Char1"/>
    <w:basedOn w:val="667"/>
    <w:qFormat/>
    <w:rPr>
      <w:rFonts w:ascii="Tahoma" w:hAnsi="Tahoma"/>
      <w:sz w:val="24"/>
      <w:szCs w:val="24"/>
    </w:rPr>
  </w:style>
  <w:style w:type="paragraph" w:styleId="928" w:customStyle="1">
    <w:name w:val="Char Char Char Char1"/>
    <w:basedOn w:val="667"/>
    <w:qFormat/>
    <w:pPr>
      <w:spacing w:line="360" w:lineRule="auto"/>
    </w:pPr>
    <w:rPr>
      <w:rFonts w:ascii="Tahoma" w:hAnsi="Tahoma"/>
      <w:sz w:val="24"/>
      <w:szCs w:val="24"/>
    </w:rPr>
  </w:style>
  <w:style w:type="paragraph" w:styleId="929" w:customStyle="1">
    <w:name w:val="普通 (Web)"/>
    <w:basedOn w:val="660"/>
    <w:pPr>
      <w:jc w:val="left"/>
      <w:spacing w:before="100" w:beforeAutospacing="1" w:after="100" w:afterAutospacing="1"/>
      <w:widowControl/>
    </w:pPr>
    <w:rPr>
      <w:rFonts w:ascii="宋体" w:hAnsi="宋体"/>
      <w:sz w:val="24"/>
      <w:szCs w:val="24"/>
    </w:rPr>
  </w:style>
  <w:style w:type="paragraph" w:styleId="930" w:customStyle="1">
    <w:name w:val="Char Char Char Char Char Char Char Char Char Char"/>
    <w:basedOn w:val="660"/>
    <w:qFormat/>
    <w:pPr>
      <w:spacing w:line="360" w:lineRule="auto"/>
    </w:pPr>
    <w:rPr>
      <w:sz w:val="24"/>
      <w:szCs w:val="20"/>
    </w:rPr>
  </w:style>
  <w:style w:type="paragraph" w:styleId="931" w:customStyle="1">
    <w:name w:val="样式1"/>
    <w:basedOn w:val="660"/>
    <w:qFormat/>
    <w:pPr>
      <w:numPr>
        <w:numId w:val="3"/>
      </w:numPr>
    </w:pPr>
    <w:rPr>
      <w:rFonts w:ascii="宋体" w:hAnsi="宋体"/>
    </w:rPr>
  </w:style>
  <w:style w:type="paragraph" w:styleId="932" w:customStyle="1">
    <w:name w:val="font6"/>
    <w:basedOn w:val="660"/>
    <w:qFormat/>
    <w:pPr>
      <w:jc w:val="left"/>
      <w:spacing w:before="100" w:beforeAutospacing="1" w:after="100" w:afterAutospacing="1"/>
      <w:widowControl/>
    </w:pPr>
    <w:rPr>
      <w:rFonts w:hint="eastAsia" w:ascii="宋体" w:hAnsi="宋体"/>
      <w:sz w:val="28"/>
      <w:szCs w:val="28"/>
      <w:u w:val="single"/>
    </w:rPr>
  </w:style>
  <w:style w:type="paragraph" w:styleId="933" w:customStyle="1">
    <w:name w:val="xl25"/>
    <w:basedOn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4" w:customStyle="1">
    <w:name w:val="标题3"/>
    <w:basedOn w:val="660"/>
    <w:next w:val="660"/>
    <w:qFormat/>
    <w:pPr>
      <w:ind w:firstLine="624"/>
      <w:spacing w:line="590" w:lineRule="atLeast"/>
    </w:pPr>
    <w:rPr>
      <w:rFonts w:ascii="方正黑体_GBK" w:eastAsia="方正黑体_GBK"/>
      <w:sz w:val="32"/>
      <w:szCs w:val="32"/>
    </w:rPr>
  </w:style>
  <w:style w:type="paragraph" w:styleId="935" w:customStyle="1">
    <w:name w:val="xl24"/>
    <w:basedOn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8"/>
    <w:basedOn w:val="6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7" w:customStyle="1">
    <w:name w:val="Char Char Char Char Char Char Char Char1"/>
    <w:basedOn w:val="660"/>
    <w:qFormat/>
    <w:pPr>
      <w:jc w:val="left"/>
      <w:spacing w:after="160" w:line="240" w:lineRule="exact"/>
      <w:widowControl/>
    </w:pPr>
    <w:rPr>
      <w:rFonts w:ascii="Verdana" w:hAnsi="Verdana"/>
      <w:sz w:val="20"/>
      <w:szCs w:val="20"/>
      <w:lang w:eastAsia="en-US"/>
    </w:rPr>
  </w:style>
  <w:style w:type="paragraph" w:styleId="938" w:customStyle="1">
    <w:name w:val="xl30"/>
    <w:basedOn w:val="660"/>
    <w:qFormat/>
    <w:pPr>
      <w:jc w:val="center"/>
      <w:spacing w:before="100" w:beforeAutospacing="1" w:after="100" w:afterAutospacing="1"/>
      <w:widowControl/>
    </w:pPr>
    <w:rPr>
      <w:rFonts w:ascii="宋体" w:hAnsi="宋体"/>
      <w:b/>
      <w:bCs/>
      <w:sz w:val="36"/>
      <w:szCs w:val="36"/>
    </w:rPr>
  </w:style>
  <w:style w:type="paragraph" w:styleId="939" w:customStyle="1">
    <w:name w:val="table_1stline"/>
    <w:basedOn w:val="660"/>
    <w:qFormat/>
    <w:pPr>
      <w:jc w:val="left"/>
      <w:spacing w:before="120"/>
      <w:widowControl/>
    </w:pPr>
    <w:rPr>
      <w:bCs/>
      <w:sz w:val="20"/>
      <w:szCs w:val="20"/>
      <w:lang w:val="de-DE" w:eastAsia="de-DE"/>
    </w:rPr>
  </w:style>
  <w:style w:type="paragraph" w:styleId="940" w:customStyle="1">
    <w:name w:val="font5"/>
    <w:basedOn w:val="660"/>
    <w:qFormat/>
    <w:pPr>
      <w:jc w:val="left"/>
      <w:spacing w:before="100" w:beforeAutospacing="1" w:after="100" w:afterAutospacing="1"/>
      <w:widowControl/>
    </w:pPr>
    <w:rPr>
      <w:rFonts w:hint="eastAsia" w:ascii="宋体" w:hAnsi="宋体"/>
      <w:sz w:val="28"/>
      <w:szCs w:val="28"/>
    </w:rPr>
  </w:style>
  <w:style w:type="paragraph" w:styleId="941" w:customStyle="1">
    <w:name w:val="标题1"/>
    <w:basedOn w:val="660"/>
    <w:next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42" w:customStyle="1">
    <w:name w:val="修订1"/>
    <w:uiPriority w:val="99"/>
    <w:semiHidden/>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张倩</cp:lastModifiedBy>
  <cp:revision>19</cp:revision>
  <dcterms:created xsi:type="dcterms:W3CDTF">2023-03-16T02:16:00Z</dcterms:created>
  <dcterms:modified xsi:type="dcterms:W3CDTF">2026-03-31T08:14:31Z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eyJoZGlkIjoiNDIwYTg5MmJlZmMyYmIyY2JiNDcwMTYyYTViZTU3NTgiLCJ1c2VySWQiOiI2MDQzNzkxNzUifQ==</vt:lpwstr>
  </property>
  <property fmtid="{D5CDD505-2E9C-101B-9397-08002B2CF9AE}" pid="3" name="KSOProductBuildVer">
    <vt:lpwstr>2052-12.1.0.25835</vt:lpwstr>
  </property>
  <property fmtid="{D5CDD505-2E9C-101B-9397-08002B2CF9AE}" pid="4" name="ICV">
    <vt:lpwstr>2A992D2DE07447989DF0BF0324D8BC83_13</vt:lpwstr>
  </property>
</Properties>
</file>