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t xml:space="preserve">常州市政府采购项目</w:t>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sz w:val="44"/>
          <w:szCs w:val="44"/>
          <w:highlight w:val="none"/>
        </w:rPr>
      </w:pPr>
      <w:r>
        <w:rPr>
          <w:rFonts w:hint="eastAsia" w:ascii="仿宋" w:hAnsi="仿宋" w:eastAsia="仿宋" w:cs="仿宋"/>
          <w:b/>
          <w:bCs/>
          <w:sz w:val="60"/>
          <w:szCs w:val="60"/>
          <w:highlight w:val="none"/>
        </w:rPr>
        <w:t xml:space="preserve">公开招标文件</w:t>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tbl>
      <w:tblPr>
        <w:tblStyle w:val="1007"/>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bookmarkStart w:id="0" w:name="_Hlk138827153"/>
            <w:r>
              <w:rPr>
                <w:rFonts w:hint="eastAsia" w:ascii="仿宋" w:hAnsi="仿宋" w:eastAsia="仿宋" w:cs="仿宋"/>
                <w:bCs/>
                <w:sz w:val="32"/>
                <w:szCs w:val="32"/>
                <w:highlight w:val="none"/>
              </w:rPr>
              <w:t xml:space="preserve">项 目 名 称：</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新北区人民医院项目一期气动物流设备采购</w:t>
            </w:r>
            <w:bookmarkEnd w:id="0"/>
            <w:r/>
            <w:r/>
          </w:p>
        </w:tc>
      </w:tr>
      <w:tr>
        <w:trPr>
          <w:jc w:val="center"/>
          <w:trHeight w:val="84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编 号：</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lang w:eastAsia="zh-CN"/>
              </w:rPr>
            </w:pPr>
            <w:r>
              <w:rPr>
                <w:rFonts w:hint="eastAsia" w:ascii="仿宋" w:hAnsi="仿宋" w:eastAsia="仿宋" w:cs="仿宋"/>
                <w:b/>
                <w:sz w:val="32"/>
                <w:szCs w:val="32"/>
                <w:highlight w:val="none"/>
                <w:u w:val="single"/>
                <w:lang w:eastAsia="zh-CN"/>
              </w:rPr>
              <w:t xml:space="preserve">JSZC-320411-SCJX-G2026-0005</w:t>
            </w:r>
            <w:r/>
          </w:p>
        </w:tc>
      </w:tr>
      <w:tr>
        <w:trPr>
          <w:jc w:val="center"/>
          <w:trHeight w:val="98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采   购  人：</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常州国家高新技术产业开发区(新北区)卫生健康局</w:t>
            </w:r>
            <w:r/>
          </w:p>
        </w:tc>
      </w:tr>
      <w:tr>
        <w:trPr>
          <w:jc w:val="center"/>
          <w:trHeight w:val="995"/>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采购代理机构：</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江苏城建校工程咨询有限公司</w:t>
            </w:r>
            <w:r/>
          </w:p>
        </w:tc>
      </w:tr>
    </w:tbl>
    <w:p>
      <w:pPr>
        <w:jc w:val="center"/>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jc w:val="center"/>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二〇二六年</w:t>
      </w:r>
      <w:r>
        <w:rPr>
          <w:rFonts w:hint="eastAsia" w:ascii="仿宋" w:hAnsi="仿宋" w:eastAsia="仿宋" w:cs="仿宋"/>
          <w:b/>
          <w:sz w:val="36"/>
          <w:szCs w:val="36"/>
          <w:highlight w:val="none"/>
          <w:lang w:val="en-US" w:eastAsia="zh-CN"/>
        </w:rPr>
        <w:t xml:space="preserve">三</w:t>
      </w:r>
      <w:r>
        <w:rPr>
          <w:rFonts w:hint="eastAsia" w:ascii="仿宋" w:hAnsi="仿宋" w:eastAsia="仿宋" w:cs="仿宋"/>
          <w:b/>
          <w:sz w:val="36"/>
          <w:szCs w:val="36"/>
          <w:highlight w:val="none"/>
        </w:rPr>
        <w:t xml:space="preserve">月</w:t>
      </w:r>
      <w:r/>
    </w:p>
    <w:p>
      <w:pPr>
        <w:ind w:firstLine="7228"/>
        <w:spacing w:line="360" w:lineRule="auto"/>
        <w:rPr>
          <w:rFonts w:hint="eastAsia" w:ascii="仿宋" w:hAnsi="仿宋" w:eastAsia="仿宋" w:cs="仿宋"/>
          <w:b/>
          <w:sz w:val="72"/>
          <w:highlight w:val="none"/>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仿宋" w:hAnsi="仿宋" w:eastAsia="仿宋" w:cs="仿宋"/>
          <w:b/>
          <w:sz w:val="72"/>
          <w:highlight w:val="none"/>
        </w:rPr>
      </w:r>
      <w:r/>
    </w:p>
    <w:p>
      <w:pPr>
        <w:jc w:val="center"/>
        <w:spacing w:line="360" w:lineRule="auto"/>
        <w:rPr>
          <w:rFonts w:hint="eastAsia" w:ascii="仿宋" w:hAnsi="仿宋" w:eastAsia="仿宋" w:cs="仿宋"/>
          <w:b/>
          <w:sz w:val="36"/>
          <w:szCs w:val="36"/>
          <w:highlight w:val="none"/>
        </w:rPr>
        <w:outlineLvl w:val="0"/>
      </w:pPr>
      <w:r/>
      <w:bookmarkStart w:id="1" w:name="_Toc99301418"/>
      <w:r/>
      <w:bookmarkStart w:id="2" w:name="_Toc108044427"/>
      <w:r/>
      <w:r/>
    </w:p>
    <w:p>
      <w:pPr>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目    录</w:t>
      </w:r>
      <w:bookmarkEnd w:id="1"/>
      <w:r/>
      <w:bookmarkEnd w:id="2"/>
      <w:r/>
      <w:r/>
    </w:p>
    <w:p>
      <w:pPr>
        <w:rPr>
          <w:rFonts w:hint="eastAsia" w:ascii="仿宋" w:hAnsi="仿宋" w:eastAsia="仿宋" w:cs="仿宋"/>
          <w:highlight w:val="none"/>
        </w:rPr>
      </w:pPr>
      <w:r>
        <w:rPr>
          <w:rFonts w:hint="eastAsia" w:ascii="仿宋" w:hAnsi="仿宋" w:eastAsia="仿宋" w:cs="仿宋"/>
          <w:highlight w:val="none"/>
        </w:rPr>
      </w:r>
      <w:r/>
    </w:p>
    <w:p>
      <w:pPr>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rFonts w:hint="eastAsia" w:ascii="仿宋" w:hAnsi="仿宋" w:eastAsia="仿宋" w:cs="仿宋"/>
          <w:b w:val="0"/>
          <w:sz w:val="28"/>
          <w:szCs w:val="28"/>
          <w:highlight w:val="none"/>
        </w:rPr>
        <w:fldChar w:fldCharType="begin"/>
      </w:r>
      <w:r>
        <w:rPr>
          <w:rFonts w:hint="eastAsia" w:ascii="仿宋" w:hAnsi="仿宋" w:eastAsia="仿宋" w:cs="仿宋"/>
          <w:b w:val="0"/>
          <w:sz w:val="28"/>
          <w:szCs w:val="28"/>
          <w:highlight w:val="none"/>
        </w:rPr>
        <w:instrText xml:space="preserve"> TOC \o "1-1" \h \z \u </w:instrText>
      </w:r>
      <w:r>
        <w:rPr>
          <w:rFonts w:hint="eastAsia" w:ascii="仿宋" w:hAnsi="仿宋" w:eastAsia="仿宋" w:cs="仿宋"/>
          <w:b w:val="0"/>
          <w:sz w:val="28"/>
          <w:szCs w:val="28"/>
          <w:highlight w:val="none"/>
        </w:rPr>
        <w:fldChar w:fldCharType="separate"/>
      </w:r>
      <w:r>
        <w:rPr>
          <w:highlight w:val="none"/>
        </w:rPr>
        <w:fldChar w:fldCharType="begin"/>
      </w:r>
      <w:r>
        <w:rPr>
          <w:highlight w:val="none"/>
        </w:rPr>
        <w:instrText xml:space="preserve"> HYPERLINK \l "_Toc17049" </w:instrText>
      </w:r>
      <w:r>
        <w:rPr>
          <w:highlight w:val="none"/>
        </w:rPr>
        <w:fldChar w:fldCharType="separate"/>
      </w:r>
      <w:r>
        <w:rPr>
          <w:rFonts w:hint="eastAsia" w:ascii="仿宋" w:hAnsi="仿宋" w:eastAsia="仿宋" w:cs="仿宋"/>
          <w:sz w:val="28"/>
          <w:szCs w:val="28"/>
          <w:highlight w:val="none"/>
        </w:rPr>
        <w:t xml:space="preserve">第一章   投标邀请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_Toc17049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"_Toc13222" </w:instrText>
      </w:r>
      <w:r>
        <w:rPr>
          <w:highlight w:val="none"/>
        </w:rPr>
        <w:fldChar w:fldCharType="separate"/>
      </w:r>
      <w:r>
        <w:rPr>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_Toc13222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"_Toc25537" </w:instrText>
      </w:r>
      <w:r>
        <w:rPr>
          <w:highlight w:val="none"/>
        </w:rPr>
        <w:fldChar w:fldCharType="separate"/>
      </w:r>
      <w:r>
        <w:rPr>
          <w:rFonts w:hint="eastAsia" w:ascii="仿宋" w:hAnsi="仿宋" w:eastAsia="仿宋" w:cs="仿宋"/>
          <w:sz w:val="28"/>
          <w:szCs w:val="28"/>
          <w:highlight w:val="none"/>
        </w:rPr>
        <w:t xml:space="preserve">第三章   资格审查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_Toc25537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"_Toc27609" </w:instrText>
      </w:r>
      <w:r>
        <w:rPr>
          <w:highlight w:val="none"/>
        </w:rPr>
        <w:fldChar w:fldCharType="separate"/>
      </w:r>
      <w:r>
        <w:rPr>
          <w:rFonts w:hint="eastAsia" w:ascii="仿宋" w:hAnsi="仿宋" w:eastAsia="仿宋" w:cs="仿宋"/>
          <w:sz w:val="28"/>
          <w:szCs w:val="28"/>
          <w:highlight w:val="none"/>
        </w:rPr>
        <w:t xml:space="preserve">第四章   评标程序、评标方法和评标标准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_Toc27609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"_Toc25545" </w:instrText>
      </w:r>
      <w:r>
        <w:rPr>
          <w:highlight w:val="none"/>
        </w:rPr>
        <w:fldChar w:fldCharType="separate"/>
      </w:r>
      <w:r>
        <w:rPr>
          <w:rFonts w:hint="eastAsia" w:ascii="仿宋" w:hAnsi="仿宋" w:eastAsia="仿宋" w:cs="仿宋"/>
          <w:sz w:val="28"/>
          <w:szCs w:val="28"/>
          <w:highlight w:val="none"/>
        </w:rPr>
        <w:t xml:space="preserve">第五章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_Toc25545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"_Toc32511" </w:instrText>
      </w:r>
      <w:r>
        <w:rPr>
          <w:highlight w:val="none"/>
        </w:rPr>
        <w:fldChar w:fldCharType="separate"/>
      </w:r>
      <w:r>
        <w:rPr>
          <w:rFonts w:hint="eastAsia" w:ascii="仿宋" w:hAnsi="仿宋" w:eastAsia="仿宋" w:cs="仿宋"/>
          <w:sz w:val="28"/>
          <w:szCs w:val="28"/>
          <w:highlight w:val="none"/>
        </w:rPr>
        <w:t xml:space="preserve">第六章   拟签订的合同文本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_Toc32511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tabs>
          <w:tab w:val="clear" w:pos="1050" w:leader="none"/>
          <w:tab w:val="clear" w:pos="8937" w:leader="none"/>
          <w:tab w:val="right" w:pos="9747" w:leader="dot"/>
        </w:tabs>
        <w:rPr>
          <w:rFonts w:hint="eastAsia" w:ascii="仿宋" w:hAnsi="仿宋" w:eastAsia="仿宋" w:cs="仿宋"/>
          <w:highlight w:val="none"/>
        </w:rPr>
      </w:pPr>
      <w:r>
        <w:rPr>
          <w:highlight w:val="none"/>
        </w:rPr>
        <w:fldChar w:fldCharType="begin"/>
      </w:r>
      <w:r>
        <w:rPr>
          <w:highlight w:val="none"/>
        </w:rPr>
        <w:instrText xml:space="preserve"> HYPERLINK \l "_Toc19395" </w:instrText>
      </w:r>
      <w:r>
        <w:rPr>
          <w:highlight w:val="none"/>
        </w:rPr>
        <w:fldChar w:fldCharType="separate"/>
      </w:r>
      <w:r>
        <w:rPr>
          <w:rFonts w:hint="eastAsia" w:ascii="仿宋" w:hAnsi="仿宋" w:eastAsia="仿宋" w:cs="仿宋"/>
          <w:sz w:val="28"/>
          <w:szCs w:val="28"/>
          <w:highlight w:val="none"/>
        </w:rPr>
        <w:t xml:space="preserve">第七章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_Toc19395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028"/>
        <w:spacing w:line="480" w:lineRule="auto"/>
        <w:rPr>
          <w:rFonts w:hint="eastAsia" w:ascii="仿宋" w:hAnsi="仿宋" w:eastAsia="仿宋" w:cs="仿宋"/>
          <w:b w:val="0"/>
          <w:sz w:val="28"/>
          <w:szCs w:val="28"/>
          <w:highlight w:val="none"/>
        </w:rPr>
      </w:pPr>
      <w:r>
        <w:rPr>
          <w:rFonts w:hint="eastAsia" w:ascii="仿宋" w:hAnsi="仿宋" w:eastAsia="仿宋" w:cs="仿宋"/>
          <w:szCs w:val="28"/>
          <w:highlight w:val="none"/>
        </w:rPr>
        <w:fldChar w:fldCharType="end"/>
      </w:r>
      <w:r/>
    </w:p>
    <w:p>
      <w:pPr>
        <w:jc w:val="center"/>
        <w:spacing w:line="360" w:lineRule="auto"/>
        <w:rPr>
          <w:rFonts w:hint="eastAsia" w:ascii="仿宋" w:hAnsi="仿宋" w:eastAsia="仿宋" w:cs="仿宋"/>
          <w:b/>
          <w:sz w:val="36"/>
          <w:szCs w:val="36"/>
          <w:highlight w:val="none"/>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720" w:equalWidth="1"/>
          <w:docGrid w:linePitch="360"/>
          <w:titlePg/>
        </w:sectPr>
        <w:outlineLvl w:val="0"/>
      </w:pPr>
      <w:r>
        <w:rPr>
          <w:rFonts w:hint="eastAsia" w:ascii="仿宋" w:hAnsi="仿宋" w:eastAsia="仿宋" w:cs="仿宋"/>
          <w:b/>
          <w:sz w:val="36"/>
          <w:szCs w:val="36"/>
          <w:highlight w:val="none"/>
        </w:rPr>
      </w:r>
      <w:r/>
    </w:p>
    <w:p>
      <w:pPr>
        <w:pStyle w:val="997"/>
        <w:rPr>
          <w:rFonts w:hint="eastAsia" w:ascii="仿宋" w:hAnsi="仿宋" w:eastAsia="仿宋" w:cs="仿宋"/>
          <w:szCs w:val="32"/>
          <w:highlight w:val="none"/>
        </w:rPr>
      </w:pPr>
      <w:r/>
      <w:bookmarkStart w:id="3" w:name="_Toc17049"/>
      <w:r>
        <w:rPr>
          <w:rFonts w:hint="eastAsia" w:ascii="仿宋" w:hAnsi="仿宋" w:eastAsia="仿宋" w:cs="仿宋"/>
          <w:szCs w:val="32"/>
          <w:highlight w:val="none"/>
        </w:rPr>
        <w:t xml:space="preserve">第一章   投标邀请</w:t>
      </w:r>
      <w:bookmarkEnd w:id="3"/>
      <w:r/>
      <w:r/>
    </w:p>
    <w:p>
      <w:pPr>
        <w:pStyle w:val="998"/>
        <w:jc w:val="left"/>
        <w:spacing w:before="0" w:line="360" w:lineRule="auto"/>
        <w:rPr>
          <w:rFonts w:hint="eastAsia" w:ascii="仿宋" w:hAnsi="仿宋" w:eastAsia="仿宋" w:cs="仿宋"/>
          <w:sz w:val="21"/>
          <w:szCs w:val="21"/>
          <w:highlight w:val="none"/>
        </w:rPr>
      </w:pPr>
      <w:r/>
      <w:bookmarkStart w:id="4" w:name="_Toc35393621"/>
      <w:r/>
      <w:bookmarkStart w:id="5" w:name="_Toc28359079"/>
      <w:r/>
      <w:bookmarkStart w:id="6" w:name="_Toc28359002"/>
      <w:r/>
      <w:bookmarkStart w:id="7" w:name="_Toc35393790"/>
      <w:r/>
      <w:bookmarkStart w:id="8" w:name="_Hlk24379207"/>
      <w:r/>
      <w:bookmarkStart w:id="9" w:name="_Hlk139626825"/>
      <w:r/>
      <w:bookmarkStart w:id="10" w:name="_Hlk138939735"/>
      <w:r>
        <w:rPr>
          <w:rFonts w:hint="eastAsia" w:ascii="仿宋" w:hAnsi="仿宋" w:eastAsia="仿宋" w:cs="仿宋"/>
          <w:sz w:val="21"/>
          <w:szCs w:val="21"/>
          <w:highlight w:val="none"/>
        </w:rPr>
        <w:t xml:space="preserve">一、项目基本情况</w:t>
      </w:r>
      <w:bookmarkEnd w:id="4"/>
      <w:r/>
      <w:bookmarkEnd w:id="5"/>
      <w:r/>
      <w:bookmarkEnd w:id="6"/>
      <w:r/>
      <w:bookmarkEnd w:id="7"/>
      <w:r/>
      <w:r/>
    </w:p>
    <w:p>
      <w:pPr>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1.项目编号/包号：</w:t>
      </w:r>
      <w:r>
        <w:rPr>
          <w:rFonts w:hint="eastAsia" w:ascii="仿宋" w:hAnsi="仿宋" w:eastAsia="仿宋" w:cs="仿宋"/>
          <w:szCs w:val="21"/>
          <w:highlight w:val="none"/>
          <w:lang w:eastAsia="zh-CN"/>
        </w:rPr>
        <w:t xml:space="preserve">JSZC-320411-SCJX-G2026-0005</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2.项目名称：</w:t>
      </w:r>
      <w:bookmarkEnd w:id="8"/>
      <w:r>
        <w:rPr>
          <w:rFonts w:hint="eastAsia" w:ascii="仿宋" w:hAnsi="仿宋" w:eastAsia="仿宋" w:cs="仿宋"/>
          <w:szCs w:val="21"/>
          <w:highlight w:val="none"/>
        </w:rPr>
        <w:t xml:space="preserve">新北区人民医院项目一期气动物流设备采购</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3.项目预算金额：256万元；</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项目最高限价：</w:t>
      </w:r>
      <w:bookmarkStart w:id="11" w:name="_Hlk170393484"/>
      <w:r>
        <w:rPr>
          <w:rFonts w:hint="eastAsia" w:ascii="仿宋" w:hAnsi="仿宋" w:eastAsia="仿宋" w:cs="仿宋"/>
          <w:b/>
          <w:bCs/>
          <w:szCs w:val="21"/>
          <w:highlight w:val="none"/>
        </w:rPr>
        <w:t xml:space="preserve">2560000元；投标报价不得高于最高限价，否则将作为无效投标。</w:t>
      </w:r>
      <w:bookmarkEnd w:id="11"/>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4.采购需求（简介）：</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常州市新北区人民医院项目一期气动物流设备采购，包括但不限于气动物流传输系统（设置16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5.合同履行期限：接采购人通知后180日内完成供货、安装，于2027年12月25日前完成调试、验收合格并具备使用条件，且不得影响项目整体竣工验收。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6.本项目是否接受联合体投标：不接受。</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7.本项目是否接受进口产品投标：不接受。</w:t>
      </w:r>
      <w:r/>
    </w:p>
    <w:p>
      <w:pPr>
        <w:pStyle w:val="998"/>
        <w:jc w:val="left"/>
        <w:spacing w:before="0" w:line="360" w:lineRule="auto"/>
        <w:rPr>
          <w:rFonts w:hint="eastAsia" w:ascii="仿宋" w:hAnsi="仿宋" w:eastAsia="仿宋" w:cs="仿宋"/>
          <w:sz w:val="21"/>
          <w:szCs w:val="21"/>
          <w:highlight w:val="none"/>
        </w:rPr>
      </w:pPr>
      <w:r/>
      <w:bookmarkStart w:id="12" w:name="_Toc28359003"/>
      <w:r/>
      <w:bookmarkStart w:id="13" w:name="_Toc28359080"/>
      <w:r/>
      <w:bookmarkStart w:id="14" w:name="_Toc35393622"/>
      <w:r/>
      <w:bookmarkStart w:id="15" w:name="_Toc35393791"/>
      <w:r>
        <w:rPr>
          <w:rFonts w:hint="eastAsia" w:ascii="仿宋" w:hAnsi="仿宋" w:eastAsia="仿宋" w:cs="仿宋"/>
          <w:sz w:val="21"/>
          <w:szCs w:val="21"/>
          <w:highlight w:val="none"/>
        </w:rPr>
        <w:t xml:space="preserve">二、申请人的资格要求（须同时满足）</w:t>
      </w:r>
      <w:bookmarkEnd w:id="12"/>
      <w:r/>
      <w:bookmarkEnd w:id="13"/>
      <w:r/>
      <w:bookmarkEnd w:id="14"/>
      <w:r/>
      <w:bookmarkEnd w:id="15"/>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1.满足《中华人民共和国政府采购法》第二十二条规定以及下列情形：</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仿宋" w:hAnsi="仿宋" w:eastAsia="仿宋" w:cs="仿宋"/>
          <w:szCs w:val="21"/>
          <w:highlight w:val="none"/>
        </w:rPr>
      </w:pPr>
      <w:r/>
      <w:bookmarkStart w:id="16" w:name="_Toc28359081"/>
      <w:r/>
      <w:bookmarkStart w:id="17" w:name="_Toc28359004"/>
      <w:r>
        <w:rPr>
          <w:rFonts w:hint="eastAsia" w:ascii="仿宋" w:hAnsi="仿宋" w:eastAsia="仿宋" w:cs="仿宋"/>
          <w:szCs w:val="21"/>
          <w:highlight w:val="none"/>
        </w:rPr>
        <w:t xml:space="preserve">2.落实政府采购政策需满足的资格要求：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 中小企业政策（说明：中小企业包含中型、小型、微型企业，小微企业包含小型、微型企业）</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本项目不专门面向中小、小微企业采购。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其它落实政府采购政策的资格要求（如有）：</w:t>
      </w:r>
      <w:r>
        <w:rPr>
          <w:rFonts w:hint="eastAsia" w:ascii="仿宋" w:hAnsi="仿宋" w:eastAsia="仿宋" w:cs="仿宋"/>
          <w:szCs w:val="21"/>
          <w:highlight w:val="none"/>
          <w:u w:val="single"/>
        </w:rPr>
        <w:t xml:space="preserve">无</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i/>
          <w:iCs/>
          <w:szCs w:val="21"/>
          <w:highlight w:val="none"/>
          <w:u w:val="single"/>
        </w:rPr>
      </w:pPr>
      <w:r>
        <w:rPr>
          <w:rFonts w:hint="eastAsia" w:ascii="仿宋" w:hAnsi="仿宋" w:eastAsia="仿宋" w:cs="仿宋"/>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3.1本项目是否接受分支机构参与投标：否； </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3.2本项目是否属于政府购买服务：否；</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3.3其他特定资格要求：</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bookmarkEnd w:id="16"/>
      <w:r/>
      <w:bookmarkEnd w:id="17"/>
      <w:r/>
      <w:r/>
    </w:p>
    <w:p>
      <w:pPr>
        <w:pStyle w:val="998"/>
        <w:jc w:val="left"/>
        <w:spacing w:before="0" w:line="360" w:lineRule="auto"/>
        <w:widowControl/>
        <w:rPr>
          <w:rFonts w:hint="eastAsia" w:ascii="仿宋" w:hAnsi="仿宋" w:eastAsia="仿宋" w:cs="仿宋"/>
          <w:sz w:val="21"/>
          <w:szCs w:val="21"/>
          <w:highlight w:val="none"/>
        </w:rPr>
      </w:pPr>
      <w:r/>
      <w:bookmarkStart w:id="18" w:name="_Toc35393623"/>
      <w:r/>
      <w:bookmarkStart w:id="19" w:name="_Toc35393792"/>
      <w:r>
        <w:rPr>
          <w:rFonts w:hint="eastAsia" w:ascii="仿宋" w:hAnsi="仿宋" w:eastAsia="仿宋" w:cs="仿宋"/>
          <w:sz w:val="21"/>
          <w:szCs w:val="21"/>
          <w:highlight w:val="none"/>
        </w:rPr>
        <w:t xml:space="preserve">三、获取招标文件</w:t>
      </w:r>
      <w:bookmarkEnd w:id="18"/>
      <w:r/>
      <w:bookmarkEnd w:id="19"/>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bookmarkStart w:id="20" w:name="_Toc35393796"/>
      <w:r/>
      <w:bookmarkStart w:id="21" w:name="_Toc35393627"/>
      <w:r/>
      <w:bookmarkStart w:id="22" w:name="_Toc28359008"/>
      <w:r/>
      <w:bookmarkStart w:id="23" w:name="_Toc28359085"/>
      <w:r>
        <w:rPr>
          <w:rFonts w:hint="eastAsia" w:ascii="仿宋" w:hAnsi="仿宋" w:eastAsia="仿宋" w:cs="仿宋"/>
          <w:b/>
          <w:bCs/>
          <w:szCs w:val="21"/>
          <w:highlight w:val="none"/>
        </w:rPr>
        <w:t xml:space="preserve">1.时间：公告发布之日起至2026年</w:t>
      </w:r>
      <w:r>
        <w:rPr>
          <w:rFonts w:hint="eastAsia" w:ascii="仿宋" w:hAnsi="仿宋" w:eastAsia="仿宋" w:cs="仿宋"/>
          <w:b/>
          <w:bCs/>
          <w:szCs w:val="21"/>
          <w:highlight w:val="none"/>
          <w:lang w:val="en-US" w:eastAsia="zh-CN"/>
        </w:rPr>
        <w:t xml:space="preserve">3</w:t>
      </w:r>
      <w:r>
        <w:rPr>
          <w:rFonts w:hint="eastAsia" w:ascii="仿宋" w:hAnsi="仿宋" w:eastAsia="仿宋" w:cs="仿宋"/>
          <w:b/>
          <w:bCs/>
          <w:szCs w:val="21"/>
          <w:highlight w:val="none"/>
        </w:rPr>
        <w:t xml:space="preserve">月</w:t>
      </w:r>
      <w:r>
        <w:rPr>
          <w:rFonts w:hint="eastAsia" w:ascii="仿宋" w:hAnsi="仿宋" w:eastAsia="仿宋" w:cs="仿宋"/>
          <w:b/>
          <w:bCs/>
          <w:szCs w:val="21"/>
          <w:highlight w:val="none"/>
          <w:lang w:val="en-US" w:eastAsia="zh-CN"/>
        </w:rPr>
        <w:t xml:space="preserve">24</w:t>
      </w:r>
      <w:r>
        <w:rPr>
          <w:rFonts w:hint="eastAsia" w:ascii="仿宋" w:hAnsi="仿宋" w:eastAsia="仿宋" w:cs="仿宋"/>
          <w:b/>
          <w:bCs/>
          <w:szCs w:val="21"/>
          <w:highlight w:val="none"/>
        </w:rPr>
        <w:t xml:space="preserve">日下午23：59（北京时间）</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2.地点：“苏采云”政府采购一体化平台</w:t>
      </w:r>
      <w:r/>
    </w:p>
    <w:p>
      <w:pPr>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3.方式：“苏采云”政府采购一体化平台自行免费下载。</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4.售价： 0 元。</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四、提交投标文件截止时间、开标时间和地点</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投标截止时间、开标时间：</w:t>
      </w:r>
      <w:r>
        <w:rPr>
          <w:rFonts w:hint="eastAsia" w:ascii="仿宋" w:hAnsi="仿宋" w:eastAsia="仿宋" w:cs="仿宋"/>
          <w:b/>
          <w:bCs/>
          <w:color w:val="ff0000"/>
          <w:szCs w:val="21"/>
          <w:highlight w:val="none"/>
        </w:rPr>
        <w:t xml:space="preserve">2026年</w:t>
      </w:r>
      <w:r>
        <w:rPr>
          <w:rFonts w:hint="eastAsia" w:ascii="仿宋" w:hAnsi="仿宋" w:eastAsia="仿宋" w:cs="仿宋"/>
          <w:b/>
          <w:bCs/>
          <w:color w:val="ff0000"/>
          <w:szCs w:val="21"/>
          <w:highlight w:val="none"/>
          <w:lang w:val="en-US" w:eastAsia="zh-CN"/>
        </w:rPr>
        <w:t xml:space="preserve">4</w:t>
      </w:r>
      <w:r>
        <w:rPr>
          <w:rFonts w:hint="eastAsia" w:ascii="仿宋" w:hAnsi="仿宋" w:eastAsia="仿宋" w:cs="仿宋"/>
          <w:b/>
          <w:bCs/>
          <w:color w:val="ff0000"/>
          <w:szCs w:val="21"/>
          <w:highlight w:val="none"/>
        </w:rPr>
        <w:t xml:space="preserve">月</w:t>
      </w:r>
      <w:r>
        <w:rPr>
          <w:rFonts w:hint="eastAsia" w:ascii="仿宋" w:hAnsi="仿宋" w:eastAsia="仿宋" w:cs="仿宋"/>
          <w:b/>
          <w:bCs/>
          <w:color w:val="ff0000"/>
          <w:szCs w:val="21"/>
          <w:highlight w:val="none"/>
          <w:lang w:val="en-US" w:eastAsia="zh-CN"/>
        </w:rPr>
        <w:t xml:space="preserve">16</w:t>
      </w:r>
      <w:r>
        <w:rPr>
          <w:rFonts w:hint="eastAsia" w:ascii="仿宋" w:hAnsi="仿宋" w:eastAsia="仿宋" w:cs="仿宋"/>
          <w:b/>
          <w:bCs/>
          <w:color w:val="ff0000"/>
          <w:szCs w:val="21"/>
          <w:highlight w:val="none"/>
        </w:rPr>
        <w:t xml:space="preserve">日09点30分</w:t>
      </w:r>
      <w:r>
        <w:rPr>
          <w:rFonts w:hint="eastAsia" w:ascii="仿宋" w:hAnsi="仿宋" w:eastAsia="仿宋" w:cs="仿宋"/>
          <w:b/>
          <w:bCs/>
          <w:szCs w:val="21"/>
          <w:highlight w:val="none"/>
        </w:rPr>
        <w:t xml:space="preserve">（北京时间）。</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地点：“苏采云”政府采购一体化平台。</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五、公告期限</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Cs/>
          <w:szCs w:val="21"/>
          <w:highlight w:val="none"/>
        </w:rPr>
        <w:t xml:space="preserve">本公告发布之日起5个工作日。</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
          <w:szCs w:val="21"/>
          <w:highlight w:val="none"/>
        </w:rPr>
        <w:t xml:space="preserve">六、其他补充事宜</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Cs/>
          <w:szCs w:val="21"/>
          <w:highlight w:val="none"/>
        </w:rPr>
        <w:t xml:space="preserve">1.本项目需要落实的政府采购政策：无。 </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2.根据省财政厅《关于</w:t>
      </w:r>
      <w:r>
        <w:rPr>
          <w:rFonts w:hint="eastAsia" w:ascii="仿宋" w:hAnsi="仿宋" w:eastAsia="仿宋" w:cs="仿宋"/>
          <w:b/>
          <w:bCs/>
          <w:szCs w:val="21"/>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3.本项目不满3家投标报名，将重新组织采购。</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4.关于常州市中小企业政府采购信用融资：</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rPr>
        <w:t xml:space="preserve">5.</w:t>
      </w:r>
      <w:r>
        <w:rPr>
          <w:rFonts w:hint="eastAsia" w:ascii="仿宋" w:hAnsi="仿宋" w:eastAsia="仿宋" w:cs="仿宋"/>
          <w:szCs w:val="21"/>
          <w:highlight w:val="none"/>
          <w:lang w:val="zh-TW"/>
        </w:rPr>
        <w:t xml:space="preserve">有关本次</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TW"/>
        </w:rPr>
        <w:t xml:space="preserve">的事项若存在变动或修改，敬请及时关注 “江苏政府采购网、常州市政府采购网”发布的更正公告。</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6.特别说明：因工作需要，本次采购项目涉及的单位及个人相关信息已经取得机构或本人同意后对外公布。</w:t>
      </w:r>
      <w:r/>
    </w:p>
    <w:p>
      <w:pPr>
        <w:contextualSpacing/>
        <w:jc w:val="left"/>
        <w:spacing w:line="360" w:lineRule="auto"/>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rPr>
        <w:t xml:space="preserve">七、对本次招标提出询问，请按以下方式联系。</w:t>
      </w:r>
      <w:bookmarkEnd w:id="9"/>
      <w:r/>
      <w:bookmarkEnd w:id="20"/>
      <w:r/>
      <w:bookmarkEnd w:id="21"/>
      <w:r/>
      <w:bookmarkEnd w:id="22"/>
      <w:r/>
      <w:bookmarkEnd w:id="23"/>
      <w:r/>
      <w:r/>
    </w:p>
    <w:p>
      <w:pPr>
        <w:contextualSpacing/>
        <w:ind w:firstLine="420"/>
        <w:jc w:val="left"/>
        <w:spacing w:line="360" w:lineRule="auto"/>
        <w:widowControl/>
        <w:rPr>
          <w:rFonts w:hint="eastAsia" w:ascii="仿宋" w:hAnsi="仿宋" w:eastAsia="仿宋" w:cs="仿宋"/>
          <w:szCs w:val="21"/>
          <w:highlight w:val="none"/>
          <w:lang w:bidi="ar"/>
        </w:rPr>
      </w:pPr>
      <w:r/>
      <w:bookmarkStart w:id="24" w:name="_Toc305158854"/>
      <w:r/>
      <w:bookmarkStart w:id="25" w:name="_Toc305158928"/>
      <w:r/>
      <w:bookmarkStart w:id="26" w:name="_Toc127161488"/>
      <w:r/>
      <w:bookmarkStart w:id="27" w:name="_Toc353825548"/>
      <w:r/>
      <w:bookmarkStart w:id="28" w:name="_Toc264969275"/>
      <w:r/>
      <w:bookmarkStart w:id="29" w:name="_Toc127151777"/>
      <w:r/>
      <w:bookmarkStart w:id="30" w:name="_Toc195842950"/>
      <w:r/>
      <w:bookmarkStart w:id="31" w:name="_Toc226965856"/>
      <w:r/>
      <w:bookmarkStart w:id="32" w:name="_Toc265228423"/>
      <w:r/>
      <w:bookmarkStart w:id="33" w:name="_Toc512937850"/>
      <w:r/>
      <w:bookmarkStart w:id="34" w:name="_Toc353873938"/>
      <w:r/>
      <w:bookmarkStart w:id="35" w:name="_Toc150774783"/>
      <w:r>
        <w:rPr>
          <w:rFonts w:hint="eastAsia" w:ascii="仿宋" w:hAnsi="仿宋" w:eastAsia="仿宋" w:cs="仿宋"/>
          <w:szCs w:val="21"/>
          <w:highlight w:val="none"/>
          <w:lang w:bidi="ar"/>
        </w:rPr>
        <w:t xml:space="preserve">1.采购人信息</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名  称：常州国家高新技术产业开发区(新北区)卫生健康局</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地  址：常州市新北区崇信路8号</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联系人：章工</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联系方式：0519-81592135</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2.采购代理机构信息</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名  称：江苏城建校工程咨询有限公司</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地　址：常州市清潭路85-2号</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联系方式：13585347085、0519-86908235-8305</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邮  箱：jscjxzb@163.com  　</w:t>
      </w:r>
      <w:r/>
    </w:p>
    <w:p>
      <w:pPr>
        <w:contextualSpacing/>
        <w:ind w:firstLine="420"/>
        <w:jc w:val="left"/>
        <w:spacing w:line="360" w:lineRule="auto"/>
        <w:widowControl/>
        <w:rPr>
          <w:rFonts w:hint="eastAsia" w:ascii="仿宋" w:hAnsi="仿宋" w:eastAsia="仿宋" w:cs="仿宋"/>
          <w:szCs w:val="21"/>
          <w:highlight w:val="none"/>
          <w:lang w:val="zh-TW" w:bidi="ar"/>
        </w:rPr>
      </w:pPr>
      <w:r/>
      <w:bookmarkStart w:id="36" w:name="_Toc35393808"/>
      <w:r/>
      <w:bookmarkStart w:id="37" w:name="_Toc35393639"/>
      <w:r/>
      <w:bookmarkStart w:id="38" w:name="_Toc63761646"/>
      <w:r/>
      <w:bookmarkStart w:id="39" w:name="_Toc28359021"/>
      <w:r/>
      <w:bookmarkStart w:id="40" w:name="_Toc45235310"/>
      <w:r/>
      <w:bookmarkStart w:id="41" w:name="_Toc28359098"/>
      <w:r/>
      <w:bookmarkStart w:id="42" w:name="_Toc45235156"/>
      <w:r/>
      <w:bookmarkStart w:id="43" w:name="_Toc63761585"/>
      <w:r>
        <w:rPr>
          <w:rFonts w:hint="eastAsia" w:ascii="仿宋" w:hAnsi="仿宋" w:eastAsia="仿宋" w:cs="仿宋"/>
          <w:szCs w:val="21"/>
          <w:highlight w:val="none"/>
          <w:lang w:val="zh-TW" w:bidi="ar"/>
        </w:rPr>
        <w:t xml:space="preserve">3.项目联系方式</w:t>
      </w:r>
      <w:bookmarkEnd w:id="36"/>
      <w:r/>
      <w:bookmarkEnd w:id="37"/>
      <w:r/>
      <w:bookmarkEnd w:id="38"/>
      <w:r/>
      <w:bookmarkEnd w:id="39"/>
      <w:r/>
      <w:bookmarkEnd w:id="40"/>
      <w:r/>
      <w:bookmarkEnd w:id="41"/>
      <w:r/>
      <w:bookmarkEnd w:id="42"/>
      <w:r/>
      <w:bookmarkEnd w:id="43"/>
      <w:r/>
      <w:r/>
    </w:p>
    <w:p>
      <w:pPr>
        <w:pStyle w:val="1009"/>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项目联系人：钱工</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bCs/>
          <w:szCs w:val="21"/>
          <w:highlight w:val="none"/>
        </w:rPr>
        <w:t xml:space="preserve">电　话：13585347085</w:t>
      </w:r>
      <w:r/>
    </w:p>
    <w:p>
      <w:pPr>
        <w:contextualSpacing/>
        <w:ind w:firstLine="420"/>
        <w:jc w:val="center"/>
        <w:spacing w:line="360" w:lineRule="auto"/>
        <w:widowControl/>
        <w:rPr>
          <w:rStyle w:val="1207"/>
          <w:rFonts w:hint="eastAsia" w:ascii="仿宋" w:hAnsi="仿宋" w:eastAsia="仿宋" w:cs="仿宋"/>
          <w:highlight w:val="none"/>
        </w:rPr>
      </w:pPr>
      <w:r>
        <w:rPr>
          <w:rFonts w:hint="eastAsia" w:ascii="仿宋" w:hAnsi="仿宋" w:eastAsia="仿宋" w:cs="仿宋"/>
          <w:szCs w:val="21"/>
          <w:highlight w:val="none"/>
          <w:lang w:val="zh-TW" w:bidi="ar"/>
        </w:rPr>
        <w:br w:type="page" w:clear="all"/>
      </w:r>
      <w:bookmarkEnd w:id="10"/>
      <w:r/>
      <w:bookmarkStart w:id="44" w:name="_Toc13222"/>
      <w:r>
        <w:rPr>
          <w:rStyle w:val="1207"/>
          <w:rFonts w:hint="eastAsia" w:ascii="仿宋" w:hAnsi="仿宋" w:eastAsia="仿宋" w:cs="仿宋"/>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44"/>
      <w:r/>
      <w:r/>
    </w:p>
    <w:p>
      <w:pPr>
        <w:pStyle w:val="998"/>
        <w:spacing w:before="0" w:line="360" w:lineRule="auto"/>
        <w:tabs>
          <w:tab w:val="center" w:pos="4592" w:leader="none"/>
          <w:tab w:val="left" w:pos="7860" w:leader="none"/>
        </w:tabs>
        <w:rPr>
          <w:rFonts w:hint="eastAsia" w:ascii="仿宋" w:hAnsi="仿宋" w:eastAsia="仿宋" w:cs="仿宋"/>
          <w:sz w:val="28"/>
          <w:highlight w:val="none"/>
        </w:rPr>
      </w:pPr>
      <w:r/>
      <w:bookmarkStart w:id="45" w:name="_Toc127151519"/>
      <w:r/>
      <w:bookmarkStart w:id="46" w:name="_Toc164229214"/>
      <w:r/>
      <w:bookmarkStart w:id="47" w:name="_Toc142311021"/>
      <w:r/>
      <w:bookmarkStart w:id="48" w:name="_Toc164608633"/>
      <w:r/>
      <w:bookmarkStart w:id="49" w:name="_Toc150774619"/>
      <w:r/>
      <w:bookmarkStart w:id="50" w:name="_Toc195842884"/>
      <w:r/>
      <w:bookmarkStart w:id="51" w:name="_Toc164608788"/>
      <w:r/>
      <w:bookmarkStart w:id="52" w:name="_Toc226965709"/>
      <w:r/>
      <w:bookmarkStart w:id="53" w:name="_Toc164351613"/>
      <w:r/>
      <w:bookmarkStart w:id="54" w:name="_Toc127151720"/>
      <w:r/>
      <w:bookmarkStart w:id="55" w:name="_Toc127161433"/>
      <w:r/>
      <w:bookmarkStart w:id="56" w:name="_Toc226337215"/>
      <w:r/>
      <w:bookmarkStart w:id="57" w:name="_Toc164229360"/>
      <w:r/>
      <w:bookmarkStart w:id="58" w:name="_Toc151193617"/>
      <w:r/>
      <w:bookmarkStart w:id="59" w:name="_Toc226965792"/>
      <w:r/>
      <w:bookmarkStart w:id="60" w:name="_Toc226309763"/>
      <w:r/>
      <w:bookmarkStart w:id="61" w:name="_Toc150774724"/>
      <w:r/>
      <w:bookmarkStart w:id="62" w:name="_Toc150480757"/>
      <w:r/>
      <w:bookmarkStart w:id="63" w:name="_Toc150509270"/>
      <w:r/>
      <w:bookmarkStart w:id="64" w:name="_Toc520356144"/>
      <w:r/>
      <w:bookmarkStart w:id="65" w:name="_Toc151193907"/>
      <w:r/>
      <w:bookmarkStart w:id="66" w:name="_Toc151193761"/>
      <w:r/>
      <w:bookmarkStart w:id="67" w:name="_Toc151190146"/>
      <w:r/>
      <w:bookmarkStart w:id="68" w:name="_Toc151193833"/>
      <w:r/>
      <w:bookmarkStart w:id="69" w:name="_Toc151193689"/>
      <w:r/>
      <w:bookmarkStart w:id="70" w:name="_Toc149720812"/>
      <w:r>
        <w:rPr>
          <w:rFonts w:hint="eastAsia" w:ascii="仿宋" w:hAnsi="仿宋" w:eastAsia="仿宋" w:cs="仿宋"/>
          <w:sz w:val="28"/>
          <w:highlight w:val="none"/>
        </w:rPr>
        <w:t xml:space="preserve">供应商须知资料表</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本表是对供应商须知的具体补充和修改，如有矛盾，均以本资料表为准。</w:t>
      </w:r>
      <w:r/>
    </w:p>
    <w:tbl>
      <w:tblPr>
        <w:tblStyle w:val="1007"/>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jc w:val="center"/>
          <w:trHeight w:val="90"/>
          <w:tblHeader/>
        </w:trPr>
        <w:tc>
          <w:tcPr>
            <w:tcW w:w="988"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szCs w:val="21"/>
                <w:highlight w:val="none"/>
              </w:rPr>
              <w:t xml:space="preserve">条款号</w:t>
            </w:r>
            <w:r/>
          </w:p>
        </w:tc>
        <w:tc>
          <w:tcPr>
            <w:tcW w:w="1701"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条  目</w:t>
            </w:r>
            <w:r/>
          </w:p>
        </w:tc>
        <w:tc>
          <w:tcPr>
            <w:tcW w:w="6532"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内     容</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项目属性</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项目属性：</w:t>
            </w:r>
            <w:r>
              <w:rPr>
                <w:rFonts w:hint="eastAsia" w:ascii="仿宋" w:hAnsi="仿宋" w:eastAsia="仿宋" w:cs="仿宋"/>
                <w:b/>
                <w:bCs/>
                <w:szCs w:val="21"/>
                <w:highlight w:val="none"/>
              </w:rPr>
              <w:t xml:space="preserve">货物</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2.3</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科研仪器设备</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是否属于科研仪器设备采购项目：否</w:t>
            </w:r>
            <w:r/>
          </w:p>
        </w:tc>
      </w:tr>
      <w:tr>
        <w:trPr>
          <w:jc w:val="center"/>
          <w:trHeight w:val="20"/>
        </w:trPr>
        <w:tc>
          <w:tcPr>
            <w:tcW w:w="988" w:type="dxa"/>
            <w:vAlign w:val="center"/>
            <w:textDirection w:val="lrTb"/>
            <w:noWrap w:val="false"/>
          </w:tcPr>
          <w:p>
            <w:pPr>
              <w:pStyle w:val="1020"/>
              <w:jc w:val="center"/>
              <w:rPr>
                <w:rFonts w:ascii="仿宋" w:hAnsi="仿宋" w:eastAsia="仿宋" w:cs="仿宋"/>
                <w:szCs w:val="21"/>
                <w:highlight w:val="none"/>
              </w:rPr>
            </w:pPr>
            <w:r>
              <w:rPr>
                <w:rFonts w:ascii="仿宋" w:hAnsi="仿宋" w:eastAsia="仿宋" w:cs="仿宋"/>
                <w:szCs w:val="21"/>
                <w:highlight w:val="none"/>
              </w:rPr>
              <w:t xml:space="preserve">2.4</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核心产品</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b/>
                <w:bCs/>
                <w:szCs w:val="21"/>
                <w:highlight w:val="none"/>
              </w:rPr>
              <w:t xml:space="preserve">本项目为非单一产品采购项目，核心产品为：</w:t>
            </w:r>
            <w:r>
              <w:rPr>
                <w:rFonts w:hint="eastAsia" w:ascii="仿宋" w:hAnsi="仿宋" w:eastAsia="仿宋" w:cs="仿宋"/>
                <w:b/>
                <w:bCs/>
                <w:szCs w:val="21"/>
                <w:highlight w:val="none"/>
                <w:u w:val="single"/>
              </w:rPr>
              <w:t xml:space="preserve">智能化站点</w:t>
            </w:r>
            <w:r>
              <w:rPr>
                <w:rFonts w:hint="eastAsia" w:ascii="仿宋" w:hAnsi="仿宋" w:eastAsia="仿宋" w:cs="仿宋"/>
                <w:b/>
                <w:bCs/>
                <w:szCs w:val="21"/>
                <w:highlight w:val="none"/>
              </w:rPr>
              <w:t xml:space="preserve">。</w:t>
            </w:r>
            <w:r/>
          </w:p>
        </w:tc>
      </w:tr>
      <w:tr>
        <w:trPr>
          <w:jc w:val="center"/>
          <w:trHeight w:val="20"/>
        </w:trPr>
        <w:tc>
          <w:tcPr>
            <w:tcW w:w="988" w:type="dxa"/>
            <w:vAlign w:val="center"/>
            <w:vMerge w:val="restart"/>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3.1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现场考察</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不组织</w:t>
            </w:r>
            <w:r/>
          </w:p>
        </w:tc>
      </w:tr>
      <w:tr>
        <w:trPr>
          <w:jc w:val="center"/>
          <w:trHeight w:val="20"/>
        </w:trPr>
        <w:tc>
          <w:tcPr>
            <w:tcW w:w="988" w:type="dxa"/>
            <w:vAlign w:val="center"/>
            <w:vMerge w:val="continue"/>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开标前答疑会</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不召开</w:t>
            </w:r>
            <w:r/>
          </w:p>
        </w:tc>
      </w:tr>
      <w:tr>
        <w:trPr>
          <w:jc w:val="center"/>
          <w:trHeight w:val="407"/>
        </w:trPr>
        <w:tc>
          <w:tcPr>
            <w:tcW w:w="988" w:type="dxa"/>
            <w:vAlign w:val="center"/>
            <w:textDirection w:val="lrTb"/>
            <w:noWrap w:val="false"/>
          </w:tcPr>
          <w:p>
            <w:pPr>
              <w:pStyle w:val="1020"/>
              <w:jc w:val="center"/>
              <w:rPr>
                <w:rFonts w:ascii="仿宋" w:hAnsi="仿宋" w:eastAsia="仿宋" w:cs="仿宋"/>
                <w:szCs w:val="21"/>
                <w:highlight w:val="none"/>
              </w:rPr>
            </w:pPr>
            <w:r>
              <w:rPr>
                <w:rFonts w:ascii="仿宋" w:hAnsi="仿宋" w:eastAsia="仿宋" w:cs="仿宋"/>
                <w:szCs w:val="21"/>
                <w:highlight w:val="none"/>
              </w:rPr>
              <w:t xml:space="preserve">4.1</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样品</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投标样品递交：不需要</w:t>
            </w:r>
            <w:r/>
          </w:p>
        </w:tc>
      </w:tr>
      <w:tr>
        <w:trPr>
          <w:jc w:val="center"/>
          <w:trHeight w:val="412"/>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5.2.5</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标的所属行业</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本项目采购标的对应的中小企业划分标准所属行业：</w:t>
            </w:r>
            <w:r>
              <w:rPr>
                <w:rFonts w:hint="eastAsia" w:ascii="仿宋" w:hAnsi="仿宋" w:eastAsia="仿宋" w:cs="仿宋"/>
                <w:b/>
                <w:bCs/>
                <w:szCs w:val="21"/>
                <w:highlight w:val="none"/>
                <w:u w:val="single"/>
              </w:rPr>
              <w:t xml:space="preserve">工业</w:t>
            </w:r>
            <w:r/>
          </w:p>
        </w:tc>
      </w:tr>
      <w:tr>
        <w:trPr>
          <w:jc w:val="center"/>
          <w:trHeight w:val="409"/>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11.2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投标报价</w:t>
            </w:r>
            <w:r/>
          </w:p>
        </w:tc>
        <w:tc>
          <w:tcPr>
            <w:tcW w:w="6532" w:type="dxa"/>
            <w:vAlign w:val="center"/>
            <w:textDirection w:val="lrTb"/>
            <w:noWrap w:val="false"/>
          </w:tcPr>
          <w:p>
            <w:pPr>
              <w:jc w:val="left"/>
              <w:spacing w:line="276"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报价的特殊规定：无</w:t>
            </w:r>
            <w:r>
              <w:rPr>
                <w:rFonts w:hint="eastAsia" w:ascii="仿宋" w:hAnsi="仿宋" w:eastAsia="仿宋" w:cs="仿宋"/>
                <w:b/>
                <w:bCs/>
                <w:szCs w:val="21"/>
                <w:highlight w:val="none"/>
              </w:rPr>
              <w:t xml:space="preserve">。</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投标保证金</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免收</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13.1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投标有效期</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自提交投标文件的截止之日起算90日历天。</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14.1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投标文件份数</w:t>
            </w:r>
            <w:r>
              <w:rPr>
                <w:rFonts w:hint="eastAsia" w:ascii="仿宋" w:hAnsi="仿宋" w:eastAsia="仿宋" w:cs="仿宋"/>
                <w:szCs w:val="21"/>
                <w:highlight w:val="none"/>
              </w:rPr>
              <w:tab/>
            </w:r>
            <w:r/>
          </w:p>
        </w:tc>
        <w:tc>
          <w:tcPr>
            <w:tcW w:w="6532" w:type="dxa"/>
            <w:vAlign w:val="center"/>
            <w:textDirection w:val="lrTb"/>
            <w:noWrap w:val="false"/>
          </w:tcPr>
          <w:p>
            <w:pPr>
              <w:jc w:val="left"/>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本项目为“苏采云”政府采购一体化平台全流程线上招投标，投标时各供应商应按招标文件及”苏采云”政府采购一体化平台规定制作并提交电子版投标文件。</w:t>
            </w:r>
            <w:r/>
          </w:p>
          <w:p>
            <w:pPr>
              <w:jc w:val="left"/>
              <w:spacing w:line="276" w:lineRule="auto"/>
              <w:rPr>
                <w:rFonts w:hint="eastAsia" w:ascii="仿宋" w:hAnsi="仿宋" w:eastAsia="仿宋" w:cs="仿宋"/>
                <w:szCs w:val="21"/>
                <w:highlight w:val="none"/>
              </w:rPr>
            </w:pPr>
            <w:r>
              <w:rPr>
                <w:rFonts w:hint="eastAsia" w:ascii="仿宋" w:hAnsi="仿宋" w:eastAsia="仿宋" w:cs="仿宋"/>
                <w:b/>
                <w:bCs/>
                <w:szCs w:val="21"/>
                <w:highlight w:val="none"/>
              </w:rPr>
              <w:t xml:space="preserve">中标结果确定后中标单位应提交胶装并加盖公章的纸质版投标文件贰份，纸质投标文件应与“苏采云”政府采购一体化平台中的电子文件内容、格式一致。</w:t>
            </w:r>
            <w:r/>
          </w:p>
        </w:tc>
      </w:tr>
      <w:tr>
        <w:trPr>
          <w:jc w:val="center"/>
          <w:trHeight w:val="338"/>
        </w:trPr>
        <w:tc>
          <w:tcPr>
            <w:tcW w:w="988" w:type="dxa"/>
            <w:vAlign w:val="center"/>
            <w:textDirection w:val="lrTb"/>
            <w:noWrap w:val="false"/>
          </w:tcPr>
          <w:p>
            <w:pPr>
              <w:pStyle w:val="1020"/>
              <w:jc w:val="center"/>
              <w:rPr>
                <w:rFonts w:ascii="仿宋" w:hAnsi="仿宋" w:eastAsia="仿宋" w:cs="仿宋"/>
                <w:szCs w:val="21"/>
                <w:highlight w:val="none"/>
              </w:rPr>
            </w:pPr>
            <w:r>
              <w:rPr>
                <w:rFonts w:ascii="仿宋" w:hAnsi="仿宋" w:eastAsia="仿宋" w:cs="仿宋"/>
                <w:szCs w:val="21"/>
                <w:highlight w:val="none"/>
              </w:rPr>
              <w:t xml:space="preserve">25.5</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分包</w:t>
            </w:r>
            <w:r/>
          </w:p>
        </w:tc>
        <w:tc>
          <w:tcPr>
            <w:tcW w:w="6532" w:type="dxa"/>
            <w:vAlign w:val="center"/>
            <w:textDirection w:val="lrTb"/>
            <w:noWrap w:val="false"/>
          </w:tcPr>
          <w:p>
            <w:pPr>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本项目的非主体、非关键性工作是否允许分包：不允许</w:t>
            </w:r>
            <w:r/>
          </w:p>
        </w:tc>
      </w:tr>
      <w:tr>
        <w:trPr>
          <w:jc w:val="center"/>
          <w:trHeight w:val="9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询问</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询问送达形式：接收加盖单位公章的书面询问函</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采购人或采购代理机构对供应商依法提出的询问，在3个工作日内作出答复，但答复的内容不得涉及商业秘密。</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质疑</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质疑送达形式：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一、供应商认为自己的权益受到损害的，可以在知道或者应知其权益受到损害之日起七个工作日内，向采购代理机构提出质疑。</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1.接收质疑函的方式：接收加盖单位公章的书面质疑函</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2.质疑函的内容、格式：应符合《政府采购质疑和投诉办法》相关规定和财政部门制定的《政府采购质疑函范本》格式。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二、供应商应在法定质疑期内一次性针对同一采购程序环节提出质疑，否则针对再次提出的质疑将不予接收。（采购程序环节分为：采购公告、招标文件、采购过程、成交结果）</w:t>
            </w:r>
            <w:r/>
          </w:p>
        </w:tc>
      </w:tr>
      <w:tr>
        <w:trPr>
          <w:jc w:val="center"/>
          <w:trHeight w:val="20"/>
        </w:trPr>
        <w:tc>
          <w:tcPr>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26.3</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联系方式</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接收询问和质疑的联系方式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联系单位：江苏城建校工程咨询有限公司</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 系 人：钱工</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联系电话：13585347085</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通讯地址：常州市钟楼区清潭路85-2号305室</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20"/>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收费对象：采购人</w:t>
            </w:r>
            <w:r/>
          </w:p>
          <w:p>
            <w:pPr>
              <w:jc w:val="left"/>
              <w:rPr>
                <w:rFonts w:hint="eastAsia" w:ascii="仿宋" w:hAnsi="仿宋" w:eastAsia="仿宋" w:cs="仿宋"/>
                <w:highlight w:val="none"/>
              </w:rPr>
            </w:pPr>
            <w:r>
              <w:rPr>
                <w:rFonts w:hint="eastAsia" w:ascii="仿宋" w:hAnsi="仿宋" w:eastAsia="仿宋" w:cs="仿宋"/>
                <w:szCs w:val="21"/>
                <w:highlight w:val="none"/>
              </w:rPr>
              <w:t xml:space="preserve">收费标准：按代理合同约定执行。</w:t>
            </w:r>
            <w:r/>
          </w:p>
        </w:tc>
      </w:tr>
    </w:tbl>
    <w:p>
      <w:pPr>
        <w:jc w:val="center"/>
        <w:spacing w:before="240" w:after="240"/>
        <w:rPr>
          <w:rFonts w:hint="eastAsia" w:ascii="仿宋" w:hAnsi="仿宋" w:eastAsia="仿宋" w:cs="仿宋"/>
          <w:b/>
          <w:sz w:val="28"/>
          <w:szCs w:val="28"/>
          <w:highlight w:val="none"/>
        </w:rPr>
      </w:pPr>
      <w:r/>
      <w:bookmarkStart w:id="71" w:name="_Toc226337213"/>
      <w:r/>
      <w:bookmarkStart w:id="72" w:name="_Toc150774722"/>
      <w:r/>
      <w:bookmarkStart w:id="73" w:name="_Toc127151517"/>
      <w:r/>
      <w:bookmarkStart w:id="74" w:name="_Toc150480755"/>
      <w:r/>
      <w:bookmarkStart w:id="75" w:name="_Toc353873662"/>
      <w:r/>
      <w:bookmarkStart w:id="76" w:name="_Toc265228355"/>
      <w:r/>
      <w:bookmarkStart w:id="77" w:name="_Toc264969207"/>
      <w:r/>
      <w:bookmarkStart w:id="78" w:name="_Toc305158785"/>
      <w:r/>
      <w:bookmarkStart w:id="79" w:name="_Toc305158859"/>
      <w:r/>
      <w:bookmarkStart w:id="80" w:name="_Toc142311019"/>
      <w:r/>
      <w:bookmarkStart w:id="81" w:name="_Toc353825542"/>
      <w:r/>
      <w:bookmarkStart w:id="82" w:name="_Toc226965790"/>
      <w:r/>
      <w:bookmarkStart w:id="83" w:name="_Toc353873932"/>
      <w:r/>
      <w:bookmarkStart w:id="84" w:name="_Toc195842882"/>
      <w:r>
        <w:rPr>
          <w:rFonts w:hint="eastAsia" w:ascii="仿宋" w:hAnsi="仿宋" w:eastAsia="仿宋" w:cs="仿宋"/>
          <w:b/>
          <w:sz w:val="28"/>
          <w:szCs w:val="28"/>
          <w:highlight w:val="none"/>
        </w:rPr>
        <w:br w:type="page" w:clear="all"/>
      </w:r>
      <w:r>
        <w:rPr>
          <w:rFonts w:hint="eastAsia" w:ascii="仿宋" w:hAnsi="仿宋" w:eastAsia="仿宋" w:cs="仿宋"/>
          <w:b/>
          <w:sz w:val="28"/>
          <w:szCs w:val="28"/>
          <w:highlight w:val="none"/>
        </w:rPr>
        <w:t xml:space="preserve">供应商须知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998"/>
        <w:jc w:val="left"/>
        <w:spacing w:before="0" w:line="360" w:lineRule="auto"/>
        <w:tabs>
          <w:tab w:val="center" w:pos="4592" w:leader="none"/>
          <w:tab w:val="left" w:pos="7860" w:leader="none"/>
        </w:tabs>
        <w:rPr>
          <w:rFonts w:hint="eastAsia" w:ascii="仿宋" w:hAnsi="仿宋" w:eastAsia="仿宋" w:cs="仿宋"/>
          <w:sz w:val="28"/>
          <w:highlight w:val="none"/>
        </w:rPr>
      </w:pPr>
      <w:r/>
      <w:bookmarkStart w:id="85" w:name="_Toc127151518"/>
      <w:r/>
      <w:bookmarkStart w:id="86" w:name="_Toc520356143"/>
      <w:r>
        <w:rPr>
          <w:rFonts w:hint="eastAsia" w:ascii="仿宋" w:hAnsi="仿宋" w:eastAsia="仿宋" w:cs="仿宋"/>
          <w:sz w:val="28"/>
          <w:highlight w:val="none"/>
        </w:rPr>
        <w:tab/>
      </w:r>
      <w:bookmarkStart w:id="87" w:name="_Toc150480756"/>
      <w:r/>
      <w:bookmarkStart w:id="88" w:name="_Toc150509269"/>
      <w:r/>
      <w:bookmarkStart w:id="89" w:name="_Toc151193760"/>
      <w:r/>
      <w:bookmarkStart w:id="90" w:name="_Toc150774618"/>
      <w:r/>
      <w:bookmarkStart w:id="91" w:name="_Toc150774723"/>
      <w:r/>
      <w:bookmarkStart w:id="92" w:name="_Toc264969208"/>
      <w:r/>
      <w:bookmarkStart w:id="93" w:name="_Toc151190145"/>
      <w:r/>
      <w:bookmarkStart w:id="94" w:name="_Toc151193616"/>
      <w:r/>
      <w:bookmarkStart w:id="95" w:name="_Toc305158786"/>
      <w:r/>
      <w:bookmarkStart w:id="96" w:name="_Toc226965708"/>
      <w:r/>
      <w:bookmarkStart w:id="97" w:name="_Toc226337214"/>
      <w:r/>
      <w:bookmarkStart w:id="98" w:name="_Toc195842883"/>
      <w:r/>
      <w:bookmarkStart w:id="99" w:name="_Toc142311020"/>
      <w:r/>
      <w:bookmarkStart w:id="100" w:name="_Toc305158860"/>
      <w:r/>
      <w:bookmarkStart w:id="101" w:name="_Toc151193832"/>
      <w:r/>
      <w:bookmarkStart w:id="102" w:name="_Toc226965791"/>
      <w:r/>
      <w:bookmarkStart w:id="103" w:name="_Toc226309762"/>
      <w:r/>
      <w:bookmarkStart w:id="104" w:name="_Toc265228356"/>
      <w:r/>
      <w:bookmarkStart w:id="105" w:name="_Toc151193906"/>
      <w:r/>
      <w:bookmarkStart w:id="106" w:name="_Toc151193688"/>
      <w:r>
        <w:rPr>
          <w:rFonts w:hint="eastAsia" w:ascii="仿宋" w:hAnsi="仿宋" w:eastAsia="仿宋" w:cs="仿宋"/>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仿宋" w:hAnsi="仿宋" w:eastAsia="仿宋" w:cs="仿宋"/>
          <w:sz w:val="28"/>
          <w:highlight w:val="none"/>
        </w:rPr>
        <w:tab/>
      </w:r>
      <w:r/>
    </w:p>
    <w:p>
      <w:pPr>
        <w:pStyle w:val="1242"/>
        <w:ind w:firstLine="420"/>
        <w:spacing w:line="360" w:lineRule="auto"/>
        <w:rPr>
          <w:rFonts w:hint="eastAsia" w:ascii="仿宋" w:hAnsi="仿宋" w:eastAsia="仿宋" w:cs="仿宋"/>
          <w:sz w:val="21"/>
          <w:szCs w:val="21"/>
          <w:highlight w:val="none"/>
        </w:rPr>
      </w:pPr>
      <w:r/>
      <w:bookmarkStart w:id="107" w:name="_Toc305158861"/>
      <w:r/>
      <w:bookmarkStart w:id="108" w:name="_Toc264969209"/>
      <w:r/>
      <w:bookmarkStart w:id="109" w:name="_Toc265228357"/>
      <w:r/>
      <w:bookmarkStart w:id="110" w:name="_Toc305158787"/>
      <w:r>
        <w:rPr>
          <w:rFonts w:hint="eastAsia" w:ascii="仿宋" w:hAnsi="仿宋" w:eastAsia="仿宋" w:cs="仿宋"/>
          <w:sz w:val="21"/>
          <w:szCs w:val="21"/>
          <w:highlight w:val="none"/>
        </w:rPr>
        <w:t xml:space="preserve">1.采购人、采购代理机构、</w:t>
      </w:r>
      <w:bookmarkEnd w:id="107"/>
      <w:r/>
      <w:bookmarkEnd w:id="108"/>
      <w:r/>
      <w:bookmarkEnd w:id="109"/>
      <w:r/>
      <w:bookmarkEnd w:id="110"/>
      <w:r>
        <w:rPr>
          <w:rFonts w:hint="eastAsia" w:ascii="仿宋" w:hAnsi="仿宋" w:eastAsia="仿宋" w:cs="仿宋"/>
          <w:sz w:val="21"/>
          <w:szCs w:val="21"/>
          <w:highlight w:val="none"/>
        </w:rPr>
        <w:t xml:space="preserve">供应商、联合体</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1.1采购人、采购代理机构：指依法进行政府采购的国家机关、事业单位、团体组织，及其委托的采购代理机构。本项目采购人、采购代理机构见第一章《投标邀请》。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1.2供应商（也称“投标人”、“申请人”）：指向采购人提供货物、工程或者服务的法人、其他组织或者自然人。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1.3联合体：指两个以上的自然人、法人或者其他组织组成一个联合体，以一个供应商的身份共同参加政府采购。</w:t>
      </w:r>
      <w:r/>
    </w:p>
    <w:p>
      <w:pPr>
        <w:pStyle w:val="1242"/>
        <w:ind w:firstLine="420"/>
        <w:spacing w:line="360" w:lineRule="auto"/>
        <w:rPr>
          <w:rFonts w:hint="eastAsia" w:ascii="仿宋" w:hAnsi="仿宋" w:eastAsia="仿宋" w:cs="仿宋"/>
          <w:sz w:val="21"/>
          <w:szCs w:val="21"/>
          <w:highlight w:val="none"/>
        </w:rPr>
      </w:pPr>
      <w:r/>
      <w:bookmarkStart w:id="111" w:name="_Toc264969210"/>
      <w:r/>
      <w:bookmarkStart w:id="112" w:name="_Toc195842885"/>
      <w:r/>
      <w:bookmarkStart w:id="113" w:name="_Toc151193690"/>
      <w:r/>
      <w:bookmarkStart w:id="114" w:name="_Toc164608634"/>
      <w:r/>
      <w:bookmarkStart w:id="115" w:name="_Toc226965710"/>
      <w:r/>
      <w:bookmarkStart w:id="116" w:name="_Toc149720813"/>
      <w:r/>
      <w:bookmarkStart w:id="117" w:name="_Toc150480758"/>
      <w:r/>
      <w:bookmarkStart w:id="118" w:name="_Toc151193762"/>
      <w:r/>
      <w:bookmarkStart w:id="119" w:name="_Toc151193834"/>
      <w:r/>
      <w:bookmarkStart w:id="120" w:name="_Toc305158788"/>
      <w:r/>
      <w:bookmarkStart w:id="121" w:name="_Toc127161434"/>
      <w:r/>
      <w:bookmarkStart w:id="122" w:name="_Toc265228358"/>
      <w:r/>
      <w:bookmarkStart w:id="123" w:name="_Toc164229215"/>
      <w:r/>
      <w:bookmarkStart w:id="124" w:name="_Toc226337216"/>
      <w:r/>
      <w:bookmarkStart w:id="125" w:name="_Toc226309764"/>
      <w:r/>
      <w:bookmarkStart w:id="126" w:name="_Toc151190147"/>
      <w:r/>
      <w:bookmarkStart w:id="127" w:name="_Toc127151520"/>
      <w:r/>
      <w:bookmarkStart w:id="128" w:name="_Toc151193618"/>
      <w:r/>
      <w:bookmarkStart w:id="129" w:name="_Toc150509271"/>
      <w:r/>
      <w:bookmarkStart w:id="130" w:name="_Toc127151721"/>
      <w:r/>
      <w:bookmarkStart w:id="131" w:name="_Toc164351614"/>
      <w:r/>
      <w:bookmarkStart w:id="132" w:name="_Toc150774725"/>
      <w:r/>
      <w:bookmarkStart w:id="133" w:name="_Toc164229361"/>
      <w:r/>
      <w:bookmarkStart w:id="134" w:name="_Toc164608789"/>
      <w:r/>
      <w:bookmarkStart w:id="135" w:name="_Toc151193908"/>
      <w:r/>
      <w:bookmarkStart w:id="136" w:name="_Toc142311022"/>
      <w:r/>
      <w:bookmarkStart w:id="137" w:name="_Toc150774620"/>
      <w:r/>
      <w:bookmarkStart w:id="138" w:name="_Toc305158862"/>
      <w:r/>
      <w:bookmarkStart w:id="139" w:name="_Toc226965793"/>
      <w:r>
        <w:rPr>
          <w:rFonts w:hint="eastAsia" w:ascii="仿宋" w:hAnsi="仿宋" w:eastAsia="仿宋" w:cs="仿宋"/>
          <w:sz w:val="21"/>
          <w:szCs w:val="21"/>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仿宋"/>
          <w:sz w:val="21"/>
          <w:szCs w:val="21"/>
          <w:highlight w:val="none"/>
        </w:rPr>
        <w:t xml:space="preserve">、项目属性、科研仪器设备采购、核心产品</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2.1资金来源为财政性资金和/或本项目采购中无法与财政性资金分割的非财政性资金。</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2.2项目属性见《供应商须知资料表》。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2.3是否属于科研仪器设备采购见《供应商须知资料表》。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2.4核心产品见《供应商须知资料表》。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3.现场考察、开标前答疑会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3.1若《供应商须知资料表》中规定了组织现场考察、召开开标前答疑会，则供应商应按要求在规定的时间和地点参加。</w:t>
      </w:r>
      <w:bookmarkStart w:id="140" w:name="_Toc127151522"/>
      <w:r/>
      <w:bookmarkStart w:id="141" w:name="_Toc142311024"/>
      <w:r/>
      <w:bookmarkStart w:id="142" w:name="_Toc520356146"/>
      <w:r/>
      <w:bookmarkStart w:id="143" w:name="_Toc151193836"/>
      <w:r/>
      <w:bookmarkStart w:id="144" w:name="_Toc195842887"/>
      <w:r/>
      <w:bookmarkStart w:id="145" w:name="_Toc150774622"/>
      <w:r/>
      <w:bookmarkStart w:id="146" w:name="_Toc305158790"/>
      <w:r/>
      <w:bookmarkStart w:id="147" w:name="_Toc150509273"/>
      <w:r/>
      <w:bookmarkStart w:id="148" w:name="_Toc265228360"/>
      <w:r/>
      <w:bookmarkStart w:id="149" w:name="_Toc151193764"/>
      <w:r/>
      <w:bookmarkStart w:id="150" w:name="_Toc151193620"/>
      <w:r/>
      <w:bookmarkStart w:id="151" w:name="_Toc151190149"/>
      <w:r/>
      <w:bookmarkStart w:id="152" w:name="_Toc226965795"/>
      <w:r/>
      <w:bookmarkStart w:id="153" w:name="_Toc226337218"/>
      <w:r/>
      <w:bookmarkStart w:id="154" w:name="_Toc150774727"/>
      <w:r/>
      <w:bookmarkStart w:id="155" w:name="_Toc226965712"/>
      <w:r/>
      <w:bookmarkStart w:id="156" w:name="_Toc150480760"/>
      <w:r/>
      <w:bookmarkStart w:id="157" w:name="_Toc226309766"/>
      <w:r/>
      <w:bookmarkStart w:id="158" w:name="_Toc151193910"/>
      <w:r/>
      <w:bookmarkStart w:id="159" w:name="_Toc151193692"/>
      <w:r/>
      <w:bookmarkStart w:id="160" w:name="_Toc264969212"/>
      <w:r/>
      <w:bookmarkStart w:id="161" w:name="_Toc305158864"/>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4.样品</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4.1本项目是否要求供应商提供样品，以及样品制作的标准和要求、是否需要随样品提交相关检测报告、样品的递交与退还等要求见《供应商须知资料表》。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4.2样品的评审方法以及评审标准等内容见第四章《评标方法和评标标准》。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5.政府采购政策（包括但不限于下列具体政策要求）</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5.1进口产品</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5.2中小企业、监狱企业及残疾人福利性单位</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5.2.1中小企业定义：</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5.2.1.1中小企业是</w:t>
      </w:r>
      <w:r>
        <w:rPr>
          <w:rFonts w:hint="eastAsia" w:ascii="仿宋" w:hAnsi="仿宋" w:eastAsia="仿宋" w:cs="仿宋"/>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5.2.1.2供应商提供的货物、工程或者服务符合下列情形的，享受中小企业扶持政策：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（1）在货物采购项目中，货物由中小企业制造，即货物由中小企业生产且使用该中小企业商号或者注册商标；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（2）在工程采购项目中，工程由中小企业承建，即工程施工单位为中小企业；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（3）在服务采购项目中，服务由中小企业承接，即提供服务的人员为中小企业依照《中华人民共和国劳动合同法》订立劳动合同的从业人员。</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5.2.1.3在货物采购项目中，供应商提供的货物既有中小企业制造货物，也有大型企业制造货物的，不享受中小企业扶持政策。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5.2.1.4以联合体形式参加政府采购活动，联合体各方均为中小企业的，联合体视同中小企业。其中，联合体各方均为小微企业的，联合体视同小微企业。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5.2.3残疾人福利单位定义：享受政府采购支持政策的残疾人福利性单位应当同时满足以下条件：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5.2.3.1安置的残疾人占本单位在职职工人数的比例不低于25%（含25%），并且安置的残疾人人数不少于10 人（含10 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5.2.3.2依法与安置的每位残疾人签订了一年以上（含一年）的劳动合同或服务协议；</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5.2.3.3为安置的每位残疾人按月足额缴纳了基本养老保险、基本医疗保险、失业保险、工伤保险和生育保险等社会保险费；</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5.2.3.4通过银行等金融机构向安置的每位残疾人，按月支付了不低于单位所在区县适用的经省级人民政府批准的月最低工资标准的工资；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5.2.4本项目是否专门面向中小企业预留采购份额见第一章《投标邀请》。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5.2.5采购标的对应的中小企业划分标准所属行业见《供应商须知资料表》。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5.2.6小微企业价格评审优惠的政策调整：见第四章《评标方法和评标标准》。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5.3政府采购节能产品、环境标志产品</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5.3.4非政府强制采购的节能产品或环境标志产品，依据品目清单和认证证书实施政府优先采购。优先采购的具体规定见第四章《评标方法和评标标准》（如涉及）。</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5.4支持乡村产业振兴管理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5.5正版软件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5.6政府采购创新产品政策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5.7绿色采购政策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5.7.1  绿色数据中心政策 </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依据《绿色数据中心政府采购需求标准（试行）》（财办库〔2023〕7 号）文件精神，采购</w:t>
      </w:r>
      <w:r>
        <w:rPr>
          <w:rFonts w:hint="eastAsia" w:ascii="仿宋" w:hAnsi="仿宋" w:eastAsia="仿宋" w:cs="仿宋"/>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5.7.2 推广应用绿色建材</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5.7.3 优先使用低挥发性有机化合物产品</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6.投标费用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6.1供应商应自行承担所有与准备和参加投标有关的费用，无论投标的结果如何，</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6.2采购人或采购代理机构在任何情况下均无承担这些费用的义务和责任。</w:t>
      </w:r>
      <w:r/>
    </w:p>
    <w:p>
      <w:pPr>
        <w:pStyle w:val="998"/>
        <w:spacing w:before="0" w:line="360" w:lineRule="auto"/>
        <w:rPr>
          <w:rFonts w:hint="eastAsia" w:ascii="仿宋" w:hAnsi="仿宋" w:eastAsia="仿宋" w:cs="仿宋"/>
          <w:sz w:val="21"/>
          <w:szCs w:val="21"/>
          <w:highlight w:val="none"/>
        </w:rPr>
      </w:pPr>
      <w:r/>
      <w:bookmarkStart w:id="162" w:name="_1.8_计量单位"/>
      <w:r/>
      <w:bookmarkEnd w:id="162"/>
      <w:r>
        <w:rPr>
          <w:rFonts w:hint="eastAsia" w:ascii="仿宋" w:hAnsi="仿宋" w:eastAsia="仿宋" w:cs="仿宋"/>
          <w:sz w:val="21"/>
          <w:szCs w:val="21"/>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pStyle w:val="1242"/>
        <w:ind w:firstLine="420"/>
        <w:spacing w:line="360" w:lineRule="auto"/>
        <w:rPr>
          <w:rFonts w:hint="eastAsia" w:ascii="仿宋" w:hAnsi="仿宋" w:eastAsia="仿宋" w:cs="仿宋"/>
          <w:sz w:val="21"/>
          <w:szCs w:val="21"/>
          <w:highlight w:val="none"/>
        </w:rPr>
      </w:pPr>
      <w:r/>
      <w:bookmarkStart w:id="163" w:name="_Toc164351617"/>
      <w:r/>
      <w:bookmarkStart w:id="164" w:name="_Toc151193621"/>
      <w:r/>
      <w:bookmarkStart w:id="165" w:name="_Toc226337219"/>
      <w:r/>
      <w:bookmarkStart w:id="166" w:name="_Toc150774623"/>
      <w:r/>
      <w:bookmarkStart w:id="167" w:name="_Toc195842888"/>
      <w:r/>
      <w:bookmarkStart w:id="168" w:name="_Toc305158865"/>
      <w:r/>
      <w:bookmarkStart w:id="169" w:name="_Toc151190150"/>
      <w:r/>
      <w:bookmarkStart w:id="170" w:name="_Toc305158791"/>
      <w:r/>
      <w:bookmarkStart w:id="171" w:name="_Toc151193765"/>
      <w:r/>
      <w:bookmarkStart w:id="172" w:name="_Toc164608792"/>
      <w:r/>
      <w:bookmarkStart w:id="173" w:name="_Toc149720816"/>
      <w:r/>
      <w:bookmarkStart w:id="174" w:name="_Toc127151523"/>
      <w:r/>
      <w:bookmarkStart w:id="175" w:name="_Toc226309767"/>
      <w:r/>
      <w:bookmarkStart w:id="176" w:name="_Toc151193837"/>
      <w:r/>
      <w:bookmarkStart w:id="177" w:name="_Toc164229364"/>
      <w:r/>
      <w:bookmarkStart w:id="178" w:name="_Toc150509274"/>
      <w:r/>
      <w:bookmarkStart w:id="179" w:name="_Toc164608637"/>
      <w:r/>
      <w:bookmarkStart w:id="180" w:name="_Toc226965796"/>
      <w:r/>
      <w:bookmarkStart w:id="181" w:name="_Toc150480761"/>
      <w:r/>
      <w:bookmarkStart w:id="182" w:name="_Toc142311025"/>
      <w:r/>
      <w:bookmarkStart w:id="183" w:name="_Toc151193911"/>
      <w:r/>
      <w:bookmarkStart w:id="184" w:name="_Toc520356147"/>
      <w:r/>
      <w:bookmarkStart w:id="185" w:name="_Toc127161437"/>
      <w:r/>
      <w:bookmarkStart w:id="186" w:name="_Toc164229218"/>
      <w:r/>
      <w:bookmarkStart w:id="187" w:name="_Toc265228361"/>
      <w:r/>
      <w:bookmarkStart w:id="188" w:name="_Toc226965713"/>
      <w:r/>
      <w:bookmarkStart w:id="189" w:name="_Toc264969213"/>
      <w:r/>
      <w:bookmarkStart w:id="190" w:name="_Toc150774728"/>
      <w:r/>
      <w:bookmarkStart w:id="191" w:name="_Toc127151724"/>
      <w:r/>
      <w:bookmarkStart w:id="192" w:name="_Toc151193693"/>
      <w:r>
        <w:rPr>
          <w:rFonts w:hint="eastAsia" w:ascii="仿宋" w:hAnsi="仿宋" w:eastAsia="仿宋" w:cs="仿宋"/>
          <w:sz w:val="21"/>
          <w:szCs w:val="21"/>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1"/>
          <w:szCs w:val="21"/>
          <w:highlight w:val="none"/>
        </w:rPr>
        <w:t xml:space="preserve">成</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7.1招标文件包括以下部分：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第一章 投标邀请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第二章 供应商须知</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第三章 资格审查</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第四章 评标程序、评标方法和评标标准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第五章 采购需求</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第六章 拟签订的合同文本</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第七章 投标文件格式</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8.对招标文件的澄清或修改</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8.1采购人或采购代理机构对已发出的招标文件进行必要澄清或者修改的，将在原公告发布媒体上以发布更正公告的形式通知所有获取招标文件的潜在供应商。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p>
    <w:p>
      <w:pPr>
        <w:pStyle w:val="998"/>
        <w:spacing w:before="0" w:line="360" w:lineRule="auto"/>
        <w:rPr>
          <w:rFonts w:hint="eastAsia" w:ascii="仿宋" w:hAnsi="仿宋" w:eastAsia="仿宋" w:cs="仿宋"/>
          <w:sz w:val="21"/>
          <w:szCs w:val="21"/>
          <w:highlight w:val="none"/>
        </w:rPr>
      </w:pPr>
      <w:r/>
      <w:bookmarkStart w:id="193" w:name="_Toc516367020"/>
      <w:r/>
      <w:bookmarkStart w:id="194" w:name="_Toc226965716"/>
      <w:r/>
      <w:bookmarkStart w:id="195" w:name="_Toc150480764"/>
      <w:r/>
      <w:bookmarkStart w:id="196" w:name="_Toc305158794"/>
      <w:r/>
      <w:bookmarkStart w:id="197" w:name="_Toc142311028"/>
      <w:r/>
      <w:bookmarkStart w:id="198" w:name="_Toc151193624"/>
      <w:r/>
      <w:bookmarkStart w:id="199" w:name="_Toc226337222"/>
      <w:r/>
      <w:bookmarkStart w:id="200" w:name="_Toc226965799"/>
      <w:r/>
      <w:bookmarkStart w:id="201" w:name="_Toc150509277"/>
      <w:r/>
      <w:bookmarkStart w:id="202" w:name="_Toc151193840"/>
      <w:r/>
      <w:bookmarkStart w:id="203" w:name="_Toc151190153"/>
      <w:r/>
      <w:bookmarkStart w:id="204" w:name="_Toc265228364"/>
      <w:r/>
      <w:bookmarkStart w:id="205" w:name="_Toc127151526"/>
      <w:r/>
      <w:bookmarkStart w:id="206" w:name="_Toc305158868"/>
      <w:r/>
      <w:bookmarkStart w:id="207" w:name="_Toc195842891"/>
      <w:r/>
      <w:bookmarkStart w:id="208" w:name="_Toc150774626"/>
      <w:r/>
      <w:bookmarkStart w:id="209" w:name="_Toc226309770"/>
      <w:r/>
      <w:bookmarkStart w:id="210" w:name="_Toc151193696"/>
      <w:r/>
      <w:bookmarkStart w:id="211" w:name="_Toc264969216"/>
      <w:r/>
      <w:bookmarkStart w:id="212" w:name="_Toc151193914"/>
      <w:r/>
      <w:bookmarkStart w:id="213" w:name="_Toc151193768"/>
      <w:r/>
      <w:bookmarkStart w:id="214" w:name="_Toc150774731"/>
      <w:r/>
      <w:bookmarkStart w:id="215" w:name="_Toc520356150"/>
      <w:r>
        <w:rPr>
          <w:rFonts w:hint="eastAsia" w:ascii="仿宋" w:hAnsi="仿宋" w:eastAsia="仿宋" w:cs="仿宋"/>
          <w:sz w:val="21"/>
          <w:szCs w:val="21"/>
          <w:highlight w:val="none"/>
        </w:rPr>
        <w:t xml:space="preserve">三   投标文件</w:t>
      </w:r>
      <w:bookmarkEnd w:id="193"/>
      <w:r>
        <w:rPr>
          <w:rFonts w:hint="eastAsia" w:ascii="仿宋" w:hAnsi="仿宋" w:eastAsia="仿宋" w:cs="仿宋"/>
          <w:sz w:val="21"/>
          <w:szCs w:val="21"/>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pStyle w:val="1242"/>
        <w:ind w:firstLine="420"/>
        <w:spacing w:line="360" w:lineRule="auto"/>
        <w:rPr>
          <w:rFonts w:hint="eastAsia" w:ascii="仿宋" w:hAnsi="仿宋" w:eastAsia="仿宋" w:cs="仿宋"/>
          <w:sz w:val="21"/>
          <w:szCs w:val="21"/>
          <w:highlight w:val="none"/>
        </w:rPr>
      </w:pPr>
      <w:r/>
      <w:bookmarkStart w:id="216" w:name="_Toc142311029"/>
      <w:r/>
      <w:bookmarkStart w:id="217" w:name="_Toc164229368"/>
      <w:r/>
      <w:bookmarkStart w:id="218" w:name="_Toc150480765"/>
      <w:r/>
      <w:bookmarkStart w:id="219" w:name="_Toc127151728"/>
      <w:r/>
      <w:bookmarkStart w:id="220" w:name="_Toc150509278"/>
      <w:r/>
      <w:bookmarkStart w:id="221" w:name="_Toc149720820"/>
      <w:r/>
      <w:bookmarkStart w:id="222" w:name="_Toc305158795"/>
      <w:r/>
      <w:bookmarkStart w:id="223" w:name="_Toc127151527"/>
      <w:r/>
      <w:bookmarkStart w:id="224" w:name="_Toc164229222"/>
      <w:r/>
      <w:bookmarkStart w:id="225" w:name="_Toc164608796"/>
      <w:r/>
      <w:bookmarkStart w:id="226" w:name="_Toc305158869"/>
      <w:r/>
      <w:bookmarkStart w:id="227" w:name="_Toc226309771"/>
      <w:r/>
      <w:bookmarkStart w:id="228" w:name="_Toc195842892"/>
      <w:r/>
      <w:bookmarkStart w:id="229" w:name="_Toc226337223"/>
      <w:r/>
      <w:bookmarkStart w:id="230" w:name="_Toc164351621"/>
      <w:r/>
      <w:bookmarkStart w:id="231" w:name="_Toc151193625"/>
      <w:r/>
      <w:bookmarkStart w:id="232" w:name="_Toc151193769"/>
      <w:r/>
      <w:bookmarkStart w:id="233" w:name="_Toc151193697"/>
      <w:r/>
      <w:bookmarkStart w:id="234" w:name="_Toc127161441"/>
      <w:r/>
      <w:bookmarkStart w:id="235" w:name="_Toc150774627"/>
      <w:r/>
      <w:bookmarkStart w:id="236" w:name="_Toc151190154"/>
      <w:r/>
      <w:bookmarkStart w:id="237" w:name="_Toc516367021"/>
      <w:r/>
      <w:bookmarkStart w:id="238" w:name="_Toc264969217"/>
      <w:r/>
      <w:bookmarkStart w:id="239" w:name="_Toc520356151"/>
      <w:r/>
      <w:bookmarkStart w:id="240" w:name="_Toc151193915"/>
      <w:r/>
      <w:bookmarkStart w:id="241" w:name="_Toc226965800"/>
      <w:r/>
      <w:bookmarkStart w:id="242" w:name="_Toc164608641"/>
      <w:r/>
      <w:bookmarkStart w:id="243" w:name="_Toc150774732"/>
      <w:r/>
      <w:bookmarkStart w:id="244" w:name="_Toc151193841"/>
      <w:r/>
      <w:bookmarkStart w:id="245" w:name="_Toc226965717"/>
      <w:r/>
      <w:bookmarkStart w:id="246" w:name="_Toc265228365"/>
      <w:r>
        <w:rPr>
          <w:rFonts w:hint="eastAsia" w:ascii="仿宋" w:hAnsi="仿宋" w:eastAsia="仿宋" w:cs="仿宋"/>
          <w:sz w:val="21"/>
          <w:szCs w:val="21"/>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仿宋" w:hAnsi="仿宋" w:eastAsia="仿宋" w:cs="仿宋"/>
          <w:sz w:val="21"/>
          <w:szCs w:val="21"/>
          <w:highlight w:val="none"/>
        </w:rPr>
        <w:t xml:space="preserve">及投标语言</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9.2除招标文件有特殊要求外，本项目投标所使用的计量单位，应采用中华人民共和国法定计量单位。</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pStyle w:val="1242"/>
        <w:ind w:firstLine="420"/>
        <w:spacing w:line="360" w:lineRule="auto"/>
        <w:rPr>
          <w:rFonts w:hint="eastAsia" w:ascii="仿宋" w:hAnsi="仿宋" w:eastAsia="仿宋" w:cs="仿宋"/>
          <w:sz w:val="21"/>
          <w:szCs w:val="21"/>
          <w:highlight w:val="none"/>
        </w:rPr>
      </w:pPr>
      <w:r/>
      <w:bookmarkStart w:id="247" w:name="_Ref467306195"/>
      <w:r/>
      <w:bookmarkStart w:id="248" w:name="_Ref467306676"/>
      <w:r/>
      <w:bookmarkStart w:id="249" w:name="_Toc516367022"/>
      <w:r/>
      <w:bookmarkStart w:id="250" w:name="_Toc226965718"/>
      <w:r/>
      <w:bookmarkStart w:id="251" w:name="_Toc151190155"/>
      <w:r/>
      <w:bookmarkStart w:id="252" w:name="_Toc164351622"/>
      <w:r/>
      <w:bookmarkStart w:id="253" w:name="_Toc151193698"/>
      <w:r/>
      <w:bookmarkStart w:id="254" w:name="_Toc520356152"/>
      <w:r/>
      <w:bookmarkStart w:id="255" w:name="_Toc305158870"/>
      <w:r/>
      <w:bookmarkStart w:id="256" w:name="_Toc150480766"/>
      <w:r/>
      <w:bookmarkStart w:id="257" w:name="_Toc127161442"/>
      <w:r/>
      <w:bookmarkStart w:id="258" w:name="_Toc127151729"/>
      <w:r/>
      <w:bookmarkStart w:id="259" w:name="_Toc151193770"/>
      <w:r/>
      <w:bookmarkStart w:id="260" w:name="_Toc142311030"/>
      <w:r/>
      <w:bookmarkStart w:id="261" w:name="_Toc226965801"/>
      <w:r/>
      <w:bookmarkStart w:id="262" w:name="_Toc195842893"/>
      <w:r/>
      <w:bookmarkStart w:id="263" w:name="_Toc226337224"/>
      <w:r/>
      <w:bookmarkStart w:id="264" w:name="_Toc264969218"/>
      <w:r/>
      <w:bookmarkStart w:id="265" w:name="_Toc127151528"/>
      <w:r/>
      <w:bookmarkStart w:id="266" w:name="_Toc150774733"/>
      <w:r/>
      <w:bookmarkStart w:id="267" w:name="_Toc265228366"/>
      <w:r/>
      <w:bookmarkStart w:id="268" w:name="_Toc151193842"/>
      <w:r/>
      <w:bookmarkStart w:id="269" w:name="_Toc164608642"/>
      <w:r/>
      <w:bookmarkStart w:id="270" w:name="_Toc164229369"/>
      <w:r/>
      <w:bookmarkStart w:id="271" w:name="_Toc226309772"/>
      <w:r/>
      <w:bookmarkStart w:id="272" w:name="_Toc149720821"/>
      <w:r/>
      <w:bookmarkStart w:id="273" w:name="_Toc150774628"/>
      <w:r/>
      <w:bookmarkStart w:id="274" w:name="_Toc164608797"/>
      <w:r/>
      <w:bookmarkStart w:id="275" w:name="_Toc150509279"/>
      <w:r/>
      <w:bookmarkStart w:id="276" w:name="_Toc305158796"/>
      <w:r/>
      <w:bookmarkStart w:id="277" w:name="_Toc164229223"/>
      <w:r/>
      <w:bookmarkStart w:id="278" w:name="_Toc151193916"/>
      <w:r/>
      <w:bookmarkStart w:id="279" w:name="_Toc151193626"/>
      <w:r>
        <w:rPr>
          <w:rFonts w:hint="eastAsia" w:ascii="仿宋" w:hAnsi="仿宋" w:eastAsia="仿宋" w:cs="仿宋"/>
          <w:sz w:val="21"/>
          <w:szCs w:val="21"/>
          <w:highlight w:val="none"/>
        </w:rPr>
        <w:t xml:space="preserve">10.投标文件</w:t>
      </w:r>
      <w:bookmarkEnd w:id="247"/>
      <w:r/>
      <w:bookmarkEnd w:id="248"/>
      <w:r/>
      <w:bookmarkEnd w:id="249"/>
      <w:r>
        <w:rPr>
          <w:rFonts w:hint="eastAsia" w:ascii="仿宋" w:hAnsi="仿宋" w:eastAsia="仿宋" w:cs="仿宋"/>
          <w:sz w:val="21"/>
          <w:szCs w:val="21"/>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pStyle w:val="1242"/>
        <w:ind w:firstLine="420"/>
        <w:spacing w:line="360" w:lineRule="auto"/>
        <w:rPr>
          <w:rFonts w:hint="eastAsia" w:ascii="仿宋" w:hAnsi="仿宋" w:eastAsia="仿宋" w:cs="仿宋"/>
          <w:sz w:val="21"/>
          <w:szCs w:val="21"/>
          <w:highlight w:val="none"/>
        </w:rPr>
      </w:pPr>
      <w:r/>
      <w:bookmarkStart w:id="280" w:name="_Ref467052588"/>
      <w:r>
        <w:rPr>
          <w:rFonts w:hint="eastAsia" w:ascii="仿宋" w:hAnsi="仿宋" w:eastAsia="仿宋" w:cs="仿宋"/>
          <w:sz w:val="21"/>
          <w:szCs w:val="21"/>
          <w:highlight w:val="none"/>
        </w:rPr>
        <w:t xml:space="preserve">10.1供应商应当按照招标文件的要求编制投标文件。投标文件应由《资格证明文件》、《商务技术文件》两部分构成。投标文件的部分格式要求，见第七章《投标文件格式》。</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10.3第四章《评标程序、评标方法和评标标准》中涉及的证明文件。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10.5供应商认为应附的其他材料。</w:t>
      </w:r>
      <w:bookmarkEnd w:id="280"/>
      <w:r/>
      <w:r/>
    </w:p>
    <w:p>
      <w:pPr>
        <w:pStyle w:val="1242"/>
        <w:ind w:firstLine="420"/>
        <w:spacing w:line="360" w:lineRule="auto"/>
        <w:rPr>
          <w:rFonts w:hint="eastAsia" w:ascii="仿宋" w:hAnsi="仿宋" w:eastAsia="仿宋" w:cs="仿宋"/>
          <w:sz w:val="21"/>
          <w:szCs w:val="21"/>
          <w:highlight w:val="none"/>
        </w:rPr>
      </w:pPr>
      <w:r/>
      <w:bookmarkStart w:id="281" w:name="_Toc150509281"/>
      <w:r/>
      <w:bookmarkStart w:id="282" w:name="_Toc195842895"/>
      <w:r/>
      <w:bookmarkStart w:id="283" w:name="_Toc149720823"/>
      <w:r/>
      <w:bookmarkStart w:id="284" w:name="_Toc151193844"/>
      <w:r/>
      <w:bookmarkStart w:id="285" w:name="_Toc164608644"/>
      <w:r/>
      <w:bookmarkStart w:id="286" w:name="_Toc150774735"/>
      <w:r/>
      <w:bookmarkStart w:id="287" w:name="_Toc151193700"/>
      <w:r/>
      <w:bookmarkStart w:id="288" w:name="_Toc151193918"/>
      <w:r/>
      <w:bookmarkStart w:id="289" w:name="_Toc127151731"/>
      <w:r/>
      <w:bookmarkStart w:id="290" w:name="_Toc142311032"/>
      <w:r/>
      <w:bookmarkStart w:id="291" w:name="_Toc127161444"/>
      <w:r/>
      <w:bookmarkStart w:id="292" w:name="_Toc164351624"/>
      <w:r/>
      <w:bookmarkStart w:id="293" w:name="_Toc164229225"/>
      <w:r/>
      <w:bookmarkStart w:id="294" w:name="_Toc164229371"/>
      <w:r/>
      <w:bookmarkStart w:id="295" w:name="_Toc151190157"/>
      <w:r/>
      <w:bookmarkStart w:id="296" w:name="_Toc150774630"/>
      <w:r/>
      <w:bookmarkStart w:id="297" w:name="_Toc151193772"/>
      <w:r/>
      <w:bookmarkStart w:id="298" w:name="_Toc151193628"/>
      <w:r/>
      <w:bookmarkStart w:id="299" w:name="_Toc150480768"/>
      <w:r/>
      <w:bookmarkStart w:id="300" w:name="_Toc520356155"/>
      <w:r/>
      <w:bookmarkStart w:id="301" w:name="_Toc127151530"/>
      <w:r/>
      <w:bookmarkStart w:id="302" w:name="_Toc164608799"/>
      <w:r>
        <w:rPr>
          <w:rFonts w:hint="eastAsia" w:ascii="仿宋" w:hAnsi="仿宋" w:eastAsia="仿宋" w:cs="仿宋"/>
          <w:sz w:val="21"/>
          <w:szCs w:val="21"/>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11.1所有投标均以人民币报价。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11.2.2按照招标文件要求完成本项目的全部相关服务费用。 </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11.3采购人不得向供应商索要或者接受其给予的赠品、回扣或者与采购无关的其他商品、服务。</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11.4供应商不能提供任何有选择性或可调整的报价，否则其投标无效。</w:t>
      </w:r>
      <w:r/>
    </w:p>
    <w:p>
      <w:pPr>
        <w:pStyle w:val="1242"/>
        <w:ind w:firstLine="420"/>
        <w:spacing w:line="360" w:lineRule="auto"/>
        <w:rPr>
          <w:rFonts w:hint="eastAsia" w:ascii="仿宋" w:hAnsi="仿宋" w:eastAsia="仿宋" w:cs="仿宋"/>
          <w:sz w:val="21"/>
          <w:szCs w:val="21"/>
          <w:highlight w:val="none"/>
        </w:rPr>
      </w:pPr>
      <w:r/>
      <w:bookmarkStart w:id="303" w:name="_Toc150774631"/>
      <w:r/>
      <w:bookmarkStart w:id="304" w:name="_Toc127151732"/>
      <w:r/>
      <w:bookmarkStart w:id="305" w:name="_Toc164229226"/>
      <w:r/>
      <w:bookmarkStart w:id="306" w:name="_Toc127161445"/>
      <w:r/>
      <w:bookmarkStart w:id="307" w:name="_Toc142311033"/>
      <w:r/>
      <w:bookmarkStart w:id="308" w:name="_Toc226337227"/>
      <w:r/>
      <w:bookmarkStart w:id="309" w:name="_Toc149720824"/>
      <w:r/>
      <w:bookmarkStart w:id="310" w:name="_Toc151193701"/>
      <w:r/>
      <w:bookmarkStart w:id="311" w:name="_Toc164229372"/>
      <w:r/>
      <w:bookmarkStart w:id="312" w:name="_Toc305158873"/>
      <w:r/>
      <w:bookmarkStart w:id="313" w:name="_Toc150774736"/>
      <w:r/>
      <w:bookmarkStart w:id="314" w:name="_Toc265228369"/>
      <w:r/>
      <w:bookmarkStart w:id="315" w:name="_Toc226965804"/>
      <w:r/>
      <w:bookmarkStart w:id="316" w:name="_Toc264969221"/>
      <w:r/>
      <w:bookmarkStart w:id="317" w:name="_Toc164608800"/>
      <w:r/>
      <w:bookmarkStart w:id="318" w:name="_Toc226309775"/>
      <w:r/>
      <w:bookmarkStart w:id="319" w:name="_Toc305158799"/>
      <w:r/>
      <w:bookmarkStart w:id="320" w:name="_Toc127151531"/>
      <w:r/>
      <w:bookmarkStart w:id="321" w:name="_Toc151193845"/>
      <w:r/>
      <w:bookmarkStart w:id="322" w:name="_Toc150509282"/>
      <w:r/>
      <w:bookmarkStart w:id="323" w:name="_Toc164351625"/>
      <w:r/>
      <w:bookmarkStart w:id="324" w:name="_Toc164608645"/>
      <w:r/>
      <w:bookmarkStart w:id="325" w:name="_Ref467306513"/>
      <w:r/>
      <w:bookmarkStart w:id="326" w:name="_Toc226965721"/>
      <w:r/>
      <w:bookmarkStart w:id="327" w:name="_Toc151193629"/>
      <w:r/>
      <w:bookmarkStart w:id="328" w:name="_Toc151193919"/>
      <w:r/>
      <w:bookmarkStart w:id="329" w:name="_Toc151190158"/>
      <w:r/>
      <w:bookmarkStart w:id="330" w:name="_Toc520356156"/>
      <w:r/>
      <w:bookmarkStart w:id="331" w:name="_Toc151193773"/>
      <w:r/>
      <w:bookmarkStart w:id="332" w:name="_Toc150480769"/>
      <w:r/>
      <w:bookmarkStart w:id="333" w:name="_Toc195842896"/>
      <w:r>
        <w:rPr>
          <w:rFonts w:hint="eastAsia" w:ascii="仿宋" w:hAnsi="仿宋" w:eastAsia="仿宋" w:cs="仿宋"/>
          <w:sz w:val="21"/>
          <w:szCs w:val="21"/>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12.1根据江苏省和常州市的相关文件规定，免收投标保证金。</w:t>
      </w:r>
      <w:r/>
    </w:p>
    <w:p>
      <w:pPr>
        <w:pStyle w:val="1242"/>
        <w:ind w:firstLine="420"/>
        <w:spacing w:line="360" w:lineRule="auto"/>
        <w:rPr>
          <w:rFonts w:hint="eastAsia" w:ascii="仿宋" w:hAnsi="仿宋" w:eastAsia="仿宋" w:cs="仿宋"/>
          <w:sz w:val="21"/>
          <w:szCs w:val="21"/>
          <w:highlight w:val="none"/>
        </w:rPr>
      </w:pPr>
      <w:r/>
      <w:bookmarkStart w:id="334" w:name="_Toc149720825"/>
      <w:r/>
      <w:bookmarkStart w:id="335" w:name="_Toc226965805"/>
      <w:r/>
      <w:bookmarkStart w:id="336" w:name="_Toc151193920"/>
      <w:r/>
      <w:bookmarkStart w:id="337" w:name="_Toc151193774"/>
      <w:r/>
      <w:bookmarkStart w:id="338" w:name="_Toc520356157"/>
      <w:r/>
      <w:bookmarkStart w:id="339" w:name="_Toc305158800"/>
      <w:r/>
      <w:bookmarkStart w:id="340" w:name="_Toc164229227"/>
      <w:r/>
      <w:bookmarkStart w:id="341" w:name="_Toc226337228"/>
      <w:r/>
      <w:bookmarkStart w:id="342" w:name="_Toc127151733"/>
      <w:r/>
      <w:bookmarkStart w:id="343" w:name="_Toc150480770"/>
      <w:r/>
      <w:bookmarkStart w:id="344" w:name="_Toc151193846"/>
      <w:r/>
      <w:bookmarkStart w:id="345" w:name="_Toc164608801"/>
      <w:r/>
      <w:bookmarkStart w:id="346" w:name="_Toc265228370"/>
      <w:r/>
      <w:bookmarkStart w:id="347" w:name="_Toc226309776"/>
      <w:r/>
      <w:bookmarkStart w:id="348" w:name="_Toc150774737"/>
      <w:r/>
      <w:bookmarkStart w:id="349" w:name="_Toc151193630"/>
      <w:r/>
      <w:bookmarkStart w:id="350" w:name="_Toc164608646"/>
      <w:r/>
      <w:bookmarkStart w:id="351" w:name="_Toc195842897"/>
      <w:r/>
      <w:bookmarkStart w:id="352" w:name="_Toc127151532"/>
      <w:r/>
      <w:bookmarkStart w:id="353" w:name="_Toc150509283"/>
      <w:r/>
      <w:bookmarkStart w:id="354" w:name="_Toc164229373"/>
      <w:r/>
      <w:bookmarkStart w:id="355" w:name="_Toc305158874"/>
      <w:r/>
      <w:bookmarkStart w:id="356" w:name="_Toc127161446"/>
      <w:r/>
      <w:bookmarkStart w:id="357" w:name="_Toc226965722"/>
      <w:r/>
      <w:bookmarkStart w:id="358" w:name="_Toc142311034"/>
      <w:r/>
      <w:bookmarkStart w:id="359" w:name="_Toc150774632"/>
      <w:r/>
      <w:bookmarkStart w:id="360" w:name="_Toc264969222"/>
      <w:r/>
      <w:bookmarkStart w:id="361" w:name="_Toc164351626"/>
      <w:r/>
      <w:bookmarkStart w:id="362" w:name="_Toc151190159"/>
      <w:r/>
      <w:bookmarkStart w:id="363" w:name="_Toc151193702"/>
      <w:r>
        <w:rPr>
          <w:rFonts w:hint="eastAsia" w:ascii="仿宋" w:hAnsi="仿宋" w:eastAsia="仿宋" w:cs="仿宋"/>
          <w:sz w:val="21"/>
          <w:szCs w:val="21"/>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13.1投标文件应在本招标文件《供应商须知资料表》中规定的投标有效期内保持有效，投标有效期少于招标文件规定期限的，其投标无效。</w:t>
      </w:r>
      <w:r/>
    </w:p>
    <w:p>
      <w:pPr>
        <w:pStyle w:val="1242"/>
        <w:ind w:firstLine="420"/>
        <w:spacing w:line="360" w:lineRule="auto"/>
        <w:rPr>
          <w:rFonts w:hint="eastAsia" w:ascii="仿宋" w:hAnsi="仿宋" w:eastAsia="仿宋" w:cs="仿宋"/>
          <w:sz w:val="21"/>
          <w:szCs w:val="21"/>
          <w:highlight w:val="none"/>
        </w:rPr>
      </w:pPr>
      <w:r/>
      <w:bookmarkStart w:id="364" w:name="_Toc164229374"/>
      <w:r/>
      <w:bookmarkStart w:id="365" w:name="_Toc151193703"/>
      <w:r/>
      <w:bookmarkStart w:id="366" w:name="_Toc164351627"/>
      <w:r/>
      <w:bookmarkStart w:id="367" w:name="_Toc195842898"/>
      <w:r/>
      <w:bookmarkStart w:id="368" w:name="_Toc151193921"/>
      <w:r/>
      <w:bookmarkStart w:id="369" w:name="_Toc127161447"/>
      <w:r/>
      <w:bookmarkStart w:id="370" w:name="_Toc150480771"/>
      <w:r/>
      <w:bookmarkStart w:id="371" w:name="_Toc127151533"/>
      <w:r/>
      <w:bookmarkStart w:id="372" w:name="_Toc142311035"/>
      <w:r/>
      <w:bookmarkStart w:id="373" w:name="_Toc151190160"/>
      <w:r/>
      <w:bookmarkStart w:id="374" w:name="_Toc164229228"/>
      <w:r/>
      <w:bookmarkStart w:id="375" w:name="_Toc520356158"/>
      <w:r/>
      <w:bookmarkStart w:id="376" w:name="_Toc151193847"/>
      <w:r/>
      <w:bookmarkStart w:id="377" w:name="_Toc226965806"/>
      <w:r/>
      <w:bookmarkStart w:id="378" w:name="_Toc305158875"/>
      <w:r/>
      <w:bookmarkStart w:id="379" w:name="_Toc265228371"/>
      <w:r/>
      <w:bookmarkStart w:id="380" w:name="_Toc226337229"/>
      <w:r/>
      <w:bookmarkStart w:id="381" w:name="_Toc150774738"/>
      <w:r/>
      <w:bookmarkStart w:id="382" w:name="_Toc226965723"/>
      <w:r/>
      <w:bookmarkStart w:id="383" w:name="_Toc149720826"/>
      <w:r/>
      <w:bookmarkStart w:id="384" w:name="_Toc226309777"/>
      <w:r/>
      <w:bookmarkStart w:id="385" w:name="_Toc127151734"/>
      <w:r/>
      <w:bookmarkStart w:id="386" w:name="_Toc164608647"/>
      <w:r/>
      <w:bookmarkStart w:id="387" w:name="_Toc164608802"/>
      <w:r/>
      <w:bookmarkStart w:id="388" w:name="_Toc150509284"/>
      <w:r/>
      <w:bookmarkStart w:id="389" w:name="_Toc264969223"/>
      <w:r/>
      <w:bookmarkStart w:id="390" w:name="_Toc151193631"/>
      <w:r/>
      <w:bookmarkStart w:id="391" w:name="_Toc150774633"/>
      <w:r/>
      <w:bookmarkStart w:id="392" w:name="_Toc305158801"/>
      <w:r/>
      <w:bookmarkStart w:id="393" w:name="_Toc151193775"/>
      <w:r>
        <w:rPr>
          <w:rFonts w:hint="eastAsia" w:ascii="仿宋" w:hAnsi="仿宋" w:eastAsia="仿宋" w:cs="仿宋"/>
          <w:sz w:val="21"/>
          <w:szCs w:val="21"/>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仿宋" w:hAnsi="仿宋" w:eastAsia="仿宋" w:cs="仿宋"/>
          <w:sz w:val="21"/>
          <w:szCs w:val="21"/>
          <w:highlight w:val="none"/>
        </w:rPr>
        <w:t xml:space="preserve">、加盖公章</w:t>
      </w:r>
      <w:r/>
    </w:p>
    <w:p>
      <w:pPr>
        <w:pStyle w:val="1242"/>
        <w:ind w:firstLine="420"/>
        <w:spacing w:line="360" w:lineRule="auto"/>
        <w:rPr>
          <w:rFonts w:hint="eastAsia" w:ascii="仿宋" w:hAnsi="仿宋" w:eastAsia="仿宋" w:cs="仿宋"/>
          <w:sz w:val="21"/>
          <w:szCs w:val="21"/>
          <w:highlight w:val="none"/>
        </w:rPr>
      </w:pPr>
      <w:r/>
      <w:bookmarkStart w:id="394" w:name="_Toc226337230"/>
      <w:r/>
      <w:bookmarkStart w:id="395" w:name="_Toc305158876"/>
      <w:r/>
      <w:bookmarkStart w:id="396" w:name="_Toc151193704"/>
      <w:r/>
      <w:bookmarkStart w:id="397" w:name="_Toc142311036"/>
      <w:r/>
      <w:bookmarkStart w:id="398" w:name="_Toc305158802"/>
      <w:r/>
      <w:bookmarkStart w:id="399" w:name="_Toc151193632"/>
      <w:r/>
      <w:bookmarkStart w:id="400" w:name="_Toc226309778"/>
      <w:r/>
      <w:bookmarkStart w:id="401" w:name="_Toc150774634"/>
      <w:r/>
      <w:bookmarkStart w:id="402" w:name="_Toc195842899"/>
      <w:r/>
      <w:bookmarkStart w:id="403" w:name="_Toc151193776"/>
      <w:r/>
      <w:bookmarkStart w:id="404" w:name="_Toc151193922"/>
      <w:r/>
      <w:bookmarkStart w:id="405" w:name="_Toc226965807"/>
      <w:r/>
      <w:bookmarkStart w:id="406" w:name="_Toc150480772"/>
      <w:r/>
      <w:bookmarkStart w:id="407" w:name="_Toc151190161"/>
      <w:r/>
      <w:bookmarkStart w:id="408" w:name="_Toc150509285"/>
      <w:r/>
      <w:bookmarkStart w:id="409" w:name="_Toc264969224"/>
      <w:r/>
      <w:bookmarkStart w:id="410" w:name="_Toc127151534"/>
      <w:r/>
      <w:bookmarkStart w:id="411" w:name="_Toc226965724"/>
      <w:r/>
      <w:bookmarkStart w:id="412" w:name="_Toc151193848"/>
      <w:r/>
      <w:bookmarkStart w:id="413" w:name="_Toc265228372"/>
      <w:r/>
      <w:bookmarkStart w:id="414" w:name="_Toc520356159"/>
      <w:r/>
      <w:bookmarkStart w:id="415" w:name="_Toc150774739"/>
      <w:r>
        <w:rPr>
          <w:rFonts w:hint="eastAsia" w:ascii="仿宋" w:hAnsi="仿宋" w:eastAsia="仿宋" w:cs="仿宋"/>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招标文件要求加盖公章的内容，一般通过投标文件编制工具加盖电子签章。</w:t>
      </w:r>
      <w:r/>
    </w:p>
    <w:p>
      <w:pPr>
        <w:pStyle w:val="998"/>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pStyle w:val="1242"/>
        <w:ind w:firstLine="420"/>
        <w:spacing w:line="360" w:lineRule="auto"/>
        <w:rPr>
          <w:rFonts w:hint="eastAsia" w:ascii="仿宋" w:hAnsi="仿宋" w:eastAsia="仿宋" w:cs="仿宋"/>
          <w:sz w:val="21"/>
          <w:szCs w:val="21"/>
          <w:highlight w:val="none"/>
        </w:rPr>
      </w:pPr>
      <w:r/>
      <w:bookmarkStart w:id="416" w:name="_Toc150774741"/>
      <w:r/>
      <w:bookmarkStart w:id="417" w:name="_Toc149720829"/>
      <w:r/>
      <w:bookmarkStart w:id="418" w:name="_Toc164608650"/>
      <w:r/>
      <w:bookmarkStart w:id="419" w:name="_Toc265228374"/>
      <w:r/>
      <w:bookmarkStart w:id="420" w:name="_Toc151193850"/>
      <w:r/>
      <w:bookmarkStart w:id="421" w:name="_Toc164229377"/>
      <w:r/>
      <w:bookmarkStart w:id="422" w:name="_Toc226965726"/>
      <w:r/>
      <w:bookmarkStart w:id="423" w:name="_Toc150480774"/>
      <w:r/>
      <w:bookmarkStart w:id="424" w:name="_Toc264969226"/>
      <w:r/>
      <w:bookmarkStart w:id="425" w:name="_Toc151193924"/>
      <w:r/>
      <w:bookmarkStart w:id="426" w:name="_Toc150774636"/>
      <w:r/>
      <w:bookmarkStart w:id="427" w:name="_Toc164608805"/>
      <w:r/>
      <w:bookmarkStart w:id="428" w:name="_Toc127151737"/>
      <w:r/>
      <w:bookmarkStart w:id="429" w:name="_Toc520356161"/>
      <w:r/>
      <w:bookmarkStart w:id="430" w:name="_Toc150509287"/>
      <w:r/>
      <w:bookmarkStart w:id="431" w:name="_Toc151190163"/>
      <w:r/>
      <w:bookmarkStart w:id="432" w:name="_Toc151193706"/>
      <w:r/>
      <w:bookmarkStart w:id="433" w:name="_Toc305158804"/>
      <w:r/>
      <w:bookmarkStart w:id="434" w:name="_Toc226309780"/>
      <w:r/>
      <w:bookmarkStart w:id="435" w:name="_Toc305158878"/>
      <w:r/>
      <w:bookmarkStart w:id="436" w:name="_Toc164229231"/>
      <w:r/>
      <w:bookmarkStart w:id="437" w:name="_Toc151193778"/>
      <w:r/>
      <w:bookmarkStart w:id="438" w:name="_Toc164351630"/>
      <w:r/>
      <w:bookmarkStart w:id="439" w:name="_Toc151193634"/>
      <w:r/>
      <w:bookmarkStart w:id="440" w:name="_Toc226337232"/>
      <w:r/>
      <w:bookmarkStart w:id="441" w:name="_Toc195842901"/>
      <w:r/>
      <w:bookmarkStart w:id="442" w:name="_Toc142311038"/>
      <w:r/>
      <w:bookmarkStart w:id="443" w:name="_Toc127151536"/>
      <w:r/>
      <w:bookmarkStart w:id="444" w:name="_Toc226965809"/>
      <w:r/>
      <w:bookmarkStart w:id="445" w:name="_Toc127161450"/>
      <w:r/>
      <w:bookmarkStart w:id="446" w:name="_Toc150480776"/>
      <w:r/>
      <w:bookmarkStart w:id="447" w:name="_Toc127151538"/>
      <w:r/>
      <w:bookmarkStart w:id="448" w:name="_Toc142311040"/>
      <w:r/>
      <w:bookmarkStart w:id="449" w:name="_Toc226965728"/>
      <w:r/>
      <w:bookmarkStart w:id="450" w:name="_Toc305158880"/>
      <w:r/>
      <w:bookmarkStart w:id="451" w:name="_Toc226337234"/>
      <w:r/>
      <w:bookmarkStart w:id="452" w:name="_Toc150774638"/>
      <w:r/>
      <w:bookmarkStart w:id="453" w:name="_Toc195842903"/>
      <w:r/>
      <w:bookmarkStart w:id="454" w:name="_Toc305158806"/>
      <w:r/>
      <w:bookmarkStart w:id="455" w:name="_Toc265228376"/>
      <w:r/>
      <w:bookmarkStart w:id="456" w:name="_Toc150774743"/>
      <w:r/>
      <w:bookmarkStart w:id="457" w:name="_Toc150509289"/>
      <w:r/>
      <w:bookmarkStart w:id="458" w:name="_Toc151193852"/>
      <w:r/>
      <w:bookmarkStart w:id="459" w:name="_Toc226309782"/>
      <w:r/>
      <w:bookmarkStart w:id="460" w:name="_Toc151193636"/>
      <w:r/>
      <w:bookmarkStart w:id="461" w:name="_Toc151190165"/>
      <w:r/>
      <w:bookmarkStart w:id="462" w:name="_Toc151193780"/>
      <w:r/>
      <w:bookmarkStart w:id="463" w:name="_Toc264969228"/>
      <w:r/>
      <w:bookmarkStart w:id="464" w:name="_Toc226965811"/>
      <w:r/>
      <w:bookmarkStart w:id="465" w:name="_Toc151193708"/>
      <w:r/>
      <w:bookmarkStart w:id="466" w:name="_Toc151193926"/>
      <w:r/>
      <w:bookmarkStart w:id="467" w:name="_Toc520356163"/>
      <w:r>
        <w:rPr>
          <w:rFonts w:hint="eastAsia" w:ascii="仿宋" w:hAnsi="仿宋" w:eastAsia="仿宋" w:cs="仿宋"/>
          <w:sz w:val="21"/>
          <w:szCs w:val="21"/>
          <w:highlight w:val="none"/>
        </w:rPr>
        <w:t xml:space="preserve">15.1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本项目使用“苏采云”政府采购一体化平台。供应商根据招标文件及“苏采云”政府采购一体化平台供应商操作手册要求编制、生成并提交电子投标文件。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采购人及采购代理机构拒绝接受通过“苏采云”政府采购一体化平台以外任何形式提交的投标文件。</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pStyle w:val="1242"/>
        <w:ind w:firstLine="420"/>
        <w:spacing w:line="360" w:lineRule="auto"/>
        <w:rPr>
          <w:rFonts w:hint="eastAsia" w:ascii="仿宋" w:hAnsi="仿宋" w:eastAsia="仿宋" w:cs="仿宋"/>
          <w:sz w:val="21"/>
          <w:szCs w:val="21"/>
          <w:highlight w:val="none"/>
        </w:rPr>
      </w:pPr>
      <w:r/>
      <w:bookmarkStart w:id="468" w:name="_Toc149720830"/>
      <w:r/>
      <w:bookmarkStart w:id="469" w:name="_Toc265228375"/>
      <w:r/>
      <w:bookmarkStart w:id="470" w:name="_Toc150774742"/>
      <w:r/>
      <w:bookmarkStart w:id="471" w:name="_Toc127161451"/>
      <w:r/>
      <w:bookmarkStart w:id="472" w:name="_Toc305158879"/>
      <w:r/>
      <w:bookmarkStart w:id="473" w:name="_Toc520356162"/>
      <w:r/>
      <w:bookmarkStart w:id="474" w:name="_Toc142311039"/>
      <w:r/>
      <w:bookmarkStart w:id="475" w:name="_Toc151190164"/>
      <w:r/>
      <w:bookmarkStart w:id="476" w:name="_Toc150774637"/>
      <w:r/>
      <w:bookmarkStart w:id="477" w:name="_Toc226965727"/>
      <w:r/>
      <w:bookmarkStart w:id="478" w:name="_Toc151193925"/>
      <w:r/>
      <w:bookmarkStart w:id="479" w:name="_Toc127151738"/>
      <w:r/>
      <w:bookmarkStart w:id="480" w:name="_Toc151193707"/>
      <w:r/>
      <w:bookmarkStart w:id="481" w:name="_Toc226337233"/>
      <w:r/>
      <w:bookmarkStart w:id="482" w:name="_Toc305158805"/>
      <w:r/>
      <w:bookmarkStart w:id="483" w:name="_Toc226309781"/>
      <w:r/>
      <w:bookmarkStart w:id="484" w:name="_Toc164351631"/>
      <w:r/>
      <w:bookmarkStart w:id="485" w:name="_Toc151193779"/>
      <w:r/>
      <w:bookmarkStart w:id="486" w:name="_Toc151193851"/>
      <w:r/>
      <w:bookmarkStart w:id="487" w:name="_Toc150509288"/>
      <w:r/>
      <w:bookmarkStart w:id="488" w:name="_Toc151193635"/>
      <w:r/>
      <w:bookmarkStart w:id="489" w:name="_Toc226965810"/>
      <w:r/>
      <w:bookmarkStart w:id="490" w:name="_Toc164608651"/>
      <w:r/>
      <w:bookmarkStart w:id="491" w:name="_Toc150480775"/>
      <w:r/>
      <w:bookmarkStart w:id="492" w:name="_Toc164608806"/>
      <w:r/>
      <w:bookmarkStart w:id="493" w:name="_Toc164229378"/>
      <w:r/>
      <w:bookmarkStart w:id="494" w:name="_Toc164229232"/>
      <w:r/>
      <w:bookmarkStart w:id="495" w:name="_Toc127151537"/>
      <w:r/>
      <w:bookmarkStart w:id="496" w:name="_Toc195842902"/>
      <w:r/>
      <w:bookmarkStart w:id="497" w:name="_Toc264969227"/>
      <w:r>
        <w:rPr>
          <w:rFonts w:hint="eastAsia" w:ascii="仿宋" w:hAnsi="仿宋" w:eastAsia="仿宋" w:cs="仿宋"/>
          <w:sz w:val="21"/>
          <w:szCs w:val="21"/>
          <w:highlight w:val="none"/>
        </w:rPr>
        <w:t xml:space="preserve">16.投标截止时间</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供应商应在招标文件要求提交投标文件截止时间前，将电子投标文件提交至“苏采云”政府采购一体化平台。</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17.投标文件的修改与撤回</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17.1投标截止时间前，供应商可以通过“苏采云”政府采购一体化平台对所提交的投标文件进行补充、修改或者撤回。</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供应商对投标文件的补充、修改的内容应当按照招标文件要求签署、加盖公章，作为投标文件的组成部分。</w:t>
      </w:r>
      <w:r/>
    </w:p>
    <w:p>
      <w:pPr>
        <w:pStyle w:val="998"/>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   开标、资格审查及评标</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pStyle w:val="1242"/>
        <w:ind w:firstLine="420"/>
        <w:spacing w:line="360" w:lineRule="auto"/>
        <w:rPr>
          <w:rFonts w:hint="eastAsia" w:ascii="仿宋" w:hAnsi="仿宋" w:eastAsia="仿宋" w:cs="仿宋"/>
          <w:sz w:val="21"/>
          <w:szCs w:val="21"/>
          <w:highlight w:val="none"/>
        </w:rPr>
      </w:pPr>
      <w:r/>
      <w:bookmarkStart w:id="498" w:name="_Toc151193853"/>
      <w:r/>
      <w:bookmarkStart w:id="499" w:name="_Toc305158807"/>
      <w:r/>
      <w:bookmarkStart w:id="500" w:name="_Toc195842904"/>
      <w:r/>
      <w:bookmarkStart w:id="501" w:name="_Toc226309783"/>
      <w:r/>
      <w:bookmarkStart w:id="502" w:name="_Toc150509290"/>
      <w:r/>
      <w:bookmarkStart w:id="503" w:name="_Toc226965729"/>
      <w:r/>
      <w:bookmarkStart w:id="504" w:name="_Toc150480777"/>
      <w:r/>
      <w:bookmarkStart w:id="505" w:name="_Toc226965812"/>
      <w:r/>
      <w:bookmarkStart w:id="506" w:name="_Toc127151740"/>
      <w:r/>
      <w:bookmarkStart w:id="507" w:name="_Toc265228377"/>
      <w:r/>
      <w:bookmarkStart w:id="508" w:name="_Toc151190166"/>
      <w:r/>
      <w:bookmarkStart w:id="509" w:name="_Toc150774744"/>
      <w:r/>
      <w:bookmarkStart w:id="510" w:name="_Toc150774639"/>
      <w:r/>
      <w:bookmarkStart w:id="511" w:name="_Toc164229380"/>
      <w:r/>
      <w:bookmarkStart w:id="512" w:name="_Toc127161453"/>
      <w:r/>
      <w:bookmarkStart w:id="513" w:name="_Toc164608653"/>
      <w:r/>
      <w:bookmarkStart w:id="514" w:name="_Toc142311041"/>
      <w:r/>
      <w:bookmarkStart w:id="515" w:name="_Toc151193637"/>
      <w:r/>
      <w:bookmarkStart w:id="516" w:name="_Toc164608808"/>
      <w:r/>
      <w:bookmarkStart w:id="517" w:name="_Toc264969229"/>
      <w:r/>
      <w:bookmarkStart w:id="518" w:name="_Toc164351633"/>
      <w:r/>
      <w:bookmarkStart w:id="519" w:name="_Toc305158881"/>
      <w:r/>
      <w:bookmarkStart w:id="520" w:name="_Toc151193781"/>
      <w:r/>
      <w:bookmarkStart w:id="521" w:name="_Toc164229234"/>
      <w:r/>
      <w:bookmarkStart w:id="522" w:name="_Toc226337235"/>
      <w:r/>
      <w:bookmarkStart w:id="523" w:name="_Toc127151539"/>
      <w:r/>
      <w:bookmarkStart w:id="524" w:name="_Toc151193709"/>
      <w:r/>
      <w:bookmarkStart w:id="525" w:name="_Toc520356164"/>
      <w:r/>
      <w:bookmarkStart w:id="526" w:name="_Toc149720832"/>
      <w:r/>
      <w:bookmarkStart w:id="527" w:name="_Toc151193927"/>
      <w:r/>
      <w:bookmarkStart w:id="528" w:name="_Toc520356169"/>
      <w:r/>
      <w:bookmarkStart w:id="529" w:name="_Toc265228383"/>
      <w:r/>
      <w:bookmarkStart w:id="530" w:name="_Toc226337241"/>
      <w:r/>
      <w:bookmarkStart w:id="531" w:name="_Toc151193787"/>
      <w:r/>
      <w:bookmarkStart w:id="532" w:name="_Toc127151545"/>
      <w:r/>
      <w:bookmarkStart w:id="533" w:name="_Toc142311047"/>
      <w:r/>
      <w:bookmarkStart w:id="534" w:name="_Toc151193715"/>
      <w:r/>
      <w:bookmarkStart w:id="535" w:name="_Toc151190172"/>
      <w:r/>
      <w:bookmarkStart w:id="536" w:name="_Toc305158887"/>
      <w:r/>
      <w:bookmarkStart w:id="537" w:name="_Toc150774750"/>
      <w:r/>
      <w:bookmarkStart w:id="538" w:name="_Toc150480783"/>
      <w:r/>
      <w:bookmarkStart w:id="539" w:name="_Toc264969235"/>
      <w:r/>
      <w:bookmarkStart w:id="540" w:name="_Toc150509296"/>
      <w:r/>
      <w:bookmarkStart w:id="541" w:name="_Toc151193933"/>
      <w:r/>
      <w:bookmarkStart w:id="542" w:name="_Toc305158813"/>
      <w:r/>
      <w:bookmarkStart w:id="543" w:name="_Toc195842910"/>
      <w:r/>
      <w:bookmarkStart w:id="544" w:name="_Toc226309789"/>
      <w:r/>
      <w:bookmarkStart w:id="545" w:name="_Toc226965818"/>
      <w:r/>
      <w:bookmarkStart w:id="546" w:name="_Toc150774645"/>
      <w:r/>
      <w:bookmarkStart w:id="547" w:name="_Toc151193643"/>
      <w:r/>
      <w:bookmarkStart w:id="548" w:name="_Toc151193859"/>
      <w:r/>
      <w:bookmarkStart w:id="549" w:name="_Toc226965735"/>
      <w:r>
        <w:rPr>
          <w:rFonts w:hint="eastAsia" w:ascii="仿宋" w:hAnsi="仿宋" w:eastAsia="仿宋" w:cs="仿宋"/>
          <w:sz w:val="21"/>
          <w:szCs w:val="21"/>
          <w:highlight w:val="none"/>
        </w:rPr>
        <w:t xml:space="preserve">18.开标</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pStyle w:val="1242"/>
        <w:ind w:firstLine="420"/>
        <w:spacing w:line="360" w:lineRule="auto"/>
        <w:rPr>
          <w:rFonts w:hint="eastAsia" w:ascii="仿宋" w:hAnsi="仿宋" w:eastAsia="仿宋" w:cs="仿宋"/>
          <w:sz w:val="21"/>
          <w:szCs w:val="21"/>
          <w:highlight w:val="none"/>
        </w:rPr>
      </w:pPr>
      <w:r/>
      <w:bookmarkStart w:id="550" w:name="_Toc520356165"/>
      <w:r>
        <w:rPr>
          <w:rFonts w:hint="eastAsia" w:ascii="仿宋" w:hAnsi="仿宋" w:eastAsia="仿宋" w:cs="仿宋"/>
          <w:sz w:val="21"/>
          <w:szCs w:val="21"/>
          <w:highlight w:val="none"/>
        </w:rPr>
        <w:t xml:space="preserve">18.1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采购人或采购代理机构将按招标文件的规定，在投标截止时间的同一时间和招标文件预先确定的地点组织开标。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18.3</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18.4</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18.5</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供应商不足3家的，不予开标。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18.6</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18.8</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1)平台系统发生故障而无法登录访问的；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2)平台系统应用或数据库出现错误，不能进行正常操作的；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3)平台系统发现严重安全漏洞，有潜在泄密危险的；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4)病毒发作导致平台系统不能进行正常操作的；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5)其他无法保证本次采购活动的公平、公正和安全的情况。</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19.资格审查</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19.1见第三章《资格审查》。</w:t>
      </w:r>
      <w:bookmarkEnd w:id="550"/>
      <w:r/>
      <w:r/>
    </w:p>
    <w:p>
      <w:pPr>
        <w:pStyle w:val="1242"/>
        <w:ind w:firstLine="420"/>
        <w:spacing w:line="360" w:lineRule="auto"/>
        <w:rPr>
          <w:rFonts w:hint="eastAsia" w:ascii="仿宋" w:hAnsi="仿宋" w:eastAsia="仿宋" w:cs="仿宋"/>
          <w:sz w:val="21"/>
          <w:szCs w:val="21"/>
          <w:highlight w:val="none"/>
        </w:rPr>
      </w:pPr>
      <w:r/>
      <w:bookmarkStart w:id="551" w:name="_Toc265228378"/>
      <w:r/>
      <w:bookmarkStart w:id="552" w:name="_Toc164229235"/>
      <w:r/>
      <w:bookmarkStart w:id="553" w:name="_Toc149720833"/>
      <w:r/>
      <w:bookmarkStart w:id="554" w:name="_Toc151193928"/>
      <w:r/>
      <w:bookmarkStart w:id="555" w:name="_Toc127151540"/>
      <w:r/>
      <w:bookmarkStart w:id="556" w:name="_Toc151193710"/>
      <w:r/>
      <w:bookmarkStart w:id="557" w:name="_Toc151193854"/>
      <w:r/>
      <w:bookmarkStart w:id="558" w:name="_Toc195842905"/>
      <w:r/>
      <w:bookmarkStart w:id="559" w:name="_Toc305158882"/>
      <w:r/>
      <w:bookmarkStart w:id="560" w:name="_Toc150480778"/>
      <w:r/>
      <w:bookmarkStart w:id="561" w:name="_Toc226965730"/>
      <w:r/>
      <w:bookmarkStart w:id="562" w:name="_Toc164229381"/>
      <w:r/>
      <w:bookmarkStart w:id="563" w:name="_Toc151190167"/>
      <w:r/>
      <w:bookmarkStart w:id="564" w:name="_Toc151193638"/>
      <w:r/>
      <w:bookmarkStart w:id="565" w:name="_Toc226337236"/>
      <w:r/>
      <w:bookmarkStart w:id="566" w:name="_Toc164608654"/>
      <w:r/>
      <w:bookmarkStart w:id="567" w:name="_Toc150774640"/>
      <w:r/>
      <w:bookmarkStart w:id="568" w:name="_Toc142311042"/>
      <w:r/>
      <w:bookmarkStart w:id="569" w:name="_Toc264969230"/>
      <w:r/>
      <w:bookmarkStart w:id="570" w:name="_Toc150774745"/>
      <w:r/>
      <w:bookmarkStart w:id="571" w:name="_Toc164351634"/>
      <w:r/>
      <w:bookmarkStart w:id="572" w:name="_Toc164608809"/>
      <w:r/>
      <w:bookmarkStart w:id="573" w:name="_Toc305158808"/>
      <w:r/>
      <w:bookmarkStart w:id="574" w:name="_Toc127161454"/>
      <w:r/>
      <w:bookmarkStart w:id="575" w:name="_Toc150509291"/>
      <w:r/>
      <w:bookmarkStart w:id="576" w:name="_Toc127151741"/>
      <w:r/>
      <w:bookmarkStart w:id="577" w:name="_Toc226309784"/>
      <w:r/>
      <w:bookmarkStart w:id="578" w:name="_Toc151193782"/>
      <w:r/>
      <w:bookmarkStart w:id="579" w:name="_Toc226965813"/>
      <w:r>
        <w:rPr>
          <w:rFonts w:hint="eastAsia" w:ascii="仿宋" w:hAnsi="仿宋" w:eastAsia="仿宋" w:cs="仿宋"/>
          <w:sz w:val="21"/>
          <w:szCs w:val="21"/>
          <w:highlight w:val="none"/>
        </w:rPr>
        <w:t xml:space="preserve">20.评标委员会</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20.1评标委员会根据政府采购有关规定和本次招标采购项目的特点进行组建，并负责具体评标事务，独立履行职责。</w:t>
      </w:r>
      <w:bookmarkStart w:id="580" w:name="_Toc520356166"/>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0"/>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21评标程序、评标方法和评标标准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21.1见第四章《评标程序、评标方法和评标标准》。</w:t>
      </w:r>
      <w:r/>
    </w:p>
    <w:p>
      <w:pPr>
        <w:pStyle w:val="998"/>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998"/>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   </w:t>
      </w:r>
      <w:bookmarkEnd w:id="528"/>
      <w:r>
        <w:rPr>
          <w:rFonts w:hint="eastAsia" w:ascii="仿宋" w:hAnsi="仿宋" w:eastAsia="仿宋" w:cs="仿宋"/>
          <w:sz w:val="21"/>
          <w:szCs w:val="21"/>
          <w:highlight w:val="none"/>
        </w:rPr>
        <w:t xml:space="preserve">确定中标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81" w:name="_Toc164351641"/>
      <w:r/>
      <w:bookmarkEnd w:id="581"/>
      <w:r/>
      <w:bookmarkStart w:id="582" w:name="_Toc151193861"/>
      <w:r/>
      <w:bookmarkEnd w:id="582"/>
      <w:r/>
      <w:bookmarkStart w:id="583" w:name="_Toc150509298"/>
      <w:r/>
      <w:bookmarkEnd w:id="583"/>
      <w:r/>
      <w:bookmarkStart w:id="584" w:name="_Toc164229242"/>
      <w:r/>
      <w:bookmarkEnd w:id="584"/>
      <w:r/>
      <w:bookmarkStart w:id="585" w:name="_Toc195842912"/>
      <w:r/>
      <w:bookmarkEnd w:id="585"/>
      <w:r/>
      <w:bookmarkStart w:id="586" w:name="_Toc127161461"/>
      <w:r/>
      <w:bookmarkEnd w:id="586"/>
      <w:r/>
      <w:bookmarkStart w:id="587" w:name="_Toc151190174"/>
      <w:r/>
      <w:bookmarkEnd w:id="587"/>
      <w:r/>
      <w:bookmarkStart w:id="588" w:name="_Toc226309791"/>
      <w:r/>
      <w:bookmarkEnd w:id="588"/>
      <w:r/>
      <w:bookmarkStart w:id="589" w:name="_Toc226965820"/>
      <w:r/>
      <w:bookmarkEnd w:id="589"/>
      <w:r/>
      <w:bookmarkStart w:id="590" w:name="_Toc150480785"/>
      <w:r/>
      <w:bookmarkEnd w:id="590"/>
      <w:r/>
      <w:bookmarkStart w:id="591" w:name="_Toc150774647"/>
      <w:r/>
      <w:bookmarkEnd w:id="591"/>
      <w:r/>
      <w:bookmarkStart w:id="592" w:name="_Toc305158815"/>
      <w:r/>
      <w:bookmarkEnd w:id="592"/>
      <w:r/>
      <w:bookmarkStart w:id="593" w:name="_Toc127151547"/>
      <w:r/>
      <w:bookmarkEnd w:id="593"/>
      <w:r/>
      <w:bookmarkStart w:id="594" w:name="_Toc265228385"/>
      <w:r/>
      <w:bookmarkEnd w:id="594"/>
      <w:r/>
      <w:bookmarkStart w:id="595" w:name="_Toc305158889"/>
      <w:r/>
      <w:bookmarkEnd w:id="595"/>
      <w:r/>
      <w:bookmarkStart w:id="596" w:name="_Toc164229388"/>
      <w:r/>
      <w:bookmarkEnd w:id="596"/>
      <w:r/>
      <w:bookmarkStart w:id="597" w:name="_Toc164608661"/>
      <w:r/>
      <w:bookmarkEnd w:id="597"/>
      <w:r/>
      <w:bookmarkStart w:id="598" w:name="_Toc151193935"/>
      <w:r/>
      <w:bookmarkEnd w:id="598"/>
      <w:r/>
      <w:bookmarkStart w:id="599" w:name="_Toc150774752"/>
      <w:r/>
      <w:bookmarkEnd w:id="599"/>
      <w:r/>
      <w:bookmarkStart w:id="600" w:name="_Toc127151748"/>
      <w:r/>
      <w:bookmarkEnd w:id="600"/>
      <w:r/>
      <w:bookmarkStart w:id="601" w:name="_Toc151193717"/>
      <w:r/>
      <w:bookmarkEnd w:id="601"/>
      <w:r/>
      <w:bookmarkStart w:id="602" w:name="_Toc226965737"/>
      <w:r/>
      <w:bookmarkEnd w:id="602"/>
      <w:r/>
      <w:bookmarkStart w:id="603" w:name="_Toc226337243"/>
      <w:r/>
      <w:bookmarkEnd w:id="603"/>
      <w:r/>
      <w:bookmarkStart w:id="604" w:name="_Toc151193789"/>
      <w:r/>
      <w:bookmarkEnd w:id="604"/>
      <w:r/>
      <w:bookmarkStart w:id="605" w:name="_Toc149720840"/>
      <w:r/>
      <w:bookmarkEnd w:id="605"/>
      <w:r/>
      <w:bookmarkStart w:id="606" w:name="_Toc142311049"/>
      <w:r/>
      <w:bookmarkEnd w:id="606"/>
      <w:r/>
      <w:bookmarkStart w:id="607" w:name="_Toc264969237"/>
      <w:r/>
      <w:bookmarkEnd w:id="607"/>
      <w:r/>
      <w:bookmarkStart w:id="608" w:name="_Toc164608816"/>
      <w:r/>
      <w:bookmarkEnd w:id="608"/>
      <w:r/>
      <w:bookmarkStart w:id="609" w:name="_Toc151193645"/>
      <w:r/>
      <w:bookmarkEnd w:id="609"/>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22.确定中标人</w:t>
      </w:r>
      <w:r/>
    </w:p>
    <w:p>
      <w:pPr>
        <w:pStyle w:val="1242"/>
        <w:ind w:firstLine="420"/>
        <w:spacing w:line="360" w:lineRule="auto"/>
        <w:rPr>
          <w:rFonts w:hint="eastAsia" w:ascii="仿宋" w:hAnsi="仿宋" w:eastAsia="仿宋" w:cs="仿宋"/>
          <w:sz w:val="21"/>
          <w:szCs w:val="21"/>
          <w:highlight w:val="none"/>
        </w:rPr>
      </w:pPr>
      <w:r/>
      <w:bookmarkStart w:id="610" w:name="_Toc305158817"/>
      <w:r/>
      <w:bookmarkStart w:id="611" w:name="_Toc305158891"/>
      <w:r/>
      <w:bookmarkStart w:id="612" w:name="_Toc150509300"/>
      <w:r/>
      <w:bookmarkStart w:id="613" w:name="_Toc164608818"/>
      <w:r/>
      <w:bookmarkStart w:id="614" w:name="_Toc151190176"/>
      <w:r/>
      <w:bookmarkStart w:id="615" w:name="_Toc127151549"/>
      <w:r/>
      <w:bookmarkStart w:id="616" w:name="_Toc150774649"/>
      <w:r/>
      <w:bookmarkStart w:id="617" w:name="_Toc149720842"/>
      <w:r/>
      <w:bookmarkStart w:id="618" w:name="_Toc164229390"/>
      <w:r/>
      <w:bookmarkStart w:id="619" w:name="_Toc164351643"/>
      <w:r/>
      <w:bookmarkStart w:id="620" w:name="_Toc150774754"/>
      <w:r/>
      <w:bookmarkStart w:id="621" w:name="_Toc151193937"/>
      <w:r/>
      <w:bookmarkStart w:id="622" w:name="_Toc142311051"/>
      <w:r/>
      <w:bookmarkStart w:id="623" w:name="_Toc151193791"/>
      <w:r/>
      <w:bookmarkStart w:id="624" w:name="_Toc127151750"/>
      <w:r/>
      <w:bookmarkStart w:id="625" w:name="_Toc164229244"/>
      <w:r/>
      <w:bookmarkStart w:id="626" w:name="_Toc264969239"/>
      <w:r/>
      <w:bookmarkStart w:id="627" w:name="_Toc265228387"/>
      <w:r/>
      <w:bookmarkStart w:id="628" w:name="_Toc226337245"/>
      <w:r/>
      <w:bookmarkStart w:id="629" w:name="_Toc151193647"/>
      <w:r/>
      <w:bookmarkStart w:id="630" w:name="_Toc226965822"/>
      <w:r/>
      <w:bookmarkStart w:id="631" w:name="_Toc226965739"/>
      <w:r/>
      <w:bookmarkStart w:id="632" w:name="_Toc151193863"/>
      <w:r/>
      <w:bookmarkStart w:id="633" w:name="_Toc151193719"/>
      <w:r/>
      <w:bookmarkStart w:id="634" w:name="_Toc164608663"/>
      <w:r/>
      <w:bookmarkStart w:id="635" w:name="_Toc150480787"/>
      <w:r/>
      <w:bookmarkStart w:id="636" w:name="_Toc127161463"/>
      <w:r/>
      <w:bookmarkStart w:id="637" w:name="_Toc226309793"/>
      <w:r/>
      <w:bookmarkStart w:id="638" w:name="_Toc195842914"/>
      <w:r/>
      <w:bookmarkStart w:id="639" w:name="_Ref467306425"/>
      <w:r/>
      <w:bookmarkStart w:id="640" w:name="_Toc520356176"/>
      <w:r/>
      <w:bookmarkStart w:id="641" w:name="_Ref467307090"/>
      <w:r>
        <w:rPr>
          <w:rFonts w:hint="eastAsia" w:ascii="仿宋" w:hAnsi="仿宋" w:eastAsia="仿宋" w:cs="仿宋"/>
          <w:sz w:val="21"/>
          <w:szCs w:val="21"/>
          <w:highlight w:val="none"/>
        </w:rPr>
        <w:t xml:space="preserve">22.1采购人将在评标报告确定的中标候选人名单中按顺序确定中标人，中标候选人并列的，由采购人依法确定。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23.中标公告与中标通知书</w:t>
      </w:r>
      <w:bookmarkEnd w:id="610"/>
      <w:r/>
      <w:bookmarkEnd w:id="611"/>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23.2中标通知书对采购人和中标人均具有法律效力。中标通知书发出后，采购人改变中标结果的，或者中标人放弃中标项目的，应当依法承担法律责任。</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24.废标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24.1在招标采购中，出现下列情形之一的，应予废标：</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24.1.1符合专业条件的供应商或者对招标文件作实质响应的供应商不足三家的；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24.1.2出现影响采购公正的违法、违规行为的；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24.1.3供应商的报价均超过了采购预算或最高限价（控制价），采购人不能支付的；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25.1.4因重大变故，采购任务取消的。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24.1.5</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平台系统出现序号18.8的所述情形，情况严重且影响采购活动公平、公正性的。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24.2废标后，采购人将废标理由通知所有供应商。</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pStyle w:val="1242"/>
        <w:ind w:firstLine="420"/>
        <w:spacing w:line="360" w:lineRule="auto"/>
        <w:rPr>
          <w:rFonts w:hint="eastAsia" w:ascii="仿宋" w:hAnsi="仿宋" w:eastAsia="仿宋" w:cs="仿宋"/>
          <w:sz w:val="21"/>
          <w:szCs w:val="21"/>
          <w:highlight w:val="none"/>
        </w:rPr>
      </w:pPr>
      <w:r/>
      <w:bookmarkStart w:id="642" w:name="_Toc127151751"/>
      <w:r/>
      <w:bookmarkStart w:id="643" w:name="_Toc226965740"/>
      <w:r/>
      <w:bookmarkStart w:id="644" w:name="_Ref467306978"/>
      <w:r/>
      <w:bookmarkStart w:id="645" w:name="_Toc305158818"/>
      <w:r/>
      <w:bookmarkStart w:id="646" w:name="_Toc127151550"/>
      <w:r/>
      <w:bookmarkStart w:id="647" w:name="_Toc195842915"/>
      <w:r/>
      <w:bookmarkStart w:id="648" w:name="_Ref467306377"/>
      <w:r/>
      <w:bookmarkStart w:id="649" w:name="_Toc164229391"/>
      <w:r/>
      <w:bookmarkStart w:id="650" w:name="_Toc151193792"/>
      <w:r/>
      <w:bookmarkStart w:id="651" w:name="_Ref467307062"/>
      <w:r/>
      <w:bookmarkStart w:id="652" w:name="_Toc127161464"/>
      <w:r/>
      <w:bookmarkStart w:id="653" w:name="_Toc150774650"/>
      <w:r/>
      <w:bookmarkStart w:id="654" w:name="_Toc150774755"/>
      <w:r/>
      <w:bookmarkStart w:id="655" w:name="_Toc151193938"/>
      <w:r/>
      <w:bookmarkStart w:id="656" w:name="_Toc265228388"/>
      <w:r/>
      <w:bookmarkStart w:id="657" w:name="_Toc264969240"/>
      <w:r/>
      <w:bookmarkStart w:id="658" w:name="_Toc226309794"/>
      <w:r/>
      <w:bookmarkStart w:id="659" w:name="_Toc226337246"/>
      <w:r/>
      <w:bookmarkStart w:id="660" w:name="_Toc164608819"/>
      <w:r/>
      <w:bookmarkStart w:id="661" w:name="_Toc164351644"/>
      <w:r/>
      <w:bookmarkStart w:id="662" w:name="_Toc226965823"/>
      <w:r/>
      <w:bookmarkStart w:id="663" w:name="_Toc151193864"/>
      <w:r/>
      <w:bookmarkStart w:id="664" w:name="_Toc164608664"/>
      <w:r/>
      <w:bookmarkStart w:id="665" w:name="_Toc151190177"/>
      <w:r/>
      <w:bookmarkStart w:id="666" w:name="_Toc520356175"/>
      <w:r/>
      <w:bookmarkStart w:id="667" w:name="_Toc151193720"/>
      <w:r/>
      <w:bookmarkStart w:id="668" w:name="_Ref467307204"/>
      <w:r/>
      <w:bookmarkStart w:id="669" w:name="_Toc150480788"/>
      <w:r/>
      <w:bookmarkStart w:id="670" w:name="_Toc305158892"/>
      <w:r/>
      <w:bookmarkStart w:id="671" w:name="_Toc151193648"/>
      <w:r/>
      <w:bookmarkStart w:id="672" w:name="_Toc149720843"/>
      <w:r/>
      <w:bookmarkStart w:id="673" w:name="_Toc142311052"/>
      <w:r/>
      <w:bookmarkStart w:id="674" w:name="_Toc164229245"/>
      <w:r/>
      <w:bookmarkStart w:id="675" w:name="_Toc150509301"/>
      <w:r>
        <w:rPr>
          <w:rFonts w:hint="eastAsia" w:ascii="仿宋" w:hAnsi="仿宋" w:eastAsia="仿宋" w:cs="仿宋"/>
          <w:sz w:val="21"/>
          <w:szCs w:val="21"/>
          <w:highlight w:val="none"/>
        </w:rPr>
        <w:t xml:space="preserve">25.签订合同</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25.2中标人拒绝与采购人签订合同的，采购人可以按照评标报告推荐的中标候选人名单排序，确定下一候选人为中标人，也可以重新开展政府采购活动。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25.3联合体中标的，联合体各方应当共同与采购人签订合同，就中标项目向采购人承担连带责任。</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25.4政府采购合同不能转包。</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39"/>
      <w:r/>
      <w:bookmarkEnd w:id="640"/>
      <w:r/>
      <w:bookmarkEnd w:id="641"/>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26.询问与质疑</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26.1询问</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26.1.1供应商对政府采购活动事项有疑问的，可依法提出询问，并按《供应商须知资料表》载明的形式送达采购人或采购代理机构。</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26.1.2采购人或采购代理机构对供应商依法提出的询问，在3个工作日内作出答复，但答复的内容不得涉及商业秘密。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26.2质疑</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w:t>
      </w:r>
      <w:r>
        <w:rPr>
          <w:rFonts w:hint="eastAsia" w:ascii="仿宋" w:hAnsi="仿宋" w:eastAsia="仿宋" w:cs="仿宋"/>
          <w:b/>
          <w:bCs/>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p>
    <w:p>
      <w:pPr>
        <w:pStyle w:val="1242"/>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Fonts w:hint="eastAsia" w:ascii="仿宋" w:hAnsi="仿宋" w:eastAsia="仿宋" w:cs="仿宋"/>
          <w:sz w:val="21"/>
          <w:szCs w:val="21"/>
          <w:highlight w:val="none"/>
        </w:rPr>
        <w:t xml:space="preserve">http://gk</w:t>
      </w:r>
      <w:bookmarkStart w:id="676" w:name="_Hlt100654014"/>
      <w:r>
        <w:rPr>
          <w:rFonts w:hint="eastAsia" w:ascii="仿宋" w:hAnsi="仿宋" w:eastAsia="仿宋" w:cs="仿宋"/>
          <w:sz w:val="21"/>
          <w:szCs w:val="21"/>
          <w:highlight w:val="none"/>
        </w:rPr>
        <w:t xml:space="preserve">s</w:t>
      </w:r>
      <w:bookmarkEnd w:id="676"/>
      <w:r>
        <w:rPr>
          <w:rFonts w:hint="eastAsia" w:ascii="仿宋" w:hAnsi="仿宋" w:eastAsia="仿宋" w:cs="仿宋"/>
          <w:sz w:val="21"/>
          <w:szCs w:val="21"/>
          <w:highlight w:val="none"/>
        </w:rPr>
        <w:t xml:space="preserve">.m</w:t>
      </w:r>
      <w:bookmarkStart w:id="677" w:name="_Hlt100653993"/>
      <w:r/>
      <w:bookmarkStart w:id="678" w:name="_Hlt100653994"/>
      <w:r>
        <w:rPr>
          <w:rFonts w:hint="eastAsia" w:ascii="仿宋" w:hAnsi="仿宋" w:eastAsia="仿宋" w:cs="仿宋"/>
          <w:sz w:val="21"/>
          <w:szCs w:val="21"/>
          <w:highlight w:val="none"/>
        </w:rPr>
        <w:t xml:space="preserve">o</w:t>
      </w:r>
      <w:bookmarkEnd w:id="677"/>
      <w:r/>
      <w:bookmarkEnd w:id="678"/>
      <w:r>
        <w:rPr>
          <w:rFonts w:hint="eastAsia" w:ascii="仿宋" w:hAnsi="仿宋" w:eastAsia="仿宋" w:cs="仿宋"/>
          <w:sz w:val="21"/>
          <w:szCs w:val="21"/>
          <w:highlight w:val="none"/>
        </w:rPr>
        <w:t xml:space="preserve">f.gov.cn/ztztz/zhengfucaigouguanli/201802/t20180201_2804589.htm</w:t>
      </w:r>
      <w:r>
        <w:rPr>
          <w:rFonts w:hint="eastAsia" w:ascii="仿宋" w:hAnsi="仿宋" w:eastAsia="仿宋" w:cs="仿宋"/>
          <w:sz w:val="21"/>
          <w:szCs w:val="21"/>
          <w:highlight w:val="none"/>
        </w:rPr>
        <w:fldChar w:fldCharType="end"/>
      </w:r>
      <w:r>
        <w:rPr>
          <w:rFonts w:hint="eastAsia" w:ascii="仿宋" w:hAnsi="仿宋" w:eastAsia="仿宋" w:cs="仿宋"/>
          <w:sz w:val="21"/>
          <w:szCs w:val="21"/>
          <w:highlight w:val="none"/>
        </w:rPr>
        <w:t xml:space="preserve">）</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26.2.4供应商为自然人的，应当由本人签字；供应商为法人或者其他组织的，应当由法定代表人、主要负责人，或者其授权代表签字或者加盖公章，并加盖公章。</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26.3接收询问和质疑的联系部门、联系电话和通讯地址见《供应商须知资料表》。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27.代理费</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27.2代理服务收费标准：见《供应商须知资料表》</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27.3代理费收取账户信息：</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收款单位：江苏城建校工程咨询有限公司</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开户银行：江苏银行常州怀德支行 </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账号：81700188000089469</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spacing w:line="360" w:lineRule="auto"/>
        <w:tabs>
          <w:tab w:val="left" w:pos="900" w:leader="none"/>
          <w:tab w:val="left" w:pos="1080" w:leader="none"/>
          <w:tab w:val="left" w:pos="1589"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left="360"/>
        <w:spacing w:line="360" w:lineRule="auto"/>
        <w:tabs>
          <w:tab w:val="left" w:pos="360" w:leader="none"/>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Style w:val="1207"/>
          <w:rFonts w:hint="eastAsia" w:ascii="仿宋" w:hAnsi="仿宋" w:eastAsia="仿宋" w:cs="仿宋"/>
          <w:highlight w:val="none"/>
        </w:rPr>
        <w:outlineLvl w:val="0"/>
      </w:pPr>
      <w:r/>
      <w:bookmarkStart w:id="679" w:name="_Toc142311056"/>
      <w:r/>
      <w:bookmarkStart w:id="680" w:name="_Toc127151554"/>
      <w:r/>
      <w:bookmarkStart w:id="681" w:name="_Toc265228392"/>
      <w:r/>
      <w:bookmarkStart w:id="682" w:name="_Toc353825544"/>
      <w:r/>
      <w:bookmarkStart w:id="683" w:name="_Toc305158896"/>
      <w:r/>
      <w:bookmarkStart w:id="684" w:name="_Toc264969244"/>
      <w:r/>
      <w:bookmarkStart w:id="685" w:name="_Toc353873664"/>
      <w:r/>
      <w:bookmarkStart w:id="686" w:name="_Toc305158822"/>
      <w:r/>
      <w:bookmarkStart w:id="687" w:name="_Toc226337250"/>
      <w:r/>
      <w:bookmarkStart w:id="688" w:name="_Toc150774759"/>
      <w:r/>
      <w:bookmarkStart w:id="689" w:name="_Toc150480792"/>
      <w:r/>
      <w:bookmarkStart w:id="690" w:name="_Toc226965827"/>
      <w:r/>
      <w:bookmarkStart w:id="691" w:name="_Toc353873934"/>
      <w:r>
        <w:rPr>
          <w:rFonts w:hint="eastAsia" w:ascii="仿宋" w:hAnsi="仿宋" w:eastAsia="仿宋" w:cs="仿宋"/>
          <w:sz w:val="24"/>
          <w:highlight w:val="none"/>
        </w:rPr>
        <w:br w:type="page" w:clear="all"/>
      </w:r>
      <w:bookmarkStart w:id="692" w:name="_Toc25537"/>
      <w:r>
        <w:rPr>
          <w:rStyle w:val="1207"/>
          <w:rFonts w:hint="eastAsia" w:ascii="仿宋" w:hAnsi="仿宋" w:eastAsia="仿宋" w:cs="仿宋"/>
          <w:highlight w:val="none"/>
        </w:rPr>
        <w:t xml:space="preserve">第三章   </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Style w:val="1207"/>
          <w:rFonts w:hint="eastAsia" w:ascii="仿宋" w:hAnsi="仿宋" w:eastAsia="仿宋" w:cs="仿宋"/>
          <w:highlight w:val="none"/>
        </w:rPr>
        <w:t xml:space="preserve">资格审查</w:t>
      </w:r>
      <w:bookmarkEnd w:id="692"/>
      <w:r/>
      <w:bookmarkStart w:id="693" w:name="_Toc487900382"/>
      <w:r/>
      <w:r/>
    </w:p>
    <w:p>
      <w:pPr>
        <w:jc w:val="center"/>
        <w:spacing w:line="360" w:lineRule="auto"/>
        <w:tabs>
          <w:tab w:val="left" w:pos="360" w:leader="none"/>
          <w:tab w:val="left" w:pos="900" w:leader="none"/>
        </w:tabs>
        <w:rPr>
          <w:rFonts w:hint="eastAsia" w:ascii="仿宋" w:hAnsi="仿宋" w:eastAsia="仿宋" w:cs="仿宋"/>
          <w:b/>
          <w:sz w:val="24"/>
          <w:highlight w:val="none"/>
        </w:rPr>
        <w:outlineLvl w:val="1"/>
      </w:pPr>
      <w:r/>
      <w:bookmarkStart w:id="694" w:name="_Toc99301422"/>
      <w:r>
        <w:rPr>
          <w:rFonts w:hint="eastAsia" w:ascii="仿宋" w:hAnsi="仿宋" w:eastAsia="仿宋" w:cs="仿宋"/>
          <w:b/>
          <w:sz w:val="24"/>
          <w:highlight w:val="none"/>
        </w:rPr>
        <w:t xml:space="preserve">一、资格审查程序</w:t>
      </w:r>
      <w:bookmarkEnd w:id="694"/>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1.开标结束后，采购人将根据《资格审查要求》中的规定，对供应商进行资格审查，并形成资格审查结果。</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2.《资格审查要求》中对格式有要求的，除招标文件另有规定外，均为“实质性格式”文件。</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3.供应商《资格证明文件》有任何一项不符合《资格审查要求》的，资格审查不合格，其投标无效。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4.资格审查合格的供应商不足3家的，不进行评标。</w:t>
      </w:r>
      <w:r/>
    </w:p>
    <w:p>
      <w:pPr>
        <w:ind w:firstLine="422"/>
        <w:jc w:val="center"/>
        <w:spacing w:line="360" w:lineRule="auto"/>
        <w:tabs>
          <w:tab w:val="left" w:pos="360" w:leader="none"/>
          <w:tab w:val="left" w:pos="900" w:leader="none"/>
        </w:tabs>
        <w:rPr>
          <w:rFonts w:hint="eastAsia" w:ascii="仿宋" w:hAnsi="仿宋" w:eastAsia="仿宋" w:cs="仿宋"/>
          <w:b/>
          <w:szCs w:val="21"/>
          <w:highlight w:val="none"/>
        </w:rPr>
        <w:outlineLvl w:val="1"/>
      </w:pPr>
      <w:r>
        <w:rPr>
          <w:rFonts w:hint="eastAsia" w:ascii="仿宋" w:hAnsi="仿宋" w:eastAsia="仿宋" w:cs="仿宋"/>
          <w:b/>
          <w:szCs w:val="21"/>
          <w:highlight w:val="none"/>
        </w:rPr>
        <w:t xml:space="preserve">二、资格审查要求</w:t>
      </w:r>
      <w:r/>
    </w:p>
    <w:tbl>
      <w:tblPr>
        <w:tblStyle w:val="10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3"/>
        <w:gridCol w:w="5212"/>
        <w:gridCol w:w="2202"/>
      </w:tblGrid>
      <w:tr>
        <w:trPr>
          <w:trHeight w:val="468"/>
          <w:tblHeader/>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bookmarkStart w:id="695" w:name="_Hlt487972895"/>
            <w:r/>
            <w:bookmarkEnd w:id="695"/>
            <w:r>
              <w:rPr>
                <w:rFonts w:hint="eastAsia" w:ascii="仿宋" w:hAnsi="仿宋" w:eastAsia="仿宋" w:cs="仿宋"/>
                <w:b/>
                <w:szCs w:val="21"/>
                <w:highlight w:val="none"/>
              </w:rPr>
              <w:t xml:space="preserve">序号</w:t>
            </w:r>
            <w:r/>
          </w:p>
        </w:tc>
        <w:tc>
          <w:tcPr>
            <w:tcW w:w="824"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审查因素</w:t>
            </w:r>
            <w:r/>
          </w:p>
        </w:tc>
        <w:tc>
          <w:tcPr>
            <w:tcW w:w="2615"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审查内容</w:t>
            </w:r>
            <w:r/>
          </w:p>
        </w:tc>
        <w:tc>
          <w:tcPr>
            <w:tcW w:w="1105"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格式要求</w:t>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满足《中华人民共和国政府采购法》第二十二条规定及法律法规的其他规定</w:t>
            </w:r>
            <w:r/>
          </w:p>
        </w:tc>
        <w:tc>
          <w:tcPr>
            <w:tcW w:w="2615" w:type="pct"/>
            <w:vAlign w:val="center"/>
            <w:textDirection w:val="lrTb"/>
            <w:noWrap w:val="false"/>
          </w:tcPr>
          <w:p>
            <w:pPr>
              <w:pStyle w:val="1014"/>
              <w:spacing w:before="0" w:line="2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具体规定见第一章《投标邀请》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须提供的证明材料详见《投标文件格式》及苏采云系统要求的评审材料</w:t>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82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供应商资格声明函</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提供了符合招标文件要求的《供应商资格声明函》。</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格式见《投标文件格式》</w:t>
            </w:r>
            <w:r/>
          </w:p>
        </w:tc>
      </w:tr>
      <w:tr>
        <w:trPr>
          <w:trHeight w:val="76"/>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供应商信用记录</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查询渠道：信用中国网站和中国政府采购网（www.creditchina.gov.cn、www.ccgp.gov.cn）；</w:t>
            </w:r>
            <w:r/>
          </w:p>
          <w:p>
            <w:pPr>
              <w:spacing w:line="240" w:lineRule="exact"/>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截止时点：投标截止时间以后、资格审查阶段采购人或采购代理机构的实际查询时间；</w:t>
            </w:r>
            <w:r/>
          </w:p>
          <w:p>
            <w:pPr>
              <w:spacing w:line="240" w:lineRule="exact"/>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信用信息查询记录和证据留存具体方式：查询结果网页打印页作为查询记录和证据，与其他招标文件一并保存；</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无须供应商提供，由采购人查询。</w:t>
            </w:r>
            <w:r/>
          </w:p>
        </w:tc>
      </w:tr>
      <w:tr>
        <w:trPr>
          <w:trHeight w:val="93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落实政府采购政策需满足的资格要求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具体要求见第一章《投标邀请》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中小企业声明函</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1.供应商单独投标的，应提供中小企业声明函；如为监狱企业或残疾人福利性单位，不必提供中小企业声明函，但须按注1或注2要求提供证明材料。</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注1：监狱企业须提供由省级以上监狱管理局（常州市含教育矫治局）、戒毒管理局（含新疆生产建设兵团）出具的属于监狱企业的证明文件。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注2：残疾人福利性单位须按招标文件要求提供《残疾人福利性单位声明函》。</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如本项目（包）是专门面向中小企业采购的，必须提供，格式见《投标文件格式》</w:t>
            </w:r>
            <w:r/>
          </w:p>
        </w:tc>
      </w:tr>
      <w:tr>
        <w:trPr>
          <w:trHeight w:val="120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highlight w:val="none"/>
              </w:rPr>
              <w:t xml:space="preserve">拟分包情况说明及分包意向协议（类型二）</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highlight w:val="none"/>
              </w:rPr>
            </w:pPr>
            <w:r>
              <w:rPr>
                <w:rFonts w:hint="eastAsia" w:ascii="仿宋" w:hAnsi="仿宋" w:eastAsia="仿宋" w:cs="仿宋"/>
                <w:highlight w:val="none"/>
              </w:rPr>
              <w:t xml:space="preserve">如本项目（包）要求通过分包措施预留部分采购份额面向中小企业采购、且供应商因落实政府采购政策拟进行分包的，必须提供；否则无须提供。</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highlight w:val="none"/>
              </w:rPr>
              <w:t xml:space="preserve">对于预留份额专门面向中小企业采购的项目（包），组成联合体或者接受分包合同的中小企业与联合体内其他企业、分包企业之间不得存在直接控股、管理关系。</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格式见《投标文件格式》</w:t>
            </w:r>
            <w:r/>
          </w:p>
        </w:tc>
      </w:tr>
      <w:tr>
        <w:trPr>
          <w:trHeight w:val="120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2-3</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其它落实政府采购政策的资格要求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如有，见第一章《投标邀请》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提供证明文件的扫描件加盖公章</w:t>
            </w:r>
            <w:r/>
          </w:p>
        </w:tc>
      </w:tr>
      <w:tr>
        <w:trPr>
          <w:trHeight w:val="65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本项目的特定资格要求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如有，见第一章《投标邀请》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是否接受联合体投标</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2.联合体各成员单位均须提供本表中序号1-1.1-2的证明文件。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3.本表序号3-2项规定的其他特定资格要求中的每一小项要求，联合体各方中至少应当有一方符合本表中其他资格要求并提供证明文件。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4.联合体中有同类资质的供应商按照联合体分工承担相同工作的，应当按照资质等级较低的供应商确定资质等级。</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5.以联合体形式参加政府采购活动的，联合体各方不得再单独参加或者与其他供应商另外组成联合体参加同一合同项下的政府采购活动。</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6.若联合体中任一成员单位中途退出，则该联合体的</w:t>
            </w:r>
            <w:r>
              <w:rPr>
                <w:rFonts w:hint="eastAsia" w:ascii="仿宋" w:hAnsi="仿宋" w:eastAsia="仿宋" w:cs="仿宋"/>
                <w:b/>
                <w:szCs w:val="21"/>
                <w:highlight w:val="none"/>
              </w:rPr>
              <w:t xml:space="preserve">投标无效</w:t>
            </w:r>
            <w:r>
              <w:rPr>
                <w:rFonts w:hint="eastAsia" w:ascii="仿宋" w:hAnsi="仿宋" w:eastAsia="仿宋" w:cs="仿宋"/>
                <w:szCs w:val="21"/>
                <w:highlight w:val="none"/>
              </w:rPr>
              <w:t xml:space="preserve">。</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7.本项目不接受联合体投标时，供应商不得为联合体。</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提供《联合协议》原件的电子件</w:t>
            </w:r>
            <w:r/>
          </w:p>
          <w:p>
            <w:pPr>
              <w:pStyle w:val="1042"/>
              <w:ind w:left="0" w:firstLine="0"/>
              <w:jc w:val="left"/>
              <w:spacing w:after="0" w:line="240" w:lineRule="exact"/>
              <w:rPr>
                <w:rFonts w:hint="eastAsia" w:ascii="仿宋" w:hAnsi="仿宋" w:eastAsia="仿宋" w:cs="仿宋"/>
                <w:szCs w:val="21"/>
                <w:highlight w:val="none"/>
              </w:rPr>
            </w:pPr>
            <w:r>
              <w:rPr>
                <w:rFonts w:hint="eastAsia" w:ascii="仿宋" w:hAnsi="仿宋" w:eastAsia="仿宋" w:cs="仿宋"/>
                <w:sz w:val="21"/>
                <w:szCs w:val="21"/>
                <w:highlight w:val="none"/>
              </w:rPr>
              <w:t xml:space="preserve">格式见《投标文件格式》</w:t>
            </w:r>
            <w:r/>
          </w:p>
        </w:tc>
      </w:tr>
      <w:tr>
        <w:trPr>
          <w:trHeight w:val="46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其他特定资格要求（如有）</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提供证明文件的电子件或电子证照</w:t>
            </w:r>
            <w:r/>
          </w:p>
        </w:tc>
      </w:tr>
    </w:tbl>
    <w:p>
      <w:pPr>
        <w:pStyle w:val="1014"/>
        <w:rPr>
          <w:rFonts w:hint="eastAsia" w:ascii="仿宋" w:hAnsi="仿宋" w:eastAsia="仿宋" w:cs="仿宋"/>
          <w:highlight w:val="none"/>
        </w:rPr>
      </w:pPr>
      <w:r>
        <w:rPr>
          <w:rFonts w:hint="eastAsia" w:ascii="仿宋" w:hAnsi="仿宋" w:eastAsia="仿宋" w:cs="仿宋"/>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693"/>
      <w:r/>
      <w:r/>
    </w:p>
    <w:p>
      <w:pPr>
        <w:jc w:val="center"/>
        <w:spacing w:line="360" w:lineRule="auto"/>
        <w:rPr>
          <w:rStyle w:val="1207"/>
          <w:rFonts w:hint="eastAsia" w:ascii="仿宋" w:hAnsi="仿宋" w:eastAsia="仿宋" w:cs="仿宋"/>
          <w:highlight w:val="none"/>
        </w:rPr>
        <w:outlineLvl w:val="0"/>
      </w:pPr>
      <w:r/>
      <w:bookmarkStart w:id="696" w:name="_Toc127161490"/>
      <w:r/>
      <w:bookmarkStart w:id="697" w:name="_Toc353873940"/>
      <w:r/>
      <w:bookmarkStart w:id="698" w:name="_Toc353825550"/>
      <w:r/>
      <w:bookmarkStart w:id="699" w:name="_Toc226965858"/>
      <w:r/>
      <w:bookmarkStart w:id="700" w:name="_Toc127151779"/>
      <w:r/>
      <w:bookmarkStart w:id="701" w:name="_Toc27609"/>
      <w:r>
        <w:rPr>
          <w:rStyle w:val="1207"/>
          <w:rFonts w:hint="eastAsia" w:ascii="仿宋" w:hAnsi="仿宋" w:eastAsia="仿宋" w:cs="仿宋"/>
          <w:highlight w:val="none"/>
        </w:rPr>
        <w:t xml:space="preserve">第四章   </w:t>
      </w:r>
      <w:bookmarkEnd w:id="696"/>
      <w:r/>
      <w:bookmarkEnd w:id="697"/>
      <w:r/>
      <w:bookmarkEnd w:id="698"/>
      <w:r/>
      <w:bookmarkEnd w:id="699"/>
      <w:r/>
      <w:bookmarkEnd w:id="700"/>
      <w:r/>
      <w:bookmarkStart w:id="702" w:name="_Hlt164229061"/>
      <w:r/>
      <w:bookmarkEnd w:id="702"/>
      <w:r>
        <w:rPr>
          <w:rStyle w:val="1207"/>
          <w:rFonts w:hint="eastAsia" w:ascii="仿宋" w:hAnsi="仿宋" w:eastAsia="仿宋" w:cs="仿宋"/>
          <w:highlight w:val="none"/>
        </w:rPr>
        <w:t xml:space="preserve">评标程序、评标方法和评标标准</w:t>
      </w:r>
      <w:bookmarkEnd w:id="701"/>
      <w:r/>
      <w:r/>
    </w:p>
    <w:p>
      <w:pPr>
        <w:jc w:val="center"/>
        <w:spacing w:line="360" w:lineRule="auto"/>
        <w:tabs>
          <w:tab w:val="left" w:pos="360" w:leader="none"/>
          <w:tab w:val="left" w:pos="900" w:leader="none"/>
        </w:tabs>
        <w:rPr>
          <w:rFonts w:hint="eastAsia" w:ascii="仿宋" w:hAnsi="仿宋" w:eastAsia="仿宋" w:cs="仿宋"/>
          <w:b/>
          <w:highlight w:val="none"/>
        </w:rPr>
        <w:outlineLvl w:val="1"/>
      </w:pPr>
      <w:r>
        <w:rPr>
          <w:rFonts w:hint="eastAsia" w:ascii="仿宋" w:hAnsi="仿宋" w:eastAsia="仿宋" w:cs="仿宋"/>
          <w:b/>
          <w:sz w:val="24"/>
          <w:highlight w:val="none"/>
        </w:rPr>
        <w:t xml:space="preserve">一、评标程序</w:t>
      </w:r>
      <w:r/>
    </w:p>
    <w:p>
      <w:pPr>
        <w:pStyle w:val="1242"/>
        <w:ind w:firstLine="420"/>
        <w:spacing w:line="360" w:lineRule="auto"/>
        <w:rPr>
          <w:rFonts w:hint="eastAsia" w:ascii="仿宋" w:hAnsi="仿宋" w:eastAsia="仿宋" w:cs="仿宋"/>
          <w:sz w:val="21"/>
          <w:szCs w:val="21"/>
          <w:highlight w:val="none"/>
        </w:rPr>
      </w:pPr>
      <w:r/>
      <w:bookmarkStart w:id="703" w:name="_Toc151193855"/>
      <w:r/>
      <w:bookmarkStart w:id="704" w:name="_Toc127161455"/>
      <w:r/>
      <w:bookmarkStart w:id="705" w:name="_Toc151193639"/>
      <w:r/>
      <w:bookmarkStart w:id="706" w:name="_Toc151193929"/>
      <w:r/>
      <w:bookmarkStart w:id="707" w:name="_Toc151193783"/>
      <w:r/>
      <w:bookmarkStart w:id="708" w:name="_Toc164608655"/>
      <w:r/>
      <w:bookmarkStart w:id="709" w:name="_Toc127151742"/>
      <w:r/>
      <w:bookmarkStart w:id="710" w:name="_Toc164351635"/>
      <w:r/>
      <w:bookmarkStart w:id="711" w:name="_Toc149720834"/>
      <w:r/>
      <w:bookmarkStart w:id="712" w:name="_Toc265228379"/>
      <w:r/>
      <w:bookmarkStart w:id="713" w:name="_Toc127151541"/>
      <w:r/>
      <w:bookmarkStart w:id="714" w:name="_Toc150480779"/>
      <w:r/>
      <w:bookmarkStart w:id="715" w:name="_Toc164229382"/>
      <w:r/>
      <w:bookmarkStart w:id="716" w:name="_Toc164229236"/>
      <w:r/>
      <w:bookmarkStart w:id="717" w:name="_Toc226965731"/>
      <w:r/>
      <w:bookmarkStart w:id="718" w:name="_Toc195842906"/>
      <w:r/>
      <w:bookmarkStart w:id="719" w:name="_Toc151193711"/>
      <w:r/>
      <w:bookmarkStart w:id="720" w:name="_Toc151190168"/>
      <w:r/>
      <w:bookmarkStart w:id="721" w:name="_Toc305158809"/>
      <w:r/>
      <w:bookmarkStart w:id="722" w:name="_Toc150509292"/>
      <w:r/>
      <w:bookmarkStart w:id="723" w:name="_Toc142311043"/>
      <w:r/>
      <w:bookmarkStart w:id="724" w:name="_Toc150774641"/>
      <w:r/>
      <w:bookmarkStart w:id="725" w:name="_Toc226965814"/>
      <w:r/>
      <w:bookmarkStart w:id="726" w:name="_Toc264969231"/>
      <w:r/>
      <w:bookmarkStart w:id="727" w:name="_Toc226309785"/>
      <w:r/>
      <w:bookmarkStart w:id="728" w:name="_Toc164608810"/>
      <w:r/>
      <w:bookmarkStart w:id="729" w:name="_Toc226337237"/>
      <w:r/>
      <w:bookmarkStart w:id="730" w:name="_Toc150774746"/>
      <w:r/>
      <w:bookmarkStart w:id="731" w:name="_Toc305158883"/>
      <w:r/>
      <w:bookmarkStart w:id="732" w:name="_Toc353873941"/>
      <w:r/>
      <w:bookmarkStart w:id="733" w:name="_Toc353825551"/>
      <w:r/>
      <w:bookmarkStart w:id="734" w:name="_Toc353825545"/>
      <w:r/>
      <w:bookmarkStart w:id="735" w:name="_Toc127151555"/>
      <w:r/>
      <w:bookmarkStart w:id="736" w:name="_Toc305158897"/>
      <w:r/>
      <w:bookmarkStart w:id="737" w:name="_Toc142311057"/>
      <w:r/>
      <w:bookmarkStart w:id="738" w:name="_Toc150774760"/>
      <w:r/>
      <w:bookmarkStart w:id="739" w:name="_Toc264969245"/>
      <w:r/>
      <w:bookmarkStart w:id="740" w:name="_Toc150480793"/>
      <w:r/>
      <w:bookmarkStart w:id="741" w:name="_Toc353873665"/>
      <w:r/>
      <w:bookmarkStart w:id="742" w:name="_Toc195842920"/>
      <w:r/>
      <w:bookmarkStart w:id="743" w:name="_Toc353873935"/>
      <w:r/>
      <w:bookmarkStart w:id="744" w:name="_Toc226337251"/>
      <w:r/>
      <w:bookmarkStart w:id="745" w:name="_Toc226965828"/>
      <w:r/>
      <w:bookmarkStart w:id="746" w:name="_Toc305158823"/>
      <w:r/>
      <w:bookmarkStart w:id="747" w:name="_Toc265228393"/>
      <w:r>
        <w:rPr>
          <w:rFonts w:hint="eastAsia" w:ascii="仿宋" w:hAnsi="仿宋" w:eastAsia="仿宋" w:cs="仿宋"/>
          <w:sz w:val="21"/>
          <w:szCs w:val="21"/>
          <w:highlight w:val="none"/>
        </w:rPr>
        <w:t xml:space="preserve">1.投标文件的符合性审查</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1.1评标委员会对资格审查合格的供应商的投标文件进行符合性审查，以确定其是否满足招标文件的实质性要求。</w:t>
      </w:r>
      <w:bookmarkStart w:id="748" w:name="_Toc520356167"/>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48"/>
      <w:r>
        <w:rPr>
          <w:rFonts w:hint="eastAsia" w:ascii="仿宋" w:hAnsi="仿宋" w:eastAsia="仿宋" w:cs="仿宋"/>
          <w:sz w:val="21"/>
          <w:szCs w:val="21"/>
          <w:highlight w:val="none"/>
        </w:rPr>
        <w:t xml:space="preserve">要求的，投标无效。</w:t>
      </w:r>
      <w:r/>
    </w:p>
    <w:p>
      <w:pPr>
        <w:ind w:hanging="357"/>
        <w:jc w:val="center"/>
        <w:spacing w:line="360" w:lineRule="auto"/>
        <w:tabs>
          <w:tab w:val="left" w:pos="900" w:leader="none"/>
          <w:tab w:val="left" w:pos="1080" w:leader="none"/>
          <w:tab w:val="left" w:pos="1589"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符合性审查要求</w:t>
      </w:r>
      <w:r/>
    </w:p>
    <w:tbl>
      <w:tblPr>
        <w:tblStyle w:val="1007"/>
        <w:tblW w:w="52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339"/>
        <w:gridCol w:w="7295"/>
      </w:tblGrid>
      <w:tr>
        <w:trPr>
          <w:jc w:val="center"/>
          <w:trHeight w:val="489"/>
          <w:tblHeader/>
        </w:trPr>
        <w:tc>
          <w:tcPr>
            <w:tcW w:w="353"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序号</w:t>
            </w:r>
            <w:r/>
          </w:p>
        </w:tc>
        <w:tc>
          <w:tcPr>
            <w:tcW w:w="1128"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审查因素</w:t>
            </w:r>
            <w:r/>
          </w:p>
        </w:tc>
        <w:tc>
          <w:tcPr>
            <w:tcW w:w="3518"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审查内容</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投标函、法定代表人资格证明书、法定代表人授权委托书（如有）和政府采购供应商信用承诺书</w:t>
            </w:r>
            <w:r/>
          </w:p>
        </w:tc>
        <w:tc>
          <w:tcPr>
            <w:tcW w:w="3518" w:type="pct"/>
            <w:vAlign w:val="center"/>
            <w:textDirection w:val="lrTb"/>
            <w:noWrap w:val="false"/>
          </w:tcPr>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按招标文件要求提供投标函、法定代表人资格证明书、法定代表人授权委托书（如有）和政府采购供应商信用承诺书；格式见《投标文件格式》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投标完整性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未将一个采购包中的内容拆开投标；（由评委审查，无需供应商提供材料）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投标报价</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投标报价未超过招标文件中规定的项目/采购包预算金额或者项目/采购包最高限价；（由评委审查，无需供应商提供材料）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报价唯一性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投标文件未出现可选择性或可调整的报价（招标文件另有规定的除外）；提供《开标一览表》《投标分项报价表》，格式见《投标文件格式》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投标有效期</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投标文件中承诺的投标有效期满足招标文件中载明的投标有效期的；提供承诺书。</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签署、加盖公章</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按照招标文件要求签署、加盖公章的；（由评委审查，无需供应商提供材料）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实质性格式</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标记为“实质性格式”的文件均按招标文件要求提供；除前面已提供的实质性格式文件以外，</w:t>
            </w:r>
            <w:r>
              <w:rPr>
                <w:rFonts w:hint="eastAsia" w:ascii="仿宋" w:hAnsi="仿宋" w:eastAsia="仿宋" w:cs="仿宋"/>
                <w:b/>
                <w:szCs w:val="21"/>
                <w:highlight w:val="none"/>
              </w:rPr>
              <w:t xml:space="preserve">还需提供：合同条款偏离表，采购需求偏离表</w:t>
            </w:r>
            <w:r>
              <w:rPr>
                <w:rFonts w:hint="eastAsia" w:ascii="仿宋" w:hAnsi="仿宋" w:eastAsia="仿宋" w:cs="仿宋"/>
                <w:szCs w:val="21"/>
                <w:highlight w:val="none"/>
              </w:rPr>
              <w:t xml:space="preserve">；格式见《投标文件格式》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★号条款响应</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投标文件满足招标文件第五章《采购需求》中★号条款要求的；</w:t>
            </w:r>
            <w:r>
              <w:rPr>
                <w:rFonts w:hint="eastAsia" w:ascii="仿宋" w:hAnsi="仿宋" w:eastAsia="仿宋" w:cs="仿宋"/>
                <w:b/>
                <w:szCs w:val="21"/>
                <w:highlight w:val="none"/>
              </w:rPr>
              <w:t xml:space="preserve">如有的，根据列出的实质性条款，按照序号逐项提供相关证明材料；</w:t>
            </w:r>
            <w:r>
              <w:rPr>
                <w:rFonts w:hint="eastAsia" w:ascii="仿宋" w:hAnsi="仿宋" w:eastAsia="仿宋" w:cs="仿宋"/>
                <w:szCs w:val="21"/>
                <w:highlight w:val="none"/>
              </w:rPr>
              <w:t xml:space="preserve">如没有，则无需供应商提供材料。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分包承担主体资质（如有）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分包承担主体具备《供应商须知资料表》载明的资质条件且提供了资质证书电子件（如有）；</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分包意向协议</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按招标文件规定签订并提供分包意向协议原件的电子件的；（如有）格式见《投标文件格式》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报价的修正（如有）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不涉及报价修正，或投标文件报价出现前后不一致时，供应商对修正后的报价予以确认；（如有）（由评委审查，无需供应商提供材料）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报价合理性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进口产品</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招标文件不接受进口产品投标的内容时，供应商所投产品非进口产品的；（由评委审查，无需供应商提供材料）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国家有关部门对供应商的投标产品有强制性规定或要求的</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2）投标产品如涉及计算机信息系统安全专用产品的，须提供公安部颁发的计算机信息系统安全专用产品销售许可证；</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15</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绿色包装要求</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16</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公平竞争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供应商遵循公平竞争的原则，不存在恶意串通，妨碍其他供应商的竞争行为，不存在损害采购人或者其他供应商的合法权益情形的；（由评委审查，无需供应商提供材料）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17</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串通投标</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18</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附加条件</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投标文件未含有采购人不能接受的附加条件的；（由评委审查，无需供应商提供材料）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其他无效情形</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供应商、投标文件不存在不符合法律、法规和招标文件规定的其他无效情形。（由评委审查，无需供应商提供材料）</w:t>
            </w:r>
            <w:r/>
          </w:p>
        </w:tc>
      </w:tr>
    </w:tbl>
    <w:p>
      <w:pPr>
        <w:pStyle w:val="1014"/>
        <w:rPr>
          <w:rFonts w:hint="eastAsia" w:ascii="仿宋" w:hAnsi="仿宋" w:eastAsia="仿宋" w:cs="仿宋"/>
          <w:highlight w:val="none"/>
        </w:rPr>
        <w:sectPr>
          <w:headerReference w:type="even" r:id="rId13"/>
          <w:headerReference w:type="first" r:id="rId14"/>
          <w:footerReference w:type="default" r:id="rId24"/>
          <w:footerReference w:type="even" r:id="rId25"/>
          <w:footerReference w:type="first" r:id="rId26"/>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仿宋" w:hAnsi="仿宋" w:eastAsia="仿宋" w:cs="仿宋"/>
          <w:highlight w:val="none"/>
        </w:rPr>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2.投标文件有关事项的澄清或者说明</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★2.2异常低价投标(响应)审查:</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2.2.1评审过程中出现下列情形之一的，评标委员会应当启动异常低价投标(响应)审查程序:</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（1）投标（响应）报价低于全部通过符合性审查的投标人投标（响应）报价平均值50%的，即投标（响应）报价&lt;全部通过符合性审查投标人投标（响应）报价平均值×50%；</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（2）投标（响应）报价低于通过符合性审查的次低报价投标人投标（响应）报价50%的，即投标（响应）报价&lt;通过符合性审查的次低报价投标人投标（响应）报价×50%；</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（3）投标（响应）报价低于采购项目最高限价45%的，即投标（响应）报价&lt;采购项目最高限价×45%；</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（4）评标委员会基于专业判断，认为投标人报价过低，有可能影响产品质量或者不能诚信履约的其他情形。</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p>
    <w:p>
      <w:pPr>
        <w:pStyle w:val="1242"/>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2.4投标文件报价出现前后不一致的，按照下列规定修正：</w:t>
      </w:r>
      <w:r/>
    </w:p>
    <w:p>
      <w:pPr>
        <w:pStyle w:val="1242"/>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2.4.1招标文件对于报价修正是否另有规定：无，按下述2.4.2-2.4.7项规定修正。</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2.4.2单独递交的开标一览表（报价表）与投标文件中开标一览表（报价表）内容不一致的，以单独递交的开标一览表（报价表）为准；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2.4.3投标文件中开标一览表（报价表）内容与投标文件中相应内容不一致的，以开标一览表（报价表）为准；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2.4.4大写金额和小写金额不一致的，以大写金额为准；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2.4.5单价金额小数点或者百分比有明显错位的，以开标一览表的总价为准，并修改单价；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2.4.6总价金额与按单价汇总金额不一致的，以单价金额计算结果为准。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2.4.7同时出现两种以上不一致的，按照前款规定的顺序修正。修正后的报价经供应商书面确认后产生约束力，供应商不确认的，其投标无效。</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sz w:val="21"/>
          <w:szCs w:val="21"/>
          <w:highlight w:val="none"/>
        </w:rPr>
        <w:t xml:space="preserve">如为专门面向中小企业采购的项目，不再执行价格评审优惠的扶持政策，</w:t>
      </w:r>
      <w:r>
        <w:rPr>
          <w:rFonts w:hint="eastAsia" w:ascii="仿宋" w:hAnsi="仿宋" w:eastAsia="仿宋" w:cs="仿宋"/>
          <w:sz w:val="21"/>
          <w:szCs w:val="21"/>
          <w:highlight w:val="none"/>
        </w:rPr>
        <w:t xml:space="preserve">评标时价格不予扣除。</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w:t>
      </w:r>
      <w:r>
        <w:rPr>
          <w:rFonts w:hint="eastAsia" w:ascii="仿宋" w:hAnsi="仿宋" w:eastAsia="仿宋" w:cs="仿宋"/>
          <w:b/>
          <w:bCs/>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sz w:val="21"/>
          <w:szCs w:val="21"/>
          <w:highlight w:val="none"/>
        </w:rPr>
        <w:t xml:space="preserve">，用扣除后的价格参加评审。</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2.5.3组成联合体或者接受分包的小微企业与联合体内其他企业、分包企业之间存在直接控股、管理关系的，不享受价格扣除优惠政策。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2.5.4价格扣除比例对小型企业和微型企业同等对待，不作区分。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2.5.5中小企业参加政府采购活动，应当按照招标文件给定的格式出具《中小企业声明函》，否则不得享受相关中小企业扶持政策。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2.5.6监狱企业提供了由省级以上监狱管理局（常州市含教育矫治局）、戒毒管理局（含新疆生产建设兵团）出具的属于监狱企业的证明文件的，视同小微企业。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2.5.7残疾人福利性单位按招标文件要求提供了《残疾人福利性单位声明函》（见附件）的，视同小微企业。</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2.5.8若供应商同时属于小型或微型企业、监狱企业、残疾人福利性单位中的两种及以上，将不重复享受小微企业价格扣减的优惠政策。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2.5.9采购本国产品的支持政策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sz w:val="21"/>
          <w:szCs w:val="21"/>
          <w:highlight w:val="none"/>
        </w:rPr>
        <w:t xml:space="preserve">达到80%</w:t>
      </w:r>
      <w:r>
        <w:rPr>
          <w:rFonts w:hint="eastAsia" w:ascii="仿宋" w:hAnsi="仿宋" w:eastAsia="仿宋" w:cs="仿宋"/>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sz w:val="21"/>
          <w:szCs w:val="21"/>
          <w:highlight w:val="none"/>
        </w:rPr>
        <w:t xml:space="preserve">未达到80%</w:t>
      </w:r>
      <w:r>
        <w:rPr>
          <w:rFonts w:hint="eastAsia" w:ascii="仿宋" w:hAnsi="仿宋" w:eastAsia="仿宋" w:cs="仿宋"/>
          <w:sz w:val="21"/>
          <w:szCs w:val="21"/>
          <w:highlight w:val="none"/>
        </w:rPr>
        <w:t xml:space="preserve">的，将不享受本国产品价格评审优惠。</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2.5.9.3供应商需按照招标文件的要求提供《关于符合本国产品标准的声明函》（以下简称《声明函》），如不提供将不享受本国产品价格评审优惠。</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3.投标文件的比较和评价</w:t>
      </w:r>
      <w:bookmarkEnd w:id="732"/>
      <w:r/>
      <w:bookmarkEnd w:id="733"/>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3.2评标方法和评标标准</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3.2.1本项目采用的评标方法为：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□最低评标价法，指投标文件满足招标文件全部实质性要求，且投标报价最低的供应商为中标候选人的评标方法。</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242"/>
        <w:ind w:firstLine="420"/>
        <w:spacing w:line="360" w:lineRule="auto"/>
        <w:rPr>
          <w:rFonts w:hint="eastAsia" w:ascii="仿宋" w:hAnsi="仿宋" w:eastAsia="仿宋" w:cs="仿宋"/>
          <w:sz w:val="21"/>
          <w:szCs w:val="21"/>
          <w:highlight w:val="none"/>
        </w:rPr>
      </w:pPr>
      <w:r/>
      <w:bookmarkStart w:id="749" w:name="_Hlk107696993"/>
      <w:r>
        <w:rPr>
          <w:rFonts w:hint="eastAsia" w:ascii="仿宋" w:hAnsi="仿宋" w:eastAsia="仿宋" w:cs="仿宋"/>
          <w:sz w:val="21"/>
          <w:szCs w:val="21"/>
          <w:highlight w:val="none"/>
        </w:rPr>
        <w:t xml:space="preserve">■随机抽取</w:t>
      </w:r>
      <w:bookmarkEnd w:id="749"/>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□其他方式，具体要求：_____</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sz w:val="21"/>
          <w:szCs w:val="21"/>
          <w:highlight w:val="none"/>
          <w:u w:val="single"/>
        </w:rPr>
        <w:t xml:space="preserve">见评标标准相关评分项</w:t>
      </w:r>
      <w:r>
        <w:rPr>
          <w:rFonts w:hint="eastAsia" w:ascii="仿宋" w:hAnsi="仿宋" w:eastAsia="仿宋" w:cs="仿宋"/>
          <w:sz w:val="21"/>
          <w:szCs w:val="21"/>
          <w:highlight w:val="none"/>
        </w:rPr>
        <w:t xml:space="preserve">。</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3.2.4关于无线局域网认证产品政府采购清单中的产品，优先采购的具体规定（如涉及）</w:t>
      </w:r>
      <w:r>
        <w:rPr>
          <w:rFonts w:hint="eastAsia" w:ascii="仿宋" w:hAnsi="仿宋" w:eastAsia="仿宋" w:cs="仿宋"/>
          <w:sz w:val="21"/>
          <w:szCs w:val="21"/>
          <w:highlight w:val="none"/>
          <w:u w:val="single"/>
        </w:rPr>
        <w:t xml:space="preserve">见评标标准相关评分项</w:t>
      </w:r>
      <w:r>
        <w:rPr>
          <w:rFonts w:hint="eastAsia" w:ascii="仿宋" w:hAnsi="仿宋" w:eastAsia="仿宋" w:cs="仿宋"/>
          <w:sz w:val="21"/>
          <w:szCs w:val="21"/>
          <w:highlight w:val="none"/>
        </w:rPr>
        <w:t xml:space="preserve">。</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4.确定</w:t>
      </w:r>
      <w:bookmarkStart w:id="750" w:name="_Ref467307010"/>
      <w:r/>
      <w:bookmarkStart w:id="751" w:name="_Toc151193934"/>
      <w:r/>
      <w:bookmarkStart w:id="752" w:name="_Toc150509297"/>
      <w:r/>
      <w:bookmarkStart w:id="753" w:name="_Toc226337242"/>
      <w:r/>
      <w:bookmarkStart w:id="754" w:name="_Toc164229241"/>
      <w:r/>
      <w:bookmarkStart w:id="755" w:name="_Toc305158814"/>
      <w:r/>
      <w:bookmarkStart w:id="756" w:name="_Toc164608815"/>
      <w:r/>
      <w:bookmarkStart w:id="757" w:name="_Toc226965736"/>
      <w:r/>
      <w:bookmarkStart w:id="758" w:name="_Toc151190173"/>
      <w:r/>
      <w:bookmarkStart w:id="759" w:name="_Toc520356170"/>
      <w:r/>
      <w:bookmarkStart w:id="760" w:name="_Toc149720839"/>
      <w:r/>
      <w:bookmarkStart w:id="761" w:name="_Toc151193788"/>
      <w:r/>
      <w:bookmarkStart w:id="762" w:name="_Toc150774646"/>
      <w:r/>
      <w:bookmarkStart w:id="763" w:name="_Toc264969236"/>
      <w:r/>
      <w:bookmarkStart w:id="764" w:name="_Toc127161460"/>
      <w:r/>
      <w:bookmarkStart w:id="765" w:name="_Toc195842911"/>
      <w:r/>
      <w:bookmarkStart w:id="766" w:name="_Toc164229387"/>
      <w:r/>
      <w:bookmarkStart w:id="767" w:name="_Toc151193644"/>
      <w:r/>
      <w:bookmarkStart w:id="768" w:name="_Toc142311048"/>
      <w:r/>
      <w:bookmarkStart w:id="769" w:name="_Toc127151747"/>
      <w:r/>
      <w:bookmarkStart w:id="770" w:name="_Toc151193860"/>
      <w:r/>
      <w:bookmarkStart w:id="771" w:name="_Toc127151546"/>
      <w:r/>
      <w:bookmarkStart w:id="772" w:name="_Toc150774751"/>
      <w:r/>
      <w:bookmarkStart w:id="773" w:name="_Toc164351640"/>
      <w:r/>
      <w:bookmarkStart w:id="774" w:name="_Toc305158888"/>
      <w:r/>
      <w:bookmarkStart w:id="775" w:name="_Toc164608660"/>
      <w:r/>
      <w:bookmarkStart w:id="776" w:name="_Toc226965819"/>
      <w:r/>
      <w:bookmarkStart w:id="777" w:name="_Toc226309790"/>
      <w:r/>
      <w:bookmarkStart w:id="778" w:name="_Toc150480784"/>
      <w:r/>
      <w:bookmarkStart w:id="779" w:name="_Toc265228384"/>
      <w:r/>
      <w:bookmarkStart w:id="780" w:name="_Toc151193716"/>
      <w:r>
        <w:rPr>
          <w:rFonts w:hint="eastAsia" w:ascii="仿宋" w:hAnsi="仿宋" w:eastAsia="仿宋" w:cs="仿宋"/>
          <w:sz w:val="21"/>
          <w:szCs w:val="21"/>
          <w:highlight w:val="none"/>
        </w:rPr>
        <w:t xml:space="preserve">中标候选人名单</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■随机抽取</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□其他方式，具体要求：_____</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4.4评标委员会要对评分汇总情况进行复核，特别是对排名第一的、报价最低的、投标或投标文件被认定为无效的情形进行重点复核。</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5.报告违法行为</w:t>
      </w:r>
      <w:r/>
    </w:p>
    <w:p>
      <w:pPr>
        <w:pStyle w:val="1242"/>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5.1评标委员会在评标过程中发现供应商有行贿、提供虚假材料或者串通等违法行为时，有向采购人、采购代理机构或者有关部门报告的职责。</w:t>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br w:type="page" w:clear="all"/>
      </w:r>
      <w:r>
        <w:rPr>
          <w:rFonts w:hint="eastAsia" w:ascii="仿宋" w:hAnsi="仿宋" w:eastAsia="仿宋" w:cs="仿宋"/>
          <w:b/>
          <w:sz w:val="24"/>
          <w:highlight w:val="none"/>
        </w:rPr>
        <w:t xml:space="preserve">二、评标标准</w:t>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tbl>
      <w:tblPr>
        <w:tblStyle w:val="1007"/>
        <w:tblW w:w="9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280"/>
        <w:gridCol w:w="4920"/>
        <w:gridCol w:w="694"/>
        <w:gridCol w:w="727"/>
        <w:gridCol w:w="793"/>
        <w:gridCol w:w="736"/>
      </w:tblGrid>
      <w:tr>
        <w:trPr>
          <w:jc w:val="center"/>
          <w:tblHeader/>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评审</w:t>
            </w:r>
            <w:r/>
          </w:p>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因素</w:t>
            </w:r>
            <w:r/>
          </w:p>
        </w:tc>
        <w:tc>
          <w:tcPr>
            <w:tcW w:w="4920" w:type="dxa"/>
            <w:vAlign w:val="center"/>
            <w:textDirection w:val="lrTb"/>
            <w:noWrap w:val="false"/>
          </w:tcPr>
          <w:p>
            <w:pPr>
              <w:ind w:firstLine="420"/>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评分标准</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最低分值</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最高分值</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是否暗标评审</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是否客观分</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4920" w:type="dxa"/>
            <w:vAlign w:val="center"/>
            <w:textDirection w:val="lrTb"/>
            <w:noWrap w:val="false"/>
          </w:tcPr>
          <w:p>
            <w:pPr>
              <w:ind w:firstLine="420"/>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1272"/>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采用低价优先法计算，即满足招标文件要求且投标价格最低的投标报价为投标基准价，其价格分为满分。其他供应商的价格分统一按照下列公式计算（小数点保留两位）：</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投标报价得分=(投标基准价／投标报价)×30%×100。</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Style w:val="1422"/>
                <w:rFonts w:hint="eastAsia" w:ascii="仿宋" w:hAnsi="仿宋" w:eastAsia="仿宋" w:cs="仿宋"/>
                <w:sz w:val="21"/>
                <w:szCs w:val="21"/>
                <w:highlight w:val="none"/>
              </w:rPr>
              <w:t xml:space="preserve">否</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w:t>
            </w:r>
            <w:r/>
          </w:p>
        </w:tc>
        <w:tc>
          <w:tcPr>
            <w:tcW w:w="1280" w:type="dxa"/>
            <w:vAlign w:val="center"/>
            <w:textDirection w:val="lrTb"/>
            <w:noWrap w:val="false"/>
          </w:tcPr>
          <w:p>
            <w:pPr>
              <w:jc w:val="center"/>
              <w:spacing w:line="240" w:lineRule="exact"/>
              <w:tabs>
                <w:tab w:val="left" w:pos="577" w:leader="none"/>
              </w:tabs>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技术分（主观分）</w:t>
            </w:r>
            <w:r/>
          </w:p>
        </w:tc>
        <w:tc>
          <w:tcPr>
            <w:tcW w:w="4920" w:type="dxa"/>
            <w:vAlign w:val="center"/>
            <w:textDirection w:val="lrTb"/>
            <w:noWrap w:val="false"/>
          </w:tcPr>
          <w:p>
            <w:pPr>
              <w:jc w:val="left"/>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32</w:t>
            </w:r>
            <w:r/>
          </w:p>
        </w:tc>
        <w:tc>
          <w:tcPr>
            <w:tcW w:w="793" w:type="dxa"/>
            <w:vAlign w:val="center"/>
            <w:textDirection w:val="lrTb"/>
            <w:noWrap w:val="false"/>
          </w:tcPr>
          <w:p>
            <w:pP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c>
          <w:tcPr>
            <w:tcW w:w="736" w:type="dxa"/>
            <w:vAlign w:val="center"/>
            <w:textDirection w:val="lrTb"/>
            <w:noWrap w:val="false"/>
          </w:tcPr>
          <w:p>
            <w:pP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r>
      <w:tr>
        <w:trPr>
          <w:jc w:val="center"/>
          <w:trHeight w:val="2260"/>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tcW w:w="1280"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项目实施方案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根据供应商提供的</w:t>
            </w:r>
            <w:r>
              <w:rPr>
                <w:rFonts w:hint="eastAsia" w:ascii="仿宋" w:hAnsi="仿宋" w:eastAsia="仿宋" w:cs="仿宋"/>
                <w:szCs w:val="21"/>
                <w:highlight w:val="none"/>
              </w:rPr>
              <w:t xml:space="preserve">项目实施方案</w:t>
            </w:r>
            <w:r>
              <w:rPr>
                <w:rFonts w:hint="eastAsia" w:ascii="仿宋" w:hAnsi="仿宋" w:eastAsia="仿宋" w:cs="仿宋"/>
                <w:szCs w:val="21"/>
                <w:highlight w:val="none"/>
                <w:lang w:val="zh-CN"/>
              </w:rPr>
              <w:t xml:space="preserve">（包含但不限于：采购、</w:t>
            </w:r>
            <w:r>
              <w:rPr>
                <w:rFonts w:hint="eastAsia" w:ascii="仿宋" w:hAnsi="仿宋" w:eastAsia="仿宋" w:cs="仿宋"/>
                <w:szCs w:val="21"/>
                <w:highlight w:val="none"/>
              </w:rPr>
              <w:t xml:space="preserve">运输、安装、进度保障、调试等</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等</w:t>
            </w:r>
            <w:r>
              <w:rPr>
                <w:rFonts w:hint="eastAsia" w:ascii="仿宋" w:hAnsi="仿宋" w:eastAsia="仿宋" w:cs="仿宋"/>
                <w:szCs w:val="21"/>
                <w:highlight w:val="none"/>
                <w:lang w:val="zh-CN"/>
              </w:rPr>
              <w:t xml:space="preserve">进行打分：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w:t>
            </w:r>
            <w:r>
              <w:rPr>
                <w:rFonts w:hint="eastAsia" w:ascii="仿宋" w:hAnsi="仿宋" w:eastAsia="仿宋" w:cs="仿宋"/>
                <w:szCs w:val="21"/>
                <w:highlight w:val="none"/>
                <w:lang w:val="zh-CN"/>
              </w:rPr>
              <w:t xml:space="preserve">全面详实、安排合理得当、实际可操作性强的得</w:t>
            </w:r>
            <w:r>
              <w:rPr>
                <w:rFonts w:hint="eastAsia" w:ascii="仿宋" w:hAnsi="仿宋" w:eastAsia="仿宋" w:cs="仿宋"/>
                <w:szCs w:val="21"/>
                <w:highlight w:val="none"/>
              </w:rPr>
              <w:t xml:space="preserve">7</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内容较</w:t>
            </w:r>
            <w:r>
              <w:rPr>
                <w:rFonts w:hint="eastAsia" w:ascii="仿宋" w:hAnsi="仿宋" w:eastAsia="仿宋" w:cs="仿宋"/>
                <w:szCs w:val="21"/>
                <w:highlight w:val="none"/>
                <w:lang w:val="zh-CN"/>
              </w:rPr>
              <w:t xml:space="preserve">全面、安排较合理、实际可操作性</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5</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内容有缺失</w:t>
            </w:r>
            <w:r>
              <w:rPr>
                <w:rFonts w:hint="eastAsia" w:ascii="仿宋" w:hAnsi="仿宋" w:eastAsia="仿宋" w:cs="仿宋"/>
                <w:szCs w:val="21"/>
                <w:highlight w:val="none"/>
                <w:lang w:val="zh-CN"/>
              </w:rPr>
              <w:t xml:space="preserve">、安排</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、可操作性</w:t>
            </w:r>
            <w:r>
              <w:rPr>
                <w:rFonts w:hint="eastAsia" w:ascii="仿宋" w:hAnsi="仿宋" w:eastAsia="仿宋" w:cs="仿宋"/>
                <w:szCs w:val="21"/>
                <w:highlight w:val="none"/>
              </w:rPr>
              <w:t xml:space="preserve">不高</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方案内容简单、针对性不强的，得3分。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r>
      <w:tr>
        <w:trPr>
          <w:jc w:val="center"/>
          <w:trHeight w:val="1829"/>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2.2</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质量保证方案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根据供应商提供的质量保证方案（包含但不限于：节能环保、产品质量、安全性能、安装质量保证等方面）的完整性、全面性、科学性、合理性进行打分：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w:t>
            </w:r>
            <w:r>
              <w:rPr>
                <w:rFonts w:hint="eastAsia" w:ascii="仿宋" w:hAnsi="仿宋" w:eastAsia="仿宋" w:cs="仿宋"/>
                <w:szCs w:val="21"/>
                <w:highlight w:val="none"/>
                <w:lang w:val="zh-CN"/>
              </w:rPr>
              <w:t xml:space="preserve">全面详实、安排合理得当、实际可操作性强的得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内容较</w:t>
            </w:r>
            <w:r>
              <w:rPr>
                <w:rFonts w:hint="eastAsia" w:ascii="仿宋" w:hAnsi="仿宋" w:eastAsia="仿宋" w:cs="仿宋"/>
                <w:szCs w:val="21"/>
                <w:highlight w:val="none"/>
                <w:lang w:val="zh-CN"/>
              </w:rPr>
              <w:t xml:space="preserve">全面、安排较合理、实际可操作性</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方案内容简单、针对性不强的，得1分。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4</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r>
      <w:tr>
        <w:trPr>
          <w:jc w:val="center"/>
          <w:trHeight w:val="523"/>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2.3</w:t>
            </w:r>
            <w:r/>
          </w:p>
        </w:tc>
        <w:tc>
          <w:tcPr>
            <w:tcW w:w="1280"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重点、难点分析及合理化建议</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对本项目实施的重点难点的认识分析是否准确，解决的措施及合理化建议是否完整、合理、可行进行综合打分：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方案具体详细全面、可操作性强且符合本项目要求的得7分；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方案可操作性较好、可行性较好，较有针对性的得5分；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方案可操作性、可行性较普通，针对性欠佳得4分；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方案较差，并不明确、无针对性的得3分；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val="zh-CN" w:bidi="ar"/>
              </w:rPr>
              <w:t xml:space="preserve">不提供</w:t>
            </w:r>
            <w:r>
              <w:rPr>
                <w:rFonts w:hint="eastAsia" w:ascii="仿宋" w:hAnsi="仿宋" w:eastAsia="仿宋" w:cs="仿宋"/>
                <w:szCs w:val="21"/>
                <w:highlight w:val="none"/>
                <w:lang w:val="zh-CN"/>
              </w:rPr>
              <w:t xml:space="preserve">不得分</w:t>
            </w:r>
            <w:r>
              <w:rPr>
                <w:rFonts w:hint="eastAsia" w:ascii="仿宋" w:hAnsi="仿宋" w:eastAsia="仿宋" w:cs="仿宋"/>
                <w:szCs w:val="21"/>
                <w:highlight w:val="none"/>
                <w:lang w:bidi="ar"/>
              </w:rPr>
              <w:t xml:space="preserve">。</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r>
      <w:tr>
        <w:trPr>
          <w:jc w:val="center"/>
          <w:trHeight w:val="164"/>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2.4</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试运行及培训方案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根据供应商提供的试运行及培训方案：包含但不限于协助采购人试运行的期限、试运行方案、对采购人相关人员培训步骤、培训计划、培训内容、培训形式、培训记录表等进行打分：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内容全面详实、安排合理得当、实际可操作性强的得7分；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方案内容较全面、安排较合理、实际可操作性一般的得5分；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方案内容有缺失、安排一般、</w:t>
            </w:r>
            <w:r>
              <w:rPr>
                <w:rFonts w:hint="eastAsia" w:ascii="仿宋" w:hAnsi="仿宋" w:eastAsia="仿宋" w:cs="仿宋"/>
                <w:szCs w:val="21"/>
                <w:highlight w:val="none"/>
                <w:lang w:val="zh-CN"/>
              </w:rPr>
              <w:t xml:space="preserve">可操作性</w:t>
            </w:r>
            <w:r>
              <w:rPr>
                <w:rFonts w:hint="eastAsia" w:ascii="仿宋" w:hAnsi="仿宋" w:eastAsia="仿宋" w:cs="仿宋"/>
                <w:szCs w:val="21"/>
                <w:highlight w:val="none"/>
              </w:rPr>
              <w:t xml:space="preserve">不高的得4分；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方案内容简单、针对性不强的，得3分。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r>
      <w:tr>
        <w:trPr>
          <w:jc w:val="center"/>
          <w:trHeight w:val="3200"/>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2.5</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售后服务方案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针对本项目实际需求，提供详细的售后服务方案，包含但不限于售后服务机构介绍、售后服务本地化方案、售后服务体系制度、售后服务方式、明确的响应时间、售后人员履历证书、定期维护（修）、保养设施设备计划和措施、突发事件的预案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1.售后服务体系完善、上述内容涵盖全面并有详细的方案措施、针对性强，可操作性高的得4分；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2.售后服务体系基本完善、上述内容基本无缺失但未提出具体的方案措施、针对性和可操作性一般的得2分；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3.售后服务体系内容缺失，未提出针对性或可操作性的方案措施得1分；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4</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22"/>
                <w:rFonts w:hint="eastAsia" w:ascii="仿宋" w:hAnsi="仿宋" w:eastAsia="仿宋" w:cs="仿宋"/>
                <w:sz w:val="21"/>
                <w:szCs w:val="21"/>
                <w:highlight w:val="none"/>
              </w:rPr>
              <w:t xml:space="preserve">否</w:t>
            </w:r>
            <w:r/>
          </w:p>
        </w:tc>
      </w:tr>
      <w:tr>
        <w:trPr>
          <w:jc w:val="center"/>
          <w:trHeight w:val="2559"/>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2.6</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质保期满后收费及维保配合服务</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针对供应商提供的包含但不限于质保期满后的零配件和维修备品备件的收费、耗材的通用性、应急维修方案、维保收费、售后服务标准、方案等进行打分：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1.服务体系完善、上述内容涵盖全面并有详细的方案措施、针对性强，可操作性高的得3分；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3.服务体系内容缺失，未提出针对性或可操作性的方案措施得1分；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3</w:t>
            </w:r>
            <w:r/>
          </w:p>
        </w:tc>
        <w:tc>
          <w:tcPr>
            <w:tcW w:w="793" w:type="dxa"/>
            <w:vAlign w:val="center"/>
            <w:textDirection w:val="lrTb"/>
            <w:noWrap w:val="false"/>
          </w:tcPr>
          <w:p>
            <w:pPr>
              <w:jc w:val="center"/>
              <w:spacing w:line="240" w:lineRule="exact"/>
              <w:rPr>
                <w:rStyle w:val="1422"/>
                <w:rFonts w:hint="eastAsia" w:ascii="仿宋" w:hAnsi="仿宋" w:eastAsia="仿宋" w:cs="仿宋"/>
                <w:sz w:val="21"/>
                <w:szCs w:val="21"/>
                <w:highlight w:val="none"/>
              </w:rPr>
            </w:pPr>
            <w:r>
              <w:rPr>
                <w:rStyle w:val="1422"/>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Style w:val="1422"/>
                <w:rFonts w:hint="eastAsia" w:ascii="仿宋" w:hAnsi="仿宋" w:eastAsia="仿宋" w:cs="仿宋"/>
                <w:sz w:val="21"/>
                <w:szCs w:val="21"/>
                <w:highlight w:val="none"/>
              </w:rPr>
            </w:pPr>
            <w:r>
              <w:rPr>
                <w:rStyle w:val="1422"/>
                <w:rFonts w:hint="eastAsia" w:ascii="仿宋" w:hAnsi="仿宋" w:eastAsia="仿宋" w:cs="仿宋"/>
                <w:sz w:val="21"/>
                <w:szCs w:val="21"/>
                <w:highlight w:val="none"/>
              </w:rPr>
              <w:t xml:space="preserve">否</w:t>
            </w:r>
            <w:r/>
          </w:p>
        </w:tc>
      </w:tr>
      <w:tr>
        <w:trPr>
          <w:jc w:val="center"/>
          <w:trHeight w:val="367"/>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商务分（客观分）</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38</w:t>
            </w:r>
            <w:r/>
          </w:p>
        </w:tc>
        <w:tc>
          <w:tcPr>
            <w:tcW w:w="793" w:type="dxa"/>
            <w:vAlign w:val="center"/>
            <w:textDirection w:val="lrTb"/>
            <w:noWrap w:val="false"/>
          </w:tcPr>
          <w:p>
            <w:pPr>
              <w:ind w:firstLine="643"/>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736" w:type="dxa"/>
            <w:vAlign w:val="center"/>
            <w:textDirection w:val="lrTb"/>
            <w:noWrap w:val="false"/>
          </w:tcPr>
          <w:p>
            <w:pPr>
              <w:ind w:firstLine="643"/>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435"/>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产品技术响应</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对供应商所投产品的功能参数、配置、性能是否符合或优于招标文件要求进行评价，若全部符合或优于招标文件要求的，得19分；每有一项负偏离扣1.5分，分数扣完为止。</w:t>
            </w:r>
            <w:r/>
          </w:p>
          <w:p>
            <w:pPr>
              <w:pStyle w:val="1335"/>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w:t>
            </w:r>
            <w:r/>
          </w:p>
          <w:p>
            <w:pPr>
              <w:pStyle w:val="1335"/>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1.在投标文件中提供能体现技术参数的相关证明材料或承诺函同时应用明显的标记指出证明材料中对应的内容描述：</w:t>
            </w:r>
            <w:r/>
          </w:p>
          <w:p>
            <w:pPr>
              <w:pStyle w:val="1335"/>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（1）相关证明材料包括不限于：国家认可的第三方检测机构出具的检测报告，产品样本或技术说明书，功能截图，制造商（经销商）出具的技术证明文件等。</w:t>
            </w:r>
            <w:r/>
          </w:p>
          <w:p>
            <w:pPr>
              <w:pStyle w:val="1335"/>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（2）证明材料中描述不一致但功能实质相同的视为满足评审要求。</w:t>
            </w:r>
            <w:r/>
          </w:p>
          <w:p>
            <w:pPr>
              <w:pStyle w:val="1335"/>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（3）承诺函格式自拟，内容须包含响应该技术参数的表述。</w:t>
            </w:r>
            <w:r/>
          </w:p>
          <w:p>
            <w:pPr>
              <w:pStyle w:val="1335"/>
              <w:spacing w:line="240" w:lineRule="exact"/>
              <w:rPr>
                <w:rFonts w:hint="eastAsia"/>
                <w:color w:val="auto"/>
                <w:highlight w:val="none"/>
              </w:rPr>
            </w:pPr>
            <w:r>
              <w:rPr>
                <w:rFonts w:hint="eastAsia" w:ascii="仿宋" w:hAnsi="仿宋" w:eastAsia="仿宋" w:cs="仿宋"/>
                <w:b/>
                <w:bCs/>
                <w:color w:val="auto"/>
                <w:sz w:val="21"/>
                <w:szCs w:val="21"/>
                <w:highlight w:val="none"/>
              </w:rPr>
              <w:t xml:space="preserve">（4）提供相关证明材料或承诺函扫描件加盖供应商公章，未提供或提供的材料未用明显的标记指出对应评审内容的描述或提供的材料不能证明评审内容的，均视为负偏离予以扣分。</w:t>
            </w:r>
            <w:r/>
          </w:p>
          <w:p>
            <w:pPr>
              <w:pStyle w:val="1335"/>
              <w:spacing w:line="24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2.技术响应指标及要求应根据采购清单在《采购需求偏离表》中逐项列出并明确偏离情况，未列出或未明确偏离情况的均视为负偏离予以扣分。</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是</w:t>
            </w:r>
            <w:r/>
          </w:p>
        </w:tc>
      </w:tr>
      <w:tr>
        <w:trPr>
          <w:jc w:val="center"/>
          <w:trHeight w:val="5325"/>
        </w:trPr>
        <w:tc>
          <w:tcPr>
            <w:tcW w:w="639"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tcW w:w="1280"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关键技术指标</w:t>
            </w:r>
            <w:r/>
          </w:p>
        </w:tc>
        <w:tc>
          <w:tcPr>
            <w:tcW w:w="492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ff0000"/>
                <w:szCs w:val="21"/>
                <w:highlight w:val="none"/>
                <w:lang w:val="en-US" w:eastAsia="zh-CN"/>
              </w:rPr>
              <w:t xml:space="preserve">站点显示屏可动态显示收发任务传输位置及状态，便于医护人员及时了解物品传输状态，物品丢失时可快速判断物品所在位置</w:t>
            </w:r>
            <w:r>
              <w:rPr>
                <w:rFonts w:hint="eastAsia" w:ascii="仿宋" w:hAnsi="仿宋" w:eastAsia="仿宋" w:cs="仿宋"/>
                <w:color w:val="ff0000"/>
                <w:szCs w:val="21"/>
                <w:highlight w:val="none"/>
              </w:rPr>
              <w:t xml:space="preserve">，</w:t>
            </w:r>
            <w:r>
              <w:rPr>
                <w:rFonts w:hint="eastAsia" w:ascii="仿宋" w:hAnsi="仿宋" w:eastAsia="仿宋" w:cs="仿宋"/>
                <w:b/>
                <w:bCs/>
                <w:color w:val="ff0000"/>
                <w:szCs w:val="21"/>
                <w:highlight w:val="none"/>
              </w:rPr>
              <w:t xml:space="preserve">提供视频证明且满足要求的得2分；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2.站点具备语音发送功能，医护人员通过语音输入接收站点，系统可自动识别并将传输瓶传输至指定站点，该功能可降低医护人员操作失误风险，</w:t>
            </w:r>
            <w:r>
              <w:rPr>
                <w:rFonts w:hint="eastAsia" w:ascii="仿宋" w:hAnsi="仿宋" w:eastAsia="仿宋" w:cs="仿宋"/>
                <w:b/>
                <w:bCs/>
                <w:szCs w:val="21"/>
                <w:highlight w:val="none"/>
              </w:rPr>
              <w:t xml:space="preserve">提供由国家认可的第三方检测机构出具的检测报告及视频证明且满足要求的得2分</w:t>
            </w:r>
            <w:r>
              <w:rPr>
                <w:rFonts w:hint="eastAsia" w:ascii="仿宋" w:hAnsi="仿宋" w:eastAsia="仿宋" w:cs="仿宋"/>
                <w:szCs w:val="21"/>
                <w:highlight w:val="none"/>
              </w:rPr>
              <w:t xml:space="preserve">；</w:t>
            </w:r>
            <w:r/>
          </w:p>
          <w:p>
            <w:pPr>
              <w:ind w:left="-38"/>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1）应用明显的标记指出检测报告中满足所需功能相对应的内容描述；（2）视频文件上传方式见《“苏采云”系统供应商操作手册》规定，上传的演示视频将作为投标文件的组成部分，视频时长总计不超过10分钟；要求提供视频演示内容必须为实际录屏或者无剪辑拍摄视频，不接受PPT演示及DEMO演示，根据演示内容对要求的功能进行评审；演示内容要求录制能够完整准确展示相关内容及功能、操作过程并同步解说的演示视频，提供的视频不能播放或提供的材料不符合要求的，均不得分。</w:t>
            </w:r>
            <w:r/>
          </w:p>
        </w:tc>
        <w:tc>
          <w:tcPr>
            <w:tcW w:w="694"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W w:w="793" w:type="dxa"/>
            <w:vAlign w:val="center"/>
            <w:vMerge w:val="restart"/>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否</w:t>
            </w:r>
            <w:r/>
          </w:p>
        </w:tc>
        <w:tc>
          <w:tcPr>
            <w:tcW w:w="736" w:type="dxa"/>
            <w:vAlign w:val="center"/>
            <w:vMerge w:val="restart"/>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是</w:t>
            </w:r>
            <w:r/>
          </w:p>
        </w:tc>
      </w:tr>
      <w:tr>
        <w:trPr>
          <w:jc w:val="center"/>
          <w:trHeight w:val="3628"/>
        </w:trPr>
        <w:tc>
          <w:tcPr>
            <w:tcW w:w="639" w:type="dxa"/>
            <w:vAlign w:val="center"/>
            <w:vMerge w:val="continue"/>
            <w:textDirection w:val="lrTb"/>
            <w:noWrap w:val="false"/>
          </w:tcPr>
          <w:p>
            <w:pPr>
              <w:ind w:left="-38"/>
              <w:rPr>
                <w:highlight w:val="none"/>
              </w:rPr>
            </w:pPr>
            <w:r>
              <w:rPr>
                <w:highlight w:val="none"/>
              </w:rPr>
            </w:r>
            <w:r/>
          </w:p>
        </w:tc>
        <w:tc>
          <w:tcPr>
            <w:tcW w:w="1280" w:type="dxa"/>
            <w:vAlign w:val="center"/>
            <w:vMerge w:val="continue"/>
            <w:textDirection w:val="lrTb"/>
            <w:noWrap w:val="false"/>
          </w:tcPr>
          <w:p>
            <w:pPr>
              <w:ind w:left="-38"/>
              <w:rPr>
                <w:highlight w:val="none"/>
              </w:rPr>
            </w:pPr>
            <w:r>
              <w:rPr>
                <w:highlight w:val="none"/>
              </w:rPr>
            </w:r>
            <w:r/>
          </w:p>
        </w:tc>
        <w:tc>
          <w:tcPr>
            <w:tcW w:w="492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3.自动回瓶策略，可以绑定传输瓶与科室的对应关系，当传输瓶放到站点发瓶口，识别到传输瓶编号后，无需选择接收科室，自动生成传输任务将传输瓶发回到绑定的科室，</w:t>
            </w:r>
            <w:r>
              <w:rPr>
                <w:rFonts w:hint="eastAsia" w:ascii="仿宋" w:hAnsi="仿宋" w:eastAsia="仿宋" w:cs="仿宋"/>
                <w:b/>
                <w:bCs/>
                <w:szCs w:val="21"/>
                <w:highlight w:val="none"/>
              </w:rPr>
              <w:t xml:space="preserve">提供证明材料且满足要求的得1分</w:t>
            </w:r>
            <w:r>
              <w:rPr>
                <w:rFonts w:hint="eastAsia" w:ascii="仿宋" w:hAnsi="仿宋" w:eastAsia="仿宋" w:cs="仿宋"/>
                <w:szCs w:val="21"/>
                <w:highlight w:val="none"/>
              </w:rPr>
              <w:t xml:space="preserve">；</w:t>
            </w:r>
            <w:r/>
          </w:p>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w:t>
            </w:r>
            <w:r>
              <w:rPr>
                <w:rFonts w:hint="eastAsia" w:ascii="仿宋" w:hAnsi="仿宋" w:eastAsia="仿宋" w:cs="仿宋"/>
                <w:b/>
                <w:bCs/>
                <w:color w:val="ff0000"/>
                <w:szCs w:val="21"/>
                <w:highlight w:val="none"/>
                <w:lang w:val="en-US" w:eastAsia="zh-CN"/>
              </w:rPr>
              <w:t xml:space="preserve">（1）应用明显的标记指出测试报告中满足所需功能相对应的内容描述；（2）以上证明材料须同时提供①国家认可的第三方检测机构出具的软件产品确认测试报告；②提供该确认测试报告在国家认证认可监督管理委员会官网查询截图（截至开标时间前一日，国家认证认可监督管理委员会官网关于检验检测报告查询模块仍无法查询的，此项无需提供）；③出具该确认测试报告的第三方检测机构在国家认证认可监督管理委员会官网查询的具有软件产品检测能力范围截图，未提供或不符合要求的不得分；提供的证明材料描述不一致但功能实质相同的视为满足评审要求。</w:t>
            </w:r>
            <w:r/>
          </w:p>
        </w:tc>
        <w:tc>
          <w:tcPr>
            <w:tcW w:w="694"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27"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93"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6"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jc w:val="center"/>
          <w:trHeight w:val="1937"/>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3.3</w:t>
            </w:r>
            <w:r/>
          </w:p>
        </w:tc>
        <w:tc>
          <w:tcPr>
            <w:tcW w:w="1280" w:type="dxa"/>
            <w:vAlign w:val="center"/>
            <w:textDirection w:val="lrTb"/>
            <w:noWrap w:val="false"/>
          </w:tcPr>
          <w:p>
            <w:pPr>
              <w:jc w:val="center"/>
              <w:spacing w:line="240" w:lineRule="exact"/>
              <w:rPr>
                <w:rFonts w:hint="eastAsia" w:ascii="仿宋" w:hAnsi="仿宋" w:eastAsia="仿宋" w:cs="仿宋"/>
                <w:spacing w:val="-2"/>
                <w:position w:val="7"/>
                <w:szCs w:val="21"/>
                <w:highlight w:val="none"/>
              </w:rPr>
            </w:pPr>
            <w:r>
              <w:rPr>
                <w:rFonts w:hint="eastAsia" w:ascii="仿宋" w:hAnsi="仿宋" w:eastAsia="仿宋" w:cs="仿宋"/>
                <w:szCs w:val="21"/>
                <w:highlight w:val="none"/>
              </w:rPr>
              <w:t xml:space="preserve">企业业绩</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供应商自2023年1月1日以来（以合同签订时间为准）具有类似项目业绩，每提供一个业绩得2分，本项最高得8分。</w:t>
            </w:r>
            <w:r/>
          </w:p>
          <w:p>
            <w:pPr>
              <w:pStyle w:val="1335"/>
              <w:spacing w:line="240" w:lineRule="exact"/>
              <w:rPr>
                <w:rFonts w:hint="eastAsia"/>
                <w:highlight w:val="none"/>
              </w:rPr>
            </w:pPr>
            <w:r>
              <w:rPr>
                <w:rFonts w:hint="eastAsia" w:ascii="仿宋" w:hAnsi="仿宋" w:eastAsia="仿宋" w:cs="仿宋"/>
                <w:color w:val="auto"/>
                <w:sz w:val="21"/>
                <w:szCs w:val="21"/>
                <w:highlight w:val="none"/>
              </w:rPr>
              <w:t xml:space="preserve">须提供能体现评审内容的类似业绩合同（至少应包含首页、盖章页、合同清单）扫描件并加盖公章，时间以合同签订时间为准、内容以合同明确为准。未提供或未按要求提供的均不得分。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8</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是</w:t>
            </w:r>
            <w:r/>
          </w:p>
        </w:tc>
      </w:tr>
      <w:tr>
        <w:trPr>
          <w:jc w:val="center"/>
          <w:trHeight w:val="1504"/>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3.4</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质保期承诺</w:t>
            </w:r>
            <w:r/>
          </w:p>
        </w:tc>
        <w:tc>
          <w:tcPr>
            <w:tcW w:w="4920" w:type="dxa"/>
            <w:vAlign w:val="center"/>
            <w:textDirection w:val="lrTb"/>
            <w:noWrap w:val="false"/>
          </w:tcPr>
          <w:p>
            <w:pPr>
              <w:pStyle w:val="1423"/>
              <w:jc w:val="left"/>
              <w:spacing w:before="0" w:after="0" w:line="240" w:lineRule="exact"/>
              <w:shd w:val="clear" w:color="auto" w:fill="auto"/>
              <w:tabs>
                <w:tab w:val="left" w:pos="567" w:leader="none"/>
              </w:tabs>
              <w:rPr>
                <w:rFonts w:ascii="仿宋" w:hAnsi="仿宋" w:eastAsia="仿宋" w:cs="仿宋"/>
                <w:sz w:val="21"/>
                <w:szCs w:val="21"/>
                <w:highlight w:val="none"/>
              </w:rPr>
            </w:pPr>
            <w:r>
              <w:rPr>
                <w:rFonts w:ascii="仿宋" w:hAnsi="仿宋" w:eastAsia="仿宋" w:cs="仿宋"/>
                <w:sz w:val="21"/>
                <w:szCs w:val="21"/>
                <w:highlight w:val="none"/>
              </w:rPr>
              <w:t xml:space="preserve">供应商承诺在满足2年质保期的基础上，每增加一年得2分，本项最高得6分。</w:t>
            </w:r>
            <w:r/>
          </w:p>
          <w:p>
            <w:pPr>
              <w:pStyle w:val="1423"/>
              <w:jc w:val="left"/>
              <w:spacing w:before="0" w:after="0" w:line="240" w:lineRule="exact"/>
              <w:shd w:val="clear" w:color="auto" w:fill="auto"/>
              <w:tabs>
                <w:tab w:val="left" w:pos="567" w:leader="none"/>
              </w:tabs>
              <w:rPr>
                <w:rFonts w:ascii="仿宋" w:hAnsi="仿宋" w:eastAsia="仿宋" w:cs="仿宋"/>
                <w:sz w:val="21"/>
                <w:szCs w:val="21"/>
                <w:highlight w:val="none"/>
              </w:rPr>
            </w:pPr>
            <w:r>
              <w:rPr>
                <w:rFonts w:ascii="仿宋" w:hAnsi="仿宋" w:eastAsia="仿宋" w:cs="仿宋"/>
                <w:sz w:val="21"/>
                <w:szCs w:val="21"/>
                <w:highlight w:val="none"/>
              </w:rPr>
              <w:t xml:space="preserve">提供书面承诺函，应明确具体的质保期限及响应采购需求的质保期服务要求，否则不得分。承诺函格式自拟并加盖供应商公章。</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是</w:t>
            </w:r>
            <w:r/>
          </w:p>
        </w:tc>
      </w:tr>
    </w:tbl>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p>
      <w:pPr>
        <w:contextualSpacing/>
        <w:ind w:firstLine="422"/>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 xml:space="preserve">注：</w:t>
      </w:r>
      <w:r>
        <w:rPr>
          <w:rFonts w:hint="eastAsia" w:ascii="仿宋" w:hAnsi="仿宋" w:eastAsia="仿宋" w:cs="仿宋"/>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p>
    <w:p>
      <w:pPr>
        <w:contextualSpacing/>
        <w:ind w:firstLine="422"/>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p>
    <w:p>
      <w:pPr>
        <w:contextualSpacing/>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3.评标时，未能按以上要求提供相应证明的，不作为评审依据，不得分。</w:t>
      </w:r>
      <w:r/>
    </w:p>
    <w:p>
      <w:pPr>
        <w:contextualSpacing/>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widowControl/>
        <w:rPr>
          <w:rFonts w:hint="eastAsia" w:ascii="仿宋" w:hAnsi="仿宋" w:eastAsia="仿宋" w:cs="仿宋"/>
          <w:szCs w:val="21"/>
          <w:highlight w:val="none"/>
        </w:rPr>
        <w:sectPr>
          <w:headerReference w:type="default" r:id="rId15"/>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szCs w:val="21"/>
          <w:highlight w:val="none"/>
        </w:rPr>
        <w:t xml:space="preserve">5.供应商按评分细则所有得分项目均视为对本次招标的承诺，成交后均作为合同的组成部分。</w:t>
      </w:r>
      <w:bookmarkStart w:id="781" w:name="_Hlk138940374"/>
      <w:r/>
      <w:bookmarkStart w:id="782" w:name="_Hlk139629014"/>
      <w:r/>
      <w:r/>
    </w:p>
    <w:p>
      <w:pPr>
        <w:contextualSpacing/>
        <w:ind w:firstLine="643"/>
        <w:jc w:val="center"/>
        <w:spacing w:line="360" w:lineRule="auto"/>
        <w:widowControl/>
        <w:rPr>
          <w:rStyle w:val="1207"/>
          <w:rFonts w:hint="eastAsia" w:ascii="仿宋" w:hAnsi="仿宋" w:eastAsia="仿宋" w:cs="仿宋"/>
          <w:highlight w:val="none"/>
        </w:rPr>
      </w:pPr>
      <w:r/>
      <w:bookmarkStart w:id="783" w:name="_Toc25545"/>
      <w:r>
        <w:rPr>
          <w:rStyle w:val="1207"/>
          <w:rFonts w:hint="eastAsia" w:ascii="仿宋" w:hAnsi="仿宋" w:eastAsia="仿宋" w:cs="仿宋"/>
          <w:highlight w:val="none"/>
        </w:rPr>
        <w:t xml:space="preserve">第五章   </w:t>
      </w:r>
      <w:bookmarkStart w:id="784" w:name="_Hlk119590621"/>
      <w:r>
        <w:rPr>
          <w:rStyle w:val="1207"/>
          <w:rFonts w:hint="eastAsia" w:ascii="仿宋" w:hAnsi="仿宋" w:eastAsia="仿宋" w:cs="仿宋"/>
          <w:highlight w:val="none"/>
        </w:rPr>
        <w:t xml:space="preserve">采购需求</w:t>
      </w:r>
      <w:r/>
    </w:p>
    <w:p>
      <w:pPr>
        <w:rPr>
          <w:rFonts w:hint="eastAsia" w:ascii="仿宋" w:hAnsi="仿宋" w:eastAsia="仿宋" w:cs="仿宋"/>
          <w:highlight w:val="none"/>
        </w:rPr>
      </w:pPr>
      <w:r>
        <w:rPr>
          <w:rFonts w:hint="eastAsia" w:ascii="仿宋" w:hAnsi="仿宋" w:eastAsia="仿宋" w:cs="仿宋"/>
          <w:highlight w:val="none"/>
        </w:rPr>
      </w:r>
      <w:r/>
    </w:p>
    <w:p>
      <w:pPr>
        <w:pStyle w:val="1437"/>
        <w:ind w:firstLine="420"/>
        <w:jc w:val="left"/>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一、</w:t>
      </w:r>
      <w:r>
        <w:rPr>
          <w:rFonts w:hint="eastAsia" w:ascii="仿宋" w:hAnsi="仿宋" w:eastAsia="仿宋" w:cs="仿宋"/>
          <w:szCs w:val="21"/>
          <w:highlight w:val="none"/>
        </w:rPr>
        <w:t xml:space="preserve">采购标的</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1.项目名称：新北区人民医院项目一期气动物流设备采购</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2.项目预算金额：256万元；</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3.项目最高限价：2560000元；投标报价不得高于最高限价，否则将作为无效投标。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4.采购需求（简介）：</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常州市新北区人民医院项目一期气动物流设备采购，包括但不限于气动物流传输系统（设置16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5.合同履行期限：接采购人通知后180日内完成供货、安装，于2027年12月25日前完成调试、验收合格并具备使用条件，且不得影响项目整体竣工验收。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6．是/否接受联合体投标：否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7．是/否接受分支机构参与响应：否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8．是/否属于政府购买服务：否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9．是/否接受进口产品投标：否</w:t>
      </w:r>
      <w:r/>
    </w:p>
    <w:p>
      <w:pPr>
        <w:pStyle w:val="1038"/>
        <w:ind w:firstLine="422"/>
        <w:spacing w:before="0" w:beforeAutospacing="0" w:after="0" w:afterAutospacing="0" w:line="360" w:lineRule="auto"/>
        <w:widowControl w:val="off"/>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10．是/否专门面向中小企业预留采购份额：本项目不专门面向中小、小微企业采购。</w:t>
      </w:r>
      <w:r/>
    </w:p>
    <w:p>
      <w:pPr>
        <w:ind w:firstLine="42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11．本项目的特定资格要求：无 。</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12．项目类别：货物类</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二、商务要求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1．交付的时间和地点</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（1）交付时间：接采购人通知后180日内完成供货、安装，于2027年12月25日前完成调试、验收合格并具备使用条件，且不得影响项目整体竣工验收。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（2）交付地点：</w:t>
      </w:r>
      <w:r>
        <w:rPr>
          <w:rFonts w:hint="eastAsia" w:ascii="仿宋" w:hAnsi="仿宋" w:eastAsia="仿宋" w:cs="仿宋"/>
          <w:sz w:val="22"/>
          <w:szCs w:val="22"/>
          <w:highlight w:val="none"/>
        </w:rPr>
        <w:t xml:space="preserve">新北区人民医院项目一期工地（常州市新北区，长江路以西、乐山路以东、嫩江路以北地块）</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2．付款条件（进度和方式）</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2.1分期付款：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1）本合同为</w:t>
      </w:r>
      <w:r>
        <w:rPr>
          <w:rFonts w:hint="eastAsia" w:ascii="仿宋" w:hAnsi="仿宋" w:eastAsia="仿宋" w:cs="仿宋"/>
          <w:highlight w:val="none"/>
        </w:rPr>
        <w:t xml:space="preserve">固定</w:t>
      </w:r>
      <w:r>
        <w:rPr>
          <w:rFonts w:hint="eastAsia" w:ascii="仿宋" w:hAnsi="仿宋" w:eastAsia="仿宋" w:cs="仿宋"/>
          <w:szCs w:val="21"/>
          <w:highlight w:val="none"/>
          <w:lang w:bidi="ar"/>
        </w:rPr>
        <w:t xml:space="preserve">站点平均综合单价</w:t>
      </w:r>
      <w:r>
        <w:rPr>
          <w:rFonts w:hint="eastAsia" w:ascii="仿宋" w:hAnsi="仿宋" w:eastAsia="仿宋" w:cs="仿宋"/>
          <w:spacing w:val="-4"/>
          <w:szCs w:val="21"/>
          <w:highlight w:val="none"/>
        </w:rPr>
        <w:t xml:space="preserve">合同；</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2）本项目以人民币付款；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3）中标人在合同签订前向采购人提供签约合同价5%的履约保证金（履约担保的形式：现金或银行保函），履约结束后30个工作日内无息退还中标人。</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满足合同约定支付条件的，自收到发票后支付。</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付款时供应商提供符合规定及采购人要求的增值税专用发票。</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2.2报价要求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本合同采用</w:t>
      </w:r>
      <w:r>
        <w:rPr>
          <w:rFonts w:hint="eastAsia" w:ascii="仿宋" w:hAnsi="仿宋" w:eastAsia="仿宋" w:cs="仿宋"/>
          <w:highlight w:val="none"/>
        </w:rPr>
        <w:t xml:space="preserve">固定</w:t>
      </w:r>
      <w:r>
        <w:rPr>
          <w:rFonts w:hint="eastAsia" w:ascii="仿宋" w:hAnsi="仿宋" w:eastAsia="仿宋" w:cs="仿宋"/>
          <w:szCs w:val="21"/>
          <w:highlight w:val="none"/>
          <w:lang w:bidi="ar"/>
        </w:rPr>
        <w:t xml:space="preserve">站点平均综合单价合同</w:t>
      </w:r>
      <w:r>
        <w:rPr>
          <w:rFonts w:hint="eastAsia" w:ascii="仿宋" w:hAnsi="仿宋" w:eastAsia="仿宋" w:cs="仿宋"/>
          <w:bCs/>
          <w:szCs w:val="21"/>
          <w:highlight w:val="none"/>
        </w:rPr>
        <w:t xml:space="preserve">。</w:t>
      </w:r>
      <w:bookmarkStart w:id="785" w:name="_Hlk124937920"/>
      <w:r>
        <w:rPr>
          <w:rFonts w:hint="eastAsia" w:ascii="仿宋" w:hAnsi="仿宋" w:eastAsia="仿宋" w:cs="仿宋"/>
          <w:bCs/>
          <w:szCs w:val="21"/>
          <w:highlight w:val="none"/>
        </w:rPr>
        <w:t xml:space="preserve">投标报价是在符合相应技术规范及招标文件约定的技术要求，完成招标文件所确定的采购清单范围内的全部货物的采购、制作、安装、验收、移交、质量保修和售后服务所包含的全部内容的价格体现。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w:t>
      </w:r>
      <w:bookmarkEnd w:id="785"/>
      <w:r>
        <w:rPr>
          <w:rFonts w:hint="eastAsia" w:ascii="仿宋" w:hAnsi="仿宋" w:eastAsia="仿宋" w:cs="仿宋"/>
          <w:bCs/>
          <w:szCs w:val="21"/>
          <w:highlight w:val="none"/>
        </w:rPr>
        <w:t xml:space="preserve">供应商报价时应综合考虑，确保所有设备符合主管部门要求并正常投入使用，因此产生的所有费用均含在投标报价中，采购人不另行支付。</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3．包装和运输</w:t>
      </w:r>
      <w:r/>
    </w:p>
    <w:p>
      <w:pPr>
        <w:ind w:firstLine="404"/>
        <w:jc w:val="left"/>
        <w:spacing w:line="360" w:lineRule="auto"/>
        <w:rPr>
          <w:rFonts w:hint="eastAsia" w:ascii="仿宋" w:hAnsi="仿宋" w:eastAsia="仿宋" w:cs="仿宋"/>
          <w:bCs/>
          <w:spacing w:val="-4"/>
          <w:szCs w:val="21"/>
          <w:highlight w:val="none"/>
        </w:rPr>
      </w:pPr>
      <w:r>
        <w:rPr>
          <w:rFonts w:hint="eastAsia" w:ascii="仿宋" w:hAnsi="仿宋" w:eastAsia="仿宋" w:cs="仿宋"/>
          <w:bCs/>
          <w:spacing w:val="-4"/>
          <w:szCs w:val="21"/>
          <w:highlight w:val="none"/>
        </w:rPr>
        <w:t xml:space="preserve">本项目采购的货物类包装，应满足《关于印发〈商品包装政府采购需求标准（试行）〉、〈快递包装政府采购需求标准（试行）〉的通知》（财办库〔2020〕123号））的规定。</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4．售后服务（质保期等）</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4.1质保期</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项目质保期为贰年，质保期自项目验收合格之日起算。产品质量保证期内，凡货物在开箱检验、安装调试、货物试运转过程中发现的货物质量问题，由供应商负责处理，实行包修、包换、包退，直至产品符合质量要求，供应商承担修理、调换、退货发生的一切费用和采购人的直接经济损失。质保期内免费更换零配件（人为损坏除外），质保期满后实行终身有偿维修保养；</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4.2售后服务</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（1）供应商须提供售后服务方案（明确质保期内外的售后服务方案），加强售后服务管理。</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要求产品制造商直接提供维修和保养服务，终身维修并标明保修期后的具体维修维护事宜。配件费，人工费及其他费用的收取，主要零配件（提供关键配件及配套耗材的价格清单）；提供维修部负责人名单及联系方式。</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如出现货物的安装、启动、运行及维护等需要培训的，供应商应为采购人技术人员技术进行免费培训（培训内容包括货物的基本结构、性能、主要部件的构造及处理，日常使用操作、保养与管理、常见故障的排除、紧急情况的处理等），培训地点主要在货物安装现场或由采购人安排。</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（4）由于采购人使用不当造成货物短缺、故障或损坏，由采购人负责,中标人提供有偿服务，中标人须保证及时给予补齐或修复。</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pStyle w:val="1437"/>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三、技术要求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（指对采购标的功能和质量要求，包括性能、材料、结构、外观、安全，或者服务内容和标准等）</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1．基本要求</w:t>
      </w:r>
      <w:r/>
    </w:p>
    <w:p>
      <w:pPr>
        <w:ind w:firstLine="420"/>
        <w:spacing w:line="36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1.1 采购标的需实现的功能或者目标：供应商应根据各自产品特点，所投货物符合相应设备技术规范及招标文件约定的技术要求，并满足项目需求中明确的采购数量及参数要求，安装调试并验收合格。实现采购人物流系统的运行要求，确保所购设备能满足医疗需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 需执行的国家相关标准、行业标准、地方标准或者其他标准、规范：</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 全院设置气动物流辅助箱式物流做小件、急件物品的传送。主要覆盖门急诊和医技检验科单元。本项目共设计16个常规气动站点，涵盖门急诊、住院部采血窗口、检验科等站点。气动物流传输系统是以压缩空气为动力，借助机电技术和计算机控制技术，通过网络管理和全程监控，将物品放在胶囊瓶内通过专用管道进行传输。</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2．货物技术要求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2.1 采购标的需满足的性能、材料、结构、外观、质量、安全、技术规格、物理特性等要求；</w:t>
      </w:r>
      <w:r/>
    </w:p>
    <w:p>
      <w:pPr>
        <w:ind w:firstLine="422"/>
        <w:spacing w:line="360" w:lineRule="auto"/>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（一）总体要求</w:t>
      </w:r>
      <w:r/>
    </w:p>
    <w:p>
      <w:pPr>
        <w:ind w:firstLine="420"/>
        <w:spacing w:line="36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应保证招标人在使用其所供货物时不受第三方提出侵犯其专利权、著作权和工业产权等知识产权的起诉。一旦出现侵权，一律由供应商承担全部责任。同时，供应商对招标人采购的货物所涉及的技术、产能等信息负有保密义务。</w:t>
      </w:r>
      <w:r/>
    </w:p>
    <w:p>
      <w:pPr>
        <w:ind w:firstLine="422"/>
        <w:spacing w:line="360" w:lineRule="auto"/>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★（2）供应商在投标文件中应提供投标产品的名称、规格参数、单价、品牌和生产厂商等。</w:t>
      </w:r>
      <w:r/>
    </w:p>
    <w:p>
      <w:pPr>
        <w:ind w:firstLine="420"/>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供应商所提供的货物的技术规格参数指标应等于或高于招标文件规定的或投标承诺的技术规格参数指标；若技术性能无特殊说明，则按国家有关部门最新颁布的标准及规范为准；应符合国家强制性标准及招标文件规定的或投标承诺的技术规格参数指标。</w:t>
      </w:r>
      <w:r/>
    </w:p>
    <w:p>
      <w:pPr>
        <w:ind w:firstLine="422"/>
        <w:spacing w:line="360" w:lineRule="auto"/>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（二）站点分布：详见设计图纸。</w:t>
      </w:r>
      <w:r/>
    </w:p>
    <w:p>
      <w:pPr>
        <w:ind w:left="420"/>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（三）设备技术要求：</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1、医用智能气动物流传输系统采购清单及技术要求</w:t>
      </w:r>
      <w:r/>
    </w:p>
    <w:tbl>
      <w:tblPr>
        <w:tblStyle w:val="1007"/>
        <w:tblW w:w="4985" w:type="pct"/>
        <w:tblInd w:w="0" w:type="dxa"/>
        <w:tblLayout w:type="autofit"/>
        <w:tblCellMar>
          <w:left w:w="108" w:type="dxa"/>
          <w:top w:w="0" w:type="dxa"/>
          <w:right w:w="108" w:type="dxa"/>
          <w:bottom w:w="0" w:type="dxa"/>
        </w:tblCellMar>
        <w:tblLook w:val="04A0" w:firstRow="1" w:lastRow="0" w:firstColumn="1" w:lastColumn="0" w:noHBand="0" w:noVBand="1"/>
      </w:tblPr>
      <w:tblGrid>
        <w:gridCol w:w="839"/>
        <w:gridCol w:w="1675"/>
        <w:gridCol w:w="5811"/>
        <w:gridCol w:w="733"/>
        <w:gridCol w:w="767"/>
      </w:tblGrid>
      <w:tr>
        <w:trPr>
          <w:trHeight w:val="401"/>
          <w:tblHeader/>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数量</w:t>
            </w:r>
            <w:r/>
          </w:p>
        </w:tc>
      </w:tr>
      <w:tr>
        <w:trPr>
          <w:trHeight w:val="41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硬件部分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传送瓶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1.内径 ≥120mm，长度≥350mm；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2.传输瓶最大载重量不小于5Kg；</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3.传输瓶在运行过程中的噪音小于45dB；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4.传输瓶两端为双旋盖及密封毡圈或翻盖及机械锁扣或侧面开启；</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5.传输瓶需密闭性保证，传输过程不破裂。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r>
      <w:tr>
        <w:trPr>
          <w:trHeight w:val="338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w:t>
            </w:r>
            <w:r>
              <w:rPr>
                <w:rFonts w:hint="eastAsia" w:ascii="仿宋" w:hAnsi="仿宋" w:eastAsia="仿宋" w:cs="仿宋"/>
                <w:b/>
                <w:bCs/>
                <w:szCs w:val="21"/>
                <w:highlight w:val="none"/>
                <w:lang w:bidi="ar"/>
              </w:rPr>
              <w:t xml:space="preserve">智能化站点（核心产品）</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1.采用前置式或上置式站点；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2.自动识别传输瓶，防异物进入；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4.具备身份校验功能，防止人员发生误触；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5.可修改本次任务传输速度和优先级；</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6.可设置工作时段，在设定时间段内站点正常工作；</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7.可禁用或启用本站点；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8.具备发送等待超时功能，时间可设定，超时语音提醒；</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9.具备全局地址簿和热键设置，支持一键发送；</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10.站点可显示系统运行状况；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11.定位控制采用非机械接触式传感器电子智能定位；</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12.各站点供电条件满足需求使用。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default" w:ascii="仿宋" w:hAnsi="仿宋" w:eastAsia="仿宋" w:cs="仿宋"/>
                <w:szCs w:val="21"/>
                <w:highlight w:val="none"/>
                <w:lang w:val="en-US" w:eastAsia="zh-CN"/>
              </w:rPr>
            </w:pPr>
            <w:r>
              <w:rPr>
                <w:rFonts w:hint="eastAsia" w:ascii="仿宋" w:hAnsi="仿宋" w:eastAsia="仿宋" w:cs="仿宋"/>
                <w:color w:val="ff0000"/>
                <w:szCs w:val="21"/>
                <w:highlight w:val="none"/>
                <w:lang w:val="en-US" w:eastAsia="zh-CN" w:bidi="ar"/>
              </w:rPr>
              <w:t xml:space="preserve">14</w:t>
            </w:r>
            <w:r/>
          </w:p>
        </w:tc>
      </w:tr>
      <w:tr>
        <w:trPr>
          <w:trHeight w:val="6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1.配置载物筐，内有软垫；</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2.配置传输瓶支架。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r>
      <w:tr>
        <w:trPr>
          <w:trHeight w:val="113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color w:val="ff0000"/>
                <w:szCs w:val="21"/>
                <w:highlight w:val="none"/>
                <w:lang w:val="en-US" w:eastAsia="zh-CN"/>
              </w:rPr>
              <w:t xml:space="preserve">检验科多发及多收站点</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1.多收站点用于频繁接收的检验科使用；</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2.多收站点满足检验科使用需求的平台滑轨；</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3.多收站点采用≥10英寸彩色液晶触摸屏；</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4.多收站点可以同时存放4个瓶子</w:t>
            </w:r>
            <w:bookmarkStart w:id="893" w:name="_GoBack"/>
            <w:r/>
            <w:bookmarkEnd w:id="893"/>
            <w:r>
              <w:rPr>
                <w:rFonts w:hint="eastAsia" w:ascii="仿宋" w:hAnsi="仿宋" w:eastAsia="仿宋" w:cs="仿宋"/>
                <w:color w:val="ff0000"/>
                <w:szCs w:val="21"/>
                <w:highlight w:val="none"/>
                <w:lang w:val="en-US" w:eastAsia="zh-CN"/>
              </w:rPr>
              <w:t xml:space="preserve">；</w:t>
            </w:r>
            <w:r/>
          </w:p>
          <w:p>
            <w:pPr>
              <w:jc w:val="left"/>
              <w:widowControl/>
              <w:rPr>
                <w:rFonts w:hint="eastAsia" w:ascii="仿宋" w:hAnsi="仿宋" w:eastAsia="仿宋" w:cs="仿宋"/>
                <w:szCs w:val="21"/>
                <w:highlight w:val="none"/>
              </w:rPr>
            </w:pPr>
            <w:r>
              <w:rPr>
                <w:rFonts w:hint="eastAsia" w:ascii="仿宋" w:hAnsi="仿宋" w:eastAsia="仿宋" w:cs="仿宋"/>
                <w:color w:val="ff0000"/>
                <w:szCs w:val="21"/>
                <w:highlight w:val="none"/>
                <w:lang w:val="en-US" w:eastAsia="zh-CN"/>
              </w:rPr>
              <w:t xml:space="preserve">5.多发站点投放口可一次性放置并传输不少于3个不同目的地传输瓶。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color w:val="ff0000"/>
                <w:szCs w:val="21"/>
                <w:highlight w:val="none"/>
                <w:lang w:val="en-US" w:eastAsia="zh-CN" w:bidi="ar"/>
              </w:rPr>
              <w:t xml:space="preserve">2</w:t>
            </w:r>
            <w:r/>
          </w:p>
        </w:tc>
      </w:tr>
      <w:tr>
        <w:trPr>
          <w:trHeight w:val="165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动力系统</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1.风机电源为三相AC380V，由变频器控制；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2.配置风机减振支架，运行噪音≤70db；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3.提供专用过滤器，可防止异物进入；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4.站点使用启动停止有缓冲，平稳接收；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5.最大传输速度为8m/s，半速2-3m/s（可手动或由系统自动选择）。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w:t>
            </w:r>
            <w:r/>
          </w:p>
        </w:tc>
      </w:tr>
      <w:tr>
        <w:trPr>
          <w:trHeight w:val="33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传输管道</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不锈钢直管</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不锈钢弯管</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2.管道外径为159mm，管壁厚不小于2mm；弯管的转弯半径不小于800mm；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457"/>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密封件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1.配套直管及弯管使用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43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1.可在系统内由一主通道分支为三条通道；</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2.预留可预见的系统扩展接口；</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3.密封材料为特氟隆制成；</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4.外壳碳钢，表面喷涂；</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5.可远程查看状态，远程控制。</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控制部分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6"/>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系统控制电缆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1.电缆线专用，不与任何主电源直接连接；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2.电缆线本身需有屏蔽措施以防止受外界电磁干扰。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452"/>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主控电源</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1.采用分部供电，集中控制，直流电源输入电压允许范围110-240VAC，50/60Hz；输出电压为≤36Vdc；</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2.电源为电子开关电源，具有防雷击、防杂波、防输出短路保护功能；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3.电源最远可传输1500米以上。</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712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系统控制软件及硬件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1.控制软件基于windows操作系统，包括气动物流调度监控平台与气动物流信息数据平台；</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2.可实时显示当前任务状态变化，实时显示当前任务消耗的时间；</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3.任务分时段统计分析，具备当天任务统计、周任务统计、月任务统计等功能；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4.统计分析当天24小时和当月30天任务执行排布情况，并绘制运力分析统计曲线图；统计分析当日每个科室的发瓶情况，并绘制柱状图；</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5.将传输任务按子系统和路径节点拆分成若干个子路径，并分段执行，可以在监控电脑上查询每段子路径的执行情况；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6.任务执行超过设置的时间周期时，监控软件会在界面上以文字、颜色变化和弹框进行提醒，并发送短信给相关运维人员；</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7.可绑定传输瓶与科室的对应关系，当站点识别到传输瓶编号后，无需选择接收科室，自动生成传输任务将传输瓶发回到绑定的科室；</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8.设备状态监控可显示站点、三向转换器、风机、转换中心的总数及异常数量，气动管道总长度；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9.可与消防信号进行联动，当接收到消防异常信号时可关闭服务并暂停调度任务；</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10.与医院运维大数据平台进行数据对接，将物流相关信息全部可以展示在医院运维大数据平台。仅作数据提供，不做二次开发；</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41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bl>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ind w:firstLine="422"/>
        <w:spacing w:line="360" w:lineRule="auto"/>
        <w:widowControl/>
        <w:rPr>
          <w:rFonts w:hint="eastAsia" w:ascii="仿宋" w:hAnsi="仿宋" w:eastAsia="仿宋" w:cs="仿宋"/>
          <w:bCs/>
          <w:szCs w:val="21"/>
          <w:highlight w:val="none"/>
        </w:rPr>
      </w:pPr>
      <w:r>
        <w:rPr>
          <w:rFonts w:hint="eastAsia" w:ascii="仿宋" w:hAnsi="仿宋" w:eastAsia="仿宋" w:cs="仿宋"/>
          <w:b/>
          <w:szCs w:val="21"/>
          <w:highlight w:val="none"/>
        </w:rPr>
        <w:t xml:space="preserve">设备配置需满足招标文件对于物流系统的功能要求，供应商为确保本项目物流系统功能及验收的需要可自行调整清单，但须包含以上内容；自行调整的设备及配件等应包含在投标总价中，调整的设备及配件等需列出明细。</w:t>
      </w:r>
      <w:r>
        <w:rPr>
          <w:rFonts w:hint="eastAsia" w:ascii="仿宋" w:hAnsi="仿宋" w:eastAsia="仿宋" w:cs="仿宋"/>
          <w:bCs/>
          <w:szCs w:val="21"/>
          <w:highlight w:val="none"/>
        </w:rPr>
        <w:t xml:space="preserve"> </w:t>
      </w:r>
      <w:r/>
    </w:p>
    <w:p>
      <w:pPr>
        <w:pStyle w:val="1335"/>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2.设备技术的指标及要求应根据采购清单在《采购需求偏离表》中逐项列出并明确偏离情况，未列出或未明确偏离情况的均视为负偏离予以扣分。</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★2.1备品及耗材基本要求</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（1）供应商应综合考虑满足本项目采购设备正常使用所需配置的备品备件及耗材，保证必要时可以及时提供，不影响采购人的正常使用，同时供应商应提供技术支持服务。</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（2）采购设备如涉及耗材、易耗零配件等的，应在投标文件中明确满足设备正常使用所需耗材等的费用比例。</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以上内容为实质性条款，供应商应在投标文件中提供承诺函，承诺函格式自拟并加盖供应商公章，但应包括并明确以上备品及耗材要求均满足或优于采购人的基本要求，否则作无效投标处理。</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采购标的需满足的服务标准、期限、效率等要求；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包括了所有设备、技术资料、相关服务及技术指导，但在执行合同过程中如发现有任何漏项和短缺，在清单中并未列入而且确实是中标单位供货范围中应该有的，并且是满足合同技术协议对合同设备的性能保证值要求所必须的，均应由中标单位及时补上，且不发生费用问题。</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2.3 采购标的的其他技术、服务等要求；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如有未列入招标文件，但又是本次采购货物应配置的确保正常使用和维护所必需的辅助设备和各种配件、备品备件、安装和维护所需的专用工具等的费用及中标单位认为为完成本合同内容所发生的其他所有费用均包括在本合同价款内，不再计任何额外费用。</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3.验收标准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验收的标准：根据招标文件的有关规定及技术要求按国家相关标准、行业通行标准、厂方出厂标准和中标单位响应文件的承诺执行。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（1）供应商需提供质保书、保修证明等书面资料，货号须与响应文件相符，并按制造和安装的标准要求检测验收。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正常使用。</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4．实质性要求</w:t>
      </w:r>
      <w:r/>
    </w:p>
    <w:p>
      <w:pPr>
        <w:ind w:firstLine="422"/>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（1）★供应商在投标文件中应提供投标产品的名称、规格参数、单价、品牌和生产厂商等。</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（2）★备品及耗材基本要求承诺。</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5．核心产品：智能化站点</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6.采购标的对应的中小企业划分标准所属行业一览表</w:t>
      </w:r>
      <w:r/>
    </w:p>
    <w:tbl>
      <w:tblPr>
        <w:tblStyle w:val="10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4879"/>
        <w:gridCol w:w="3181"/>
      </w:tblGrid>
      <w:tr>
        <w:trPr>
          <w:cantSplit/>
          <w:jc w:val="center"/>
          <w:trHeight w:val="454"/>
        </w:trPr>
        <w:tc>
          <w:tcPr>
            <w:tcW w:w="1126"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W w:w="4879"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采购标的</w:t>
            </w:r>
            <w:r/>
          </w:p>
        </w:tc>
        <w:tc>
          <w:tcPr>
            <w:tcW w:w="318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对应中小企业划分标准所属行业</w:t>
            </w:r>
            <w:r/>
          </w:p>
        </w:tc>
      </w:tr>
      <w:tr>
        <w:trPr>
          <w:cantSplit/>
          <w:jc w:val="center"/>
          <w:trHeight w:val="596"/>
        </w:trPr>
        <w:tc>
          <w:tcPr>
            <w:tcW w:w="1126"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4879"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新北区人民医院项目一期气动物流设备采购</w:t>
            </w:r>
            <w:r/>
          </w:p>
        </w:tc>
        <w:tc>
          <w:tcPr>
            <w:tcW w:w="318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工业</w:t>
            </w:r>
            <w:r/>
          </w:p>
        </w:tc>
      </w:tr>
    </w:tbl>
    <w:p>
      <w:pPr>
        <w:ind w:firstLine="420"/>
        <w:jc w:val="left"/>
        <w:spacing w:before="12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按《工业和信息化部、国家统计局、国家发展和改革委员会、财政部关于印发中小企业划型标准规定的通知》（工信部联企业〔2011〕300号）规定。</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7.政府采购中实施本国产品标准及相关政策</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（1）本项目对采购本国产品给予政策支持，具体内容见招标文件“第四章 评标方法与评标标准”。</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120" w:line="360" w:lineRule="auto"/>
        <w:rPr>
          <w:rFonts w:hint="eastAsia" w:ascii="仿宋" w:hAnsi="仿宋" w:eastAsia="仿宋" w:cs="仿宋"/>
          <w:szCs w:val="21"/>
          <w:highlight w:val="none"/>
        </w:rPr>
      </w:pPr>
      <w:r>
        <w:rPr>
          <w:rFonts w:hint="eastAsia" w:ascii="仿宋" w:hAnsi="仿宋" w:eastAsia="仿宋" w:cs="仿宋"/>
          <w:szCs w:val="21"/>
          <w:highlight w:val="none"/>
        </w:rPr>
      </w:r>
      <w:bookmarkEnd w:id="781"/>
      <w:bookmarkEnd w:id="782"/>
      <w:bookmarkEnd w:id="783"/>
      <w:bookmarkEnd w:id="784"/>
      <w:r/>
    </w:p>
    <w:p>
      <w:pPr>
        <w:rPr>
          <w:rFonts w:hint="eastAsia" w:ascii="仿宋" w:hAnsi="仿宋" w:eastAsia="仿宋" w:cs="仿宋"/>
          <w:highlight w:val="none"/>
        </w:rPr>
      </w:pPr>
      <w:r>
        <w:rPr>
          <w:rFonts w:hint="eastAsia" w:ascii="仿宋" w:hAnsi="仿宋" w:eastAsia="仿宋" w:cs="仿宋"/>
          <w:highlight w:val="none"/>
        </w:rPr>
      </w:r>
      <w:r/>
    </w:p>
    <w:p>
      <w:pPr>
        <w:pStyle w:val="997"/>
        <w:rPr>
          <w:rStyle w:val="1207"/>
          <w:rFonts w:hint="eastAsia" w:ascii="仿宋" w:hAnsi="仿宋" w:eastAsia="仿宋" w:cs="仿宋"/>
          <w:b/>
          <w:highlight w:val="none"/>
        </w:rPr>
      </w:pPr>
      <w:r/>
      <w:bookmarkStart w:id="786" w:name="_Hlk139628515"/>
      <w:r>
        <w:rPr>
          <w:rFonts w:hint="eastAsia" w:ascii="仿宋" w:hAnsi="仿宋" w:eastAsia="仿宋" w:cs="仿宋"/>
          <w:sz w:val="28"/>
          <w:szCs w:val="28"/>
          <w:highlight w:val="none"/>
        </w:rPr>
        <w:br w:type="page" w:clear="all"/>
      </w:r>
      <w:bookmarkStart w:id="787" w:name="_Toc32511"/>
      <w:r>
        <w:rPr>
          <w:rStyle w:val="1207"/>
          <w:rFonts w:hint="eastAsia" w:ascii="仿宋" w:hAnsi="仿宋" w:eastAsia="仿宋" w:cs="仿宋"/>
          <w:b/>
          <w:highlight w:val="none"/>
        </w:rPr>
        <w:t xml:space="preserve">第六章  </w:t>
      </w:r>
      <w:bookmarkStart w:id="788" w:name="_Hlk138941606"/>
      <w:r>
        <w:rPr>
          <w:rStyle w:val="1207"/>
          <w:rFonts w:hint="eastAsia" w:ascii="仿宋" w:hAnsi="仿宋" w:eastAsia="仿宋" w:cs="仿宋"/>
          <w:b/>
          <w:highlight w:val="none"/>
        </w:rPr>
        <w:t xml:space="preserve"> </w:t>
      </w:r>
      <w:bookmarkStart w:id="789" w:name="_Hlk119591849"/>
      <w:r>
        <w:rPr>
          <w:rStyle w:val="1207"/>
          <w:rFonts w:hint="eastAsia" w:ascii="仿宋" w:hAnsi="仿宋" w:eastAsia="仿宋" w:cs="仿宋"/>
          <w:b/>
          <w:highlight w:val="none"/>
        </w:rPr>
        <w:t xml:space="preserve">拟签订的合同文本</w:t>
      </w:r>
      <w:bookmarkEnd w:id="787"/>
      <w:r/>
      <w:bookmarkEnd w:id="788"/>
      <w:r/>
      <w:bookmarkEnd w:id="789"/>
      <w:r/>
      <w:bookmarkEnd w:id="786"/>
      <w:r/>
    </w:p>
    <w:p>
      <w:pPr>
        <w:pStyle w:val="997"/>
        <w:contextualSpacing/>
        <w:ind w:firstLine="422"/>
        <w:spacing w:before="0" w:after="0" w:line="360" w:lineRule="auto"/>
        <w:rPr>
          <w:rFonts w:hint="eastAsia" w:ascii="仿宋" w:hAnsi="仿宋" w:eastAsia="仿宋" w:cs="仿宋"/>
          <w:sz w:val="21"/>
          <w:szCs w:val="21"/>
          <w:highlight w:val="none"/>
        </w:rPr>
      </w:pPr>
      <w:r/>
      <w:bookmarkStart w:id="790" w:name="_Hlk132754170"/>
      <w:r/>
      <w:bookmarkEnd w:id="790"/>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438"/>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1438"/>
        <w:rPr>
          <w:rFonts w:hint="eastAsia" w:ascii="仿宋" w:hAnsi="仿宋" w:eastAsia="仿宋" w:cs="仿宋"/>
          <w:color w:val="auto"/>
          <w:sz w:val="36"/>
          <w:szCs w:val="36"/>
          <w:highlight w:val="none"/>
        </w:rPr>
      </w:pPr>
      <w:r>
        <w:rPr>
          <w:rFonts w:hint="eastAsia" w:ascii="仿宋" w:hAnsi="仿宋" w:eastAsia="仿宋" w:cs="仿宋"/>
          <w:b/>
          <w:bCs/>
          <w:color w:val="auto"/>
          <w:sz w:val="44"/>
          <w:szCs w:val="44"/>
          <w:highlight w:val="none"/>
        </w:rPr>
        <w:t xml:space="preserve">政府采购货物买卖合同</w:t>
      </w:r>
      <w:r/>
    </w:p>
    <w:p>
      <w:pPr>
        <w:ind w:firstLine="640"/>
        <w:rPr>
          <w:rFonts w:hint="eastAsia" w:ascii="仿宋" w:hAnsi="仿宋" w:eastAsia="仿宋" w:cs="仿宋"/>
          <w:bCs/>
          <w:spacing w:val="-20"/>
          <w:sz w:val="36"/>
          <w:szCs w:val="36"/>
          <w:highlight w:val="none"/>
        </w:rPr>
      </w:pPr>
      <w:r>
        <w:rPr>
          <w:rFonts w:hint="eastAsia" w:ascii="仿宋" w:hAnsi="仿宋" w:eastAsia="仿宋" w:cs="仿宋"/>
          <w:bCs/>
          <w:spacing w:val="-20"/>
          <w:sz w:val="36"/>
          <w:szCs w:val="36"/>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left="2379" w:hanging="1680"/>
        <w:spacing w:before="435"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项目名称：新北区人民医院项目一期气动物流设备采购</w:t>
      </w:r>
      <w:r/>
    </w:p>
    <w:p>
      <w:pPr>
        <w:ind w:left="420" w:firstLine="210"/>
        <w:spacing w:before="435"/>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合同编号：</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方：常州国家高新技术产业开发区(新北区)卫生健康局</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    方： </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签订时间：2026年  月  日</w:t>
      </w:r>
      <w:r/>
    </w:p>
    <w:p>
      <w:pPr>
        <w:ind w:firstLine="420"/>
        <w:spacing w:before="50"/>
        <w:rPr>
          <w:rFonts w:hint="eastAsia" w:ascii="仿宋" w:hAnsi="仿宋" w:eastAsia="仿宋" w:cs="仿宋"/>
          <w:highlight w:val="none"/>
        </w:rPr>
      </w:pPr>
      <w:r>
        <w:rPr>
          <w:rFonts w:hint="eastAsia" w:ascii="仿宋" w:hAnsi="仿宋" w:eastAsia="仿宋" w:cs="仿宋"/>
          <w:highlight w:val="none"/>
        </w:rPr>
      </w:r>
      <w:r/>
    </w:p>
    <w:p>
      <w:pPr>
        <w:pStyle w:val="1437"/>
        <w:ind w:firstLine="0"/>
        <w:rPr>
          <w:rFonts w:hint="eastAsia" w:ascii="仿宋" w:hAnsi="仿宋" w:eastAsia="仿宋" w:cs="仿宋"/>
          <w:szCs w:val="21"/>
          <w:highlight w:val="none"/>
        </w:rPr>
      </w:pPr>
      <w:r>
        <w:rPr>
          <w:rFonts w:hint="eastAsia" w:ascii="仿宋" w:hAnsi="仿宋" w:eastAsia="仿宋" w:cs="仿宋"/>
          <w:szCs w:val="21"/>
          <w:highlight w:val="none"/>
        </w:rPr>
      </w:r>
      <w:r/>
    </w:p>
    <w:p>
      <w:pPr>
        <w:pStyle w:val="998"/>
        <w:rPr>
          <w:rFonts w:hint="eastAsia" w:ascii="仿宋" w:hAnsi="仿宋" w:eastAsia="仿宋" w:cs="仿宋"/>
          <w:sz w:val="28"/>
          <w:szCs w:val="28"/>
          <w:highlight w:val="none"/>
        </w:rPr>
      </w:pPr>
      <w:r>
        <w:rPr>
          <w:rFonts w:hint="eastAsia" w:ascii="仿宋" w:hAnsi="仿宋" w:eastAsia="仿宋" w:cs="仿宋"/>
          <w:highlight w:val="none"/>
        </w:rPr>
        <w:br w:type="page" w:clear="all"/>
      </w:r>
      <w:bookmarkStart w:id="791" w:name="_Toc22209"/>
      <w:r>
        <w:rPr>
          <w:rFonts w:hint="eastAsia" w:ascii="仿宋" w:hAnsi="仿宋" w:eastAsia="仿宋" w:cs="仿宋"/>
          <w:sz w:val="28"/>
          <w:szCs w:val="28"/>
          <w:highlight w:val="none"/>
        </w:rPr>
        <w:t xml:space="preserve">第一节政府采购合同协议书</w:t>
      </w:r>
      <w:bookmarkEnd w:id="791"/>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甲方（全称）：常州国家高新技术产业开发区(新北区)卫生健康局</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乙方（全称）：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1．项目信息</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（1）采购项目名称：新北区人民医院项目一期气动物流设备采购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采购项目编号：</w:t>
      </w:r>
      <w:r>
        <w:rPr>
          <w:rFonts w:hint="eastAsia" w:ascii="仿宋" w:hAnsi="仿宋" w:eastAsia="仿宋" w:cs="仿宋"/>
          <w:highlight w:val="none"/>
          <w:lang w:eastAsia="zh-CN"/>
        </w:rPr>
        <w:t xml:space="preserve">JSZC-320411-SCJX-G2026-0005</w:t>
      </w:r>
      <w:r>
        <w:rPr>
          <w:rFonts w:hint="eastAsia" w:ascii="仿宋" w:hAnsi="仿宋" w:eastAsia="仿宋" w:cs="仿宋"/>
          <w:highlight w:val="none"/>
        </w:rPr>
        <w:t xml:space="preserve">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（2）采购计划编号：</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（3）项目内容：采购标的（技术参数要求）：具体见附件清单</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（4）政府采购组织形式：</w:t>
      </w:r>
      <w:r>
        <w:rPr>
          <w:rFonts w:ascii="Wingdings" w:hAnsi="Wingdings" w:eastAsia="Wingdings" w:cs="Wingdings"/>
          <w:highlight w:val="none"/>
        </w:rPr>
        <w:t xml:space="preserve">¨</w:t>
      </w:r>
      <w:r>
        <w:rPr>
          <w:rFonts w:hint="eastAsia" w:ascii="仿宋" w:hAnsi="仿宋" w:eastAsia="仿宋" w:cs="仿宋"/>
          <w:highlight w:val="none"/>
        </w:rPr>
        <w:t xml:space="preserve">政府集中采购</w:t>
      </w:r>
      <w:r>
        <w:rPr>
          <w:rFonts w:ascii="Wingdings" w:hAnsi="Wingdings" w:eastAsia="Wingdings" w:cs="Wingdings"/>
          <w:highlight w:val="none"/>
        </w:rPr>
        <w:t xml:space="preserve">¨</w:t>
      </w:r>
      <w:r>
        <w:rPr>
          <w:rFonts w:hint="eastAsia" w:ascii="仿宋" w:hAnsi="仿宋" w:eastAsia="仿宋" w:cs="仿宋"/>
          <w:highlight w:val="none"/>
        </w:rPr>
        <w:t xml:space="preserve">部门集中采购</w:t>
      </w:r>
      <w:r>
        <w:rPr>
          <w:rFonts w:ascii="Wingdings" w:hAnsi="Wingdings" w:eastAsia="Wingdings" w:cs="Wingdings"/>
          <w:highlight w:val="none"/>
        </w:rPr>
        <w:t xml:space="preserve">þ</w:t>
      </w:r>
      <w:r>
        <w:rPr>
          <w:rFonts w:hint="eastAsia" w:ascii="仿宋" w:hAnsi="仿宋" w:eastAsia="仿宋" w:cs="仿宋"/>
          <w:highlight w:val="none"/>
        </w:rPr>
        <w:t xml:space="preserve">分散采购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spacing w:val="-7"/>
          <w:highlight w:val="none"/>
        </w:rPr>
        <w:t xml:space="preserve">政府采购方式：</w:t>
      </w:r>
      <w:r>
        <w:rPr>
          <w:rFonts w:ascii="Wingdings" w:hAnsi="Wingdings" w:eastAsia="Wingdings" w:cs="Wingdings"/>
          <w:highlight w:val="none"/>
        </w:rPr>
        <w:t xml:space="preserve">þ</w:t>
      </w:r>
      <w:r>
        <w:rPr>
          <w:rFonts w:hint="eastAsia" w:ascii="仿宋" w:hAnsi="仿宋" w:eastAsia="仿宋" w:cs="仿宋"/>
          <w:spacing w:val="-7"/>
          <w:highlight w:val="none"/>
        </w:rPr>
        <w:t xml:space="preserve">公开招标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邀请招标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竞争性谈判</w:t>
      </w:r>
      <w:r>
        <w:rPr>
          <w:rFonts w:ascii="Wingdings" w:hAnsi="Wingdings" w:eastAsia="Wingdings" w:cs="Wingdings"/>
          <w:highlight w:val="none"/>
        </w:rPr>
        <w:t xml:space="preserve">¨</w:t>
      </w:r>
      <w:r>
        <w:rPr>
          <w:rFonts w:hint="eastAsia" w:ascii="仿宋" w:hAnsi="仿宋" w:eastAsia="仿宋" w:cs="仿宋"/>
          <w:highlight w:val="none"/>
        </w:rPr>
        <w:t xml:space="preserve">竞争性磋商</w:t>
      </w:r>
      <w:r>
        <w:rPr>
          <w:rFonts w:ascii="Wingdings" w:hAnsi="Wingdings" w:eastAsia="Wingdings" w:cs="Wingdings"/>
          <w:highlight w:val="none"/>
        </w:rPr>
        <w:t xml:space="preserve">¨</w:t>
      </w:r>
      <w:r>
        <w:rPr>
          <w:rFonts w:hint="eastAsia" w:ascii="仿宋" w:hAnsi="仿宋" w:eastAsia="仿宋" w:cs="仿宋"/>
          <w:highlight w:val="none"/>
        </w:rPr>
        <w:t xml:space="preserve">询价</w:t>
      </w:r>
      <w:r>
        <w:rPr>
          <w:rFonts w:ascii="Wingdings" w:hAnsi="Wingdings" w:eastAsia="Wingdings" w:cs="Wingdings"/>
          <w:highlight w:val="none"/>
        </w:rPr>
        <w:t xml:space="preserve">¨</w:t>
      </w:r>
      <w:r>
        <w:rPr>
          <w:rFonts w:hint="eastAsia" w:ascii="仿宋" w:hAnsi="仿宋" w:eastAsia="仿宋" w:cs="仿宋"/>
          <w:highlight w:val="none"/>
        </w:rPr>
        <w:t xml:space="preserve">单一来源</w:t>
      </w:r>
      <w:r>
        <w:rPr>
          <w:rFonts w:ascii="Wingdings" w:hAnsi="Wingdings" w:eastAsia="Wingdings" w:cs="Wingdings"/>
          <w:highlight w:val="none"/>
        </w:rPr>
        <w:t xml:space="preserve">¨</w:t>
      </w:r>
      <w:r>
        <w:rPr>
          <w:rFonts w:hint="eastAsia" w:ascii="仿宋" w:hAnsi="仿宋" w:eastAsia="仿宋" w:cs="仿宋"/>
          <w:highlight w:val="none"/>
        </w:rPr>
        <w:t xml:space="preserve">框架协议</w:t>
      </w:r>
      <w:r>
        <w:rPr>
          <w:rFonts w:ascii="Wingdings" w:hAnsi="Wingdings" w:eastAsia="Wingdings" w:cs="Wingdings"/>
          <w:highlight w:val="none"/>
        </w:rPr>
        <w:t xml:space="preserve">¨</w:t>
      </w:r>
      <w:r>
        <w:rPr>
          <w:rFonts w:hint="eastAsia" w:ascii="仿宋" w:hAnsi="仿宋" w:eastAsia="仿宋" w:cs="仿宋"/>
          <w:highlight w:val="none"/>
        </w:rPr>
        <w:t xml:space="preserve">其他：</w:t>
      </w:r>
      <w:r/>
    </w:p>
    <w:p>
      <w:pPr>
        <w:ind w:firstLine="380"/>
        <w:jc w:val="left"/>
        <w:spacing w:line="360" w:lineRule="auto"/>
        <w:rPr>
          <w:rFonts w:hint="eastAsia" w:ascii="仿宋" w:hAnsi="仿宋" w:eastAsia="仿宋" w:cs="仿宋"/>
          <w:spacing w:val="-10"/>
          <w:highlight w:val="none"/>
        </w:rPr>
      </w:pPr>
      <w:r>
        <w:rPr>
          <w:rFonts w:hint="eastAsia" w:ascii="仿宋" w:hAnsi="仿宋" w:eastAsia="仿宋" w:cs="仿宋"/>
          <w:spacing w:val="-10"/>
          <w:highlight w:val="none"/>
        </w:rPr>
        <w:t xml:space="preserve">（6）中标（成交）采购标的制造商是否为中小企业：</w:t>
      </w:r>
      <w:r>
        <w:rPr>
          <w:rFonts w:ascii="Wingdings" w:hAnsi="Wingdings" w:eastAsia="Wingdings" w:cs="Wingdings"/>
          <w:spacing w:val="-10"/>
          <w:highlight w:val="none"/>
        </w:rPr>
        <w:t xml:space="preserve">¨</w:t>
      </w:r>
      <w:r>
        <w:rPr>
          <w:rFonts w:hint="eastAsia" w:ascii="仿宋" w:hAnsi="仿宋" w:eastAsia="仿宋" w:cs="仿宋"/>
          <w:spacing w:val="-10"/>
          <w:highlight w:val="none"/>
        </w:rPr>
        <w:t xml:space="preserve">是</w:t>
      </w:r>
      <w:r>
        <w:rPr>
          <w:rFonts w:ascii="Wingdings" w:hAnsi="Wingdings" w:eastAsia="Wingdings" w:cs="Wingdings"/>
          <w:highlight w:val="none"/>
        </w:rPr>
        <w:t xml:space="preserve">¨</w:t>
      </w:r>
      <w:r>
        <w:rPr>
          <w:rFonts w:hint="eastAsia" w:ascii="仿宋" w:hAnsi="仿宋" w:eastAsia="仿宋" w:cs="仿宋"/>
          <w:spacing w:val="-10"/>
          <w:highlight w:val="none"/>
        </w:rPr>
        <w:t xml:space="preserve">否</w:t>
      </w:r>
      <w:r/>
    </w:p>
    <w:p>
      <w:pPr>
        <w:ind w:firstLine="420"/>
        <w:jc w:val="left"/>
        <w:spacing w:line="360" w:lineRule="auto"/>
        <w:rPr>
          <w:rFonts w:hint="eastAsia" w:ascii="仿宋" w:hAnsi="仿宋" w:eastAsia="仿宋" w:cs="仿宋"/>
          <w:iCs/>
          <w:highlight w:val="none"/>
        </w:rPr>
      </w:pPr>
      <w:r>
        <w:rPr>
          <w:rFonts w:hint="eastAsia" w:ascii="仿宋" w:hAnsi="仿宋" w:eastAsia="仿宋" w:cs="仿宋"/>
          <w:highlight w:val="none"/>
        </w:rPr>
        <w:t xml:space="preserve">本合同是否为专门面向中小企业的采购合同（中小企业预留合同）：</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highlight w:val="none"/>
        </w:rPr>
        <w:t xml:space="preserve">þ</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iCs/>
          <w:highlight w:val="none"/>
        </w:rPr>
      </w:pPr>
      <w:r>
        <w:rPr>
          <w:rFonts w:hint="eastAsia" w:ascii="仿宋" w:hAnsi="仿宋" w:eastAsia="仿宋" w:cs="仿宋"/>
          <w:highlight w:val="none"/>
        </w:rPr>
        <w:t xml:space="preserve">中标（成交）采购标的制造商是否为残疾人福利性单位：</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中标（成交）采购标的制造商是否为监狱企业：</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（7）合同是否分包：</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highlight w:val="none"/>
        </w:rPr>
        <w:t xml:space="preserve">þ</w:t>
      </w:r>
      <w:r>
        <w:rPr>
          <w:rFonts w:hint="eastAsia" w:ascii="仿宋" w:hAnsi="仿宋" w:eastAsia="仿宋" w:cs="仿宋"/>
          <w:iCs/>
          <w:highlight w:val="none"/>
        </w:rPr>
        <w:t xml:space="preserve">否</w:t>
      </w:r>
      <w:r/>
    </w:p>
    <w:p>
      <w:pPr>
        <w:ind w:firstLine="400"/>
        <w:jc w:val="left"/>
        <w:spacing w:line="360" w:lineRule="auto"/>
        <w:rPr>
          <w:rFonts w:hint="eastAsia" w:ascii="仿宋" w:hAnsi="仿宋" w:eastAsia="仿宋" w:cs="仿宋"/>
          <w:iCs/>
          <w:spacing w:val="-5"/>
          <w:highlight w:val="none"/>
        </w:rPr>
      </w:pPr>
      <w:r>
        <w:rPr>
          <w:rFonts w:hint="eastAsia" w:ascii="仿宋" w:hAnsi="仿宋" w:eastAsia="仿宋" w:cs="仿宋"/>
          <w:spacing w:val="-5"/>
          <w:highlight w:val="none"/>
        </w:rPr>
        <w:t xml:space="preserve">（8）中标（成交）供应商是否为外商投资企业：</w:t>
      </w:r>
      <w:r>
        <w:rPr>
          <w:rFonts w:ascii="Wingdings" w:hAnsi="Wingdings" w:eastAsia="Wingdings" w:cs="Wingdings"/>
          <w:highlight w:val="none"/>
        </w:rPr>
        <w:t xml:space="preserve">¨</w:t>
      </w:r>
      <w:r>
        <w:rPr>
          <w:rFonts w:hint="eastAsia" w:ascii="仿宋" w:hAnsi="仿宋" w:eastAsia="仿宋" w:cs="仿宋"/>
          <w:iCs/>
          <w:spacing w:val="-5"/>
          <w:highlight w:val="none"/>
        </w:rPr>
        <w:t xml:space="preserve">是</w:t>
      </w:r>
      <w:r>
        <w:rPr>
          <w:rFonts w:ascii="Wingdings" w:hAnsi="Wingdings" w:eastAsia="Wingdings" w:cs="Wingdings"/>
          <w:highlight w:val="none"/>
        </w:rPr>
        <w:t xml:space="preserve">¨</w:t>
      </w:r>
      <w:r>
        <w:rPr>
          <w:rFonts w:hint="eastAsia" w:ascii="仿宋" w:hAnsi="仿宋" w:eastAsia="仿宋" w:cs="仿宋"/>
          <w:iCs/>
          <w:spacing w:val="-5"/>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（9）是否涉及进口产品：</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（10）是否涉及节能产品：</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是否涉及环境标志产品：</w:t>
      </w:r>
      <w:r/>
    </w:p>
    <w:p>
      <w:pPr>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highlight w:val="none"/>
        </w:rPr>
        <w:t xml:space="preserve">是，《环境标志产品政府采购品目清单》的底级品目名称：</w:t>
      </w:r>
      <w:r/>
    </w:p>
    <w:p>
      <w:pPr>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iCs/>
          <w:highlight w:val="none"/>
        </w:rPr>
        <w:t xml:space="preserve">强制采购</w:t>
      </w:r>
      <w:r>
        <w:rPr>
          <w:rFonts w:ascii="Wingdings" w:hAnsi="Wingdings" w:eastAsia="Wingdings" w:cs="Wingdings"/>
          <w:iCs/>
          <w:highlight w:val="none"/>
        </w:rPr>
        <w:t xml:space="preserve">¨</w:t>
      </w:r>
      <w:r>
        <w:rPr>
          <w:rFonts w:hint="eastAsia" w:ascii="仿宋" w:hAnsi="仿宋" w:eastAsia="仿宋" w:cs="仿宋"/>
          <w:iCs/>
          <w:highlight w:val="none"/>
        </w:rPr>
        <w:t xml:space="preserve">优先采购</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highlight w:val="none"/>
        </w:rPr>
        <w:t xml:space="preserve">þ</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rPr>
          <w:rFonts w:ascii="Wingdings" w:hAnsi="Wingdings" w:eastAsia="Wingdings" w:cs="Wingdings"/>
          <w:highlight w:val="none"/>
        </w:rPr>
        <w:t xml:space="preserve">¨</w:t>
      </w:r>
      <w:r>
        <w:rPr>
          <w:rFonts w:hint="eastAsia" w:ascii="仿宋" w:hAnsi="仿宋" w:eastAsia="仿宋" w:cs="仿宋"/>
          <w:highlight w:val="none"/>
        </w:rPr>
        <w:t xml:space="preserve">不涉及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2．合同金额</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（1）签约合同金额小写：   元；大写：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（2）合同定价方式（采用组合定价方式的，可以勾选多项）：</w:t>
      </w:r>
      <w:r/>
    </w:p>
    <w:p>
      <w:pPr>
        <w:ind w:firstLine="420"/>
        <w:jc w:val="left"/>
        <w:spacing w:line="360" w:lineRule="auto"/>
        <w:rPr>
          <w:rFonts w:hint="eastAsia" w:ascii="仿宋" w:hAnsi="仿宋" w:eastAsia="仿宋" w:cs="仿宋"/>
          <w:highlight w:val="none"/>
        </w:rPr>
      </w:pPr>
      <w:r>
        <w:rPr>
          <w:rFonts w:ascii="Wingdings" w:hAnsi="Wingdings" w:eastAsia="Wingdings" w:cs="Wingdings"/>
          <w:iCs/>
          <w:highlight w:val="none"/>
        </w:rPr>
        <w:t xml:space="preserve">¨</w:t>
      </w:r>
      <w:r>
        <w:rPr>
          <w:rFonts w:hint="eastAsia" w:ascii="仿宋" w:hAnsi="仿宋" w:eastAsia="仿宋" w:cs="仿宋"/>
          <w:iCs/>
          <w:highlight w:val="none"/>
        </w:rPr>
        <w:t xml:space="preserve">固定总价</w:t>
      </w:r>
      <w:r>
        <w:rPr>
          <w:rFonts w:ascii="Wingdings" w:hAnsi="Wingdings" w:eastAsia="Wingdings" w:cs="Wingdings"/>
          <w:iCs/>
          <w:highlight w:val="none"/>
        </w:rPr>
        <w:t xml:space="preserve">þ</w:t>
      </w:r>
      <w:r>
        <w:rPr>
          <w:rFonts w:hint="eastAsia" w:ascii="仿宋" w:hAnsi="仿宋" w:eastAsia="仿宋" w:cs="仿宋"/>
          <w:iCs/>
          <w:highlight w:val="none"/>
        </w:rPr>
        <w:t xml:space="preserve">固定单价</w:t>
      </w:r>
      <w:r>
        <w:rPr>
          <w:rFonts w:ascii="Wingdings" w:hAnsi="Wingdings" w:eastAsia="Wingdings" w:cs="Wingdings"/>
          <w:highlight w:val="none"/>
        </w:rPr>
        <w:t xml:space="preserve">¨</w:t>
      </w:r>
      <w:r>
        <w:rPr>
          <w:rFonts w:hint="eastAsia" w:ascii="仿宋" w:hAnsi="仿宋" w:eastAsia="仿宋" w:cs="仿宋"/>
          <w:iCs/>
          <w:highlight w:val="none"/>
        </w:rPr>
        <w:t xml:space="preserve">固定费率</w:t>
      </w:r>
      <w:r>
        <w:rPr>
          <w:rFonts w:ascii="Wingdings" w:hAnsi="Wingdings" w:eastAsia="Wingdings" w:cs="Wingdings"/>
          <w:highlight w:val="none"/>
        </w:rPr>
        <w:t xml:space="preserve">¨</w:t>
      </w:r>
      <w:r>
        <w:rPr>
          <w:rFonts w:hint="eastAsia" w:ascii="仿宋" w:hAnsi="仿宋" w:eastAsia="仿宋" w:cs="仿宋"/>
          <w:iCs/>
          <w:highlight w:val="none"/>
        </w:rPr>
        <w:t xml:space="preserve">成本补偿</w:t>
      </w:r>
      <w:r>
        <w:rPr>
          <w:rFonts w:ascii="Wingdings" w:hAnsi="Wingdings" w:eastAsia="Wingdings" w:cs="Wingdings"/>
          <w:highlight w:val="none"/>
        </w:rPr>
        <w:t xml:space="preserve">¨</w:t>
      </w:r>
      <w:r>
        <w:rPr>
          <w:rFonts w:hint="eastAsia" w:ascii="仿宋" w:hAnsi="仿宋" w:eastAsia="仿宋" w:cs="仿宋"/>
          <w:iCs/>
          <w:highlight w:val="none"/>
        </w:rPr>
        <w:t xml:space="preserve">绩效激励</w:t>
      </w:r>
      <w:r>
        <w:rPr>
          <w:rFonts w:ascii="Wingdings" w:hAnsi="Wingdings" w:eastAsia="Wingdings" w:cs="Wingdings"/>
          <w:highlight w:val="none"/>
        </w:rPr>
        <w:t xml:space="preserve">¨</w:t>
      </w:r>
      <w:r>
        <w:rPr>
          <w:rFonts w:hint="eastAsia" w:ascii="仿宋" w:hAnsi="仿宋" w:eastAsia="仿宋" w:cs="仿宋"/>
          <w:iCs/>
          <w:highlight w:val="none"/>
        </w:rPr>
        <w:t xml:space="preserve">其他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（3）付款方式：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1）本合同为固定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2）本项目以人民币付款；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3）乙方在合同签订前向甲方提供签约合同价5%的履约保证金（履约担保的形式：现金或银行保函），履约结束后30个工作日内无息退还乙方。</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满足合同约定支付条件的，自收到发票后支付。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付款时乙方提供符合规定及甲方要求的增值税专用发票。</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3．合同履行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（1）起始日期：</w:t>
      </w:r>
      <w:r>
        <w:rPr>
          <w:rFonts w:hint="eastAsia" w:ascii="仿宋" w:hAnsi="仿宋" w:eastAsia="仿宋" w:cs="仿宋"/>
          <w:szCs w:val="21"/>
          <w:highlight w:val="none"/>
        </w:rPr>
        <w:t xml:space="preserve">接甲方通知后180日内完成供货、安装，于2027年12月25日前完成调试、验收合格并具备使用条件，且不得影响项目整体竣工验收</w:t>
      </w:r>
      <w:r>
        <w:rPr>
          <w:rFonts w:hint="eastAsia" w:ascii="仿宋" w:hAnsi="仿宋" w:eastAsia="仿宋" w:cs="仿宋"/>
          <w:highlight w:val="none"/>
        </w:rPr>
        <w:t xml:space="preserve">；</w:t>
      </w:r>
      <w:r>
        <w:rPr>
          <w:rFonts w:hint="eastAsia" w:ascii="仿宋" w:hAnsi="仿宋" w:eastAsia="仿宋" w:cs="仿宋"/>
          <w:szCs w:val="21"/>
          <w:highlight w:val="none"/>
        </w:rPr>
        <w:t xml:space="preserve">甲方要求分批供货及安装的，乙方应配合实施</w:t>
      </w:r>
      <w:r>
        <w:rPr>
          <w:rFonts w:hint="eastAsia" w:ascii="仿宋" w:hAnsi="仿宋" w:eastAsia="仿宋" w:cs="仿宋"/>
          <w:highlight w:val="none"/>
        </w:rPr>
        <w:t xml:space="preserve">。</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（2）履约地点</w:t>
      </w:r>
      <w:r>
        <w:rPr>
          <w:rFonts w:hint="eastAsia" w:ascii="仿宋" w:hAnsi="仿宋" w:eastAsia="仿宋" w:cs="仿宋"/>
          <w:bCs/>
          <w:highlight w:val="none"/>
        </w:rPr>
        <w:t xml:space="preserve">：</w:t>
      </w:r>
      <w:r>
        <w:rPr>
          <w:rFonts w:hint="eastAsia" w:ascii="仿宋" w:hAnsi="仿宋" w:eastAsia="仿宋" w:cs="仿宋"/>
          <w:sz w:val="22"/>
          <w:szCs w:val="22"/>
          <w:highlight w:val="none"/>
        </w:rPr>
        <w:t xml:space="preserve">新北区人民医院项目一期工地（常州市新北区，长江路以西、乐山路以东、嫩江路以北地块）</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bCs/>
          <w:highlight w:val="none"/>
        </w:rPr>
        <w:t xml:space="preserve">（3）履约担保：</w:t>
      </w:r>
      <w:r>
        <w:rPr>
          <w:rFonts w:hint="eastAsia" w:ascii="仿宋" w:hAnsi="仿宋" w:eastAsia="仿宋" w:cs="仿宋"/>
          <w:highlight w:val="none"/>
        </w:rPr>
        <w:t xml:space="preserve">是否收取履约保证金：</w:t>
      </w:r>
      <w:r>
        <w:rPr>
          <w:rFonts w:ascii="Wingdings" w:hAnsi="Wingdings" w:eastAsia="Wingdings" w:cs="Wingdings"/>
          <w:highlight w:val="none"/>
        </w:rPr>
        <w:t xml:space="preserve">þ</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4．合同验收</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（1）验收组织方式：</w:t>
      </w:r>
      <w:r>
        <w:rPr>
          <w:rFonts w:ascii="Wingdings" w:hAnsi="Wingdings" w:eastAsia="Wingdings" w:cs="Wingdings"/>
          <w:highlight w:val="none"/>
        </w:rPr>
        <w:t xml:space="preserve">þ</w:t>
      </w:r>
      <w:r>
        <w:rPr>
          <w:rFonts w:hint="eastAsia" w:ascii="仿宋" w:hAnsi="仿宋" w:eastAsia="仿宋" w:cs="仿宋"/>
          <w:bCs/>
          <w:highlight w:val="none"/>
        </w:rPr>
        <w:t xml:space="preserve">自行组织</w:t>
      </w:r>
      <w:r>
        <w:rPr>
          <w:rFonts w:ascii="Wingdings" w:hAnsi="Wingdings" w:eastAsia="Wingdings" w:cs="Wingdings"/>
          <w:highlight w:val="none"/>
        </w:rPr>
        <w:t xml:space="preserve">¨</w:t>
      </w:r>
      <w:r>
        <w:rPr>
          <w:rFonts w:hint="eastAsia" w:ascii="仿宋" w:hAnsi="仿宋" w:eastAsia="仿宋" w:cs="仿宋"/>
          <w:bCs/>
          <w:highlight w:val="none"/>
        </w:rPr>
        <w:t xml:space="preserve">委托第三方组织</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验收主体：甲方自行组织</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验收组织的其他事项：</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（2）履约验收时间：</w:t>
      </w:r>
      <w:r>
        <w:rPr>
          <w:rFonts w:hint="eastAsia" w:ascii="仿宋" w:hAnsi="仿宋" w:eastAsia="仿宋" w:cs="仿宋"/>
          <w:bCs/>
          <w:highlight w:val="none"/>
          <w:u w:val="single"/>
        </w:rPr>
        <w:t xml:space="preserve">乙方提出验收申请之日起10日内组织验收</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（3）履约验收方式：</w:t>
      </w:r>
      <w:r>
        <w:rPr>
          <w:rFonts w:ascii="Wingdings" w:hAnsi="Wingdings" w:eastAsia="Wingdings" w:cs="Wingdings"/>
          <w:highlight w:val="none"/>
        </w:rPr>
        <w:t xml:space="preserve">þ</w:t>
      </w:r>
      <w:r>
        <w:rPr>
          <w:rFonts w:hint="eastAsia" w:ascii="仿宋" w:hAnsi="仿宋" w:eastAsia="仿宋" w:cs="仿宋"/>
          <w:bCs/>
          <w:highlight w:val="none"/>
        </w:rPr>
        <w:t xml:space="preserve">一次性验收</w:t>
      </w:r>
      <w:r>
        <w:rPr>
          <w:rFonts w:ascii="Wingdings" w:hAnsi="Wingdings" w:eastAsia="Wingdings" w:cs="Wingdings"/>
          <w:highlight w:val="none"/>
        </w:rPr>
        <w:t xml:space="preserve">¨</w:t>
      </w:r>
      <w:r>
        <w:rPr>
          <w:rFonts w:hint="eastAsia" w:ascii="仿宋" w:hAnsi="仿宋" w:eastAsia="仿宋" w:cs="仿宋"/>
          <w:bCs/>
          <w:highlight w:val="none"/>
        </w:rPr>
        <w:t xml:space="preserve">分期/分项验收：</w:t>
      </w:r>
      <w:r>
        <w:rPr>
          <w:rFonts w:hint="eastAsia" w:ascii="仿宋" w:hAnsi="仿宋" w:eastAsia="仿宋" w:cs="仿宋"/>
          <w:bCs/>
          <w:highlight w:val="none"/>
          <w:u w:val="single"/>
        </w:rPr>
        <w:t xml:space="preserve">（应明确分期/分项验收的工作安排）</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（4）履约验收程序：双方另行确定</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（5）履约验收的内容：</w:t>
      </w:r>
      <w:r>
        <w:rPr>
          <w:rFonts w:hint="eastAsia" w:ascii="仿宋" w:hAnsi="仿宋" w:eastAsia="仿宋" w:cs="仿宋"/>
          <w:bCs/>
          <w:highlight w:val="none"/>
          <w:u w:val="single"/>
        </w:rPr>
        <w:t xml:space="preserve">包括每一项技术和商务要求的履约情况</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（6）履约验收标准：按现行政府采购政策及本项目合同执行</w:t>
      </w:r>
      <w:r/>
    </w:p>
    <w:p>
      <w:pPr>
        <w:ind w:firstLine="420"/>
        <w:jc w:val="left"/>
        <w:spacing w:line="360" w:lineRule="auto"/>
        <w:rPr>
          <w:rFonts w:hint="eastAsia" w:ascii="仿宋" w:hAnsi="仿宋" w:eastAsia="仿宋" w:cs="仿宋"/>
          <w:spacing w:val="-10"/>
          <w:highlight w:val="none"/>
        </w:rPr>
      </w:pPr>
      <w:r>
        <w:rPr>
          <w:rFonts w:hint="eastAsia" w:ascii="仿宋" w:hAnsi="仿宋" w:eastAsia="仿宋" w:cs="仿宋"/>
          <w:bCs/>
          <w:highlight w:val="none"/>
        </w:rPr>
        <w:t xml:space="preserve">（7）</w:t>
      </w:r>
      <w:r>
        <w:rPr>
          <w:rFonts w:hint="eastAsia" w:ascii="仿宋" w:hAnsi="仿宋" w:eastAsia="仿宋" w:cs="仿宋"/>
          <w:bCs/>
          <w:spacing w:val="-10"/>
          <w:highlight w:val="none"/>
        </w:rPr>
        <w:t xml:space="preserve">是否以采购活动中供应商提供的样品作为参考：</w:t>
      </w:r>
      <w:r>
        <w:rPr>
          <w:rFonts w:ascii="Wingdings" w:hAnsi="Wingdings" w:eastAsia="Wingdings" w:cs="Wingdings"/>
          <w:highlight w:val="none"/>
        </w:rPr>
        <w:t xml:space="preserve">¨</w:t>
      </w:r>
      <w:r>
        <w:rPr>
          <w:rFonts w:hint="eastAsia" w:ascii="仿宋" w:hAnsi="仿宋" w:eastAsia="仿宋" w:cs="仿宋"/>
          <w:bCs/>
          <w:spacing w:val="-10"/>
          <w:highlight w:val="none"/>
        </w:rPr>
        <w:t xml:space="preserve">是</w:t>
      </w:r>
      <w:r>
        <w:rPr>
          <w:rFonts w:ascii="Wingdings" w:hAnsi="Wingdings" w:eastAsia="Wingdings" w:cs="Wingdings"/>
          <w:highlight w:val="none"/>
        </w:rPr>
        <w:t xml:space="preserve">þ</w:t>
      </w:r>
      <w:r>
        <w:rPr>
          <w:rFonts w:hint="eastAsia" w:ascii="仿宋" w:hAnsi="仿宋" w:eastAsia="仿宋" w:cs="仿宋"/>
          <w:bCs/>
          <w:spacing w:val="-10"/>
          <w:highlight w:val="none"/>
        </w:rPr>
        <w:t xml:space="preserve">否</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（8）履约验收其他事项：</w:t>
      </w:r>
      <w:r>
        <w:rPr>
          <w:rFonts w:hint="eastAsia" w:ascii="仿宋" w:hAnsi="仿宋" w:eastAsia="仿宋" w:cs="仿宋"/>
          <w:bCs/>
          <w:highlight w:val="none"/>
          <w:u w:val="single"/>
        </w:rPr>
        <w:t xml:space="preserve">无</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5．组成合同的文件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本协议书与下列文件一起构成合同文件，如下述文件之间有任何抵触、矛盾或歧义，应按以下顺序解释：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（1）政府采购合同协议书及其变更、补充协议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（3）政府采购合同通用条款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（4）中标（成交）通知书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（5）投标（响应）文件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（6）采购文件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（7）有关技术文件，图纸</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（8）国家法律、行政法规和规章制度规定或合同约定的作为合同组成部分的其他文件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合同生效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本合同自双方签字盖章之日起生效。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合同份数</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本合同一式陆份，甲方执肆份，乙方执贰份，均具有同等法律效力。</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合同订立时间：2026年   月   日</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合同订立地点：常州市新北区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附件：具体标的及其技术要求</w:t>
      </w:r>
      <w:r/>
    </w:p>
    <w:tbl>
      <w:tblPr>
        <w:tblStyle w:val="1007"/>
        <w:tblW w:w="485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2709"/>
        <w:gridCol w:w="2311"/>
        <w:gridCol w:w="2620"/>
      </w:tblGrid>
      <w:tr>
        <w:trPr>
          <w:trHeight w:val="359"/>
        </w:trPr>
        <w:tc>
          <w:tcPr>
            <w:gridSpan w:val="2"/>
            <w:tcBorders>
              <w:bottom w:val="single" w:color="000000" w:sz="2" w:space="0"/>
              <w:right w:val="single" w:color="000000" w:sz="2" w:space="0"/>
            </w:tcBorders>
            <w:tcW w:w="242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甲方</w:t>
            </w:r>
            <w:r/>
          </w:p>
        </w:tc>
        <w:tc>
          <w:tcPr>
            <w:gridSpan w:val="2"/>
            <w:tcBorders>
              <w:left w:val="single" w:color="000000" w:sz="2" w:space="0"/>
              <w:bottom w:val="single" w:color="000000" w:sz="2" w:space="0"/>
            </w:tcBorders>
            <w:tcW w:w="257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乙方</w:t>
            </w:r>
            <w:r/>
          </w:p>
        </w:tc>
      </w:tr>
      <w:tr>
        <w:trPr>
          <w:trHeight w:val="700"/>
        </w:trPr>
        <w:tc>
          <w:tcPr>
            <w:tcBorders>
              <w:top w:val="single" w:color="000000" w:sz="2" w:space="0"/>
              <w:bottom w:val="single" w:color="000000" w:sz="2" w:space="0"/>
              <w:right w:val="single" w:color="000000" w:sz="2" w:space="0"/>
            </w:tcBorders>
            <w:tcMar>
              <w:left w:w="0" w:type="dxa"/>
              <w:right w:w="0" w:type="dxa"/>
            </w:tcMar>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单位名称</w:t>
            </w:r>
            <w:r/>
          </w:p>
          <w:p>
            <w:pPr>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常州国家高新技术产业开发区(新北区)卫生健康局</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单位名称</w:t>
            </w:r>
            <w:r/>
          </w:p>
          <w:p>
            <w:pPr>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cantSplit/>
          <w:trHeight w:val="700"/>
        </w:trPr>
        <w:tc>
          <w:tcPr>
            <w:tcBorders>
              <w:top w:val="single" w:color="000000" w:sz="2" w:space="0"/>
              <w:right w:val="single" w:color="000000" w:sz="2" w:space="0"/>
            </w:tcBorders>
            <w:tcW w:w="1007" w:type="pct"/>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法定代表人或</w:t>
            </w:r>
            <w:r/>
          </w:p>
          <w:p>
            <w:pPr>
              <w:jc w:val="center"/>
              <w:rPr>
                <w:rFonts w:hint="eastAsia" w:ascii="仿宋" w:hAnsi="仿宋" w:eastAsia="仿宋" w:cs="仿宋"/>
                <w:highlight w:val="none"/>
              </w:rPr>
            </w:pPr>
            <w:r>
              <w:rPr>
                <w:rFonts w:hint="eastAsia" w:ascii="仿宋" w:hAnsi="仿宋" w:eastAsia="仿宋" w:cs="仿宋"/>
                <w:highlight w:val="none"/>
              </w:rPr>
              <w:t xml:space="preserve">其委托代理人</w:t>
            </w:r>
            <w:r/>
          </w:p>
          <w:p>
            <w:pPr>
              <w:jc w:val="center"/>
              <w:rPr>
                <w:rFonts w:hint="eastAsia" w:ascii="仿宋" w:hAnsi="仿宋" w:eastAsia="仿宋" w:cs="仿宋"/>
                <w:highlight w:val="none"/>
              </w:rPr>
            </w:pPr>
            <w:r>
              <w:rPr>
                <w:rFonts w:hint="eastAsia" w:ascii="仿宋" w:hAnsi="仿宋" w:eastAsia="仿宋" w:cs="仿宋"/>
                <w:highlight w:val="none"/>
              </w:rPr>
              <w:t xml:space="preserve">（签章）</w:t>
            </w:r>
            <w:r/>
          </w:p>
        </w:tc>
        <w:tc>
          <w:tcPr>
            <w:tcBorders>
              <w:top w:val="single" w:color="000000" w:sz="2" w:space="0"/>
              <w:left w:val="single" w:color="000000" w:sz="2" w:space="0"/>
              <w:right w:val="single" w:color="000000" w:sz="2" w:space="0"/>
            </w:tcBorders>
            <w:tcW w:w="1416" w:type="pct"/>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法定代表人或其委托代理人（签章）</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r>
      <w:tr>
        <w:trPr>
          <w:cantSplit/>
          <w:trHeight w:val="353"/>
        </w:trPr>
        <w:tc>
          <w:tcPr>
            <w:tcBorders>
              <w:bottom w:val="single" w:color="000000" w:sz="2" w:space="0"/>
              <w:right w:val="single" w:color="000000" w:sz="2" w:space="0"/>
            </w:tcBorders>
            <w:tcW w:w="1007" w:type="pct"/>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000000" w:sz="2" w:space="0"/>
              <w:bottom w:val="single" w:color="000000" w:sz="2" w:space="0"/>
              <w:right w:val="single" w:color="000000" w:sz="2" w:space="0"/>
            </w:tcBorders>
            <w:tcW w:w="1416" w:type="pct"/>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拥有者性别</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住  所</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 系 人</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联系电话</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通信地址</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邮政编码</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电子邮箱</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90"/>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开户名称</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4"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4"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4"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开户银行</w:t>
            </w:r>
            <w:r/>
          </w:p>
        </w:tc>
        <w:tc>
          <w:tcPr>
            <w:tcBorders>
              <w:top w:val="single" w:color="000000" w:sz="2" w:space="0"/>
              <w:left w:val="single" w:color="000000" w:sz="2" w:space="0"/>
              <w:bottom w:val="single" w:color="000000" w:sz="4"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9"/>
        </w:trPr>
        <w:tc>
          <w:tcPr>
            <w:tcBorders>
              <w:top w:val="single" w:color="000000" w:sz="4" w:space="0"/>
              <w:bottom w:val="single" w:color="000000" w:sz="4"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2" w:space="0"/>
              <w:bottom w:val="single" w:color="000000" w:sz="4"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2" w:space="0"/>
              <w:bottom w:val="single" w:color="000000" w:sz="4"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银行账号</w:t>
            </w:r>
            <w:r/>
          </w:p>
        </w:tc>
        <w:tc>
          <w:tcPr>
            <w:tcBorders>
              <w:top w:val="single" w:color="000000" w:sz="4" w:space="0"/>
              <w:left w:val="single" w:color="000000" w:sz="2" w:space="0"/>
              <w:bottom w:val="single" w:color="000000" w:sz="4"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713"/>
        </w:trPr>
        <w:tc>
          <w:tcPr>
            <w:gridSpan w:val="4"/>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pStyle w:val="1242"/>
              <w:ind w:firstLine="520"/>
              <w:jc w:val="left"/>
              <w:rPr>
                <w:rFonts w:hint="eastAsia" w:ascii="仿宋" w:hAnsi="仿宋" w:eastAsia="仿宋" w:cs="仿宋"/>
                <w:spacing w:val="20"/>
                <w:szCs w:val="21"/>
                <w:highlight w:val="none"/>
              </w:rPr>
            </w:pPr>
            <w:r>
              <w:rPr>
                <w:rFonts w:hint="eastAsia" w:ascii="仿宋" w:hAnsi="仿宋" w:eastAsia="仿宋" w:cs="仿宋"/>
                <w:spacing w:val="20"/>
                <w:szCs w:val="21"/>
                <w:highlight w:val="none"/>
              </w:rPr>
            </w:r>
            <w:r/>
          </w:p>
        </w:tc>
      </w:tr>
    </w:tbl>
    <w:p>
      <w:pPr>
        <w:pStyle w:val="998"/>
        <w:rPr>
          <w:rFonts w:hint="eastAsia" w:ascii="仿宋" w:hAnsi="仿宋" w:eastAsia="仿宋" w:cs="仿宋"/>
          <w:sz w:val="28"/>
          <w:szCs w:val="28"/>
          <w:highlight w:val="none"/>
        </w:rPr>
      </w:pPr>
      <w:r>
        <w:rPr>
          <w:rFonts w:hint="eastAsia" w:ascii="仿宋" w:hAnsi="仿宋" w:eastAsia="仿宋" w:cs="仿宋"/>
          <w:szCs w:val="21"/>
          <w:highlight w:val="none"/>
          <w:u w:val="single"/>
        </w:rPr>
        <w:br w:type="page" w:clear="all"/>
      </w:r>
      <w:bookmarkStart w:id="792" w:name="_Toc27624"/>
      <w:r>
        <w:rPr>
          <w:rFonts w:hint="eastAsia" w:ascii="仿宋" w:hAnsi="仿宋" w:eastAsia="仿宋" w:cs="仿宋"/>
          <w:sz w:val="28"/>
          <w:szCs w:val="28"/>
          <w:highlight w:val="none"/>
        </w:rPr>
        <w:t xml:space="preserve">第二节政府采购合同通用条款</w:t>
      </w:r>
      <w:bookmarkEnd w:id="792"/>
      <w:r/>
      <w:r/>
    </w:p>
    <w:p>
      <w:pPr>
        <w:ind w:firstLine="420"/>
        <w:jc w:val="left"/>
        <w:spacing w:line="360" w:lineRule="auto"/>
        <w:rPr>
          <w:rFonts w:hint="eastAsia" w:ascii="仿宋" w:hAnsi="仿宋" w:eastAsia="仿宋" w:cs="仿宋"/>
          <w:highlight w:val="none"/>
        </w:rPr>
      </w:pPr>
      <w:r/>
      <w:bookmarkStart w:id="793" w:name="_Toc20313"/>
      <w:r>
        <w:rPr>
          <w:rFonts w:hint="eastAsia" w:ascii="仿宋" w:hAnsi="仿宋" w:eastAsia="仿宋" w:cs="仿宋"/>
          <w:highlight w:val="none"/>
        </w:rPr>
        <w:t xml:space="preserve">1. 定义</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1.1合同当事人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（3）其他合同主体是指除采购人和供应商以外，依法参与合同缔结或履行，享有权利、承担义务的合同当事人。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1.2本合同下列术语应解释为：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（2）“合同价款”系指根据本合同规定乙方在全面履行合同义务后甲方应支付给乙方的价款。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（7）其他术语解释，见【政府采购合同专用条款】。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 合同标的及金额</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合同标的及金额应与中标（成交）结果一致。乙方为履行本合同而发生的所有费用均应包含在合同价款中，甲方不再另行支付其他任何费用。</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 履行合同的时间、地点和方式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3.1 乙方应当在约定的时间、地点，按照约定方式履行合同。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 甲方的权利和义务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4.3 甲方有权要求乙方对缺陷部分予以修复，并按合同约定享有货物保修及其他合同约定的权利。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4.6 国家法律法规规定及【政府采购合同专用条款】约定应由甲方承担的其他义务和责任。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 乙方的权利和义务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5.1 签署合同后，乙方应确定项目负责人：联系人：；联系方式： ，负责与本合同有关的事务。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5.3乙方有权根据合同约定向甲方收取合同价款。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5.4国家法律法规规定及【政府采购合同专用条款】约定应由乙方承担的其他义务和责任。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 合同履行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6.1 甲乙双方应当按照【政府采购合同专用条款】约定顺序履行合同义务；如果没有先后顺序的，应当同时履行。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 货物包装、运输、保险和交付要求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7.2 除【政府采购合同专用条款】另有约定外，乙方负责办理将货物运抵本合同规定的交货地点，并装卸、交付至甲方的一切运输事项，相关费用应包含在合同价款中。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7.3 货物保险要求按【政府采购合同专用条款】规定执行。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7.5 乙方在运输到达之前应提前通知甲方，并提示货物运输装卸的注意事项，甲方配合乙方做好货物的接收工作。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7.6 如因包装、运输问题导致货物损毁、丢失或者品质下降，甲方有权要求降价、换货、拒收部分或整批货物，由此产生的费用和损失，均由乙方承担。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 质量标准和保证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8.1 质量标准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（2）采用中华人民共和国法定计量单位。</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（3）乙方所提供的货物应符合国家有关安全、环保、卫生的规定。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8.2 保证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（2）在质量保证期内所发现的缺陷，甲方应尽快以书面形式通知乙方。</w:t>
      </w:r>
      <w:r/>
    </w:p>
    <w:p>
      <w:pPr>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（3）乙方收到通知后，应在【政府采购合同专用条款】规定的响应时间内以合理的速度免费维修或更换有缺陷的货物或部件。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（5）乙方在约定的时间内未能弥补缺陷，甲方可采取必要的补救措施，但其风险和费用将由乙方承担，甲方根据合同约定对乙方行使的其他权利不受影响。</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 权利瑕疵担保</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9.1 乙方保证对其出售的货物享有合法的权利。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9.2 乙方保证在交付的货物上不存在抵押权等担保物权。</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9.3 如甲方使用上述货物构成对第三人侵权的，则由乙方承担全部责任。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 知识产权保护</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 保密义务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 合同价款支付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12.1 合同价款支付按照国库集中支付制度及财政管理相关规定执行。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 履约保证金</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13.1 乙方应当以支票、汇票、本票或者金融机构、担保机构出具的保函等非现金形式提交。按照苏财购〔2023〕150号文，鼓励优先采用电子保函形式。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 售后服务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14.1 除项目不涉及或采购活动中明确约定无须承担外，乙方还应提供下列服务：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（1）货物的现场移动、安装、调试、启动监督及技术支持；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（2）提供货物组装和维修所需的专用工具和辅助材料；</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（3）在【政府采购合同专用条款】约定的期限内对所有的货物实施运行监督、维修，但前提条件是该服务并不能免除乙方在质量保证期内所承担的义务；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（4）在制造商所在地或指定现场就货物的安装、启动、运营、维护、废弃处置等对甲方操作人员进行培训；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（6）【政府采购合同专用条款】规定由乙方提供的其他服务。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14.2 乙方提供的售后服务的费用已包含在合同价款中，甲方不再另行支付。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 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15.1质量瑕疵的违约责任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15.2 迟延交货的违约责任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15.3 迟延支付的违约责任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甲方存在迟延支付乙方合同款项的，应当承担【政府采购合同专用条款】规定的逾期付款利息。</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15.4其他违约责任根据项目实际需要按【政府采购合同专用条款】规定执行。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 合同变更、中止与终止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16.1合同的变更</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16.2合同的中止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（1）合同履行过程中因供应商就采购文件、采购过程或结果提起投诉的，甲方认为有必要的，可以中止合同的履行。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（4）甲方不得以行政区划调整、政府换届、机构或者职能调整以及相关责任人更替为由中止合同。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16.3合同的终止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（1）合同因有效期限届满而终止；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（2）乙方未按合同约定履行，构成根本性违约的，甲方有权终止合同，并追究乙方的违约责任。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16.4 涉及国家利益、社会公共利益的情形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 合同分包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17.2 乙方执行政府采购政策向中小企业依法分包的，乙方应当按采购文件和投标（响应）文件签订分包意向协议，分包意向协议属于本合同组成部分。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 不可抗力</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18.1 不可抗力是指合同双方不能预见、不能避免且不能克服的客观情况。</w:t>
      </w:r>
      <w:r/>
    </w:p>
    <w:p>
      <w:pPr>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 解决争议的方法</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19.3 如甲乙双方有争议的事项不影响合同其他部分的履行，在争议解决期间，合同其他部分应当继续履行。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 政府采购政策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20.1 本合同应当按照规定执行政府采购政策。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法律适用</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21.1 本合同的订立、生效、解释、履行及与本合同有关的争议解决，均适用法律、行政法规。</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21.2 本合同条款与法律、行政法规的强制性规定不一致的，双方当事人应按照法律、行政法规的强制性规定修改本合同的相关条款。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 通知</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22.1 本合同任何一方向对方发出的通知、信件、数据电文等，应当发送至本合同第一部分《政府采购合同协议书》所约定的通讯地址、联系人、联系电话或电子邮箱。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22.4通知以送达之日或通知书中规定的生效之日起生效，两者中以较迟之日为准。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 合同未尽事项</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23.1合同未尽事项见【政府采购合同专用条款】。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23.2 合同附件与合同正文具有同等的法律效力。</w:t>
      </w:r>
      <w:r/>
    </w:p>
    <w:p>
      <w:pPr>
        <w:pStyle w:val="998"/>
        <w:rPr>
          <w:rFonts w:hint="eastAsia" w:ascii="仿宋" w:hAnsi="仿宋" w:eastAsia="仿宋" w:cs="仿宋"/>
          <w:sz w:val="28"/>
          <w:szCs w:val="28"/>
          <w:highlight w:val="none"/>
        </w:rPr>
      </w:pPr>
      <w:r>
        <w:rPr>
          <w:rFonts w:hint="eastAsia" w:ascii="仿宋" w:hAnsi="仿宋" w:eastAsia="仿宋" w:cs="仿宋"/>
          <w:highlight w:val="none"/>
        </w:rPr>
        <w:br w:type="page" w:clear="all"/>
      </w:r>
      <w:r>
        <w:rPr>
          <w:rFonts w:hint="eastAsia" w:ascii="仿宋" w:hAnsi="仿宋" w:eastAsia="仿宋" w:cs="仿宋"/>
          <w:sz w:val="28"/>
          <w:szCs w:val="28"/>
          <w:highlight w:val="none"/>
        </w:rPr>
        <w:t xml:space="preserve">第三节 政府采购合同专用条款</w:t>
      </w:r>
      <w:bookmarkEnd w:id="793"/>
      <w:r/>
      <w:r/>
    </w:p>
    <w:p>
      <w:pPr>
        <w:jc w:val="left"/>
        <w:spacing w:line="20" w:lineRule="exact"/>
        <w:widowControl/>
        <w:rPr>
          <w:rFonts w:hint="eastAsia" w:ascii="仿宋" w:hAnsi="仿宋" w:eastAsia="仿宋" w:cs="仿宋"/>
          <w:highlight w:val="none"/>
        </w:rPr>
      </w:pPr>
      <w:r>
        <w:rPr>
          <w:rFonts w:hint="eastAsia" w:ascii="仿宋" w:hAnsi="仿宋" w:eastAsia="仿宋" w:cs="仿宋"/>
          <w:highlight w:val="none"/>
        </w:rPr>
      </w:r>
      <w:r/>
    </w:p>
    <w:tbl>
      <w:tblPr>
        <w:tblStyle w:val="1007"/>
        <w:tblW w:w="992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94"/>
        <w:gridCol w:w="1837"/>
        <w:gridCol w:w="6591"/>
      </w:tblGrid>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第1.2（6）项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联合体具体要求</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第1.2（7）项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其他术语解释</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第4.4款</w:t>
            </w:r>
            <w:r/>
          </w:p>
        </w:tc>
        <w:tc>
          <w:tcPr>
            <w:tcW w:w="1837" w:type="dxa"/>
            <w:vAlign w:val="center"/>
            <w:textDirection w:val="lrTb"/>
            <w:noWrap w:val="false"/>
          </w:tcPr>
          <w:p>
            <w:pPr>
              <w:jc w:val="center"/>
              <w:spacing w:line="360" w:lineRule="exact"/>
              <w:rPr>
                <w:rFonts w:hint="eastAsia" w:ascii="仿宋" w:hAnsi="仿宋" w:eastAsia="仿宋" w:cs="仿宋"/>
                <w:highlight w:val="none"/>
              </w:rPr>
            </w:pPr>
            <w:r>
              <w:rPr>
                <w:rFonts w:hint="eastAsia" w:ascii="仿宋" w:hAnsi="仿宋" w:eastAsia="仿宋" w:cs="仿宋"/>
                <w:highlight w:val="none"/>
              </w:rPr>
              <w:t xml:space="preserve">履约验收中甲方提出异议或作出说明的期限</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收到相关材料后10个工作日</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第4.6款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约定甲方承担的其他义务和责任</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第5.4款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约定乙方承担的其他义务和责任</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乙方应将所提供货物的原厂保修卡和合格证、用户手册、装箱清单及其他随机资料及随机工具、配件等交付给甲方，乙方不能完整交付货物及本款规定的单证的，视为未按合同约定交货，乙方负责补齐，因此导致逾期交付的，由乙方承担相关的违约责任；</w:t>
            </w:r>
            <w:r/>
          </w:p>
          <w:p>
            <w:pPr>
              <w:jc w:val="left"/>
              <w:rPr>
                <w:rFonts w:hint="eastAsia" w:ascii="仿宋" w:hAnsi="仿宋" w:eastAsia="仿宋" w:cs="仿宋"/>
                <w:highlight w:val="none"/>
              </w:rPr>
            </w:pPr>
            <w:r>
              <w:rPr>
                <w:rFonts w:hint="eastAsia" w:ascii="仿宋" w:hAnsi="仿宋" w:eastAsia="仿宋" w:cs="仿宋"/>
                <w:highlight w:val="none"/>
              </w:rPr>
              <w:t xml:space="preserve">2.乙方应提供包括所有</w:t>
            </w:r>
            <w:r>
              <w:rPr>
                <w:rFonts w:hint="eastAsia" w:ascii="仿宋" w:hAnsi="仿宋" w:eastAsia="仿宋" w:cs="仿宋"/>
                <w:szCs w:val="21"/>
                <w:highlight w:val="none"/>
              </w:rPr>
              <w:t xml:space="preserve">设备</w:t>
            </w:r>
            <w:r>
              <w:rPr>
                <w:rFonts w:hint="eastAsia" w:ascii="仿宋" w:hAnsi="仿宋" w:eastAsia="仿宋" w:cs="仿宋"/>
                <w:highlight w:val="none"/>
              </w:rPr>
              <w:t xml:space="preserve">、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第6.1款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履行合同义务的顺序</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乙方先予履行</w:t>
            </w:r>
            <w:r/>
          </w:p>
        </w:tc>
      </w:tr>
      <w:tr>
        <w:trPr>
          <w:cantSplit/>
          <w:jc w:val="center"/>
          <w:trHeight w:val="90"/>
        </w:trPr>
        <w:tc>
          <w:tcPr>
            <w:tcMar>
              <w:left w:w="0" w:type="dxa"/>
              <w:right w:w="0" w:type="dxa"/>
            </w:tcMar>
            <w:tcW w:w="1494"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包装特殊要求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1.除合同另有规定外，乙方提供的全部货物均应按国家或行业标准保护措施进行包装；</w:t>
            </w:r>
            <w:r/>
          </w:p>
          <w:p>
            <w:pPr>
              <w:rPr>
                <w:rFonts w:hint="eastAsia" w:ascii="仿宋" w:hAnsi="仿宋" w:eastAsia="仿宋" w:cs="仿宋"/>
                <w:highlight w:val="none"/>
              </w:rPr>
            </w:pPr>
            <w:r>
              <w:rPr>
                <w:rFonts w:hint="eastAsia" w:ascii="仿宋" w:hAnsi="仿宋" w:eastAsia="仿宋" w:cs="仿宋"/>
                <w:highlight w:val="none"/>
              </w:rPr>
              <w:t xml:space="preserve">2.包装单元内应附详细的装箱单和质量合格凭证；</w:t>
            </w:r>
            <w:r/>
          </w:p>
          <w:p>
            <w:pPr>
              <w:rPr>
                <w:rFonts w:hint="eastAsia" w:ascii="仿宋" w:hAnsi="仿宋" w:eastAsia="仿宋" w:cs="仿宋"/>
                <w:highlight w:val="none"/>
              </w:rPr>
            </w:pPr>
            <w:r>
              <w:rPr>
                <w:rFonts w:hint="eastAsia" w:ascii="仿宋" w:hAnsi="仿宋" w:eastAsia="仿宋" w:cs="仿宋"/>
                <w:highlight w:val="none"/>
              </w:rPr>
              <w:t xml:space="preserve">3.由于包装不善所引起的货物损失均由乙方承担。</w:t>
            </w:r>
            <w:r/>
          </w:p>
        </w:tc>
      </w:tr>
      <w:tr>
        <w:trPr>
          <w:cantSplit/>
          <w:jc w:val="center"/>
          <w:trHeight w:val="302"/>
        </w:trPr>
        <w:tc>
          <w:tcPr>
            <w:tcMar>
              <w:left w:w="0" w:type="dxa"/>
              <w:right w:w="0" w:type="dxa"/>
            </w:tcMar>
            <w:tcW w:w="1494"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指定现场</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sz w:val="22"/>
                <w:szCs w:val="22"/>
                <w:highlight w:val="none"/>
              </w:rPr>
              <w:t xml:space="preserve">新北区人民医院项目一期工地（常州市新北区，长江路以西、乐山路以东、嫩江路以北地块）</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运输特殊要求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运送至甲方指定地点</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保险要求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第8.2（1）项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质量保证期</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投标文件承诺的年份：</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年</w:t>
            </w:r>
            <w:r/>
          </w:p>
          <w:p>
            <w:pPr>
              <w:jc w:val="left"/>
              <w:rPr>
                <w:rFonts w:hint="eastAsia" w:ascii="仿宋" w:hAnsi="仿宋" w:eastAsia="仿宋" w:cs="仿宋"/>
                <w:highlight w:val="none"/>
              </w:rPr>
            </w:pPr>
            <w:r>
              <w:rPr>
                <w:rFonts w:hint="eastAsia" w:ascii="仿宋" w:hAnsi="仿宋" w:eastAsia="仿宋" w:cs="仿宋"/>
                <w:highlight w:val="none"/>
              </w:rPr>
              <w:t xml:space="preserve">产品质量保证期内，凡货物在开箱检验、安装调试、货物试运转过程中发现的货物质量问题，由乙方负责处理，实行包修、包换、包退，直至产品符合质量要求，乙方承担修理、调换、退货发生的一切费用和甲方的直接经济损失。产品质量保证期从产品验收合格之日算起。</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第8.2（3）项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货物质量缺陷</w:t>
            </w:r>
            <w:r/>
          </w:p>
          <w:p>
            <w:pPr>
              <w:jc w:val="center"/>
              <w:rPr>
                <w:rFonts w:hint="eastAsia" w:ascii="仿宋" w:hAnsi="仿宋" w:eastAsia="仿宋" w:cs="仿宋"/>
                <w:highlight w:val="none"/>
              </w:rPr>
            </w:pPr>
            <w:r>
              <w:rPr>
                <w:rFonts w:hint="eastAsia" w:ascii="仿宋" w:hAnsi="仿宋" w:eastAsia="仿宋" w:cs="仿宋"/>
                <w:highlight w:val="none"/>
              </w:rPr>
              <w:t xml:space="preserve">响应时间</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提供长期技术支持和维修服务，接到用户维修通知后，1小时内响应、2小时内到达指定现场进行维修。免费更换一切在非人为原因情况下损坏的零配件。如需更换设备或送修，必须在24小时内负责解决，且更换维修期间须提供备用设备以保证系统的正常运行。免费质保期内，如在以上规定时间内乙方不能及时完成维修任务，甲方有权指定第三方进行维修，维修费用需由乙方支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pStyle w:val="1440"/>
              <w:ind w:firstLine="420"/>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第11.1款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其他应当保密的信息</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合同价款支付</w:t>
            </w:r>
            <w:r/>
          </w:p>
          <w:p>
            <w:pPr>
              <w:jc w:val="center"/>
              <w:rPr>
                <w:rFonts w:hint="eastAsia" w:ascii="仿宋" w:hAnsi="仿宋" w:eastAsia="仿宋" w:cs="仿宋"/>
                <w:highlight w:val="none"/>
              </w:rPr>
            </w:pPr>
            <w:r>
              <w:rPr>
                <w:rFonts w:hint="eastAsia" w:ascii="仿宋" w:hAnsi="仿宋" w:eastAsia="仿宋" w:cs="仿宋"/>
                <w:highlight w:val="none"/>
              </w:rPr>
              <w:t xml:space="preserve">时间</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1）本合同为固定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合同；</w:t>
            </w:r>
            <w:r/>
          </w:p>
          <w:p>
            <w:pPr>
              <w:jc w:val="left"/>
              <w:rPr>
                <w:rFonts w:hint="eastAsia" w:ascii="仿宋" w:hAnsi="仿宋" w:eastAsia="仿宋" w:cs="仿宋"/>
                <w:highlight w:val="none"/>
              </w:rPr>
            </w:pPr>
            <w:r>
              <w:rPr>
                <w:rFonts w:hint="eastAsia" w:ascii="仿宋" w:hAnsi="仿宋" w:eastAsia="仿宋" w:cs="仿宋"/>
                <w:highlight w:val="none"/>
              </w:rPr>
              <w:t xml:space="preserve">2）本项目以人民币付款；</w:t>
            </w:r>
            <w:r/>
          </w:p>
          <w:p>
            <w:pPr>
              <w:jc w:val="left"/>
              <w:rPr>
                <w:rFonts w:hint="eastAsia" w:ascii="仿宋" w:hAnsi="仿宋" w:eastAsia="仿宋" w:cs="仿宋"/>
                <w:highlight w:val="none"/>
              </w:rPr>
            </w:pPr>
            <w:r>
              <w:rPr>
                <w:rFonts w:hint="eastAsia" w:ascii="仿宋" w:hAnsi="仿宋" w:eastAsia="仿宋" w:cs="仿宋"/>
                <w:highlight w:val="none"/>
              </w:rPr>
              <w:t xml:space="preserve">3）乙方在合同签订前向甲方提供签约合同价5%的履约保证金（履约担保的形式：现金或银行保函），履约结束后30个工作日内无息退还乙方。</w:t>
            </w:r>
            <w:r/>
          </w:p>
          <w:p>
            <w:pPr>
              <w:jc w:val="left"/>
              <w:rPr>
                <w:rFonts w:hint="eastAsia" w:ascii="仿宋" w:hAnsi="仿宋" w:eastAsia="仿宋" w:cs="仿宋"/>
                <w:highlight w:val="none"/>
              </w:rPr>
            </w:pPr>
            <w:r>
              <w:rPr>
                <w:rFonts w:hint="eastAsia" w:ascii="仿宋" w:hAnsi="仿宋" w:eastAsia="仿宋" w:cs="仿宋"/>
                <w:highlight w:val="none"/>
              </w:rPr>
              <w:t xml:space="preserve">4）预付款支付时间：合同签订生效后；预付款支付比例：签约合同金额的30%；</w:t>
            </w:r>
            <w:r/>
          </w:p>
          <w:p>
            <w:pPr>
              <w:jc w:val="left"/>
              <w:rPr>
                <w:rFonts w:hint="eastAsia" w:ascii="仿宋" w:hAnsi="仿宋" w:eastAsia="仿宋" w:cs="仿宋"/>
                <w:highlight w:val="none"/>
              </w:rPr>
            </w:pPr>
            <w:r>
              <w:rPr>
                <w:rFonts w:hint="eastAsia" w:ascii="仿宋" w:hAnsi="仿宋" w:eastAsia="仿宋" w:cs="仿宋"/>
                <w:highlight w:val="none"/>
              </w:rPr>
              <w:t xml:space="preserve">5）进度款支付时间：全部设备完成安装调试合格后；进度款支付比例：支付至签约合同金额的70%；</w:t>
            </w:r>
            <w:r/>
          </w:p>
          <w:p>
            <w:pPr>
              <w:jc w:val="left"/>
              <w:rPr>
                <w:rFonts w:hint="eastAsia" w:ascii="仿宋" w:hAnsi="仿宋" w:eastAsia="仿宋" w:cs="仿宋"/>
                <w:highlight w:val="none"/>
              </w:rPr>
            </w:pPr>
            <w:r>
              <w:rPr>
                <w:rFonts w:hint="eastAsia" w:ascii="仿宋" w:hAnsi="仿宋" w:eastAsia="仿宋" w:cs="仿宋"/>
                <w:highlight w:val="none"/>
              </w:rPr>
              <w:t xml:space="preserve">6）结算款支付时间：所有设备投入使用正常运行三个月并经履约验收合格及结算审定完成后；结算款支付比例：支付至审定金额的100%。</w:t>
            </w:r>
            <w:r/>
          </w:p>
          <w:p>
            <w:pPr>
              <w:jc w:val="left"/>
              <w:rPr>
                <w:rFonts w:hint="eastAsia" w:ascii="仿宋" w:hAnsi="仿宋" w:eastAsia="仿宋" w:cs="仿宋"/>
                <w:highlight w:val="none"/>
              </w:rPr>
            </w:pPr>
            <w:r>
              <w:rPr>
                <w:rFonts w:hint="eastAsia" w:ascii="仿宋" w:hAnsi="仿宋" w:eastAsia="仿宋" w:cs="仿宋"/>
                <w:highlight w:val="none"/>
              </w:rPr>
              <w:t xml:space="preserve">满足合同约定支付条件的，自收到发票后支付。</w:t>
            </w:r>
            <w:r/>
          </w:p>
          <w:p>
            <w:pPr>
              <w:jc w:val="left"/>
              <w:rPr>
                <w:rFonts w:hint="eastAsia" w:ascii="仿宋" w:hAnsi="仿宋" w:eastAsia="仿宋" w:cs="仿宋"/>
                <w:highlight w:val="none"/>
              </w:rPr>
            </w:pPr>
            <w:r>
              <w:rPr>
                <w:rFonts w:hint="eastAsia" w:ascii="仿宋" w:hAnsi="仿宋" w:eastAsia="仿宋" w:cs="仿宋"/>
                <w:highlight w:val="none"/>
              </w:rPr>
              <w:t xml:space="preserve">付款时乙方提供符合规定及甲方要求的增值税专用发票。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第13.2款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履约保证金不予退还的情形</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第13.3款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履约保证金退还时间及逾期退还的违约金</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第14.1（3）项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运行监督、维修</w:t>
            </w:r>
            <w:r/>
          </w:p>
          <w:p>
            <w:pPr>
              <w:jc w:val="center"/>
              <w:rPr>
                <w:rFonts w:hint="eastAsia" w:ascii="仿宋" w:hAnsi="仿宋" w:eastAsia="仿宋" w:cs="仿宋"/>
                <w:highlight w:val="none"/>
              </w:rPr>
            </w:pPr>
            <w:r>
              <w:rPr>
                <w:rFonts w:hint="eastAsia" w:ascii="仿宋" w:hAnsi="仿宋" w:eastAsia="仿宋" w:cs="仿宋"/>
                <w:highlight w:val="none"/>
              </w:rPr>
              <w:t xml:space="preserve">期限</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质保期内</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第14.1（5）项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货物回收的约定</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第14.1（6）项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乙方提供的其他服务</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按乙方投标文件承诺</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修理、重作、更换相关具体规定</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1.如乙方所交付的货物品种、品牌、型号、规格、质量要求（以货物到场检测为准）不符合投标文件及合同规定的，甲方有权拒收且乙方应无条件更换货物。</w:t>
            </w:r>
            <w:r/>
          </w:p>
          <w:p>
            <w:pPr>
              <w:jc w:val="left"/>
              <w:rPr>
                <w:rFonts w:hint="eastAsia" w:ascii="仿宋" w:hAnsi="仿宋" w:eastAsia="仿宋" w:cs="仿宋"/>
                <w:highlight w:val="none"/>
              </w:rPr>
            </w:pPr>
            <w:r>
              <w:rPr>
                <w:rFonts w:hint="eastAsia" w:ascii="仿宋" w:hAnsi="仿宋" w:eastAsia="仿宋" w:cs="仿宋"/>
                <w:highlight w:val="none"/>
              </w:rPr>
              <w:t xml:space="preserve">2.所有货物保修服务方式均为乙方主动上门保修，即由乙方派员到货物使用现场维修，由此产生的一切费用均由乙方承担，保修期内因乙方原因导致其余各方损失的，乙方应承担赔偿责任。</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第15.2（2）项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迟延交货赔偿费</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乙方逾期交货的（不可抗力及丙方原因除外），每逾期1天，乙方向甲方偿付合同总价的5‰的违约金（最高限额为合同款总额的5%）。一旦达到误期赔偿的最高限额，甲方有权终止合同（经甲乙双方协商同意延期交付使用者不在此列），且乙方按不能交货承担违约责任。终止合同的通知自到达乙方时生效。</w:t>
            </w:r>
            <w:r/>
          </w:p>
          <w:p>
            <w:pPr>
              <w:jc w:val="left"/>
              <w:rPr>
                <w:rFonts w:hint="eastAsia" w:ascii="仿宋" w:hAnsi="仿宋" w:eastAsia="仿宋" w:cs="仿宋"/>
                <w:highlight w:val="none"/>
              </w:rPr>
            </w:pPr>
            <w:r>
              <w:rPr>
                <w:rFonts w:hint="eastAsia" w:ascii="仿宋" w:hAnsi="仿宋" w:eastAsia="仿宋" w:cs="仿宋"/>
                <w:highlight w:val="none"/>
              </w:rPr>
              <w:t xml:space="preserve">如乙方不能交付货物（逾期违约金限额达到合同款总额的5%），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逾期付款利息</w:t>
            </w:r>
            <w:r/>
          </w:p>
        </w:tc>
        <w:tc>
          <w:tcPr>
            <w:tcW w:w="6591" w:type="dxa"/>
            <w:vAlign w:val="center"/>
            <w:textDirection w:val="lrTb"/>
            <w:noWrap w:val="false"/>
          </w:tcPr>
          <w:p>
            <w:pPr>
              <w:jc w:val="left"/>
              <w:rPr>
                <w:rFonts w:hint="eastAsia" w:ascii="仿宋" w:hAnsi="仿宋" w:eastAsia="仿宋" w:cs="仿宋"/>
                <w:highlight w:val="none"/>
                <w:u w:val="single"/>
              </w:rPr>
            </w:pPr>
            <w:r>
              <w:rPr>
                <w:rFonts w:hint="eastAsia" w:ascii="仿宋" w:hAnsi="仿宋" w:eastAsia="仿宋" w:cs="仿宋"/>
                <w:highlight w:val="none"/>
              </w:rPr>
              <w:t xml:space="preserve">按合同履行期间的银行同期存款利率</w:t>
            </w:r>
            <w:r/>
          </w:p>
        </w:tc>
      </w:tr>
      <w:tr>
        <w:trPr>
          <w:jc w:val="center"/>
          <w:trHeight w:val="20"/>
        </w:trPr>
        <w:tc>
          <w:tcPr>
            <w:tcBorders>
              <w:bottom w:val="single" w:color="000000" w:sz="2" w:space="0"/>
              <w:right w:val="single" w:color="000000" w:sz="2" w:space="0"/>
            </w:tcBorders>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第15.4款</w:t>
            </w:r>
            <w:r/>
          </w:p>
        </w:tc>
        <w:tc>
          <w:tcPr>
            <w:tcBorders>
              <w:left w:val="single" w:color="000000" w:sz="2" w:space="0"/>
              <w:bottom w:val="single" w:color="000000" w:sz="2" w:space="0"/>
              <w:right w:val="single" w:color="000000" w:sz="2" w:space="0"/>
            </w:tcBorders>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其他违约责任</w:t>
            </w:r>
            <w:r/>
          </w:p>
        </w:tc>
        <w:tc>
          <w:tcPr>
            <w:tcBorders>
              <w:left w:val="single" w:color="000000" w:sz="2" w:space="0"/>
              <w:bottom w:val="single" w:color="000000" w:sz="2" w:space="0"/>
            </w:tcBorders>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1.合同一方不履行合同义务或者履行合同义务不符合约定的，应当承担继续履行、采取补救措施或者赔偿损失等违约责任。</w:t>
            </w:r>
            <w:r/>
          </w:p>
          <w:p>
            <w:pPr>
              <w:jc w:val="left"/>
              <w:rPr>
                <w:rFonts w:hint="eastAsia" w:ascii="仿宋" w:hAnsi="仿宋" w:eastAsia="仿宋" w:cs="仿宋"/>
                <w:highlight w:val="none"/>
              </w:rPr>
            </w:pPr>
            <w:r>
              <w:rPr>
                <w:rFonts w:hint="eastAsia" w:ascii="仿宋" w:hAnsi="仿宋" w:eastAsia="仿宋" w:cs="仿宋"/>
                <w:highlight w:val="none"/>
              </w:rPr>
              <w:t xml:space="preserve">2.乙方所提供的货</w:t>
            </w:r>
            <w:r>
              <w:rPr>
                <w:rFonts w:hint="eastAsia" w:ascii="仿宋" w:hAnsi="仿宋" w:eastAsia="仿宋" w:cs="仿宋"/>
                <w:highlight w:val="none"/>
              </w:rPr>
              <w:t xml:space="preserve">物或其任何一部分侵犯第三方的知识产权，或者所有权不完整（指乙方完全能处分所提供的货物，该货物不存在任何抵押、查封等产权瑕疵），甲方将退回该批货物，乙方应另提供符合合同要求的货物，并向甲方支付合同价款5%违约金；若乙方不退回或不另提供合同要求的货物，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p>
            <w:pPr>
              <w:jc w:val="left"/>
              <w:rPr>
                <w:rFonts w:hint="eastAsia" w:ascii="仿宋" w:hAnsi="仿宋" w:eastAsia="仿宋" w:cs="仿宋"/>
                <w:highlight w:val="none"/>
              </w:rPr>
            </w:pPr>
            <w:r>
              <w:rPr>
                <w:rFonts w:hint="eastAsia" w:ascii="仿宋" w:hAnsi="仿宋" w:eastAsia="仿宋" w:cs="仿宋"/>
                <w:highlight w:val="none"/>
              </w:rPr>
              <w:t xml:space="preserve">3.未达到投标承诺的产品技术参数的，有一项未满足技术要求的，乙方应向甲方支付合同价款5%的违约金，超过三项（含）以上未满足技术要求的，视同乙方未实质性履行合同，甲方有权解除合同，乙方应退还全部已付款并赔偿甲方合同价款20%的违约金及由此给甲方造成的其他损失。</w:t>
            </w:r>
            <w:r/>
          </w:p>
          <w:p>
            <w:pPr>
              <w:jc w:val="left"/>
              <w:rPr>
                <w:rFonts w:hint="eastAsia" w:ascii="仿宋" w:hAnsi="仿宋" w:eastAsia="仿宋" w:cs="仿宋"/>
                <w:highlight w:val="none"/>
              </w:rPr>
            </w:pPr>
            <w:r>
              <w:rPr>
                <w:rFonts w:hint="eastAsia" w:ascii="仿宋" w:hAnsi="仿宋" w:eastAsia="仿宋" w:cs="仿宋"/>
                <w:highlight w:val="none"/>
              </w:rPr>
              <w:t xml:space="preserve">4.系统不能满足使用要求的，乙方应按甲方要求在规定时间内整改到位，否则视为乙方未实质性履行合同，甲方有权解除合同，乙方应退还全部已付款并赔偿甲方合同价款20%的违约金及由此给甲方造成的其他损失。</w:t>
            </w:r>
            <w:r/>
          </w:p>
        </w:tc>
      </w:tr>
      <w:tr>
        <w:trPr>
          <w:jc w:val="center"/>
          <w:trHeight w:val="1058"/>
        </w:trPr>
        <w:tc>
          <w:tcPr>
            <w:tcBorders>
              <w:top w:val="single" w:color="000000" w:sz="2" w:space="0"/>
              <w:right w:val="single" w:color="000000" w:sz="2" w:space="0"/>
            </w:tcBorders>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第19.2款</w:t>
            </w:r>
            <w:r/>
          </w:p>
        </w:tc>
        <w:tc>
          <w:tcPr>
            <w:tcBorders>
              <w:top w:val="single" w:color="000000" w:sz="2" w:space="0"/>
              <w:left w:val="single" w:color="000000" w:sz="2" w:space="0"/>
              <w:right w:val="single" w:color="000000" w:sz="2" w:space="0"/>
            </w:tcBorders>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解决争议的方法</w:t>
            </w:r>
            <w:r/>
          </w:p>
        </w:tc>
        <w:tc>
          <w:tcPr>
            <w:tcBorders>
              <w:top w:val="single" w:color="000000" w:sz="2" w:space="0"/>
              <w:left w:val="single" w:color="000000" w:sz="2" w:space="0"/>
            </w:tcBorders>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p>
          <w:p>
            <w:pPr>
              <w:jc w:val="left"/>
              <w:rPr>
                <w:rFonts w:hint="eastAsia" w:ascii="仿宋" w:hAnsi="仿宋" w:eastAsia="仿宋" w:cs="仿宋"/>
                <w:highlight w:val="none"/>
                <w:u w:val="single"/>
              </w:rPr>
            </w:pPr>
            <w:r>
              <w:rPr>
                <w:rFonts w:hint="eastAsia" w:ascii="仿宋" w:hAnsi="仿宋" w:eastAsia="仿宋" w:cs="仿宋"/>
                <w:highlight w:val="none"/>
              </w:rPr>
              <w:t xml:space="preserve">2.因本合同文本或履行本合同引起的或与本合同有关的争议，甲、乙双方应首先通过友好协商解决，如果协商开始后的三十天内仍不能解决争议，双方均可向甲方所在地有管辖权的人民法院提起诉讼，在诉讼期间，除正在进行诉讼的部分外，合同其他部分应继续执行。</w:t>
            </w:r>
            <w:r/>
          </w:p>
        </w:tc>
      </w:tr>
      <w:tr>
        <w:trPr>
          <w:jc w:val="center"/>
          <w:trHeight w:val="389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第23.1款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bCs/>
                <w:highlight w:val="none"/>
              </w:rPr>
              <w:t xml:space="preserve">其他专用条款</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一、价格说明：</w:t>
            </w:r>
            <w:r/>
          </w:p>
          <w:p>
            <w:pPr>
              <w:jc w:val="left"/>
              <w:rPr>
                <w:rFonts w:hint="eastAsia" w:ascii="仿宋" w:hAnsi="仿宋" w:eastAsia="仿宋" w:cs="仿宋"/>
                <w:highlight w:val="none"/>
              </w:rPr>
            </w:pPr>
            <w:r>
              <w:rPr>
                <w:rFonts w:hint="eastAsia" w:ascii="仿宋" w:hAnsi="仿宋" w:eastAsia="仿宋" w:cs="仿宋"/>
                <w:highlight w:val="none"/>
              </w:rPr>
              <w:t xml:space="preserve">1、本合同采用固定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方式。合同价是在符合相应技术规范及招标文件约定的技术要求，完成招标文件所确定的范围内的全部设备的采购、制作、安装、验收、移交、质量保修和售后服务所包含的全部内容的价格体现。</w:t>
            </w:r>
            <w:r>
              <w:rPr>
                <w:rFonts w:hint="eastAsia" w:ascii="仿宋" w:hAnsi="仿宋" w:eastAsia="仿宋" w:cs="仿宋"/>
                <w:szCs w:val="21"/>
                <w:highlight w:val="none"/>
              </w:rPr>
              <w:t xml:space="preserve">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确保所有设备符合主管部门要求并正常投入使用，因此产生的所有费用均含在合同价中，甲方不另行支付。</w:t>
            </w:r>
            <w:r/>
          </w:p>
          <w:p>
            <w:pPr>
              <w:jc w:val="left"/>
              <w:rPr>
                <w:rFonts w:hint="eastAsia" w:ascii="仿宋" w:hAnsi="仿宋" w:eastAsia="仿宋" w:cs="仿宋"/>
                <w:highlight w:val="none"/>
              </w:rPr>
            </w:pPr>
            <w:r>
              <w:rPr>
                <w:rFonts w:hint="eastAsia" w:ascii="仿宋" w:hAnsi="仿宋" w:eastAsia="仿宋" w:cs="仿宋"/>
                <w:highlight w:val="none"/>
              </w:rPr>
              <w:t xml:space="preserve">2.如有未列入招标文件，但又是本次采购设备应配置的确保正常使用和维护所必需的辅助设备和各种配件、备品备件、安装和维护所需的专用工具等的费用及乙方认为为完成本合同内容所发生的其他所有费用均包括在本合同价款内，不再计任何额外费用。</w:t>
            </w:r>
            <w:r/>
          </w:p>
          <w:p>
            <w:pPr>
              <w:jc w:val="left"/>
              <w:rPr>
                <w:rFonts w:hint="eastAsia" w:ascii="仿宋" w:hAnsi="仿宋" w:eastAsia="仿宋" w:cs="仿宋"/>
                <w:highlight w:val="none"/>
              </w:rPr>
            </w:pPr>
            <w:r>
              <w:rPr>
                <w:rFonts w:hint="eastAsia" w:ascii="仿宋" w:hAnsi="仿宋" w:eastAsia="仿宋" w:cs="仿宋"/>
                <w:highlight w:val="none"/>
              </w:rPr>
              <w:t xml:space="preserve">3.乙方进场后项目实施过程中发生的水、电费用由乙方自行承担，按实际发生的费用与总包单位进行结算，并服从总包单位现场管理。</w:t>
            </w:r>
            <w:r/>
          </w:p>
          <w:p>
            <w:pPr>
              <w:jc w:val="left"/>
              <w:rPr>
                <w:rFonts w:hint="eastAsia" w:ascii="仿宋" w:hAnsi="仿宋" w:eastAsia="仿宋" w:cs="仿宋"/>
                <w:highlight w:val="none"/>
              </w:rPr>
            </w:pPr>
            <w:r>
              <w:rPr>
                <w:rFonts w:hint="eastAsia" w:ascii="仿宋" w:hAnsi="仿宋" w:eastAsia="仿宋" w:cs="仿宋"/>
                <w:highlight w:val="none"/>
              </w:rPr>
              <w:t xml:space="preserve">4.乙方应做好交付前的成品保护。</w:t>
            </w:r>
            <w:r/>
          </w:p>
          <w:p>
            <w:pPr>
              <w:jc w:val="left"/>
              <w:rPr>
                <w:rFonts w:hint="eastAsia" w:ascii="仿宋" w:hAnsi="仿宋" w:eastAsia="仿宋" w:cs="仿宋"/>
                <w:highlight w:val="none"/>
              </w:rPr>
            </w:pPr>
            <w:r>
              <w:rPr>
                <w:rFonts w:hint="eastAsia" w:ascii="仿宋" w:hAnsi="仿宋" w:eastAsia="仿宋" w:cs="仿宋"/>
                <w:highlight w:val="none"/>
              </w:rPr>
              <w:t xml:space="preserve">二、结算条款</w:t>
            </w:r>
            <w:r/>
          </w:p>
          <w:p>
            <w:pPr>
              <w:jc w:val="left"/>
              <w:rPr>
                <w:rFonts w:hint="eastAsia" w:ascii="仿宋" w:hAnsi="仿宋" w:eastAsia="仿宋" w:cs="仿宋"/>
                <w:highlight w:val="none"/>
              </w:rPr>
            </w:pPr>
            <w:r>
              <w:rPr>
                <w:rFonts w:hint="eastAsia" w:ascii="仿宋" w:hAnsi="仿宋" w:eastAsia="仿宋" w:cs="仿宋"/>
                <w:highlight w:val="none"/>
              </w:rPr>
              <w:t xml:space="preserve">1、甲方有权取消部分项目实施内容，乙方承诺予以执行，按实结算，不因数量变化进行索赔。</w:t>
            </w:r>
            <w:r/>
          </w:p>
          <w:p>
            <w:pPr>
              <w:jc w:val="left"/>
              <w:rPr>
                <w:rFonts w:hint="eastAsia" w:ascii="仿宋" w:hAnsi="仿宋" w:eastAsia="仿宋" w:cs="仿宋"/>
                <w:highlight w:val="none"/>
              </w:rPr>
            </w:pPr>
            <w:r>
              <w:rPr>
                <w:rFonts w:hint="eastAsia" w:ascii="仿宋" w:hAnsi="仿宋" w:eastAsia="仿宋" w:cs="仿宋"/>
                <w:highlight w:val="none"/>
              </w:rPr>
              <w:t xml:space="preserve">由于甲方原因要求减少图纸或招标清单范围内的任何工作内容、项目或者某一个系统，乙方承诺予以执行，按实结算，乙方不以施工内容增加或减少为由向甲方提出任何费用（包括不限于管理费、利润等）的索赔。</w:t>
            </w:r>
            <w:r/>
          </w:p>
          <w:p>
            <w:pPr>
              <w:numPr>
                <w:ilvl w:val="0"/>
                <w:numId w:val="8"/>
              </w:numPr>
              <w:jc w:val="left"/>
              <w:rPr>
                <w:rFonts w:hint="eastAsia" w:ascii="仿宋" w:hAnsi="仿宋" w:eastAsia="仿宋" w:cs="仿宋"/>
                <w:highlight w:val="none"/>
              </w:rPr>
            </w:pPr>
            <w:r>
              <w:rPr>
                <w:rFonts w:hint="eastAsia" w:ascii="仿宋" w:hAnsi="仿宋" w:eastAsia="仿宋" w:cs="仿宋"/>
                <w:highlight w:val="none"/>
              </w:rPr>
              <w:t xml:space="preserve">项目实施过程中，甲方有权利对站点数量进行调整，站点数量不变，则合同价不调整；乙方对设计文件的深化或优化，均不影响合同价；如站点数增加或减少，结算价=实际站点数*</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。若医用传送瓶或其他部件需增加或减少，该单价按投标分项报价表的相应单价或者折算后的单价进行合同价格的调整。若分项报价明细表内没有单价的项目，双方市场询价后商量确定。</w:t>
            </w:r>
            <w:r/>
          </w:p>
          <w:p>
            <w:pPr>
              <w:jc w:val="left"/>
              <w:rPr>
                <w:rFonts w:hint="eastAsia" w:ascii="仿宋" w:hAnsi="仿宋" w:eastAsia="仿宋" w:cs="仿宋"/>
                <w:highlight w:val="none"/>
              </w:rPr>
            </w:pPr>
            <w:r>
              <w:rPr>
                <w:rFonts w:hint="eastAsia" w:ascii="仿宋" w:hAnsi="仿宋" w:eastAsia="仿宋" w:cs="仿宋"/>
                <w:highlight w:val="none"/>
              </w:rPr>
              <w:t xml:space="preserve">三、其他</w:t>
            </w:r>
            <w:r/>
          </w:p>
          <w:p>
            <w:pPr>
              <w:jc w:val="left"/>
              <w:rPr>
                <w:rFonts w:hint="eastAsia" w:ascii="仿宋" w:hAnsi="仿宋" w:eastAsia="仿宋" w:cs="仿宋"/>
                <w:highlight w:val="none"/>
              </w:rPr>
            </w:pPr>
            <w:r>
              <w:rPr>
                <w:rFonts w:hint="eastAsia" w:ascii="仿宋" w:hAnsi="仿宋" w:eastAsia="仿宋" w:cs="仿宋"/>
                <w:highlight w:val="none"/>
              </w:rPr>
              <w:t xml:space="preserve">1.在质保期内，乙方应按照本合同约定提供质保服务，若在甲方要求的时间内拒绝提供服务或甲方认为乙方不能按本合同约定提供服务时，甲方有权委托第三方提供相应服务，甲方因此发生的费用和损失由乙方承担，甲方有权将前述费用和损失向乙方进行追偿。</w:t>
            </w:r>
            <w:r/>
          </w:p>
          <w:p>
            <w:pPr>
              <w:jc w:val="left"/>
              <w:rPr>
                <w:rFonts w:hint="eastAsia" w:ascii="仿宋" w:hAnsi="仿宋" w:eastAsia="仿宋" w:cs="仿宋"/>
                <w:highlight w:val="none"/>
              </w:rPr>
            </w:pPr>
            <w:r>
              <w:rPr>
                <w:rFonts w:hint="eastAsia" w:ascii="仿宋" w:hAnsi="仿宋" w:eastAsia="仿宋" w:cs="仿宋"/>
                <w:highlight w:val="none"/>
              </w:rPr>
              <w:t xml:space="preserve">2.发生不可抗力情况或因法律、政策原因导致甲方不能履行合同外，甲乙双方不得放弃或拒绝履行合同。除甲方书面另行要求外，乙方应尽实际可能继续履行合同义务，以及寻求采取合理的方案履行不受不可抗力影响的其他事项；如果不可抗力事件影响时间持续120天以上时，甲方有权终止合同。</w:t>
            </w:r>
            <w:r/>
          </w:p>
          <w:p>
            <w:pPr>
              <w:jc w:val="left"/>
              <w:rPr>
                <w:rFonts w:hint="eastAsia" w:ascii="仿宋" w:hAnsi="仿宋" w:eastAsia="仿宋" w:cs="仿宋"/>
                <w:highlight w:val="none"/>
              </w:rPr>
            </w:pPr>
            <w:r>
              <w:rPr>
                <w:rFonts w:hint="eastAsia" w:ascii="仿宋" w:hAnsi="仿宋" w:eastAsia="仿宋" w:cs="仿宋"/>
                <w:highlight w:val="none"/>
              </w:rPr>
              <w:t xml:space="preserve">3.合同在执行过程中出现的未尽事宜，双方在不违背本合同和招标文件的原则下协商解决，协商结果以书面形式盖章记录在案，作为本合同的附件，与本合同具有同等效力，但需提交代理采购机构一份备存；</w:t>
            </w:r>
            <w:r/>
          </w:p>
          <w:p>
            <w:pPr>
              <w:jc w:val="left"/>
              <w:rPr>
                <w:rFonts w:hint="eastAsia" w:ascii="仿宋" w:hAnsi="仿宋" w:eastAsia="仿宋" w:cs="仿宋"/>
                <w:highlight w:val="none"/>
              </w:rPr>
            </w:pPr>
            <w:r>
              <w:rPr>
                <w:rFonts w:hint="eastAsia" w:ascii="仿宋" w:hAnsi="仿宋" w:eastAsia="仿宋" w:cs="仿宋"/>
                <w:highlight w:val="none"/>
              </w:rPr>
              <w:t xml:space="preserve">4.如需修改或补充合同内容，须经甲、乙双方协商一致后方可更改，共同签署书面修改或补充协议，该协议将作为本合同不可分割的一部分。</w:t>
            </w:r>
            <w:r/>
          </w:p>
        </w:tc>
      </w:tr>
    </w:tbl>
    <w:p>
      <w:pPr>
        <w:rPr>
          <w:rFonts w:hint="eastAsia" w:ascii="仿宋" w:hAnsi="仿宋" w:eastAsia="仿宋" w:cs="仿宋"/>
          <w:highlight w:val="none"/>
        </w:rPr>
      </w:pPr>
      <w:r>
        <w:rPr>
          <w:rFonts w:hint="eastAsia" w:ascii="仿宋" w:hAnsi="仿宋" w:eastAsia="仿宋" w:cs="仿宋"/>
          <w:highlight w:val="none"/>
        </w:rPr>
      </w:r>
      <w:r/>
    </w:p>
    <w:p>
      <w:pPr>
        <w:tabs>
          <w:tab w:val="left" w:pos="0" w:leader="none"/>
        </w:tabs>
        <w:rPr>
          <w:rFonts w:hint="eastAsia" w:ascii="仿宋" w:hAnsi="仿宋" w:eastAsia="仿宋" w:cs="仿宋"/>
          <w:b/>
          <w:bCs/>
          <w:sz w:val="24"/>
          <w:highlight w:val="none"/>
        </w:rPr>
      </w:pPr>
      <w:r>
        <w:rPr>
          <w:rStyle w:val="1207"/>
          <w:rFonts w:hint="eastAsia" w:ascii="仿宋" w:hAnsi="仿宋" w:eastAsia="仿宋" w:cs="仿宋"/>
          <w:sz w:val="36"/>
          <w:szCs w:val="36"/>
          <w:highlight w:val="none"/>
        </w:rPr>
        <w:br w:type="page" w:clear="all"/>
      </w:r>
      <w:bookmarkStart w:id="794" w:name="_Toc19395"/>
      <w:r>
        <w:rPr>
          <w:rFonts w:hint="eastAsia" w:ascii="仿宋" w:hAnsi="仿宋" w:eastAsia="仿宋" w:cs="仿宋"/>
          <w:b/>
          <w:bCs/>
          <w:sz w:val="24"/>
          <w:highlight w:val="none"/>
        </w:rPr>
        <w:t xml:space="preserve">附件1：采购清单及报价</w:t>
      </w:r>
      <w:r/>
    </w:p>
    <w:p>
      <w:pPr>
        <w:tabs>
          <w:tab w:val="left" w:pos="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tabs>
          <w:tab w:val="left" w:pos="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tabs>
          <w:tab w:val="left" w:pos="0" w:leader="none"/>
        </w:tabs>
        <w:rPr>
          <w:rFonts w:hint="eastAsia" w:ascii="仿宋" w:hAnsi="仿宋" w:eastAsia="仿宋" w:cs="仿宋"/>
          <w:b/>
          <w:bCs/>
          <w:sz w:val="28"/>
          <w:szCs w:val="28"/>
          <w:highlight w:val="none"/>
        </w:rPr>
      </w:pPr>
      <w:r>
        <w:rPr>
          <w:rFonts w:hint="eastAsia" w:ascii="仿宋" w:hAnsi="仿宋" w:eastAsia="仿宋" w:cs="仿宋"/>
          <w:b/>
          <w:bCs/>
          <w:sz w:val="24"/>
          <w:highlight w:val="none"/>
        </w:rPr>
        <w:t xml:space="preserve">附件2：新北区人民医院气动物流传输设计要求</w:t>
      </w:r>
      <w:r/>
    </w:p>
    <w:p>
      <w:pPr>
        <w:tabs>
          <w:tab w:val="left" w:pos="0" w:leader="none"/>
        </w:tabs>
        <w:rPr>
          <w:rFonts w:hint="eastAsia" w:ascii="仿宋" w:hAnsi="仿宋" w:eastAsia="仿宋" w:cs="仿宋"/>
          <w:b/>
          <w:bCs/>
          <w:sz w:val="28"/>
          <w:szCs w:val="28"/>
          <w:highlight w:val="none"/>
        </w:rPr>
      </w:pPr>
      <w:r>
        <w:rPr>
          <w:rStyle w:val="1207"/>
          <w:rFonts w:hint="eastAsia" w:ascii="仿宋" w:hAnsi="仿宋" w:eastAsia="仿宋" w:cs="仿宋"/>
          <w:sz w:val="36"/>
          <w:szCs w:val="36"/>
          <w:highlight w:val="none"/>
        </w:rPr>
        <w:br w:type="page" w:clear="all"/>
      </w:r>
      <w:r>
        <w:rPr>
          <w:rFonts w:hint="eastAsia" w:ascii="仿宋" w:hAnsi="仿宋" w:eastAsia="仿宋" w:cs="仿宋"/>
          <w:b/>
          <w:bCs/>
          <w:sz w:val="24"/>
          <w:highlight w:val="none"/>
        </w:rPr>
        <w:t xml:space="preserve">附件3：</w:t>
      </w:r>
      <w:bookmarkStart w:id="795" w:name="_Toc13146718"/>
      <w:r/>
      <w:bookmarkEnd w:id="795"/>
      <w:r/>
      <w:r/>
    </w:p>
    <w:p>
      <w:pPr>
        <w:ind w:firstLine="3463"/>
        <w:spacing w:line="360" w:lineRule="auto"/>
        <w:rPr>
          <w:rFonts w:hint="eastAsia" w:ascii="仿宋" w:hAnsi="仿宋" w:eastAsia="仿宋" w:cs="仿宋"/>
          <w:b/>
          <w:sz w:val="30"/>
          <w:szCs w:val="30"/>
          <w:highlight w:val="none"/>
        </w:rPr>
      </w:pPr>
      <w:r/>
      <w:bookmarkStart w:id="796" w:name="_Hlk130372448"/>
      <w:r/>
      <w:bookmarkStart w:id="797" w:name="_Hlk130309119"/>
      <w:r>
        <w:rPr>
          <w:rFonts w:hint="eastAsia" w:ascii="仿宋" w:hAnsi="仿宋" w:eastAsia="仿宋" w:cs="仿宋"/>
          <w:b/>
          <w:sz w:val="30"/>
          <w:szCs w:val="30"/>
          <w:highlight w:val="none"/>
        </w:rPr>
        <w:t xml:space="preserve">安全生产文明施工协议</w:t>
      </w:r>
      <w:r/>
    </w:p>
    <w:p>
      <w:pPr>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甲方：</w:t>
      </w:r>
      <w:r>
        <w:rPr>
          <w:rFonts w:hint="eastAsia" w:ascii="仿宋" w:hAnsi="仿宋" w:eastAsia="仿宋" w:cs="仿宋"/>
          <w:highlight w:val="none"/>
        </w:rPr>
        <w:t xml:space="preserve"> </w:t>
      </w:r>
      <w:r>
        <w:rPr>
          <w:rFonts w:hint="eastAsia" w:ascii="仿宋" w:hAnsi="仿宋" w:eastAsia="仿宋" w:cs="仿宋"/>
          <w:szCs w:val="21"/>
          <w:highlight w:val="none"/>
        </w:rPr>
        <w:t xml:space="preserve"> </w:t>
      </w:r>
      <w:r/>
    </w:p>
    <w:p>
      <w:pPr>
        <w:ind w:firstLine="420"/>
        <w:spacing w:line="44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乙方：</w:t>
      </w:r>
      <w:r>
        <w:rPr>
          <w:rFonts w:hint="eastAsia" w:ascii="仿宋" w:hAnsi="仿宋" w:eastAsia="仿宋" w:cs="仿宋"/>
          <w:szCs w:val="21"/>
          <w:highlight w:val="none"/>
          <w:u w:val="single"/>
        </w:rPr>
        <w:t xml:space="preserve">                            </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为确保工程的安全生产和文明施工，顺利实现建设目标，发承包双方特制定如下协议：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一、乙方通过合法竞争取得承包</w:t>
      </w:r>
      <w:r>
        <w:rPr>
          <w:rFonts w:hint="eastAsia" w:ascii="仿宋" w:hAnsi="仿宋" w:eastAsia="仿宋" w:cs="仿宋"/>
          <w:highlight w:val="none"/>
          <w:u w:val="single"/>
        </w:rPr>
        <w:t xml:space="preserve">                 </w:t>
      </w:r>
      <w:r>
        <w:rPr>
          <w:rFonts w:hint="eastAsia" w:ascii="仿宋" w:hAnsi="仿宋" w:eastAsia="仿宋" w:cs="仿宋"/>
          <w:szCs w:val="21"/>
          <w:highlight w:val="none"/>
        </w:rPr>
        <w:t xml:space="preserve">项目权利的同时，即产生对该工程项目确保安全生产、文明施工以及保护现场、维护甲方声誉的义务，乙方应严格遵守国家有关法律法规，恪守双方所签施工合同（协议）中的有关规定，全面承担其经济及法律责任。</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二、对于违反本规定的行为，甲方有权按照规定进行相应处罚，处罚款在最终结算时予以扣除。</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三、乙方创建省、市文明工地成果，须上报甲方审批后实施。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四、安全生产文明施工管理要求：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（一）安全管理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1、乙方必须制定安全生产指标，制定各种安全技术操作规程，按规定配专职安全员。</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2、制定安全管理目标（安全达标目标和文明施工目标）进行安全责任目标分解。</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3、建立责任目标考核制度，考核办法要落实到位。</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4、在施工组织设计中应该明确制定安全措施，专业性较强的项目要单独编制专项安全施工组织设计，安全措施要全面并具有针对性，应符合工程建设强制性标准。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（1）乙方编制的地下管线保护措施方案应符合强制性标准要求。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（2）基坑支护与降水、土方开挖与边坡防护、模板、起重吊装、脚手架等分部分项工程的专项施工方案应符合强制性标准要求。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（3）冬季、雨季等季节性施工方案的制定应符合强制性标准要求。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（4）施工现场临时用电施工组织设计或者安全用电技术措施和电气防火措施应符合强制性标准要求。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（5）施工总平面布置图应符合安全生产的要求，办公、宿舍、食堂、道路等临时设施设置以及排水、防火措施应符合强制性标准要求。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5、要有书面的分部（分项）工程安全技术交底，交底要全面同时具有针对性并履行签字手续。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6、制订定期的安全检查制度并做好检查记录，整改事故隐患要做到定人、定时间、定措施。对重大事故隐患应该如期完成整改通知书所列项目。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7、制定安全教育制度，新入场工人应该进行三级安全教育，变换工种时要进行安全教育，施工管理人员和专职安全技术员应按规定进行年度培训考核。</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8、从事特种作业应持证上岗。</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9、乙方必须执行国家有关安全生产和劳动保护的法规，建立安全生产责任制，加强规范化管理，对现场各种安全设施和劳动保护器具进行检查和维修，并制定“三宝”，“四口”防护措施及时消除隐患，保证其安全有效，并保证做到：</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（1）入施工现场必须带安全帽，高空作业必须系安全带，挂安全网。</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（2）井字架、塔吊、施工电梯安装后，必须验收合格方可使用，吊篮严禁乘人。</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（3）施工现场严禁赤膊、穿拖鞋及高跟鞋、穿裙子施工。</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（4）严禁酒后作业。</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10、加强安全用电管理。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（1）各乙方应建立和执行施工现场用电管理制度。</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（2）现场电工必须有操作证，并实行专人管理，经常巡视、维修并做好相关档案。</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（3）建筑物与高压线应符合安全距离，不符合要求的要采取防护措施。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（4）配电室应整洁通风，配电箱要符合“三级配电两级保护”要求，实行“一机、一闸、一漏、一箱”。</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（5）现场照明设有专用回路漏电保护，室内线路及灯具安装高度低于2.4m应使用安全电压供电。</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（6）总配电箱、塔机井架等要单独接地。</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（二）文明施工管理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1、现场应设置围墙，其高度应符合规定，围墙材料应坚固、稳定、整洁、美观并沿工地四周连续设置。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2、现场采用封闭管理，施工现场进出口设置大门，门头设置企业标志，配置门卫和门卫制度，进入施工现场应佩带工作卡，施工人员要有明显标志。</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施工场地地面应做硬化处理，保持道路、排水畅通，做到场地无积水，做好防止泥浆、污水、废水外流或者堵塞下水道和排水河道措施，并每日清除沉淀物。禁止在混凝土路面上及其其它主要道路上堆放物资，拌制砂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4、乙方应建立专人管理、每日清扫制度，保持场容、场貌整洁，即工完场清。做到搅拌货物周围无弃物，水泥库周围无粉尘，运输道路无堆料，建筑物周围无落地料。</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施工作业区与办公区应明显划分，在建工程不能兼做宿舍，宿舍应有保暖、消暑和煤气中毒、防蚊虫叮咬措施。宿舍周围环境应符合卫生、通风照明等要求，施工现场的厕所等辅助设施应设置齐全并按要求布置整齐，保持清洁，严禁在建筑物内外大小便。</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6、临时用房搭设应合理规范、分布齐全，工地办公室应保持整洁，各项台帐制度及有关资料及时上墙。</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7、工棚宿舍必须定人、定位集中住宿，生活设施应符合卫生要求并制定卫生责任制，生活垃圾应及时清理，设专人管理。严禁男女混住，禁止带家属及小孩进工地，严禁私拉乱接电线，禁止使用电炉、煤油炉取暖、烧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8、现场应有消防措施制度和灭火器材，并保持完好的备用状态。</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9、生活区应建立治安保卫制度和治安防范措施，责任分解到人。</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10、施工现场大门口的六牌一图，内容健全，标牌规范、整齐，并设置安全标语。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11、施工现场应制定急救措施和设有常用急救器材，并有经过培训的急救人员经常开展卫生防病宣传教育。</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五、定期或不定期地参加甲方、监理方组织的有甲方、监理、相关负责人参加的安全文明检查。按检查结果提出针对性整改意见、限期整改。</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六、乙方应加强对甲方、监理单位的衔接服务、协调意识，项目负责人应按时参加现场工程协调会和各类工作的衔接，做到不无故缺席或迟到早退，对甲方、监理和其他参加单位提出的需协调的工作，及时准确地作出答复，并积极配合实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七、乙方在施工过程中，一旦发生安全责任事故，有责任积极配合有关部门、甲方、监理做好事故原因的调查取证，查明原因，承担责任以及对善后事宜的妥善处理工作。</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八、上述各项，乙方应认真贯彻执行，如违反上述规定，按处罚细则给予必要的经济处罚，情节严重的，甲方有权对乙方作出如下处罚：停水停电、停工整改、经济处罚，直至勒令退出施工并将有关情况向有关部门通报，由此带来延误工期和经济损失由乙方承担。</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九．本协议经签字盖章之日起生效，</w:t>
      </w:r>
      <w:r>
        <w:rPr>
          <w:rFonts w:hint="eastAsia" w:ascii="仿宋" w:hAnsi="仿宋" w:eastAsia="仿宋" w:cs="仿宋"/>
          <w:highlight w:val="none"/>
        </w:rPr>
        <w:t xml:space="preserve">本合同一式陆份，甲方执肆份，乙方执贰份</w:t>
      </w:r>
      <w:r>
        <w:rPr>
          <w:rFonts w:hint="eastAsia" w:ascii="仿宋" w:hAnsi="仿宋" w:eastAsia="仿宋" w:cs="仿宋"/>
          <w:szCs w:val="21"/>
          <w:highlight w:val="none"/>
        </w:rPr>
        <w:t xml:space="preserve">。</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甲方（盖章）：                             乙方（盖章）：   </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法定代表人或授权委托人：                   法定代表人或授权委托人：      </w:t>
      </w:r>
      <w:r/>
    </w:p>
    <w:p>
      <w:pPr>
        <w:ind w:firstLine="420"/>
        <w:spacing w:line="440" w:lineRule="exact"/>
        <w:rPr>
          <w:rFonts w:hint="eastAsia" w:ascii="仿宋" w:hAnsi="仿宋" w:eastAsia="仿宋" w:cs="仿宋"/>
          <w:highlight w:val="none"/>
        </w:rPr>
      </w:pPr>
      <w:r>
        <w:rPr>
          <w:rFonts w:hint="eastAsia" w:ascii="仿宋" w:hAnsi="仿宋" w:eastAsia="仿宋" w:cs="仿宋"/>
          <w:szCs w:val="21"/>
          <w:highlight w:val="none"/>
        </w:rPr>
        <w:t xml:space="preserve">日  期：                                   日  期：  </w:t>
      </w:r>
      <w:r/>
    </w:p>
    <w:p>
      <w:pPr>
        <w:spacing w:line="360" w:lineRule="auto"/>
        <w:tabs>
          <w:tab w:val="left" w:pos="0" w:leader="none"/>
        </w:tabs>
        <w:rPr>
          <w:rFonts w:hint="eastAsia" w:ascii="仿宋" w:hAnsi="仿宋" w:eastAsia="仿宋" w:cs="仿宋"/>
          <w:b/>
          <w:bCs/>
          <w:sz w:val="28"/>
          <w:szCs w:val="28"/>
          <w:highlight w:val="none"/>
        </w:rPr>
      </w:pPr>
      <w:r>
        <w:rPr>
          <w:rFonts w:hint="eastAsia" w:ascii="仿宋" w:hAnsi="仿宋" w:eastAsia="仿宋" w:cs="仿宋"/>
          <w:szCs w:val="21"/>
          <w:highlight w:val="none"/>
        </w:rPr>
        <w:t xml:space="preserve">      </w:t>
      </w:r>
      <w:r>
        <w:rPr>
          <w:rFonts w:hint="eastAsia" w:ascii="仿宋" w:hAnsi="仿宋" w:eastAsia="仿宋" w:cs="仿宋"/>
          <w:highlight w:val="none"/>
        </w:rPr>
        <w:br w:type="page" w:clear="all"/>
      </w:r>
      <w:r>
        <w:rPr>
          <w:rFonts w:hint="eastAsia" w:ascii="仿宋" w:hAnsi="仿宋" w:eastAsia="仿宋" w:cs="仿宋"/>
          <w:b/>
          <w:bCs/>
          <w:sz w:val="24"/>
          <w:highlight w:val="none"/>
        </w:rPr>
        <w:t xml:space="preserve">附件4：</w:t>
      </w:r>
      <w:r/>
    </w:p>
    <w:p>
      <w:pPr>
        <w:jc w:val="center"/>
        <w:spacing w:line="360" w:lineRule="auto"/>
        <w:tabs>
          <w:tab w:val="left" w:pos="0"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廉政合约</w:t>
      </w:r>
      <w:bookmarkEnd w:id="796"/>
      <w:r/>
      <w:bookmarkEnd w:id="797"/>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为进一步加强工程的廉政建设，甲方（              ）、乙方（             ）特订立如下协议。</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一、甲、乙双方的权利和义务</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1.甲、乙双方应当严格遵守党的政策规定和国家有关法律法规。</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2.甲、乙双方应当严格执行项目的合同文件，自觉按合同办事。</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3.甲、乙双方的业务活动应当坚持公开、公平、公正、诚实、透明的原则。</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4.甲、乙双方不得以任何理由向对方工作人员行贿或馈赠礼金、有价证券、贵重礼品，不得在对方报销任何应当由个人支付的费用。</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5.甲、乙双方不得以任何理由违反廉政自律的有关规定。</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6.甲、乙双方如发现对方严重违反本协议条款的行为，有及时提醒对方、向其上级有关部门举报、建议给予处理并要求告知处理结果的权利。</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二、违约责任</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甲、乙双方及其工作人员违反本协议有关规定的，按管理权限，依据有关规定给予经济处罚或追究党纪政纪责任；涉嫌犯罪的，移交司法机关追究刑事责任；给双方单位造成经济损失的，应当予以赔偿。</w:t>
      </w:r>
      <w:r/>
    </w:p>
    <w:p>
      <w:pPr>
        <w:pStyle w:val="1020"/>
        <w:ind w:firstLine="420"/>
        <w:spacing w:line="480" w:lineRule="auto"/>
        <w:rPr>
          <w:rFonts w:ascii="仿宋" w:hAnsi="仿宋" w:eastAsia="仿宋" w:cs="仿宋"/>
          <w:highlight w:val="none"/>
        </w:rPr>
      </w:pPr>
      <w:r>
        <w:rPr>
          <w:rFonts w:ascii="仿宋" w:hAnsi="仿宋" w:eastAsia="仿宋" w:cs="仿宋"/>
          <w:highlight w:val="none"/>
        </w:rPr>
        <w:t xml:space="preserve"> 三、本协议一式陆份，甲方执肆份，乙方执贰份。</w:t>
      </w:r>
      <w:r/>
    </w:p>
    <w:p>
      <w:pPr>
        <w:pStyle w:val="1020"/>
        <w:ind w:firstLine="420"/>
        <w:spacing w:line="480" w:lineRule="auto"/>
        <w:rPr>
          <w:rFonts w:ascii="仿宋" w:hAnsi="仿宋" w:eastAsia="仿宋" w:cs="仿宋"/>
          <w:highlight w:val="none"/>
        </w:rPr>
      </w:pPr>
      <w:r>
        <w:rPr>
          <w:rFonts w:ascii="仿宋" w:hAnsi="仿宋" w:eastAsia="仿宋" w:cs="仿宋"/>
          <w:highlight w:val="none"/>
        </w:rPr>
      </w:r>
      <w:r/>
    </w:p>
    <w:p>
      <w:pPr>
        <w:pStyle w:val="1038"/>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甲方（盖章）：                             乙方（盖章）：   </w:t>
      </w:r>
      <w:r/>
    </w:p>
    <w:p>
      <w:pPr>
        <w:pStyle w:val="1038"/>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法定代表人或授权委托人：                   法定代表人或授权委托人：</w:t>
      </w:r>
      <w:r/>
    </w:p>
    <w:p>
      <w:pPr>
        <w:pStyle w:val="1038"/>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                                   日  期：    </w:t>
      </w:r>
      <w:r/>
    </w:p>
    <w:p>
      <w:pPr>
        <w:pStyle w:val="1038"/>
        <w:contextualSpacing/>
        <w:ind w:firstLine="200"/>
        <w:jc w:val="center"/>
        <w:spacing w:before="0" w:beforeAutospacing="0" w:after="0" w:afterAutospacing="0" w:line="360" w:lineRule="auto"/>
        <w:rPr>
          <w:rStyle w:val="1207"/>
          <w:rFonts w:hint="eastAsia" w:ascii="仿宋" w:hAnsi="仿宋" w:eastAsia="仿宋" w:cs="仿宋"/>
          <w:highlight w:val="none"/>
        </w:rPr>
      </w:pPr>
      <w:r>
        <w:rPr>
          <w:rStyle w:val="1207"/>
          <w:rFonts w:hint="eastAsia" w:ascii="仿宋" w:hAnsi="仿宋" w:eastAsia="仿宋" w:cs="仿宋"/>
          <w:highlight w:val="none"/>
        </w:rPr>
        <w:br w:type="page" w:clear="all"/>
      </w:r>
      <w:r>
        <w:rPr>
          <w:rStyle w:val="1207"/>
          <w:rFonts w:hint="eastAsia" w:ascii="仿宋" w:hAnsi="仿宋" w:eastAsia="仿宋" w:cs="仿宋"/>
          <w:highlight w:val="none"/>
        </w:rPr>
        <w:t xml:space="preserve">第七章   投标文件格式</w:t>
      </w:r>
      <w:bookmarkEnd w:id="794"/>
      <w:r/>
      <w:r/>
    </w:p>
    <w:p>
      <w:pPr>
        <w:ind w:left="142"/>
        <w:jc w:val="center"/>
        <w:spacing w:line="360" w:lineRule="auto"/>
        <w:tabs>
          <w:tab w:val="left" w:pos="900" w:leader="none"/>
          <w:tab w:val="left" w:pos="1980" w:leader="none"/>
        </w:tabs>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left="142"/>
        <w:jc w:val="center"/>
        <w:spacing w:line="360" w:lineRule="auto"/>
        <w:tabs>
          <w:tab w:val="left" w:pos="900" w:leader="none"/>
          <w:tab w:val="left" w:pos="1980" w:leader="none"/>
        </w:tabs>
        <w:rPr>
          <w:rFonts w:hint="eastAsia" w:ascii="仿宋" w:hAnsi="仿宋" w:eastAsia="仿宋" w:cs="仿宋"/>
          <w:b/>
          <w:sz w:val="24"/>
          <w:highlight w:val="none"/>
        </w:rPr>
      </w:pPr>
      <w:r>
        <w:rPr>
          <w:rFonts w:hint="eastAsia" w:ascii="仿宋" w:hAnsi="仿宋" w:eastAsia="仿宋" w:cs="仿宋"/>
          <w:b/>
          <w:bCs/>
          <w:szCs w:val="21"/>
          <w:highlight w:val="none"/>
        </w:rPr>
        <w:t xml:space="preserve">★</w:t>
      </w:r>
      <w:r>
        <w:rPr>
          <w:rFonts w:hint="eastAsia" w:ascii="仿宋" w:hAnsi="仿宋" w:eastAsia="仿宋" w:cs="仿宋"/>
          <w:b/>
          <w:sz w:val="24"/>
          <w:highlight w:val="none"/>
        </w:rPr>
        <w:t xml:space="preserve">供应商编制文件须知</w:t>
      </w:r>
      <w:r/>
    </w:p>
    <w:p>
      <w:pPr>
        <w:ind w:left="142"/>
        <w:jc w:val="center"/>
        <w:spacing w:line="360" w:lineRule="auto"/>
        <w:tabs>
          <w:tab w:val="left" w:pos="900" w:leader="none"/>
          <w:tab w:val="left" w:pos="198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szCs w:val="21"/>
          <w:highlight w:val="none"/>
        </w:rPr>
        <w:t xml:space="preserve">投标无效</w:t>
      </w:r>
      <w:r>
        <w:rPr>
          <w:rFonts w:hint="eastAsia" w:ascii="仿宋" w:hAnsi="仿宋" w:eastAsia="仿宋" w:cs="仿宋"/>
          <w:szCs w:val="21"/>
          <w:highlight w:val="none"/>
        </w:rPr>
        <w:t xml:space="preserve">。未标记“实质性格式”的文件和招标文件未提供格式的内容，可由供应商自行编写。</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3.全部声明和问题的回答及所附材料必须是真实的、准确的和完整的。</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4.实行电子化不见面交易方式的，加盖公章、签名等均通过投标文件编制工具加盖电子公章、签字、签章或印鉴。</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r>
      <w:r/>
    </w:p>
    <w:p>
      <w:pPr>
        <w:jc w:val="left"/>
        <w:widowControl/>
        <w:rPr>
          <w:rFonts w:hint="eastAsia" w:ascii="仿宋" w:hAnsi="仿宋" w:eastAsia="仿宋" w:cs="仿宋"/>
          <w:b/>
          <w:sz w:val="30"/>
          <w:szCs w:val="20"/>
          <w:highlight w:val="none"/>
        </w:rPr>
      </w:pPr>
      <w:r>
        <w:rPr>
          <w:rFonts w:hint="eastAsia" w:ascii="仿宋" w:hAnsi="仿宋" w:eastAsia="仿宋" w:cs="仿宋"/>
          <w:sz w:val="24"/>
          <w:highlight w:val="none"/>
        </w:rPr>
        <w:br w:type="page" w:clear="all"/>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仿宋" w:hAnsi="仿宋" w:eastAsia="仿宋" w:cs="仿宋"/>
          <w:b/>
          <w:spacing w:val="20"/>
          <w:sz w:val="24"/>
          <w:highlight w:val="none"/>
        </w:rPr>
        <w:t xml:space="preserve">一、资格证明文件格式</w:t>
      </w:r>
      <w:r/>
    </w:p>
    <w:p>
      <w:pPr>
        <w:rPr>
          <w:rFonts w:hint="eastAsia" w:ascii="仿宋" w:hAnsi="仿宋" w:eastAsia="仿宋" w:cs="仿宋"/>
          <w:b/>
          <w:spacing w:val="20"/>
          <w:szCs w:val="21"/>
          <w:highlight w:val="none"/>
        </w:rPr>
      </w:pPr>
      <w:r>
        <w:rPr>
          <w:rFonts w:hint="eastAsia" w:ascii="仿宋" w:hAnsi="仿宋" w:eastAsia="仿宋" w:cs="仿宋"/>
          <w:b/>
          <w:spacing w:val="20"/>
          <w:szCs w:val="21"/>
          <w:highlight w:val="none"/>
        </w:rPr>
      </w:r>
      <w:r/>
    </w:p>
    <w:p>
      <w:pPr>
        <w:rPr>
          <w:rFonts w:hint="eastAsia" w:ascii="仿宋" w:hAnsi="仿宋" w:eastAsia="仿宋" w:cs="仿宋"/>
          <w:b/>
          <w:sz w:val="24"/>
          <w:highlight w:val="none"/>
        </w:rPr>
      </w:pPr>
      <w:r>
        <w:rPr>
          <w:rFonts w:hint="eastAsia" w:ascii="仿宋" w:hAnsi="仿宋" w:eastAsia="仿宋" w:cs="仿宋"/>
          <w:b/>
          <w:spacing w:val="20"/>
          <w:sz w:val="24"/>
          <w:highlight w:val="none"/>
        </w:rPr>
        <w:t xml:space="preserve">投标文件</w:t>
      </w:r>
      <w:r>
        <w:rPr>
          <w:rFonts w:hint="eastAsia" w:ascii="仿宋" w:hAnsi="仿宋" w:eastAsia="仿宋" w:cs="仿宋"/>
          <w:b/>
          <w:sz w:val="24"/>
          <w:highlight w:val="none"/>
        </w:rPr>
        <w:t xml:space="preserve">封面（非实质性格式）</w:t>
      </w:r>
      <w:r/>
    </w:p>
    <w:p>
      <w:pPr>
        <w:jc w:val="center"/>
        <w:rPr>
          <w:rFonts w:hint="eastAsia" w:ascii="仿宋" w:hAnsi="仿宋" w:eastAsia="仿宋" w:cs="仿宋"/>
          <w:szCs w:val="21"/>
          <w:highlight w:val="none"/>
        </w:rPr>
      </w:pPr>
      <w:r>
        <w:rPr>
          <w:rFonts w:hint="eastAsia" w:ascii="仿宋" w:hAnsi="仿宋" w:eastAsia="仿宋" w:cs="仿宋"/>
          <w:szCs w:val="21"/>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t xml:space="preserve">投 标 文 件</w:t>
      </w:r>
      <w:r/>
    </w:p>
    <w:p>
      <w:pPr>
        <w:ind w:firstLine="963"/>
        <w:rPr>
          <w:rFonts w:hint="eastAsia" w:ascii="仿宋" w:hAnsi="仿宋" w:eastAsia="仿宋" w:cs="仿宋"/>
          <w:b/>
          <w:spacing w:val="60"/>
          <w:sz w:val="52"/>
          <w:szCs w:val="52"/>
          <w:highlight w:val="none"/>
        </w:rPr>
      </w:pPr>
      <w:r>
        <w:rPr>
          <w:rFonts w:hint="eastAsia" w:ascii="仿宋" w:hAnsi="仿宋" w:eastAsia="仿宋" w:cs="仿宋"/>
          <w:b/>
          <w:spacing w:val="60"/>
          <w:sz w:val="52"/>
          <w:szCs w:val="52"/>
          <w:highlight w:val="none"/>
        </w:rPr>
      </w:r>
      <w:r/>
    </w:p>
    <w:p>
      <w:pPr>
        <w:ind w:firstLine="963"/>
        <w:rPr>
          <w:rFonts w:hint="eastAsia" w:ascii="仿宋" w:hAnsi="仿宋" w:eastAsia="仿宋" w:cs="仿宋"/>
          <w:b/>
          <w:spacing w:val="60"/>
          <w:sz w:val="52"/>
          <w:szCs w:val="52"/>
          <w:highlight w:val="none"/>
        </w:rPr>
      </w:pPr>
      <w:r>
        <w:rPr>
          <w:rFonts w:hint="eastAsia" w:ascii="仿宋" w:hAnsi="仿宋" w:eastAsia="仿宋" w:cs="仿宋"/>
          <w:b/>
          <w:spacing w:val="60"/>
          <w:sz w:val="52"/>
          <w:szCs w:val="52"/>
          <w:highlight w:val="none"/>
        </w:rPr>
      </w:r>
      <w:r/>
    </w:p>
    <w:p>
      <w:pPr>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p>
      <w:pPr>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tbl>
      <w:tblPr>
        <w:tblStyle w:val="1007"/>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名 称：</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新北区人民医院项目一期气动物流设备采购</w:t>
            </w:r>
            <w:r/>
          </w:p>
        </w:tc>
      </w:tr>
      <w:tr>
        <w:trPr>
          <w:jc w:val="center"/>
          <w:trHeight w:val="84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编 号：</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lang w:eastAsia="zh-CN"/>
              </w:rPr>
              <w:t xml:space="preserve">JSZC-320411-SCJX-G2026-0005</w:t>
            </w:r>
            <w:r>
              <w:rPr>
                <w:rFonts w:hint="eastAsia" w:ascii="仿宋" w:hAnsi="仿宋" w:eastAsia="仿宋" w:cs="仿宋"/>
                <w:b/>
                <w:sz w:val="32"/>
                <w:szCs w:val="32"/>
                <w:highlight w:val="none"/>
                <w:u w:val="single"/>
              </w:rPr>
              <w:t xml:space="preserve">               </w:t>
            </w:r>
            <w:r/>
          </w:p>
        </w:tc>
      </w:tr>
      <w:tr>
        <w:trPr>
          <w:jc w:val="center"/>
          <w:trHeight w:val="98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投   标  人：</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tc>
      </w:tr>
      <w:tr>
        <w:trPr>
          <w:jc w:val="center"/>
          <w:trHeight w:val="995"/>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日       期：</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Cs/>
                <w:sz w:val="36"/>
                <w:szCs w:val="36"/>
                <w:highlight w:val="none"/>
                <w:u w:val="single"/>
              </w:rPr>
            </w:r>
            <w:r/>
          </w:p>
        </w:tc>
      </w:tr>
    </w:tbl>
    <w:p>
      <w:pPr>
        <w:rPr>
          <w:rFonts w:hint="eastAsia" w:ascii="仿宋" w:hAnsi="仿宋" w:eastAsia="仿宋" w:cs="仿宋"/>
          <w:b/>
          <w:sz w:val="36"/>
          <w:highlight w:val="none"/>
        </w:rPr>
      </w:pPr>
      <w:r>
        <w:rPr>
          <w:rFonts w:hint="eastAsia" w:ascii="仿宋" w:hAnsi="仿宋" w:eastAsia="仿宋" w:cs="仿宋"/>
          <w:b/>
          <w:sz w:val="36"/>
          <w:highlight w:val="none"/>
          <w:u w:val="single"/>
        </w:rPr>
        <w:t xml:space="preserve">            </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pacing w:val="20"/>
          <w:sz w:val="32"/>
          <w:szCs w:val="32"/>
          <w:highlight w:val="none"/>
        </w:rPr>
        <w:br w:type="page" w:clear="all"/>
      </w:r>
      <w:r>
        <w:rPr>
          <w:rFonts w:hint="eastAsia" w:ascii="仿宋" w:hAnsi="仿宋" w:eastAsia="仿宋" w:cs="仿宋"/>
          <w:b/>
          <w:sz w:val="32"/>
          <w:szCs w:val="32"/>
          <w:highlight w:val="none"/>
        </w:rPr>
        <w:t xml:space="preserve">一、资格证明文件</w:t>
      </w:r>
      <w:r/>
    </w:p>
    <w:p>
      <w:pPr>
        <w:rPr>
          <w:rFonts w:hint="eastAsia" w:ascii="仿宋" w:hAnsi="仿宋" w:eastAsia="仿宋" w:cs="仿宋"/>
          <w:b/>
          <w:highlight w:val="none"/>
        </w:rPr>
      </w:pPr>
      <w:r>
        <w:rPr>
          <w:rFonts w:hint="eastAsia" w:ascii="仿宋" w:hAnsi="仿宋" w:eastAsia="仿宋" w:cs="仿宋"/>
          <w:b/>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t xml:space="preserve">1 </w:t>
      </w:r>
      <w:r>
        <w:rPr>
          <w:rFonts w:hint="eastAsia" w:ascii="仿宋" w:hAnsi="仿宋" w:eastAsia="仿宋" w:cs="仿宋"/>
          <w:sz w:val="24"/>
          <w:highlight w:val="none"/>
        </w:rPr>
        <w:t xml:space="preserve">满足《中华人民共和国政府采购法》第二十二条规定及法律法规的其他规定</w:t>
      </w:r>
      <w:r/>
    </w:p>
    <w:p>
      <w:pPr>
        <w:pStyle w:val="999"/>
        <w:rPr>
          <w:rFonts w:hint="eastAsia" w:ascii="仿宋" w:hAnsi="仿宋" w:eastAsia="仿宋" w:cs="仿宋"/>
          <w:bCs/>
          <w:highlight w:val="none"/>
          <w:u w:val="none"/>
        </w:rPr>
      </w:pPr>
      <w:r>
        <w:rPr>
          <w:rFonts w:hint="eastAsia" w:ascii="仿宋" w:hAnsi="仿宋" w:eastAsia="仿宋" w:cs="仿宋"/>
          <w:bCs/>
          <w:highlight w:val="none"/>
          <w:u w:val="none"/>
        </w:rPr>
        <w:t xml:space="preserve">1-1 供应商资格声明函（实质性格式）</w:t>
      </w:r>
      <w:r/>
    </w:p>
    <w:p>
      <w:pPr>
        <w:jc w:val="center"/>
        <w:spacing w:before="120" w:line="360" w:lineRule="auto"/>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before="120" w:line="360" w:lineRule="auto"/>
        <w:widowControl/>
        <w:rPr>
          <w:rFonts w:hint="eastAsia" w:ascii="仿宋" w:hAnsi="仿宋" w:eastAsia="仿宋" w:cs="仿宋"/>
          <w:szCs w:val="21"/>
          <w:highlight w:val="none"/>
        </w:rPr>
      </w:pPr>
      <w:r>
        <w:rPr>
          <w:rFonts w:hint="eastAsia" w:ascii="仿宋" w:hAnsi="仿宋" w:eastAsia="仿宋" w:cs="仿宋"/>
          <w:b/>
          <w:sz w:val="28"/>
          <w:szCs w:val="28"/>
          <w:highlight w:val="none"/>
        </w:rPr>
        <w:t xml:space="preserve">供应商资格声明函</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致：</w:t>
      </w:r>
      <w:r>
        <w:rPr>
          <w:rFonts w:hint="eastAsia" w:ascii="仿宋" w:hAnsi="仿宋" w:eastAsia="仿宋" w:cs="仿宋"/>
          <w:color w:val="auto"/>
          <w:sz w:val="21"/>
          <w:szCs w:val="21"/>
          <w:highlight w:val="none"/>
          <w:u w:val="single"/>
        </w:rPr>
        <w:t xml:space="preserve">常州国家高新技术产业开发区(新北区)卫生健康局、江苏城建校工程咨询有限公司</w:t>
      </w:r>
      <w:r>
        <w:rPr>
          <w:rFonts w:hint="eastAsia" w:ascii="仿宋" w:hAnsi="仿宋" w:eastAsia="仿宋" w:cs="仿宋"/>
          <w:color w:val="auto"/>
          <w:sz w:val="21"/>
          <w:szCs w:val="21"/>
          <w:highlight w:val="none"/>
        </w:rPr>
        <w:t xml:space="preserve">：</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按照《中华人民共和国政府采购法》第二十二条和招标文件的规定，我单位郑重声明如下：</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一、我单位是按照中华人民共和国法律规定登记注册的，注册地点为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，全称为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，统一社会信用代码为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，法定代表人（单位负责人）为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，具有独立承担民事责任的能力。</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二、我单位具有良好的商业信誉（指供应商经营状况良好，无本资格声明第九条情形）和健全的财务会计制度。</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三、我单位依法进行纳税和社会保险申报并实际履行了义务。</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246"/>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主要设备有：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1246"/>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主要专业技术能力有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六、我单位具备法律、行政法规规定的其他条件。</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七、与我单位存在“单位负责人为同一人或者存在直接控股、管理关系”的其他单位信息如下（如无此情形的，填写“无”）：</w:t>
      </w:r>
      <w:r/>
    </w:p>
    <w:p>
      <w:pPr>
        <w:pStyle w:val="1246"/>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1、与我单位的法定代表人（单位负责人）为同一人的其他单位如下：</w:t>
      </w:r>
      <w:r>
        <w:rPr>
          <w:rFonts w:hint="eastAsia" w:ascii="仿宋" w:hAnsi="仿宋" w:eastAsia="仿宋" w:cs="仿宋"/>
          <w:color w:val="auto"/>
          <w:sz w:val="21"/>
          <w:szCs w:val="21"/>
          <w:highlight w:val="none"/>
          <w:u w:val="single"/>
        </w:rPr>
        <w:t xml:space="preserve">               </w:t>
      </w:r>
      <w:r/>
    </w:p>
    <w:p>
      <w:pPr>
        <w:pStyle w:val="1246"/>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2、我单位直接控股的其他单位如下：</w:t>
      </w:r>
      <w:r>
        <w:rPr>
          <w:rFonts w:hint="eastAsia" w:ascii="仿宋" w:hAnsi="仿宋" w:eastAsia="仿宋" w:cs="仿宋"/>
          <w:color w:val="auto"/>
          <w:sz w:val="21"/>
          <w:szCs w:val="21"/>
          <w:highlight w:val="none"/>
          <w:u w:val="single"/>
        </w:rPr>
        <w:t xml:space="preserve">                     </w:t>
      </w:r>
      <w:r/>
    </w:p>
    <w:p>
      <w:pPr>
        <w:pStyle w:val="1246"/>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3、与我单位存在管理关系的其他单位如下：</w:t>
      </w:r>
      <w:r>
        <w:rPr>
          <w:rFonts w:hint="eastAsia" w:ascii="仿宋" w:hAnsi="仿宋" w:eastAsia="仿宋" w:cs="仿宋"/>
          <w:color w:val="auto"/>
          <w:sz w:val="21"/>
          <w:szCs w:val="21"/>
          <w:highlight w:val="none"/>
          <w:u w:val="single"/>
        </w:rPr>
        <w:t xml:space="preserve">               </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八、我单位不属于为本项目提供整体设计、规范编制或者项目管理、监理、检测等服务的投标人。</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九、我单位无以下不良信用记录情形：</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1.在“信用中国”网站被列入失信被执行人和重大税收违法案件当事人名单；</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2.在“中国政府采购网”网站被列入政府采购严重违法失信行为记录名单；</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3.不符合《政府采购法》第二十二条规定的条件。</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我单位保证上述声明的事项都是真实的，如有虚假，我单位愿意承担相应的法律责任，并承担因此所造成的一切损失。</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供应商：（加盖公章）</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法定代表人（或单位负责人）签字或盖章：</w:t>
      </w:r>
      <w:r/>
    </w:p>
    <w:p>
      <w:pPr>
        <w:pStyle w:val="1246"/>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日期：    年    月    日</w:t>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46"/>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b/>
          <w:bCs/>
          <w:szCs w:val="21"/>
          <w:highlight w:val="none"/>
        </w:rPr>
        <w:br w:type="page" w:clear="all"/>
      </w:r>
      <w:r>
        <w:rPr>
          <w:rFonts w:hint="eastAsia" w:ascii="仿宋" w:hAnsi="仿宋" w:eastAsia="仿宋" w:cs="仿宋"/>
          <w:sz w:val="24"/>
          <w:szCs w:val="20"/>
          <w:highlight w:val="none"/>
        </w:rPr>
        <w:t xml:space="preserve">2 落实政府采购政策需满足的资格要求</w:t>
      </w:r>
      <w:r/>
    </w:p>
    <w:p>
      <w:pPr>
        <w:spacing w:line="360" w:lineRule="auto"/>
        <w:rPr>
          <w:rFonts w:hint="eastAsia" w:ascii="仿宋" w:hAnsi="仿宋" w:eastAsia="仿宋" w:cs="仿宋"/>
          <w:b/>
          <w:bCs/>
          <w:sz w:val="24"/>
          <w:szCs w:val="20"/>
          <w:highlight w:val="none"/>
        </w:rPr>
        <w:outlineLvl w:val="2"/>
      </w:pPr>
      <w:r>
        <w:rPr>
          <w:rFonts w:hint="eastAsia" w:ascii="仿宋" w:hAnsi="仿宋" w:eastAsia="仿宋" w:cs="仿宋"/>
          <w:b/>
          <w:bCs/>
          <w:szCs w:val="21"/>
          <w:highlight w:val="none"/>
        </w:rPr>
        <w:t xml:space="preserve">中小企业声明函（本项目不专门面向中小企业采购）</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1054"/>
          <w:rFonts w:hint="eastAsia" w:ascii="仿宋" w:hAnsi="仿宋" w:eastAsia="仿宋" w:cs="仿宋"/>
          <w:color w:val="auto"/>
          <w:szCs w:val="21"/>
          <w:highlight w:val="none"/>
        </w:rPr>
        <w:t xml:space="preserve">http://202.106.120.146/baosong/appweb/orgScale.html</w:t>
      </w:r>
      <w:r>
        <w:rPr>
          <w:rStyle w:val="1054"/>
          <w:rFonts w:hint="eastAsia" w:ascii="仿宋" w:hAnsi="仿宋" w:eastAsia="仿宋" w:cs="仿宋"/>
          <w:color w:val="auto"/>
          <w:szCs w:val="21"/>
          <w:highlight w:val="none"/>
        </w:rPr>
        <w:fldChar w:fldCharType="end"/>
      </w:r>
      <w:r>
        <w:rPr>
          <w:rFonts w:hint="eastAsia" w:ascii="仿宋" w:hAnsi="仿宋" w:eastAsia="仿宋" w:cs="仿宋"/>
          <w:szCs w:val="21"/>
          <w:highlight w:val="none"/>
        </w:rPr>
        <w:t xml:space="preserve">）</w:t>
      </w:r>
      <w:r/>
    </w:p>
    <w:p>
      <w:pPr>
        <w:spacing w:line="360" w:lineRule="auto"/>
        <w:tabs>
          <w:tab w:val="left" w:pos="5580" w:leader="none"/>
        </w:tabs>
        <w:rPr>
          <w:rFonts w:hint="eastAsia" w:ascii="仿宋" w:hAnsi="仿宋" w:eastAsia="仿宋" w:cs="仿宋"/>
          <w:b/>
          <w:szCs w:val="21"/>
          <w:highlight w:val="none"/>
        </w:rPr>
      </w:pPr>
      <w:r>
        <w:rPr>
          <w:rFonts w:hint="eastAsia" w:ascii="仿宋" w:hAnsi="仿宋" w:eastAsia="仿宋" w:cs="仿宋"/>
          <w:szCs w:val="21"/>
          <w:highlight w:val="none"/>
        </w:rPr>
        <w:t xml:space="preserve">6）</w:t>
      </w:r>
      <w:r>
        <w:rPr>
          <w:rFonts w:hint="eastAsia" w:ascii="仿宋" w:hAnsi="仿宋" w:eastAsia="仿宋" w:cs="仿宋"/>
          <w:b/>
          <w:szCs w:val="21"/>
          <w:highlight w:val="none"/>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7）小微企业未提供声明函的，价格分评审将不予价格扣除。</w:t>
      </w:r>
      <w:r/>
    </w:p>
    <w:p>
      <w:pPr>
        <w:ind w:firstLine="422"/>
        <w:spacing w:line="360" w:lineRule="auto"/>
        <w:tabs>
          <w:tab w:val="left" w:pos="5580" w:leader="none"/>
        </w:tabs>
        <w:rPr>
          <w:rStyle w:val="1376"/>
          <w:rFonts w:hint="eastAsia" w:ascii="仿宋" w:hAnsi="仿宋" w:eastAsia="仿宋" w:cs="仿宋"/>
          <w:b/>
          <w:bCs/>
          <w:sz w:val="21"/>
          <w:szCs w:val="21"/>
          <w:highlight w:val="none"/>
        </w:rPr>
      </w:pPr>
      <w:r>
        <w:rPr>
          <w:rStyle w:val="1376"/>
          <w:rFonts w:hint="eastAsia" w:ascii="仿宋" w:hAnsi="仿宋" w:eastAsia="仿宋" w:cs="仿宋"/>
          <w:b/>
          <w:bCs/>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firstLine="422"/>
        <w:spacing w:line="360" w:lineRule="auto"/>
        <w:tabs>
          <w:tab w:val="left" w:pos="5580" w:leader="none"/>
        </w:tabs>
        <w:rPr>
          <w:rStyle w:val="1376"/>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999"/>
        <w:jc w:val="center"/>
        <w:spacing w:line="360" w:lineRule="auto"/>
        <w:rPr>
          <w:rFonts w:hint="eastAsia" w:ascii="仿宋" w:hAnsi="仿宋" w:eastAsia="仿宋" w:cs="仿宋"/>
          <w:b w:val="0"/>
          <w:sz w:val="36"/>
          <w:szCs w:val="36"/>
          <w:highlight w:val="none"/>
        </w:rPr>
      </w:pPr>
      <w:r>
        <w:rPr>
          <w:rFonts w:hint="eastAsia" w:ascii="仿宋" w:hAnsi="仿宋" w:eastAsia="仿宋" w:cs="仿宋"/>
          <w:highlight w:val="none"/>
        </w:rPr>
        <w:br w:type="page" w:clear="all"/>
      </w:r>
      <w:r>
        <w:rPr>
          <w:rFonts w:hint="eastAsia" w:ascii="仿宋" w:hAnsi="仿宋" w:eastAsia="仿宋" w:cs="仿宋"/>
          <w:sz w:val="36"/>
          <w:szCs w:val="36"/>
          <w:highlight w:val="none"/>
          <w:u w:val="none"/>
        </w:rPr>
        <w:t xml:space="preserve">中小企业声明函（货物）格式</w:t>
      </w:r>
      <w:r/>
    </w:p>
    <w:p>
      <w:pPr>
        <w:ind w:left="220" w:right="415" w:firstLine="64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sz w:val="24"/>
          <w:highlight w:val="none"/>
          <w:u w:val="single"/>
        </w:rPr>
        <w:t xml:space="preserve">（单位名称）</w:t>
      </w:r>
      <w:r>
        <w:rPr>
          <w:rFonts w:hint="eastAsia" w:ascii="仿宋" w:hAnsi="仿宋" w:eastAsia="仿宋" w:cs="仿宋"/>
          <w:sz w:val="24"/>
          <w:highlight w:val="none"/>
        </w:rPr>
        <w:t xml:space="preserve">的</w:t>
      </w:r>
      <w:r>
        <w:rPr>
          <w:rFonts w:hint="eastAsia" w:ascii="仿宋" w:hAnsi="仿宋" w:eastAsia="仿宋" w:cs="仿宋"/>
          <w:i/>
          <w:sz w:val="24"/>
          <w:highlight w:val="none"/>
          <w:u w:val="single"/>
        </w:rPr>
        <w:t xml:space="preserve">（项目名称）</w:t>
      </w:r>
      <w:r>
        <w:rPr>
          <w:rFonts w:hint="eastAsia" w:ascii="仿宋" w:hAnsi="仿宋" w:eastAsia="仿宋" w:cs="仿宋"/>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9"/>
        </w:numPr>
        <w:ind w:right="169" w:firstLine="646"/>
        <w:jc w:val="left"/>
        <w:spacing w:line="360" w:lineRule="auto"/>
        <w:tabs>
          <w:tab w:val="left" w:pos="1183" w:leader="none"/>
          <w:tab w:val="left" w:pos="1484" w:leader="none"/>
          <w:tab w:val="left" w:pos="4662" w:leader="none"/>
          <w:tab w:val="left" w:pos="6903" w:leader="none"/>
        </w:tabs>
        <w:rPr>
          <w:rFonts w:hint="eastAsia" w:ascii="仿宋" w:hAnsi="仿宋" w:eastAsia="仿宋" w:cs="仿宋"/>
          <w:sz w:val="24"/>
          <w:highlight w:val="none"/>
        </w:rPr>
      </w:pPr>
      <w:r>
        <w:rPr>
          <w:rFonts w:hint="eastAsia" w:ascii="仿宋" w:hAnsi="仿宋" w:eastAsia="仿宋" w:cs="仿宋"/>
          <w:b/>
          <w:bCs/>
          <w:i/>
          <w:sz w:val="24"/>
          <w:highlight w:val="none"/>
          <w:u w:val="single"/>
        </w:rPr>
        <w:t xml:space="preserve">（标的名称）</w:t>
      </w:r>
      <w:r>
        <w:rPr>
          <w:rFonts w:hint="eastAsia" w:ascii="仿宋" w:hAnsi="仿宋" w:eastAsia="仿宋" w:cs="仿宋"/>
          <w:sz w:val="24"/>
          <w:highlight w:val="none"/>
        </w:rPr>
        <w:t xml:space="preserve">，属于</w:t>
      </w:r>
      <w:r>
        <w:rPr>
          <w:rFonts w:hint="eastAsia" w:ascii="仿宋" w:hAnsi="仿宋" w:eastAsia="仿宋" w:cs="仿宋"/>
          <w:b/>
          <w:bCs/>
          <w:i/>
          <w:sz w:val="24"/>
          <w:highlight w:val="none"/>
        </w:rPr>
        <w:t xml:space="preserve">（</w:t>
      </w:r>
      <w:r>
        <w:rPr>
          <w:rFonts w:hint="eastAsia" w:ascii="仿宋" w:hAnsi="仿宋" w:eastAsia="仿宋" w:cs="仿宋"/>
          <w:b/>
          <w:bCs/>
          <w:i/>
          <w:sz w:val="24"/>
          <w:highlight w:val="none"/>
          <w:u w:val="single"/>
        </w:rPr>
        <w:t xml:space="preserve">采购文件中明确的所属行业）</w:t>
      </w:r>
      <w:r>
        <w:rPr>
          <w:rFonts w:hint="eastAsia" w:ascii="仿宋" w:hAnsi="仿宋" w:eastAsia="仿宋" w:cs="仿宋"/>
          <w:i/>
          <w:sz w:val="24"/>
          <w:highlight w:val="none"/>
          <w:u w:val="single"/>
        </w:rPr>
        <w:t xml:space="preserve">行业</w:t>
      </w:r>
      <w:r>
        <w:rPr>
          <w:rFonts w:hint="eastAsia" w:ascii="仿宋" w:hAnsi="仿宋" w:eastAsia="仿宋" w:cs="仿宋"/>
          <w:sz w:val="24"/>
          <w:highlight w:val="none"/>
        </w:rPr>
        <w:t xml:space="preserve">；制造商为</w:t>
      </w:r>
      <w:r>
        <w:rPr>
          <w:rFonts w:hint="eastAsia" w:ascii="仿宋" w:hAnsi="仿宋" w:eastAsia="仿宋" w:cs="仿宋"/>
          <w:i/>
          <w:sz w:val="24"/>
          <w:highlight w:val="none"/>
          <w:u w:val="single"/>
        </w:rPr>
        <w:t xml:space="preserve">（企业名称）</w:t>
      </w:r>
      <w:r>
        <w:rPr>
          <w:rFonts w:hint="eastAsia" w:ascii="仿宋" w:hAnsi="仿宋" w:eastAsia="仿宋" w:cs="仿宋"/>
          <w:sz w:val="24"/>
          <w:highlight w:val="none"/>
        </w:rPr>
        <w:t xml:space="preserve">，从业人员</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人，营业收入为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万元，资产总额为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w:t>
      </w:r>
      <w:r>
        <w:rPr>
          <w:highlight w:val="none"/>
        </w:rPr>
        <w:fldChar w:fldCharType="begin"/>
      </w:r>
      <w:r>
        <w:rPr>
          <w:highlight w:val="none"/>
        </w:rPr>
        <w:instrText xml:space="preserve"> HYPERLINK \l "_bookmark0" </w:instrText>
      </w:r>
      <w:r>
        <w:rPr>
          <w:highlight w:val="none"/>
        </w:rPr>
        <w:fldChar w:fldCharType="separate"/>
      </w:r>
      <w:r>
        <w:rPr>
          <w:rFonts w:hint="eastAsia" w:ascii="仿宋" w:hAnsi="仿宋" w:eastAsia="仿宋" w:cs="仿宋"/>
          <w:position w:val="16"/>
          <w:sz w:val="24"/>
          <w:highlight w:val="none"/>
        </w:rPr>
        <w:t xml:space="preserve">1</w:t>
      </w:r>
      <w:r>
        <w:rPr>
          <w:rFonts w:hint="eastAsia" w:ascii="仿宋" w:hAnsi="仿宋" w:eastAsia="仿宋" w:cs="仿宋"/>
          <w:position w:val="16"/>
          <w:sz w:val="24"/>
          <w:highlight w:val="none"/>
        </w:rPr>
        <w:fldChar w:fldCharType="end"/>
      </w:r>
      <w:r>
        <w:rPr>
          <w:rFonts w:hint="eastAsia" w:ascii="仿宋" w:hAnsi="仿宋" w:eastAsia="仿宋" w:cs="仿宋"/>
          <w:sz w:val="24"/>
          <w:highlight w:val="none"/>
        </w:rPr>
        <w:t xml:space="preserve">，属于</w:t>
      </w:r>
      <w:r>
        <w:rPr>
          <w:rFonts w:hint="eastAsia" w:ascii="仿宋" w:hAnsi="仿宋" w:eastAsia="仿宋" w:cs="仿宋"/>
          <w:i/>
          <w:sz w:val="24"/>
          <w:highlight w:val="none"/>
          <w:u w:val="single"/>
        </w:rPr>
        <w:t xml:space="preserve">（中型企业、小型企业、微型企业）</w:t>
      </w:r>
      <w:r>
        <w:rPr>
          <w:rFonts w:hint="eastAsia" w:ascii="仿宋" w:hAnsi="仿宋" w:eastAsia="仿宋" w:cs="仿宋"/>
          <w:sz w:val="24"/>
          <w:highlight w:val="none"/>
        </w:rPr>
        <w:t xml:space="preserve">；</w:t>
      </w:r>
      <w:r/>
    </w:p>
    <w:p>
      <w:pPr>
        <w:numPr>
          <w:ilvl w:val="0"/>
          <w:numId w:val="9"/>
        </w:numPr>
        <w:ind w:right="169" w:firstLine="646"/>
        <w:jc w:val="left"/>
        <w:spacing w:line="360" w:lineRule="auto"/>
        <w:tabs>
          <w:tab w:val="left" w:pos="1165" w:leader="none"/>
          <w:tab w:val="left" w:pos="1183" w:leader="none"/>
          <w:tab w:val="left" w:pos="4362" w:leader="none"/>
          <w:tab w:val="left" w:pos="6577" w:leader="none"/>
        </w:tabs>
        <w:rPr>
          <w:rFonts w:hint="eastAsia" w:ascii="仿宋" w:hAnsi="仿宋" w:eastAsia="仿宋" w:cs="仿宋"/>
          <w:sz w:val="24"/>
          <w:highlight w:val="none"/>
        </w:rPr>
      </w:pPr>
      <w:r>
        <w:rPr>
          <w:rFonts w:hint="eastAsia" w:ascii="仿宋" w:hAnsi="仿宋" w:eastAsia="仿宋" w:cs="仿宋"/>
          <w:i/>
          <w:sz w:val="24"/>
          <w:highlight w:val="none"/>
          <w:u w:val="single"/>
        </w:rPr>
        <w:t xml:space="preserve">（标的名称）</w:t>
      </w:r>
      <w:r>
        <w:rPr>
          <w:rFonts w:hint="eastAsia" w:ascii="仿宋" w:hAnsi="仿宋" w:eastAsia="仿宋" w:cs="仿宋"/>
          <w:sz w:val="24"/>
          <w:highlight w:val="none"/>
        </w:rPr>
        <w:t xml:space="preserve">，属于</w:t>
      </w:r>
      <w:r>
        <w:rPr>
          <w:rFonts w:hint="eastAsia" w:ascii="仿宋" w:hAnsi="仿宋" w:eastAsia="仿宋" w:cs="仿宋"/>
          <w:i/>
          <w:sz w:val="24"/>
          <w:highlight w:val="none"/>
        </w:rPr>
        <w:t xml:space="preserve">（</w:t>
      </w:r>
      <w:r>
        <w:rPr>
          <w:rFonts w:hint="eastAsia" w:ascii="仿宋" w:hAnsi="仿宋" w:eastAsia="仿宋" w:cs="仿宋"/>
          <w:i/>
          <w:sz w:val="24"/>
          <w:highlight w:val="none"/>
          <w:u w:val="single"/>
        </w:rPr>
        <w:t xml:space="preserve">采购文件中明确的所属行业）行业</w:t>
      </w:r>
      <w:r>
        <w:rPr>
          <w:rFonts w:hint="eastAsia" w:ascii="仿宋" w:hAnsi="仿宋" w:eastAsia="仿宋" w:cs="仿宋"/>
          <w:sz w:val="24"/>
          <w:highlight w:val="none"/>
        </w:rPr>
        <w:t xml:space="preserve">；制造商为</w:t>
      </w:r>
      <w:r>
        <w:rPr>
          <w:rFonts w:hint="eastAsia" w:ascii="仿宋" w:hAnsi="仿宋" w:eastAsia="仿宋" w:cs="仿宋"/>
          <w:i/>
          <w:sz w:val="24"/>
          <w:highlight w:val="none"/>
          <w:u w:val="single"/>
        </w:rPr>
        <w:t xml:space="preserve">（企业名称）</w:t>
      </w:r>
      <w:r>
        <w:rPr>
          <w:rFonts w:hint="eastAsia" w:ascii="仿宋" w:hAnsi="仿宋" w:eastAsia="仿宋" w:cs="仿宋"/>
          <w:sz w:val="24"/>
          <w:highlight w:val="none"/>
        </w:rPr>
        <w:t xml:space="preserve">，从业人员</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人，营业收入为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万元，资产总额为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万元，属于</w:t>
      </w:r>
      <w:r>
        <w:rPr>
          <w:rFonts w:hint="eastAsia" w:ascii="仿宋" w:hAnsi="仿宋" w:eastAsia="仿宋" w:cs="仿宋"/>
          <w:i/>
          <w:sz w:val="24"/>
          <w:highlight w:val="none"/>
          <w:u w:val="single"/>
        </w:rPr>
        <w:t xml:space="preserve">（中型企业、小型企业、微型企业）</w:t>
      </w:r>
      <w:r>
        <w:rPr>
          <w:rFonts w:hint="eastAsia" w:ascii="仿宋" w:hAnsi="仿宋" w:eastAsia="仿宋" w:cs="仿宋"/>
          <w:sz w:val="24"/>
          <w:highlight w:val="none"/>
        </w:rPr>
        <w:t xml:space="preserve">；</w:t>
      </w:r>
      <w:r/>
    </w:p>
    <w:p>
      <w:pPr>
        <w:ind w:left="86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left="220" w:right="417"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本企业对上述声明内容的真实性负责。如有虚假，将依法承担相应责任。</w:t>
      </w:r>
      <w:r/>
    </w:p>
    <w:p>
      <w:pPr>
        <w:ind w:firstLine="504"/>
        <w:spacing w:line="360" w:lineRule="auto"/>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firstLine="504"/>
        <w:spacing w:line="360" w:lineRule="auto"/>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企业名称（加盖公章）：________</w:t>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 期：________</w:t>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Style w:val="100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vertAlign w:val="superscript"/>
              </w:rPr>
              <w:t xml:space="preserve">1</w:t>
            </w:r>
            <w:r>
              <w:rPr>
                <w:rFonts w:hint="eastAsia" w:ascii="仿宋" w:hAnsi="仿宋" w:eastAsia="仿宋" w:cs="仿宋"/>
                <w:szCs w:val="21"/>
                <w:highlight w:val="none"/>
              </w:rPr>
              <w:t xml:space="preserve">从业人员、营业收入、资产总额填报上一年度数据，无上一年度数据的新成立企业可不填报。</w:t>
            </w:r>
            <w:r/>
          </w:p>
        </w:tc>
      </w:tr>
    </w:tbl>
    <w:p>
      <w:pPr>
        <w:ind w:firstLine="420"/>
        <w:jc w:val="left"/>
        <w:rPr>
          <w:rFonts w:hint="eastAsia" w:ascii="仿宋" w:hAnsi="仿宋" w:eastAsia="仿宋" w:cs="仿宋"/>
          <w:sz w:val="24"/>
          <w:highlight w:val="none"/>
        </w:rPr>
      </w:pPr>
      <w:r>
        <w:rPr>
          <w:rFonts w:hint="eastAsia" w:ascii="仿宋" w:hAnsi="仿宋" w:eastAsia="仿宋" w:cs="仿宋"/>
          <w:sz w:val="24"/>
          <w:highlight w:val="none"/>
        </w:rPr>
      </w:r>
      <w:r/>
    </w:p>
    <w:p>
      <w:pPr>
        <w:ind w:firstLine="482"/>
        <w:jc w:val="left"/>
        <w:spacing w:line="360" w:lineRule="auto"/>
        <w:rPr>
          <w:rFonts w:hint="eastAsia" w:ascii="仿宋" w:hAnsi="仿宋" w:eastAsia="仿宋" w:cs="仿宋"/>
          <w:b/>
          <w:bCs/>
          <w:sz w:val="24"/>
          <w:highlight w:val="none"/>
        </w:rPr>
        <w:outlineLvl w:val="1"/>
      </w:pPr>
      <w:r>
        <w:rPr>
          <w:rFonts w:hint="eastAsia" w:ascii="仿宋" w:hAnsi="仿宋" w:eastAsia="仿宋" w:cs="仿宋"/>
          <w:b/>
          <w:bCs/>
          <w:sz w:val="24"/>
          <w:highlight w:val="none"/>
        </w:rPr>
        <w:t xml:space="preserve">特别提醒：</w:t>
      </w:r>
      <w:r/>
    </w:p>
    <w:p>
      <w:pPr>
        <w:pStyle w:val="997"/>
        <w:ind w:firstLine="482"/>
        <w:jc w:val="left"/>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如本项目采购清单内所有设备（产品）均为中小企业生产或制造的，请逐一列出项目清单中所有货物的制造商、从业人员、营业收入、企业类型等信息。</w:t>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bCs/>
          <w:sz w:val="36"/>
          <w:szCs w:val="36"/>
          <w:highlight w:val="none"/>
        </w:rPr>
        <w:br w:type="page" w:clear="all"/>
      </w:r>
      <w:r>
        <w:rPr>
          <w:rFonts w:hint="eastAsia" w:ascii="仿宋" w:hAnsi="仿宋" w:eastAsia="仿宋" w:cs="仿宋"/>
          <w:b/>
          <w:bCs/>
          <w:sz w:val="36"/>
          <w:szCs w:val="36"/>
          <w:highlight w:val="none"/>
        </w:rPr>
        <w:t xml:space="preserve">残疾人福利性单位声明函格式</w:t>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highlight w:val="none"/>
        </w:rPr>
        <w:t xml:space="preserve">〔2017〕 141</w:t>
      </w:r>
      <w:r>
        <w:rPr>
          <w:rFonts w:hint="eastAsia" w:ascii="仿宋" w:hAnsi="仿宋" w:eastAsia="仿宋" w:cs="仿宋"/>
          <w:spacing w:val="6"/>
          <w:sz w:val="24"/>
          <w:highlight w:val="none"/>
        </w:rPr>
        <w:t xml:space="preserve">号）的规定，本单位</w:t>
      </w:r>
      <w:r>
        <w:rPr>
          <w:rFonts w:hint="eastAsia" w:ascii="仿宋" w:hAnsi="仿宋" w:eastAsia="仿宋" w:cs="仿宋"/>
          <w:b/>
          <w:sz w:val="24"/>
          <w:highlight w:val="none"/>
        </w:rPr>
        <w:t xml:space="preserve">（请进行勾选）</w:t>
      </w:r>
      <w:r>
        <w:rPr>
          <w:rFonts w:hint="eastAsia" w:ascii="仿宋" w:hAnsi="仿宋" w:eastAsia="仿宋" w:cs="仿宋"/>
          <w:spacing w:val="6"/>
          <w:sz w:val="24"/>
          <w:highlight w:val="none"/>
        </w:rPr>
        <w:t xml:space="preserve">：</w:t>
      </w:r>
      <w:r/>
    </w:p>
    <w:p>
      <w:pPr>
        <w:ind w:firstLine="482"/>
        <w:spacing w:line="588" w:lineRule="exact"/>
        <w:rPr>
          <w:rFonts w:hint="eastAsia" w:ascii="仿宋" w:hAnsi="仿宋" w:eastAsia="仿宋" w:cs="仿宋"/>
          <w:b/>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不属于符合条件的残疾人福利性单位。</w:t>
      </w:r>
      <w:r/>
    </w:p>
    <w:p>
      <w:pPr>
        <w:ind w:firstLine="482"/>
        <w:spacing w:line="588" w:lineRule="exact"/>
        <w:rPr>
          <w:rFonts w:hint="eastAsia" w:ascii="仿宋" w:hAnsi="仿宋" w:eastAsia="仿宋" w:cs="仿宋"/>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属于符合条件的残疾人福利性单位，</w:t>
      </w:r>
      <w:r>
        <w:rPr>
          <w:rFonts w:hint="eastAsia" w:ascii="仿宋" w:hAnsi="仿宋" w:eastAsia="仿宋" w:cs="仿宋"/>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spacing w:val="6"/>
          <w:sz w:val="24"/>
          <w:highlight w:val="none"/>
        </w:rPr>
      </w:pPr>
      <w:r>
        <w:rPr>
          <w:rFonts w:hint="eastAsia" w:ascii="仿宋" w:hAnsi="仿宋" w:eastAsia="仿宋" w:cs="仿宋"/>
          <w:b/>
          <w:spacing w:val="6"/>
          <w:sz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单位名称（加盖公章）：</w:t>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日  期：</w:t>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jc w:val="left"/>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highlight w:val="none"/>
        </w:rPr>
        <w:t xml:space="preserve">2-3其它落实政府采购政策的资格要求</w:t>
      </w:r>
      <w:r>
        <w:rPr>
          <w:rFonts w:hint="eastAsia" w:ascii="仿宋" w:hAnsi="仿宋" w:eastAsia="仿宋" w:cs="仿宋"/>
          <w:sz w:val="24"/>
          <w:szCs w:val="20"/>
          <w:highlight w:val="none"/>
        </w:rPr>
        <w:t xml:space="preserve">（如有）</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sz w:val="24"/>
          <w:szCs w:val="20"/>
          <w:highlight w:val="none"/>
        </w:rPr>
      </w:pPr>
      <w:r>
        <w:rPr>
          <w:rFonts w:hint="eastAsia" w:ascii="仿宋" w:hAnsi="仿宋" w:eastAsia="仿宋" w:cs="仿宋"/>
          <w:sz w:val="24"/>
          <w:highlight w:val="none"/>
        </w:rPr>
        <w:br w:type="page" w:clear="all"/>
      </w:r>
      <w:r>
        <w:rPr>
          <w:rFonts w:hint="eastAsia" w:ascii="仿宋" w:hAnsi="仿宋" w:eastAsia="仿宋" w:cs="仿宋"/>
          <w:b/>
          <w:bCs/>
          <w:sz w:val="24"/>
          <w:szCs w:val="20"/>
          <w:highlight w:val="none"/>
        </w:rPr>
        <w:t xml:space="preserve">3 </w:t>
      </w:r>
      <w:r>
        <w:rPr>
          <w:rFonts w:hint="eastAsia" w:ascii="仿宋" w:hAnsi="仿宋" w:eastAsia="仿宋" w:cs="仿宋"/>
          <w:b/>
          <w:bCs/>
          <w:sz w:val="24"/>
          <w:highlight w:val="none"/>
        </w:rPr>
        <w:t xml:space="preserve">本项目的特定资格要求</w:t>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3-2其他特定资格要求</w:t>
      </w:r>
      <w:r/>
    </w:p>
    <w:p>
      <w:pPr>
        <w:ind w:left="690" w:hanging="211"/>
        <w:spacing w:line="360" w:lineRule="auto"/>
        <w:rPr>
          <w:rFonts w:hint="eastAsia" w:ascii="仿宋" w:hAnsi="仿宋" w:eastAsia="仿宋" w:cs="仿宋"/>
          <w:sz w:val="24"/>
          <w:szCs w:val="20"/>
          <w:highlight w:val="none"/>
        </w:rPr>
      </w:pPr>
      <w:r>
        <w:rPr>
          <w:rFonts w:hint="eastAsia" w:ascii="仿宋" w:hAnsi="仿宋" w:eastAsia="仿宋" w:cs="仿宋"/>
          <w:b/>
          <w:bCs/>
          <w:szCs w:val="21"/>
          <w:highlight w:val="none"/>
        </w:rPr>
        <w:t xml:space="preserve">详见采购公告要求</w:t>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center"/>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二、商务技术文件格式</w:t>
      </w:r>
      <w:bookmarkStart w:id="798" w:name="_Toc520356217"/>
      <w:r/>
      <w:bookmarkStart w:id="799" w:name="_Toc195842921"/>
      <w:r/>
      <w:bookmarkStart w:id="800" w:name="_Toc226965746"/>
      <w:r/>
      <w:bookmarkStart w:id="801" w:name="_Toc226965829"/>
      <w:r/>
      <w:bookmarkStart w:id="802" w:name="_Ref467988698"/>
      <w:r/>
      <w:bookmarkStart w:id="803" w:name="_Toc150774761"/>
      <w:r/>
      <w:bookmarkStart w:id="804" w:name="_Toc226309800"/>
      <w:r/>
      <w:bookmarkStart w:id="805" w:name="_Toc226337252"/>
      <w:r/>
      <w:bookmarkStart w:id="806" w:name="_Toc480942349"/>
      <w:r/>
      <w:bookmarkStart w:id="807" w:name="_Toc142311058"/>
      <w:r/>
      <w:bookmarkStart w:id="808" w:name="_Toc127151556"/>
      <w:r/>
      <w:bookmarkStart w:id="809" w:name="_Toc150480794"/>
      <w:r/>
      <w:r/>
    </w:p>
    <w:p>
      <w:pPr>
        <w:jc w:val="center"/>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360" w:lineRule="auto"/>
        <w:rPr>
          <w:rFonts w:hint="eastAsia" w:ascii="仿宋" w:hAnsi="仿宋" w:eastAsia="仿宋" w:cs="仿宋"/>
          <w:b/>
          <w:bCs/>
          <w:sz w:val="24"/>
          <w:szCs w:val="20"/>
          <w:highlight w:val="none"/>
        </w:rPr>
        <w:outlineLvl w:val="2"/>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仿宋" w:hAnsi="仿宋" w:eastAsia="仿宋" w:cs="仿宋"/>
          <w:b/>
          <w:bCs/>
          <w:sz w:val="24"/>
          <w:highlight w:val="none"/>
        </w:rPr>
        <w:t xml:space="preserve">函</w:t>
      </w:r>
      <w:r>
        <w:rPr>
          <w:rFonts w:hint="eastAsia" w:ascii="仿宋" w:hAnsi="仿宋" w:eastAsia="仿宋" w:cs="仿宋"/>
          <w:b/>
          <w:bCs/>
          <w:sz w:val="24"/>
          <w:szCs w:val="20"/>
          <w:highlight w:val="none"/>
        </w:rPr>
        <w:t xml:space="preserve">（实质性格式）</w:t>
      </w:r>
      <w:r/>
    </w:p>
    <w:p>
      <w:pPr>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投标函</w:t>
      </w:r>
      <w:r/>
    </w:p>
    <w:p>
      <w:pPr>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致：</w:t>
      </w:r>
      <w:r>
        <w:rPr>
          <w:rFonts w:hint="eastAsia" w:ascii="仿宋" w:hAnsi="仿宋" w:eastAsia="仿宋" w:cs="仿宋"/>
          <w:szCs w:val="21"/>
          <w:highlight w:val="none"/>
          <w:u w:val="single"/>
        </w:rPr>
        <w:t xml:space="preserve">常州国家高新技术产业开发区(新北区)卫生健康局、江苏城建校工程咨询有限公司</w:t>
      </w:r>
      <w:r/>
    </w:p>
    <w:p>
      <w:pPr>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firstLine="408"/>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我方参加你方</w:t>
      </w:r>
      <w:r>
        <w:rPr>
          <w:rFonts w:hint="eastAsia" w:ascii="仿宋" w:hAnsi="仿宋" w:eastAsia="仿宋" w:cs="仿宋"/>
          <w:sz w:val="24"/>
          <w:highlight w:val="none"/>
        </w:rPr>
        <w:t xml:space="preserve">就</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szCs w:val="20"/>
          <w:highlight w:val="none"/>
        </w:rPr>
        <w:t xml:space="preserve">组织的招标活动，并对此项目进行投标。</w:t>
      </w:r>
      <w:r/>
    </w:p>
    <w:p>
      <w:pPr>
        <w:ind w:firstLine="408"/>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 我方</w:t>
      </w:r>
      <w:r>
        <w:rPr>
          <w:rFonts w:hint="eastAsia" w:ascii="仿宋" w:hAnsi="仿宋" w:eastAsia="仿宋" w:cs="仿宋"/>
          <w:sz w:val="24"/>
          <w:highlight w:val="none"/>
        </w:rPr>
        <w:t xml:space="preserve">已详细审查全部招标文件</w:t>
      </w:r>
      <w:r>
        <w:rPr>
          <w:rFonts w:hint="eastAsia" w:ascii="仿宋" w:hAnsi="仿宋" w:eastAsia="仿宋" w:cs="仿宋"/>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（1）本投标有效期为自提交投标文件的截止之日起</w:t>
      </w:r>
      <w:r>
        <w:rPr>
          <w:rFonts w:hint="eastAsia" w:ascii="仿宋" w:hAnsi="仿宋" w:eastAsia="仿宋" w:cs="仿宋"/>
          <w:sz w:val="24"/>
          <w:highlight w:val="none"/>
        </w:rPr>
        <w:t xml:space="preserve">90</w:t>
      </w:r>
      <w:r>
        <w:rPr>
          <w:rFonts w:hint="eastAsia" w:ascii="仿宋" w:hAnsi="仿宋" w:eastAsia="仿宋" w:cs="仿宋"/>
          <w:sz w:val="24"/>
          <w:szCs w:val="20"/>
          <w:highlight w:val="none"/>
        </w:rPr>
        <w:t xml:space="preserve">个日历天。</w:t>
      </w:r>
      <w:r/>
    </w:p>
    <w:p>
      <w:pPr>
        <w:ind w:left="360" w:firstLine="72"/>
        <w:spacing w:line="360" w:lineRule="auto"/>
        <w:tabs>
          <w:tab w:val="left" w:pos="720" w:leader="none"/>
          <w:tab w:val="left" w:pos="90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 其他补充条款（如有）：</w:t>
      </w:r>
      <w:r>
        <w:rPr>
          <w:rFonts w:hint="eastAsia" w:ascii="仿宋" w:hAnsi="仿宋" w:eastAsia="仿宋" w:cs="仿宋"/>
          <w:sz w:val="24"/>
          <w:szCs w:val="20"/>
          <w:highlight w:val="none"/>
        </w:rPr>
        <w:t xml:space="preserve">___________</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与本投标有关的一切正式往来信函请寄：</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电话_________________________     电子邮箱________________________</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  </w:t>
      </w:r>
      <w:r/>
    </w:p>
    <w:p>
      <w:pPr>
        <w:ind w:left="420"/>
        <w:spacing w:line="360" w:lineRule="auto"/>
        <w:tabs>
          <w:tab w:val="left" w:pos="5580" w:leader="none"/>
        </w:tabs>
        <w:rPr>
          <w:rFonts w:hint="eastAsia" w:ascii="仿宋" w:hAnsi="仿宋" w:eastAsia="仿宋" w:cs="仿宋"/>
          <w:sz w:val="24"/>
          <w:szCs w:val="20"/>
          <w:highlight w:val="none"/>
          <w:u w:val="single"/>
        </w:rPr>
      </w:pPr>
      <w:r>
        <w:rPr>
          <w:rFonts w:hint="eastAsia" w:ascii="仿宋" w:hAnsi="仿宋" w:eastAsia="仿宋" w:cs="仿宋"/>
          <w:sz w:val="24"/>
          <w:szCs w:val="20"/>
          <w:highlight w:val="none"/>
          <w:u w:val="single"/>
        </w:rPr>
      </w:r>
      <w:r/>
    </w:p>
    <w:p>
      <w:pPr>
        <w:jc w:val="left"/>
        <w:widowControl/>
        <w:rPr>
          <w:rFonts w:hint="eastAsia" w:ascii="仿宋" w:hAnsi="仿宋" w:eastAsia="仿宋" w:cs="仿宋"/>
          <w:sz w:val="24"/>
          <w:highlight w:val="none"/>
        </w:rPr>
      </w:pPr>
      <w:r/>
      <w:bookmarkStart w:id="810" w:name="_Hlt520355938"/>
      <w:r/>
      <w:bookmarkEnd w:id="810"/>
      <w:r/>
      <w:bookmarkStart w:id="811" w:name="_Hlt520356243"/>
      <w:r/>
      <w:bookmarkEnd w:id="811"/>
      <w:r>
        <w:rPr>
          <w:rFonts w:hint="eastAsia" w:ascii="仿宋" w:hAnsi="仿宋" w:eastAsia="仿宋" w:cs="仿宋"/>
          <w:sz w:val="24"/>
          <w:highlight w:val="none"/>
        </w:rPr>
        <w:br w:type="page" w:clear="all"/>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  法定代表人资格证明书</w:t>
      </w:r>
      <w:r>
        <w:rPr>
          <w:rFonts w:hint="eastAsia" w:ascii="仿宋" w:hAnsi="仿宋" w:eastAsia="仿宋" w:cs="仿宋"/>
          <w:b/>
          <w:bCs/>
          <w:sz w:val="24"/>
          <w:szCs w:val="20"/>
          <w:highlight w:val="none"/>
        </w:rPr>
        <w:t xml:space="preserve">（实质性格式）</w:t>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法定代表人资格证明书</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系</w:t>
      </w:r>
      <w:r>
        <w:rPr>
          <w:rFonts w:hint="eastAsia" w:ascii="仿宋" w:hAnsi="仿宋" w:eastAsia="仿宋" w:cs="仿宋"/>
          <w:sz w:val="24"/>
          <w:highlight w:val="none"/>
          <w:u w:val="single"/>
        </w:rPr>
        <w:t xml:space="preserve">（投标单位名称）</w:t>
      </w:r>
      <w:r>
        <w:rPr>
          <w:rFonts w:hint="eastAsia" w:ascii="仿宋" w:hAnsi="仿宋" w:eastAsia="仿宋" w:cs="仿宋"/>
          <w:sz w:val="24"/>
          <w:highlight w:val="none"/>
        </w:rPr>
        <w:t xml:space="preserve">的法定代表人。为参与</w:t>
      </w:r>
      <w:r>
        <w:rPr>
          <w:rFonts w:hint="eastAsia" w:ascii="仿宋" w:hAnsi="仿宋" w:eastAsia="仿宋" w:cs="仿宋"/>
          <w:b/>
          <w:bCs/>
          <w:sz w:val="24"/>
          <w:highlight w:val="none"/>
          <w:u w:val="single"/>
        </w:rPr>
        <w:t xml:space="preserve">新北区人民医院项目一期气动物流设备采购 </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highlight w:val="none"/>
        </w:rPr>
        <w:t xml:space="preserve">的政府采购活动，</w:t>
      </w:r>
      <w:r>
        <w:rPr>
          <w:rFonts w:hint="eastAsia" w:ascii="仿宋" w:hAnsi="仿宋" w:eastAsia="仿宋" w:cs="仿宋"/>
          <w:sz w:val="24"/>
          <w:szCs w:val="20"/>
          <w:highlight w:val="none"/>
        </w:rPr>
        <w:t xml:space="preserve">签署、澄清确认、递交、撤回、修改</w:t>
      </w:r>
      <w:r>
        <w:rPr>
          <w:rFonts w:hint="eastAsia" w:ascii="仿宋" w:hAnsi="仿宋" w:eastAsia="仿宋" w:cs="仿宋"/>
          <w:sz w:val="24"/>
          <w:highlight w:val="none"/>
        </w:rPr>
        <w:t xml:space="preserve">上述项目的投标文件、进行合同谈判、签署合同和处理与之有关的一切事务。</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1014"/>
        <w:ind w:right="-46"/>
        <w:spacing w:line="583" w:lineRule="auto"/>
        <w:rPr>
          <w:rFonts w:hint="eastAsia" w:ascii="仿宋" w:hAnsi="仿宋" w:eastAsia="仿宋" w:cs="仿宋"/>
          <w:spacing w:val="-3"/>
          <w:highlight w:val="none"/>
        </w:rPr>
      </w:pPr>
      <w:r>
        <w:rPr>
          <w:rFonts w:hint="eastAsia" w:ascii="仿宋" w:hAnsi="仿宋" w:eastAsia="仿宋" w:cs="仿宋"/>
          <w:highlight w:val="none"/>
        </w:rPr>
        <w:t xml:space="preserve">附：</w:t>
      </w:r>
      <w:r>
        <w:rPr>
          <w:rFonts w:hint="eastAsia" w:ascii="仿宋" w:hAnsi="仿宋" w:eastAsia="仿宋" w:cs="仿宋"/>
          <w:spacing w:val="-3"/>
          <w:highlight w:val="none"/>
        </w:rPr>
        <w:t xml:space="preserve">法</w:t>
      </w:r>
      <w:r>
        <w:rPr>
          <w:rFonts w:hint="eastAsia" w:ascii="仿宋" w:hAnsi="仿宋" w:eastAsia="仿宋" w:cs="仿宋"/>
          <w:highlight w:val="none"/>
        </w:rPr>
        <w:t xml:space="preserve">定</w:t>
      </w:r>
      <w:r>
        <w:rPr>
          <w:rFonts w:hint="eastAsia" w:ascii="仿宋" w:hAnsi="仿宋" w:eastAsia="仿宋" w:cs="仿宋"/>
          <w:spacing w:val="-3"/>
          <w:highlight w:val="none"/>
        </w:rPr>
        <w:t xml:space="preserve">代</w:t>
      </w:r>
      <w:r>
        <w:rPr>
          <w:rFonts w:hint="eastAsia" w:ascii="仿宋" w:hAnsi="仿宋" w:eastAsia="仿宋" w:cs="仿宋"/>
          <w:highlight w:val="none"/>
        </w:rPr>
        <w:t xml:space="preserve">表</w:t>
      </w:r>
      <w:r>
        <w:rPr>
          <w:rFonts w:hint="eastAsia" w:ascii="仿宋" w:hAnsi="仿宋" w:eastAsia="仿宋" w:cs="仿宋"/>
          <w:spacing w:val="-3"/>
          <w:highlight w:val="none"/>
        </w:rPr>
        <w:t xml:space="preserve">人</w:t>
      </w:r>
      <w:r>
        <w:rPr>
          <w:rFonts w:hint="eastAsia" w:ascii="仿宋" w:hAnsi="仿宋" w:eastAsia="仿宋" w:cs="仿宋"/>
          <w:highlight w:val="none"/>
        </w:rPr>
        <w:t xml:space="preserve">（</w:t>
      </w:r>
      <w:r>
        <w:rPr>
          <w:rFonts w:hint="eastAsia" w:ascii="仿宋" w:hAnsi="仿宋" w:eastAsia="仿宋" w:cs="仿宋"/>
          <w:spacing w:val="-3"/>
          <w:highlight w:val="none"/>
        </w:rPr>
        <w:t xml:space="preserve">单</w:t>
      </w:r>
      <w:r>
        <w:rPr>
          <w:rFonts w:hint="eastAsia" w:ascii="仿宋" w:hAnsi="仿宋" w:eastAsia="仿宋" w:cs="仿宋"/>
          <w:highlight w:val="none"/>
        </w:rPr>
        <w:t xml:space="preserve">位</w:t>
      </w:r>
      <w:r>
        <w:rPr>
          <w:rFonts w:hint="eastAsia" w:ascii="仿宋" w:hAnsi="仿宋" w:eastAsia="仿宋" w:cs="仿宋"/>
          <w:spacing w:val="-3"/>
          <w:highlight w:val="none"/>
        </w:rPr>
        <w:t xml:space="preserve">负</w:t>
      </w:r>
      <w:r>
        <w:rPr>
          <w:rFonts w:hint="eastAsia" w:ascii="仿宋" w:hAnsi="仿宋" w:eastAsia="仿宋" w:cs="仿宋"/>
          <w:highlight w:val="none"/>
        </w:rPr>
        <w:t xml:space="preserve">责人</w:t>
      </w:r>
      <w:r>
        <w:rPr>
          <w:rFonts w:hint="eastAsia" w:ascii="仿宋" w:hAnsi="仿宋" w:eastAsia="仿宋" w:cs="仿宋"/>
          <w:spacing w:val="-3"/>
          <w:highlight w:val="none"/>
        </w:rPr>
        <w:t xml:space="preserve">）有效期内的身份证正反面扫描件加盖公章。</w:t>
      </w:r>
      <w:r/>
    </w:p>
    <w:tbl>
      <w:tblPr>
        <w:tblStyle w:val="100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tc>
        <w:tc>
          <w:tcPr>
            <w:tcW w:w="4536" w:type="dxa"/>
            <w:textDirection w:val="lrTb"/>
            <w:noWrap w:val="false"/>
          </w:tcPr>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tc>
      </w:tr>
    </w:tbl>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812" w:name="_Hlk107701949"/>
      <w:r>
        <w:rPr>
          <w:rFonts w:hint="eastAsia" w:ascii="仿宋" w:hAnsi="仿宋" w:eastAsia="仿宋" w:cs="仿宋"/>
          <w:sz w:val="24"/>
          <w:highlight w:val="none"/>
        </w:rPr>
        <w:t xml:space="preserve">    供应商：（加盖公章）</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bookmarkEnd w:id="812"/>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说明：</w:t>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仿宋" w:hAnsi="仿宋" w:eastAsia="仿宋" w:cs="仿宋"/>
          <w:i/>
          <w:sz w:val="24"/>
          <w:szCs w:val="20"/>
          <w:highlight w:val="none"/>
          <w:u w:val="single"/>
        </w:rPr>
      </w:pPr>
      <w:r>
        <w:rPr>
          <w:rFonts w:hint="eastAsia" w:ascii="仿宋" w:hAnsi="仿宋" w:eastAsia="仿宋" w:cs="仿宋"/>
          <w:sz w:val="24"/>
          <w:szCs w:val="20"/>
          <w:highlight w:val="none"/>
        </w:rPr>
        <w:t xml:space="preserve">2.供应商为自然人的情形，可不提供本《授权委托书》。</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562"/>
        <w:jc w:val="center"/>
        <w:spacing w:before="240" w:after="24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 xml:space="preserve">法定代表人授权委托书</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法定代表人（或非法人组织负责人）姓名：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住所地：</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授权委托人姓名：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工作单位：</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住址：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现委托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就</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highlight w:val="none"/>
        </w:rPr>
        <w:t xml:space="preserve">采购活动，以我单位名义处理一切与之有关的事务。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本授权书于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日签字或盖章</w:t>
      </w:r>
      <w:r>
        <w:rPr>
          <w:rFonts w:hint="eastAsia" w:ascii="仿宋" w:hAnsi="仿宋" w:eastAsia="仿宋" w:cs="仿宋"/>
          <w:b/>
          <w:sz w:val="24"/>
          <w:highlight w:val="none"/>
        </w:rPr>
        <w:t xml:space="preserve">生效，无转委托，</w:t>
      </w:r>
      <w:r>
        <w:rPr>
          <w:rFonts w:hint="eastAsia" w:ascii="仿宋" w:hAnsi="仿宋" w:eastAsia="仿宋" w:cs="仿宋"/>
          <w:sz w:val="24"/>
          <w:highlight w:val="none"/>
        </w:rPr>
        <w:t xml:space="preserve">特此声明。</w:t>
      </w:r>
      <w:r/>
    </w:p>
    <w:tbl>
      <w:tblPr>
        <w:tblStyle w:val="10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jc w:val="center"/>
          <w:trHeight w:val="3520"/>
        </w:trPr>
        <w:tc>
          <w:tcPr>
            <w:tcW w:w="8228" w:type="dxa"/>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（※授权委托人身份证正、反面扫描件※）</w:t>
            </w:r>
            <w:r/>
          </w:p>
        </w:tc>
      </w:tr>
    </w:tbl>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委托人（加盖单位公章）：</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法定代表人（或非法人组织负责人）（签字或盖章）：</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授权委托人：（签字或盖章）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详细通讯地址：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邮政编码 ：</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传        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    话：</w:t>
      </w:r>
      <w:r>
        <w:rPr>
          <w:rFonts w:hint="eastAsia" w:ascii="仿宋" w:hAnsi="仿宋" w:eastAsia="仿宋" w:cs="仿宋"/>
          <w:sz w:val="24"/>
          <w:highlight w:val="none"/>
          <w:u w:val="single"/>
        </w:rPr>
        <w:t xml:space="preserve">              </w:t>
      </w:r>
      <w:r/>
    </w:p>
    <w:p>
      <w:pPr>
        <w:ind w:firstLine="480"/>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日        期：</w:t>
      </w:r>
      <w:r>
        <w:rPr>
          <w:rFonts w:hint="eastAsia" w:ascii="仿宋" w:hAnsi="仿宋" w:eastAsia="仿宋" w:cs="仿宋"/>
          <w:sz w:val="24"/>
          <w:highlight w:val="none"/>
          <w:u w:val="single"/>
        </w:rPr>
        <w:t xml:space="preserve">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3</w:t>
      </w:r>
      <w:r>
        <w:rPr>
          <w:rFonts w:hint="eastAsia" w:ascii="仿宋" w:hAnsi="仿宋" w:eastAsia="仿宋" w:cs="仿宋"/>
          <w:b/>
          <w:bCs/>
          <w:sz w:val="24"/>
          <w:highlight w:val="none"/>
        </w:rPr>
        <w:t xml:space="preserve">政府采购供应商信用承诺书</w:t>
      </w:r>
      <w:r>
        <w:rPr>
          <w:rFonts w:hint="eastAsia" w:ascii="仿宋" w:hAnsi="仿宋" w:eastAsia="仿宋" w:cs="仿宋"/>
          <w:b/>
          <w:bCs/>
          <w:sz w:val="24"/>
          <w:szCs w:val="20"/>
          <w:highlight w:val="none"/>
        </w:rPr>
        <w:t xml:space="preserve">（实质性格式）</w:t>
      </w:r>
      <w:r/>
    </w:p>
    <w:p>
      <w:pPr>
        <w:ind w:firstLine="321"/>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政府采购供应商信用承诺书</w:t>
      </w:r>
      <w:r/>
    </w:p>
    <w:p>
      <w:pPr>
        <w:ind w:firstLine="640"/>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五、承诺本单位自觉接受行政管理部门、行业组织、社会公众、新闻舆论的监督。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七、承诺本单位在信用中国（江苏）网站中无违法违规、较重或严重失信记录。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八、承诺本单位提出政府采购质疑和投诉坚持依法依规、诚实信用原则。</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九、根据政府采购相关法律法规的规定需要作出的其他承诺。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十一、承诺本单位同意将以上承诺事项上网公示，违背承诺约定行为将作为失信信息，记录到常州市公共信用信息系统，并予以公开。</w:t>
      </w:r>
      <w:r/>
    </w:p>
    <w:p>
      <w:pPr>
        <w:pStyle w:val="1404"/>
        <w:ind w:right="1050" w:firstLine="2520"/>
        <w:jc w:val="both"/>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830"/>
        <w:spacing w:line="360" w:lineRule="auto"/>
        <w:rPr>
          <w:rFonts w:hint="eastAsia" w:ascii="仿宋" w:hAnsi="仿宋" w:eastAsia="仿宋" w:cs="仿宋"/>
          <w:szCs w:val="21"/>
          <w:highlight w:val="none"/>
        </w:rPr>
      </w:pPr>
      <w:r/>
      <w:bookmarkStart w:id="813" w:name="_Hlt520343392"/>
      <w:r/>
      <w:bookmarkEnd w:id="813"/>
      <w:r/>
      <w:bookmarkStart w:id="814" w:name="_Hlt520274065"/>
      <w:r/>
      <w:bookmarkEnd w:id="814"/>
      <w:r/>
      <w:bookmarkStart w:id="815" w:name="_Hlt520343000"/>
      <w:r/>
      <w:bookmarkEnd w:id="815"/>
      <w:r/>
      <w:bookmarkStart w:id="816" w:name="_Hlt520274393"/>
      <w:r/>
      <w:bookmarkEnd w:id="816"/>
      <w:r/>
      <w:bookmarkStart w:id="817" w:name="_Hlt520355504"/>
      <w:r/>
      <w:bookmarkEnd w:id="817"/>
      <w:r/>
      <w:bookmarkStart w:id="818" w:name="_Hlt520350918"/>
      <w:r/>
      <w:bookmarkEnd w:id="818"/>
      <w:r/>
      <w:bookmarkStart w:id="819" w:name="_Hlt520271212"/>
      <w:r/>
      <w:bookmarkEnd w:id="819"/>
      <w:r/>
      <w:bookmarkStart w:id="820" w:name="_Hlt520274121"/>
      <w:r/>
      <w:bookmarkEnd w:id="820"/>
      <w:r/>
      <w:bookmarkStart w:id="821" w:name="_Hlt520273711"/>
      <w:r/>
      <w:bookmarkEnd w:id="821"/>
      <w:r/>
      <w:bookmarkStart w:id="822" w:name="_Hlt520274407"/>
      <w:r/>
      <w:bookmarkEnd w:id="822"/>
      <w:r/>
      <w:bookmarkStart w:id="823" w:name="_Hlk107701995"/>
      <w:r/>
      <w:bookmarkStart w:id="824" w:name="_Ref467988705"/>
      <w:r/>
      <w:bookmarkStart w:id="825" w:name="_Toc226309801"/>
      <w:r/>
      <w:bookmarkStart w:id="826" w:name="_Toc480942350"/>
      <w:r/>
      <w:bookmarkStart w:id="827" w:name="_Toc195842922"/>
      <w:r/>
      <w:bookmarkStart w:id="828" w:name="_Toc150774762"/>
      <w:r/>
      <w:bookmarkStart w:id="829" w:name="_Toc305158825"/>
      <w:r/>
      <w:bookmarkStart w:id="830" w:name="_Toc264969247"/>
      <w:r/>
      <w:bookmarkStart w:id="831" w:name="_Toc265228395"/>
      <w:r/>
      <w:bookmarkStart w:id="832" w:name="_Toc142311059"/>
      <w:r/>
      <w:bookmarkStart w:id="833" w:name="_Toc226965747"/>
      <w:r/>
      <w:bookmarkStart w:id="834" w:name="_Toc305158899"/>
      <w:r/>
      <w:bookmarkStart w:id="835" w:name="_Toc127151557"/>
      <w:r/>
      <w:bookmarkStart w:id="836" w:name="_Toc150480795"/>
      <w:r/>
      <w:bookmarkStart w:id="837" w:name="_Toc226337253"/>
      <w:r/>
      <w:bookmarkStart w:id="838" w:name="_Toc226965830"/>
      <w:r/>
      <w:bookmarkStart w:id="839" w:name="_Toc520356218"/>
      <w:r>
        <w:rPr>
          <w:rFonts w:hint="eastAsia" w:ascii="仿宋" w:hAnsi="仿宋" w:eastAsia="仿宋" w:cs="仿宋"/>
          <w:szCs w:val="21"/>
          <w:highlight w:val="none"/>
        </w:rPr>
        <w:t xml:space="preserve">供应商：（加盖公章）</w:t>
      </w:r>
      <w:r/>
    </w:p>
    <w:p>
      <w:pPr>
        <w:ind w:firstLine="480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83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日期：    年    月    日</w:t>
      </w:r>
      <w:r/>
    </w:p>
    <w:p>
      <w:pPr>
        <w:jc w:val="left"/>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bookmarkEnd w:id="823"/>
      <w:r>
        <w:rPr>
          <w:rFonts w:hint="eastAsia" w:ascii="仿宋" w:hAnsi="仿宋" w:eastAsia="仿宋" w:cs="仿宋"/>
          <w:sz w:val="24"/>
          <w:szCs w:val="20"/>
          <w:highlight w:val="none"/>
        </w:rPr>
        <w:t xml:space="preserve">4  开标一览表</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仿宋" w:hAnsi="仿宋" w:eastAsia="仿宋" w:cs="仿宋"/>
          <w:sz w:val="24"/>
          <w:szCs w:val="20"/>
          <w:highlight w:val="none"/>
        </w:rPr>
        <w:t xml:space="preserve">（实质性格式）</w:t>
      </w:r>
      <w:r/>
    </w:p>
    <w:p>
      <w:pPr>
        <w:jc w:val="center"/>
        <w:spacing w:line="360" w:lineRule="exact"/>
        <w:rPr>
          <w:rFonts w:hint="eastAsia" w:ascii="仿宋" w:hAnsi="仿宋" w:eastAsia="仿宋" w:cs="仿宋"/>
          <w:b/>
          <w:sz w:val="36"/>
          <w:szCs w:val="36"/>
          <w:highlight w:val="none"/>
        </w:rPr>
      </w:pPr>
      <w:r/>
      <w:bookmarkStart w:id="840" w:name="_Toc226965831"/>
      <w:r/>
      <w:bookmarkStart w:id="841" w:name="_Toc265228396"/>
      <w:r/>
      <w:bookmarkStart w:id="842" w:name="_Toc226337254"/>
      <w:r/>
      <w:bookmarkStart w:id="843" w:name="_Toc305158826"/>
      <w:r/>
      <w:bookmarkStart w:id="844" w:name="_Toc226309802"/>
      <w:r/>
      <w:bookmarkStart w:id="845" w:name="_Toc226965748"/>
      <w:r/>
      <w:bookmarkStart w:id="846" w:name="_Toc264969248"/>
      <w:r/>
      <w:bookmarkStart w:id="847" w:name="_Toc164608827"/>
      <w:r/>
      <w:bookmarkStart w:id="848" w:name="_Toc305158900"/>
      <w:r/>
      <w:bookmarkStart w:id="849" w:name="_Toc195842923"/>
      <w:r/>
      <w:bookmarkStart w:id="850" w:name="_Toc164608672"/>
      <w:r/>
      <w:r/>
    </w:p>
    <w:p>
      <w:pPr>
        <w:jc w:val="center"/>
        <w:spacing w:line="3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开标一览表</w:t>
      </w:r>
      <w:bookmarkEnd w:id="840"/>
      <w:r/>
      <w:bookmarkEnd w:id="841"/>
      <w:r/>
      <w:bookmarkEnd w:id="842"/>
      <w:r/>
      <w:bookmarkEnd w:id="843"/>
      <w:r/>
      <w:bookmarkEnd w:id="844"/>
      <w:r/>
      <w:bookmarkEnd w:id="845"/>
      <w:r/>
      <w:bookmarkEnd w:id="846"/>
      <w:r/>
      <w:bookmarkEnd w:id="847"/>
      <w:r/>
      <w:bookmarkEnd w:id="848"/>
      <w:r/>
      <w:bookmarkEnd w:id="849"/>
      <w:r/>
      <w:bookmarkEnd w:id="850"/>
      <w:r/>
      <w:r/>
    </w:p>
    <w:p>
      <w:pPr>
        <w:ind w:firstLine="240"/>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007"/>
        <w:tblW w:w="9360" w:type="dxa"/>
        <w:tblInd w:w="96" w:type="dxa"/>
        <w:tblLayout w:type="autofit"/>
        <w:tblCellMar>
          <w:left w:w="108" w:type="dxa"/>
          <w:top w:w="0" w:type="dxa"/>
          <w:right w:w="108" w:type="dxa"/>
          <w:bottom w:w="0" w:type="dxa"/>
        </w:tblCellMar>
        <w:tblLook w:val="04A0" w:firstRow="1" w:lastRow="0" w:firstColumn="1" w:lastColumn="0" w:noHBand="0" w:noVBand="1"/>
      </w:tblPr>
      <w:tblGrid>
        <w:gridCol w:w="1160"/>
        <w:gridCol w:w="2140"/>
        <w:gridCol w:w="2000"/>
        <w:gridCol w:w="1920"/>
        <w:gridCol w:w="2140"/>
      </w:tblGrid>
      <w:tr>
        <w:trPr>
          <w:trHeight w:val="10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项目名称</w:t>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站点平均综合单价（元）</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站点数</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投标总价（元）</w:t>
            </w:r>
            <w:r/>
          </w:p>
        </w:tc>
      </w:tr>
      <w:tr>
        <w:trPr>
          <w:trHeight w:val="1260"/>
        </w:trPr>
        <w:tc>
          <w:tcPr>
            <w:tcBorders>
              <w:top w:val="non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tcBorders>
              <w:top w:val="non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新北区人民医院项目一期气动物流设备采购</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r>
      <w:tr>
        <w:trPr>
          <w:trHeight w:val="792"/>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项目负责人</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税率</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r>
    </w:tbl>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tabs>
          <w:tab w:val="left" w:pos="5580" w:leader="none"/>
        </w:tabs>
        <w:rPr>
          <w:rFonts w:hint="eastAsia" w:ascii="仿宋" w:hAnsi="仿宋" w:eastAsia="仿宋" w:cs="仿宋"/>
          <w:b/>
          <w:bCs/>
          <w:szCs w:val="21"/>
          <w:highlight w:val="none"/>
        </w:rPr>
      </w:pPr>
      <w:r>
        <w:rPr>
          <w:rFonts w:hint="eastAsia" w:ascii="仿宋" w:hAnsi="仿宋" w:eastAsia="仿宋" w:cs="仿宋"/>
          <w:sz w:val="24"/>
          <w:highlight w:val="none"/>
        </w:rPr>
        <w:t xml:space="preserve">注：</w:t>
      </w:r>
      <w:r>
        <w:rPr>
          <w:rFonts w:hint="eastAsia" w:ascii="仿宋" w:hAnsi="仿宋" w:eastAsia="仿宋" w:cs="仿宋"/>
          <w:b/>
          <w:bCs/>
          <w:szCs w:val="21"/>
          <w:highlight w:val="none"/>
        </w:rPr>
        <w:t xml:space="preserve">投标报价不得高于最高限价，否则将作为无效投标。</w:t>
      </w:r>
      <w:r/>
    </w:p>
    <w:p>
      <w:pPr>
        <w:spacing w:before="25" w:after="25"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                        </w:t>
      </w:r>
      <w:r/>
    </w:p>
    <w:p>
      <w:pPr>
        <w:jc w:val="left"/>
        <w:spacing w:line="480" w:lineRule="auto"/>
        <w:widowControl/>
        <w:rPr>
          <w:rFonts w:hint="eastAsia" w:ascii="仿宋" w:hAnsi="仿宋" w:eastAsia="仿宋" w:cs="仿宋"/>
          <w:sz w:val="24"/>
          <w:highlight w:val="none"/>
        </w:rPr>
      </w:pPr>
      <w:r/>
      <w:bookmarkStart w:id="851" w:name="_Toc226337255"/>
      <w:r/>
      <w:bookmarkStart w:id="852" w:name="_Toc195842924"/>
      <w:r/>
      <w:bookmarkStart w:id="853" w:name="_Toc150480796"/>
      <w:r/>
      <w:bookmarkStart w:id="854" w:name="_Toc226965749"/>
      <w:r/>
      <w:bookmarkStart w:id="855" w:name="_Toc265228397"/>
      <w:r/>
      <w:bookmarkStart w:id="856" w:name="_Toc264969249"/>
      <w:r/>
      <w:bookmarkStart w:id="857" w:name="_Toc226965832"/>
      <w:r/>
      <w:bookmarkStart w:id="858" w:name="_Toc226309803"/>
      <w:r/>
      <w:bookmarkStart w:id="859" w:name="_Toc305158827"/>
      <w:r/>
      <w:bookmarkStart w:id="860" w:name="_Toc305158901"/>
      <w:r/>
      <w:bookmarkStart w:id="861" w:name="_Toc150774763"/>
      <w:r/>
      <w:bookmarkStart w:id="862" w:name="_Toc142311060"/>
      <w:r/>
      <w:bookmarkStart w:id="863" w:name="_Toc127151558"/>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pStyle w:val="1014"/>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14"/>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rPr>
        <w:br w:type="page" w:clear="all"/>
      </w:r>
      <w:bookmarkStart w:id="864" w:name="_Hlk109125662"/>
      <w:r>
        <w:rPr>
          <w:rFonts w:hint="eastAsia" w:ascii="仿宋" w:hAnsi="仿宋" w:eastAsia="仿宋" w:cs="仿宋"/>
          <w:b/>
          <w:bCs/>
          <w:sz w:val="28"/>
          <w:szCs w:val="28"/>
          <w:highlight w:val="none"/>
        </w:rPr>
        <w:t xml:space="preserve">投标分项报价表（实质性格式）</w:t>
      </w:r>
      <w:bookmarkEnd w:id="864"/>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投标分项报价表</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p>
      <w:pPr>
        <w:jc w:val="right"/>
        <w:spacing w:line="360" w:lineRule="auto"/>
        <w:tabs>
          <w:tab w:val="left" w:pos="1800" w:leader="none"/>
          <w:tab w:val="left" w:pos="558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报价单位：元</w:t>
      </w:r>
      <w:r/>
    </w:p>
    <w:tbl>
      <w:tblPr>
        <w:tblStyle w:val="1007"/>
        <w:tblW w:w="4982" w:type="pct"/>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282"/>
        <w:gridCol w:w="4462"/>
        <w:gridCol w:w="576"/>
        <w:gridCol w:w="578"/>
        <w:gridCol w:w="694"/>
        <w:gridCol w:w="733"/>
        <w:gridCol w:w="855"/>
      </w:tblGrid>
      <w:tr>
        <w:trPr>
          <w:trHeight w:val="330"/>
          <w:tblHeader/>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t xml:space="preserve">含税单价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t xml:space="preserve">含税合价</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rPr>
              <w:t xml:space="preserve">品牌和生产厂商</w:t>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硬件部分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传送瓶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1.内径 ≥120mm，长度≥350mm；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2.传输瓶最大载重量不小于5Kg；</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3.传输瓶在运行过程中的噪音小于45dB；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4.传输瓶两端为双旋盖及密封毡圈或翻盖及机械锁扣或侧面开启；</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5.传输瓶需密闭性保证，传输过程不破裂。</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9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★智能化站点（核心产品）</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1.采用前置式或上置式站点；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2.自动识别传输瓶，防异物进入；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4.具备身份校验功能，防止人员发生误触；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5.可修改本次任务传输速度和优先级；</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6.可设置工作时段，在设定时间段内站点正常工作；</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7.可禁用或启用本站点；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8.具备发送等待超时功能，时间可设定，超时语音提醒；</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9.具备全局地址簿和热键设置，支持一键发送；</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10.站点可显示系统运行状况；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11.定位控制采用非机械接触式传感器电子智能定位；</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12.各站点供电条件满足需求使用。</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仿宋" w:hAnsi="仿宋" w:eastAsia="仿宋" w:cs="仿宋"/>
                <w:szCs w:val="21"/>
                <w:highlight w:val="none"/>
                <w:lang w:val="en-US" w:eastAsia="zh-CN"/>
              </w:rPr>
            </w:pPr>
            <w:r>
              <w:rPr>
                <w:rFonts w:hint="eastAsia" w:ascii="仿宋" w:hAnsi="仿宋" w:eastAsia="仿宋" w:cs="仿宋"/>
                <w:color w:val="ff0000"/>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1.配置载物筐，内有软垫；</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2.配置传输瓶支架。</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color w:val="ff0000"/>
                <w:szCs w:val="21"/>
                <w:highlight w:val="none"/>
                <w:lang w:val="en-US" w:eastAsia="zh-CN"/>
              </w:rPr>
              <w:t xml:space="preserve">检验科多发及多收站点</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1.多收站点用于频繁接收的检验科使用；</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2.多收站点满足检验科使用需求的平台滑轨；</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3.多收站点采用≥10英寸彩色液晶触摸屏；</w:t>
            </w:r>
            <w:r/>
          </w:p>
          <w:p>
            <w:pPr>
              <w:jc w:val="left"/>
              <w:widowControl/>
              <w:rPr>
                <w:rFonts w:hint="eastAsia"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 xml:space="preserve">4.多收站点可以同时存放4个瓶子；</w:t>
            </w:r>
            <w:r/>
          </w:p>
          <w:p>
            <w:pPr>
              <w:jc w:val="left"/>
              <w:widowControl/>
              <w:rPr>
                <w:rFonts w:hint="eastAsia" w:ascii="仿宋" w:hAnsi="仿宋" w:eastAsia="仿宋" w:cs="仿宋"/>
                <w:szCs w:val="21"/>
                <w:highlight w:val="none"/>
              </w:rPr>
            </w:pPr>
            <w:r>
              <w:rPr>
                <w:rFonts w:hint="eastAsia" w:ascii="仿宋" w:hAnsi="仿宋" w:eastAsia="仿宋" w:cs="仿宋"/>
                <w:color w:val="ff0000"/>
                <w:szCs w:val="21"/>
                <w:highlight w:val="none"/>
                <w:lang w:val="en-US" w:eastAsia="zh-CN"/>
              </w:rPr>
              <w:t xml:space="preserve">5.多发站点投放口可一次性放置并传输不少于3个不同目的地传输瓶。</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color w:val="ff0000"/>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动力系统</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1.风机电源为三相AC380V，由变频器控制；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2.配置风机减振支架，运行噪音≤70db；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3.提供专用过滤器，可防止异物进入；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4.站点使用启动停止有缓冲，平稳接收；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5.最大传输速度为8m/s，半速2-3m/s（可手动或由系统自动选择）。</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传输管道</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不锈钢直管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99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不锈钢弯管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2.管道外径为159mm，管壁厚不小于2mm；弯管的转弯半径不小于800mm；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9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密封件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1.配套直管及弯管使用</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1.可在系统内由一主通道分支为三条通道；</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2.预留可预见的系统扩展接口；</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3.密封材料为特氟隆制成；</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4.外壳碳钢，表面喷涂；</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5.可远程查看状态，远程控制。</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控制部分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系统控制电缆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1.电缆线专用，不与任何主电源直接连接；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2.电缆线本身需有屏蔽措施以防止受外界电磁干扰。</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主控电源</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1.采用分部供电，集中控制，直流电源输入电压允许范围110-240VAC，50/60Hz；输出电压为≤36Vdc；</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2.电源为电子开关电源，具有防雷击、防杂波、防输出短路保护功能；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3.电源最远可传输1500米以上。</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408"/>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系统控制软件及硬件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1.控制软件基于windows操作系统，包括气动物流调度监控平台与气动物流信息数据平台；</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2.可实时显示当前任务状态变化，实时显示当前任务消耗的时间；</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3.任务分时段统计分析，具备当天任务统计、周任务统计、月任务统计等功能；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4.统计分析当天24小时和当月30天任务执行排布情况，并绘制运力分析统计曲线图；统计分析当日每个科室的发瓶情况，并绘制柱状图；</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5.将传输任务按子系统和路径节点拆分成若干个子路径，并分段执行，可以在监控电脑上查询每段子路径的执行情况；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6.任务执行超过设置的时间周期时，监控软件会在界面上以文字、颜色变化和弹框进行提醒，并发送短信给相关运维人员；</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7.可绑定传输瓶与科室的对应关系，当站点识别到传输瓶编号后，无需选择接收科室，自动生成传输任务将传输瓶发回到绑定的科室；</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8.设备状态监控可显示站点、三向转换器、风机、转换中心的总数及异常数量，气动管道总长度；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9.可与消防信号进行联动，当接收到消防异常信号时可关闭服务并暂停调度任务；</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10.与医院运维大数据平台进行数据对接，将物流相关信息全部可以展示在医院运维大数据平台。仅作数据提供，不做二次开发；</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98"/>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542"/>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1748"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542"/>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备注</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站点平均综合单价</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（合计金额/16站点）</w:t>
            </w:r>
            <w:r/>
          </w:p>
        </w:tc>
        <w:tc>
          <w:tcPr>
            <w:gridSpan w:val="5"/>
            <w:tcBorders>
              <w:top w:val="single" w:color="000000" w:sz="4" w:space="0"/>
              <w:left w:val="single" w:color="000000" w:sz="4" w:space="0"/>
              <w:bottom w:val="single" w:color="000000" w:sz="4" w:space="0"/>
              <w:right w:val="single" w:color="000000" w:sz="4" w:space="0"/>
            </w:tcBorders>
            <w:tcW w:w="1748"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bl>
    <w:p>
      <w:pPr>
        <w:jc w:val="left"/>
        <w:spacing w:line="360" w:lineRule="auto"/>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r>
      <w:r/>
    </w:p>
    <w:p>
      <w:pPr>
        <w:pStyle w:val="1335"/>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w:t>
      </w:r>
      <w:r/>
    </w:p>
    <w:p>
      <w:pPr>
        <w:pStyle w:val="1335"/>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1.应在分项报价表中明确品牌和生产厂商。</w:t>
      </w:r>
      <w:r/>
    </w:p>
    <w:p>
      <w:pPr>
        <w:pStyle w:val="1335"/>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2.《投标分项报价表》的总价合计金额必须与《开标一览表》中的投标总价一致。</w:t>
      </w:r>
      <w:r/>
    </w:p>
    <w:p>
      <w:pPr>
        <w:pStyle w:val="1335"/>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3.如果不提供分项报价将视为没有实质性响应招标文件。</w:t>
      </w:r>
      <w:r/>
    </w:p>
    <w:p>
      <w:pPr>
        <w:pStyle w:val="1335"/>
        <w:spacing w:line="360" w:lineRule="auto"/>
        <w:rPr>
          <w:rFonts w:hint="eastAsia" w:ascii="仿宋" w:hAnsi="仿宋" w:eastAsia="仿宋" w:cs="仿宋"/>
          <w:color w:val="auto"/>
          <w:highlight w:val="none"/>
        </w:rPr>
      </w:pPr>
      <w:r>
        <w:rPr>
          <w:rFonts w:hint="eastAsia" w:ascii="仿宋" w:hAnsi="仿宋" w:eastAsia="仿宋" w:cs="仿宋"/>
          <w:b/>
          <w:bCs/>
          <w:color w:val="auto"/>
          <w:sz w:val="21"/>
          <w:szCs w:val="21"/>
          <w:highlight w:val="none"/>
        </w:rPr>
        <w:t xml:space="preserve">4.</w:t>
      </w:r>
      <w:r>
        <w:rPr>
          <w:rFonts w:hint="eastAsia" w:ascii="仿宋" w:hAnsi="仿宋" w:eastAsia="仿宋" w:cs="仿宋"/>
          <w:b/>
          <w:color w:val="auto"/>
          <w:sz w:val="21"/>
          <w:szCs w:val="21"/>
          <w:highlight w:val="none"/>
        </w:rPr>
        <w:t xml:space="preserve">设备配置需满足招标文件对于物流系统的功能要求，供应商为确保本项目物流系统功能及验收的需要可自行调整清单，但须包含以上内容；自行调整的设备及配件等应包含在投标总价中，调整的设备及配件等需列出明细。</w:t>
      </w:r>
      <w:r/>
    </w:p>
    <w:p>
      <w:pPr>
        <w:pStyle w:val="133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335"/>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供应商：（加盖公章）</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法定代表人（或单位负责人）签字或盖章：</w:t>
      </w:r>
      <w:r/>
    </w:p>
    <w:p>
      <w:pPr>
        <w:jc w:val="left"/>
        <w:spacing w:line="480" w:lineRule="auto"/>
        <w:widowControl/>
        <w:rPr>
          <w:rFonts w:hint="eastAsia" w:ascii="仿宋" w:hAnsi="仿宋" w:eastAsia="仿宋" w:cs="仿宋"/>
          <w:sz w:val="24"/>
          <w:szCs w:val="20"/>
          <w:highlight w:val="none"/>
        </w:rPr>
      </w:pPr>
      <w:r>
        <w:rPr>
          <w:rFonts w:hint="eastAsia" w:ascii="仿宋" w:hAnsi="仿宋" w:eastAsia="仿宋" w:cs="仿宋"/>
          <w:szCs w:val="21"/>
          <w:highlight w:val="none"/>
        </w:rPr>
        <w:t xml:space="preserve">日期：    年    月    日</w:t>
      </w:r>
      <w:r>
        <w:rPr>
          <w:rFonts w:hint="eastAsia" w:ascii="仿宋" w:hAnsi="仿宋" w:eastAsia="仿宋" w:cs="仿宋"/>
          <w:b/>
          <w:bCs/>
          <w:sz w:val="32"/>
          <w:szCs w:val="32"/>
          <w:highlight w:val="none"/>
        </w:rPr>
        <w:br w:type="page" w:clear="all"/>
      </w:r>
      <w:r>
        <w:rPr>
          <w:rFonts w:hint="eastAsia" w:ascii="仿宋" w:hAnsi="仿宋" w:eastAsia="仿宋" w:cs="仿宋"/>
          <w:sz w:val="24"/>
          <w:szCs w:val="20"/>
          <w:highlight w:val="none"/>
        </w:rPr>
        <w:t xml:space="preserve">5</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Start w:id="865" w:name="_Toc305158904"/>
      <w:r/>
      <w:bookmarkStart w:id="866" w:name="_Toc226337258"/>
      <w:r/>
      <w:bookmarkStart w:id="867" w:name="_Toc264969252"/>
      <w:r/>
      <w:bookmarkStart w:id="868" w:name="_Toc127151562"/>
      <w:r/>
      <w:bookmarkStart w:id="869" w:name="_Toc142311062"/>
      <w:r/>
      <w:bookmarkStart w:id="870" w:name="_Toc226965752"/>
      <w:r/>
      <w:bookmarkStart w:id="871" w:name="_Toc195842927"/>
      <w:r/>
      <w:bookmarkStart w:id="872" w:name="_Toc305158830"/>
      <w:r/>
      <w:bookmarkStart w:id="873" w:name="_Toc226309806"/>
      <w:r/>
      <w:bookmarkStart w:id="874" w:name="_Toc226965835"/>
      <w:r/>
      <w:bookmarkStart w:id="875" w:name="_Toc150480798"/>
      <w:r/>
      <w:bookmarkStart w:id="876" w:name="_Toc265228400"/>
      <w:r/>
      <w:bookmarkStart w:id="877" w:name="_Toc150774765"/>
      <w:r/>
      <w:bookmarkStart w:id="878" w:name="_Toc305158829"/>
      <w:r/>
      <w:bookmarkStart w:id="879" w:name="_Toc142311061"/>
      <w:r/>
      <w:bookmarkStart w:id="880" w:name="_Toc264969251"/>
      <w:r/>
      <w:bookmarkStart w:id="881" w:name="_Toc150480797"/>
      <w:r/>
      <w:bookmarkStart w:id="882" w:name="_Toc305158903"/>
      <w:r/>
      <w:bookmarkStart w:id="883" w:name="_Toc226965751"/>
      <w:r/>
      <w:bookmarkStart w:id="884" w:name="_Toc226337257"/>
      <w:r/>
      <w:bookmarkStart w:id="885" w:name="_Toc150774764"/>
      <w:r/>
      <w:bookmarkStart w:id="886" w:name="_Toc195842926"/>
      <w:r/>
      <w:bookmarkStart w:id="887" w:name="_Toc127151561"/>
      <w:r/>
      <w:bookmarkStart w:id="888" w:name="_Toc265228399"/>
      <w:r/>
      <w:bookmarkStart w:id="889" w:name="_Toc226309805"/>
      <w:r/>
      <w:bookmarkStart w:id="890" w:name="_Toc226965834"/>
      <w:r>
        <w:rPr>
          <w:rFonts w:hint="eastAsia" w:ascii="仿宋" w:hAnsi="仿宋" w:eastAsia="仿宋" w:cs="仿宋"/>
          <w:sz w:val="24"/>
          <w:szCs w:val="20"/>
          <w:highlight w:val="none"/>
        </w:rPr>
        <w:t xml:space="preserve">合同条款偏离表</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仿宋" w:hAnsi="仿宋" w:eastAsia="仿宋" w:cs="仿宋"/>
          <w:sz w:val="24"/>
          <w:szCs w:val="20"/>
          <w:highlight w:val="none"/>
        </w:rPr>
        <w:t xml:space="preserve">（实质性格式）</w:t>
      </w:r>
      <w:r/>
    </w:p>
    <w:p>
      <w:pPr>
        <w:jc w:val="center"/>
        <w:spacing w:line="360" w:lineRule="auto"/>
        <w:tabs>
          <w:tab w:val="left" w:pos="2775" w:leader="none"/>
          <w:tab w:val="center" w:pos="4153"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合同条款偏离表</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0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48"/>
        <w:gridCol w:w="798"/>
      </w:tblGrid>
      <w:tr>
        <w:trPr>
          <w:jc w:val="center"/>
          <w:trHeight w:val="930"/>
        </w:trPr>
        <w:tc>
          <w:tcPr>
            <w:gridSpan w:val="6"/>
            <w:tcW w:w="0" w:type="auto"/>
            <w:vAlign w:val="center"/>
            <w:textDirection w:val="lrTb"/>
            <w:noWrap w:val="false"/>
          </w:tcPr>
          <w:p>
            <w:pPr>
              <w:jc w:val="left"/>
              <w:rPr>
                <w:rFonts w:hint="eastAsia" w:ascii="仿宋" w:hAnsi="仿宋" w:eastAsia="仿宋" w:cs="仿宋"/>
                <w:b/>
                <w:sz w:val="24"/>
                <w:highlight w:val="none"/>
              </w:rPr>
            </w:pPr>
            <w:r>
              <w:rPr>
                <w:rFonts w:hint="eastAsia" w:ascii="仿宋" w:hAnsi="仿宋" w:eastAsia="仿宋" w:cs="仿宋"/>
                <w:b/>
                <w:sz w:val="24"/>
                <w:highlight w:val="none"/>
              </w:rPr>
              <w:t xml:space="preserve">对本项目合同条款的偏离情况（请进行勾选）：</w:t>
            </w:r>
            <w:r/>
          </w:p>
          <w:p>
            <w:pPr>
              <w:jc w:val="left"/>
              <w:rPr>
                <w:rFonts w:hint="eastAsia" w:ascii="仿宋" w:hAnsi="仿宋" w:eastAsia="仿宋" w:cs="仿宋"/>
                <w:b/>
                <w:sz w:val="24"/>
                <w:highlight w:val="none"/>
              </w:rPr>
            </w:pPr>
            <w:r>
              <w:rPr>
                <w:rFonts w:hint="eastAsia" w:ascii="仿宋" w:hAnsi="仿宋" w:eastAsia="仿宋" w:cs="仿宋"/>
                <w:b/>
                <w:sz w:val="24"/>
                <w:highlight w:val="none"/>
              </w:rPr>
              <w:t xml:space="preserve">□无偏离</w:t>
            </w:r>
            <w:r>
              <w:rPr>
                <w:rFonts w:hint="eastAsia" w:ascii="仿宋" w:hAnsi="仿宋" w:eastAsia="仿宋" w:cs="仿宋"/>
                <w:sz w:val="24"/>
                <w:highlight w:val="none"/>
              </w:rPr>
              <w:t xml:space="preserve">（</w:t>
            </w:r>
            <w:r>
              <w:rPr>
                <w:rFonts w:hint="eastAsia" w:ascii="仿宋" w:hAnsi="仿宋" w:eastAsia="仿宋" w:cs="仿宋"/>
                <w:sz w:val="24"/>
                <w:szCs w:val="21"/>
                <w:highlight w:val="none"/>
              </w:rPr>
              <w:t xml:space="preserve">如无偏离，仅勾选无偏离即可</w:t>
            </w:r>
            <w:r>
              <w:rPr>
                <w:rFonts w:hint="eastAsia" w:ascii="仿宋" w:hAnsi="仿宋" w:eastAsia="仿宋" w:cs="仿宋"/>
                <w:sz w:val="24"/>
                <w:highlight w:val="none"/>
              </w:rPr>
              <w:t xml:space="preserve">）</w:t>
            </w:r>
            <w:r/>
          </w:p>
          <w:p>
            <w:pPr>
              <w:jc w:val="left"/>
              <w:rPr>
                <w:rFonts w:hint="eastAsia" w:ascii="仿宋" w:hAnsi="仿宋" w:eastAsia="仿宋" w:cs="仿宋"/>
                <w:sz w:val="24"/>
                <w:highlight w:val="none"/>
              </w:rPr>
            </w:pPr>
            <w:r>
              <w:rPr>
                <w:rFonts w:hint="eastAsia" w:ascii="仿宋" w:hAnsi="仿宋" w:eastAsia="仿宋" w:cs="仿宋"/>
                <w:b/>
                <w:sz w:val="24"/>
                <w:highlight w:val="none"/>
              </w:rPr>
              <w:t xml:space="preserve">□有偏离</w:t>
            </w:r>
            <w:r>
              <w:rPr>
                <w:rFonts w:hint="eastAsia" w:ascii="仿宋" w:hAnsi="仿宋" w:eastAsia="仿宋" w:cs="仿宋"/>
                <w:sz w:val="24"/>
                <w:highlight w:val="none"/>
              </w:rPr>
              <w:t xml:space="preserve">（</w:t>
            </w:r>
            <w:r>
              <w:rPr>
                <w:rFonts w:hint="eastAsia" w:ascii="仿宋" w:hAnsi="仿宋" w:eastAsia="仿宋" w:cs="仿宋"/>
                <w:sz w:val="24"/>
                <w:szCs w:val="21"/>
                <w:highlight w:val="none"/>
              </w:rPr>
              <w:t xml:space="preserve">如有偏离，</w:t>
            </w:r>
            <w:r>
              <w:rPr>
                <w:rFonts w:hint="eastAsia" w:ascii="仿宋" w:hAnsi="仿宋" w:eastAsia="仿宋" w:cs="仿宋"/>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szCs w:val="21"/>
                <w:highlight w:val="none"/>
              </w:rPr>
              <w:t xml:space="preserve">招标文件</w:t>
            </w:r>
            <w:r>
              <w:rPr>
                <w:rFonts w:hint="eastAsia" w:ascii="仿宋" w:hAnsi="仿宋" w:eastAsia="仿宋" w:cs="仿宋"/>
                <w:sz w:val="24"/>
                <w:highlight w:val="none"/>
              </w:rPr>
              <w:t xml:space="preserve">条目号（页码）</w:t>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szCs w:val="21"/>
                <w:highlight w:val="none"/>
              </w:rPr>
              <w:t xml:space="preserve">招标文件</w:t>
            </w:r>
            <w:r>
              <w:rPr>
                <w:rFonts w:hint="eastAsia" w:ascii="仿宋" w:hAnsi="仿宋" w:eastAsia="仿宋" w:cs="仿宋"/>
                <w:sz w:val="24"/>
                <w:highlight w:val="none"/>
              </w:rPr>
              <w:t xml:space="preserve">要求</w:t>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投标文件内容</w:t>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 “偏离情况”列应据实填写“正偏离”或“负偏离”。</w:t>
      </w:r>
      <w:r/>
    </w:p>
    <w:p>
      <w:pPr>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spacing w:before="25" w:after="25"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                      </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6</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hint="eastAsia" w:ascii="仿宋" w:hAnsi="仿宋" w:eastAsia="仿宋" w:cs="仿宋"/>
          <w:sz w:val="24"/>
          <w:szCs w:val="20"/>
          <w:highlight w:val="none"/>
        </w:rPr>
        <w:t xml:space="preserve">采购需求偏离表（实质性格式）</w:t>
      </w:r>
      <w:r/>
    </w:p>
    <w:p>
      <w:pPr>
        <w:ind w:firstLine="361"/>
        <w:jc w:val="center"/>
        <w:spacing w:line="360" w:lineRule="auto"/>
        <w:tabs>
          <w:tab w:val="left" w:pos="1800" w:leader="none"/>
          <w:tab w:val="left" w:pos="5580"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采购需求偏离表</w:t>
      </w:r>
      <w:r/>
    </w:p>
    <w:p>
      <w:pPr>
        <w:jc w:val="left"/>
        <w:spacing w:line="360" w:lineRule="auto"/>
        <w:tabs>
          <w:tab w:val="left" w:pos="1800" w:leader="none"/>
          <w:tab w:val="left" w:pos="5580" w:leader="none"/>
        </w:tabs>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00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招标文件条目号(页码)</w:t>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招标文件要求</w:t>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投标响应内容</w:t>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sz w:val="24"/>
          <w:highlight w:val="none"/>
        </w:rPr>
        <w:t xml:space="preserve">投标无效。</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7 项目实施方案等，包括但不限于如下方面以及本招标文件要求的方案文件：</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（1）项目实施方案；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（2）质量保证方案；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（3）重点、难点分析及合理化建议；</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（4）试运行及培训方案；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（5）售后服务方案；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（6）质保期满后收费及维保配合；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其他。</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8拟派团队人员一览表</w:t>
      </w:r>
      <w:r/>
    </w:p>
    <w:p>
      <w:pPr>
        <w:jc w:val="center"/>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拟派团队人员一览表</w:t>
      </w:r>
      <w:r/>
    </w:p>
    <w:p>
      <w:pPr>
        <w:jc w:val="left"/>
        <w:spacing w:line="360" w:lineRule="auto"/>
        <w:tabs>
          <w:tab w:val="left" w:pos="1800" w:leader="none"/>
          <w:tab w:val="left" w:pos="5580" w:leader="none"/>
        </w:tabs>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007"/>
        <w:tblW w:w="100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0"/>
        <w:gridCol w:w="1190"/>
        <w:gridCol w:w="945"/>
        <w:gridCol w:w="793"/>
        <w:gridCol w:w="1097"/>
        <w:gridCol w:w="945"/>
        <w:gridCol w:w="945"/>
        <w:gridCol w:w="945"/>
        <w:gridCol w:w="945"/>
        <w:gridCol w:w="1512"/>
      </w:tblGrid>
      <w:tr>
        <w:trPr>
          <w:jc w:val="center"/>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职称证书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执业证书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bl>
    <w:p>
      <w:pPr>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注：</w:t>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明确一名项目负责人且须是</w:t>
      </w:r>
      <w:r>
        <w:rPr>
          <w:rFonts w:hint="eastAsia" w:ascii="仿宋" w:hAnsi="仿宋" w:eastAsia="仿宋" w:cs="仿宋"/>
          <w:b/>
          <w:sz w:val="24"/>
          <w:highlight w:val="none"/>
        </w:rPr>
        <w:t xml:space="preserve">供应商</w:t>
      </w:r>
      <w:r>
        <w:rPr>
          <w:rFonts w:hint="eastAsia" w:ascii="仿宋" w:hAnsi="仿宋" w:eastAsia="仿宋" w:cs="仿宋"/>
          <w:b/>
          <w:sz w:val="24"/>
          <w:highlight w:val="none"/>
          <w:lang w:val="zh-CN"/>
        </w:rPr>
        <w:t xml:space="preserve">正式职工，提供社保机构出具的供应商为</w:t>
      </w:r>
      <w:r>
        <w:rPr>
          <w:rFonts w:hint="eastAsia" w:ascii="仿宋" w:hAnsi="仿宋" w:eastAsia="仿宋" w:cs="仿宋"/>
          <w:b/>
          <w:sz w:val="24"/>
          <w:highlight w:val="none"/>
        </w:rPr>
        <w:t xml:space="preserve">该</w:t>
      </w:r>
      <w:r>
        <w:rPr>
          <w:rFonts w:hint="eastAsia" w:ascii="仿宋" w:hAnsi="仿宋" w:eastAsia="仿宋" w:cs="仿宋"/>
          <w:b/>
          <w:sz w:val="24"/>
          <w:highlight w:val="none"/>
          <w:lang w:val="zh-CN"/>
        </w:rPr>
        <w:t xml:space="preserve">员工缴纳的</w:t>
      </w:r>
      <w:r>
        <w:rPr>
          <w:rFonts w:hint="eastAsia" w:ascii="仿宋" w:hAnsi="仿宋" w:eastAsia="仿宋" w:cs="仿宋"/>
          <w:b/>
          <w:sz w:val="24"/>
          <w:highlight w:val="none"/>
        </w:rPr>
        <w:t xml:space="preserve">近六个月内任意一个月的</w:t>
      </w:r>
      <w:r>
        <w:rPr>
          <w:rFonts w:hint="eastAsia" w:ascii="仿宋" w:hAnsi="仿宋" w:eastAsia="仿宋" w:cs="仿宋"/>
          <w:b/>
          <w:sz w:val="24"/>
          <w:highlight w:val="none"/>
          <w:lang w:val="zh-CN"/>
        </w:rPr>
        <w:t xml:space="preserve">社保证明材料复印件加盖供应商公章。</w:t>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sz w:val="24"/>
          <w:szCs w:val="20"/>
          <w:highlight w:val="none"/>
        </w:rPr>
      </w:pPr>
      <w:r>
        <w:rPr>
          <w:rFonts w:hint="eastAsia" w:ascii="仿宋" w:hAnsi="仿宋" w:eastAsia="仿宋" w:cs="仿宋"/>
          <w:sz w:val="22"/>
          <w:highlight w:val="none"/>
        </w:rPr>
        <w:br w:type="page" w:clear="all"/>
      </w:r>
      <w:bookmarkStart w:id="891" w:name="_Toc288738397"/>
      <w:r/>
      <w:bookmarkStart w:id="892" w:name="_Toc288738839"/>
      <w:r>
        <w:rPr>
          <w:rFonts w:hint="eastAsia" w:ascii="仿宋" w:hAnsi="仿宋" w:eastAsia="仿宋" w:cs="仿宋"/>
          <w:sz w:val="24"/>
          <w:szCs w:val="20"/>
          <w:highlight w:val="none"/>
        </w:rPr>
        <w:t xml:space="preserve">9相关业绩案例一览表</w:t>
      </w:r>
      <w:r/>
    </w:p>
    <w:p>
      <w:pPr>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相关业绩案例一览表</w:t>
      </w:r>
      <w:bookmarkEnd w:id="891"/>
      <w:r/>
      <w:bookmarkEnd w:id="892"/>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sz w:val="24"/>
          <w:highlight w:val="none"/>
          <w:u w:val="single"/>
        </w:rPr>
        <w:t xml:space="preserve">                   </w:t>
      </w:r>
      <w:r/>
    </w:p>
    <w:tbl>
      <w:tblPr>
        <w:tblStyle w:val="1007"/>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jc w:val="center"/>
          <w:trHeight w:val="498"/>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rPr>
              <w:t xml:space="preserve">合同签订</w:t>
            </w:r>
            <w:r>
              <w:rPr>
                <w:rFonts w:hint="eastAsia" w:ascii="仿宋" w:hAnsi="仿宋" w:eastAsia="仿宋" w:cs="仿宋"/>
                <w:sz w:val="24"/>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866"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72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233"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lang w:val="zh-CN"/>
              </w:rPr>
              <w:t xml:space="preserve">合同金额（</w:t>
            </w:r>
            <w:r>
              <w:rPr>
                <w:rFonts w:hint="eastAsia" w:ascii="仿宋" w:hAnsi="仿宋" w:eastAsia="仿宋" w:cs="仿宋"/>
                <w:sz w:val="24"/>
                <w:highlight w:val="none"/>
              </w:rPr>
              <w:t xml:space="preserve">元）</w:t>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rPr>
              <w:t xml:space="preserve">联系人</w:t>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bl>
    <w:p>
      <w:pPr>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jc w:val="left"/>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10关于符合本国产品标准的声明函</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480" w:lineRule="auto"/>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关于符合本国产品标准的声明函（采购包号：**）</w:t>
      </w:r>
      <w:r/>
    </w:p>
    <w:p>
      <w:pPr>
        <w:pStyle w:val="1038"/>
        <w:ind w:firstLine="42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8"/>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4852670</wp:posOffset>
                </wp:positionH>
                <wp:positionV relativeFrom="paragraph">
                  <wp:posOffset>67945</wp:posOffset>
                </wp:positionV>
                <wp:extent cx="683260" cy="111125"/>
                <wp:effectExtent l="635" t="4445" r="1905" b="11430"/>
                <wp:wrapNone/>
                <wp:docPr id="9" name="自选图形 6"/>
                <wp:cNvGraphicFramePr/>
                <a:graphic xmlns:a="http://schemas.openxmlformats.org/drawingml/2006/main">
                  <a:graphicData uri="http://schemas.microsoft.com/office/word/2010/wordprocessingShape">
                    <wps:wsp>
                      <wps:cNvPr id="0" name=""/>
                      <wps:cNvSpPr/>
                      <wps:spPr bwMode="auto">
                        <a:xfrm flipV="1">
                          <a:off x="0" y="0"/>
                          <a:ext cx="68326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1718310</wp:posOffset>
                </wp:positionH>
                <wp:positionV relativeFrom="paragraph">
                  <wp:posOffset>661035</wp:posOffset>
                </wp:positionV>
                <wp:extent cx="816610" cy="147320"/>
                <wp:effectExtent l="635" t="4445" r="8255" b="13335"/>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546735</wp:posOffset>
                </wp:positionH>
                <wp:positionV relativeFrom="paragraph">
                  <wp:posOffset>650240</wp:posOffset>
                </wp:positionV>
                <wp:extent cx="876300" cy="120015"/>
                <wp:effectExtent l="635" t="4445" r="12065" b="15240"/>
                <wp:wrapNone/>
                <wp:docPr id="11" name="自选图形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4414520</wp:posOffset>
                </wp:positionH>
                <wp:positionV relativeFrom="paragraph">
                  <wp:posOffset>389255</wp:posOffset>
                </wp:positionV>
                <wp:extent cx="636270" cy="102870"/>
                <wp:effectExtent l="635" t="4445" r="10795" b="698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63627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3209290</wp:posOffset>
                </wp:positionH>
                <wp:positionV relativeFrom="paragraph">
                  <wp:posOffset>375920</wp:posOffset>
                </wp:positionV>
                <wp:extent cx="816610" cy="103505"/>
                <wp:effectExtent l="635" t="4445" r="8255" b="6350"/>
                <wp:wrapNone/>
                <wp:docPr id="13" name="自选图形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2087880</wp:posOffset>
                </wp:positionH>
                <wp:positionV relativeFrom="paragraph">
                  <wp:posOffset>391795</wp:posOffset>
                </wp:positionV>
                <wp:extent cx="816610" cy="76200"/>
                <wp:effectExtent l="635" t="4445" r="8255" b="825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shd w:val="clear" w:color="auto" w:fill="ffffff"/>
        </w:rPr>
        <w:t xml:space="preserve">1.</w:t>
      </w:r>
      <w:r>
        <w:rPr>
          <w:rStyle w:val="1049"/>
          <w:rFonts w:hint="eastAsia" w:ascii="仿宋" w:hAnsi="仿宋" w:eastAsia="仿宋" w:cs="仿宋"/>
          <w:color w:val="auto"/>
          <w:highlight w:val="none"/>
          <w:u w:val="single"/>
          <w:shd w:val="clear" w:color="auto" w:fill="ffffff"/>
        </w:rPr>
        <w:t xml:space="preserve">（产品名称1）</w:t>
      </w:r>
      <w:r>
        <w:rPr>
          <w:rStyle w:val="1049"/>
          <w:rFonts w:hint="eastAsia" w:ascii="仿宋" w:hAnsi="仿宋" w:eastAsia="仿宋" w:cs="仿宋"/>
          <w:color w:val="auto"/>
          <w:highlight w:val="none"/>
          <w:shd w:val="clear" w:color="auto" w:fill="ffffff"/>
          <w:vertAlign w:val="superscript"/>
        </w:rPr>
        <w:t xml:space="preserve">1</w:t>
      </w:r>
      <w:r>
        <w:rPr>
          <w:rFonts w:hint="eastAsia" w:ascii="仿宋" w:hAnsi="仿宋" w:eastAsia="仿宋" w:cs="仿宋"/>
          <w:highlight w:val="none"/>
          <w:shd w:val="clear" w:color="auto" w:fill="ffffff"/>
        </w:rPr>
        <w:t xml:space="preserve">，生产厂为</w:t>
      </w:r>
      <w:r>
        <w:rPr>
          <w:rStyle w:val="1049"/>
          <w:rFonts w:hint="eastAsia" w:ascii="仿宋" w:hAnsi="仿宋" w:eastAsia="仿宋" w:cs="仿宋"/>
          <w:color w:val="auto"/>
          <w:highlight w:val="none"/>
          <w:u w:val="single"/>
          <w:shd w:val="clear" w:color="auto" w:fill="ffffff"/>
        </w:rPr>
        <w:t xml:space="preserve">（厂名）</w:t>
      </w:r>
      <w:r>
        <w:rPr>
          <w:rStyle w:val="1049"/>
          <w:rFonts w:hint="eastAsia" w:ascii="仿宋" w:hAnsi="仿宋" w:eastAsia="仿宋" w:cs="仿宋"/>
          <w:color w:val="auto"/>
          <w:highlight w:val="none"/>
          <w:shd w:val="clear" w:color="auto" w:fill="ffffff"/>
          <w:vertAlign w:val="superscript"/>
        </w:rPr>
        <w:t xml:space="preserve">2</w:t>
      </w:r>
      <w:r>
        <w:rPr>
          <w:rFonts w:hint="eastAsia" w:ascii="仿宋" w:hAnsi="仿宋" w:eastAsia="仿宋" w:cs="仿宋"/>
          <w:highlight w:val="none"/>
          <w:shd w:val="clear" w:color="auto" w:fill="ffffff"/>
        </w:rPr>
        <w:t xml:space="preserve">，厂址为</w:t>
      </w:r>
      <w:r>
        <w:rPr>
          <w:rStyle w:val="1049"/>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highlight w:val="none"/>
          <w:shd w:val="clear" w:color="auto" w:fill="ffffff"/>
        </w:rPr>
        <w:t xml:space="preserve">。</w:t>
      </w:r>
      <w:r>
        <w:rPr>
          <w:rFonts w:hint="eastAsia" w:ascii="仿宋" w:hAnsi="仿宋" w:eastAsia="仿宋" w:cs="仿宋"/>
          <w:highlight w:val="none"/>
          <w:u w:val="single"/>
          <w:shd w:val="clear" w:color="auto" w:fill="ffffff"/>
        </w:rPr>
        <w:t xml:space="preserve"> </w:t>
      </w:r>
      <w:r>
        <w:rPr>
          <w:rStyle w:val="1049"/>
          <w:rFonts w:hint="eastAsia" w:ascii="仿宋" w:hAnsi="仿宋" w:eastAsia="仿宋" w:cs="仿宋"/>
          <w:color w:val="auto"/>
          <w:highlight w:val="none"/>
          <w:u w:val="single"/>
          <w:shd w:val="clear" w:color="auto" w:fill="ffffff"/>
        </w:rPr>
        <w:t xml:space="preserve">（产品名称1） </w:t>
      </w:r>
      <w:r>
        <w:rPr>
          <w:rFonts w:hint="eastAsia" w:ascii="仿宋" w:hAnsi="仿宋" w:eastAsia="仿宋" w:cs="仿宋"/>
          <w:highlight w:val="none"/>
          <w:shd w:val="clear" w:color="auto" w:fill="ffffff"/>
        </w:rPr>
        <w:t xml:space="preserve">的中国境内生产的组件成本占比≥</w:t>
      </w:r>
      <w:r>
        <w:rPr>
          <w:rStyle w:val="1049"/>
          <w:rFonts w:hint="eastAsia" w:ascii="仿宋" w:hAnsi="仿宋" w:eastAsia="仿宋" w:cs="仿宋"/>
          <w:color w:val="auto"/>
          <w:highlight w:val="none"/>
          <w:u w:val="single"/>
          <w:shd w:val="clear" w:color="auto" w:fill="ffffff"/>
        </w:rPr>
        <w:t xml:space="preserve">（规定比例）</w:t>
      </w:r>
      <w:r>
        <w:rPr>
          <w:rStyle w:val="1049"/>
          <w:rFonts w:hint="eastAsia" w:ascii="仿宋" w:hAnsi="仿宋" w:eastAsia="仿宋" w:cs="仿宋"/>
          <w:color w:val="auto"/>
          <w:highlight w:val="none"/>
          <w:shd w:val="clear" w:color="auto" w:fill="ffffff"/>
          <w:vertAlign w:val="superscript"/>
        </w:rPr>
        <w:t xml:space="preserve">3</w:t>
      </w:r>
      <w:r>
        <w:rPr>
          <w:rFonts w:hint="eastAsia" w:ascii="仿宋" w:hAnsi="仿宋" w:eastAsia="仿宋" w:cs="仿宋"/>
          <w:highlight w:val="none"/>
          <w:shd w:val="clear" w:color="auto" w:fill="ffffff"/>
        </w:rPr>
        <w:t xml:space="preserve">。</w:t>
      </w:r>
      <w:r>
        <w:rPr>
          <w:rStyle w:val="1049"/>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049"/>
          <w:rFonts w:hint="eastAsia" w:ascii="仿宋" w:hAnsi="仿宋" w:eastAsia="仿宋" w:cs="仿宋"/>
          <w:color w:val="auto"/>
          <w:highlight w:val="none"/>
          <w:u w:val="single"/>
          <w:shd w:val="clear" w:color="auto" w:fill="ffffff"/>
        </w:rPr>
        <w:t xml:space="preserve">（关键组件）</w:t>
      </w:r>
      <w:r>
        <w:rPr>
          <w:rStyle w:val="1049"/>
          <w:rFonts w:hint="eastAsia" w:ascii="仿宋" w:hAnsi="仿宋" w:eastAsia="仿宋" w:cs="仿宋"/>
          <w:color w:val="auto"/>
          <w:highlight w:val="none"/>
          <w:shd w:val="clear" w:color="auto" w:fill="ffffff"/>
          <w:vertAlign w:val="superscript"/>
        </w:rPr>
        <w:t xml:space="preserve">4</w:t>
      </w:r>
      <w:r>
        <w:rPr>
          <w:rFonts w:hint="eastAsia" w:ascii="仿宋" w:hAnsi="仿宋" w:eastAsia="仿宋" w:cs="仿宋"/>
          <w:highlight w:val="none"/>
          <w:shd w:val="clear" w:color="auto" w:fill="ffffff"/>
        </w:rPr>
        <w:t xml:space="preserve">在中国境内生产。</w:t>
      </w:r>
      <w:r>
        <w:rPr>
          <w:rStyle w:val="1049"/>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049"/>
          <w:rFonts w:hint="eastAsia" w:ascii="仿宋" w:hAnsi="仿宋" w:eastAsia="仿宋" w:cs="仿宋"/>
          <w:color w:val="auto"/>
          <w:highlight w:val="none"/>
          <w:u w:val="single"/>
          <w:shd w:val="clear" w:color="auto" w:fill="ffffff"/>
        </w:rPr>
        <w:t xml:space="preserve">（关键工序）</w:t>
      </w:r>
      <w:r>
        <w:rPr>
          <w:rStyle w:val="1049"/>
          <w:rFonts w:hint="eastAsia" w:ascii="仿宋" w:hAnsi="仿宋" w:eastAsia="仿宋" w:cs="仿宋"/>
          <w:color w:val="auto"/>
          <w:highlight w:val="none"/>
          <w:shd w:val="clear" w:color="auto" w:fill="ffffff"/>
          <w:vertAlign w:val="superscript"/>
        </w:rPr>
        <w:t xml:space="preserve">5</w:t>
      </w:r>
      <w:r>
        <w:rPr>
          <w:rFonts w:hint="eastAsia" w:ascii="仿宋" w:hAnsi="仿宋" w:eastAsia="仿宋" w:cs="仿宋"/>
          <w:highlight w:val="none"/>
          <w:shd w:val="clear" w:color="auto" w:fill="ffffff"/>
        </w:rPr>
        <w:t xml:space="preserve">在中国境内完成。</w:t>
      </w:r>
      <w:r/>
    </w:p>
    <w:p>
      <w:pPr>
        <w:pStyle w:val="1038"/>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1522730</wp:posOffset>
                </wp:positionH>
                <wp:positionV relativeFrom="paragraph">
                  <wp:posOffset>647065</wp:posOffset>
                </wp:positionV>
                <wp:extent cx="821690" cy="102870"/>
                <wp:effectExtent l="635" t="4445" r="3175" b="6985"/>
                <wp:wrapNone/>
                <wp:docPr id="15"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371475</wp:posOffset>
                </wp:positionH>
                <wp:positionV relativeFrom="paragraph">
                  <wp:posOffset>611505</wp:posOffset>
                </wp:positionV>
                <wp:extent cx="908685" cy="140970"/>
                <wp:effectExtent l="635" t="4445" r="5080" b="6985"/>
                <wp:wrapNone/>
                <wp:docPr id="16" name="自选图形 1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4174490</wp:posOffset>
                </wp:positionH>
                <wp:positionV relativeFrom="paragraph">
                  <wp:posOffset>339090</wp:posOffset>
                </wp:positionV>
                <wp:extent cx="669290" cy="115570"/>
                <wp:effectExtent l="635" t="4445" r="3175" b="6985"/>
                <wp:wrapNone/>
                <wp:docPr id="17" name="自选图形 15"/>
                <wp:cNvGraphicFramePr/>
                <a:graphic xmlns:a="http://schemas.openxmlformats.org/drawingml/2006/main">
                  <a:graphicData uri="http://schemas.microsoft.com/office/word/2010/wordprocessingShape">
                    <wps:wsp>
                      <wps:cNvPr id="0" name=""/>
                      <wps:cNvSpPr/>
                      <wps:spPr bwMode="auto">
                        <a:xfrm flipV="1">
                          <a:off x="0" y="0"/>
                          <a:ext cx="669290"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3023235</wp:posOffset>
                </wp:positionH>
                <wp:positionV relativeFrom="paragraph">
                  <wp:posOffset>334645</wp:posOffset>
                </wp:positionV>
                <wp:extent cx="849630" cy="120015"/>
                <wp:effectExtent l="635" t="4445" r="635" b="15240"/>
                <wp:wrapNone/>
                <wp:docPr id="18" name="自选图形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1911985</wp:posOffset>
                </wp:positionH>
                <wp:positionV relativeFrom="paragraph">
                  <wp:posOffset>328930</wp:posOffset>
                </wp:positionV>
                <wp:extent cx="843915" cy="125730"/>
                <wp:effectExtent l="635" t="4445" r="6350" b="9525"/>
                <wp:wrapNone/>
                <wp:docPr id="19" name="自选图形 2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4625975</wp:posOffset>
                </wp:positionH>
                <wp:positionV relativeFrom="paragraph">
                  <wp:posOffset>38100</wp:posOffset>
                </wp:positionV>
                <wp:extent cx="718185" cy="97790"/>
                <wp:effectExtent l="635" t="4445" r="5080" b="12065"/>
                <wp:wrapNone/>
                <wp:docPr id="20" name="自选图形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shd w:val="clear" w:color="auto" w:fill="ffffff"/>
        </w:rPr>
        <w:t xml:space="preserve">2.</w:t>
      </w:r>
      <w:r>
        <w:rPr>
          <w:rStyle w:val="1049"/>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，生产厂为</w:t>
      </w:r>
      <w:r>
        <w:rPr>
          <w:rStyle w:val="1049"/>
          <w:rFonts w:hint="eastAsia" w:ascii="仿宋" w:hAnsi="仿宋" w:eastAsia="仿宋" w:cs="仿宋"/>
          <w:color w:val="auto"/>
          <w:highlight w:val="none"/>
          <w:u w:val="single"/>
          <w:shd w:val="clear" w:color="auto" w:fill="ffffff"/>
        </w:rPr>
        <w:t xml:space="preserve">（厂名）</w:t>
      </w:r>
      <w:r>
        <w:rPr>
          <w:rFonts w:hint="eastAsia" w:ascii="仿宋" w:hAnsi="仿宋" w:eastAsia="仿宋" w:cs="仿宋"/>
          <w:highlight w:val="none"/>
          <w:shd w:val="clear" w:color="auto" w:fill="ffffff"/>
        </w:rPr>
        <w:t xml:space="preserve">，厂址为</w:t>
      </w:r>
      <w:r>
        <w:rPr>
          <w:rStyle w:val="1049"/>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highlight w:val="none"/>
          <w:shd w:val="clear" w:color="auto" w:fill="ffffff"/>
        </w:rPr>
        <w:t xml:space="preserve">。</w:t>
      </w:r>
      <w:r>
        <w:rPr>
          <w:rStyle w:val="1049"/>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的中国境内生产的组件成本占比≥</w:t>
      </w:r>
      <w:r>
        <w:rPr>
          <w:rStyle w:val="1049"/>
          <w:rFonts w:hint="eastAsia" w:ascii="仿宋" w:hAnsi="仿宋" w:eastAsia="仿宋" w:cs="仿宋"/>
          <w:color w:val="auto"/>
          <w:highlight w:val="none"/>
          <w:u w:val="single"/>
          <w:shd w:val="clear" w:color="auto" w:fill="ffffff"/>
        </w:rPr>
        <w:t xml:space="preserve">（规定比例）</w:t>
      </w:r>
      <w:r>
        <w:rPr>
          <w:rFonts w:hint="eastAsia" w:ascii="仿宋" w:hAnsi="仿宋" w:eastAsia="仿宋" w:cs="仿宋"/>
          <w:highlight w:val="none"/>
          <w:shd w:val="clear" w:color="auto" w:fill="ffffff"/>
        </w:rPr>
        <w:t xml:space="preserve">。</w:t>
      </w:r>
      <w:r>
        <w:rPr>
          <w:rStyle w:val="1049"/>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的</w:t>
      </w:r>
      <w:r>
        <w:rPr>
          <w:rStyle w:val="1049"/>
          <w:rFonts w:hint="eastAsia" w:ascii="仿宋" w:hAnsi="仿宋" w:eastAsia="仿宋" w:cs="仿宋"/>
          <w:color w:val="auto"/>
          <w:highlight w:val="none"/>
          <w:u w:val="single"/>
          <w:shd w:val="clear" w:color="auto" w:fill="ffffff"/>
        </w:rPr>
        <w:t xml:space="preserve">（关键组件）</w:t>
      </w:r>
      <w:r>
        <w:rPr>
          <w:rFonts w:hint="eastAsia" w:ascii="仿宋" w:hAnsi="仿宋" w:eastAsia="仿宋" w:cs="仿宋"/>
          <w:highlight w:val="none"/>
          <w:shd w:val="clear" w:color="auto" w:fill="ffffff"/>
        </w:rPr>
        <w:t xml:space="preserve">在中国境内生产。</w:t>
      </w:r>
      <w:r>
        <w:rPr>
          <w:rStyle w:val="1049"/>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049"/>
          <w:rFonts w:hint="eastAsia" w:ascii="仿宋" w:hAnsi="仿宋" w:eastAsia="仿宋" w:cs="仿宋"/>
          <w:color w:val="auto"/>
          <w:highlight w:val="none"/>
          <w:u w:val="single"/>
          <w:shd w:val="clear" w:color="auto" w:fill="ffffff"/>
        </w:rPr>
        <w:t xml:space="preserve">（关键工序）</w:t>
      </w:r>
      <w:r>
        <w:rPr>
          <w:rFonts w:hint="eastAsia" w:ascii="仿宋" w:hAnsi="仿宋" w:eastAsia="仿宋" w:cs="仿宋"/>
          <w:highlight w:val="none"/>
          <w:shd w:val="clear" w:color="auto" w:fill="ffffff"/>
        </w:rPr>
        <w:t xml:space="preserve">在中国境内完成。</w:t>
      </w:r>
      <w:r/>
    </w:p>
    <w:p>
      <w:pPr>
        <w:pStyle w:val="1038"/>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w:t>
      </w:r>
      <w:r/>
    </w:p>
    <w:p>
      <w:pPr>
        <w:pStyle w:val="1038"/>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本公司（单位）对上述声明内容的真实性负责。如有虚假，愿承担相应法律责任。</w:t>
      </w:r>
      <w:r/>
    </w:p>
    <w:p>
      <w:pPr>
        <w:pStyle w:val="1038"/>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w:r>
      <w:r/>
    </w:p>
    <w:p>
      <w:pPr>
        <w:pStyle w:val="1038"/>
        <w:ind w:right="480" w:firstLine="468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公司（单位）名称（盖章）：　        </w:t>
      </w:r>
      <w:r/>
    </w:p>
    <w:p>
      <w:pPr>
        <w:pStyle w:val="1038"/>
        <w:jc w:val="center"/>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                                日期：　   年　  月　  日         </w:t>
      </w:r>
      <w:r/>
    </w:p>
    <w:p>
      <w:pPr>
        <w:pStyle w:val="1038"/>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__________________</w:t>
      </w:r>
      <w:r/>
    </w:p>
    <w:p>
      <w:pPr>
        <w:pStyle w:val="1038"/>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1.产品如有型号，请在“产品名称”栏一并填写。</w:t>
      </w:r>
      <w:r/>
    </w:p>
    <w:p>
      <w:pPr>
        <w:pStyle w:val="1038"/>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2.生产厂名与厂址应与生产厂营业执照载明的相关信息保持一致。</w:t>
      </w:r>
      <w:r/>
    </w:p>
    <w:p>
      <w:pPr>
        <w:pStyle w:val="1038"/>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3.该产品的中国境内生产的组件成本占比相关要求实施前，“规定比例”栏可不填，下同。</w:t>
      </w:r>
      <w:r/>
    </w:p>
    <w:p>
      <w:pPr>
        <w:pStyle w:val="1038"/>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4.该产品的关键组件要求实施前，“关键组件”栏可不填，下同。</w:t>
      </w:r>
      <w:r/>
    </w:p>
    <w:p>
      <w:pPr>
        <w:pStyle w:val="1038"/>
        <w:spacing w:before="30" w:beforeAutospacing="0" w:after="30" w:afterAutospacing="0" w:line="360" w:lineRule="auto"/>
        <w:rPr>
          <w:rFonts w:hint="eastAsia" w:ascii="仿宋" w:hAnsi="仿宋" w:eastAsia="仿宋" w:cs="仿宋"/>
          <w:sz w:val="22"/>
          <w:highlight w:val="none"/>
          <w:shd w:val="clear" w:color="auto" w:fill="ffffff"/>
        </w:rPr>
      </w:pPr>
      <w:r>
        <w:rPr>
          <w:rFonts w:hint="eastAsia" w:ascii="仿宋" w:hAnsi="仿宋" w:eastAsia="仿宋" w:cs="仿宋"/>
          <w:sz w:val="22"/>
          <w:highlight w:val="none"/>
          <w:shd w:val="clear" w:color="auto" w:fill="ffffff"/>
        </w:rPr>
        <w:t xml:space="preserve">5.该产品的关键工序要求实施前，“关键工序”栏可不填，下同。</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2"/>
          <w:highlight w:val="none"/>
          <w:shd w:val="clear" w:color="auto" w:fill="ffffff"/>
        </w:rPr>
        <w:t xml:space="preserve">6.用斜线划除的地方无需填写。</w:t>
      </w: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11招标文件要求提供或供应商认为应附的其他材料</w:t>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1042"/>
        <w:ind w:firstLine="48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42"/>
        <w:ind w:firstLine="480"/>
        <w:rPr>
          <w:rFonts w:hint="eastAsia" w:ascii="仿宋" w:hAnsi="仿宋" w:eastAsia="仿宋" w:cs="仿宋"/>
          <w:highlight w:val="none"/>
        </w:rPr>
      </w:pPr>
      <w:r>
        <w:rPr>
          <w:rFonts w:hint="eastAsia" w:ascii="仿宋" w:hAnsi="仿宋" w:eastAsia="仿宋" w:cs="仿宋"/>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sectPr>
      <w:headerReference w:type="default" r:id="rId16"/>
      <w:headerReference w:type="even" r:id="rId17"/>
      <w:headerReference w:type="first" r:id="rId18"/>
      <w:footerReference w:type="default" r:id="rId27"/>
      <w:footerReference w:type="even" r:id="rId28"/>
      <w:footerReference w:type="first" r:id="rId29"/>
      <w:footnotePr/>
      <w:endnotePr/>
      <w:type w:val="nextPage"/>
      <w:pgSz w:w="11907" w:h="16840" w:orient="portrait"/>
      <w:pgMar w:top="1440" w:right="1134" w:bottom="1440"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Style w:val="1047"/>
      </w:rPr>
    </w:pPr>
    <w:r/>
    <w:r/>
  </w:p>
  <w:p>
    <w:pPr>
      <w:pStyle w:val="102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47"/>
      </w:rPr>
      <w:framePr w:wrap="around" w:vAnchor="text" w:hAnchor="margin" w:xAlign="center" w:y="1"/>
    </w:pPr>
    <w:r>
      <w:fldChar w:fldCharType="begin"/>
    </w:r>
    <w:r>
      <w:rPr>
        <w:rStyle w:val="1047"/>
      </w:rPr>
      <w:instrText xml:space="preserve">PAGE  </w:instrText>
    </w:r>
    <w:r>
      <w:fldChar w:fldCharType="end"/>
    </w:r>
    <w:r/>
  </w:p>
  <w:p>
    <w:pPr>
      <w:pStyle w:val="102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
  </w:p>
  <w:p>
    <w:pPr>
      <w:pStyle w:val="102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47"/>
      </w:rPr>
      <w:framePr w:wrap="around" w:vAnchor="text" w:hAnchor="margin" w:xAlign="right" w:y="1"/>
    </w:pPr>
    <w:r>
      <w:rPr>
        <w:rStyle w:val="1047"/>
      </w:rPr>
      <w:fldChar w:fldCharType="begin"/>
    </w:r>
    <w:r>
      <w:rPr>
        <w:rStyle w:val="1047"/>
      </w:rPr>
      <w:instrText xml:space="preserve">PAGE  </w:instrText>
    </w:r>
    <w:r>
      <w:rPr>
        <w:rStyle w:val="1047"/>
      </w:rPr>
      <w:fldChar w:fldCharType="end"/>
    </w:r>
    <w:r/>
  </w:p>
  <w:p>
    <w:pPr>
      <w:pStyle w:val="1026"/>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47"/>
      </w:rPr>
      <w:framePr w:wrap="around" w:vAnchor="text" w:hAnchor="margin" w:xAlign="right" w:y="1"/>
    </w:pPr>
    <w:r>
      <w:rPr>
        <w:rStyle w:val="1047"/>
      </w:rPr>
      <w:fldChar w:fldCharType="begin"/>
    </w:r>
    <w:r>
      <w:rPr>
        <w:rStyle w:val="1047"/>
      </w:rPr>
      <w:instrText xml:space="preserve">PAGE  </w:instrText>
    </w:r>
    <w:r>
      <w:rPr>
        <w:rStyle w:val="1047"/>
      </w:rPr>
      <w:fldChar w:fldCharType="end"/>
    </w:r>
    <w:r/>
  </w:p>
  <w:p>
    <w:pPr>
      <w:pStyle w:val="1026"/>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pPr>
    <w:r>
      <mc:AlternateContent>
        <mc:Choice Requires="wpg">
          <w:drawing>
            <wp:inline xmlns:wp="http://schemas.openxmlformats.org/drawingml/2006/wordprocessingDrawing" distT="0" distB="0" distL="0" distR="0">
              <wp:extent cx="1508760" cy="243840"/>
              <wp:effectExtent l="0" t="0" r="254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pPr>
    <w:r>
      <mc:AlternateContent>
        <mc:Choice Requires="wpg">
          <w:drawing>
            <wp:inline xmlns:wp="http://schemas.openxmlformats.org/drawingml/2006/wordprocessingDrawing" distT="0" distB="0" distL="0" distR="0">
              <wp:extent cx="1508760" cy="243840"/>
              <wp:effectExtent l="0" t="0" r="254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pPr>
    <w:r>
      <mc:AlternateContent>
        <mc:Choice Requires="wpg">
          <w:drawing>
            <wp:inline xmlns:wp="http://schemas.openxmlformats.org/drawingml/2006/wordprocessingDrawing" distT="0" distB="0" distL="0" distR="0">
              <wp:extent cx="1508760" cy="243840"/>
              <wp:effectExtent l="0" t="0" r="2540" b="1016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6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5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5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9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9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0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1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7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34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65"/>
      <w:isLgl w:val="false"/>
      <w:suff w:val="tab"/>
      <w:lvlText w:val="%1"/>
      <w:lvlJc w:val="left"/>
      <w:pPr>
        <w:ind w:left="680" w:hanging="680"/>
      </w:pPr>
      <w:rPr>
        <w:rFonts w:hint="eastAsia" w:ascii="宋体" w:hAnsi="宋体" w:eastAsia="宋体"/>
      </w:rPr>
    </w:lvl>
    <w:lvl w:ilvl="1">
      <w:start w:val="1"/>
      <w:numFmt w:val="decimal"/>
      <w:pStyle w:val="1366"/>
      <w:isLgl w:val="false"/>
      <w:suff w:val="tab"/>
      <w:lvlText w:val="%1.%2"/>
      <w:lvlJc w:val="left"/>
      <w:pPr>
        <w:ind w:left="851" w:hanging="851"/>
      </w:pPr>
      <w:rPr>
        <w:rFonts w:hint="eastAsia" w:ascii="宋体" w:hAnsi="宋体" w:eastAsia="宋体"/>
        <w:color w:val="auto"/>
      </w:rPr>
    </w:lvl>
    <w:lvl w:ilvl="2">
      <w:start w:val="1"/>
      <w:numFmt w:val="decimal"/>
      <w:pStyle w:val="136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26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Heading 1"/>
    <w:basedOn w:val="996"/>
    <w:next w:val="996"/>
    <w:link w:val="1207"/>
    <w:uiPriority w:val="0"/>
    <w:qFormat/>
    <w:pPr>
      <w:jc w:val="center"/>
      <w:keepLines/>
      <w:keepNext/>
      <w:spacing w:before="240" w:after="120" w:line="300" w:lineRule="auto"/>
      <w:outlineLvl w:val="0"/>
    </w:pPr>
    <w:rPr>
      <w:rFonts w:ascii="宋体"/>
      <w:b/>
      <w:sz w:val="32"/>
      <w:szCs w:val="20"/>
    </w:rPr>
  </w:style>
  <w:style w:type="paragraph" w:styleId="998">
    <w:name w:val="Heading 2"/>
    <w:basedOn w:val="996"/>
    <w:next w:val="996"/>
    <w:link w:val="1208"/>
    <w:uiPriority w:val="0"/>
    <w:qFormat/>
    <w:pPr>
      <w:jc w:val="center"/>
      <w:keepLines/>
      <w:keepNext/>
      <w:spacing w:before="120" w:line="300" w:lineRule="auto"/>
      <w:outlineLvl w:val="1"/>
    </w:pPr>
    <w:rPr>
      <w:rFonts w:ascii="Arial" w:hAnsi="Arial" w:eastAsia="黑体"/>
      <w:b/>
      <w:sz w:val="30"/>
      <w:szCs w:val="20"/>
    </w:rPr>
  </w:style>
  <w:style w:type="paragraph" w:styleId="999">
    <w:name w:val="Heading 3"/>
    <w:basedOn w:val="996"/>
    <w:next w:val="996"/>
    <w:link w:val="1209"/>
    <w:uiPriority w:val="0"/>
    <w:qFormat/>
    <w:pPr>
      <w:jc w:val="left"/>
      <w:keepLines/>
      <w:keepNext/>
      <w:spacing w:before="360" w:after="120"/>
      <w:outlineLvl w:val="2"/>
    </w:pPr>
    <w:rPr>
      <w:rFonts w:ascii="宋体"/>
      <w:b/>
      <w:sz w:val="24"/>
      <w:szCs w:val="20"/>
      <w:u w:val="single"/>
    </w:rPr>
  </w:style>
  <w:style w:type="paragraph" w:styleId="1000">
    <w:name w:val="Heading 4"/>
    <w:basedOn w:val="996"/>
    <w:next w:val="996"/>
    <w:link w:val="1210"/>
    <w:uiPriority w:val="0"/>
    <w:qFormat/>
    <w:pPr>
      <w:keepLines/>
      <w:keepNext/>
      <w:spacing w:before="280" w:after="290" w:line="376" w:lineRule="atLeast"/>
      <w:outlineLvl w:val="3"/>
    </w:pPr>
    <w:rPr>
      <w:rFonts w:ascii="Arial" w:hAnsi="Arial" w:eastAsia="黑体"/>
      <w:b/>
      <w:sz w:val="28"/>
      <w:szCs w:val="20"/>
    </w:rPr>
  </w:style>
  <w:style w:type="paragraph" w:styleId="1001">
    <w:name w:val="Heading 5"/>
    <w:basedOn w:val="996"/>
    <w:next w:val="996"/>
    <w:link w:val="1211"/>
    <w:uiPriority w:val="0"/>
    <w:qFormat/>
    <w:pPr>
      <w:keepLines/>
      <w:keepNext/>
      <w:spacing w:before="280" w:after="290" w:line="376" w:lineRule="atLeast"/>
      <w:outlineLvl w:val="4"/>
    </w:pPr>
    <w:rPr>
      <w:b/>
      <w:sz w:val="28"/>
      <w:szCs w:val="20"/>
    </w:rPr>
  </w:style>
  <w:style w:type="paragraph" w:styleId="1002">
    <w:name w:val="Heading 6"/>
    <w:basedOn w:val="996"/>
    <w:next w:val="996"/>
    <w:link w:val="1212"/>
    <w:uiPriority w:val="0"/>
    <w:qFormat/>
    <w:pPr>
      <w:keepLines/>
      <w:keepNext/>
      <w:spacing w:before="240" w:after="64" w:line="320" w:lineRule="atLeast"/>
      <w:outlineLvl w:val="5"/>
    </w:pPr>
    <w:rPr>
      <w:rFonts w:ascii="Arial" w:hAnsi="Arial" w:eastAsia="黑体"/>
      <w:b/>
      <w:sz w:val="24"/>
      <w:szCs w:val="20"/>
    </w:rPr>
  </w:style>
  <w:style w:type="paragraph" w:styleId="1003">
    <w:name w:val="Heading 7"/>
    <w:basedOn w:val="996"/>
    <w:next w:val="996"/>
    <w:link w:val="1213"/>
    <w:uiPriority w:val="0"/>
    <w:qFormat/>
    <w:pPr>
      <w:keepLines/>
      <w:keepNext/>
      <w:spacing w:before="240" w:after="64" w:line="320" w:lineRule="atLeast"/>
      <w:outlineLvl w:val="6"/>
    </w:pPr>
    <w:rPr>
      <w:b/>
      <w:sz w:val="24"/>
      <w:szCs w:val="20"/>
    </w:rPr>
  </w:style>
  <w:style w:type="paragraph" w:styleId="1004">
    <w:name w:val="Heading 8"/>
    <w:basedOn w:val="996"/>
    <w:next w:val="996"/>
    <w:link w:val="1214"/>
    <w:uiPriority w:val="0"/>
    <w:qFormat/>
    <w:pPr>
      <w:keepLines/>
      <w:keepNext/>
      <w:spacing w:before="240" w:after="64" w:line="320" w:lineRule="atLeast"/>
      <w:outlineLvl w:val="7"/>
    </w:pPr>
    <w:rPr>
      <w:rFonts w:ascii="Arial" w:hAnsi="Arial" w:eastAsia="黑体"/>
      <w:sz w:val="24"/>
      <w:szCs w:val="20"/>
    </w:rPr>
  </w:style>
  <w:style w:type="paragraph" w:styleId="1005">
    <w:name w:val="Heading 9"/>
    <w:basedOn w:val="996"/>
    <w:next w:val="996"/>
    <w:link w:val="1215"/>
    <w:uiPriority w:val="0"/>
    <w:qFormat/>
    <w:pPr>
      <w:keepLines/>
      <w:keepNext/>
      <w:spacing w:before="240" w:after="64" w:line="320" w:lineRule="atLeast"/>
      <w:outlineLvl w:val="8"/>
    </w:pPr>
    <w:rPr>
      <w:rFonts w:ascii="Arial" w:hAnsi="Arial" w:eastAsia="黑体"/>
      <w:szCs w:val="20"/>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0"/>
    <w:qFormat/>
    <w:pPr>
      <w:ind w:left="2520"/>
    </w:pPr>
  </w:style>
  <w:style w:type="paragraph" w:styleId="1009">
    <w:name w:val="Normal Indent"/>
    <w:basedOn w:val="996"/>
    <w:link w:val="1216"/>
    <w:uiPriority w:val="0"/>
    <w:qFormat/>
    <w:pPr>
      <w:ind w:firstLine="420"/>
      <w:jc w:val="left"/>
    </w:pPr>
    <w:rPr>
      <w:rFonts w:ascii="宋体"/>
      <w:sz w:val="24"/>
    </w:rPr>
  </w:style>
  <w:style w:type="paragraph" w:styleId="1010">
    <w:name w:val="Caption"/>
    <w:basedOn w:val="996"/>
    <w:next w:val="996"/>
    <w:uiPriority w:val="0"/>
    <w:qFormat/>
    <w:pPr>
      <w:spacing w:line="480" w:lineRule="auto"/>
    </w:pPr>
    <w:rPr>
      <w:rFonts w:ascii="华文中宋" w:hAnsi="华文中宋" w:eastAsia="华文中宋"/>
      <w:sz w:val="36"/>
      <w:szCs w:val="20"/>
    </w:rPr>
  </w:style>
  <w:style w:type="paragraph" w:styleId="1011">
    <w:name w:val="Document Map"/>
    <w:basedOn w:val="996"/>
    <w:link w:val="1217"/>
    <w:uiPriority w:val="0"/>
    <w:qFormat/>
    <w:pPr>
      <w:shd w:val="clear" w:color="auto" w:fill="000080"/>
    </w:pPr>
  </w:style>
  <w:style w:type="paragraph" w:styleId="1012">
    <w:name w:val="annotation text"/>
    <w:basedOn w:val="996"/>
    <w:link w:val="1218"/>
    <w:uiPriority w:val="0"/>
    <w:qFormat/>
    <w:pPr>
      <w:jc w:val="left"/>
    </w:pPr>
  </w:style>
  <w:style w:type="paragraph" w:styleId="1013">
    <w:name w:val="Body Text 3"/>
    <w:basedOn w:val="996"/>
    <w:link w:val="1219"/>
    <w:uiPriority w:val="0"/>
    <w:qFormat/>
    <w:pPr>
      <w:spacing w:after="120"/>
    </w:pPr>
    <w:rPr>
      <w:sz w:val="16"/>
      <w:szCs w:val="16"/>
    </w:rPr>
  </w:style>
  <w:style w:type="paragraph" w:styleId="1014">
    <w:name w:val="Body Text"/>
    <w:basedOn w:val="996"/>
    <w:next w:val="996"/>
    <w:link w:val="1220"/>
    <w:uiPriority w:val="0"/>
    <w:qFormat/>
    <w:pPr>
      <w:spacing w:before="120" w:line="22" w:lineRule="atLeast"/>
      <w:tabs>
        <w:tab w:val="left" w:pos="567" w:leader="none"/>
      </w:tabs>
    </w:pPr>
    <w:rPr>
      <w:rFonts w:ascii="宋体" w:hAnsi="宋体"/>
      <w:sz w:val="24"/>
    </w:rPr>
  </w:style>
  <w:style w:type="paragraph" w:styleId="1015">
    <w:name w:val="Body Text Indent"/>
    <w:basedOn w:val="996"/>
    <w:link w:val="1221"/>
    <w:uiPriority w:val="99"/>
    <w:qFormat/>
    <w:pPr>
      <w:ind w:firstLine="570"/>
      <w:spacing w:line="360" w:lineRule="auto"/>
    </w:pPr>
    <w:rPr>
      <w:sz w:val="24"/>
    </w:rPr>
  </w:style>
  <w:style w:type="paragraph" w:styleId="1016">
    <w:name w:val="List 2"/>
    <w:basedOn w:val="996"/>
    <w:uiPriority w:val="0"/>
    <w:qFormat/>
    <w:pPr>
      <w:ind w:left="100" w:hanging="200"/>
    </w:pPr>
  </w:style>
  <w:style w:type="paragraph" w:styleId="1017">
    <w:name w:val="Block Text"/>
    <w:basedOn w:val="996"/>
    <w:uiPriority w:val="0"/>
    <w:qFormat/>
    <w:pPr>
      <w:ind w:left="480" w:right="-341" w:firstLine="513"/>
      <w:widowControl/>
    </w:pPr>
    <w:rPr>
      <w:sz w:val="24"/>
      <w:szCs w:val="20"/>
    </w:rPr>
  </w:style>
  <w:style w:type="paragraph" w:styleId="1018">
    <w:name w:val="toc 5"/>
    <w:basedOn w:val="996"/>
    <w:next w:val="996"/>
    <w:uiPriority w:val="0"/>
    <w:qFormat/>
    <w:pPr>
      <w:ind w:left="1680"/>
    </w:pPr>
  </w:style>
  <w:style w:type="paragraph" w:styleId="1019">
    <w:name w:val="toc 3"/>
    <w:basedOn w:val="996"/>
    <w:next w:val="996"/>
    <w:uiPriority w:val="39"/>
    <w:qFormat/>
    <w:pPr>
      <w:ind w:left="840"/>
    </w:pPr>
  </w:style>
  <w:style w:type="paragraph" w:styleId="1020">
    <w:name w:val="Plain Text"/>
    <w:basedOn w:val="996"/>
    <w:link w:val="1222"/>
    <w:uiPriority w:val="99"/>
    <w:qFormat/>
    <w:rPr>
      <w:rFonts w:hint="eastAsia" w:ascii="宋体" w:hAnsi="Courier New"/>
      <w:szCs w:val="20"/>
    </w:rPr>
  </w:style>
  <w:style w:type="paragraph" w:styleId="1021">
    <w:name w:val="toc 8"/>
    <w:basedOn w:val="996"/>
    <w:next w:val="996"/>
    <w:uiPriority w:val="0"/>
    <w:qFormat/>
    <w:pPr>
      <w:ind w:left="2940"/>
    </w:pPr>
  </w:style>
  <w:style w:type="paragraph" w:styleId="1022">
    <w:name w:val="Date"/>
    <w:basedOn w:val="996"/>
    <w:next w:val="996"/>
    <w:link w:val="1223"/>
    <w:uiPriority w:val="0"/>
    <w:qFormat/>
    <w:pPr>
      <w:ind w:left="100"/>
    </w:pPr>
    <w:rPr>
      <w:rFonts w:ascii="仿宋_GB2312" w:hAnsi="宋体" w:eastAsia="仿宋_GB2312"/>
      <w:color w:val="000000"/>
      <w:sz w:val="24"/>
    </w:rPr>
  </w:style>
  <w:style w:type="paragraph" w:styleId="1023">
    <w:name w:val="Body Text Indent 2"/>
    <w:basedOn w:val="996"/>
    <w:link w:val="1224"/>
    <w:uiPriority w:val="0"/>
    <w:qFormat/>
    <w:pPr>
      <w:ind w:firstLine="480"/>
    </w:pPr>
    <w:rPr>
      <w:rFonts w:ascii="仿宋_GB2312" w:eastAsia="仿宋_GB2312"/>
      <w:sz w:val="24"/>
    </w:rPr>
  </w:style>
  <w:style w:type="paragraph" w:styleId="1024">
    <w:name w:val="endnote text"/>
    <w:basedOn w:val="996"/>
    <w:link w:val="1205"/>
    <w:uiPriority w:val="99"/>
    <w:semiHidden/>
    <w:unhideWhenUsed/>
    <w:qFormat/>
    <w:pPr>
      <w:spacing w:after="0" w:line="240" w:lineRule="auto"/>
    </w:pPr>
    <w:rPr>
      <w:sz w:val="20"/>
    </w:rPr>
  </w:style>
  <w:style w:type="paragraph" w:styleId="1025">
    <w:name w:val="Balloon Text"/>
    <w:basedOn w:val="996"/>
    <w:link w:val="1225"/>
    <w:uiPriority w:val="0"/>
    <w:qFormat/>
    <w:rPr>
      <w:sz w:val="18"/>
      <w:szCs w:val="18"/>
    </w:rPr>
  </w:style>
  <w:style w:type="paragraph" w:styleId="1026">
    <w:name w:val="Footer"/>
    <w:basedOn w:val="996"/>
    <w:link w:val="1226"/>
    <w:uiPriority w:val="99"/>
    <w:qFormat/>
    <w:pPr>
      <w:jc w:val="left"/>
      <w:tabs>
        <w:tab w:val="center" w:pos="4153" w:leader="none"/>
        <w:tab w:val="right" w:pos="8306" w:leader="none"/>
      </w:tabs>
    </w:pPr>
    <w:rPr>
      <w:rFonts w:ascii="宋体"/>
      <w:sz w:val="18"/>
      <w:szCs w:val="20"/>
    </w:rPr>
  </w:style>
  <w:style w:type="paragraph" w:styleId="1027">
    <w:name w:val="Header"/>
    <w:basedOn w:val="996"/>
    <w:link w:val="1227"/>
    <w:uiPriority w:val="0"/>
    <w:qFormat/>
    <w:pPr>
      <w:jc w:val="center"/>
      <w:tabs>
        <w:tab w:val="center" w:pos="4153" w:leader="none"/>
        <w:tab w:val="right" w:pos="8306" w:leader="none"/>
      </w:tabs>
      <w:pBdr>
        <w:bottom w:val="single" w:color="auto" w:sz="6" w:space="1"/>
      </w:pBdr>
    </w:pPr>
    <w:rPr>
      <w:sz w:val="18"/>
      <w:szCs w:val="18"/>
    </w:rPr>
  </w:style>
  <w:style w:type="paragraph" w:styleId="1028">
    <w:name w:val="toc 1"/>
    <w:basedOn w:val="996"/>
    <w:next w:val="996"/>
    <w:uiPriority w:val="39"/>
    <w:qFormat/>
    <w:pPr>
      <w:spacing w:line="300" w:lineRule="auto"/>
      <w:tabs>
        <w:tab w:val="left" w:pos="1050" w:leader="none"/>
        <w:tab w:val="right" w:pos="8937" w:leader="dot"/>
      </w:tabs>
    </w:pPr>
    <w:rPr>
      <w:rFonts w:ascii="宋体" w:hAnsi="宋体"/>
      <w:b/>
      <w:sz w:val="24"/>
    </w:rPr>
  </w:style>
  <w:style w:type="paragraph" w:styleId="1029">
    <w:name w:val="toc 4"/>
    <w:basedOn w:val="996"/>
    <w:next w:val="996"/>
    <w:uiPriority w:val="0"/>
    <w:qFormat/>
    <w:pPr>
      <w:ind w:left="1260"/>
    </w:pPr>
  </w:style>
  <w:style w:type="paragraph" w:styleId="1030">
    <w:name w:val="Subtitle"/>
    <w:basedOn w:val="996"/>
    <w:next w:val="996"/>
    <w:link w:val="1071"/>
    <w:uiPriority w:val="11"/>
    <w:qFormat/>
    <w:pPr>
      <w:spacing w:before="200" w:after="200"/>
    </w:pPr>
    <w:rPr>
      <w:sz w:val="24"/>
      <w:szCs w:val="24"/>
    </w:rPr>
  </w:style>
  <w:style w:type="paragraph" w:styleId="1031">
    <w:name w:val="footnote text"/>
    <w:basedOn w:val="996"/>
    <w:link w:val="1204"/>
    <w:uiPriority w:val="99"/>
    <w:semiHidden/>
    <w:unhideWhenUsed/>
    <w:qFormat/>
    <w:pPr>
      <w:spacing w:after="40" w:line="240" w:lineRule="auto"/>
    </w:pPr>
    <w:rPr>
      <w:sz w:val="18"/>
    </w:rPr>
  </w:style>
  <w:style w:type="paragraph" w:styleId="1032">
    <w:name w:val="toc 6"/>
    <w:basedOn w:val="996"/>
    <w:next w:val="996"/>
    <w:uiPriority w:val="0"/>
    <w:qFormat/>
    <w:pPr>
      <w:ind w:left="2100"/>
    </w:pPr>
  </w:style>
  <w:style w:type="paragraph" w:styleId="1033">
    <w:name w:val="Body Text Indent 3"/>
    <w:basedOn w:val="996"/>
    <w:link w:val="1228"/>
    <w:uiPriority w:val="0"/>
    <w:qFormat/>
    <w:pPr>
      <w:ind w:left="720" w:firstLine="480"/>
      <w:jc w:val="left"/>
      <w:spacing w:before="120" w:line="22" w:lineRule="atLeast"/>
    </w:pPr>
    <w:rPr>
      <w:rFonts w:ascii="宋体"/>
      <w:sz w:val="24"/>
      <w:szCs w:val="20"/>
    </w:rPr>
  </w:style>
  <w:style w:type="paragraph" w:styleId="1034">
    <w:name w:val="table of figures"/>
    <w:basedOn w:val="996"/>
    <w:next w:val="996"/>
    <w:uiPriority w:val="99"/>
    <w:unhideWhenUsed/>
    <w:qFormat/>
    <w:pPr>
      <w:spacing w:after="0" w:afterAutospacing="0"/>
    </w:pPr>
  </w:style>
  <w:style w:type="paragraph" w:styleId="1035">
    <w:name w:val="toc 2"/>
    <w:basedOn w:val="996"/>
    <w:next w:val="996"/>
    <w:uiPriority w:val="39"/>
    <w:qFormat/>
    <w:pPr>
      <w:ind w:left="420"/>
      <w:spacing w:line="312" w:lineRule="auto"/>
      <w:tabs>
        <w:tab w:val="right" w:pos="8937" w:leader="dot"/>
      </w:tabs>
    </w:pPr>
  </w:style>
  <w:style w:type="paragraph" w:styleId="1036">
    <w:name w:val="toc 9"/>
    <w:basedOn w:val="996"/>
    <w:next w:val="996"/>
    <w:uiPriority w:val="0"/>
    <w:qFormat/>
    <w:pPr>
      <w:ind w:left="3360"/>
    </w:pPr>
  </w:style>
  <w:style w:type="paragraph" w:styleId="1037">
    <w:name w:val="HTML Preformatted"/>
    <w:basedOn w:val="996"/>
    <w:link w:val="12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8">
    <w:name w:val="Normal (Web)"/>
    <w:basedOn w:val="996"/>
    <w:link w:val="1230"/>
    <w:uiPriority w:val="99"/>
    <w:unhideWhenUsed/>
    <w:qFormat/>
    <w:pPr>
      <w:jc w:val="left"/>
      <w:spacing w:before="100" w:beforeAutospacing="1" w:after="100" w:afterAutospacing="1"/>
      <w:widowControl/>
    </w:pPr>
    <w:rPr>
      <w:rFonts w:ascii="宋体" w:hAnsi="宋体"/>
      <w:sz w:val="24"/>
    </w:rPr>
  </w:style>
  <w:style w:type="paragraph" w:styleId="1039">
    <w:name w:val="index 1"/>
    <w:basedOn w:val="996"/>
    <w:next w:val="996"/>
    <w:uiPriority w:val="0"/>
    <w:qFormat/>
    <w:rPr>
      <w:szCs w:val="20"/>
    </w:rPr>
  </w:style>
  <w:style w:type="paragraph" w:styleId="1040">
    <w:name w:val="Title"/>
    <w:basedOn w:val="996"/>
    <w:link w:val="1231"/>
    <w:uiPriority w:val="0"/>
    <w:qFormat/>
    <w:pPr>
      <w:jc w:val="center"/>
      <w:outlineLvl w:val="0"/>
    </w:pPr>
    <w:rPr>
      <w:b/>
      <w:sz w:val="32"/>
      <w:szCs w:val="20"/>
    </w:rPr>
  </w:style>
  <w:style w:type="paragraph" w:styleId="1041">
    <w:name w:val="annotation subject"/>
    <w:basedOn w:val="1012"/>
    <w:next w:val="1012"/>
    <w:link w:val="1232"/>
    <w:uiPriority w:val="0"/>
    <w:qFormat/>
    <w:rPr>
      <w:b/>
      <w:bCs/>
    </w:rPr>
  </w:style>
  <w:style w:type="paragraph" w:styleId="1042">
    <w:name w:val="Body Text First Indent 2"/>
    <w:basedOn w:val="1015"/>
    <w:next w:val="996"/>
    <w:link w:val="1233"/>
    <w:uiPriority w:val="0"/>
    <w:qFormat/>
    <w:pPr>
      <w:ind w:left="420" w:firstLine="420"/>
      <w:spacing w:after="120" w:line="480" w:lineRule="exact"/>
    </w:pPr>
  </w:style>
  <w:style w:type="table" w:styleId="1043">
    <w:name w:val="Table Grid"/>
    <w:basedOn w:val="10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4">
    <w:name w:val="Medium Grid 1 Accent 2"/>
    <w:basedOn w:val="100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5">
    <w:name w:val="Strong"/>
    <w:uiPriority w:val="0"/>
    <w:qFormat/>
    <w:rPr>
      <w:b/>
      <w:bCs/>
    </w:rPr>
  </w:style>
  <w:style w:type="character" w:styleId="1046">
    <w:name w:val="endnote reference"/>
    <w:basedOn w:val="1006"/>
    <w:uiPriority w:val="99"/>
    <w:semiHidden/>
    <w:unhideWhenUsed/>
    <w:qFormat/>
    <w:rPr>
      <w:vertAlign w:val="superscript"/>
    </w:rPr>
  </w:style>
  <w:style w:type="character" w:styleId="1047">
    <w:name w:val="page number"/>
    <w:uiPriority w:val="0"/>
    <w:qFormat/>
  </w:style>
  <w:style w:type="character" w:styleId="1048">
    <w:name w:val="FollowedHyperlink"/>
    <w:uiPriority w:val="0"/>
    <w:qFormat/>
    <w:rPr>
      <w:color w:val="000000"/>
      <w:u w:val="none"/>
    </w:rPr>
  </w:style>
  <w:style w:type="character" w:styleId="1049">
    <w:name w:val="Emphasis"/>
    <w:uiPriority w:val="0"/>
    <w:qFormat/>
    <w:rPr>
      <w:color w:val="cc0033"/>
    </w:rPr>
  </w:style>
  <w:style w:type="character" w:styleId="1050">
    <w:name w:val="HTML Definition"/>
    <w:uiPriority w:val="0"/>
    <w:qFormat/>
  </w:style>
  <w:style w:type="character" w:styleId="1051">
    <w:name w:val="HTML Typewriter"/>
    <w:uiPriority w:val="0"/>
    <w:qFormat/>
    <w:rPr>
      <w:rFonts w:hint="default" w:ascii="monospace" w:hAnsi="monospace" w:eastAsia="monospace" w:cs="monospace"/>
      <w:sz w:val="20"/>
    </w:rPr>
  </w:style>
  <w:style w:type="character" w:styleId="1052">
    <w:name w:val="HTML Acronym"/>
    <w:uiPriority w:val="0"/>
    <w:qFormat/>
  </w:style>
  <w:style w:type="character" w:styleId="1053">
    <w:name w:val="HTML Variable"/>
    <w:uiPriority w:val="0"/>
    <w:qFormat/>
  </w:style>
  <w:style w:type="character" w:styleId="1054">
    <w:name w:val="Hyperlink"/>
    <w:uiPriority w:val="99"/>
    <w:qFormat/>
    <w:rPr>
      <w:color w:val="000000"/>
      <w:u w:val="none"/>
    </w:rPr>
  </w:style>
  <w:style w:type="character" w:styleId="1055">
    <w:name w:val="HTML Code"/>
    <w:uiPriority w:val="0"/>
    <w:qFormat/>
    <w:rPr>
      <w:rFonts w:hint="default" w:ascii="monospace" w:hAnsi="monospace" w:eastAsia="monospace" w:cs="monospace"/>
      <w:sz w:val="20"/>
    </w:rPr>
  </w:style>
  <w:style w:type="character" w:styleId="1056">
    <w:name w:val="annotation reference"/>
    <w:uiPriority w:val="99"/>
    <w:qFormat/>
    <w:rPr>
      <w:sz w:val="21"/>
      <w:szCs w:val="21"/>
    </w:rPr>
  </w:style>
  <w:style w:type="character" w:styleId="1057">
    <w:name w:val="HTML Cite"/>
    <w:uiPriority w:val="0"/>
    <w:qFormat/>
    <w:rPr>
      <w:i/>
      <w:iCs/>
    </w:rPr>
  </w:style>
  <w:style w:type="character" w:styleId="1058">
    <w:name w:val="footnote reference"/>
    <w:basedOn w:val="1006"/>
    <w:uiPriority w:val="99"/>
    <w:unhideWhenUsed/>
    <w:qFormat/>
    <w:rPr>
      <w:vertAlign w:val="superscript"/>
    </w:rPr>
  </w:style>
  <w:style w:type="character" w:styleId="1059">
    <w:name w:val="HTML Keyboard"/>
    <w:uiPriority w:val="0"/>
    <w:qFormat/>
    <w:rPr>
      <w:rFonts w:hint="default" w:ascii="monospace" w:hAnsi="monospace" w:eastAsia="monospace" w:cs="monospace"/>
      <w:sz w:val="20"/>
    </w:rPr>
  </w:style>
  <w:style w:type="character" w:styleId="1060">
    <w:name w:val="HTML Sample"/>
    <w:uiPriority w:val="0"/>
    <w:qFormat/>
    <w:rPr>
      <w:rFonts w:ascii="monospace" w:hAnsi="monospace" w:eastAsia="monospace" w:cs="monospace"/>
    </w:rPr>
  </w:style>
  <w:style w:type="character" w:styleId="1061" w:customStyle="1">
    <w:name w:val="Heading 1 Char"/>
    <w:basedOn w:val="1006"/>
    <w:uiPriority w:val="9"/>
    <w:rPr>
      <w:rFonts w:ascii="Arial" w:hAnsi="Arial" w:eastAsia="Arial" w:cs="Arial"/>
      <w:sz w:val="40"/>
      <w:szCs w:val="40"/>
    </w:rPr>
  </w:style>
  <w:style w:type="character" w:styleId="1062" w:customStyle="1">
    <w:name w:val="Heading 2 Char"/>
    <w:basedOn w:val="1006"/>
    <w:uiPriority w:val="9"/>
    <w:qFormat/>
    <w:rPr>
      <w:rFonts w:ascii="Arial" w:hAnsi="Arial" w:eastAsia="Arial" w:cs="Arial"/>
      <w:sz w:val="34"/>
    </w:rPr>
  </w:style>
  <w:style w:type="character" w:styleId="1063" w:customStyle="1">
    <w:name w:val="Heading 3 Char"/>
    <w:basedOn w:val="1006"/>
    <w:uiPriority w:val="9"/>
    <w:qFormat/>
    <w:rPr>
      <w:rFonts w:ascii="Arial" w:hAnsi="Arial" w:eastAsia="Arial" w:cs="Arial"/>
      <w:sz w:val="30"/>
      <w:szCs w:val="30"/>
    </w:rPr>
  </w:style>
  <w:style w:type="character" w:styleId="1064" w:customStyle="1">
    <w:name w:val="Heading 4 Char"/>
    <w:basedOn w:val="1006"/>
    <w:uiPriority w:val="9"/>
    <w:qFormat/>
    <w:rPr>
      <w:rFonts w:ascii="Arial" w:hAnsi="Arial" w:eastAsia="Arial" w:cs="Arial"/>
      <w:b/>
      <w:bCs/>
      <w:sz w:val="26"/>
      <w:szCs w:val="26"/>
    </w:rPr>
  </w:style>
  <w:style w:type="character" w:styleId="1065" w:customStyle="1">
    <w:name w:val="Heading 5 Char"/>
    <w:basedOn w:val="1006"/>
    <w:uiPriority w:val="9"/>
    <w:qFormat/>
    <w:rPr>
      <w:rFonts w:ascii="Arial" w:hAnsi="Arial" w:eastAsia="Arial" w:cs="Arial"/>
      <w:b/>
      <w:bCs/>
      <w:sz w:val="24"/>
      <w:szCs w:val="24"/>
    </w:rPr>
  </w:style>
  <w:style w:type="character" w:styleId="1066" w:customStyle="1">
    <w:name w:val="Heading 6 Char"/>
    <w:basedOn w:val="1006"/>
    <w:uiPriority w:val="9"/>
    <w:rPr>
      <w:rFonts w:ascii="Arial" w:hAnsi="Arial" w:eastAsia="Arial" w:cs="Arial"/>
      <w:b/>
      <w:bCs/>
      <w:sz w:val="22"/>
      <w:szCs w:val="22"/>
    </w:rPr>
  </w:style>
  <w:style w:type="character" w:styleId="1067" w:customStyle="1">
    <w:name w:val="Heading 7 Char"/>
    <w:basedOn w:val="1006"/>
    <w:uiPriority w:val="9"/>
    <w:rPr>
      <w:rFonts w:ascii="Arial" w:hAnsi="Arial" w:eastAsia="Arial" w:cs="Arial"/>
      <w:b/>
      <w:bCs/>
      <w:i/>
      <w:iCs/>
      <w:sz w:val="22"/>
      <w:szCs w:val="22"/>
    </w:rPr>
  </w:style>
  <w:style w:type="character" w:styleId="1068" w:customStyle="1">
    <w:name w:val="Heading 8 Char"/>
    <w:basedOn w:val="1006"/>
    <w:uiPriority w:val="9"/>
    <w:qFormat/>
    <w:rPr>
      <w:rFonts w:ascii="Arial" w:hAnsi="Arial" w:eastAsia="Arial" w:cs="Arial"/>
      <w:i/>
      <w:iCs/>
      <w:sz w:val="22"/>
      <w:szCs w:val="22"/>
    </w:rPr>
  </w:style>
  <w:style w:type="character" w:styleId="1069" w:customStyle="1">
    <w:name w:val="Heading 9 Char"/>
    <w:basedOn w:val="1006"/>
    <w:uiPriority w:val="9"/>
    <w:rPr>
      <w:rFonts w:ascii="Arial" w:hAnsi="Arial" w:eastAsia="Arial" w:cs="Arial"/>
      <w:i/>
      <w:iCs/>
      <w:sz w:val="21"/>
      <w:szCs w:val="21"/>
    </w:rPr>
  </w:style>
  <w:style w:type="character" w:styleId="1070" w:customStyle="1">
    <w:name w:val="Title Char"/>
    <w:basedOn w:val="1006"/>
    <w:uiPriority w:val="10"/>
    <w:qFormat/>
    <w:rPr>
      <w:sz w:val="48"/>
      <w:szCs w:val="48"/>
    </w:rPr>
  </w:style>
  <w:style w:type="character" w:styleId="1071" w:customStyle="1">
    <w:name w:val="Subtitle Char"/>
    <w:basedOn w:val="1006"/>
    <w:link w:val="1030"/>
    <w:uiPriority w:val="11"/>
    <w:qFormat/>
    <w:rPr>
      <w:sz w:val="24"/>
      <w:szCs w:val="24"/>
    </w:rPr>
  </w:style>
  <w:style w:type="paragraph" w:styleId="1072">
    <w:name w:val="Quote"/>
    <w:basedOn w:val="996"/>
    <w:next w:val="996"/>
    <w:link w:val="1073"/>
    <w:uiPriority w:val="29"/>
    <w:qFormat/>
    <w:pPr>
      <w:ind w:left="720" w:right="720"/>
    </w:pPr>
    <w:rPr>
      <w:i/>
    </w:rPr>
  </w:style>
  <w:style w:type="character" w:styleId="1073" w:customStyle="1">
    <w:name w:val="Quote Char"/>
    <w:link w:val="1072"/>
    <w:uiPriority w:val="29"/>
    <w:qFormat/>
    <w:rPr>
      <w:i/>
    </w:rPr>
  </w:style>
  <w:style w:type="paragraph" w:styleId="1074">
    <w:name w:val="Intense Quote"/>
    <w:basedOn w:val="996"/>
    <w:next w:val="996"/>
    <w:link w:val="10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Intense Quote Char"/>
    <w:link w:val="1074"/>
    <w:uiPriority w:val="30"/>
    <w:qFormat/>
    <w:rPr>
      <w:i/>
    </w:rPr>
  </w:style>
  <w:style w:type="character" w:styleId="1076" w:customStyle="1">
    <w:name w:val="Header Char"/>
    <w:basedOn w:val="1006"/>
    <w:uiPriority w:val="99"/>
  </w:style>
  <w:style w:type="character" w:styleId="1077" w:customStyle="1">
    <w:name w:val="Footer Char"/>
    <w:basedOn w:val="1006"/>
    <w:uiPriority w:val="99"/>
    <w:qFormat/>
  </w:style>
  <w:style w:type="character" w:styleId="1078" w:customStyle="1">
    <w:name w:val="Caption Char"/>
    <w:uiPriority w:val="99"/>
    <w:qFormat/>
  </w:style>
  <w:style w:type="table" w:styleId="1079" w:customStyle="1">
    <w:name w:val="Table Grid Light"/>
    <w:basedOn w:val="10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0" w:customStyle="1">
    <w:name w:val="Plain Table 1"/>
    <w:basedOn w:val="10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Plain Table 2"/>
    <w:basedOn w:val="10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3"/>
    <w:basedOn w:val="10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customStyle="1">
    <w:name w:val="Plain Table 4"/>
    <w:basedOn w:val="10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customStyle="1">
    <w:name w:val="Plain Table 5"/>
    <w:basedOn w:val="10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5" w:customStyle="1">
    <w:name w:val="Grid Table 1 Light"/>
    <w:basedOn w:val="100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1"/>
    <w:basedOn w:val="1007"/>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2"/>
    <w:basedOn w:val="10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3"/>
    <w:basedOn w:val="10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4"/>
    <w:basedOn w:val="10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5"/>
    <w:basedOn w:val="10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6"/>
    <w:basedOn w:val="1007"/>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2" w:customStyle="1">
    <w:name w:val="Grid Table 2"/>
    <w:basedOn w:val="100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3" w:customStyle="1">
    <w:name w:val="Grid Table 2 - Accent 1"/>
    <w:basedOn w:val="1007"/>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4" w:customStyle="1">
    <w:name w:val="Grid Table 2 - Accent 2"/>
    <w:basedOn w:val="10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2 - Accent 3"/>
    <w:basedOn w:val="1007"/>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2 - Accent 4"/>
    <w:basedOn w:val="10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2 - Accent 5"/>
    <w:basedOn w:val="1007"/>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8" w:customStyle="1">
    <w:name w:val="Grid Table 2 - Accent 6"/>
    <w:basedOn w:val="10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9" w:customStyle="1">
    <w:name w:val="Grid Table 3"/>
    <w:basedOn w:val="10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1"/>
    <w:basedOn w:val="1007"/>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2"/>
    <w:basedOn w:val="1007"/>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3"/>
    <w:basedOn w:val="1007"/>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4"/>
    <w:basedOn w:val="10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5"/>
    <w:basedOn w:val="1007"/>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6"/>
    <w:basedOn w:val="1007"/>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4"/>
    <w:basedOn w:val="100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7" w:customStyle="1">
    <w:name w:val="Grid Table 4 - Accent 1"/>
    <w:basedOn w:val="1007"/>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8" w:customStyle="1">
    <w:name w:val="Grid Table 4 - Accent 2"/>
    <w:basedOn w:val="10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9" w:customStyle="1">
    <w:name w:val="Grid Table 4 - Accent 3"/>
    <w:basedOn w:val="1007"/>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0" w:customStyle="1">
    <w:name w:val="Grid Table 4 - Accent 4"/>
    <w:basedOn w:val="10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1" w:customStyle="1">
    <w:name w:val="Grid Table 4 - Accent 5"/>
    <w:basedOn w:val="1007"/>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2" w:customStyle="1">
    <w:name w:val="Grid Table 4 - Accent 6"/>
    <w:basedOn w:val="10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3" w:customStyle="1">
    <w:name w:val="Grid Table 5 Dark"/>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4" w:customStyle="1">
    <w:name w:val="Grid Table 5 Dark- Accent 1"/>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5" w:customStyle="1">
    <w:name w:val="Grid Table 5 Dark - Accent 2"/>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6" w:customStyle="1">
    <w:name w:val="Grid Table 5 Dark - Accent 3"/>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7" w:customStyle="1">
    <w:name w:val="Grid Table 5 Dark- Accent 4"/>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8" w:customStyle="1">
    <w:name w:val="Grid Table 5 Dark - Accent 5"/>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9" w:customStyle="1">
    <w:name w:val="Grid Table 5 Dark - Accent 6"/>
    <w:basedOn w:val="100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0" w:customStyle="1">
    <w:name w:val="Grid Table 6 Colorful"/>
    <w:basedOn w:val="100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1" w:customStyle="1">
    <w:name w:val="Grid Table 6 Colorful - Accent 1"/>
    <w:basedOn w:val="1007"/>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2" w:customStyle="1">
    <w:name w:val="Grid Table 6 Colorful - Accent 2"/>
    <w:basedOn w:val="1007"/>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3" w:customStyle="1">
    <w:name w:val="Grid Table 6 Colorful - Accent 3"/>
    <w:basedOn w:val="10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24" w:customStyle="1">
    <w:name w:val="Grid Table 6 Colorful - Accent 4"/>
    <w:basedOn w:val="10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5" w:customStyle="1">
    <w:name w:val="Grid Table 6 Colorful - Accent 5"/>
    <w:basedOn w:val="10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6" w:customStyle="1">
    <w:name w:val="Grid Table 6 Colorful - Accent 6"/>
    <w:basedOn w:val="10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7 Colorful"/>
    <w:basedOn w:val="10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Grid Table 7 Colorful - Accent 1"/>
    <w:basedOn w:val="10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9" w:customStyle="1">
    <w:name w:val="Grid Table 7 Colorful - Accent 2"/>
    <w:basedOn w:val="10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Grid Table 7 Colorful - Accent 3"/>
    <w:basedOn w:val="1007"/>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1" w:customStyle="1">
    <w:name w:val="Grid Table 7 Colorful - Accent 4"/>
    <w:basedOn w:val="1007"/>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Grid Table 7 Colorful - Accent 5"/>
    <w:basedOn w:val="10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3" w:customStyle="1">
    <w:name w:val="Grid Table 7 Colorful - Accent 6"/>
    <w:basedOn w:val="1007"/>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4" w:customStyle="1">
    <w:name w:val="List Table 1 Light"/>
    <w:basedOn w:val="10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5" w:customStyle="1">
    <w:name w:val="List Table 1 Light - Accent 1"/>
    <w:basedOn w:val="10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6" w:customStyle="1">
    <w:name w:val="List Table 1 Light - Accent 2"/>
    <w:basedOn w:val="1007"/>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7" w:customStyle="1">
    <w:name w:val="List Table 1 Light - Accent 3"/>
    <w:basedOn w:val="10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8" w:customStyle="1">
    <w:name w:val="List Table 1 Light - Accent 4"/>
    <w:basedOn w:val="10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9" w:customStyle="1">
    <w:name w:val="List Table 1 Light - Accent 5"/>
    <w:basedOn w:val="10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0" w:customStyle="1">
    <w:name w:val="List Table 1 Light - Accent 6"/>
    <w:basedOn w:val="10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1" w:customStyle="1">
    <w:name w:val="List Table 2"/>
    <w:basedOn w:val="10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2" w:customStyle="1">
    <w:name w:val="List Table 2 - Accent 1"/>
    <w:basedOn w:val="10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3" w:customStyle="1">
    <w:name w:val="List Table 2 - Accent 2"/>
    <w:basedOn w:val="1007"/>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4" w:customStyle="1">
    <w:name w:val="List Table 2 - Accent 3"/>
    <w:basedOn w:val="1007"/>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5" w:customStyle="1">
    <w:name w:val="List Table 2 - Accent 4"/>
    <w:basedOn w:val="10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6" w:customStyle="1">
    <w:name w:val="List Table 2 - Accent 5"/>
    <w:basedOn w:val="10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7" w:customStyle="1">
    <w:name w:val="List Table 2 - Accent 6"/>
    <w:basedOn w:val="10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8" w:customStyle="1">
    <w:name w:val="List Table 3"/>
    <w:basedOn w:val="100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9" w:customStyle="1">
    <w:name w:val="List Table 3 - Accent 1"/>
    <w:basedOn w:val="10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0" w:customStyle="1">
    <w:name w:val="List Table 3 - Accent 2"/>
    <w:basedOn w:val="10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1" w:customStyle="1">
    <w:name w:val="List Table 3 - Accent 3"/>
    <w:basedOn w:val="10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2" w:customStyle="1">
    <w:name w:val="List Table 3 - Accent 4"/>
    <w:basedOn w:val="10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3" w:customStyle="1">
    <w:name w:val="List Table 3 - Accent 5"/>
    <w:basedOn w:val="10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4" w:customStyle="1">
    <w:name w:val="List Table 3 - Accent 6"/>
    <w:basedOn w:val="1007"/>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5" w:customStyle="1">
    <w:name w:val="List Table 4"/>
    <w:basedOn w:val="10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6" w:customStyle="1">
    <w:name w:val="List Table 4 - Accent 1"/>
    <w:basedOn w:val="1007"/>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7" w:customStyle="1">
    <w:name w:val="List Table 4 - Accent 2"/>
    <w:basedOn w:val="1007"/>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8" w:customStyle="1">
    <w:name w:val="List Table 4 - Accent 3"/>
    <w:basedOn w:val="10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9" w:customStyle="1">
    <w:name w:val="List Table 4 - Accent 4"/>
    <w:basedOn w:val="1007"/>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0" w:customStyle="1">
    <w:name w:val="List Table 4 - Accent 5"/>
    <w:basedOn w:val="10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1" w:customStyle="1">
    <w:name w:val="List Table 4 - Accent 6"/>
    <w:basedOn w:val="10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2" w:customStyle="1">
    <w:name w:val="List Table 5 Dark"/>
    <w:basedOn w:val="10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1"/>
    <w:basedOn w:val="10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2"/>
    <w:basedOn w:val="10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3"/>
    <w:basedOn w:val="10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4"/>
    <w:basedOn w:val="1007"/>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5"/>
    <w:basedOn w:val="10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6"/>
    <w:basedOn w:val="10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6 Colorful"/>
    <w:basedOn w:val="100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0" w:customStyle="1">
    <w:name w:val="List Table 6 Colorful - Accent 1"/>
    <w:basedOn w:val="10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1" w:customStyle="1">
    <w:name w:val="List Table 6 Colorful - Accent 2"/>
    <w:basedOn w:val="1007"/>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2" w:customStyle="1">
    <w:name w:val="List Table 6 Colorful - Accent 3"/>
    <w:basedOn w:val="10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3" w:customStyle="1">
    <w:name w:val="List Table 6 Colorful - Accent 4"/>
    <w:basedOn w:val="10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4" w:customStyle="1">
    <w:name w:val="List Table 6 Colorful - Accent 5"/>
    <w:basedOn w:val="10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5" w:customStyle="1">
    <w:name w:val="List Table 6 Colorful - Accent 6"/>
    <w:basedOn w:val="10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6" w:customStyle="1">
    <w:name w:val="List Table 7 Colorful"/>
    <w:basedOn w:val="10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7" w:customStyle="1">
    <w:name w:val="List Table 7 Colorful - Accent 1"/>
    <w:basedOn w:val="10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8" w:customStyle="1">
    <w:name w:val="List Table 7 Colorful - Accent 2"/>
    <w:basedOn w:val="10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9" w:customStyle="1">
    <w:name w:val="List Table 7 Colorful - Accent 3"/>
    <w:basedOn w:val="10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0" w:customStyle="1">
    <w:name w:val="List Table 7 Colorful - Accent 4"/>
    <w:basedOn w:val="10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1" w:customStyle="1">
    <w:name w:val="List Table 7 Colorful - Accent 5"/>
    <w:basedOn w:val="10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2" w:customStyle="1">
    <w:name w:val="List Table 7 Colorful - Accent 6"/>
    <w:basedOn w:val="10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3" w:customStyle="1">
    <w:name w:val="Lined - Accent"/>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4" w:customStyle="1">
    <w:name w:val="Lined - Accent 1"/>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5" w:customStyle="1">
    <w:name w:val="Lined - Accent 2"/>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6" w:customStyle="1">
    <w:name w:val="Lined - Accent 3"/>
    <w:basedOn w:val="100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7" w:customStyle="1">
    <w:name w:val="Lined - Accent 4"/>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8" w:customStyle="1">
    <w:name w:val="Lined - Accent 5"/>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9" w:customStyle="1">
    <w:name w:val="Lined - Accent 6"/>
    <w:basedOn w:val="10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0" w:customStyle="1">
    <w:name w:val="Bordered &amp; Lined - Accent"/>
    <w:basedOn w:val="10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1" w:customStyle="1">
    <w:name w:val="Bordered &amp; Lined - Accent 1"/>
    <w:basedOn w:val="10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2" w:customStyle="1">
    <w:name w:val="Bordered &amp; Lined - Accent 2"/>
    <w:basedOn w:val="10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3" w:customStyle="1">
    <w:name w:val="Bordered &amp; Lined - Accent 3"/>
    <w:basedOn w:val="10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4" w:customStyle="1">
    <w:name w:val="Bordered &amp; Lined - Accent 4"/>
    <w:basedOn w:val="10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5" w:customStyle="1">
    <w:name w:val="Bordered &amp; Lined - Accent 5"/>
    <w:basedOn w:val="10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6" w:customStyle="1">
    <w:name w:val="Bordered &amp; Lined - Accent 6"/>
    <w:basedOn w:val="10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7" w:customStyle="1">
    <w:name w:val="Bordered"/>
    <w:basedOn w:val="100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8" w:customStyle="1">
    <w:name w:val="Bordered - Accent 1"/>
    <w:basedOn w:val="10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9" w:customStyle="1">
    <w:name w:val="Bordered - Accent 2"/>
    <w:basedOn w:val="1007"/>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0" w:customStyle="1">
    <w:name w:val="Bordered - Accent 3"/>
    <w:basedOn w:val="1007"/>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1" w:customStyle="1">
    <w:name w:val="Bordered - Accent 4"/>
    <w:basedOn w:val="10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2" w:customStyle="1">
    <w:name w:val="Bordered - Accent 5"/>
    <w:basedOn w:val="10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3" w:customStyle="1">
    <w:name w:val="Bordered - Accent 6"/>
    <w:basedOn w:val="10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4" w:customStyle="1">
    <w:name w:val="Footnote Text Char"/>
    <w:link w:val="1031"/>
    <w:uiPriority w:val="99"/>
    <w:rPr>
      <w:sz w:val="18"/>
    </w:rPr>
  </w:style>
  <w:style w:type="character" w:styleId="1205" w:customStyle="1">
    <w:name w:val="Endnote Text Char"/>
    <w:link w:val="1024"/>
    <w:uiPriority w:val="99"/>
    <w:rPr>
      <w:sz w:val="20"/>
    </w:rPr>
  </w:style>
  <w:style w:type="paragraph" w:styleId="1206" w:customStyle="1">
    <w:name w:val="TOC Heading"/>
    <w:uiPriority w:val="39"/>
    <w:unhideWhenUsed/>
    <w:qFormat/>
    <w:rPr>
      <w:rFonts w:hint="default" w:ascii="Times New Roman" w:hAnsi="Times New Roman" w:eastAsia="宋体" w:cs="Times New Roman"/>
    </w:rPr>
  </w:style>
  <w:style w:type="character" w:styleId="1207" w:customStyle="1">
    <w:name w:val="标题 1 字符"/>
    <w:link w:val="997"/>
    <w:uiPriority w:val="0"/>
    <w:qFormat/>
    <w:rPr>
      <w:rFonts w:ascii="宋体"/>
      <w:b/>
      <w:sz w:val="32"/>
    </w:rPr>
  </w:style>
  <w:style w:type="character" w:styleId="1208" w:customStyle="1">
    <w:name w:val="标题 2 字符"/>
    <w:link w:val="998"/>
    <w:uiPriority w:val="0"/>
    <w:qFormat/>
    <w:rPr>
      <w:rFonts w:ascii="Arial" w:hAnsi="Arial" w:eastAsia="黑体"/>
      <w:b/>
      <w:sz w:val="30"/>
      <w:lang w:val="en-US" w:eastAsia="zh-CN" w:bidi="ar-SA"/>
    </w:rPr>
  </w:style>
  <w:style w:type="character" w:styleId="1209" w:customStyle="1">
    <w:name w:val="标题 3 字符"/>
    <w:link w:val="999"/>
    <w:uiPriority w:val="0"/>
    <w:qFormat/>
    <w:rPr>
      <w:rFonts w:ascii="宋体" w:eastAsia="宋体"/>
      <w:b/>
      <w:sz w:val="24"/>
      <w:u w:val="single"/>
      <w:lang w:val="en-US" w:eastAsia="zh-CN" w:bidi="ar-SA"/>
    </w:rPr>
  </w:style>
  <w:style w:type="character" w:styleId="1210" w:customStyle="1">
    <w:name w:val="标题 4 字符"/>
    <w:link w:val="1000"/>
    <w:uiPriority w:val="0"/>
    <w:qFormat/>
    <w:rPr>
      <w:rFonts w:ascii="Arial" w:hAnsi="Arial" w:eastAsia="黑体"/>
      <w:b/>
      <w:sz w:val="28"/>
    </w:rPr>
  </w:style>
  <w:style w:type="character" w:styleId="1211" w:customStyle="1">
    <w:name w:val="标题 5 字符"/>
    <w:link w:val="1001"/>
    <w:uiPriority w:val="0"/>
    <w:qFormat/>
    <w:rPr>
      <w:b/>
      <w:sz w:val="28"/>
    </w:rPr>
  </w:style>
  <w:style w:type="character" w:styleId="1212" w:customStyle="1">
    <w:name w:val="标题 6 字符"/>
    <w:link w:val="1002"/>
    <w:uiPriority w:val="0"/>
    <w:qFormat/>
    <w:rPr>
      <w:rFonts w:ascii="Arial" w:hAnsi="Arial" w:eastAsia="黑体"/>
      <w:b/>
      <w:sz w:val="24"/>
    </w:rPr>
  </w:style>
  <w:style w:type="character" w:styleId="1213" w:customStyle="1">
    <w:name w:val="标题 7 字符"/>
    <w:link w:val="1003"/>
    <w:uiPriority w:val="0"/>
    <w:qFormat/>
    <w:rPr>
      <w:b/>
      <w:sz w:val="24"/>
    </w:rPr>
  </w:style>
  <w:style w:type="character" w:styleId="1214" w:customStyle="1">
    <w:name w:val="标题 8 字符"/>
    <w:link w:val="1004"/>
    <w:uiPriority w:val="0"/>
    <w:qFormat/>
    <w:rPr>
      <w:rFonts w:ascii="Arial" w:hAnsi="Arial" w:eastAsia="黑体"/>
      <w:sz w:val="24"/>
    </w:rPr>
  </w:style>
  <w:style w:type="character" w:styleId="1215" w:customStyle="1">
    <w:name w:val="标题 9 字符"/>
    <w:link w:val="1005"/>
    <w:uiPriority w:val="0"/>
    <w:qFormat/>
    <w:rPr>
      <w:rFonts w:ascii="Arial" w:hAnsi="Arial" w:eastAsia="黑体"/>
      <w:sz w:val="21"/>
    </w:rPr>
  </w:style>
  <w:style w:type="character" w:styleId="1216" w:customStyle="1">
    <w:name w:val="正文缩进 字符"/>
    <w:link w:val="1009"/>
    <w:uiPriority w:val="0"/>
    <w:qFormat/>
    <w:rPr>
      <w:rFonts w:ascii="宋体" w:eastAsia="宋体"/>
      <w:sz w:val="24"/>
      <w:szCs w:val="24"/>
      <w:lang w:val="en-US" w:eastAsia="zh-CN" w:bidi="ar-SA"/>
    </w:rPr>
  </w:style>
  <w:style w:type="character" w:styleId="1217" w:customStyle="1">
    <w:name w:val="文档结构图 字符"/>
    <w:link w:val="1011"/>
    <w:uiPriority w:val="0"/>
    <w:qFormat/>
    <w:rPr>
      <w:sz w:val="21"/>
      <w:szCs w:val="24"/>
      <w:shd w:val="clear" w:color="auto" w:fill="000080"/>
    </w:rPr>
  </w:style>
  <w:style w:type="character" w:styleId="1218" w:customStyle="1">
    <w:name w:val="批注文字 字符1"/>
    <w:link w:val="1012"/>
    <w:uiPriority w:val="99"/>
    <w:qFormat/>
    <w:rPr>
      <w:sz w:val="21"/>
      <w:szCs w:val="24"/>
    </w:rPr>
  </w:style>
  <w:style w:type="character" w:styleId="1219" w:customStyle="1">
    <w:name w:val="正文文本 3 字符"/>
    <w:link w:val="1013"/>
    <w:uiPriority w:val="0"/>
    <w:qFormat/>
    <w:rPr>
      <w:sz w:val="16"/>
      <w:szCs w:val="16"/>
    </w:rPr>
  </w:style>
  <w:style w:type="character" w:styleId="1220" w:customStyle="1">
    <w:name w:val="正文文本 字符"/>
    <w:link w:val="1014"/>
    <w:uiPriority w:val="0"/>
    <w:qFormat/>
    <w:rPr>
      <w:rFonts w:ascii="宋体" w:hAnsi="宋体"/>
      <w:sz w:val="24"/>
      <w:szCs w:val="24"/>
    </w:rPr>
  </w:style>
  <w:style w:type="character" w:styleId="1221" w:customStyle="1">
    <w:name w:val="正文文本缩进 字符"/>
    <w:link w:val="1015"/>
    <w:uiPriority w:val="99"/>
    <w:qFormat/>
    <w:rPr>
      <w:rFonts w:eastAsia="宋体"/>
      <w:sz w:val="24"/>
      <w:szCs w:val="24"/>
      <w:lang w:val="en-US" w:eastAsia="zh-CN" w:bidi="ar-SA"/>
    </w:rPr>
  </w:style>
  <w:style w:type="character" w:styleId="1222" w:customStyle="1">
    <w:name w:val="纯文本 字符2"/>
    <w:link w:val="1020"/>
    <w:uiPriority w:val="0"/>
    <w:qFormat/>
    <w:rPr>
      <w:rFonts w:hint="eastAsia" w:ascii="宋体" w:hAnsi="Courier New" w:eastAsia="宋体" w:cs="宋体"/>
      <w:sz w:val="21"/>
    </w:rPr>
  </w:style>
  <w:style w:type="character" w:styleId="1223" w:customStyle="1">
    <w:name w:val="日期 字符"/>
    <w:link w:val="1022"/>
    <w:uiPriority w:val="0"/>
    <w:qFormat/>
    <w:rPr>
      <w:rFonts w:ascii="仿宋_GB2312" w:hAnsi="宋体" w:eastAsia="仿宋_GB2312"/>
      <w:color w:val="000000"/>
      <w:sz w:val="24"/>
      <w:szCs w:val="24"/>
    </w:rPr>
  </w:style>
  <w:style w:type="character" w:styleId="1224" w:customStyle="1">
    <w:name w:val="正文文本缩进 2 字符"/>
    <w:link w:val="1023"/>
    <w:uiPriority w:val="0"/>
    <w:qFormat/>
    <w:rPr>
      <w:rFonts w:ascii="仿宋_GB2312" w:eastAsia="仿宋_GB2312"/>
      <w:sz w:val="24"/>
      <w:szCs w:val="24"/>
    </w:rPr>
  </w:style>
  <w:style w:type="character" w:styleId="1225" w:customStyle="1">
    <w:name w:val="批注框文本 字符"/>
    <w:link w:val="1025"/>
    <w:uiPriority w:val="0"/>
    <w:qFormat/>
    <w:rPr>
      <w:sz w:val="18"/>
      <w:szCs w:val="18"/>
    </w:rPr>
  </w:style>
  <w:style w:type="character" w:styleId="1226" w:customStyle="1">
    <w:name w:val="页脚 字符1"/>
    <w:link w:val="1026"/>
    <w:uiPriority w:val="99"/>
    <w:qFormat/>
    <w:rPr>
      <w:rFonts w:ascii="宋体" w:eastAsia="宋体"/>
      <w:sz w:val="18"/>
      <w:lang w:val="en-US" w:eastAsia="zh-CN" w:bidi="ar-SA"/>
    </w:rPr>
  </w:style>
  <w:style w:type="character" w:styleId="1227" w:customStyle="1">
    <w:name w:val="页眉 字符"/>
    <w:link w:val="1027"/>
    <w:uiPriority w:val="0"/>
    <w:qFormat/>
    <w:rPr>
      <w:rFonts w:eastAsia="宋体"/>
      <w:sz w:val="18"/>
      <w:szCs w:val="18"/>
      <w:lang w:val="en-US" w:eastAsia="zh-CN" w:bidi="ar-SA"/>
    </w:rPr>
  </w:style>
  <w:style w:type="character" w:styleId="1228" w:customStyle="1">
    <w:name w:val="正文文本缩进 3 字符"/>
    <w:link w:val="1033"/>
    <w:uiPriority w:val="0"/>
    <w:qFormat/>
    <w:rPr>
      <w:rFonts w:ascii="宋体"/>
      <w:sz w:val="24"/>
    </w:rPr>
  </w:style>
  <w:style w:type="character" w:styleId="1229" w:customStyle="1">
    <w:name w:val="HTML 预设格式 字符"/>
    <w:link w:val="1037"/>
    <w:uiPriority w:val="0"/>
    <w:qFormat/>
    <w:rPr>
      <w:rFonts w:ascii="宋体" w:hAnsi="宋体" w:cs="宋体"/>
      <w:sz w:val="24"/>
      <w:szCs w:val="24"/>
    </w:rPr>
  </w:style>
  <w:style w:type="character" w:styleId="1230" w:customStyle="1">
    <w:name w:val="普通(网站) 字符"/>
    <w:link w:val="1038"/>
    <w:uiPriority w:val="99"/>
    <w:qFormat/>
    <w:rPr>
      <w:rFonts w:ascii="宋体" w:hAnsi="宋体" w:cs="宋体"/>
      <w:sz w:val="24"/>
      <w:szCs w:val="24"/>
    </w:rPr>
  </w:style>
  <w:style w:type="character" w:styleId="1231" w:customStyle="1">
    <w:name w:val="标题 字符"/>
    <w:link w:val="1040"/>
    <w:uiPriority w:val="0"/>
    <w:qFormat/>
    <w:rPr>
      <w:b/>
      <w:sz w:val="32"/>
    </w:rPr>
  </w:style>
  <w:style w:type="character" w:styleId="1232" w:customStyle="1">
    <w:name w:val="批注主题 字符"/>
    <w:link w:val="1041"/>
    <w:uiPriority w:val="0"/>
    <w:qFormat/>
    <w:rPr>
      <w:rFonts w:ascii="Times New Roman" w:hAnsi="Times New Roman" w:eastAsia="宋体" w:cs="Times New Roman"/>
      <w:b/>
      <w:bCs/>
      <w:sz w:val="21"/>
      <w:szCs w:val="24"/>
      <w:lang w:val="en-US" w:eastAsia="zh-CN" w:bidi="ar-SA"/>
    </w:rPr>
  </w:style>
  <w:style w:type="character" w:styleId="1233" w:customStyle="1">
    <w:name w:val="正文文本首行缩进 2 字符"/>
    <w:link w:val="1042"/>
    <w:uiPriority w:val="0"/>
    <w:qFormat/>
    <w:rPr>
      <w:rFonts w:eastAsia="宋体"/>
      <w:sz w:val="24"/>
      <w:szCs w:val="24"/>
      <w:lang w:val="en-US" w:eastAsia="zh-CN" w:bidi="ar-SA"/>
    </w:rPr>
  </w:style>
  <w:style w:type="character" w:styleId="1234" w:customStyle="1">
    <w:name w:val="批注文字 字符"/>
    <w:uiPriority w:val="0"/>
    <w:qFormat/>
    <w:rPr>
      <w:rFonts w:ascii="Times New Roman" w:hAnsi="Times New Roman" w:eastAsia="宋体" w:cs="Times New Roman"/>
      <w:sz w:val="24"/>
      <w:lang w:val="en-US" w:eastAsia="zh-CN" w:bidi="ar-SA"/>
    </w:rPr>
  </w:style>
  <w:style w:type="character" w:styleId="1235" w:customStyle="1">
    <w:name w:val="c21"/>
    <w:uiPriority w:val="0"/>
    <w:qFormat/>
    <w:rPr>
      <w:rFonts w:hint="default" w:ascii="ˎ̥" w:hAnsi="ˎ̥"/>
      <w:color w:val="000000"/>
      <w:sz w:val="20"/>
      <w:szCs w:val="20"/>
      <w:u w:val="none"/>
    </w:rPr>
  </w:style>
  <w:style w:type="character" w:styleId="1236" w:customStyle="1">
    <w:name w:val="title4"/>
    <w:uiPriority w:val="0"/>
    <w:qFormat/>
    <w:rPr>
      <w:b/>
      <w:bCs/>
      <w:color w:val="1d87b3"/>
      <w:sz w:val="15"/>
      <w:szCs w:val="15"/>
    </w:rPr>
  </w:style>
  <w:style w:type="character" w:styleId="1237" w:customStyle="1">
    <w:name w:val="标题 2 Char Char"/>
    <w:uiPriority w:val="0"/>
    <w:qFormat/>
    <w:rPr>
      <w:rFonts w:ascii="Arial" w:hAnsi="Arial" w:eastAsia="黑体"/>
      <w:b/>
      <w:bCs/>
      <w:sz w:val="32"/>
      <w:szCs w:val="32"/>
      <w:lang w:val="en-US" w:eastAsia="zh-CN" w:bidi="ar-SA"/>
    </w:rPr>
  </w:style>
  <w:style w:type="character" w:styleId="1238" w:customStyle="1">
    <w:name w:val="black1"/>
    <w:uiPriority w:val="0"/>
    <w:qFormat/>
    <w:rPr>
      <w:color w:val="000000"/>
    </w:rPr>
  </w:style>
  <w:style w:type="character" w:styleId="1239" w:customStyle="1">
    <w:name w:val="street-address"/>
    <w:uiPriority w:val="0"/>
    <w:qFormat/>
  </w:style>
  <w:style w:type="character" w:styleId="1240" w:customStyle="1">
    <w:name w:val="locality"/>
    <w:uiPriority w:val="0"/>
    <w:qFormat/>
  </w:style>
  <w:style w:type="character" w:styleId="1241" w:customStyle="1">
    <w:name w:val="正文文本缩进 Char1"/>
    <w:link w:val="1242"/>
    <w:uiPriority w:val="0"/>
    <w:qFormat/>
    <w:rPr>
      <w:rFonts w:ascii="宋体" w:hAnsi="宋体" w:eastAsia="宋体"/>
      <w:sz w:val="24"/>
      <w:szCs w:val="24"/>
      <w:lang w:bidi="ar-SA"/>
    </w:rPr>
  </w:style>
  <w:style w:type="paragraph" w:styleId="1242" w:customStyle="1">
    <w:name w:val="正文文本缩进1"/>
    <w:basedOn w:val="996"/>
    <w:link w:val="1241"/>
    <w:uiPriority w:val="0"/>
    <w:qFormat/>
    <w:pPr>
      <w:ind w:firstLine="480"/>
      <w:spacing w:line="480" w:lineRule="exact"/>
    </w:pPr>
    <w:rPr>
      <w:rFonts w:ascii="宋体" w:hAnsi="宋体"/>
      <w:sz w:val="24"/>
    </w:rPr>
  </w:style>
  <w:style w:type="character" w:styleId="1243" w:customStyle="1">
    <w:name w:val="Char Char11"/>
    <w:uiPriority w:val="0"/>
    <w:qFormat/>
    <w:rPr>
      <w:rFonts w:ascii="宋体" w:eastAsia="宋体"/>
      <w:b/>
      <w:sz w:val="24"/>
      <w:u w:val="single"/>
      <w:lang w:val="en-US" w:eastAsia="zh-CN" w:bidi="ar-SA"/>
    </w:rPr>
  </w:style>
  <w:style w:type="character" w:styleId="1244" w:customStyle="1">
    <w:name w:val="txt"/>
    <w:uiPriority w:val="0"/>
    <w:qFormat/>
  </w:style>
  <w:style w:type="character" w:styleId="1245" w:customStyle="1">
    <w:name w:val="正文缩进 Char Char"/>
    <w:link w:val="1246"/>
    <w:uiPriority w:val="0"/>
    <w:qFormat/>
    <w:rPr>
      <w:rFonts w:ascii="宋体" w:eastAsia="宋体"/>
      <w:color w:val="000000"/>
      <w:sz w:val="28"/>
      <w:lang w:bidi="ar-SA"/>
    </w:rPr>
  </w:style>
  <w:style w:type="paragraph" w:styleId="1246" w:customStyle="1">
    <w:name w:val="正文缩进1"/>
    <w:basedOn w:val="996"/>
    <w:link w:val="1245"/>
    <w:uiPriority w:val="0"/>
    <w:qFormat/>
    <w:pPr>
      <w:ind w:firstLine="567"/>
      <w:spacing w:line="480" w:lineRule="exact"/>
      <w:widowControl/>
    </w:pPr>
    <w:rPr>
      <w:rFonts w:ascii="宋体"/>
      <w:color w:val="000000"/>
      <w:sz w:val="28"/>
      <w:szCs w:val="20"/>
    </w:rPr>
  </w:style>
  <w:style w:type="character" w:styleId="1247" w:customStyle="1">
    <w:name w:val="普通文字1 Char1"/>
    <w:uiPriority w:val="0"/>
    <w:qFormat/>
    <w:rPr>
      <w:rFonts w:ascii="宋体" w:hAnsi="Courier New" w:eastAsia="宋体"/>
      <w:sz w:val="21"/>
      <w:lang w:val="en-US" w:eastAsia="zh-CN" w:bidi="ar-SA"/>
    </w:rPr>
  </w:style>
  <w:style w:type="character" w:styleId="1248" w:customStyle="1">
    <w:name w:val="chanpin1"/>
    <w:uiPriority w:val="0"/>
    <w:qFormat/>
    <w:rPr>
      <w:rFonts w:hint="default" w:ascii="ˎ̥" w:hAnsi="ˎ̥"/>
      <w:color w:val="000000"/>
      <w:sz w:val="20"/>
      <w:szCs w:val="20"/>
      <w:u w:val="none"/>
    </w:rPr>
  </w:style>
  <w:style w:type="character" w:styleId="1249" w:customStyle="1">
    <w:name w:val="列表段落 字符"/>
    <w:link w:val="1250"/>
    <w:uiPriority w:val="34"/>
    <w:qFormat/>
    <w:rPr>
      <w:rFonts w:ascii="Calibri" w:hAnsi="Calibri" w:eastAsia="宋体"/>
      <w:sz w:val="21"/>
      <w:szCs w:val="22"/>
      <w:lang w:val="en-US" w:eastAsia="zh-CN" w:bidi="ar-SA"/>
    </w:rPr>
  </w:style>
  <w:style w:type="paragraph" w:styleId="1250">
    <w:name w:val="List Paragraph"/>
    <w:basedOn w:val="996"/>
    <w:link w:val="1249"/>
    <w:uiPriority w:val="34"/>
    <w:qFormat/>
    <w:pPr>
      <w:ind w:firstLine="420"/>
    </w:pPr>
    <w:rPr>
      <w:rFonts w:ascii="Calibri" w:hAnsi="Calibri"/>
      <w:szCs w:val="22"/>
    </w:rPr>
  </w:style>
  <w:style w:type="character" w:styleId="1251" w:customStyle="1">
    <w:name w:val="标题 3 Char Char"/>
    <w:uiPriority w:val="0"/>
    <w:qFormat/>
    <w:rPr>
      <w:rFonts w:eastAsia="宋体"/>
      <w:b/>
      <w:bCs/>
      <w:sz w:val="32"/>
      <w:szCs w:val="32"/>
      <w:lang w:val="en-US" w:eastAsia="zh-CN" w:bidi="ar-SA"/>
    </w:rPr>
  </w:style>
  <w:style w:type="character" w:styleId="1252" w:customStyle="1">
    <w:name w:val="段1 Char"/>
    <w:uiPriority w:val="0"/>
    <w:qFormat/>
    <w:rPr>
      <w:rFonts w:ascii="宋体" w:eastAsia="宋体"/>
      <w:sz w:val="24"/>
      <w:lang w:val="en-US" w:eastAsia="zh-CN" w:bidi="ar-SA"/>
    </w:rPr>
  </w:style>
  <w:style w:type="character" w:styleId="1253" w:customStyle="1">
    <w:name w:val="chanpin拷贝"/>
    <w:uiPriority w:val="0"/>
    <w:qFormat/>
  </w:style>
  <w:style w:type="character" w:styleId="1254" w:customStyle="1">
    <w:name w:val="纯文本 Char1"/>
    <w:link w:val="1255"/>
    <w:uiPriority w:val="0"/>
    <w:qFormat/>
    <w:rPr>
      <w:rFonts w:ascii="宋体" w:hAnsi="Courier New" w:eastAsia="宋体"/>
      <w:sz w:val="21"/>
      <w:lang w:val="en-US" w:eastAsia="zh-CN" w:bidi="ar-SA"/>
    </w:rPr>
  </w:style>
  <w:style w:type="paragraph" w:styleId="1255" w:customStyle="1">
    <w:name w:val="纯文本1"/>
    <w:basedOn w:val="996"/>
    <w:link w:val="1254"/>
    <w:uiPriority w:val="0"/>
    <w:qFormat/>
    <w:rPr>
      <w:rFonts w:ascii="宋体" w:hAnsi="Courier New"/>
      <w:szCs w:val="20"/>
    </w:rPr>
  </w:style>
  <w:style w:type="character" w:styleId="1256" w:customStyle="1">
    <w:name w:val="apple-style-span"/>
    <w:uiPriority w:val="0"/>
    <w:qFormat/>
    <w:rPr>
      <w:rFonts w:cs="Times New Roman"/>
    </w:rPr>
  </w:style>
  <w:style w:type="paragraph" w:styleId="1257" w:customStyle="1">
    <w:name w:val="二级条标题"/>
    <w:basedOn w:val="1258"/>
    <w:next w:val="99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8" w:customStyle="1">
    <w:name w:val="一级条标题"/>
    <w:basedOn w:val="1259"/>
    <w:next w:val="996"/>
    <w:uiPriority w:val="0"/>
    <w:qFormat/>
    <w:pPr>
      <w:numPr>
        <w:ilvl w:val="1"/>
      </w:numPr>
      <w:ind w:left="0" w:hanging="840"/>
      <w:tabs>
        <w:tab w:val="left" w:pos="360" w:leader="none"/>
        <w:tab w:val="left" w:pos="840" w:leader="none"/>
      </w:tabs>
      <w:outlineLvl w:val="1"/>
    </w:pPr>
  </w:style>
  <w:style w:type="paragraph" w:styleId="1259" w:customStyle="1">
    <w:name w:val="章标题"/>
    <w:next w:val="99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60" w:customStyle="1">
    <w:name w:val="font7"/>
    <w:basedOn w:val="996"/>
    <w:uiPriority w:val="0"/>
    <w:qFormat/>
    <w:pPr>
      <w:jc w:val="left"/>
      <w:spacing w:before="100" w:beforeAutospacing="1" w:after="100" w:afterAutospacing="1"/>
      <w:widowControl/>
    </w:pPr>
    <w:rPr>
      <w:rFonts w:eastAsia="Arial Unicode MS"/>
      <w:b/>
      <w:bCs/>
      <w:color w:val="000000"/>
      <w:sz w:val="20"/>
      <w:szCs w:val="20"/>
    </w:rPr>
  </w:style>
  <w:style w:type="paragraph" w:styleId="1261" w:customStyle="1">
    <w:name w:val="字元 字元"/>
    <w:basedOn w:val="996"/>
    <w:uiPriority w:val="0"/>
    <w:qFormat/>
    <w:rPr>
      <w:rFonts w:ascii="Tahoma" w:hAnsi="Tahoma"/>
      <w:sz w:val="24"/>
      <w:szCs w:val="20"/>
    </w:rPr>
  </w:style>
  <w:style w:type="paragraph" w:styleId="1262" w:customStyle="1">
    <w:name w:val="Char3 Char Char Char"/>
    <w:basedOn w:val="996"/>
    <w:uiPriority w:val="0"/>
    <w:qFormat/>
    <w:rPr>
      <w:rFonts w:ascii="Tahoma" w:hAnsi="Tahoma"/>
      <w:sz w:val="24"/>
      <w:szCs w:val="20"/>
    </w:rPr>
  </w:style>
  <w:style w:type="paragraph" w:styleId="1263" w:customStyle="1">
    <w:name w:val="font6"/>
    <w:basedOn w:val="996"/>
    <w:uiPriority w:val="0"/>
    <w:qFormat/>
    <w:pPr>
      <w:jc w:val="left"/>
      <w:spacing w:before="100" w:beforeAutospacing="1" w:after="100" w:afterAutospacing="1"/>
      <w:widowControl/>
    </w:pPr>
    <w:rPr>
      <w:rFonts w:ascii="宋体" w:hAnsi="宋体" w:cs="宋体"/>
      <w:sz w:val="20"/>
      <w:szCs w:val="20"/>
    </w:rPr>
  </w:style>
  <w:style w:type="paragraph" w:styleId="1264" w:customStyle="1">
    <w:name w:val="项目编号2"/>
    <w:basedOn w:val="1265"/>
    <w:uiPriority w:val="0"/>
    <w:qFormat/>
    <w:pPr>
      <w:numPr>
        <w:numId w:val="2"/>
      </w:numPr>
    </w:pPr>
  </w:style>
  <w:style w:type="paragraph" w:styleId="1265" w:customStyle="1">
    <w:name w:val="项目编号1"/>
    <w:basedOn w:val="996"/>
    <w:uiPriority w:val="0"/>
    <w:qFormat/>
    <w:pPr>
      <w:numPr>
        <w:ilvl w:val="0"/>
        <w:numId w:val="3"/>
      </w:numPr>
      <w:spacing w:before="100" w:beforeAutospacing="1" w:after="100" w:afterAutospacing="1" w:line="360" w:lineRule="auto"/>
    </w:pPr>
    <w:rPr>
      <w:sz w:val="24"/>
    </w:rPr>
  </w:style>
  <w:style w:type="paragraph" w:styleId="1266" w:customStyle="1">
    <w:name w:val="图中文字"/>
    <w:basedOn w:val="996"/>
    <w:uiPriority w:val="0"/>
    <w:qFormat/>
    <w:pPr>
      <w:jc w:val="center"/>
      <w:spacing w:line="0" w:lineRule="atLeast"/>
    </w:pPr>
    <w:rPr>
      <w:sz w:val="24"/>
      <w:szCs w:val="20"/>
    </w:rPr>
  </w:style>
  <w:style w:type="paragraph" w:styleId="1267" w:customStyle="1">
    <w:name w:val="xl46"/>
    <w:basedOn w:val="99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68" w:customStyle="1">
    <w:name w:val="xl25"/>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9" w:customStyle="1">
    <w:name w:val="Char2"/>
    <w:basedOn w:val="996"/>
    <w:uiPriority w:val="0"/>
    <w:qFormat/>
    <w:rPr>
      <w:rFonts w:ascii="Tahoma" w:hAnsi="Tahoma"/>
      <w:sz w:val="24"/>
      <w:szCs w:val="20"/>
    </w:rPr>
  </w:style>
  <w:style w:type="paragraph" w:styleId="1270" w:customStyle="1">
    <w:name w:val="xl35"/>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xl40"/>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72" w:customStyle="1">
    <w:name w:val="xl52"/>
    <w:basedOn w:val="9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73" w:customStyle="1">
    <w:name w:val="xl43"/>
    <w:basedOn w:val="9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74" w:customStyle="1">
    <w:name w:val="background1"/>
    <w:basedOn w:val="996"/>
    <w:uiPriority w:val="0"/>
    <w:qFormat/>
    <w:pPr>
      <w:jc w:val="left"/>
      <w:spacing w:before="100" w:beforeAutospacing="1" w:after="100" w:afterAutospacing="1"/>
      <w:widowControl/>
    </w:pPr>
    <w:rPr>
      <w:rFonts w:ascii="宋体" w:hAnsi="宋体" w:cs="宋体"/>
      <w:sz w:val="24"/>
    </w:rPr>
  </w:style>
  <w:style w:type="paragraph" w:styleId="1275" w:customStyle="1">
    <w:name w:val="Char Char Char Char Char Char Char"/>
    <w:basedOn w:val="996"/>
    <w:uiPriority w:val="0"/>
    <w:qFormat/>
    <w:pPr>
      <w:ind w:firstLine="200"/>
      <w:spacing w:line="360" w:lineRule="auto"/>
    </w:pPr>
    <w:rPr>
      <w:rFonts w:eastAsia="仿宋_GB2312"/>
      <w:sz w:val="24"/>
    </w:rPr>
  </w:style>
  <w:style w:type="paragraph" w:styleId="1276" w:customStyle="1">
    <w:name w:val="xl38"/>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77" w:customStyle="1">
    <w:name w:val="xl36"/>
    <w:basedOn w:val="99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customStyle="1">
    <w:name w:val="正文 + 宋体"/>
    <w:basedOn w:val="996"/>
    <w:uiPriority w:val="0"/>
    <w:qFormat/>
    <w:pPr>
      <w:ind w:left="360" w:hanging="360"/>
      <w:jc w:val="left"/>
      <w:widowControl/>
    </w:pPr>
    <w:rPr>
      <w:rFonts w:ascii="宋体" w:hAnsi="宋体" w:cs="宋体"/>
      <w:b/>
      <w:bCs/>
      <w:color w:val="000000"/>
      <w:sz w:val="18"/>
      <w:szCs w:val="18"/>
    </w:rPr>
  </w:style>
  <w:style w:type="paragraph" w:styleId="1279" w:customStyle="1">
    <w:name w:val="正文列项_数字"/>
    <w:basedOn w:val="99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80" w:customStyle="1">
    <w:name w:val="xl39"/>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1" w:customStyle="1">
    <w:name w:val="xl37"/>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2" w:customStyle="1">
    <w:name w:val="xl32"/>
    <w:basedOn w:val="9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3" w:customStyle="1">
    <w:name w:val="font8"/>
    <w:basedOn w:val="996"/>
    <w:uiPriority w:val="0"/>
    <w:qFormat/>
    <w:pPr>
      <w:jc w:val="left"/>
      <w:spacing w:before="100" w:beforeAutospacing="1" w:after="100" w:afterAutospacing="1"/>
      <w:widowControl/>
    </w:pPr>
    <w:rPr>
      <w:sz w:val="36"/>
      <w:szCs w:val="36"/>
    </w:rPr>
  </w:style>
  <w:style w:type="paragraph" w:styleId="1284" w:customStyle="1">
    <w:name w:val="Char"/>
    <w:basedOn w:val="996"/>
    <w:uiPriority w:val="0"/>
    <w:qFormat/>
    <w:pPr>
      <w:tabs>
        <w:tab w:val="left" w:pos="360" w:leader="none"/>
      </w:tabs>
    </w:pPr>
    <w:rPr>
      <w:sz w:val="24"/>
    </w:rPr>
  </w:style>
  <w:style w:type="paragraph" w:styleId="1285" w:customStyle="1">
    <w:name w:val="Char Char Char Char Char Char Char Char Char Char Char Char Char Char Char Char"/>
    <w:basedOn w:val="996"/>
    <w:uiPriority w:val="0"/>
    <w:qFormat/>
    <w:pPr>
      <w:jc w:val="center"/>
      <w:spacing w:after="160" w:line="240" w:lineRule="exact"/>
      <w:widowControl/>
    </w:pPr>
    <w:rPr>
      <w:rFonts w:ascii="宋体" w:hAnsi="宋体"/>
      <w:b/>
      <w:sz w:val="30"/>
      <w:szCs w:val="30"/>
      <w:lang w:eastAsia="en-US"/>
    </w:rPr>
  </w:style>
  <w:style w:type="paragraph" w:styleId="1286" w:customStyle="1">
    <w:name w:val="xl45"/>
    <w:basedOn w:val="9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87" w:customStyle="1">
    <w:name w:val="Char Char1 Char Char Char Char Char Char"/>
    <w:basedOn w:val="996"/>
    <w:uiPriority w:val="0"/>
    <w:qFormat/>
    <w:pPr>
      <w:jc w:val="left"/>
      <w:spacing w:after="160" w:line="240" w:lineRule="exact"/>
      <w:widowControl/>
    </w:pPr>
    <w:rPr>
      <w:rFonts w:ascii="Verdana" w:hAnsi="Verdana" w:eastAsia="仿宋_GB2312"/>
      <w:sz w:val="24"/>
      <w:szCs w:val="20"/>
      <w:lang w:eastAsia="en-US"/>
    </w:rPr>
  </w:style>
  <w:style w:type="paragraph" w:styleId="1288" w:customStyle="1">
    <w:name w:val="Char Char1"/>
    <w:basedOn w:val="1011"/>
    <w:uiPriority w:val="0"/>
    <w:qFormat/>
    <w:rPr>
      <w:rFonts w:ascii="Tahoma" w:hAnsi="Tahoma"/>
      <w:sz w:val="24"/>
    </w:rPr>
  </w:style>
  <w:style w:type="paragraph" w:styleId="1289" w:customStyle="1">
    <w:name w:val="xl26"/>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90" w:customStyle="1">
    <w:name w:val="xl30"/>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1" w:customStyle="1">
    <w:name w:val="xl41"/>
    <w:basedOn w:val="9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92" w:customStyle="1">
    <w:name w:val="样式 宋体 五号 行距: 单倍行距"/>
    <w:basedOn w:val="996"/>
    <w:uiPriority w:val="0"/>
    <w:qFormat/>
    <w:pPr>
      <w:jc w:val="left"/>
    </w:pPr>
    <w:rPr>
      <w:rFonts w:ascii="宋体" w:hAnsi="宋体"/>
      <w:szCs w:val="20"/>
    </w:rPr>
  </w:style>
  <w:style w:type="paragraph" w:styleId="1293" w:customStyle="1">
    <w:name w:val="Char1 Char Char Char1"/>
    <w:basedOn w:val="996"/>
    <w:uiPriority w:val="0"/>
    <w:qFormat/>
    <w:rPr>
      <w:rFonts w:ascii="Tahoma" w:hAnsi="Tahoma" w:cs="仿宋_GB2312"/>
      <w:sz w:val="24"/>
      <w:szCs w:val="28"/>
    </w:rPr>
  </w:style>
  <w:style w:type="paragraph" w:styleId="1294" w:customStyle="1">
    <w:name w:val="四级条标题"/>
    <w:basedOn w:val="1295"/>
    <w:next w:val="996"/>
    <w:uiPriority w:val="0"/>
    <w:qFormat/>
    <w:pPr>
      <w:numPr>
        <w:ilvl w:val="4"/>
      </w:numPr>
      <w:ind w:left="0" w:hanging="840"/>
      <w:tabs>
        <w:tab w:val="left" w:pos="360" w:leader="none"/>
        <w:tab w:val="left" w:pos="840" w:leader="none"/>
      </w:tabs>
      <w:outlineLvl w:val="4"/>
    </w:pPr>
  </w:style>
  <w:style w:type="paragraph" w:styleId="1295" w:customStyle="1">
    <w:name w:val="三级条标题"/>
    <w:basedOn w:val="1257"/>
    <w:next w:val="996"/>
    <w:uiPriority w:val="0"/>
    <w:qFormat/>
    <w:pPr>
      <w:numPr>
        <w:ilvl w:val="3"/>
        <w:numId w:val="1"/>
      </w:numPr>
      <w:ind w:left="0" w:hanging="840"/>
      <w:outlineLvl w:val="3"/>
    </w:pPr>
  </w:style>
  <w:style w:type="paragraph" w:styleId="129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7" w:customStyle="1">
    <w:name w:val="样式 标题 2 + 宋体 五号 行距: 单倍行距"/>
    <w:basedOn w:val="998"/>
    <w:uiPriority w:val="0"/>
    <w:qFormat/>
    <w:pPr>
      <w:numPr>
        <w:ilvl w:val="1"/>
        <w:numId w:val="4"/>
      </w:numPr>
      <w:jc w:val="left"/>
      <w:spacing w:before="260" w:after="260" w:line="240" w:lineRule="auto"/>
    </w:pPr>
    <w:rPr>
      <w:rFonts w:ascii="宋体" w:hAnsi="宋体" w:eastAsia="宋体"/>
      <w:bCs/>
      <w:sz w:val="21"/>
    </w:rPr>
  </w:style>
  <w:style w:type="paragraph" w:styleId="1298" w:customStyle="1">
    <w:name w:val="List Paragraph1"/>
    <w:basedOn w:val="996"/>
    <w:uiPriority w:val="0"/>
    <w:qFormat/>
    <w:pPr>
      <w:ind w:firstLine="420"/>
    </w:pPr>
    <w:rPr>
      <w:rFonts w:ascii="Calibri" w:hAnsi="Calibri"/>
      <w:szCs w:val="22"/>
    </w:rPr>
  </w:style>
  <w:style w:type="paragraph" w:styleId="1299" w:customStyle="1">
    <w:name w:val="项目符号1"/>
    <w:basedOn w:val="1300"/>
    <w:uiPriority w:val="0"/>
    <w:qFormat/>
    <w:pPr>
      <w:ind w:left="-25" w:firstLine="0"/>
    </w:pPr>
  </w:style>
  <w:style w:type="paragraph" w:styleId="1300" w:customStyle="1">
    <w:name w:val="正文文本样式"/>
    <w:basedOn w:val="996"/>
    <w:uiPriority w:val="0"/>
    <w:qFormat/>
    <w:pPr>
      <w:ind w:firstLine="482"/>
      <w:spacing w:line="360" w:lineRule="auto"/>
    </w:pPr>
    <w:rPr>
      <w:rFonts w:cs="宋体"/>
      <w:sz w:val="24"/>
      <w:szCs w:val="20"/>
    </w:rPr>
  </w:style>
  <w:style w:type="paragraph" w:styleId="1301" w:customStyle="1">
    <w:name w:val="xl27"/>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02" w:customStyle="1">
    <w:name w:val="font5"/>
    <w:basedOn w:val="996"/>
    <w:uiPriority w:val="0"/>
    <w:qFormat/>
    <w:pPr>
      <w:jc w:val="left"/>
      <w:spacing w:before="100" w:beforeAutospacing="1" w:after="100" w:afterAutospacing="1"/>
      <w:widowControl/>
    </w:pPr>
    <w:rPr>
      <w:rFonts w:ascii="宋体" w:hAnsi="宋体" w:cs="宋体"/>
      <w:sz w:val="18"/>
      <w:szCs w:val="18"/>
    </w:rPr>
  </w:style>
  <w:style w:type="paragraph" w:styleId="1303" w:customStyle="1">
    <w:name w:val="五级条标题"/>
    <w:basedOn w:val="1294"/>
    <w:next w:val="996"/>
    <w:uiPriority w:val="0"/>
    <w:qFormat/>
    <w:pPr>
      <w:numPr>
        <w:ilvl w:val="5"/>
      </w:numPr>
      <w:ind w:left="0" w:hanging="840"/>
      <w:outlineLvl w:val="5"/>
    </w:pPr>
  </w:style>
  <w:style w:type="paragraph" w:styleId="1304" w:customStyle="1">
    <w:name w:val="xl49"/>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05" w:customStyle="1">
    <w:name w:val="文档正文"/>
    <w:basedOn w:val="996"/>
    <w:uiPriority w:val="0"/>
    <w:qFormat/>
    <w:pPr>
      <w:spacing w:before="120" w:after="120" w:line="180" w:lineRule="auto"/>
    </w:pPr>
    <w:rPr>
      <w:rFonts w:ascii="Arial" w:hAnsi="Arial"/>
      <w:szCs w:val="20"/>
    </w:rPr>
  </w:style>
  <w:style w:type="paragraph" w:styleId="1306" w:customStyle="1">
    <w:name w:val="xl33"/>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07" w:customStyle="1">
    <w:name w:val="xl42"/>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08" w:customStyle="1">
    <w:name w:val="Char Char Char1 Char"/>
    <w:basedOn w:val="996"/>
    <w:uiPriority w:val="0"/>
    <w:qFormat/>
    <w:rPr>
      <w:rFonts w:ascii="Tahoma" w:hAnsi="Tahoma"/>
      <w:sz w:val="24"/>
      <w:szCs w:val="20"/>
    </w:rPr>
  </w:style>
  <w:style w:type="paragraph" w:styleId="1309" w:customStyle="1">
    <w:name w:val="xl44"/>
    <w:basedOn w:val="9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10" w:customStyle="1">
    <w:name w:val="1名"/>
    <w:basedOn w:val="996"/>
    <w:uiPriority w:val="0"/>
    <w:qFormat/>
    <w:pPr>
      <w:numPr>
        <w:ilvl w:val="0"/>
        <w:numId w:val="5"/>
      </w:numPr>
      <w:spacing w:before="120"/>
    </w:pPr>
    <w:rPr>
      <w:rFonts w:ascii="宋体"/>
      <w:sz w:val="28"/>
      <w:szCs w:val="20"/>
    </w:rPr>
  </w:style>
  <w:style w:type="paragraph" w:styleId="1311" w:customStyle="1">
    <w:name w:val="font9"/>
    <w:basedOn w:val="99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2" w:customStyle="1">
    <w:name w:val="Char Char Char1 Char1"/>
    <w:basedOn w:val="996"/>
    <w:uiPriority w:val="0"/>
    <w:qFormat/>
    <w:rPr>
      <w:rFonts w:ascii="Tahoma" w:hAnsi="Tahoma"/>
      <w:sz w:val="24"/>
      <w:szCs w:val="20"/>
    </w:rPr>
  </w:style>
  <w:style w:type="paragraph" w:styleId="1313" w:customStyle="1">
    <w:name w:val="Char Char Char Char Char Char Char Char Char Char"/>
    <w:basedOn w:val="996"/>
    <w:uiPriority w:val="0"/>
    <w:qFormat/>
  </w:style>
  <w:style w:type="paragraph" w:styleId="1314" w:customStyle="1">
    <w:name w:val="Char Char1 Char Char Char Char Char Char Char Char"/>
    <w:basedOn w:val="996"/>
    <w:uiPriority w:val="0"/>
    <w:qFormat/>
    <w:pPr>
      <w:jc w:val="left"/>
      <w:spacing w:after="160" w:line="240" w:lineRule="exact"/>
      <w:widowControl/>
    </w:pPr>
    <w:rPr>
      <w:rFonts w:ascii="Verdana" w:hAnsi="Verdana"/>
      <w:sz w:val="20"/>
      <w:szCs w:val="20"/>
      <w:lang w:eastAsia="en-US"/>
    </w:rPr>
  </w:style>
  <w:style w:type="paragraph" w:styleId="1315" w:customStyle="1">
    <w:name w:val="Char1"/>
    <w:basedOn w:val="996"/>
    <w:uiPriority w:val="0"/>
    <w:qFormat/>
    <w:pPr>
      <w:tabs>
        <w:tab w:val="left" w:pos="360" w:leader="none"/>
      </w:tabs>
    </w:pPr>
    <w:rPr>
      <w:sz w:val="24"/>
    </w:rPr>
  </w:style>
  <w:style w:type="paragraph" w:styleId="1316" w:customStyle="1">
    <w:name w:val="正文列项_字母"/>
    <w:basedOn w:val="99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7" w:customStyle="1">
    <w:name w:val="xl28"/>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8" w:customStyle="1">
    <w:name w:val="xl47"/>
    <w:basedOn w:val="9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19" w:customStyle="1">
    <w:name w:val="默认段落字体 Para Char Char Char Char"/>
    <w:basedOn w:val="996"/>
    <w:uiPriority w:val="0"/>
    <w:qFormat/>
    <w:rPr>
      <w:rFonts w:ascii="Arial" w:hAnsi="Arial" w:cs="Arial"/>
      <w:szCs w:val="21"/>
    </w:rPr>
  </w:style>
  <w:style w:type="paragraph" w:styleId="1320" w:customStyle="1">
    <w:name w:val="xl48"/>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21" w:customStyle="1">
    <w:name w:val="xl31"/>
    <w:basedOn w:val="9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2" w:customStyle="1">
    <w:name w:val="xl53"/>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3" w:customStyle="1">
    <w:name w:val="Char Char Char"/>
    <w:basedOn w:val="996"/>
    <w:uiPriority w:val="0"/>
    <w:qFormat/>
    <w:rPr>
      <w:rFonts w:ascii="Tahoma" w:hAnsi="Tahoma"/>
      <w:sz w:val="24"/>
      <w:szCs w:val="20"/>
    </w:rPr>
  </w:style>
  <w:style w:type="paragraph" w:styleId="1324" w:customStyle="1">
    <w:name w:val="xl50"/>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25" w:customStyle="1">
    <w:name w:val="缺省文本"/>
    <w:basedOn w:val="996"/>
    <w:uiPriority w:val="0"/>
    <w:qFormat/>
    <w:pPr>
      <w:jc w:val="left"/>
    </w:pPr>
    <w:rPr>
      <w:sz w:val="24"/>
    </w:rPr>
  </w:style>
  <w:style w:type="paragraph" w:styleId="1326" w:customStyle="1">
    <w:name w:val="Char Char Char1"/>
    <w:basedOn w:val="996"/>
    <w:uiPriority w:val="0"/>
    <w:qFormat/>
    <w:rPr>
      <w:rFonts w:ascii="Tahoma" w:hAnsi="Tahoma"/>
      <w:sz w:val="24"/>
      <w:szCs w:val="20"/>
    </w:rPr>
  </w:style>
  <w:style w:type="paragraph" w:styleId="1327" w:customStyle="1">
    <w:name w:val="Char Char Char Char Char Char Char1"/>
    <w:basedOn w:val="996"/>
    <w:uiPriority w:val="0"/>
    <w:qFormat/>
    <w:pPr>
      <w:ind w:firstLine="200"/>
      <w:spacing w:line="360" w:lineRule="auto"/>
    </w:pPr>
    <w:rPr>
      <w:rFonts w:eastAsia="仿宋_GB2312"/>
      <w:sz w:val="24"/>
    </w:rPr>
  </w:style>
  <w:style w:type="paragraph" w:styleId="1328" w:customStyle="1">
    <w:name w:val="xl51"/>
    <w:basedOn w:val="9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9" w:customStyle="1">
    <w:name w:val="样式2"/>
    <w:basedOn w:val="1039"/>
    <w:uiPriority w:val="0"/>
    <w:qFormat/>
    <w:pPr>
      <w:jc w:val="center"/>
      <w:spacing w:line="360" w:lineRule="auto"/>
    </w:pPr>
    <w:rPr>
      <w:sz w:val="24"/>
    </w:rPr>
  </w:style>
  <w:style w:type="paragraph" w:styleId="1330" w:customStyle="1">
    <w:name w:val="xl24"/>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1" w:customStyle="1">
    <w:name w:val="xl29"/>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32" w:customStyle="1">
    <w:name w:val="正文 + 楷体_GB2312"/>
    <w:basedOn w:val="996"/>
    <w:uiPriority w:val="0"/>
    <w:qFormat/>
    <w:pPr>
      <w:jc w:val="left"/>
      <w:widowControl/>
    </w:pPr>
    <w:rPr>
      <w:rFonts w:ascii="楷体_GB2312" w:eastAsia="楷体_GB2312" w:cs="Arial"/>
      <w:sz w:val="24"/>
    </w:rPr>
  </w:style>
  <w:style w:type="paragraph" w:styleId="1333" w:customStyle="1">
    <w:name w:val="xl34"/>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34" w:customStyle="1">
    <w:name w:val="1 Char Char Char Char"/>
    <w:basedOn w:val="996"/>
    <w:uiPriority w:val="0"/>
    <w:qFormat/>
    <w:rPr>
      <w:rFonts w:ascii="Tahoma" w:hAnsi="Tahoma"/>
      <w:sz w:val="24"/>
      <w:szCs w:val="20"/>
    </w:rPr>
  </w:style>
  <w:style w:type="paragraph" w:styleId="1335" w:customStyle="1">
    <w:name w:val="Default"/>
    <w:next w:val="996"/>
    <w:uiPriority w:val="0"/>
    <w:qFormat/>
    <w:pPr>
      <w:widowControl w:val="off"/>
    </w:pPr>
    <w:rPr>
      <w:rFonts w:hint="default" w:ascii="Symbol" w:hAnsi="Symbol" w:eastAsia="宋体" w:cs="Symbol"/>
      <w:color w:val="000000"/>
      <w:sz w:val="24"/>
      <w:szCs w:val="24"/>
      <w:lang w:val="en-US" w:eastAsia="zh-CN" w:bidi="ar-SA"/>
    </w:rPr>
  </w:style>
  <w:style w:type="paragraph" w:styleId="1336" w:customStyle="1">
    <w:name w:val="列出段落1"/>
    <w:basedOn w:val="996"/>
    <w:uiPriority w:val="0"/>
    <w:qFormat/>
    <w:pPr>
      <w:ind w:firstLine="420"/>
    </w:pPr>
    <w:rPr>
      <w:rFonts w:ascii="Calibri" w:hAnsi="Calibri"/>
      <w:szCs w:val="22"/>
    </w:rPr>
  </w:style>
  <w:style w:type="paragraph" w:styleId="1337" w:customStyle="1">
    <w:name w:val="default"/>
    <w:basedOn w:val="996"/>
    <w:uiPriority w:val="0"/>
    <w:qFormat/>
    <w:pPr>
      <w:jc w:val="left"/>
      <w:spacing w:before="100" w:beforeAutospacing="1" w:after="100" w:afterAutospacing="1"/>
      <w:widowControl/>
    </w:pPr>
    <w:rPr>
      <w:rFonts w:ascii="宋体" w:hAnsi="宋体" w:cs="宋体"/>
      <w:sz w:val="24"/>
    </w:rPr>
  </w:style>
  <w:style w:type="paragraph" w:styleId="1338" w:customStyle="1">
    <w:name w:val="字元 字元1"/>
    <w:basedOn w:val="996"/>
    <w:uiPriority w:val="0"/>
    <w:qFormat/>
    <w:rPr>
      <w:rFonts w:ascii="Tahoma" w:hAnsi="Tahoma"/>
      <w:sz w:val="24"/>
      <w:szCs w:val="20"/>
    </w:rPr>
  </w:style>
  <w:style w:type="paragraph" w:styleId="1339" w:customStyle="1">
    <w:name w:val="_Style 160"/>
    <w:uiPriority w:val="0"/>
    <w:qFormat/>
    <w:rPr>
      <w:rFonts w:hint="default" w:ascii="Times New Roman" w:hAnsi="Times New Roman" w:eastAsia="宋体" w:cs="Times New Roman"/>
      <w:sz w:val="21"/>
      <w:szCs w:val="24"/>
      <w:lang w:val="en-US" w:eastAsia="zh-CN" w:bidi="ar-SA"/>
    </w:rPr>
  </w:style>
  <w:style w:type="paragraph" w:styleId="1340" w:customStyle="1">
    <w:name w:val="项目编号3"/>
    <w:basedOn w:val="1300"/>
    <w:uiPriority w:val="0"/>
    <w:qFormat/>
    <w:pPr>
      <w:numPr>
        <w:ilvl w:val="0"/>
        <w:numId w:val="6"/>
      </w:numPr>
    </w:pPr>
  </w:style>
  <w:style w:type="paragraph" w:styleId="1341" w:customStyle="1">
    <w:name w:val="Char21"/>
    <w:basedOn w:val="996"/>
    <w:uiPriority w:val="0"/>
    <w:qFormat/>
    <w:rPr>
      <w:rFonts w:ascii="Tahoma" w:hAnsi="Tahoma"/>
      <w:sz w:val="24"/>
      <w:szCs w:val="20"/>
    </w:rPr>
  </w:style>
  <w:style w:type="paragraph" w:styleId="1342" w:customStyle="1">
    <w:name w:val="表格文字"/>
    <w:basedOn w:val="1015"/>
    <w:uiPriority w:val="0"/>
    <w:qFormat/>
    <w:pPr>
      <w:ind w:firstLine="0"/>
      <w:spacing w:before="20" w:after="20" w:line="240" w:lineRule="auto"/>
    </w:pPr>
    <w:rPr>
      <w:rFonts w:ascii="Century Gothic" w:hAnsi="Century Gothic"/>
      <w:sz w:val="20"/>
      <w:szCs w:val="20"/>
    </w:rPr>
  </w:style>
  <w:style w:type="paragraph" w:styleId="1343" w:customStyle="1">
    <w:name w:val="Char Char Char Char Char Char Char Char Char Char1"/>
    <w:basedOn w:val="996"/>
    <w:uiPriority w:val="0"/>
    <w:qFormat/>
    <w:rPr>
      <w:rFonts w:ascii="宋体" w:hAnsi="宋体" w:cs="Courier New"/>
      <w:sz w:val="32"/>
      <w:szCs w:val="32"/>
    </w:rPr>
  </w:style>
  <w:style w:type="paragraph" w:styleId="1344" w:customStyle="1">
    <w:name w:val="正文文本样式 加粗"/>
    <w:basedOn w:val="1300"/>
    <w:uiPriority w:val="0"/>
    <w:qFormat/>
    <w:rPr>
      <w:b/>
    </w:rPr>
  </w:style>
  <w:style w:type="paragraph" w:styleId="1345" w:customStyle="1">
    <w:name w:val="Char2 Char Char Char Char Char Char"/>
    <w:basedOn w:val="996"/>
    <w:uiPriority w:val="0"/>
    <w:qFormat/>
    <w:pPr>
      <w:jc w:val="center"/>
      <w:spacing w:line="400" w:lineRule="exact"/>
      <w:widowControl/>
    </w:pPr>
  </w:style>
  <w:style w:type="paragraph" w:styleId="1346" w:customStyle="1">
    <w:name w:val="Char Char4"/>
    <w:basedOn w:val="996"/>
    <w:uiPriority w:val="0"/>
    <w:qFormat/>
    <w:pPr>
      <w:jc w:val="center"/>
      <w:spacing w:line="400" w:lineRule="exact"/>
      <w:widowControl/>
    </w:pPr>
  </w:style>
  <w:style w:type="paragraph" w:styleId="1347" w:customStyle="1">
    <w:name w:val="Char3 Char Char Char1"/>
    <w:basedOn w:val="996"/>
    <w:uiPriority w:val="0"/>
    <w:qFormat/>
    <w:rPr>
      <w:rFonts w:ascii="Tahoma" w:hAnsi="Tahoma"/>
      <w:sz w:val="24"/>
      <w:szCs w:val="20"/>
    </w:rPr>
  </w:style>
  <w:style w:type="paragraph" w:styleId="134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22222222222222"/>
    <w:basedOn w:val="996"/>
    <w:uiPriority w:val="0"/>
    <w:qFormat/>
    <w:pPr>
      <w:ind w:firstLine="480"/>
      <w:jc w:val="left"/>
      <w:spacing w:line="360" w:lineRule="auto"/>
      <w:widowControl/>
    </w:pPr>
    <w:rPr>
      <w:color w:val="ff0000"/>
      <w:sz w:val="24"/>
      <w:szCs w:val="20"/>
    </w:rPr>
  </w:style>
  <w:style w:type="character" w:styleId="1350" w:customStyle="1">
    <w:name w:val="中等深浅网格 1 - 强调文字颜色 2 Char"/>
    <w:link w:val="1351"/>
    <w:uiPriority w:val="0"/>
    <w:qFormat/>
    <w:rPr>
      <w:sz w:val="21"/>
      <w:szCs w:val="24"/>
      <w:lang w:val="zh-CN" w:eastAsia="zh-CN" w:bidi="ar-SA"/>
    </w:rPr>
  </w:style>
  <w:style w:type="paragraph" w:styleId="1351" w:customStyle="1">
    <w:name w:val="1"/>
    <w:link w:val="1350"/>
    <w:uiPriority w:val="34"/>
    <w:qFormat/>
    <w:rPr>
      <w:rFonts w:hint="default" w:ascii="Times New Roman" w:hAnsi="Times New Roman" w:eastAsia="宋体" w:cs="Times New Roman"/>
      <w:sz w:val="21"/>
      <w:szCs w:val="24"/>
      <w:lang w:val="zh-CN" w:eastAsia="zh-CN" w:bidi="ar-SA"/>
    </w:rPr>
  </w:style>
  <w:style w:type="paragraph" w:styleId="1352" w:customStyle="1">
    <w:name w:val="图文"/>
    <w:basedOn w:val="996"/>
    <w:uiPriority w:val="0"/>
    <w:qFormat/>
    <w:pPr>
      <w:spacing w:after="50" w:line="360" w:lineRule="auto"/>
    </w:pPr>
    <w:rPr>
      <w:sz w:val="24"/>
    </w:rPr>
  </w:style>
  <w:style w:type="paragraph" w:styleId="1353" w:customStyle="1">
    <w:name w:val="xl23"/>
    <w:basedOn w:val="996"/>
    <w:uiPriority w:val="0"/>
    <w:qFormat/>
    <w:pPr>
      <w:spacing w:before="100" w:beforeAutospacing="1" w:after="100" w:afterAutospacing="1" w:line="360" w:lineRule="auto"/>
      <w:widowControl/>
    </w:pPr>
    <w:rPr>
      <w:sz w:val="24"/>
      <w:szCs w:val="20"/>
    </w:rPr>
  </w:style>
  <w:style w:type="paragraph" w:styleId="1354" w:customStyle="1">
    <w:name w:val="正文表格"/>
    <w:basedOn w:val="996"/>
    <w:link w:val="1355"/>
    <w:uiPriority w:val="0"/>
    <w:qFormat/>
    <w:pPr>
      <w:jc w:val="left"/>
    </w:pPr>
    <w:rPr>
      <w:rFonts w:ascii="宋体" w:hAnsi="宋体"/>
      <w:color w:val="000000"/>
      <w:szCs w:val="21"/>
    </w:rPr>
  </w:style>
  <w:style w:type="character" w:styleId="1355" w:customStyle="1">
    <w:name w:val="正文表格 Char"/>
    <w:link w:val="1354"/>
    <w:uiPriority w:val="0"/>
    <w:qFormat/>
    <w:rPr>
      <w:rFonts w:ascii="宋体" w:hAnsi="宋体"/>
      <w:color w:val="000000"/>
      <w:sz w:val="21"/>
      <w:szCs w:val="21"/>
    </w:rPr>
  </w:style>
  <w:style w:type="paragraph" w:styleId="1356" w:customStyle="1">
    <w:name w:val="正文重点"/>
    <w:basedOn w:val="996"/>
    <w:link w:val="1357"/>
    <w:uiPriority w:val="0"/>
    <w:qFormat/>
    <w:pPr>
      <w:ind w:firstLine="482"/>
      <w:jc w:val="left"/>
      <w:spacing w:line="360" w:lineRule="auto"/>
    </w:pPr>
    <w:rPr>
      <w:b/>
      <w:sz w:val="24"/>
      <w:szCs w:val="20"/>
    </w:rPr>
  </w:style>
  <w:style w:type="character" w:styleId="1357" w:customStyle="1">
    <w:name w:val="正文重点 Char"/>
    <w:link w:val="1356"/>
    <w:uiPriority w:val="0"/>
    <w:qFormat/>
    <w:rPr>
      <w:b/>
      <w:sz w:val="24"/>
    </w:rPr>
  </w:style>
  <w:style w:type="paragraph" w:styleId="1358" w:customStyle="1">
    <w:name w:val="标题1-附件"/>
    <w:basedOn w:val="997"/>
    <w:uiPriority w:val="0"/>
    <w:qFormat/>
    <w:pPr>
      <w:jc w:val="left"/>
    </w:pPr>
    <w:rPr>
      <w:sz w:val="24"/>
      <w:szCs w:val="24"/>
    </w:rPr>
  </w:style>
  <w:style w:type="paragraph" w:styleId="1359" w:customStyle="1">
    <w:name w:val="正文小标题"/>
    <w:basedOn w:val="996"/>
    <w:next w:val="1009"/>
    <w:link w:val="1360"/>
    <w:uiPriority w:val="0"/>
    <w:qFormat/>
    <w:pPr>
      <w:ind w:firstLine="482"/>
      <w:jc w:val="left"/>
      <w:spacing w:before="312" w:after="312"/>
    </w:pPr>
    <w:rPr>
      <w:rFonts w:ascii="宋体" w:hAnsi="宋体"/>
      <w:b/>
      <w:i/>
      <w:color w:val="ff0000"/>
      <w:sz w:val="24"/>
      <w:szCs w:val="20"/>
    </w:rPr>
  </w:style>
  <w:style w:type="character" w:styleId="1360" w:customStyle="1">
    <w:name w:val="正文小标题 Char"/>
    <w:link w:val="1359"/>
    <w:uiPriority w:val="0"/>
    <w:qFormat/>
    <w:rPr>
      <w:rFonts w:ascii="宋体" w:hAnsi="宋体"/>
      <w:b/>
      <w:i/>
      <w:color w:val="ff0000"/>
      <w:sz w:val="24"/>
    </w:rPr>
  </w:style>
  <w:style w:type="paragraph" w:styleId="1361" w:customStyle="1">
    <w:name w:val="正文大标题"/>
    <w:basedOn w:val="1359"/>
    <w:next w:val="1009"/>
    <w:link w:val="1362"/>
    <w:uiPriority w:val="0"/>
    <w:qFormat/>
    <w:pPr>
      <w:jc w:val="center"/>
    </w:pPr>
    <w:rPr>
      <w:i w:val="0"/>
      <w:color w:val="000000"/>
      <w:sz w:val="28"/>
      <w:szCs w:val="21"/>
    </w:rPr>
  </w:style>
  <w:style w:type="character" w:styleId="1362" w:customStyle="1">
    <w:name w:val="正文大标题 Char"/>
    <w:link w:val="1361"/>
    <w:uiPriority w:val="0"/>
    <w:qFormat/>
    <w:rPr>
      <w:rFonts w:ascii="宋体" w:hAnsi="宋体"/>
      <w:b/>
      <w:color w:val="000000"/>
      <w:sz w:val="28"/>
      <w:szCs w:val="21"/>
    </w:rPr>
  </w:style>
  <w:style w:type="paragraph" w:styleId="1363" w:customStyle="1">
    <w:name w:val="注释"/>
    <w:basedOn w:val="996"/>
    <w:link w:val="1364"/>
    <w:uiPriority w:val="0"/>
    <w:qFormat/>
    <w:pPr>
      <w:ind w:left="420" w:hanging="420"/>
      <w:jc w:val="left"/>
    </w:pPr>
    <w:rPr>
      <w:rFonts w:ascii="宋体" w:hAnsi="宋体"/>
      <w:szCs w:val="21"/>
    </w:rPr>
  </w:style>
  <w:style w:type="character" w:styleId="1364" w:customStyle="1">
    <w:name w:val="注释 Char"/>
    <w:link w:val="1363"/>
    <w:uiPriority w:val="0"/>
    <w:qFormat/>
    <w:rPr>
      <w:rFonts w:ascii="宋体" w:hAnsi="宋体"/>
      <w:sz w:val="21"/>
      <w:szCs w:val="21"/>
    </w:rPr>
  </w:style>
  <w:style w:type="paragraph" w:styleId="1365" w:customStyle="1">
    <w:name w:val="正文须知-1级"/>
    <w:basedOn w:val="996"/>
    <w:next w:val="996"/>
    <w:uiPriority w:val="0"/>
    <w:qFormat/>
    <w:pPr>
      <w:numPr>
        <w:ilvl w:val="0"/>
        <w:numId w:val="7"/>
      </w:numPr>
      <w:spacing w:line="300" w:lineRule="auto"/>
    </w:pPr>
    <w:rPr>
      <w:rFonts w:ascii="宋体" w:hAnsi="Calibri"/>
      <w:sz w:val="24"/>
      <w:szCs w:val="21"/>
    </w:rPr>
  </w:style>
  <w:style w:type="paragraph" w:styleId="1366" w:customStyle="1">
    <w:name w:val="正文须知-2级"/>
    <w:basedOn w:val="996"/>
    <w:uiPriority w:val="0"/>
    <w:qFormat/>
    <w:pPr>
      <w:numPr>
        <w:ilvl w:val="1"/>
        <w:numId w:val="7"/>
      </w:numPr>
      <w:spacing w:line="300" w:lineRule="auto"/>
    </w:pPr>
    <w:rPr>
      <w:rFonts w:ascii="宋体" w:hAnsi="Calibri"/>
      <w:sz w:val="24"/>
      <w:szCs w:val="21"/>
    </w:rPr>
  </w:style>
  <w:style w:type="paragraph" w:styleId="1367" w:customStyle="1">
    <w:name w:val="正文须知-3级"/>
    <w:basedOn w:val="996"/>
    <w:uiPriority w:val="0"/>
    <w:qFormat/>
    <w:pPr>
      <w:numPr>
        <w:ilvl w:val="2"/>
        <w:numId w:val="7"/>
      </w:numPr>
      <w:ind w:hanging="355"/>
      <w:spacing w:line="300" w:lineRule="auto"/>
    </w:pPr>
    <w:rPr>
      <w:rFonts w:ascii="宋体" w:hAnsi="Calibri"/>
      <w:sz w:val="24"/>
      <w:szCs w:val="21"/>
    </w:rPr>
  </w:style>
  <w:style w:type="character" w:styleId="1368" w:customStyle="1">
    <w:name w:val="纯文本 字符"/>
    <w:uiPriority w:val="99"/>
    <w:qFormat/>
    <w:rPr>
      <w:rFonts w:ascii="宋体" w:hAnsi="Courier New" w:eastAsia="宋体" w:cs="Times New Roman"/>
      <w:sz w:val="21"/>
      <w:szCs w:val="21"/>
      <w:lang w:val="en-US" w:eastAsia="zh-CN" w:bidi="ar-SA"/>
    </w:rPr>
  </w:style>
  <w:style w:type="paragraph" w:styleId="1369" w:customStyle="1">
    <w:name w:val="表格1"/>
    <w:basedOn w:val="996"/>
    <w:uiPriority w:val="0"/>
    <w:qFormat/>
    <w:pPr>
      <w:ind w:firstLine="480"/>
      <w:jc w:val="center"/>
    </w:pPr>
    <w:rPr>
      <w:sz w:val="24"/>
      <w:szCs w:val="20"/>
    </w:rPr>
  </w:style>
  <w:style w:type="character" w:styleId="1370" w:customStyle="1">
    <w:name w:val="纯文本 字符1"/>
    <w:uiPriority w:val="0"/>
    <w:qFormat/>
    <w:rPr>
      <w:rFonts w:ascii="宋体" w:hAnsi="Courier New"/>
    </w:rPr>
  </w:style>
  <w:style w:type="character" w:styleId="1371" w:customStyle="1">
    <w:name w:val="bjh-p"/>
    <w:uiPriority w:val="0"/>
    <w:qFormat/>
  </w:style>
  <w:style w:type="paragraph" w:styleId="1372" w:customStyle="1">
    <w:name w:val="无标题条"/>
    <w:next w:val="996"/>
    <w:uiPriority w:val="0"/>
    <w:qFormat/>
    <w:pPr>
      <w:jc w:val="both"/>
    </w:pPr>
    <w:rPr>
      <w:rFonts w:hint="default" w:ascii="Times New Roman" w:hAnsi="Times New Roman" w:eastAsia="宋体" w:cs="Times New Roman"/>
      <w:sz w:val="21"/>
      <w:lang w:val="en-US" w:eastAsia="zh-CN" w:bidi="ar-SA"/>
    </w:rPr>
  </w:style>
  <w:style w:type="character" w:styleId="1373" w:customStyle="1">
    <w:name w:val="正文格式 Char"/>
    <w:link w:val="1374"/>
    <w:uiPriority w:val="0"/>
    <w:qFormat/>
    <w:rPr>
      <w:rFonts w:ascii="宋体" w:hAnsi="宋体"/>
      <w:sz w:val="24"/>
      <w:szCs w:val="24"/>
      <w:lang w:val="en-GB"/>
    </w:rPr>
  </w:style>
  <w:style w:type="paragraph" w:styleId="1374" w:customStyle="1">
    <w:name w:val="正文格式"/>
    <w:basedOn w:val="996"/>
    <w:link w:val="1373"/>
    <w:uiPriority w:val="0"/>
    <w:qFormat/>
    <w:pPr>
      <w:ind w:firstLine="480"/>
      <w:spacing w:line="360" w:lineRule="auto"/>
    </w:pPr>
    <w:rPr>
      <w:rFonts w:ascii="宋体" w:hAnsi="宋体"/>
      <w:sz w:val="24"/>
      <w:lang w:val="en-GB"/>
    </w:rPr>
  </w:style>
  <w:style w:type="character" w:styleId="1375" w:customStyle="1">
    <w:name w:val="标题 3 Char"/>
    <w:uiPriority w:val="0"/>
    <w:qFormat/>
    <w:rPr>
      <w:rFonts w:ascii="宋体" w:eastAsia="宋体"/>
      <w:b/>
      <w:sz w:val="24"/>
      <w:u w:val="single"/>
      <w:lang w:val="en-US" w:eastAsia="zh-CN" w:bidi="ar-SA"/>
    </w:rPr>
  </w:style>
  <w:style w:type="character" w:styleId="1376" w:customStyle="1">
    <w:name w:val="正文缩进 Char"/>
    <w:uiPriority w:val="0"/>
    <w:qFormat/>
    <w:rPr>
      <w:rFonts w:ascii="宋体" w:eastAsia="宋体"/>
      <w:sz w:val="24"/>
      <w:szCs w:val="24"/>
      <w:lang w:val="en-US" w:eastAsia="zh-CN" w:bidi="ar-SA"/>
    </w:rPr>
  </w:style>
  <w:style w:type="character" w:styleId="1377" w:customStyle="1">
    <w:name w:val="Char Char111"/>
    <w:uiPriority w:val="0"/>
    <w:qFormat/>
    <w:rPr>
      <w:rFonts w:ascii="宋体" w:eastAsia="宋体"/>
      <w:b/>
      <w:sz w:val="24"/>
      <w:u w:val="single"/>
      <w:lang w:val="en-US" w:eastAsia="zh-CN" w:bidi="ar-SA"/>
    </w:rPr>
  </w:style>
  <w:style w:type="character" w:styleId="1378" w:customStyle="1">
    <w:name w:val="正文文本缩进 Char"/>
    <w:uiPriority w:val="0"/>
    <w:qFormat/>
    <w:rPr>
      <w:rFonts w:eastAsia="宋体"/>
      <w:sz w:val="24"/>
      <w:szCs w:val="24"/>
      <w:lang w:val="en-US" w:eastAsia="zh-CN" w:bidi="ar-SA"/>
    </w:rPr>
  </w:style>
  <w:style w:type="character" w:styleId="1379" w:customStyle="1">
    <w:name w:val="列出段落 Char"/>
    <w:uiPriority w:val="0"/>
    <w:qFormat/>
    <w:rPr>
      <w:rFonts w:ascii="Calibri" w:hAnsi="Calibri" w:eastAsia="宋体"/>
      <w:sz w:val="21"/>
      <w:szCs w:val="22"/>
      <w:lang w:val="en-US" w:eastAsia="zh-CN" w:bidi="ar-SA"/>
    </w:rPr>
  </w:style>
  <w:style w:type="character" w:styleId="1380" w:customStyle="1">
    <w:name w:val="页眉 Char"/>
    <w:uiPriority w:val="0"/>
    <w:qFormat/>
    <w:rPr>
      <w:rFonts w:eastAsia="宋体"/>
      <w:sz w:val="18"/>
      <w:szCs w:val="18"/>
      <w:lang w:val="en-US" w:eastAsia="zh-CN" w:bidi="ar-SA"/>
    </w:rPr>
  </w:style>
  <w:style w:type="character" w:styleId="1381" w:customStyle="1">
    <w:name w:val="标题 2 Char"/>
    <w:uiPriority w:val="0"/>
    <w:qFormat/>
    <w:rPr>
      <w:rFonts w:ascii="Arial" w:hAnsi="Arial" w:eastAsia="黑体"/>
      <w:b/>
      <w:sz w:val="30"/>
      <w:lang w:val="en-US" w:eastAsia="zh-CN" w:bidi="ar-SA"/>
    </w:rPr>
  </w:style>
  <w:style w:type="paragraph" w:styleId="1382" w:customStyle="1">
    <w:name w:val="字元 字元2"/>
    <w:basedOn w:val="996"/>
    <w:uiPriority w:val="0"/>
    <w:qFormat/>
    <w:rPr>
      <w:rFonts w:ascii="Tahoma" w:hAnsi="Tahoma"/>
      <w:sz w:val="24"/>
      <w:szCs w:val="20"/>
    </w:rPr>
  </w:style>
  <w:style w:type="paragraph" w:styleId="1383" w:customStyle="1">
    <w:name w:val="Char3 Char Char Char2"/>
    <w:basedOn w:val="996"/>
    <w:uiPriority w:val="0"/>
    <w:qFormat/>
    <w:rPr>
      <w:rFonts w:ascii="Tahoma" w:hAnsi="Tahoma"/>
      <w:sz w:val="24"/>
      <w:szCs w:val="20"/>
    </w:rPr>
  </w:style>
  <w:style w:type="paragraph" w:styleId="1384" w:customStyle="1">
    <w:name w:val="正文文本缩进2"/>
    <w:basedOn w:val="996"/>
    <w:uiPriority w:val="0"/>
    <w:qFormat/>
    <w:pPr>
      <w:ind w:firstLine="480"/>
      <w:spacing w:line="480" w:lineRule="exact"/>
    </w:pPr>
    <w:rPr>
      <w:rFonts w:ascii="宋体" w:hAnsi="宋体"/>
      <w:sz w:val="24"/>
      <w:lang w:val="zh-CN"/>
    </w:rPr>
  </w:style>
  <w:style w:type="paragraph" w:styleId="1385" w:customStyle="1">
    <w:name w:val="Char3"/>
    <w:basedOn w:val="996"/>
    <w:uiPriority w:val="0"/>
    <w:qFormat/>
    <w:pPr>
      <w:tabs>
        <w:tab w:val="left" w:pos="360" w:leader="none"/>
      </w:tabs>
    </w:pPr>
    <w:rPr>
      <w:sz w:val="24"/>
    </w:rPr>
  </w:style>
  <w:style w:type="paragraph" w:styleId="1386" w:customStyle="1">
    <w:name w:val="Char Char Char Char Char Char Char Char Char Char Char Char Char Char Char Char1"/>
    <w:basedOn w:val="996"/>
    <w:uiPriority w:val="0"/>
    <w:qFormat/>
    <w:pPr>
      <w:jc w:val="center"/>
      <w:spacing w:after="160" w:line="240" w:lineRule="exact"/>
      <w:widowControl/>
    </w:pPr>
    <w:rPr>
      <w:rFonts w:ascii="宋体" w:hAnsi="宋体"/>
      <w:b/>
      <w:sz w:val="30"/>
      <w:szCs w:val="30"/>
      <w:lang w:eastAsia="en-US"/>
    </w:rPr>
  </w:style>
  <w:style w:type="paragraph" w:styleId="1387" w:customStyle="1">
    <w:name w:val="Char Char1 Char Char Char Char Char Char1"/>
    <w:basedOn w:val="996"/>
    <w:uiPriority w:val="0"/>
    <w:qFormat/>
    <w:pPr>
      <w:jc w:val="left"/>
      <w:spacing w:after="160" w:line="240" w:lineRule="exact"/>
      <w:widowControl/>
    </w:pPr>
    <w:rPr>
      <w:rFonts w:ascii="Verdana" w:hAnsi="Verdana" w:eastAsia="仿宋_GB2312"/>
      <w:sz w:val="24"/>
      <w:szCs w:val="20"/>
      <w:lang w:eastAsia="en-US"/>
    </w:rPr>
  </w:style>
  <w:style w:type="paragraph" w:styleId="1388" w:customStyle="1">
    <w:name w:val="列出段落2"/>
    <w:basedOn w:val="996"/>
    <w:uiPriority w:val="0"/>
    <w:qFormat/>
    <w:pPr>
      <w:ind w:firstLine="420"/>
    </w:pPr>
    <w:rPr>
      <w:rFonts w:ascii="Calibri" w:hAnsi="Calibri"/>
      <w:szCs w:val="22"/>
    </w:rPr>
  </w:style>
  <w:style w:type="paragraph" w:styleId="1389" w:customStyle="1">
    <w:name w:val="Char Char Char1 Char2"/>
    <w:basedOn w:val="996"/>
    <w:uiPriority w:val="0"/>
    <w:qFormat/>
    <w:rPr>
      <w:rFonts w:ascii="Tahoma" w:hAnsi="Tahoma"/>
      <w:sz w:val="24"/>
      <w:szCs w:val="20"/>
    </w:rPr>
  </w:style>
  <w:style w:type="paragraph" w:styleId="1390" w:customStyle="1">
    <w:name w:val="Char Char Char2"/>
    <w:basedOn w:val="996"/>
    <w:uiPriority w:val="0"/>
    <w:qFormat/>
    <w:rPr>
      <w:rFonts w:ascii="Tahoma" w:hAnsi="Tahoma"/>
      <w:sz w:val="24"/>
      <w:szCs w:val="20"/>
    </w:rPr>
  </w:style>
  <w:style w:type="paragraph" w:styleId="1391" w:customStyle="1">
    <w:name w:val="Char Char Char Char Char Char Char2"/>
    <w:basedOn w:val="996"/>
    <w:uiPriority w:val="0"/>
    <w:qFormat/>
    <w:pPr>
      <w:ind w:firstLine="200"/>
      <w:spacing w:line="360" w:lineRule="auto"/>
    </w:pPr>
    <w:rPr>
      <w:rFonts w:eastAsia="仿宋_GB2312"/>
      <w:sz w:val="24"/>
    </w:rPr>
  </w:style>
  <w:style w:type="paragraph" w:styleId="1392" w:customStyle="1">
    <w:name w:val="正文缩进2"/>
    <w:basedOn w:val="996"/>
    <w:uiPriority w:val="0"/>
    <w:qFormat/>
    <w:pPr>
      <w:ind w:firstLine="567"/>
      <w:spacing w:line="480" w:lineRule="exact"/>
      <w:widowControl/>
    </w:pPr>
    <w:rPr>
      <w:rFonts w:ascii="宋体"/>
      <w:color w:val="000000"/>
      <w:sz w:val="28"/>
      <w:szCs w:val="20"/>
      <w:lang w:val="zh-CN"/>
    </w:rPr>
  </w:style>
  <w:style w:type="paragraph" w:styleId="1393" w:customStyle="1">
    <w:name w:val="修订1"/>
    <w:uiPriority w:val="0"/>
    <w:qFormat/>
    <w:rPr>
      <w:rFonts w:hint="default" w:ascii="Times New Roman" w:hAnsi="Times New Roman" w:eastAsia="宋体" w:cs="Times New Roman"/>
      <w:sz w:val="21"/>
      <w:szCs w:val="24"/>
      <w:lang w:val="en-US" w:eastAsia="zh-CN" w:bidi="ar-SA"/>
    </w:rPr>
  </w:style>
  <w:style w:type="paragraph" w:styleId="1394" w:customStyle="1">
    <w:name w:val="Char22"/>
    <w:basedOn w:val="996"/>
    <w:uiPriority w:val="0"/>
    <w:qFormat/>
    <w:rPr>
      <w:rFonts w:ascii="Tahoma" w:hAnsi="Tahoma"/>
      <w:sz w:val="24"/>
      <w:szCs w:val="20"/>
    </w:rPr>
  </w:style>
  <w:style w:type="paragraph" w:styleId="1395" w:customStyle="1">
    <w:name w:val="Char Char Char Char Char Char Char Char Char Char2"/>
    <w:basedOn w:val="996"/>
    <w:uiPriority w:val="0"/>
    <w:qFormat/>
    <w:rPr>
      <w:rFonts w:ascii="宋体" w:hAnsi="宋体" w:cs="Courier New"/>
      <w:sz w:val="32"/>
      <w:szCs w:val="32"/>
    </w:rPr>
  </w:style>
  <w:style w:type="paragraph" w:styleId="1396" w:customStyle="1">
    <w:name w:val="Char2 Char Char Char Char Char Char1"/>
    <w:basedOn w:val="996"/>
    <w:uiPriority w:val="0"/>
    <w:qFormat/>
    <w:pPr>
      <w:jc w:val="center"/>
      <w:spacing w:line="400" w:lineRule="exact"/>
      <w:widowControl/>
    </w:pPr>
  </w:style>
  <w:style w:type="character" w:styleId="1397" w:customStyle="1">
    <w:name w:val="页脚 Char"/>
    <w:uiPriority w:val="0"/>
    <w:qFormat/>
    <w:rPr>
      <w:rFonts w:ascii="宋体" w:eastAsia="宋体"/>
      <w:sz w:val="18"/>
      <w:lang w:val="en-US" w:eastAsia="zh-CN" w:bidi="ar-SA"/>
    </w:rPr>
  </w:style>
  <w:style w:type="paragraph" w:styleId="1398" w:customStyle="1">
    <w:name w:val="Char Char41"/>
    <w:basedOn w:val="996"/>
    <w:uiPriority w:val="0"/>
    <w:qFormat/>
    <w:pPr>
      <w:jc w:val="center"/>
      <w:spacing w:line="400" w:lineRule="exact"/>
      <w:widowControl/>
    </w:pPr>
  </w:style>
  <w:style w:type="character" w:styleId="1399" w:customStyle="1">
    <w:name w:val="批注文字 Char"/>
    <w:uiPriority w:val="99"/>
    <w:qFormat/>
    <w:rPr>
      <w:sz w:val="21"/>
      <w:szCs w:val="24"/>
    </w:rPr>
  </w:style>
  <w:style w:type="character" w:styleId="1400" w:customStyle="1">
    <w:name w:val="标题 Char"/>
    <w:uiPriority w:val="0"/>
    <w:qFormat/>
    <w:rPr>
      <w:b/>
      <w:sz w:val="32"/>
    </w:rPr>
  </w:style>
  <w:style w:type="paragraph" w:styleId="1401" w:customStyle="1">
    <w:name w:val="图例"/>
    <w:basedOn w:val="996"/>
    <w:uiPriority w:val="0"/>
    <w:qFormat/>
    <w:pPr>
      <w:jc w:val="center"/>
      <w:spacing w:before="120" w:after="120" w:line="360" w:lineRule="auto"/>
    </w:pPr>
    <w:rPr>
      <w:rFonts w:eastAsia="仿宋_GB2312"/>
      <w:b/>
      <w:sz w:val="24"/>
      <w:szCs w:val="20"/>
    </w:rPr>
  </w:style>
  <w:style w:type="table" w:styleId="140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03" w:customStyle="1">
    <w:name w:val="Table Paragraph"/>
    <w:basedOn w:val="996"/>
    <w:uiPriority w:val="1"/>
    <w:qFormat/>
    <w:pPr>
      <w:jc w:val="left"/>
    </w:pPr>
    <w:rPr>
      <w:rFonts w:ascii="宋体" w:hAnsi="宋体" w:cs="宋体"/>
      <w:sz w:val="22"/>
      <w:szCs w:val="22"/>
      <w:lang w:eastAsia="en-US"/>
    </w:rPr>
  </w:style>
  <w:style w:type="paragraph" w:styleId="1404" w:customStyle="1">
    <w:name w:val="成文日期"/>
    <w:basedOn w:val="996"/>
    <w:link w:val="1405"/>
    <w:uiPriority w:val="0"/>
    <w:qFormat/>
    <w:pPr>
      <w:ind w:right="400" w:firstLine="200"/>
      <w:jc w:val="right"/>
      <w:spacing w:line="570" w:lineRule="exact"/>
    </w:pPr>
    <w:rPr>
      <w:rFonts w:ascii="仿宋_GB2312" w:eastAsia="仿宋_GB2312"/>
      <w:sz w:val="32"/>
      <w:szCs w:val="20"/>
    </w:rPr>
  </w:style>
  <w:style w:type="character" w:styleId="1405" w:customStyle="1">
    <w:name w:val="成文日期 Char"/>
    <w:link w:val="1404"/>
    <w:uiPriority w:val="0"/>
    <w:qFormat/>
    <w:rPr>
      <w:rFonts w:ascii="仿宋_GB2312" w:eastAsia="仿宋_GB2312"/>
      <w:sz w:val="32"/>
    </w:rPr>
  </w:style>
  <w:style w:type="paragraph" w:styleId="1406" w:customStyle="1">
    <w:name w:val="_Style 258"/>
    <w:uiPriority w:val="99"/>
    <w:unhideWhenUsed/>
    <w:qFormat/>
    <w:rPr>
      <w:rFonts w:hint="default" w:ascii="Times New Roman" w:hAnsi="Times New Roman" w:eastAsia="宋体" w:cs="Times New Roman"/>
      <w:sz w:val="21"/>
      <w:szCs w:val="24"/>
      <w:lang w:val="en-US" w:eastAsia="zh-CN" w:bidi="ar-SA"/>
    </w:rPr>
  </w:style>
  <w:style w:type="character" w:styleId="1407" w:customStyle="1">
    <w:name w:val="页脚 字符"/>
    <w:uiPriority w:val="99"/>
    <w:qFormat/>
  </w:style>
  <w:style w:type="character" w:styleId="1408" w:customStyle="1">
    <w:name w:val="标题 2 字符1"/>
    <w:uiPriority w:val="0"/>
    <w:semiHidden/>
    <w:qFormat/>
    <w:rPr>
      <w:rFonts w:ascii="Arial" w:hAnsi="Arial" w:eastAsia="黑体" w:cs="Times New Roman"/>
      <w:b/>
      <w:sz w:val="30"/>
      <w:szCs w:val="20"/>
    </w:rPr>
  </w:style>
  <w:style w:type="paragraph" w:styleId="1409" w:customStyle="1">
    <w:name w:val="列出段落11"/>
    <w:basedOn w:val="996"/>
    <w:uiPriority w:val="34"/>
    <w:qFormat/>
    <w:pPr>
      <w:ind w:firstLine="420"/>
    </w:pPr>
    <w:rPr>
      <w:szCs w:val="20"/>
    </w:rPr>
  </w:style>
  <w:style w:type="paragraph" w:styleId="1410" w:customStyle="1">
    <w:name w:val="列表段落1"/>
    <w:basedOn w:val="996"/>
    <w:uiPriority w:val="34"/>
    <w:qFormat/>
    <w:pPr>
      <w:ind w:firstLine="420"/>
    </w:pPr>
    <w:rPr>
      <w:rFonts w:eastAsia="等线"/>
      <w:szCs w:val="22"/>
    </w:rPr>
  </w:style>
  <w:style w:type="character" w:styleId="1411" w:customStyle="1">
    <w:name w:val="正文文本 Char"/>
    <w:uiPriority w:val="0"/>
    <w:qFormat/>
    <w:rPr>
      <w:rFonts w:ascii="宋体" w:hAnsi="宋体"/>
      <w:sz w:val="24"/>
      <w:szCs w:val="24"/>
    </w:rPr>
  </w:style>
  <w:style w:type="character" w:styleId="1412" w:customStyle="1">
    <w:name w:val="页脚 Char1"/>
    <w:uiPriority w:val="99"/>
    <w:qFormat/>
    <w:rPr>
      <w:rFonts w:ascii="宋体" w:eastAsia="宋体"/>
      <w:sz w:val="18"/>
      <w:lang w:val="en-US" w:eastAsia="zh-CN" w:bidi="ar-SA"/>
    </w:rPr>
  </w:style>
  <w:style w:type="character" w:styleId="1413" w:customStyle="1">
    <w:name w:val="页眉 Char1"/>
    <w:uiPriority w:val="0"/>
    <w:qFormat/>
    <w:rPr>
      <w:rFonts w:eastAsia="宋体"/>
      <w:sz w:val="18"/>
      <w:szCs w:val="18"/>
      <w:lang w:val="en-US" w:eastAsia="zh-CN" w:bidi="ar-SA"/>
    </w:rPr>
  </w:style>
  <w:style w:type="character" w:styleId="1414" w:customStyle="1">
    <w:name w:val="NormalCharacter"/>
    <w:uiPriority w:val="0"/>
    <w:semiHidden/>
    <w:qFormat/>
  </w:style>
  <w:style w:type="paragraph" w:styleId="1415" w:customStyle="1">
    <w:name w:val="段"/>
    <w:next w:val="996"/>
    <w:uiPriority w:val="0"/>
    <w:qFormat/>
    <w:pPr>
      <w:ind w:firstLine="200"/>
      <w:jc w:val="both"/>
    </w:pPr>
    <w:rPr>
      <w:rFonts w:hint="default" w:ascii="宋体" w:hAnsi="Calibri" w:eastAsia="宋体" w:cs="Times New Roman"/>
      <w:sz w:val="21"/>
      <w:lang w:val="en-US" w:eastAsia="zh-CN" w:bidi="ar-SA"/>
    </w:rPr>
  </w:style>
  <w:style w:type="character" w:styleId="1416" w:customStyle="1">
    <w:name w:val="正文缩进 字符1"/>
    <w:uiPriority w:val="0"/>
    <w:qFormat/>
    <w:rPr>
      <w:rFonts w:ascii="宋体"/>
      <w:sz w:val="24"/>
      <w:szCs w:val="24"/>
    </w:rPr>
  </w:style>
  <w:style w:type="paragraph" w:styleId="1417" w:customStyle="1">
    <w:name w:val="样式 正文缩进文2ALT+Z表正文正文非缩进特点段1标题4特点 Char Char特点 Char Char C..."/>
    <w:basedOn w:val="1009"/>
    <w:uiPriority w:val="0"/>
    <w:qFormat/>
    <w:pPr>
      <w:ind w:firstLine="480"/>
      <w:jc w:val="both"/>
      <w:spacing w:line="360" w:lineRule="auto"/>
    </w:pPr>
    <w:rPr>
      <w:rFonts w:ascii="Times New Roman" w:hAnsi="Calibri" w:eastAsia="仿宋_GB2312" w:cs="宋体"/>
      <w:szCs w:val="20"/>
    </w:rPr>
  </w:style>
  <w:style w:type="table" w:styleId="1418" w:customStyle="1">
    <w:name w:val="网格型1"/>
    <w:basedOn w:val="10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9" w:customStyle="1">
    <w:name w:val="网格型2"/>
    <w:basedOn w:val="10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标题 字符1"/>
    <w:uiPriority w:val="0"/>
    <w:qFormat/>
    <w:rPr>
      <w:rFonts w:ascii="Cambria" w:hAnsi="Cambria"/>
      <w:b/>
      <w:bCs/>
      <w:sz w:val="32"/>
      <w:szCs w:val="32"/>
    </w:rPr>
  </w:style>
  <w:style w:type="paragraph" w:styleId="1421" w:customStyle="1">
    <w:name w:val="纯文本2"/>
    <w:next w:val="1029"/>
    <w:uiPriority w:val="0"/>
    <w:qFormat/>
    <w:pPr>
      <w:jc w:val="both"/>
      <w:spacing w:line="360" w:lineRule="auto"/>
      <w:widowControl w:val="off"/>
    </w:pPr>
    <w:rPr>
      <w:rFonts w:hint="default" w:ascii="宋体" w:hAnsi="宋体" w:eastAsia="仿宋" w:cs="Times New Roman"/>
      <w:sz w:val="26"/>
      <w:szCs w:val="21"/>
      <w:lang w:val="en-US" w:eastAsia="zh-CN" w:bidi="ar-SA"/>
    </w:rPr>
  </w:style>
  <w:style w:type="character" w:styleId="1422" w:customStyle="1">
    <w:name w:val="正文文本_"/>
    <w:basedOn w:val="1006"/>
    <w:link w:val="1423"/>
    <w:uiPriority w:val="99"/>
    <w:unhideWhenUsed/>
    <w:qFormat/>
    <w:rPr>
      <w:rFonts w:ascii="MingLiU" w:hAnsi="MingLiU" w:eastAsia="MingLiU"/>
      <w:spacing w:val="10"/>
      <w:sz w:val="23"/>
      <w:shd w:val="clear" w:color="auto" w:fill="ffffff"/>
    </w:rPr>
  </w:style>
  <w:style w:type="paragraph" w:styleId="1423" w:customStyle="1">
    <w:name w:val="正文文本1"/>
    <w:basedOn w:val="996"/>
    <w:next w:val="996"/>
    <w:link w:val="1422"/>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24" w:customStyle="1">
    <w:name w:val="font21"/>
    <w:basedOn w:val="1006"/>
    <w:uiPriority w:val="0"/>
    <w:qFormat/>
    <w:rPr>
      <w:rFonts w:hint="eastAsia" w:ascii="宋体" w:hAnsi="宋体" w:eastAsia="宋体" w:cs="宋体"/>
      <w:color w:val="000000"/>
      <w:sz w:val="21"/>
      <w:szCs w:val="21"/>
      <w:u w:val="none"/>
    </w:rPr>
  </w:style>
  <w:style w:type="character" w:styleId="1425" w:customStyle="1">
    <w:name w:val="font01"/>
    <w:basedOn w:val="1006"/>
    <w:uiPriority w:val="0"/>
    <w:qFormat/>
    <w:rPr>
      <w:rFonts w:hint="eastAsia" w:ascii="宋体" w:hAnsi="宋体" w:eastAsia="宋体" w:cs="宋体"/>
      <w:b/>
      <w:color w:val="000000"/>
      <w:sz w:val="22"/>
      <w:szCs w:val="22"/>
      <w:u w:val="none"/>
    </w:rPr>
  </w:style>
  <w:style w:type="paragraph" w:styleId="1426" w:customStyle="1">
    <w:name w:val="p0"/>
    <w:basedOn w:val="996"/>
    <w:uiPriority w:val="0"/>
    <w:qFormat/>
    <w:pPr>
      <w:widowControl/>
    </w:pPr>
    <w:rPr>
      <w:rFonts w:ascii="Calibri" w:hAnsi="Calibri"/>
      <w:szCs w:val="21"/>
    </w:rPr>
  </w:style>
  <w:style w:type="paragraph" w:styleId="1427" w:customStyle="1">
    <w:name w:val="be358f00-9758-446e-aec5-cde8345aeef3"/>
    <w:basedOn w:val="1014"/>
    <w:link w:val="1428"/>
    <w:uiPriority w:val="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28" w:customStyle="1">
    <w:name w:val="be358f00-9758-446e-aec5-cde8345aeef3 字符"/>
    <w:link w:val="1427"/>
    <w:uiPriority w:val="0"/>
    <w:qFormat/>
    <w:rPr>
      <w:rFonts w:ascii="微软雅黑" w:hAnsi="微软雅黑" w:eastAsia="微软雅黑"/>
      <w:color w:val="000000"/>
      <w:sz w:val="22"/>
      <w:szCs w:val="24"/>
    </w:rPr>
  </w:style>
  <w:style w:type="character" w:styleId="1429" w:customStyle="1">
    <w:name w:val="font61"/>
    <w:basedOn w:val="1006"/>
    <w:uiPriority w:val="0"/>
    <w:qFormat/>
    <w:rPr>
      <w:rFonts w:hint="eastAsia" w:ascii="宋体" w:hAnsi="宋体" w:eastAsia="宋体" w:cs="宋体"/>
      <w:color w:val="000000"/>
      <w:sz w:val="21"/>
      <w:szCs w:val="21"/>
      <w:u w:val="none"/>
    </w:rPr>
  </w:style>
  <w:style w:type="character" w:styleId="1430" w:customStyle="1">
    <w:name w:val="font71"/>
    <w:uiPriority w:val="0"/>
    <w:qFormat/>
    <w:rPr>
      <w:rFonts w:hint="eastAsia" w:ascii="宋体" w:hAnsi="宋体" w:eastAsia="宋体" w:cs="宋体"/>
      <w:color w:val="000000"/>
      <w:sz w:val="22"/>
      <w:szCs w:val="22"/>
      <w:u w:val="none"/>
    </w:rPr>
  </w:style>
  <w:style w:type="character" w:styleId="1431" w:customStyle="1">
    <w:name w:val="font31"/>
    <w:basedOn w:val="1006"/>
    <w:uiPriority w:val="0"/>
    <w:qFormat/>
    <w:rPr>
      <w:rFonts w:ascii="Arial Unicode MS" w:hAnsi="Arial Unicode MS" w:eastAsia="Arial Unicode MS" w:cs="Arial Unicode MS"/>
      <w:color w:val="000000"/>
      <w:sz w:val="22"/>
      <w:szCs w:val="22"/>
      <w:u w:val="none"/>
    </w:rPr>
  </w:style>
  <w:style w:type="character" w:styleId="1432" w:customStyle="1">
    <w:name w:val="font41"/>
    <w:uiPriority w:val="0"/>
    <w:qFormat/>
    <w:rPr>
      <w:rFonts w:ascii="宋体" w:hAnsi="宋体" w:eastAsia="宋体" w:cs="宋体"/>
      <w:color w:val="000000"/>
      <w:sz w:val="22"/>
      <w:szCs w:val="22"/>
      <w:u w:val="none"/>
    </w:rPr>
  </w:style>
  <w:style w:type="character" w:styleId="1433" w:customStyle="1">
    <w:name w:val="font11"/>
    <w:uiPriority w:val="0"/>
    <w:qFormat/>
    <w:rPr>
      <w:rFonts w:hint="eastAsia" w:ascii="宋体" w:hAnsi="宋体" w:eastAsia="宋体" w:cs="宋体"/>
      <w:b/>
      <w:bCs/>
      <w:color w:val="000000"/>
      <w:sz w:val="21"/>
      <w:szCs w:val="21"/>
      <w:u w:val="none"/>
    </w:rPr>
  </w:style>
  <w:style w:type="character" w:styleId="1434" w:customStyle="1">
    <w:name w:val="font51"/>
    <w:basedOn w:val="1006"/>
    <w:uiPriority w:val="0"/>
    <w:qFormat/>
    <w:rPr>
      <w:rFonts w:hint="default" w:ascii="Times New Roman" w:hAnsi="Times New Roman" w:cs="Times New Roman"/>
      <w:color w:val="000000"/>
      <w:sz w:val="21"/>
      <w:szCs w:val="21"/>
      <w:u w:val="none"/>
    </w:rPr>
  </w:style>
  <w:style w:type="character" w:styleId="1435" w:customStyle="1">
    <w:name w:val="font81"/>
    <w:uiPriority w:val="0"/>
    <w:qFormat/>
    <w:rPr>
      <w:rFonts w:hint="default" w:ascii="Times New Roman" w:hAnsi="Times New Roman" w:cs="Times New Roman"/>
      <w:color w:val="000000"/>
      <w:sz w:val="21"/>
      <w:szCs w:val="21"/>
      <w:u w:val="none"/>
      <w:vertAlign w:val="superscript"/>
    </w:rPr>
  </w:style>
  <w:style w:type="paragraph" w:styleId="1436" w:customStyle="1">
    <w:name w:val="正文缩进11"/>
    <w:basedOn w:val="996"/>
    <w:uiPriority w:val="0"/>
    <w:qFormat/>
    <w:pPr>
      <w:ind w:firstLine="420"/>
      <w:jc w:val="left"/>
    </w:pPr>
    <w:rPr>
      <w:rFonts w:ascii="宋体"/>
      <w:sz w:val="24"/>
    </w:rPr>
  </w:style>
  <w:style w:type="paragraph" w:styleId="1437" w:customStyle="1">
    <w:name w:val="一、"/>
    <w:basedOn w:val="996"/>
    <w:uiPriority w:val="0"/>
    <w:qFormat/>
    <w:pPr>
      <w:ind w:firstLine="640"/>
    </w:pPr>
    <w:rPr>
      <w:rFonts w:eastAsia="黑体"/>
      <w:szCs w:val="32"/>
    </w:rPr>
  </w:style>
  <w:style w:type="paragraph" w:styleId="1438" w:customStyle="1">
    <w:name w:val="附件标题"/>
    <w:uiPriority w:val="0"/>
    <w:qFormat/>
    <w:pPr>
      <w:jc w:val="center"/>
      <w:spacing w:line="640" w:lineRule="exact"/>
    </w:pPr>
    <w:rPr>
      <w:rFonts w:hint="default" w:ascii="Times New Roman" w:hAnsi="Times New Roman" w:eastAsia="方正小标宋简体" w:cs="Times New Roman"/>
      <w:color w:val="0d1e0f"/>
      <w:sz w:val="42"/>
      <w:szCs w:val="42"/>
      <w:lang w:val="en-US" w:eastAsia="zh-CN" w:bidi="ar-SA"/>
    </w:rPr>
  </w:style>
  <w:style w:type="paragraph" w:styleId="1439" w:customStyle="1">
    <w:name w:val="第一章"/>
    <w:basedOn w:val="1437"/>
    <w:uiPriority w:val="0"/>
    <w:qFormat/>
    <w:pPr>
      <w:ind w:firstLine="0"/>
      <w:jc w:val="center"/>
    </w:pPr>
  </w:style>
  <w:style w:type="paragraph" w:styleId="14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1" w:customStyle="1">
    <w:name w:val="正文首行缩进1"/>
    <w:basedOn w:val="1423"/>
    <w:uiPriority w:val="0"/>
    <w:qFormat/>
    <w:pPr>
      <w:ind w:firstLine="200"/>
      <w:spacing w:line="360" w:lineRule="auto"/>
    </w:pPr>
    <w:rPr>
      <w:rFonts w:ascii="仿宋_GB2312" w:eastAsia="仿宋_GB2312"/>
      <w:sz w:val="30"/>
      <w:szCs w:val="30"/>
    </w:rPr>
  </w:style>
  <w:style w:type="character" w:styleId="1442" w:customStyle="1">
    <w:name w:val="font112"/>
    <w:basedOn w:val="1006"/>
    <w:uiPriority w:val="0"/>
    <w:qFormat/>
    <w:rPr>
      <w:rFonts w:ascii="Arial" w:hAnsi="Arial" w:cs="Arial"/>
      <w:color w:val="000000"/>
      <w:sz w:val="22"/>
      <w:szCs w:val="22"/>
      <w:u w:val="none"/>
    </w:rPr>
  </w:style>
  <w:style w:type="character" w:styleId="1443" w:customStyle="1">
    <w:name w:val="font121"/>
    <w:basedOn w:val="1006"/>
    <w:uiPriority w:val="0"/>
    <w:qFormat/>
    <w:rPr>
      <w:rFonts w:ascii="PingFang SC" w:hAnsi="PingFang SC" w:eastAsia="PingFang SC" w:cs="PingFang SC"/>
      <w:color w:val="000000"/>
      <w:sz w:val="24"/>
      <w:szCs w:val="24"/>
      <w:u w:val="none"/>
    </w:rPr>
  </w:style>
  <w:style w:type="paragraph" w:styleId="1444" w:customStyle="1">
    <w:name w:val="纯文本11"/>
    <w:basedOn w:val="996"/>
    <w:uiPriority w:val="99"/>
    <w:qFormat/>
    <w:rPr>
      <w:rFonts w:hint="eastAsia" w:ascii="宋体" w:hAnsi="Courier New"/>
      <w:szCs w:val="20"/>
    </w:rPr>
  </w:style>
  <w:style w:type="numbering" w:styleId="19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姜红</cp:lastModifiedBy>
  <cp:revision>9</cp:revision>
  <dcterms:created xsi:type="dcterms:W3CDTF">2026-03-16T02:20:00Z</dcterms:created>
  <dcterms:modified xsi:type="dcterms:W3CDTF">2026-03-31T07:55:48Z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B46F40109B95D4EEA168B76947F17100</vt:lpwstr>
  </property>
  <property fmtid="{D5CDD505-2E9C-101B-9397-08002B2CF9AE}" pid="4" name="KSOTemplateDocerSaveRecord">
    <vt:lpwstr>eyJoZGlkIjoiYzUxNmUyN2M1NDExYWQ2NTIwYWUyZTMzYWRkNjUxZDMiLCJ1c2VySWQiOiI2ODA5Njc2OTMifQ==</vt:lpwstr>
  </property>
</Properties>
</file>